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ook w:val="0600" w:firstRow="0" w:lastRow="0" w:firstColumn="0" w:lastColumn="0" w:noHBand="1" w:noVBand="1"/>
      </w:tblPr>
      <w:tblGrid>
        <w:gridCol w:w="5310"/>
        <w:gridCol w:w="5490"/>
      </w:tblGrid>
      <w:tr w:rsidR="00671A9D" w:rsidRPr="00012730" w14:paraId="026E58B9" w14:textId="77777777" w:rsidTr="005F1583">
        <w:trPr>
          <w:trHeight w:val="1624"/>
          <w:jc w:val="center"/>
        </w:trPr>
        <w:tc>
          <w:tcPr>
            <w:tcW w:w="5310" w:type="dxa"/>
            <w:tcBorders>
              <w:bottom w:val="single" w:sz="4" w:space="0" w:color="auto"/>
            </w:tcBorders>
          </w:tcPr>
          <w:p w14:paraId="1F69E1E5" w14:textId="77777777" w:rsidR="00671A9D" w:rsidRPr="00012730" w:rsidRDefault="00671A9D" w:rsidP="005A35F6">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603A4CE1" wp14:editId="37A42CE7">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490" w:type="dxa"/>
            <w:tcBorders>
              <w:bottom w:val="single" w:sz="4" w:space="0" w:color="auto"/>
            </w:tcBorders>
          </w:tcPr>
          <w:p w14:paraId="3C0BD7FF" w14:textId="77777777" w:rsidR="00671A9D" w:rsidRDefault="00671A9D" w:rsidP="005A35F6">
            <w:pPr>
              <w:rPr>
                <w:b/>
                <w:bCs/>
                <w:smallCaps/>
              </w:rPr>
            </w:pPr>
            <w:r>
              <w:rPr>
                <w:b/>
                <w:bCs/>
                <w:smallCaps/>
              </w:rPr>
              <w:t>The C</w:t>
            </w:r>
            <w:bookmarkStart w:id="0" w:name="_GoBack"/>
            <w:bookmarkEnd w:id="0"/>
            <w:r>
              <w:rPr>
                <w:b/>
                <w:bCs/>
                <w:smallCaps/>
              </w:rPr>
              <w:t>ouncil of the City of New York</w:t>
            </w:r>
          </w:p>
          <w:p w14:paraId="2D6A2841" w14:textId="77777777" w:rsidR="00671A9D" w:rsidRDefault="00671A9D" w:rsidP="005A35F6">
            <w:pPr>
              <w:rPr>
                <w:b/>
                <w:bCs/>
                <w:smallCaps/>
              </w:rPr>
            </w:pPr>
            <w:r>
              <w:rPr>
                <w:b/>
                <w:bCs/>
                <w:smallCaps/>
              </w:rPr>
              <w:t>Finance Division</w:t>
            </w:r>
          </w:p>
          <w:p w14:paraId="5C971E8D" w14:textId="77777777" w:rsidR="00671A9D" w:rsidRDefault="00671A9D" w:rsidP="005A35F6">
            <w:pPr>
              <w:spacing w:before="120"/>
              <w:rPr>
                <w:b/>
                <w:bCs/>
                <w:smallCaps/>
              </w:rPr>
            </w:pPr>
            <w:r>
              <w:rPr>
                <w:b/>
                <w:bCs/>
                <w:smallCaps/>
              </w:rPr>
              <w:t>Latonia McKinney, Director</w:t>
            </w:r>
          </w:p>
          <w:p w14:paraId="2C7BF85E" w14:textId="77777777" w:rsidR="00671A9D" w:rsidRDefault="00671A9D" w:rsidP="005A35F6">
            <w:pPr>
              <w:spacing w:before="120"/>
            </w:pPr>
            <w:r>
              <w:rPr>
                <w:b/>
                <w:bCs/>
                <w:smallCaps/>
              </w:rPr>
              <w:t>Fiscal Impact Statement</w:t>
            </w:r>
          </w:p>
          <w:p w14:paraId="2AF3EC44" w14:textId="77777777" w:rsidR="00671A9D" w:rsidRPr="00ED74D9" w:rsidRDefault="00671A9D" w:rsidP="005A35F6">
            <w:pPr>
              <w:rPr>
                <w:b/>
                <w:bCs/>
                <w:sz w:val="16"/>
                <w:szCs w:val="16"/>
              </w:rPr>
            </w:pPr>
          </w:p>
          <w:p w14:paraId="6ABBB66E" w14:textId="77777777" w:rsidR="00671A9D" w:rsidRDefault="00671A9D" w:rsidP="005A35F6">
            <w:pPr>
              <w:rPr>
                <w:b/>
                <w:bCs/>
              </w:rPr>
            </w:pPr>
            <w:r>
              <w:rPr>
                <w:b/>
                <w:bCs/>
                <w:smallCaps/>
              </w:rPr>
              <w:t xml:space="preserve">Proposed </w:t>
            </w:r>
            <w:r w:rsidRPr="00EE2325">
              <w:rPr>
                <w:b/>
                <w:bCs/>
                <w:smallCaps/>
              </w:rPr>
              <w:t>Intro. No</w:t>
            </w:r>
            <w:r>
              <w:rPr>
                <w:b/>
                <w:bCs/>
              </w:rPr>
              <w:t>: 385</w:t>
            </w:r>
            <w:r w:rsidR="00910FC0">
              <w:rPr>
                <w:b/>
                <w:bCs/>
              </w:rPr>
              <w:t>-C</w:t>
            </w:r>
          </w:p>
          <w:p w14:paraId="3E528FF9" w14:textId="77777777" w:rsidR="00671A9D" w:rsidRPr="00A267C7" w:rsidRDefault="00671A9D" w:rsidP="005A35F6">
            <w:pPr>
              <w:rPr>
                <w:color w:val="FF0000"/>
                <w:sz w:val="16"/>
                <w:szCs w:val="16"/>
              </w:rPr>
            </w:pPr>
          </w:p>
          <w:p w14:paraId="006A2086" w14:textId="77777777" w:rsidR="00671A9D" w:rsidRPr="00A267C7" w:rsidRDefault="00671A9D" w:rsidP="005A35F6">
            <w:pPr>
              <w:tabs>
                <w:tab w:val="left" w:pos="-1440"/>
              </w:tabs>
              <w:ind w:left="1440" w:hanging="1440"/>
              <w:rPr>
                <w:color w:val="FF0000"/>
              </w:rPr>
            </w:pPr>
            <w:r>
              <w:rPr>
                <w:b/>
                <w:bCs/>
                <w:smallCaps/>
              </w:rPr>
              <w:t>Committee</w:t>
            </w:r>
            <w:r>
              <w:rPr>
                <w:b/>
                <w:bCs/>
              </w:rPr>
              <w:t xml:space="preserve">: </w:t>
            </w:r>
            <w:r w:rsidRPr="00671A9D">
              <w:rPr>
                <w:b/>
                <w:bCs/>
              </w:rPr>
              <w:t>Housing and Buildings</w:t>
            </w:r>
          </w:p>
        </w:tc>
      </w:tr>
      <w:tr w:rsidR="00671A9D" w:rsidRPr="00012730" w14:paraId="27B99733" w14:textId="77777777" w:rsidTr="005F1583">
        <w:trPr>
          <w:trHeight w:val="1017"/>
          <w:jc w:val="center"/>
        </w:trPr>
        <w:tc>
          <w:tcPr>
            <w:tcW w:w="5310" w:type="dxa"/>
            <w:tcBorders>
              <w:top w:val="single" w:sz="4" w:space="0" w:color="auto"/>
            </w:tcBorders>
          </w:tcPr>
          <w:p w14:paraId="5E4E72D8" w14:textId="77777777" w:rsidR="00671A9D" w:rsidRPr="0055752E" w:rsidRDefault="00671A9D" w:rsidP="005F1583">
            <w:pPr>
              <w:shd w:val="clear" w:color="auto" w:fill="FFFFFF"/>
              <w:ind w:right="168"/>
              <w:rPr>
                <w:color w:val="000000"/>
              </w:rPr>
            </w:pPr>
            <w:r w:rsidRPr="00012730">
              <w:rPr>
                <w:b/>
                <w:bCs/>
                <w:smallCaps/>
              </w:rPr>
              <w:t>Title:</w:t>
            </w:r>
            <w:r>
              <w:rPr>
                <w:bCs/>
              </w:rPr>
              <w:t xml:space="preserve"> </w:t>
            </w:r>
            <w:r w:rsidRPr="00BD56AF">
              <w:rPr>
                <w:rFonts w:eastAsia="Calibri"/>
              </w:rPr>
              <w:t xml:space="preserve">A </w:t>
            </w:r>
            <w:r w:rsidRPr="00E30697">
              <w:rPr>
                <w:rFonts w:eastAsia="Calibri"/>
              </w:rPr>
              <w:t xml:space="preserve">Local Law </w:t>
            </w:r>
            <w:r w:rsidRPr="00671A9D">
              <w:rPr>
                <w:rFonts w:eastAsia="Calibri"/>
              </w:rPr>
              <w:t>to amend the administrative code of the city of New York, in relation to indoor asthma allergen hazards in residential dwellings and pest management, and to repeal section 27-2018 of the administrative code of the city of New York, relating to rodent and insect eradication and extermination</w:t>
            </w:r>
          </w:p>
          <w:p w14:paraId="0298B24F" w14:textId="77777777" w:rsidR="00671A9D" w:rsidRPr="0063076D" w:rsidRDefault="00671A9D" w:rsidP="005A35F6">
            <w:pPr>
              <w:autoSpaceDE w:val="0"/>
              <w:autoSpaceDN w:val="0"/>
              <w:adjustRightInd w:val="0"/>
              <w:rPr>
                <w:rFonts w:eastAsia="Calibri"/>
              </w:rPr>
            </w:pPr>
          </w:p>
        </w:tc>
        <w:tc>
          <w:tcPr>
            <w:tcW w:w="5490" w:type="dxa"/>
            <w:tcBorders>
              <w:top w:val="single" w:sz="4" w:space="0" w:color="auto"/>
            </w:tcBorders>
          </w:tcPr>
          <w:p w14:paraId="36FD1FCC" w14:textId="77777777" w:rsidR="00671A9D" w:rsidRPr="00422B5D" w:rsidRDefault="00671A9D" w:rsidP="005A35F6">
            <w:r>
              <w:rPr>
                <w:b/>
                <w:bCs/>
                <w:smallCaps/>
              </w:rPr>
              <w:t>Sponsors</w:t>
            </w:r>
            <w:r>
              <w:rPr>
                <w:b/>
                <w:bCs/>
              </w:rPr>
              <w:t xml:space="preserve">: </w:t>
            </w:r>
            <w:r w:rsidRPr="0080234B">
              <w:t xml:space="preserve">Council Members </w:t>
            </w:r>
            <w:r w:rsidRPr="00671A9D">
              <w:t xml:space="preserve">Mendez, Torres, Johnson, Chin, Constantinides, Cumbo, Koo, Reynoso, Rodriguez, Rose, Levine, Koslowitz, Rosenthal, Richards, Palma, Lander, Levin, Menchaca, Lancman, Dromm, Barron, Kallos, Ferreras-Copeland, Crowley, King, Gibson, Cabrera, Mealy, </w:t>
            </w:r>
            <w:proofErr w:type="spellStart"/>
            <w:r w:rsidRPr="00671A9D">
              <w:t>Maisel</w:t>
            </w:r>
            <w:proofErr w:type="spellEnd"/>
            <w:r w:rsidRPr="00671A9D">
              <w:t>, Miller, Cornegy, Eugene, Van Bramer, Salamanca, Gentile, Vacca, Espinal, Cohen, Williams, Garodnick, Greenfield, Treyger, Deutsch, Grodenchik, Perkins, Ulrich and the Public Advocate (Ms. James)</w:t>
            </w:r>
          </w:p>
        </w:tc>
      </w:tr>
    </w:tbl>
    <w:p w14:paraId="15EA51F4" w14:textId="77777777" w:rsidR="00671A9D" w:rsidRDefault="00671A9D" w:rsidP="005F1583">
      <w:pPr>
        <w:spacing w:before="100" w:beforeAutospacing="1"/>
      </w:pPr>
      <w:r>
        <w:rPr>
          <w:b/>
          <w:smallCaps/>
        </w:rPr>
        <w:t>Summary of Legislation:</w:t>
      </w:r>
      <w:r w:rsidR="00910FC0">
        <w:t xml:space="preserve"> Proposed Intro. No. 385-C</w:t>
      </w:r>
      <w:r>
        <w:t xml:space="preserve"> </w:t>
      </w:r>
      <w:r w:rsidRPr="004327B0">
        <w:t xml:space="preserve">would </w:t>
      </w:r>
      <w:r w:rsidR="00595EAB">
        <w:t>set</w:t>
      </w:r>
      <w:r w:rsidRPr="00671A9D">
        <w:t xml:space="preserve"> forth </w:t>
      </w:r>
      <w:r w:rsidR="007515C8">
        <w:t xml:space="preserve">property </w:t>
      </w:r>
      <w:r w:rsidRPr="00671A9D">
        <w:t>owners’ responsibilities in relation to indoor</w:t>
      </w:r>
      <w:r w:rsidR="009F735C">
        <w:t xml:space="preserve"> allergen hazards. The bill would also establish</w:t>
      </w:r>
      <w:r w:rsidRPr="00671A9D">
        <w:t xml:space="preserve"> classifications of violations </w:t>
      </w:r>
      <w:r w:rsidR="009F735C">
        <w:t xml:space="preserve">for </w:t>
      </w:r>
      <w:r w:rsidRPr="00671A9D">
        <w:t>which the Department of Housing Preservation and Development</w:t>
      </w:r>
      <w:r w:rsidR="009F735C">
        <w:t xml:space="preserve"> (HPD)</w:t>
      </w:r>
      <w:r w:rsidRPr="00671A9D">
        <w:t xml:space="preserve"> may issue </w:t>
      </w:r>
      <w:r w:rsidR="002219F7">
        <w:t>violations</w:t>
      </w:r>
      <w:r w:rsidR="002219F7" w:rsidRPr="00671A9D">
        <w:t xml:space="preserve"> </w:t>
      </w:r>
      <w:r w:rsidRPr="00671A9D">
        <w:t>for indoor</w:t>
      </w:r>
      <w:r w:rsidR="002219F7">
        <w:t xml:space="preserve"> </w:t>
      </w:r>
      <w:r w:rsidRPr="00671A9D">
        <w:t>allergen hazards and dates of correction for such violations. The bill would also require the Department of Health and Mental Hygiene (DOHMH) to report on activities to educate physicians and health care providers</w:t>
      </w:r>
      <w:r w:rsidR="002219F7">
        <w:t>,</w:t>
      </w:r>
      <w:r w:rsidRPr="00671A9D">
        <w:t xml:space="preserve"> who treat persons with asthma</w:t>
      </w:r>
      <w:r w:rsidR="002219F7">
        <w:t>,</w:t>
      </w:r>
      <w:r w:rsidRPr="00671A9D">
        <w:t xml:space="preserve"> about the role of indoor allergens in asthma exacerbation and suggest certain addresses for Departmental investigation for indoor allergen hazards. Additionally, the legislation </w:t>
      </w:r>
      <w:r w:rsidR="009F735C">
        <w:t>would require</w:t>
      </w:r>
      <w:r w:rsidRPr="00671A9D">
        <w:t xml:space="preserve"> DOHMH to take certain measures to educate persons about indoor allergen hazards.</w:t>
      </w:r>
    </w:p>
    <w:p w14:paraId="5956A99F" w14:textId="77777777" w:rsidR="005E574C" w:rsidRDefault="005E574C" w:rsidP="00671A9D">
      <w:pPr>
        <w:pStyle w:val="NoSpacing"/>
      </w:pPr>
    </w:p>
    <w:p w14:paraId="6CB62A80" w14:textId="77777777" w:rsidR="00671A9D" w:rsidRDefault="00671A9D" w:rsidP="00671A9D">
      <w:pPr>
        <w:pStyle w:val="FlushLeft"/>
      </w:pPr>
      <w:r w:rsidRPr="00012730">
        <w:rPr>
          <w:b/>
          <w:smallCaps/>
        </w:rPr>
        <w:t>Effective Date:</w:t>
      </w:r>
      <w:r>
        <w:t xml:space="preserve"> </w:t>
      </w:r>
      <w:r w:rsidRPr="00671A9D">
        <w:t xml:space="preserve">This local law </w:t>
      </w:r>
      <w:r>
        <w:t xml:space="preserve">would </w:t>
      </w:r>
      <w:r w:rsidRPr="00671A9D">
        <w:t xml:space="preserve">take effect one year after </w:t>
      </w:r>
      <w:r>
        <w:t>its enactment, except that the Commissioners of Health and Mental Hygiene and Housing Preservation and D</w:t>
      </w:r>
      <w:r w:rsidRPr="00671A9D">
        <w:t>evelopment may take such measures as are necessary for its implementation, including the promulgation of rules, before such effective date.</w:t>
      </w:r>
    </w:p>
    <w:p w14:paraId="2389665D" w14:textId="77777777" w:rsidR="00671A9D" w:rsidRPr="00012730" w:rsidRDefault="00671A9D" w:rsidP="00671A9D">
      <w:pPr>
        <w:pStyle w:val="FlushLeft"/>
      </w:pPr>
      <w:r w:rsidRPr="00012730">
        <w:rPr>
          <w:b/>
          <w:smallCaps/>
        </w:rPr>
        <w:t>Fiscal Year In Which Full Fiscal Impact Anticipated:</w:t>
      </w:r>
      <w:r>
        <w:t xml:space="preserve"> Fiscal 2020</w:t>
      </w:r>
    </w:p>
    <w:p w14:paraId="6928CCFB" w14:textId="77777777" w:rsidR="00671A9D" w:rsidRDefault="00671A9D" w:rsidP="00671A9D">
      <w:pPr>
        <w:pBdr>
          <w:top w:val="single" w:sz="4" w:space="1" w:color="auto"/>
        </w:pBdr>
        <w:spacing w:before="240"/>
        <w:rPr>
          <w:b/>
          <w:smallCaps/>
        </w:rPr>
      </w:pPr>
      <w:r w:rsidRPr="00012730">
        <w:rPr>
          <w:b/>
          <w:smallCaps/>
        </w:rPr>
        <w:t>Fiscal Impact Statement:</w:t>
      </w:r>
    </w:p>
    <w:p w14:paraId="5D4CB929" w14:textId="77777777" w:rsidR="00671A9D" w:rsidRPr="00012730" w:rsidRDefault="00671A9D" w:rsidP="00671A9D">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671A9D" w:rsidRPr="00012730" w14:paraId="5BE9CFED" w14:textId="77777777" w:rsidTr="005A35F6">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63683D06" w14:textId="77777777" w:rsidR="00671A9D" w:rsidRPr="001A6C74" w:rsidRDefault="00671A9D" w:rsidP="005A35F6">
            <w:pPr>
              <w:spacing w:line="201" w:lineRule="exact"/>
              <w:jc w:val="center"/>
              <w:rPr>
                <w:sz w:val="22"/>
                <w:szCs w:val="22"/>
              </w:rPr>
            </w:pPr>
          </w:p>
          <w:p w14:paraId="30F9F4EF" w14:textId="77777777" w:rsidR="00671A9D" w:rsidRPr="001A6C74" w:rsidRDefault="00671A9D" w:rsidP="005A35F6">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003641EE" w14:textId="77777777" w:rsidR="00671A9D" w:rsidRPr="001A6C74" w:rsidRDefault="00671A9D" w:rsidP="005A35F6">
            <w:pPr>
              <w:jc w:val="center"/>
              <w:rPr>
                <w:b/>
                <w:bCs/>
                <w:sz w:val="22"/>
                <w:szCs w:val="22"/>
              </w:rPr>
            </w:pPr>
            <w:r>
              <w:rPr>
                <w:b/>
                <w:bCs/>
                <w:sz w:val="22"/>
                <w:szCs w:val="22"/>
              </w:rPr>
              <w:t>Effective FY19</w:t>
            </w:r>
          </w:p>
          <w:p w14:paraId="3C8BF76A" w14:textId="77777777" w:rsidR="00671A9D" w:rsidRPr="001A6C74" w:rsidRDefault="00671A9D" w:rsidP="005A35F6">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609F80F0" w14:textId="77777777" w:rsidR="00671A9D" w:rsidRPr="001A6C74" w:rsidRDefault="00671A9D" w:rsidP="00671A9D">
            <w:pPr>
              <w:jc w:val="center"/>
              <w:rPr>
                <w:b/>
                <w:bCs/>
                <w:sz w:val="22"/>
                <w:szCs w:val="22"/>
              </w:rPr>
            </w:pPr>
            <w:r>
              <w:rPr>
                <w:b/>
                <w:bCs/>
                <w:sz w:val="22"/>
                <w:szCs w:val="22"/>
              </w:rPr>
              <w:t>FY Succeeding Effective FY20</w:t>
            </w:r>
          </w:p>
        </w:tc>
        <w:tc>
          <w:tcPr>
            <w:tcW w:w="1754" w:type="dxa"/>
            <w:tcBorders>
              <w:top w:val="double" w:sz="7" w:space="0" w:color="000000"/>
              <w:left w:val="single" w:sz="7" w:space="0" w:color="000000"/>
              <w:bottom w:val="single" w:sz="6" w:space="0" w:color="FFFFFF"/>
              <w:right w:val="double" w:sz="7" w:space="0" w:color="000000"/>
            </w:tcBorders>
            <w:vAlign w:val="center"/>
          </w:tcPr>
          <w:p w14:paraId="622260D6" w14:textId="77777777" w:rsidR="00671A9D" w:rsidRPr="001A6C74" w:rsidRDefault="00671A9D" w:rsidP="00671A9D">
            <w:pPr>
              <w:jc w:val="center"/>
              <w:rPr>
                <w:b/>
                <w:bCs/>
                <w:sz w:val="22"/>
                <w:szCs w:val="22"/>
              </w:rPr>
            </w:pPr>
            <w:r w:rsidRPr="001A6C74">
              <w:rPr>
                <w:b/>
                <w:bCs/>
                <w:sz w:val="22"/>
                <w:szCs w:val="22"/>
              </w:rPr>
              <w:t xml:space="preserve">Full Fiscal </w:t>
            </w:r>
            <w:r>
              <w:rPr>
                <w:b/>
                <w:bCs/>
                <w:sz w:val="22"/>
                <w:szCs w:val="22"/>
              </w:rPr>
              <w:t>Impact FY20</w:t>
            </w:r>
          </w:p>
        </w:tc>
      </w:tr>
      <w:tr w:rsidR="00392EF4" w:rsidRPr="00012730" w14:paraId="41C00285" w14:textId="77777777" w:rsidTr="005A35F6">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33DA9D4D" w14:textId="77777777" w:rsidR="00392EF4" w:rsidRPr="001A6C74" w:rsidRDefault="00392EF4" w:rsidP="00392EF4">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64D16385" w14:textId="77777777" w:rsidR="00392EF4" w:rsidRPr="00697457" w:rsidRDefault="00392EF4" w:rsidP="00392EF4">
            <w:pPr>
              <w:jc w:val="center"/>
              <w:rPr>
                <w:bCs/>
                <w:sz w:val="22"/>
                <w:szCs w:val="22"/>
              </w:rPr>
            </w:pPr>
            <w:r>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tcPr>
          <w:p w14:paraId="4FE3C945" w14:textId="77777777" w:rsidR="00392EF4" w:rsidRDefault="00392EF4" w:rsidP="00392EF4">
            <w:pPr>
              <w:jc w:val="center"/>
            </w:pPr>
            <w:r w:rsidRPr="003D20B9">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tcPr>
          <w:p w14:paraId="70AD41BE" w14:textId="77777777" w:rsidR="00392EF4" w:rsidRDefault="00392EF4" w:rsidP="00392EF4">
            <w:pPr>
              <w:jc w:val="center"/>
            </w:pPr>
            <w:r w:rsidRPr="003D20B9">
              <w:rPr>
                <w:bCs/>
                <w:sz w:val="22"/>
                <w:szCs w:val="22"/>
              </w:rPr>
              <w:t>$0</w:t>
            </w:r>
          </w:p>
        </w:tc>
      </w:tr>
      <w:tr w:rsidR="00892C0E" w:rsidRPr="00B56409" w14:paraId="1D6D3817" w14:textId="77777777" w:rsidTr="004F2291">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E2D82C0" w14:textId="77777777" w:rsidR="00892C0E" w:rsidRPr="001A6C74" w:rsidRDefault="00892C0E" w:rsidP="00892C0E">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tcPr>
          <w:p w14:paraId="32FE092B" w14:textId="77777777" w:rsidR="00892C0E" w:rsidRPr="00697457" w:rsidRDefault="006C5395" w:rsidP="00892C0E">
            <w:pPr>
              <w:jc w:val="center"/>
              <w:rPr>
                <w:sz w:val="22"/>
                <w:szCs w:val="22"/>
              </w:rPr>
            </w:pPr>
            <w:r>
              <w:rPr>
                <w:bCs/>
                <w:sz w:val="22"/>
                <w:szCs w:val="22"/>
              </w:rPr>
              <w:t>$2,12</w:t>
            </w:r>
            <w:r w:rsidR="00892C0E">
              <w:rPr>
                <w:bCs/>
                <w:sz w:val="22"/>
                <w:szCs w:val="22"/>
              </w:rPr>
              <w:t>0,000</w:t>
            </w:r>
          </w:p>
        </w:tc>
        <w:tc>
          <w:tcPr>
            <w:tcW w:w="1754" w:type="dxa"/>
            <w:tcBorders>
              <w:top w:val="single" w:sz="7" w:space="0" w:color="000000"/>
              <w:left w:val="single" w:sz="7" w:space="0" w:color="000000"/>
              <w:bottom w:val="single" w:sz="6" w:space="0" w:color="FFFFFF"/>
              <w:right w:val="single" w:sz="6" w:space="0" w:color="FFFFFF"/>
            </w:tcBorders>
          </w:tcPr>
          <w:p w14:paraId="56B2958E" w14:textId="77777777" w:rsidR="00892C0E" w:rsidRPr="00697457" w:rsidRDefault="006C5395" w:rsidP="006C5395">
            <w:pPr>
              <w:jc w:val="center"/>
              <w:rPr>
                <w:sz w:val="22"/>
                <w:szCs w:val="22"/>
              </w:rPr>
            </w:pPr>
            <w:r>
              <w:rPr>
                <w:bCs/>
                <w:sz w:val="22"/>
                <w:szCs w:val="22"/>
              </w:rPr>
              <w:t>$2,030,000</w:t>
            </w:r>
          </w:p>
        </w:tc>
        <w:tc>
          <w:tcPr>
            <w:tcW w:w="1754" w:type="dxa"/>
            <w:tcBorders>
              <w:top w:val="single" w:sz="7" w:space="0" w:color="000000"/>
              <w:left w:val="single" w:sz="7" w:space="0" w:color="000000"/>
              <w:bottom w:val="single" w:sz="6" w:space="0" w:color="FFFFFF"/>
              <w:right w:val="double" w:sz="7" w:space="0" w:color="000000"/>
            </w:tcBorders>
          </w:tcPr>
          <w:p w14:paraId="1C2047BF" w14:textId="77777777" w:rsidR="00892C0E" w:rsidRPr="00697457" w:rsidRDefault="006C5395" w:rsidP="00892C0E">
            <w:pPr>
              <w:jc w:val="center"/>
              <w:rPr>
                <w:sz w:val="22"/>
                <w:szCs w:val="22"/>
              </w:rPr>
            </w:pPr>
            <w:r>
              <w:rPr>
                <w:bCs/>
                <w:sz w:val="22"/>
                <w:szCs w:val="22"/>
              </w:rPr>
              <w:t>$2,030,000</w:t>
            </w:r>
          </w:p>
        </w:tc>
      </w:tr>
      <w:tr w:rsidR="00892C0E" w:rsidRPr="00012730" w14:paraId="25C6D828" w14:textId="77777777" w:rsidTr="004F2291">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020D8BB2" w14:textId="77777777" w:rsidR="00892C0E" w:rsidRPr="001A6C74" w:rsidRDefault="00892C0E" w:rsidP="00892C0E">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tcPr>
          <w:p w14:paraId="5CB4EE20" w14:textId="77777777" w:rsidR="00892C0E" w:rsidRPr="00697457" w:rsidRDefault="00892C0E" w:rsidP="00892C0E">
            <w:pPr>
              <w:jc w:val="center"/>
              <w:rPr>
                <w:sz w:val="22"/>
                <w:szCs w:val="22"/>
              </w:rPr>
            </w:pPr>
            <w:r>
              <w:rPr>
                <w:bCs/>
                <w:sz w:val="22"/>
                <w:szCs w:val="22"/>
              </w:rPr>
              <w:t>(</w:t>
            </w:r>
            <w:r w:rsidR="006C5395">
              <w:rPr>
                <w:bCs/>
                <w:sz w:val="22"/>
                <w:szCs w:val="22"/>
              </w:rPr>
              <w:t>$2,120,000</w:t>
            </w:r>
            <w:r>
              <w:rPr>
                <w:bCs/>
                <w:sz w:val="22"/>
                <w:szCs w:val="22"/>
              </w:rPr>
              <w:t>)</w:t>
            </w:r>
          </w:p>
        </w:tc>
        <w:tc>
          <w:tcPr>
            <w:tcW w:w="1754" w:type="dxa"/>
            <w:tcBorders>
              <w:top w:val="single" w:sz="7" w:space="0" w:color="000000"/>
              <w:left w:val="single" w:sz="7" w:space="0" w:color="000000"/>
              <w:bottom w:val="single" w:sz="7" w:space="0" w:color="000000"/>
              <w:right w:val="single" w:sz="6" w:space="0" w:color="FFFFFF"/>
            </w:tcBorders>
          </w:tcPr>
          <w:p w14:paraId="24201FE4" w14:textId="77777777" w:rsidR="00892C0E" w:rsidRPr="00697457" w:rsidRDefault="00892C0E" w:rsidP="00892C0E">
            <w:pPr>
              <w:jc w:val="center"/>
              <w:rPr>
                <w:sz w:val="22"/>
                <w:szCs w:val="22"/>
              </w:rPr>
            </w:pPr>
            <w:r>
              <w:rPr>
                <w:bCs/>
                <w:sz w:val="22"/>
                <w:szCs w:val="22"/>
              </w:rPr>
              <w:t>(</w:t>
            </w:r>
            <w:r w:rsidR="006C5395">
              <w:rPr>
                <w:bCs/>
                <w:sz w:val="22"/>
                <w:szCs w:val="22"/>
              </w:rPr>
              <w:t>$2,030,000</w:t>
            </w:r>
            <w:r>
              <w:rPr>
                <w:bCs/>
                <w:sz w:val="22"/>
                <w:szCs w:val="22"/>
              </w:rPr>
              <w:t>)</w:t>
            </w:r>
          </w:p>
        </w:tc>
        <w:tc>
          <w:tcPr>
            <w:tcW w:w="1754" w:type="dxa"/>
            <w:tcBorders>
              <w:top w:val="single" w:sz="7" w:space="0" w:color="000000"/>
              <w:left w:val="single" w:sz="7" w:space="0" w:color="000000"/>
              <w:bottom w:val="single" w:sz="7" w:space="0" w:color="000000"/>
              <w:right w:val="double" w:sz="7" w:space="0" w:color="000000"/>
            </w:tcBorders>
          </w:tcPr>
          <w:p w14:paraId="7F742546" w14:textId="77777777" w:rsidR="00892C0E" w:rsidRPr="00697457" w:rsidRDefault="00892C0E" w:rsidP="00892C0E">
            <w:pPr>
              <w:jc w:val="center"/>
              <w:rPr>
                <w:sz w:val="22"/>
                <w:szCs w:val="22"/>
              </w:rPr>
            </w:pPr>
            <w:r>
              <w:rPr>
                <w:bCs/>
                <w:sz w:val="22"/>
                <w:szCs w:val="22"/>
              </w:rPr>
              <w:t>(</w:t>
            </w:r>
            <w:r w:rsidR="006C5395">
              <w:rPr>
                <w:bCs/>
                <w:sz w:val="22"/>
                <w:szCs w:val="22"/>
              </w:rPr>
              <w:t>$2,030,000</w:t>
            </w:r>
            <w:r>
              <w:rPr>
                <w:bCs/>
                <w:sz w:val="22"/>
                <w:szCs w:val="22"/>
              </w:rPr>
              <w:t>)</w:t>
            </w:r>
          </w:p>
        </w:tc>
      </w:tr>
    </w:tbl>
    <w:p w14:paraId="585F3565" w14:textId="77777777" w:rsidR="00671A9D" w:rsidRPr="00012730" w:rsidRDefault="00671A9D" w:rsidP="008D0FDE">
      <w:pPr>
        <w:pStyle w:val="NoSpacing"/>
      </w:pPr>
    </w:p>
    <w:p w14:paraId="57904CBD" w14:textId="6A32565B" w:rsidR="008D0FDE" w:rsidRDefault="00671A9D" w:rsidP="008D0FDE">
      <w:r w:rsidRPr="00012730">
        <w:rPr>
          <w:b/>
          <w:smallCaps/>
        </w:rPr>
        <w:t>Impact on</w:t>
      </w:r>
      <w:r>
        <w:rPr>
          <w:b/>
          <w:smallCaps/>
        </w:rPr>
        <w:t xml:space="preserve"> Revenues: </w:t>
      </w:r>
      <w:r w:rsidR="00392EF4" w:rsidRPr="006846D2">
        <w:t xml:space="preserve">It </w:t>
      </w:r>
      <w:proofErr w:type="gramStart"/>
      <w:r w:rsidR="00392EF4" w:rsidRPr="006846D2">
        <w:t>is estimated</w:t>
      </w:r>
      <w:proofErr w:type="gramEnd"/>
      <w:r w:rsidR="00392EF4" w:rsidRPr="006846D2">
        <w:t xml:space="preserve"> that there would be no impact on revenues resulting from the enactment of this legislation. </w:t>
      </w:r>
      <w:proofErr w:type="gramStart"/>
      <w:r w:rsidR="00AD6C65" w:rsidRPr="00AD6C65">
        <w:t>While</w:t>
      </w:r>
      <w:r w:rsidR="00D567AB">
        <w:t xml:space="preserve"> the legislation authorizes</w:t>
      </w:r>
      <w:r w:rsidR="00AD6C65" w:rsidRPr="00AD6C65">
        <w:t xml:space="preserve"> </w:t>
      </w:r>
      <w:r w:rsidR="00AD6C65">
        <w:t>HPD</w:t>
      </w:r>
      <w:r w:rsidR="00AD6C65" w:rsidRPr="00AD6C65">
        <w:t xml:space="preserve"> </w:t>
      </w:r>
      <w:r w:rsidR="00D567AB">
        <w:t>to</w:t>
      </w:r>
      <w:r w:rsidR="00D567AB" w:rsidRPr="00AD6C65">
        <w:t xml:space="preserve"> </w:t>
      </w:r>
      <w:r w:rsidR="00AD6C65" w:rsidRPr="00AD6C65">
        <w:t>impose</w:t>
      </w:r>
      <w:r w:rsidR="00AC5071">
        <w:t xml:space="preserve"> fees </w:t>
      </w:r>
      <w:r w:rsidR="007037C9">
        <w:t>and penalties for</w:t>
      </w:r>
      <w:r w:rsidR="00AD6C65" w:rsidRPr="00AD6C65">
        <w:t xml:space="preserve"> </w:t>
      </w:r>
      <w:r w:rsidR="00AC5071">
        <w:t>f</w:t>
      </w:r>
      <w:r w:rsidR="00AC5071" w:rsidRPr="00AC5071">
        <w:t>ailure to correct a violation using integrated pest management</w:t>
      </w:r>
      <w:r w:rsidR="00FB48C0">
        <w:t xml:space="preserve"> of $500 per day and up to $10,000, and penalties of $2,000 to $10,000 for each violation for the f</w:t>
      </w:r>
      <w:r w:rsidR="00FB48C0" w:rsidRPr="00AC5071">
        <w:t>alse certificati</w:t>
      </w:r>
      <w:r w:rsidR="00FB48C0">
        <w:t>on of correction of a violation</w:t>
      </w:r>
      <w:r w:rsidR="00AD6C65">
        <w:t>, t</w:t>
      </w:r>
      <w:r w:rsidR="00392EF4" w:rsidRPr="00C5050C">
        <w:t>his estimate assumes residential property owners would fully comply with the provisions of this legislation.</w:t>
      </w:r>
      <w:proofErr w:type="gramEnd"/>
    </w:p>
    <w:p w14:paraId="55DCE1D3" w14:textId="77777777" w:rsidR="007515C8" w:rsidRPr="008D0FDE" w:rsidRDefault="007515C8" w:rsidP="008D0FDE"/>
    <w:p w14:paraId="15D03C76" w14:textId="77777777" w:rsidR="00BB24F1" w:rsidRDefault="00671A9D" w:rsidP="0098663A">
      <w:r w:rsidRPr="001007F0">
        <w:rPr>
          <w:b/>
          <w:smallCaps/>
        </w:rPr>
        <w:t xml:space="preserve">Impact on expenditures: </w:t>
      </w:r>
      <w:r w:rsidR="00097646" w:rsidRPr="00D80D88">
        <w:t xml:space="preserve">It </w:t>
      </w:r>
      <w:proofErr w:type="gramStart"/>
      <w:r w:rsidR="00097646" w:rsidRPr="00D80D88">
        <w:t>is anticipated</w:t>
      </w:r>
      <w:proofErr w:type="gramEnd"/>
      <w:r w:rsidR="00097646" w:rsidRPr="00D80D88">
        <w:t xml:space="preserve"> that</w:t>
      </w:r>
      <w:r w:rsidR="00957A8F">
        <w:t xml:space="preserve"> the enactment of this legislation would result in </w:t>
      </w:r>
      <w:r w:rsidR="00D109CC">
        <w:t>additional inspections</w:t>
      </w:r>
      <w:r w:rsidR="00923D13">
        <w:t xml:space="preserve"> and administrative costs for HPD and DOHMH. </w:t>
      </w:r>
      <w:r w:rsidR="004A7BBC">
        <w:t>While t</w:t>
      </w:r>
      <w:r w:rsidR="00136866" w:rsidRPr="00136866">
        <w:t xml:space="preserve">his estimate assumes that non-City entities </w:t>
      </w:r>
      <w:r w:rsidR="00136866" w:rsidRPr="00136866">
        <w:lastRenderedPageBreak/>
        <w:t xml:space="preserve">would largely bear the costs of </w:t>
      </w:r>
      <w:r w:rsidR="00520BB7">
        <w:t xml:space="preserve">pest management and </w:t>
      </w:r>
      <w:r w:rsidR="00136866">
        <w:t>indoor allergen r</w:t>
      </w:r>
      <w:r w:rsidR="004A7BBC">
        <w:t>emediation, under the legislation, HPD would be required to re</w:t>
      </w:r>
      <w:r w:rsidR="00C4563E">
        <w:t>-</w:t>
      </w:r>
      <w:r w:rsidR="004A7BBC">
        <w:t xml:space="preserve">inspect new indoor allergen violations to verify </w:t>
      </w:r>
      <w:r w:rsidR="00E37A1C">
        <w:t>the correction of hazardous and immediately hazardous</w:t>
      </w:r>
      <w:r w:rsidR="004A7BBC">
        <w:t xml:space="preserve"> violations. </w:t>
      </w:r>
      <w:r w:rsidR="00EF6A64">
        <w:t>According to an analysis conducted by the New York City Independent Budget Office</w:t>
      </w:r>
      <w:r w:rsidR="00FB48C0">
        <w:t xml:space="preserve"> (IBO)</w:t>
      </w:r>
      <w:r w:rsidR="00EF6A64">
        <w:t xml:space="preserve">, </w:t>
      </w:r>
      <w:r w:rsidR="00FC4B9F">
        <w:t xml:space="preserve">the cost of additional inspections and administrative expenses </w:t>
      </w:r>
      <w:r w:rsidR="00EF6A64">
        <w:t>that HPD would incur</w:t>
      </w:r>
      <w:r w:rsidR="00FC4B9F">
        <w:t xml:space="preserve"> </w:t>
      </w:r>
      <w:proofErr w:type="gramStart"/>
      <w:r w:rsidR="00FC4B9F">
        <w:t>is estimated</w:t>
      </w:r>
      <w:proofErr w:type="gramEnd"/>
      <w:r w:rsidR="00FC4B9F">
        <w:t xml:space="preserve"> to be</w:t>
      </w:r>
      <w:r w:rsidR="00EF6A64">
        <w:t xml:space="preserve"> $1.6 million annually</w:t>
      </w:r>
      <w:r w:rsidR="00FC4B9F">
        <w:t xml:space="preserve">. </w:t>
      </w:r>
      <w:r w:rsidR="00E37A1C">
        <w:t xml:space="preserve">In addition, </w:t>
      </w:r>
      <w:r w:rsidR="00422018">
        <w:t xml:space="preserve">while </w:t>
      </w:r>
      <w:r w:rsidR="00E37A1C">
        <w:t>the legislation authorizes HPD to take enforcement action</w:t>
      </w:r>
      <w:r w:rsidR="00971C41">
        <w:t xml:space="preserve"> where such viol</w:t>
      </w:r>
      <w:r w:rsidR="00422018">
        <w:t xml:space="preserve">ations </w:t>
      </w:r>
      <w:proofErr w:type="gramStart"/>
      <w:r w:rsidR="00422018">
        <w:t>have not been correct</w:t>
      </w:r>
      <w:r w:rsidR="00753DD9">
        <w:t>ed</w:t>
      </w:r>
      <w:proofErr w:type="gramEnd"/>
      <w:r w:rsidR="00753DD9">
        <w:t>, such action is not mandated.</w:t>
      </w:r>
      <w:r w:rsidR="00BB24F1">
        <w:t xml:space="preserve"> Although,</w:t>
      </w:r>
      <w:r w:rsidR="00753DD9">
        <w:t xml:space="preserve"> </w:t>
      </w:r>
      <w:r w:rsidR="00FB48C0">
        <w:t xml:space="preserve">IBO estimates that </w:t>
      </w:r>
      <w:r w:rsidR="00BB24F1">
        <w:t xml:space="preserve">if HPD elects to make emergency repairs for immediately hazardous violations </w:t>
      </w:r>
      <w:r w:rsidR="00EB0154">
        <w:t>at the current rate of repairs</w:t>
      </w:r>
      <w:r w:rsidR="003F5C03">
        <w:t xml:space="preserve">, these additional repairs would cost about $1.9 million annually. </w:t>
      </w:r>
    </w:p>
    <w:p w14:paraId="70AC486A" w14:textId="77777777" w:rsidR="00136866" w:rsidRDefault="00136866" w:rsidP="0098663A"/>
    <w:p w14:paraId="1C630AA3" w14:textId="77777777" w:rsidR="00671A9D" w:rsidRPr="00136866" w:rsidRDefault="002E76C2" w:rsidP="00671A9D">
      <w:r>
        <w:t xml:space="preserve">In addition to costs borne by HPD, it </w:t>
      </w:r>
      <w:proofErr w:type="gramStart"/>
      <w:r>
        <w:t>is anticipated</w:t>
      </w:r>
      <w:proofErr w:type="gramEnd"/>
      <w:r>
        <w:t xml:space="preserve"> that DOHMH </w:t>
      </w:r>
      <w:r w:rsidR="0018615D">
        <w:t>would incur $520,000 in upfront costs</w:t>
      </w:r>
      <w:r w:rsidR="00AA47FD">
        <w:t xml:space="preserve"> and $430,000 in annual costs thereafter</w:t>
      </w:r>
      <w:r>
        <w:t xml:space="preserve"> related to the development of educational material </w:t>
      </w:r>
      <w:r w:rsidR="00BF2060">
        <w:t xml:space="preserve">explaining the hazards associated with indoor allergens </w:t>
      </w:r>
      <w:r>
        <w:t xml:space="preserve">and training curriculum </w:t>
      </w:r>
      <w:r w:rsidR="00BF2060">
        <w:t>for residential property owners and maintenance</w:t>
      </w:r>
      <w:r w:rsidR="00AA771C">
        <w:t xml:space="preserve"> staff related to the removal of indoor allergens. </w:t>
      </w:r>
      <w:r w:rsidR="00671A9D" w:rsidRPr="00136866">
        <w:t xml:space="preserve">Lastly, it </w:t>
      </w:r>
      <w:proofErr w:type="gramStart"/>
      <w:r w:rsidR="00671A9D" w:rsidRPr="00136866">
        <w:t>is anticipated</w:t>
      </w:r>
      <w:proofErr w:type="gramEnd"/>
      <w:r w:rsidR="00671A9D" w:rsidRPr="00136866">
        <w:t xml:space="preserve"> that the reporting, </w:t>
      </w:r>
      <w:r w:rsidR="00C8048D" w:rsidRPr="00136866">
        <w:t>recommendations</w:t>
      </w:r>
      <w:r w:rsidR="00671A9D" w:rsidRPr="00136866">
        <w:t xml:space="preserve"> and other administrative requirements of this legislation would be implemented using existing resources.</w:t>
      </w:r>
    </w:p>
    <w:p w14:paraId="1E9BDA12" w14:textId="77777777" w:rsidR="00671A9D" w:rsidRDefault="00671A9D" w:rsidP="00671A9D">
      <w:pPr>
        <w:spacing w:before="240"/>
      </w:pPr>
      <w:r w:rsidRPr="00012730">
        <w:rPr>
          <w:b/>
          <w:smallCaps/>
        </w:rPr>
        <w:t>Source of Funds To Cover Estimated Costs:</w:t>
      </w:r>
      <w:r>
        <w:t xml:space="preserve"> General Fund </w:t>
      </w:r>
    </w:p>
    <w:p w14:paraId="5C09A99F" w14:textId="77777777" w:rsidR="00671A9D" w:rsidRDefault="00671A9D" w:rsidP="00671A9D">
      <w:pPr>
        <w:pStyle w:val="NoSpacing"/>
        <w:rPr>
          <w:b/>
          <w:smallCaps/>
        </w:rPr>
      </w:pPr>
    </w:p>
    <w:p w14:paraId="79BD24BB" w14:textId="77777777" w:rsidR="00671A9D" w:rsidRDefault="00671A9D" w:rsidP="00671A9D">
      <w:pPr>
        <w:pStyle w:val="NoSpacing"/>
      </w:pPr>
      <w:r w:rsidRPr="00ED532F">
        <w:rPr>
          <w:b/>
          <w:smallCaps/>
        </w:rPr>
        <w:t>Source of Information:</w:t>
      </w:r>
      <w:r>
        <w:t xml:space="preserve"> </w:t>
      </w:r>
      <w:r w:rsidRPr="00ED532F">
        <w:t>New</w:t>
      </w:r>
      <w:r w:rsidRPr="006941EE">
        <w:t xml:space="preserve"> York City Council Finance Division</w:t>
      </w:r>
    </w:p>
    <w:p w14:paraId="68371051" w14:textId="77777777" w:rsidR="00671A9D" w:rsidRDefault="00671A9D" w:rsidP="00671A9D">
      <w:pPr>
        <w:pStyle w:val="NoSpacing"/>
        <w:ind w:left="2040" w:firstLine="720"/>
      </w:pPr>
      <w:r>
        <w:t xml:space="preserve">New York City Independent Budget Office </w:t>
      </w:r>
    </w:p>
    <w:p w14:paraId="2379F355" w14:textId="77777777" w:rsidR="00671A9D" w:rsidRDefault="00671A9D" w:rsidP="0060134A">
      <w:pPr>
        <w:pStyle w:val="NoSpacing"/>
      </w:pPr>
      <w:r w:rsidRPr="00BD56AF">
        <w:tab/>
      </w:r>
      <w:r w:rsidR="0060134A">
        <w:tab/>
      </w:r>
      <w:r w:rsidR="0060134A">
        <w:tab/>
        <w:t xml:space="preserve">          New York City </w:t>
      </w:r>
      <w:r w:rsidR="0060134A" w:rsidRPr="0060134A">
        <w:t>Department of Housing Preservation and Development</w:t>
      </w:r>
    </w:p>
    <w:p w14:paraId="1878B9AE" w14:textId="77777777" w:rsidR="0060134A" w:rsidRPr="00975779" w:rsidRDefault="0060134A" w:rsidP="0060134A">
      <w:pPr>
        <w:pStyle w:val="NoSpacing"/>
      </w:pPr>
    </w:p>
    <w:p w14:paraId="6A780BB8" w14:textId="77777777" w:rsidR="00671A9D" w:rsidRPr="00012730" w:rsidRDefault="00671A9D" w:rsidP="00671A9D">
      <w:pPr>
        <w:pStyle w:val="NoSpacing"/>
      </w:pPr>
      <w:r w:rsidRPr="00012730">
        <w:rPr>
          <w:b/>
          <w:smallCaps/>
        </w:rPr>
        <w:t xml:space="preserve">Estimate Prepared </w:t>
      </w:r>
      <w:r>
        <w:rPr>
          <w:b/>
          <w:smallCaps/>
        </w:rPr>
        <w:t>b</w:t>
      </w:r>
      <w:r w:rsidRPr="00012730">
        <w:rPr>
          <w:b/>
          <w:smallCaps/>
        </w:rPr>
        <w:t>y:</w:t>
      </w:r>
      <w:r w:rsidRPr="00012730">
        <w:rPr>
          <w:b/>
          <w:smallCaps/>
        </w:rPr>
        <w:tab/>
      </w:r>
      <w:r>
        <w:t xml:space="preserve">Sarah Gastelum, Principal Financial Analyst </w:t>
      </w:r>
    </w:p>
    <w:p w14:paraId="1A6684F0" w14:textId="77777777" w:rsidR="00671A9D" w:rsidRPr="00012730" w:rsidRDefault="00671A9D" w:rsidP="00671A9D">
      <w:r w:rsidRPr="00012730">
        <w:rPr>
          <w:b/>
          <w:smallCaps/>
        </w:rPr>
        <w:tab/>
      </w:r>
      <w:r w:rsidRPr="00012730">
        <w:rPr>
          <w:b/>
          <w:smallCaps/>
        </w:rPr>
        <w:tab/>
      </w:r>
      <w:r w:rsidRPr="00012730">
        <w:rPr>
          <w:b/>
          <w:smallCaps/>
        </w:rPr>
        <w:tab/>
      </w:r>
      <w:r w:rsidRPr="00012730">
        <w:rPr>
          <w:b/>
          <w:smallCaps/>
        </w:rPr>
        <w:tab/>
      </w:r>
      <w:r w:rsidRPr="00012730">
        <w:rPr>
          <w:b/>
          <w:smallCaps/>
        </w:rPr>
        <w:tab/>
      </w:r>
    </w:p>
    <w:p w14:paraId="6A069EA9" w14:textId="77777777" w:rsidR="00671A9D" w:rsidRDefault="00671A9D" w:rsidP="00671A9D">
      <w:r w:rsidRPr="00012730">
        <w:rPr>
          <w:b/>
          <w:smallCaps/>
        </w:rPr>
        <w:t xml:space="preserve">Estimated Reviewed </w:t>
      </w:r>
      <w:r>
        <w:rPr>
          <w:b/>
          <w:smallCaps/>
        </w:rPr>
        <w:t>b</w:t>
      </w:r>
      <w:r w:rsidRPr="00012730">
        <w:rPr>
          <w:b/>
          <w:smallCaps/>
        </w:rPr>
        <w:t>y:</w:t>
      </w:r>
      <w:r w:rsidRPr="00012730">
        <w:rPr>
          <w:b/>
          <w:smallCaps/>
        </w:rPr>
        <w:tab/>
      </w:r>
      <w:r>
        <w:t>Chima Obichere</w:t>
      </w:r>
      <w:r w:rsidRPr="00012730">
        <w:t xml:space="preserve">, </w:t>
      </w:r>
      <w:r>
        <w:t xml:space="preserve">Unit Head </w:t>
      </w:r>
    </w:p>
    <w:p w14:paraId="1B01B16F" w14:textId="77777777" w:rsidR="00671A9D" w:rsidRPr="000373EA" w:rsidRDefault="00671A9D" w:rsidP="00671A9D">
      <w:r>
        <w:tab/>
      </w:r>
      <w:r>
        <w:tab/>
      </w:r>
      <w:r>
        <w:tab/>
      </w:r>
      <w:r>
        <w:tab/>
        <w:t xml:space="preserve">Rebecca Chasan, Counsel </w:t>
      </w:r>
    </w:p>
    <w:p w14:paraId="2B00A25A" w14:textId="77777777" w:rsidR="00671A9D" w:rsidRDefault="00671A9D" w:rsidP="00671A9D">
      <w:pPr>
        <w:spacing w:before="240" w:after="240"/>
      </w:pPr>
      <w:r w:rsidRPr="00012730">
        <w:rPr>
          <w:b/>
          <w:smallCaps/>
        </w:rPr>
        <w:t>Legislative History:</w:t>
      </w:r>
      <w:r>
        <w:t xml:space="preserve"> </w:t>
      </w:r>
      <w:r w:rsidRPr="00671A9D">
        <w:t xml:space="preserve">This legislation </w:t>
      </w:r>
      <w:proofErr w:type="gramStart"/>
      <w:r w:rsidRPr="00671A9D">
        <w:t>was introduced</w:t>
      </w:r>
      <w:proofErr w:type="gramEnd"/>
      <w:r w:rsidRPr="00671A9D">
        <w:t xml:space="preserve"> to the full Council on </w:t>
      </w:r>
      <w:r>
        <w:t xml:space="preserve">June 11, 2014 </w:t>
      </w:r>
      <w:r w:rsidRPr="00671A9D">
        <w:t xml:space="preserve">as Intro. No. </w:t>
      </w:r>
      <w:r>
        <w:t xml:space="preserve">385 </w:t>
      </w:r>
      <w:r w:rsidRPr="00671A9D">
        <w:t xml:space="preserve">and was referred to the Committee on Housing and Buildings (Committee). </w:t>
      </w:r>
      <w:r>
        <w:t xml:space="preserve">The bill </w:t>
      </w:r>
      <w:proofErr w:type="gramStart"/>
      <w:r>
        <w:t>was amended</w:t>
      </w:r>
      <w:proofErr w:type="gramEnd"/>
      <w:r>
        <w:t xml:space="preserve"> twice after introduction and a </w:t>
      </w:r>
      <w:r w:rsidRPr="00CC7A88">
        <w:t>hearing</w:t>
      </w:r>
      <w:r>
        <w:t xml:space="preserve"> on the amended legislation, Proposed Intro. </w:t>
      </w:r>
      <w:proofErr w:type="gramStart"/>
      <w:r>
        <w:t>No. 385-B,</w:t>
      </w:r>
      <w:r w:rsidRPr="00CC7A88">
        <w:t xml:space="preserve"> was held by the</w:t>
      </w:r>
      <w:r>
        <w:t xml:space="preserve"> </w:t>
      </w:r>
      <w:r w:rsidRPr="00CC7A88">
        <w:t>Com</w:t>
      </w:r>
      <w:r>
        <w:t>mittee</w:t>
      </w:r>
      <w:proofErr w:type="gramEnd"/>
      <w:r>
        <w:t xml:space="preserve"> </w:t>
      </w:r>
      <w:r w:rsidRPr="00CC7A88">
        <w:t xml:space="preserve">on </w:t>
      </w:r>
      <w:r>
        <w:t xml:space="preserve">June 13, 2017 </w:t>
      </w:r>
      <w:r w:rsidRPr="00CC7A88">
        <w:t xml:space="preserve">and the bill was laid over. The legislation </w:t>
      </w:r>
      <w:proofErr w:type="gramStart"/>
      <w:r w:rsidRPr="00CC7A88">
        <w:t>was</w:t>
      </w:r>
      <w:r>
        <w:t xml:space="preserve"> subsequently</w:t>
      </w:r>
      <w:r w:rsidRPr="00CC7A88">
        <w:t xml:space="preserve"> amended</w:t>
      </w:r>
      <w:proofErr w:type="gramEnd"/>
      <w:r>
        <w:t xml:space="preserve"> once more and the most recently amended legislation, Proposed Intro. </w:t>
      </w:r>
      <w:proofErr w:type="gramStart"/>
      <w:r>
        <w:t>No. 385-C</w:t>
      </w:r>
      <w:r w:rsidRPr="005303B8">
        <w:t>, will be voted on by the Committee</w:t>
      </w:r>
      <w:proofErr w:type="gramEnd"/>
      <w:r w:rsidRPr="005303B8">
        <w:t xml:space="preserve"> on </w:t>
      </w:r>
      <w:r>
        <w:t>December 18</w:t>
      </w:r>
      <w:r w:rsidRPr="00210361">
        <w:t>, 2017.</w:t>
      </w:r>
      <w:r w:rsidRPr="005303B8">
        <w:t xml:space="preserve"> Upon a successful vote by the Committee, Proposed Intro. No. </w:t>
      </w:r>
      <w:r>
        <w:t>385-C</w:t>
      </w:r>
      <w:r w:rsidRPr="005303B8">
        <w:t xml:space="preserve"> </w:t>
      </w:r>
      <w:proofErr w:type="gramStart"/>
      <w:r w:rsidRPr="005303B8">
        <w:t>will be submitted</w:t>
      </w:r>
      <w:proofErr w:type="gramEnd"/>
      <w:r w:rsidRPr="005303B8">
        <w:t xml:space="preserve"> to the full Council for a vote on </w:t>
      </w:r>
      <w:r>
        <w:t>December 19</w:t>
      </w:r>
      <w:r w:rsidRPr="005303B8">
        <w:t>, 2017.</w:t>
      </w:r>
    </w:p>
    <w:p w14:paraId="526124EB" w14:textId="77777777" w:rsidR="00671A9D" w:rsidRDefault="00671A9D" w:rsidP="00671A9D">
      <w:r>
        <w:rPr>
          <w:b/>
          <w:smallCaps/>
        </w:rPr>
        <w:t>Date</w:t>
      </w:r>
      <w:r w:rsidRPr="00012730">
        <w:rPr>
          <w:b/>
          <w:smallCaps/>
        </w:rPr>
        <w:t xml:space="preserve"> Prepared</w:t>
      </w:r>
      <w:r>
        <w:rPr>
          <w:b/>
          <w:smallCaps/>
        </w:rPr>
        <w:t>:</w:t>
      </w:r>
      <w:r w:rsidRPr="00685FE7">
        <w:t xml:space="preserve"> </w:t>
      </w:r>
      <w:r>
        <w:t>December 15, 2017</w:t>
      </w:r>
    </w:p>
    <w:p w14:paraId="73D23D7C" w14:textId="77777777" w:rsidR="00671A9D" w:rsidRDefault="00671A9D" w:rsidP="00671A9D"/>
    <w:p w14:paraId="638DB063" w14:textId="77777777" w:rsidR="00671A9D" w:rsidRDefault="00671A9D" w:rsidP="00671A9D"/>
    <w:p w14:paraId="4DB4A6FF" w14:textId="77777777" w:rsidR="00671A9D" w:rsidRDefault="00671A9D" w:rsidP="00671A9D"/>
    <w:p w14:paraId="26776718" w14:textId="77777777" w:rsidR="00671A9D" w:rsidRDefault="00671A9D" w:rsidP="00671A9D"/>
    <w:p w14:paraId="4DBAD11F" w14:textId="77777777" w:rsidR="00671A9D" w:rsidRDefault="00671A9D" w:rsidP="00671A9D"/>
    <w:p w14:paraId="12F55E18" w14:textId="77777777" w:rsidR="00671A9D" w:rsidRDefault="00671A9D" w:rsidP="00671A9D"/>
    <w:p w14:paraId="6A276B4D" w14:textId="77777777" w:rsidR="00671A9D" w:rsidRDefault="00671A9D" w:rsidP="00671A9D"/>
    <w:p w14:paraId="054C45BD" w14:textId="77777777" w:rsidR="00671A9D" w:rsidRDefault="00671A9D" w:rsidP="00671A9D"/>
    <w:p w14:paraId="5A1C1230" w14:textId="77777777" w:rsidR="00671A9D" w:rsidRDefault="00671A9D" w:rsidP="00671A9D"/>
    <w:p w14:paraId="01F2B3ED" w14:textId="77777777" w:rsidR="00671A9D" w:rsidRDefault="00671A9D" w:rsidP="00671A9D"/>
    <w:p w14:paraId="56ED4192" w14:textId="77777777" w:rsidR="00671A9D" w:rsidRDefault="00671A9D" w:rsidP="00671A9D"/>
    <w:p w14:paraId="66F959E7" w14:textId="77777777" w:rsidR="00671A9D" w:rsidRDefault="00671A9D" w:rsidP="00671A9D"/>
    <w:p w14:paraId="06FAD7ED" w14:textId="77777777" w:rsidR="00634FF8" w:rsidRDefault="00634FF8"/>
    <w:sectPr w:rsidR="00634FF8" w:rsidSect="005F1583">
      <w:footerReference w:type="default" r:id="rId7"/>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3A52" w14:textId="77777777" w:rsidR="00144F77" w:rsidRDefault="00144F77" w:rsidP="00671A9D">
      <w:r>
        <w:separator/>
      </w:r>
    </w:p>
  </w:endnote>
  <w:endnote w:type="continuationSeparator" w:id="0">
    <w:p w14:paraId="0155173B" w14:textId="77777777" w:rsidR="00144F77" w:rsidRDefault="00144F77" w:rsidP="0067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BB8C" w14:textId="4C16988F" w:rsidR="00284CB5" w:rsidRPr="0080234B" w:rsidRDefault="007515C8">
    <w:pPr>
      <w:pStyle w:val="Footer"/>
      <w:pBdr>
        <w:top w:val="thinThickSmallGap" w:sz="24" w:space="1" w:color="823B0B" w:themeColor="accent2" w:themeShade="7F"/>
      </w:pBdr>
      <w:rPr>
        <w:rFonts w:eastAsiaTheme="majorEastAsia"/>
      </w:rPr>
    </w:pPr>
    <w:r w:rsidRPr="0080234B">
      <w:t>Proposed Intro.</w:t>
    </w:r>
    <w:r>
      <w:t xml:space="preserve"> No.</w:t>
    </w:r>
    <w:r w:rsidRPr="0080234B">
      <w:t xml:space="preserve"> </w:t>
    </w:r>
    <w:r w:rsidR="00671A9D">
      <w:t>385</w:t>
    </w:r>
    <w:r w:rsidR="00910FC0">
      <w:t>-C</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5F1583" w:rsidRPr="005F1583">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7E35" w14:textId="77777777" w:rsidR="00144F77" w:rsidRDefault="00144F77" w:rsidP="00671A9D">
      <w:r>
        <w:separator/>
      </w:r>
    </w:p>
  </w:footnote>
  <w:footnote w:type="continuationSeparator" w:id="0">
    <w:p w14:paraId="4A0CFA4F" w14:textId="77777777" w:rsidR="00144F77" w:rsidRDefault="00144F77" w:rsidP="00671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9D"/>
    <w:rsid w:val="00097646"/>
    <w:rsid w:val="000D3262"/>
    <w:rsid w:val="00136866"/>
    <w:rsid w:val="00144703"/>
    <w:rsid w:val="00144F77"/>
    <w:rsid w:val="0018615D"/>
    <w:rsid w:val="00194B69"/>
    <w:rsid w:val="0021768D"/>
    <w:rsid w:val="002219F7"/>
    <w:rsid w:val="002E76C2"/>
    <w:rsid w:val="00392EF4"/>
    <w:rsid w:val="003F5C03"/>
    <w:rsid w:val="00422018"/>
    <w:rsid w:val="004A7BBC"/>
    <w:rsid w:val="00520BB7"/>
    <w:rsid w:val="00595EAB"/>
    <w:rsid w:val="005E574C"/>
    <w:rsid w:val="005F0F06"/>
    <w:rsid w:val="005F1583"/>
    <w:rsid w:val="0060134A"/>
    <w:rsid w:val="00634FF8"/>
    <w:rsid w:val="00671A9D"/>
    <w:rsid w:val="006C5395"/>
    <w:rsid w:val="006C7ED5"/>
    <w:rsid w:val="007037C9"/>
    <w:rsid w:val="007515C8"/>
    <w:rsid w:val="00753DD9"/>
    <w:rsid w:val="007B5302"/>
    <w:rsid w:val="007F3734"/>
    <w:rsid w:val="00892C0E"/>
    <w:rsid w:val="008D0FDE"/>
    <w:rsid w:val="008D5BD5"/>
    <w:rsid w:val="00910FC0"/>
    <w:rsid w:val="00923D13"/>
    <w:rsid w:val="00957A8F"/>
    <w:rsid w:val="00971C41"/>
    <w:rsid w:val="0098663A"/>
    <w:rsid w:val="009E4DE5"/>
    <w:rsid w:val="009F735C"/>
    <w:rsid w:val="00AA47FD"/>
    <w:rsid w:val="00AA771C"/>
    <w:rsid w:val="00AC5071"/>
    <w:rsid w:val="00AD6C65"/>
    <w:rsid w:val="00BB24F1"/>
    <w:rsid w:val="00BF2060"/>
    <w:rsid w:val="00C4563E"/>
    <w:rsid w:val="00C8048D"/>
    <w:rsid w:val="00D109CC"/>
    <w:rsid w:val="00D567AB"/>
    <w:rsid w:val="00D71ED3"/>
    <w:rsid w:val="00E37A1C"/>
    <w:rsid w:val="00EB0154"/>
    <w:rsid w:val="00EF6A64"/>
    <w:rsid w:val="00F74F04"/>
    <w:rsid w:val="00FB48C0"/>
    <w:rsid w:val="00FC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1906"/>
  <w15:chartTrackingRefBased/>
  <w15:docId w15:val="{965EBA6D-42CE-4A3F-8C98-8731DC05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9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1A9D"/>
    <w:pPr>
      <w:tabs>
        <w:tab w:val="center" w:pos="4680"/>
        <w:tab w:val="right" w:pos="9360"/>
      </w:tabs>
    </w:pPr>
  </w:style>
  <w:style w:type="character" w:customStyle="1" w:styleId="FooterChar">
    <w:name w:val="Footer Char"/>
    <w:basedOn w:val="DefaultParagraphFont"/>
    <w:link w:val="Footer"/>
    <w:uiPriority w:val="99"/>
    <w:rsid w:val="00671A9D"/>
    <w:rPr>
      <w:rFonts w:ascii="Times New Roman" w:eastAsia="Times New Roman" w:hAnsi="Times New Roman" w:cs="Times New Roman"/>
      <w:sz w:val="24"/>
      <w:szCs w:val="24"/>
    </w:rPr>
  </w:style>
  <w:style w:type="paragraph" w:styleId="NoSpacing">
    <w:name w:val="No Spacing"/>
    <w:uiPriority w:val="1"/>
    <w:qFormat/>
    <w:rsid w:val="00671A9D"/>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671A9D"/>
    <w:pPr>
      <w:suppressAutoHyphens/>
      <w:spacing w:after="240"/>
    </w:pPr>
    <w:rPr>
      <w:szCs w:val="20"/>
    </w:rPr>
  </w:style>
  <w:style w:type="paragraph" w:styleId="Header">
    <w:name w:val="header"/>
    <w:basedOn w:val="Normal"/>
    <w:link w:val="HeaderChar"/>
    <w:uiPriority w:val="99"/>
    <w:unhideWhenUsed/>
    <w:rsid w:val="00671A9D"/>
    <w:pPr>
      <w:tabs>
        <w:tab w:val="center" w:pos="4680"/>
        <w:tab w:val="right" w:pos="9360"/>
      </w:tabs>
    </w:pPr>
  </w:style>
  <w:style w:type="character" w:customStyle="1" w:styleId="HeaderChar">
    <w:name w:val="Header Char"/>
    <w:basedOn w:val="DefaultParagraphFont"/>
    <w:link w:val="Header"/>
    <w:uiPriority w:val="99"/>
    <w:rsid w:val="00671A9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67AB"/>
    <w:rPr>
      <w:sz w:val="16"/>
      <w:szCs w:val="16"/>
    </w:rPr>
  </w:style>
  <w:style w:type="paragraph" w:styleId="CommentText">
    <w:name w:val="annotation text"/>
    <w:basedOn w:val="Normal"/>
    <w:link w:val="CommentTextChar"/>
    <w:uiPriority w:val="99"/>
    <w:semiHidden/>
    <w:unhideWhenUsed/>
    <w:rsid w:val="00D567AB"/>
    <w:rPr>
      <w:sz w:val="20"/>
      <w:szCs w:val="20"/>
    </w:rPr>
  </w:style>
  <w:style w:type="character" w:customStyle="1" w:styleId="CommentTextChar">
    <w:name w:val="Comment Text Char"/>
    <w:basedOn w:val="DefaultParagraphFont"/>
    <w:link w:val="CommentText"/>
    <w:uiPriority w:val="99"/>
    <w:semiHidden/>
    <w:rsid w:val="00D567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67AB"/>
    <w:rPr>
      <w:b/>
      <w:bCs/>
    </w:rPr>
  </w:style>
  <w:style w:type="character" w:customStyle="1" w:styleId="CommentSubjectChar">
    <w:name w:val="Comment Subject Char"/>
    <w:basedOn w:val="CommentTextChar"/>
    <w:link w:val="CommentSubject"/>
    <w:uiPriority w:val="99"/>
    <w:semiHidden/>
    <w:rsid w:val="00D567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6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3</cp:revision>
  <dcterms:created xsi:type="dcterms:W3CDTF">2017-12-18T21:08:00Z</dcterms:created>
  <dcterms:modified xsi:type="dcterms:W3CDTF">2017-12-19T14:33:00Z</dcterms:modified>
</cp:coreProperties>
</file>