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5400"/>
        <w:gridCol w:w="5475"/>
      </w:tblGrid>
      <w:tr w:rsidR="00902A93" w:rsidRPr="00012730" w14:paraId="03C2D814" w14:textId="77777777" w:rsidTr="00614B6D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42DE6F40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707A7FB5" wp14:editId="26823E2A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ED279" w14:textId="77777777" w:rsidR="00902A93" w:rsidRPr="00012730" w:rsidRDefault="00902A93" w:rsidP="002A7A09"/>
        </w:tc>
        <w:tc>
          <w:tcPr>
            <w:tcW w:w="5475" w:type="dxa"/>
            <w:tcBorders>
              <w:bottom w:val="single" w:sz="4" w:space="0" w:color="auto"/>
            </w:tcBorders>
          </w:tcPr>
          <w:p w14:paraId="52BD5F32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45F9E8F1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F6A2EFC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47992D52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5A6C9055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11E9FC27" w14:textId="442C4ABA" w:rsidR="00810F48" w:rsidRPr="00A267C7" w:rsidRDefault="0055621B" w:rsidP="00810F4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="00810F48">
              <w:rPr>
                <w:b/>
                <w:bCs/>
                <w:smallCaps/>
              </w:rPr>
              <w:t>Intro. No</w:t>
            </w:r>
            <w:r w:rsidR="00810F48">
              <w:rPr>
                <w:b/>
                <w:bCs/>
              </w:rPr>
              <w:t xml:space="preserve">:  </w:t>
            </w:r>
            <w:r w:rsidR="009207FF">
              <w:rPr>
                <w:bCs/>
              </w:rPr>
              <w:t>1292</w:t>
            </w:r>
            <w:r w:rsidR="00FA303F">
              <w:rPr>
                <w:bCs/>
              </w:rPr>
              <w:t>-A</w:t>
            </w:r>
          </w:p>
          <w:p w14:paraId="587B0D87" w14:textId="44A57908" w:rsidR="00902A93" w:rsidRPr="00012730" w:rsidRDefault="00902A93" w:rsidP="009207FF">
            <w:pPr>
              <w:tabs>
                <w:tab w:val="left" w:pos="-1440"/>
              </w:tabs>
              <w:spacing w:before="120"/>
              <w:ind w:left="1440" w:hanging="1440"/>
              <w:jc w:val="left"/>
              <w:rPr>
                <w:color w:val="FF0000"/>
              </w:rPr>
            </w:pPr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A267C7" w:rsidRPr="00012730">
              <w:rPr>
                <w:bCs/>
              </w:rPr>
              <w:t xml:space="preserve"> </w:t>
            </w:r>
            <w:r w:rsidR="009207FF">
              <w:rPr>
                <w:b/>
                <w:bCs/>
              </w:rPr>
              <w:t>Contracts</w:t>
            </w:r>
          </w:p>
        </w:tc>
      </w:tr>
      <w:tr w:rsidR="00902A93" w:rsidRPr="00012730" w14:paraId="75E6BC63" w14:textId="77777777" w:rsidTr="00614B6D">
        <w:trPr>
          <w:trHeight w:val="1070"/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38667371" w14:textId="77777777" w:rsidR="009207FF" w:rsidRPr="009207FF" w:rsidRDefault="00902A93" w:rsidP="009207FF">
            <w:pPr>
              <w:rPr>
                <w:rFonts w:eastAsiaTheme="minorHAnsi"/>
              </w:rPr>
            </w:pPr>
            <w:r w:rsidRPr="00012730">
              <w:rPr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9207FF" w:rsidRPr="009207FF">
              <w:rPr>
                <w:rFonts w:eastAsiaTheme="minorHAnsi"/>
              </w:rPr>
              <w:t xml:space="preserve">A Local Law to amend the New York city charter, in relation to the acceptance of electronic vouchers. </w:t>
            </w:r>
          </w:p>
          <w:p w14:paraId="36CE4E73" w14:textId="5EB3F262" w:rsidR="009F7100" w:rsidRPr="001C5400" w:rsidRDefault="009F7100" w:rsidP="001C5400">
            <w:pPr>
              <w:pStyle w:val="BodyText"/>
              <w:spacing w:line="240" w:lineRule="auto"/>
              <w:ind w:firstLine="0"/>
            </w:pPr>
          </w:p>
        </w:tc>
        <w:tc>
          <w:tcPr>
            <w:tcW w:w="5475" w:type="dxa"/>
            <w:tcBorders>
              <w:top w:val="single" w:sz="4" w:space="0" w:color="auto"/>
            </w:tcBorders>
          </w:tcPr>
          <w:p w14:paraId="1384EF53" w14:textId="77777777" w:rsidR="009207FF" w:rsidRPr="009207FF" w:rsidRDefault="00902A93" w:rsidP="009207FF">
            <w:pPr>
              <w:rPr>
                <w:rFonts w:eastAsiaTheme="minorHAnsi"/>
              </w:rPr>
            </w:pPr>
            <w:r w:rsidRPr="00012730">
              <w:rPr>
                <w:b/>
                <w:bCs/>
                <w:smallCaps/>
              </w:rPr>
              <w:t>Sponsor</w:t>
            </w:r>
            <w:r w:rsidR="00013DC3">
              <w:rPr>
                <w:b/>
                <w:bCs/>
                <w:smallCaps/>
              </w:rPr>
              <w:t>s</w:t>
            </w:r>
            <w:r w:rsidRPr="00012730">
              <w:rPr>
                <w:b/>
                <w:bCs/>
              </w:rPr>
              <w:t xml:space="preserve">: </w:t>
            </w:r>
            <w:r w:rsidR="009207FF" w:rsidRPr="009207FF">
              <w:rPr>
                <w:rFonts w:eastAsiaTheme="minorHAnsi"/>
              </w:rPr>
              <w:t xml:space="preserve">By Council Members Constantinides, Rosenthal, Gentile, Williams, Dromm, Salamanca, Garodnick, Vacca, Rodriguez, Levine, </w:t>
            </w:r>
            <w:proofErr w:type="spellStart"/>
            <w:r w:rsidR="009207FF" w:rsidRPr="009207FF">
              <w:rPr>
                <w:rFonts w:eastAsiaTheme="minorHAnsi"/>
              </w:rPr>
              <w:t>Maisel</w:t>
            </w:r>
            <w:proofErr w:type="spellEnd"/>
            <w:r w:rsidR="009207FF" w:rsidRPr="009207FF">
              <w:rPr>
                <w:rFonts w:eastAsiaTheme="minorHAnsi"/>
              </w:rPr>
              <w:t>, Cornegy, Cumbo, Espinal, Richards, Torres, Vallone, Van Bramer, Mendez, Lancman, Cohen, Kallos, Johnson, Palma, Chin and Ulrich</w:t>
            </w:r>
          </w:p>
          <w:p w14:paraId="23A46C98" w14:textId="1E433640" w:rsidR="00535435" w:rsidRPr="001C5400" w:rsidRDefault="00535435" w:rsidP="001C540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</w:tbl>
    <w:p w14:paraId="237B55E0" w14:textId="0DE8839E" w:rsidR="009207FF" w:rsidRDefault="00012730" w:rsidP="009207FF">
      <w:r w:rsidRPr="00900FE8">
        <w:rPr>
          <w:b/>
          <w:smallCaps/>
        </w:rPr>
        <w:t>Summary of Legislation:</w:t>
      </w:r>
      <w:r w:rsidR="0019206B">
        <w:rPr>
          <w:b/>
          <w:smallCaps/>
        </w:rPr>
        <w:t xml:space="preserve"> </w:t>
      </w:r>
      <w:r w:rsidR="009207FF" w:rsidRPr="005C6CD6">
        <w:t xml:space="preserve">Proposed Int. No. </w:t>
      </w:r>
      <w:r w:rsidR="009207FF">
        <w:t>1292</w:t>
      </w:r>
      <w:r w:rsidR="009207FF" w:rsidRPr="005C6CD6">
        <w:t xml:space="preserve">-A </w:t>
      </w:r>
      <w:r w:rsidR="009207FF" w:rsidRPr="00693429">
        <w:t>would require all city agencies</w:t>
      </w:r>
      <w:r w:rsidR="00C0743C">
        <w:t xml:space="preserve"> and departments</w:t>
      </w:r>
      <w:r w:rsidR="009207FF">
        <w:t xml:space="preserve">, </w:t>
      </w:r>
      <w:r w:rsidR="00C0743C">
        <w:t>to the extent practicable and consistent with operational and fiscal needs</w:t>
      </w:r>
      <w:r w:rsidR="009207FF">
        <w:t xml:space="preserve">, </w:t>
      </w:r>
      <w:r w:rsidR="009207FF" w:rsidRPr="00693429">
        <w:t xml:space="preserve">to </w:t>
      </w:r>
      <w:r w:rsidR="00130906">
        <w:t xml:space="preserve">accept </w:t>
      </w:r>
      <w:r w:rsidR="009207FF">
        <w:t>electronic procurement vouchers from city vendors</w:t>
      </w:r>
      <w:r w:rsidR="009207FF" w:rsidRPr="00693429">
        <w:t xml:space="preserve">, rather than </w:t>
      </w:r>
      <w:r w:rsidR="009207FF">
        <w:t xml:space="preserve">accepting such vouchers </w:t>
      </w:r>
      <w:r w:rsidR="009207FF" w:rsidRPr="00693429">
        <w:t xml:space="preserve">on </w:t>
      </w:r>
      <w:proofErr w:type="gramStart"/>
      <w:r w:rsidR="009207FF" w:rsidRPr="00693429">
        <w:t>printed paper</w:t>
      </w:r>
      <w:proofErr w:type="gramEnd"/>
      <w:r w:rsidR="009207FF">
        <w:t xml:space="preserve">. </w:t>
      </w:r>
    </w:p>
    <w:p w14:paraId="4D9A3463" w14:textId="77777777" w:rsidR="009207FF" w:rsidRDefault="009207FF" w:rsidP="009207FF"/>
    <w:p w14:paraId="32451032" w14:textId="31C471D9" w:rsidR="009207FF" w:rsidRDefault="009207FF" w:rsidP="00204F0E">
      <w:r w:rsidRPr="005C6CD6">
        <w:t xml:space="preserve">Proposed Int. No. </w:t>
      </w:r>
      <w:r>
        <w:t>1292</w:t>
      </w:r>
      <w:r w:rsidRPr="005C6CD6">
        <w:t>-A</w:t>
      </w:r>
      <w:r>
        <w:t xml:space="preserve"> would</w:t>
      </w:r>
      <w:r w:rsidR="00C0743C">
        <w:t xml:space="preserve"> also</w:t>
      </w:r>
      <w:r>
        <w:t xml:space="preserve"> require</w:t>
      </w:r>
      <w:r w:rsidR="00C0743C">
        <w:t xml:space="preserve"> the</w:t>
      </w:r>
      <w:r w:rsidR="00E05115">
        <w:t xml:space="preserve"> </w:t>
      </w:r>
      <w:r>
        <w:t>Procurement Policy Board (PPB) to promulgate rules to facilitate the development and implementation of agency programs to accept electronic procurement vouchers.</w:t>
      </w:r>
    </w:p>
    <w:p w14:paraId="3635CB1E" w14:textId="2C7BC683" w:rsidR="00480866" w:rsidRDefault="00480866" w:rsidP="009207FF"/>
    <w:p w14:paraId="07244973" w14:textId="3D4D9BFD" w:rsidR="009207FF" w:rsidRDefault="00B54324" w:rsidP="009207FF">
      <w:r w:rsidRPr="00ED74D9">
        <w:rPr>
          <w:b/>
          <w:bCs/>
          <w:smallCaps/>
          <w:sz w:val="22"/>
          <w:szCs w:val="22"/>
        </w:rPr>
        <w:t>Effective Date</w:t>
      </w:r>
      <w:r w:rsidRPr="00A17AAD">
        <w:rPr>
          <w:b/>
          <w:bCs/>
          <w:smallCaps/>
          <w:sz w:val="22"/>
          <w:szCs w:val="22"/>
        </w:rPr>
        <w:t xml:space="preserve">:    </w:t>
      </w:r>
      <w:r w:rsidR="009207FF">
        <w:t>This legislation would take effect 60 days after becoming law</w:t>
      </w:r>
      <w:r w:rsidR="00FA77A4">
        <w:t>, except that city agencies and departments may take such measures as are necessary for its implementation before the effective date, including the promulgation of rules</w:t>
      </w:r>
      <w:r w:rsidR="009207FF">
        <w:t>.</w:t>
      </w:r>
    </w:p>
    <w:p w14:paraId="69139E22" w14:textId="534B345A" w:rsidR="00B54324" w:rsidRDefault="00B54324" w:rsidP="009207FF"/>
    <w:p w14:paraId="68BDD7D7" w14:textId="203481B2" w:rsidR="00012730" w:rsidRPr="00012730" w:rsidRDefault="00012730" w:rsidP="002B0181">
      <w:pPr>
        <w:pBdr>
          <w:top w:val="single" w:sz="4" w:space="1" w:color="auto"/>
        </w:pBdr>
      </w:pPr>
    </w:p>
    <w:p w14:paraId="5D719E51" w14:textId="5CB74F7D" w:rsidR="00900FE8" w:rsidRDefault="00902A93" w:rsidP="00900FE8">
      <w:pPr>
        <w:pBdr>
          <w:top w:val="single" w:sz="4" w:space="1" w:color="auto"/>
        </w:pBdr>
        <w:rPr>
          <w:rFonts w:ascii="TimesNewRoman" w:hAnsi="TimesNewRoman" w:cs="TimesNewRoman"/>
        </w:rPr>
      </w:pPr>
      <w:r w:rsidRPr="00012730">
        <w:rPr>
          <w:b/>
          <w:smallCaps/>
        </w:rPr>
        <w:t xml:space="preserve">Fiscal Year </w:t>
      </w:r>
      <w:r w:rsidR="009F00C0"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 w:rsidR="00012730">
        <w:t xml:space="preserve"> </w:t>
      </w:r>
      <w:r w:rsidR="004C0B5C">
        <w:t>Fiscal 201</w:t>
      </w:r>
      <w:r w:rsidR="009370D4">
        <w:t>8</w:t>
      </w:r>
    </w:p>
    <w:p w14:paraId="3B65D017" w14:textId="77777777" w:rsidR="00480866" w:rsidRDefault="00480866" w:rsidP="00900FE8">
      <w:pPr>
        <w:pBdr>
          <w:top w:val="single" w:sz="4" w:space="1" w:color="auto"/>
        </w:pBdr>
        <w:rPr>
          <w:rFonts w:ascii="TimesNewRoman" w:hAnsi="TimesNewRoman" w:cs="TimesNewRoman"/>
        </w:rPr>
      </w:pPr>
    </w:p>
    <w:p w14:paraId="7DB03A1A" w14:textId="58082EFC" w:rsidR="00902A93" w:rsidRDefault="00902A93" w:rsidP="00900FE8">
      <w:pPr>
        <w:spacing w:before="100" w:beforeAutospacing="1"/>
        <w:contextualSpacing/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CFF6405" w14:textId="77777777" w:rsidR="00CD0DFA" w:rsidRDefault="00CD0DFA" w:rsidP="00900FE8">
      <w:pPr>
        <w:spacing w:before="100" w:beforeAutospacing="1"/>
        <w:contextualSpacing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08D51366" w14:textId="77777777">
        <w:trPr>
          <w:jc w:val="center"/>
        </w:trPr>
        <w:tc>
          <w:tcPr>
            <w:tcW w:w="1692" w:type="dxa"/>
            <w:tcBorders>
              <w:top w:val="double" w:sz="12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CB1F3F9" w14:textId="77777777" w:rsidR="00706E47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1E9937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8CB0761" w14:textId="24EF6B32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E921B2">
              <w:rPr>
                <w:b/>
                <w:bCs/>
                <w:sz w:val="20"/>
                <w:szCs w:val="20"/>
              </w:rPr>
              <w:t>1</w:t>
            </w:r>
            <w:r w:rsidR="00480866">
              <w:rPr>
                <w:b/>
                <w:bCs/>
                <w:sz w:val="20"/>
                <w:szCs w:val="20"/>
              </w:rPr>
              <w:t>8</w:t>
            </w:r>
          </w:p>
          <w:p w14:paraId="1FE71B9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192F85" w14:textId="2F07E36B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48086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double" w:sz="12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6140AA60" w14:textId="61BC765F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480866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706E47" w:rsidRPr="00012730" w14:paraId="3FDBD1A6" w14:textId="77777777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55EE1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9BF7D9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7FED50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12" w:space="0" w:color="000000"/>
            </w:tcBorders>
            <w:vAlign w:val="center"/>
          </w:tcPr>
          <w:p w14:paraId="60BFF9B7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3267C3CD" w14:textId="77777777">
        <w:trPr>
          <w:trHeight w:val="298"/>
          <w:jc w:val="center"/>
        </w:trPr>
        <w:tc>
          <w:tcPr>
            <w:tcW w:w="1692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6F06A3EB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6CCB6DAC" w14:textId="3B588CC5" w:rsidR="00706E47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533B50B3" w14:textId="2D606EC5" w:rsidR="00706E47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593CE8D" w14:textId="22D5BE83" w:rsidR="00706E47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196AF2" w:rsidRPr="00012730" w14:paraId="5F2BFE60" w14:textId="77777777">
        <w:trPr>
          <w:jc w:val="center"/>
        </w:trPr>
        <w:tc>
          <w:tcPr>
            <w:tcW w:w="1692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51CF5B60" w14:textId="77777777" w:rsidR="00196AF2" w:rsidRPr="00012730" w:rsidRDefault="00196AF2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1AF14BCB" w14:textId="1F564D3B" w:rsidR="00196AF2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14:paraId="35F55D06" w14:textId="192DE723" w:rsidR="00196AF2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20FE8473" w14:textId="30A331E0" w:rsidR="00196AF2" w:rsidRPr="00012730" w:rsidRDefault="00130906" w:rsidP="00B543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</w:tbl>
    <w:p w14:paraId="35CA9778" w14:textId="77777777" w:rsidR="000A5804" w:rsidRPr="00012730" w:rsidRDefault="000A5804" w:rsidP="00706E47">
      <w:pPr>
        <w:spacing w:before="120"/>
      </w:pPr>
    </w:p>
    <w:p w14:paraId="3821B454" w14:textId="77777777" w:rsidR="00396260" w:rsidRPr="002E0193" w:rsidRDefault="000A5804" w:rsidP="00810F48">
      <w:pPr>
        <w:rPr>
          <w:smallCaps/>
        </w:rPr>
      </w:pPr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2E0193">
        <w:t xml:space="preserve">It is anticipated that there would be no impact on revenues </w:t>
      </w:r>
      <w:proofErr w:type="gramStart"/>
      <w:r w:rsidR="002E0193">
        <w:t>as a result</w:t>
      </w:r>
      <w:proofErr w:type="gramEnd"/>
      <w:r w:rsidR="002E0193">
        <w:t xml:space="preserve"> of this legislation.</w:t>
      </w:r>
    </w:p>
    <w:p w14:paraId="000FDD46" w14:textId="77777777" w:rsidR="00396260" w:rsidRDefault="00396260" w:rsidP="00810F48">
      <w:pPr>
        <w:rPr>
          <w:b/>
          <w:smallCaps/>
        </w:rPr>
      </w:pPr>
    </w:p>
    <w:p w14:paraId="64FFF339" w14:textId="358564E6" w:rsidR="007221BA" w:rsidRPr="008E3798" w:rsidRDefault="00396260" w:rsidP="007221BA">
      <w:r w:rsidRPr="00012730">
        <w:rPr>
          <w:b/>
          <w:smallCaps/>
        </w:rPr>
        <w:t xml:space="preserve">Impact on </w:t>
      </w:r>
      <w:r w:rsidR="000266C3" w:rsidRPr="00012730">
        <w:rPr>
          <w:b/>
          <w:smallCaps/>
        </w:rPr>
        <w:t>Expenditures:</w:t>
      </w:r>
      <w:r w:rsidR="00D74206">
        <w:t xml:space="preserve">  </w:t>
      </w:r>
      <w:r w:rsidR="00130906">
        <w:t xml:space="preserve">Because the City has begun </w:t>
      </w:r>
      <w:r w:rsidR="006211BD">
        <w:t>to facilitate</w:t>
      </w:r>
      <w:r w:rsidR="00130906">
        <w:t xml:space="preserve"> the acceptance of electronic procurement vouchers, </w:t>
      </w:r>
      <w:r w:rsidR="000F3F60">
        <w:t xml:space="preserve">it </w:t>
      </w:r>
      <w:proofErr w:type="gramStart"/>
      <w:r w:rsidR="000F3F60">
        <w:t>is anticipated</w:t>
      </w:r>
      <w:proofErr w:type="gramEnd"/>
      <w:r w:rsidR="000F3F60">
        <w:t xml:space="preserve"> that </w:t>
      </w:r>
      <w:r w:rsidR="00130906">
        <w:t>this legislation would have no immediate fiscal impact on expenditures.  Agencies would use e</w:t>
      </w:r>
      <w:r w:rsidR="007221BA" w:rsidRPr="008E3798">
        <w:t xml:space="preserve">xisting resources to develop and implement electronic voucher processing where feasible.  </w:t>
      </w:r>
    </w:p>
    <w:p w14:paraId="31916F36" w14:textId="77777777" w:rsidR="007221BA" w:rsidRDefault="007221BA" w:rsidP="007221BA">
      <w:pPr>
        <w:rPr>
          <w:b/>
          <w:smallCaps/>
        </w:rPr>
      </w:pPr>
    </w:p>
    <w:p w14:paraId="07DDCF4C" w14:textId="4A22BBF4" w:rsidR="000A5804" w:rsidRDefault="000A5804" w:rsidP="007221BA">
      <w:r w:rsidRPr="00012730">
        <w:rPr>
          <w:b/>
          <w:smallCaps/>
        </w:rPr>
        <w:t>Source of Funds To Cover Estimated Costs:</w:t>
      </w:r>
      <w:r w:rsidR="00012730">
        <w:t xml:space="preserve"> </w:t>
      </w:r>
      <w:r w:rsidR="00E43B68">
        <w:t>General Fund</w:t>
      </w:r>
    </w:p>
    <w:p w14:paraId="63664F1A" w14:textId="77777777" w:rsidR="00B85296" w:rsidRPr="00012730" w:rsidRDefault="00B85296" w:rsidP="007D02F0"/>
    <w:p w14:paraId="66F596FF" w14:textId="77777777" w:rsidR="000A5804" w:rsidRDefault="000A5804" w:rsidP="00071237">
      <w:r w:rsidRPr="00012730">
        <w:rPr>
          <w:b/>
          <w:smallCaps/>
        </w:rPr>
        <w:t>Source of Information:</w:t>
      </w:r>
      <w:r w:rsidR="00012730">
        <w:t xml:space="preserve"> </w:t>
      </w:r>
      <w:r w:rsidR="00825B8B">
        <w:tab/>
        <w:t>New York City Council</w:t>
      </w:r>
      <w:r w:rsidR="000C65A3">
        <w:t xml:space="preserve"> </w:t>
      </w:r>
      <w:r w:rsidR="00A11E38">
        <w:t xml:space="preserve"> </w:t>
      </w:r>
    </w:p>
    <w:p w14:paraId="76AEACD2" w14:textId="294A60D3" w:rsidR="00071237" w:rsidRDefault="00071237" w:rsidP="00071237">
      <w:r>
        <w:tab/>
      </w:r>
      <w:r>
        <w:tab/>
      </w:r>
      <w:r>
        <w:tab/>
      </w:r>
      <w:r>
        <w:tab/>
      </w:r>
      <w:r w:rsidR="00D93BDD">
        <w:t>Mayor’s</w:t>
      </w:r>
      <w:r w:rsidR="00AC28A9">
        <w:t xml:space="preserve"> </w:t>
      </w:r>
      <w:r w:rsidR="00FA303F">
        <w:t xml:space="preserve">Office </w:t>
      </w:r>
      <w:r w:rsidR="003E3153">
        <w:t>of</w:t>
      </w:r>
      <w:r w:rsidR="00FA303F">
        <w:t xml:space="preserve"> </w:t>
      </w:r>
      <w:r w:rsidR="00D93BDD">
        <w:t>Legislative Affairs</w:t>
      </w:r>
    </w:p>
    <w:p w14:paraId="2628DB9E" w14:textId="77777777" w:rsidR="003E3153" w:rsidRDefault="003E3153" w:rsidP="00071237">
      <w:r>
        <w:tab/>
      </w:r>
      <w:r>
        <w:tab/>
      </w:r>
      <w:r>
        <w:tab/>
      </w:r>
    </w:p>
    <w:p w14:paraId="6C62AE71" w14:textId="77777777" w:rsidR="002111D5" w:rsidRDefault="000A5804" w:rsidP="00071237">
      <w:r w:rsidRPr="00012730">
        <w:rPr>
          <w:b/>
          <w:smallCaps/>
        </w:rPr>
        <w:t xml:space="preserve">Estimate Prepared </w:t>
      </w:r>
      <w:r w:rsidR="000C65A3">
        <w:rPr>
          <w:b/>
          <w:smallCaps/>
        </w:rPr>
        <w:t>b</w:t>
      </w:r>
      <w:r w:rsidRPr="00012730">
        <w:rPr>
          <w:b/>
          <w:smallCaps/>
        </w:rPr>
        <w:t>y:</w:t>
      </w:r>
      <w:r w:rsidR="00E921B2">
        <w:rPr>
          <w:b/>
          <w:smallCaps/>
        </w:rPr>
        <w:t xml:space="preserve"> </w:t>
      </w:r>
      <w:r w:rsidR="006C6562">
        <w:tab/>
      </w:r>
      <w:r w:rsidR="002111D5">
        <w:t>John Russell, Unit Head</w:t>
      </w:r>
    </w:p>
    <w:p w14:paraId="2724D8A3" w14:textId="750C1A87" w:rsidR="000936AC" w:rsidRPr="00E921B2" w:rsidRDefault="004072F1" w:rsidP="00071237">
      <w:r>
        <w:tab/>
      </w:r>
      <w:r>
        <w:tab/>
      </w:r>
      <w:r>
        <w:tab/>
      </w:r>
      <w:r>
        <w:tab/>
        <w:t xml:space="preserve"> </w:t>
      </w:r>
      <w:r w:rsidR="000936AC">
        <w:tab/>
      </w:r>
      <w:r w:rsidR="000936AC">
        <w:tab/>
      </w:r>
      <w:r w:rsidR="000936AC">
        <w:tab/>
      </w:r>
    </w:p>
    <w:p w14:paraId="0D9393C9" w14:textId="3DE1AD88" w:rsidR="003741FE" w:rsidRDefault="00A65724" w:rsidP="002111D5">
      <w:r>
        <w:rPr>
          <w:b/>
          <w:smallCaps/>
        </w:rPr>
        <w:t>Estimate</w:t>
      </w:r>
      <w:r w:rsidR="000A5804" w:rsidRPr="00012730">
        <w:rPr>
          <w:b/>
          <w:smallCaps/>
        </w:rPr>
        <w:t xml:space="preserve"> Reviewed </w:t>
      </w:r>
      <w:r w:rsidR="000C65A3">
        <w:rPr>
          <w:b/>
          <w:smallCaps/>
        </w:rPr>
        <w:t>b</w:t>
      </w:r>
      <w:r w:rsidR="000A5804" w:rsidRPr="00012730">
        <w:rPr>
          <w:b/>
          <w:smallCaps/>
        </w:rPr>
        <w:t>y:</w:t>
      </w:r>
      <w:r w:rsidR="00E921B2">
        <w:rPr>
          <w:b/>
          <w:smallCaps/>
        </w:rPr>
        <w:t xml:space="preserve"> </w:t>
      </w:r>
      <w:r w:rsidR="00E921B2">
        <w:rPr>
          <w:b/>
          <w:smallCaps/>
        </w:rPr>
        <w:tab/>
      </w:r>
      <w:r w:rsidR="00A73CCE">
        <w:t>Eric Bernstein</w:t>
      </w:r>
      <w:r w:rsidR="003741FE">
        <w:t xml:space="preserve">, </w:t>
      </w:r>
      <w:r w:rsidR="002111D5">
        <w:t>Counsel</w:t>
      </w:r>
    </w:p>
    <w:p w14:paraId="0365DFF5" w14:textId="5FCA4FBE" w:rsidR="002111D5" w:rsidRDefault="002111D5" w:rsidP="002111D5">
      <w:r>
        <w:tab/>
      </w:r>
      <w:r>
        <w:tab/>
      </w:r>
      <w:r>
        <w:tab/>
      </w:r>
      <w:r>
        <w:tab/>
      </w:r>
      <w:r w:rsidR="007221BA">
        <w:t>Regina Poreda Ryan</w:t>
      </w:r>
      <w:r>
        <w:t>, Deputy Director</w:t>
      </w:r>
    </w:p>
    <w:p w14:paraId="436C582D" w14:textId="32F201CE" w:rsidR="006C6562" w:rsidRDefault="000B7EB0" w:rsidP="00614B6D">
      <w:pPr>
        <w:spacing w:before="120" w:after="240"/>
      </w:pPr>
      <w:r w:rsidRPr="00012730">
        <w:rPr>
          <w:b/>
          <w:smallCaps/>
        </w:rPr>
        <w:t>Legislative History:</w:t>
      </w:r>
      <w:r w:rsidR="00FE2341">
        <w:rPr>
          <w:szCs w:val="22"/>
        </w:rPr>
        <w:t xml:space="preserve"> </w:t>
      </w:r>
      <w:r w:rsidR="008E3429">
        <w:t xml:space="preserve">This legislation </w:t>
      </w:r>
      <w:proofErr w:type="gramStart"/>
      <w:r w:rsidR="00490A80">
        <w:t xml:space="preserve">was </w:t>
      </w:r>
      <w:r w:rsidR="003416BD">
        <w:t>introduced</w:t>
      </w:r>
      <w:proofErr w:type="gramEnd"/>
      <w:r w:rsidR="003416BD">
        <w:t xml:space="preserve"> to the Council on </w:t>
      </w:r>
      <w:r w:rsidR="00C546E7">
        <w:t xml:space="preserve">October </w:t>
      </w:r>
      <w:r w:rsidR="00490A80">
        <w:t>13, 2016</w:t>
      </w:r>
      <w:r w:rsidR="008E3429">
        <w:t xml:space="preserve"> as </w:t>
      </w:r>
      <w:r w:rsidR="008E3429" w:rsidRPr="0055621B">
        <w:t xml:space="preserve">Intro. No. </w:t>
      </w:r>
      <w:r w:rsidR="00490A80">
        <w:t>1292</w:t>
      </w:r>
      <w:r w:rsidR="003416BD">
        <w:t xml:space="preserve"> and </w:t>
      </w:r>
      <w:r w:rsidR="00FA77A4">
        <w:t xml:space="preserve">was </w:t>
      </w:r>
      <w:r w:rsidR="003416BD">
        <w:t xml:space="preserve">referred to the Committee on </w:t>
      </w:r>
      <w:r w:rsidR="00490A80">
        <w:t>Contracts</w:t>
      </w:r>
      <w:r w:rsidR="00FA77A4">
        <w:t xml:space="preserve"> (Committee)</w:t>
      </w:r>
      <w:r w:rsidR="003416BD">
        <w:t xml:space="preserve">. </w:t>
      </w:r>
      <w:r w:rsidR="00913810">
        <w:t xml:space="preserve">The legislation </w:t>
      </w:r>
      <w:proofErr w:type="gramStart"/>
      <w:r w:rsidR="00913810">
        <w:t xml:space="preserve">was </w:t>
      </w:r>
      <w:r w:rsidR="001A492D">
        <w:t>considered</w:t>
      </w:r>
      <w:proofErr w:type="gramEnd"/>
      <w:r w:rsidR="007C28AB">
        <w:t xml:space="preserve"> at a hearing</w:t>
      </w:r>
      <w:r w:rsidR="003416BD">
        <w:t xml:space="preserve"> </w:t>
      </w:r>
      <w:r w:rsidR="007C28AB">
        <w:t>on</w:t>
      </w:r>
      <w:r w:rsidR="003D03B9">
        <w:t xml:space="preserve"> </w:t>
      </w:r>
      <w:r w:rsidR="00490A80">
        <w:t>April 27, 2017</w:t>
      </w:r>
      <w:r w:rsidR="001A492D">
        <w:t xml:space="preserve"> </w:t>
      </w:r>
      <w:r w:rsidR="002C52C8">
        <w:t xml:space="preserve">and </w:t>
      </w:r>
      <w:r w:rsidR="003D03B9">
        <w:t xml:space="preserve">was laid over. </w:t>
      </w:r>
      <w:r w:rsidR="00ED1ADC">
        <w:t xml:space="preserve">The legislation was subsequently </w:t>
      </w:r>
      <w:r w:rsidR="00ED1ADC" w:rsidRPr="00963D3E">
        <w:t xml:space="preserve">amended and the amended version, Proposed Intro. </w:t>
      </w:r>
      <w:proofErr w:type="gramStart"/>
      <w:r w:rsidR="00ED1ADC" w:rsidRPr="00963D3E">
        <w:t xml:space="preserve">No. </w:t>
      </w:r>
      <w:r w:rsidR="00490A80">
        <w:t>1292</w:t>
      </w:r>
      <w:r w:rsidR="001A492D">
        <w:t>-</w:t>
      </w:r>
      <w:r w:rsidR="00FA303F">
        <w:t>A</w:t>
      </w:r>
      <w:r w:rsidR="00ED1ADC" w:rsidRPr="00963D3E">
        <w:t xml:space="preserve">, will be voted on by the Committee at a hearing on </w:t>
      </w:r>
      <w:r w:rsidR="00490A80">
        <w:t>September 26</w:t>
      </w:r>
      <w:r w:rsidR="00D17213">
        <w:t>, 2017</w:t>
      </w:r>
      <w:proofErr w:type="gramEnd"/>
      <w:r w:rsidR="00ED1ADC" w:rsidRPr="00963D3E">
        <w:t>.</w:t>
      </w:r>
      <w:r w:rsidR="00ED1ADC">
        <w:t xml:space="preserve"> </w:t>
      </w:r>
      <w:r w:rsidR="009F7100">
        <w:t xml:space="preserve">Upon successful vote by the Committee, Proposed Intro. No. </w:t>
      </w:r>
      <w:r w:rsidR="00490A80">
        <w:t>1292</w:t>
      </w:r>
      <w:r w:rsidR="00FA303F">
        <w:t>-A</w:t>
      </w:r>
      <w:r w:rsidR="009F7100">
        <w:t xml:space="preserve"> </w:t>
      </w:r>
      <w:proofErr w:type="gramStart"/>
      <w:r w:rsidR="009F7100">
        <w:t>will be submitted</w:t>
      </w:r>
      <w:proofErr w:type="gramEnd"/>
      <w:r w:rsidR="009F7100">
        <w:t xml:space="preserve"> to the full </w:t>
      </w:r>
      <w:r w:rsidR="008E3429">
        <w:t>C</w:t>
      </w:r>
      <w:r w:rsidR="009F7100">
        <w:t xml:space="preserve">ouncil for a vote on </w:t>
      </w:r>
      <w:r w:rsidR="00490A80">
        <w:t>September 27, 2017</w:t>
      </w:r>
      <w:r w:rsidR="003F7E6A">
        <w:t>.</w:t>
      </w:r>
      <w:r w:rsidR="009F7100">
        <w:t xml:space="preserve"> </w:t>
      </w:r>
    </w:p>
    <w:p w14:paraId="2E7F9B6D" w14:textId="18F62C4C" w:rsidR="006E1466" w:rsidRPr="00E921B2" w:rsidRDefault="00012730" w:rsidP="006E1466">
      <w:pPr>
        <w:spacing w:before="120"/>
      </w:pPr>
      <w:r>
        <w:rPr>
          <w:b/>
          <w:smallCaps/>
        </w:rPr>
        <w:t>Date Prepared:</w:t>
      </w:r>
      <w:r w:rsidR="00E921B2">
        <w:rPr>
          <w:b/>
          <w:smallCaps/>
        </w:rPr>
        <w:t xml:space="preserve"> </w:t>
      </w:r>
      <w:r w:rsidR="00490A80">
        <w:t>September 25, 2017</w:t>
      </w:r>
      <w:bookmarkStart w:id="0" w:name="_GoBack"/>
      <w:bookmarkEnd w:id="0"/>
    </w:p>
    <w:sectPr w:rsidR="006E1466" w:rsidRPr="00E921B2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7CE9C" w14:textId="77777777" w:rsidR="00B132DD" w:rsidRDefault="00B132DD" w:rsidP="000B7EB0">
      <w:r>
        <w:separator/>
      </w:r>
    </w:p>
  </w:endnote>
  <w:endnote w:type="continuationSeparator" w:id="0">
    <w:p w14:paraId="5BDE0B2A" w14:textId="77777777" w:rsidR="00B132DD" w:rsidRDefault="00B132DD" w:rsidP="000B7EB0">
      <w:r>
        <w:continuationSeparator/>
      </w:r>
    </w:p>
  </w:endnote>
  <w:endnote w:type="continuationNotice" w:id="1">
    <w:p w14:paraId="1114B56C" w14:textId="77777777" w:rsidR="00B132DD" w:rsidRDefault="00B13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7574" w14:textId="35B7DD17" w:rsidR="000B7EB0" w:rsidRPr="00614B6D" w:rsidRDefault="00614B6D" w:rsidP="00614B6D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>
      <w:rPr>
        <w:rFonts w:asciiTheme="majorHAnsi" w:eastAsiaTheme="majorEastAsia" w:hAnsiTheme="majorHAnsi" w:cstheme="majorBidi"/>
      </w:rPr>
      <w:t>Intro. No. 1</w:t>
    </w:r>
    <w:r>
      <w:rPr>
        <w:rFonts w:asciiTheme="majorHAnsi" w:eastAsiaTheme="majorEastAsia" w:hAnsiTheme="majorHAnsi" w:cstheme="majorBidi"/>
      </w:rPr>
      <w:t>292</w:t>
    </w:r>
    <w:r>
      <w:rPr>
        <w:rFonts w:asciiTheme="majorHAnsi" w:eastAsiaTheme="majorEastAsia" w:hAnsiTheme="majorHAnsi" w:cstheme="majorBidi"/>
      </w:rPr>
      <w:t>-A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614B6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E221" w14:textId="77777777" w:rsidR="00B132DD" w:rsidRDefault="00B132DD" w:rsidP="000B7EB0">
      <w:r>
        <w:separator/>
      </w:r>
    </w:p>
  </w:footnote>
  <w:footnote w:type="continuationSeparator" w:id="0">
    <w:p w14:paraId="2E534D44" w14:textId="77777777" w:rsidR="00B132DD" w:rsidRDefault="00B132DD" w:rsidP="000B7EB0">
      <w:r>
        <w:continuationSeparator/>
      </w:r>
    </w:p>
  </w:footnote>
  <w:footnote w:type="continuationNotice" w:id="1">
    <w:p w14:paraId="2EFACBA7" w14:textId="77777777" w:rsidR="00B132DD" w:rsidRDefault="00B13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120"/>
    <w:multiLevelType w:val="hybridMultilevel"/>
    <w:tmpl w:val="3CCA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672D0"/>
    <w:multiLevelType w:val="hybridMultilevel"/>
    <w:tmpl w:val="1B281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21EC"/>
    <w:multiLevelType w:val="hybridMultilevel"/>
    <w:tmpl w:val="71A8ADB8"/>
    <w:lvl w:ilvl="0" w:tplc="77F8F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1BE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3DC3"/>
    <w:rsid w:val="000146C4"/>
    <w:rsid w:val="00014B91"/>
    <w:rsid w:val="00016A1A"/>
    <w:rsid w:val="000170C8"/>
    <w:rsid w:val="00017126"/>
    <w:rsid w:val="000171D9"/>
    <w:rsid w:val="00017690"/>
    <w:rsid w:val="00017A11"/>
    <w:rsid w:val="00020191"/>
    <w:rsid w:val="000206C1"/>
    <w:rsid w:val="00020950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6028"/>
    <w:rsid w:val="000265E2"/>
    <w:rsid w:val="000266C3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2D6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2273"/>
    <w:rsid w:val="000531D6"/>
    <w:rsid w:val="000536DD"/>
    <w:rsid w:val="00053994"/>
    <w:rsid w:val="00053CB8"/>
    <w:rsid w:val="0005476A"/>
    <w:rsid w:val="00054EE3"/>
    <w:rsid w:val="00054EF9"/>
    <w:rsid w:val="000553C7"/>
    <w:rsid w:val="0005546A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2215"/>
    <w:rsid w:val="0006243C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237"/>
    <w:rsid w:val="0007130E"/>
    <w:rsid w:val="0007140B"/>
    <w:rsid w:val="00071500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6CA3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36AC"/>
    <w:rsid w:val="000941DE"/>
    <w:rsid w:val="000942A5"/>
    <w:rsid w:val="000955B6"/>
    <w:rsid w:val="00095896"/>
    <w:rsid w:val="0009589B"/>
    <w:rsid w:val="00095962"/>
    <w:rsid w:val="00096884"/>
    <w:rsid w:val="00096C11"/>
    <w:rsid w:val="00096DB0"/>
    <w:rsid w:val="00096F1D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0BA4"/>
    <w:rsid w:val="000C117C"/>
    <w:rsid w:val="000C12F9"/>
    <w:rsid w:val="000C15B2"/>
    <w:rsid w:val="000C18DD"/>
    <w:rsid w:val="000C1BE5"/>
    <w:rsid w:val="000C2D9F"/>
    <w:rsid w:val="000C3430"/>
    <w:rsid w:val="000C41F1"/>
    <w:rsid w:val="000C4E69"/>
    <w:rsid w:val="000C5023"/>
    <w:rsid w:val="000C59E0"/>
    <w:rsid w:val="000C5FE0"/>
    <w:rsid w:val="000C61BA"/>
    <w:rsid w:val="000C65A3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FCB"/>
    <w:rsid w:val="000D200D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BF9"/>
    <w:rsid w:val="000E6C5A"/>
    <w:rsid w:val="000E70CB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3F60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03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0712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0906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8DF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D0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7D4"/>
    <w:rsid w:val="00177B7F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06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AF2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92D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400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EEA"/>
    <w:rsid w:val="001D0FAF"/>
    <w:rsid w:val="001D10B0"/>
    <w:rsid w:val="001D162C"/>
    <w:rsid w:val="001D1710"/>
    <w:rsid w:val="001D1A8D"/>
    <w:rsid w:val="001D29C1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4F9"/>
    <w:rsid w:val="001E5ABE"/>
    <w:rsid w:val="001E5ED9"/>
    <w:rsid w:val="001E67F6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4F0E"/>
    <w:rsid w:val="00205F74"/>
    <w:rsid w:val="002060A5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1D5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529"/>
    <w:rsid w:val="002300ED"/>
    <w:rsid w:val="0023030F"/>
    <w:rsid w:val="00230527"/>
    <w:rsid w:val="0023071A"/>
    <w:rsid w:val="00230966"/>
    <w:rsid w:val="00230999"/>
    <w:rsid w:val="00230C20"/>
    <w:rsid w:val="00230E19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55"/>
    <w:rsid w:val="002351FD"/>
    <w:rsid w:val="00236705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12C"/>
    <w:rsid w:val="00241147"/>
    <w:rsid w:val="0024124C"/>
    <w:rsid w:val="00241402"/>
    <w:rsid w:val="00241806"/>
    <w:rsid w:val="00241811"/>
    <w:rsid w:val="00241A22"/>
    <w:rsid w:val="00241E2C"/>
    <w:rsid w:val="002420AF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77D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B7A"/>
    <w:rsid w:val="00271DE5"/>
    <w:rsid w:val="00271FFC"/>
    <w:rsid w:val="00272507"/>
    <w:rsid w:val="0027289A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1F84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7E0"/>
    <w:rsid w:val="00297F18"/>
    <w:rsid w:val="002A03D6"/>
    <w:rsid w:val="002A0665"/>
    <w:rsid w:val="002A081D"/>
    <w:rsid w:val="002A0823"/>
    <w:rsid w:val="002A1030"/>
    <w:rsid w:val="002A1140"/>
    <w:rsid w:val="002A180C"/>
    <w:rsid w:val="002A19AA"/>
    <w:rsid w:val="002A2724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181"/>
    <w:rsid w:val="002B0DD7"/>
    <w:rsid w:val="002B176B"/>
    <w:rsid w:val="002B2C59"/>
    <w:rsid w:val="002B2C79"/>
    <w:rsid w:val="002B2F68"/>
    <w:rsid w:val="002B4368"/>
    <w:rsid w:val="002B4D6A"/>
    <w:rsid w:val="002B56A2"/>
    <w:rsid w:val="002B6B49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2C8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193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02F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D7C"/>
    <w:rsid w:val="00303F36"/>
    <w:rsid w:val="00304AC9"/>
    <w:rsid w:val="0030605A"/>
    <w:rsid w:val="003060C8"/>
    <w:rsid w:val="00306509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5B65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3FB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440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07"/>
    <w:rsid w:val="00337FD3"/>
    <w:rsid w:val="00340857"/>
    <w:rsid w:val="003409D3"/>
    <w:rsid w:val="00341279"/>
    <w:rsid w:val="00341548"/>
    <w:rsid w:val="003416BD"/>
    <w:rsid w:val="00341720"/>
    <w:rsid w:val="0034172A"/>
    <w:rsid w:val="003425F7"/>
    <w:rsid w:val="00342822"/>
    <w:rsid w:val="0034319F"/>
    <w:rsid w:val="00343D6B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19C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63E"/>
    <w:rsid w:val="0037278E"/>
    <w:rsid w:val="00372AF7"/>
    <w:rsid w:val="00372E00"/>
    <w:rsid w:val="003732DD"/>
    <w:rsid w:val="0037372B"/>
    <w:rsid w:val="00374182"/>
    <w:rsid w:val="003741FE"/>
    <w:rsid w:val="00374C64"/>
    <w:rsid w:val="00374DFB"/>
    <w:rsid w:val="00375015"/>
    <w:rsid w:val="0037584D"/>
    <w:rsid w:val="00375A93"/>
    <w:rsid w:val="00376001"/>
    <w:rsid w:val="00376288"/>
    <w:rsid w:val="0037629A"/>
    <w:rsid w:val="0037682E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51E"/>
    <w:rsid w:val="003857DA"/>
    <w:rsid w:val="00385A03"/>
    <w:rsid w:val="00385C98"/>
    <w:rsid w:val="00385FC6"/>
    <w:rsid w:val="0038661D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4B6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6E8F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9F2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3B9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016"/>
    <w:rsid w:val="003D71CC"/>
    <w:rsid w:val="003D74C4"/>
    <w:rsid w:val="003D7C0A"/>
    <w:rsid w:val="003E005D"/>
    <w:rsid w:val="003E0DED"/>
    <w:rsid w:val="003E1486"/>
    <w:rsid w:val="003E14C0"/>
    <w:rsid w:val="003E16B3"/>
    <w:rsid w:val="003E1D32"/>
    <w:rsid w:val="003E1F48"/>
    <w:rsid w:val="003E2007"/>
    <w:rsid w:val="003E2372"/>
    <w:rsid w:val="003E27C8"/>
    <w:rsid w:val="003E310F"/>
    <w:rsid w:val="003E3153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5CB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6A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2F1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27FF9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409B1"/>
    <w:rsid w:val="004415DE"/>
    <w:rsid w:val="004419C8"/>
    <w:rsid w:val="00441F8F"/>
    <w:rsid w:val="00442A5E"/>
    <w:rsid w:val="00442EC6"/>
    <w:rsid w:val="00443A9A"/>
    <w:rsid w:val="004440D9"/>
    <w:rsid w:val="0044414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70D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76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4DFE"/>
    <w:rsid w:val="004750BC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866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80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3E4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64B"/>
    <w:rsid w:val="004C07F5"/>
    <w:rsid w:val="004C0B5C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9CF"/>
    <w:rsid w:val="004C5A6C"/>
    <w:rsid w:val="004C5C46"/>
    <w:rsid w:val="004C5E2A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1952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6B54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55A"/>
    <w:rsid w:val="00502659"/>
    <w:rsid w:val="00503423"/>
    <w:rsid w:val="00504080"/>
    <w:rsid w:val="00504402"/>
    <w:rsid w:val="00504800"/>
    <w:rsid w:val="00504AA1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1ED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328"/>
    <w:rsid w:val="00517A2D"/>
    <w:rsid w:val="00520066"/>
    <w:rsid w:val="0052080B"/>
    <w:rsid w:val="00521171"/>
    <w:rsid w:val="0052117E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35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EE3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28A"/>
    <w:rsid w:val="0055272B"/>
    <w:rsid w:val="005529E8"/>
    <w:rsid w:val="00552A9C"/>
    <w:rsid w:val="00552B26"/>
    <w:rsid w:val="00553342"/>
    <w:rsid w:val="00554225"/>
    <w:rsid w:val="00554241"/>
    <w:rsid w:val="005552CD"/>
    <w:rsid w:val="00555BF5"/>
    <w:rsid w:val="0055621B"/>
    <w:rsid w:val="00556260"/>
    <w:rsid w:val="00556299"/>
    <w:rsid w:val="0055662C"/>
    <w:rsid w:val="005569A0"/>
    <w:rsid w:val="00556AC9"/>
    <w:rsid w:val="0055783C"/>
    <w:rsid w:val="0055796F"/>
    <w:rsid w:val="005579FC"/>
    <w:rsid w:val="00557F3A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918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0B5"/>
    <w:rsid w:val="005715CA"/>
    <w:rsid w:val="00571EF6"/>
    <w:rsid w:val="00572152"/>
    <w:rsid w:val="0057220A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7A4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96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29C8"/>
    <w:rsid w:val="0059312E"/>
    <w:rsid w:val="00593302"/>
    <w:rsid w:val="005936A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97C9C"/>
    <w:rsid w:val="005A02E3"/>
    <w:rsid w:val="005A0313"/>
    <w:rsid w:val="005A03D3"/>
    <w:rsid w:val="005A0583"/>
    <w:rsid w:val="005A09EA"/>
    <w:rsid w:val="005A1163"/>
    <w:rsid w:val="005A11EE"/>
    <w:rsid w:val="005A1848"/>
    <w:rsid w:val="005A1890"/>
    <w:rsid w:val="005A1E2C"/>
    <w:rsid w:val="005A2134"/>
    <w:rsid w:val="005A252B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2CC7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B7B1A"/>
    <w:rsid w:val="005C0AE2"/>
    <w:rsid w:val="005C1B80"/>
    <w:rsid w:val="005C1BB1"/>
    <w:rsid w:val="005C205E"/>
    <w:rsid w:val="005C2548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9B9"/>
    <w:rsid w:val="005C6A44"/>
    <w:rsid w:val="005C6E37"/>
    <w:rsid w:val="005C7018"/>
    <w:rsid w:val="005C70E6"/>
    <w:rsid w:val="005C77E7"/>
    <w:rsid w:val="005C789D"/>
    <w:rsid w:val="005C7A2E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795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4B6D"/>
    <w:rsid w:val="0061531A"/>
    <w:rsid w:val="0061550B"/>
    <w:rsid w:val="00615715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17E01"/>
    <w:rsid w:val="0062027C"/>
    <w:rsid w:val="0062091F"/>
    <w:rsid w:val="0062094C"/>
    <w:rsid w:val="00620EF7"/>
    <w:rsid w:val="0062100C"/>
    <w:rsid w:val="006211BD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5B5F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6BA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6CE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3BEA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4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3FF7"/>
    <w:rsid w:val="00684724"/>
    <w:rsid w:val="00684991"/>
    <w:rsid w:val="00684BE9"/>
    <w:rsid w:val="00684F39"/>
    <w:rsid w:val="0068517F"/>
    <w:rsid w:val="00686497"/>
    <w:rsid w:val="00686753"/>
    <w:rsid w:val="00686AC6"/>
    <w:rsid w:val="006871A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921"/>
    <w:rsid w:val="006A2EB1"/>
    <w:rsid w:val="006A3306"/>
    <w:rsid w:val="006A3405"/>
    <w:rsid w:val="006A36E6"/>
    <w:rsid w:val="006A40CC"/>
    <w:rsid w:val="006A497B"/>
    <w:rsid w:val="006A4BF8"/>
    <w:rsid w:val="006A519A"/>
    <w:rsid w:val="006A546F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09"/>
    <w:rsid w:val="006C4539"/>
    <w:rsid w:val="006C525D"/>
    <w:rsid w:val="006C543B"/>
    <w:rsid w:val="006C5928"/>
    <w:rsid w:val="006C6562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FED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A62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CFF"/>
    <w:rsid w:val="00707D70"/>
    <w:rsid w:val="00710227"/>
    <w:rsid w:val="00710B0B"/>
    <w:rsid w:val="00710F13"/>
    <w:rsid w:val="00711116"/>
    <w:rsid w:val="007111D7"/>
    <w:rsid w:val="00711816"/>
    <w:rsid w:val="00712984"/>
    <w:rsid w:val="00712B65"/>
    <w:rsid w:val="00713763"/>
    <w:rsid w:val="0071390A"/>
    <w:rsid w:val="00713F25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1BA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952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119"/>
    <w:rsid w:val="0074735F"/>
    <w:rsid w:val="00747C4E"/>
    <w:rsid w:val="0075029D"/>
    <w:rsid w:val="00750501"/>
    <w:rsid w:val="00750522"/>
    <w:rsid w:val="00750DAB"/>
    <w:rsid w:val="00750EEF"/>
    <w:rsid w:val="007515C6"/>
    <w:rsid w:val="0075199F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455"/>
    <w:rsid w:val="0078253E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6D9"/>
    <w:rsid w:val="007A0DB1"/>
    <w:rsid w:val="007A114F"/>
    <w:rsid w:val="007A150C"/>
    <w:rsid w:val="007A1A37"/>
    <w:rsid w:val="007A220E"/>
    <w:rsid w:val="007A226E"/>
    <w:rsid w:val="007A2D76"/>
    <w:rsid w:val="007A2EF9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4C7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0EB6"/>
    <w:rsid w:val="007C1284"/>
    <w:rsid w:val="007C1864"/>
    <w:rsid w:val="007C1DA7"/>
    <w:rsid w:val="007C1E4E"/>
    <w:rsid w:val="007C28AB"/>
    <w:rsid w:val="007C2E0D"/>
    <w:rsid w:val="007C35BA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2F0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C0C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61F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589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173CC"/>
    <w:rsid w:val="008201A1"/>
    <w:rsid w:val="008202C0"/>
    <w:rsid w:val="00820529"/>
    <w:rsid w:val="00820CE3"/>
    <w:rsid w:val="00820D6C"/>
    <w:rsid w:val="00821177"/>
    <w:rsid w:val="008214E1"/>
    <w:rsid w:val="00821733"/>
    <w:rsid w:val="0082183F"/>
    <w:rsid w:val="00821B73"/>
    <w:rsid w:val="008228A1"/>
    <w:rsid w:val="0082298B"/>
    <w:rsid w:val="00822AB9"/>
    <w:rsid w:val="00822B62"/>
    <w:rsid w:val="00823108"/>
    <w:rsid w:val="00823EBC"/>
    <w:rsid w:val="00824078"/>
    <w:rsid w:val="00825B8B"/>
    <w:rsid w:val="0082630E"/>
    <w:rsid w:val="00826A83"/>
    <w:rsid w:val="00826B10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074"/>
    <w:rsid w:val="00841397"/>
    <w:rsid w:val="008413FC"/>
    <w:rsid w:val="00841C7C"/>
    <w:rsid w:val="00841FCA"/>
    <w:rsid w:val="008421D7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06F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612C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2E06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A5B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A7C8E"/>
    <w:rsid w:val="008A7DD7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1C7"/>
    <w:rsid w:val="008C1459"/>
    <w:rsid w:val="008C1DAA"/>
    <w:rsid w:val="008C23ED"/>
    <w:rsid w:val="008C2C43"/>
    <w:rsid w:val="008C2F7C"/>
    <w:rsid w:val="008C3763"/>
    <w:rsid w:val="008C3BD4"/>
    <w:rsid w:val="008C42C2"/>
    <w:rsid w:val="008C45DB"/>
    <w:rsid w:val="008C4DAA"/>
    <w:rsid w:val="008C4DB9"/>
    <w:rsid w:val="008C5C06"/>
    <w:rsid w:val="008C5F50"/>
    <w:rsid w:val="008C61AB"/>
    <w:rsid w:val="008C630E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3429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68E"/>
    <w:rsid w:val="008E6A78"/>
    <w:rsid w:val="008E6FA7"/>
    <w:rsid w:val="008E6FEA"/>
    <w:rsid w:val="008E7102"/>
    <w:rsid w:val="008F0E6E"/>
    <w:rsid w:val="008F13F3"/>
    <w:rsid w:val="008F25E0"/>
    <w:rsid w:val="008F2F5F"/>
    <w:rsid w:val="008F3315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3B"/>
    <w:rsid w:val="008F6D40"/>
    <w:rsid w:val="008F7504"/>
    <w:rsid w:val="00900900"/>
    <w:rsid w:val="00900CAC"/>
    <w:rsid w:val="00900CD0"/>
    <w:rsid w:val="00900EBF"/>
    <w:rsid w:val="00900FE8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BEA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810"/>
    <w:rsid w:val="00913A50"/>
    <w:rsid w:val="009145A1"/>
    <w:rsid w:val="00914A56"/>
    <w:rsid w:val="00915737"/>
    <w:rsid w:val="00916A0A"/>
    <w:rsid w:val="00917246"/>
    <w:rsid w:val="00917966"/>
    <w:rsid w:val="009200FF"/>
    <w:rsid w:val="009201F4"/>
    <w:rsid w:val="009207FF"/>
    <w:rsid w:val="00920B1A"/>
    <w:rsid w:val="00920C99"/>
    <w:rsid w:val="00920F38"/>
    <w:rsid w:val="009219D4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0D4"/>
    <w:rsid w:val="00937D2C"/>
    <w:rsid w:val="009406A9"/>
    <w:rsid w:val="009408A9"/>
    <w:rsid w:val="009409A2"/>
    <w:rsid w:val="00940DFD"/>
    <w:rsid w:val="00940E31"/>
    <w:rsid w:val="00940EBA"/>
    <w:rsid w:val="00941113"/>
    <w:rsid w:val="00941C86"/>
    <w:rsid w:val="00942157"/>
    <w:rsid w:val="009425CF"/>
    <w:rsid w:val="009428B5"/>
    <w:rsid w:val="00943836"/>
    <w:rsid w:val="009439EF"/>
    <w:rsid w:val="009447FE"/>
    <w:rsid w:val="00945628"/>
    <w:rsid w:val="0094573E"/>
    <w:rsid w:val="00945794"/>
    <w:rsid w:val="00946A4B"/>
    <w:rsid w:val="00946E7E"/>
    <w:rsid w:val="00947033"/>
    <w:rsid w:val="0094715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0C6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0DC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4E0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EC7"/>
    <w:rsid w:val="00983219"/>
    <w:rsid w:val="009832BA"/>
    <w:rsid w:val="00983823"/>
    <w:rsid w:val="00983BAF"/>
    <w:rsid w:val="00984468"/>
    <w:rsid w:val="00984721"/>
    <w:rsid w:val="009848FC"/>
    <w:rsid w:val="00984A8E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9BE"/>
    <w:rsid w:val="009B4A02"/>
    <w:rsid w:val="009B4A3C"/>
    <w:rsid w:val="009B4DF2"/>
    <w:rsid w:val="009B5A62"/>
    <w:rsid w:val="009B5E43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A3B"/>
    <w:rsid w:val="009D5B2B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0C0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7100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1E38"/>
    <w:rsid w:val="00A1271D"/>
    <w:rsid w:val="00A1274E"/>
    <w:rsid w:val="00A12967"/>
    <w:rsid w:val="00A12B88"/>
    <w:rsid w:val="00A12EF4"/>
    <w:rsid w:val="00A13777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3DE3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8F2"/>
    <w:rsid w:val="00A34ED7"/>
    <w:rsid w:val="00A35451"/>
    <w:rsid w:val="00A35525"/>
    <w:rsid w:val="00A358E2"/>
    <w:rsid w:val="00A36B5D"/>
    <w:rsid w:val="00A36BE4"/>
    <w:rsid w:val="00A37062"/>
    <w:rsid w:val="00A37DEA"/>
    <w:rsid w:val="00A403F8"/>
    <w:rsid w:val="00A4086C"/>
    <w:rsid w:val="00A4090B"/>
    <w:rsid w:val="00A413BC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7F4"/>
    <w:rsid w:val="00A53CFD"/>
    <w:rsid w:val="00A53FD1"/>
    <w:rsid w:val="00A54DF0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94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398B"/>
    <w:rsid w:val="00A73CCE"/>
    <w:rsid w:val="00A740DB"/>
    <w:rsid w:val="00A74CC4"/>
    <w:rsid w:val="00A7502B"/>
    <w:rsid w:val="00A753F6"/>
    <w:rsid w:val="00A75AF9"/>
    <w:rsid w:val="00A75E54"/>
    <w:rsid w:val="00A77119"/>
    <w:rsid w:val="00A77413"/>
    <w:rsid w:val="00A77556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563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453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4CE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8A9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A55"/>
    <w:rsid w:val="00AE0B15"/>
    <w:rsid w:val="00AE10CC"/>
    <w:rsid w:val="00AE15E9"/>
    <w:rsid w:val="00AE19BE"/>
    <w:rsid w:val="00AE1D6F"/>
    <w:rsid w:val="00AE2414"/>
    <w:rsid w:val="00AE270C"/>
    <w:rsid w:val="00AE29E0"/>
    <w:rsid w:val="00AE2A2E"/>
    <w:rsid w:val="00AE2DD5"/>
    <w:rsid w:val="00AE34C4"/>
    <w:rsid w:val="00AE365D"/>
    <w:rsid w:val="00AE36B5"/>
    <w:rsid w:val="00AE3748"/>
    <w:rsid w:val="00AE37B5"/>
    <w:rsid w:val="00AE3BCE"/>
    <w:rsid w:val="00AE3E6C"/>
    <w:rsid w:val="00AE48BD"/>
    <w:rsid w:val="00AE4BA8"/>
    <w:rsid w:val="00AE534D"/>
    <w:rsid w:val="00AE561F"/>
    <w:rsid w:val="00AE5C76"/>
    <w:rsid w:val="00AE62FE"/>
    <w:rsid w:val="00AE661C"/>
    <w:rsid w:val="00AE7851"/>
    <w:rsid w:val="00AE7D3F"/>
    <w:rsid w:val="00AF00C3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2DD"/>
    <w:rsid w:val="00B13375"/>
    <w:rsid w:val="00B133DA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69B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324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293F"/>
    <w:rsid w:val="00B62B2A"/>
    <w:rsid w:val="00B64DBF"/>
    <w:rsid w:val="00B654BE"/>
    <w:rsid w:val="00B65878"/>
    <w:rsid w:val="00B65DF1"/>
    <w:rsid w:val="00B65FE4"/>
    <w:rsid w:val="00B660D0"/>
    <w:rsid w:val="00B6620C"/>
    <w:rsid w:val="00B663E1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CE8"/>
    <w:rsid w:val="00B75E4B"/>
    <w:rsid w:val="00B76140"/>
    <w:rsid w:val="00B76735"/>
    <w:rsid w:val="00B773CD"/>
    <w:rsid w:val="00B77F00"/>
    <w:rsid w:val="00B808AD"/>
    <w:rsid w:val="00B80D2C"/>
    <w:rsid w:val="00B818BE"/>
    <w:rsid w:val="00B82280"/>
    <w:rsid w:val="00B82430"/>
    <w:rsid w:val="00B836E2"/>
    <w:rsid w:val="00B84DB7"/>
    <w:rsid w:val="00B84DEB"/>
    <w:rsid w:val="00B85296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32C"/>
    <w:rsid w:val="00BA282E"/>
    <w:rsid w:val="00BA36D1"/>
    <w:rsid w:val="00BA46E4"/>
    <w:rsid w:val="00BA4B7F"/>
    <w:rsid w:val="00BA4B98"/>
    <w:rsid w:val="00BA59F3"/>
    <w:rsid w:val="00BA59FB"/>
    <w:rsid w:val="00BA62D2"/>
    <w:rsid w:val="00BA64A4"/>
    <w:rsid w:val="00BA6BF9"/>
    <w:rsid w:val="00BB024C"/>
    <w:rsid w:val="00BB0B92"/>
    <w:rsid w:val="00BB0C7B"/>
    <w:rsid w:val="00BB1AD5"/>
    <w:rsid w:val="00BB238C"/>
    <w:rsid w:val="00BB29B8"/>
    <w:rsid w:val="00BB2B18"/>
    <w:rsid w:val="00BB2B31"/>
    <w:rsid w:val="00BB2E8C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3A3B"/>
    <w:rsid w:val="00BC412B"/>
    <w:rsid w:val="00BC49AC"/>
    <w:rsid w:val="00BC4C94"/>
    <w:rsid w:val="00BC4CCE"/>
    <w:rsid w:val="00BC58CF"/>
    <w:rsid w:val="00BC5A67"/>
    <w:rsid w:val="00BC65FB"/>
    <w:rsid w:val="00BC7DC2"/>
    <w:rsid w:val="00BD04CE"/>
    <w:rsid w:val="00BD15D1"/>
    <w:rsid w:val="00BD18D0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2AA"/>
    <w:rsid w:val="00BE077B"/>
    <w:rsid w:val="00BE0AFC"/>
    <w:rsid w:val="00BE157E"/>
    <w:rsid w:val="00BE1D96"/>
    <w:rsid w:val="00BE1F16"/>
    <w:rsid w:val="00BE2189"/>
    <w:rsid w:val="00BE2677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3B69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43C"/>
    <w:rsid w:val="00C076B3"/>
    <w:rsid w:val="00C0788C"/>
    <w:rsid w:val="00C07897"/>
    <w:rsid w:val="00C07F54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30C9D"/>
    <w:rsid w:val="00C30F82"/>
    <w:rsid w:val="00C30F8D"/>
    <w:rsid w:val="00C3142A"/>
    <w:rsid w:val="00C31A49"/>
    <w:rsid w:val="00C31A4A"/>
    <w:rsid w:val="00C31DA6"/>
    <w:rsid w:val="00C31E0A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3A1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D07"/>
    <w:rsid w:val="00C52555"/>
    <w:rsid w:val="00C5280E"/>
    <w:rsid w:val="00C5297F"/>
    <w:rsid w:val="00C52A04"/>
    <w:rsid w:val="00C52AB1"/>
    <w:rsid w:val="00C52E26"/>
    <w:rsid w:val="00C531F3"/>
    <w:rsid w:val="00C5444A"/>
    <w:rsid w:val="00C546E7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4F7"/>
    <w:rsid w:val="00C635B3"/>
    <w:rsid w:val="00C63F24"/>
    <w:rsid w:val="00C643A0"/>
    <w:rsid w:val="00C64563"/>
    <w:rsid w:val="00C65651"/>
    <w:rsid w:val="00C65AEA"/>
    <w:rsid w:val="00C6678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39D8"/>
    <w:rsid w:val="00C73C85"/>
    <w:rsid w:val="00C740DA"/>
    <w:rsid w:val="00C74148"/>
    <w:rsid w:val="00C741D3"/>
    <w:rsid w:val="00C7421E"/>
    <w:rsid w:val="00C74BE3"/>
    <w:rsid w:val="00C74FC7"/>
    <w:rsid w:val="00C75084"/>
    <w:rsid w:val="00C75352"/>
    <w:rsid w:val="00C75412"/>
    <w:rsid w:val="00C7599A"/>
    <w:rsid w:val="00C75DB6"/>
    <w:rsid w:val="00C75E97"/>
    <w:rsid w:val="00C762A3"/>
    <w:rsid w:val="00C76811"/>
    <w:rsid w:val="00C76A4C"/>
    <w:rsid w:val="00C77F18"/>
    <w:rsid w:val="00C80327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4EED"/>
    <w:rsid w:val="00C852C1"/>
    <w:rsid w:val="00C85AA9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59B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59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3A3D"/>
    <w:rsid w:val="00CC58E8"/>
    <w:rsid w:val="00CC6137"/>
    <w:rsid w:val="00CC65D0"/>
    <w:rsid w:val="00CC6B79"/>
    <w:rsid w:val="00CC6C93"/>
    <w:rsid w:val="00CC6CC6"/>
    <w:rsid w:val="00CD01B1"/>
    <w:rsid w:val="00CD0DFA"/>
    <w:rsid w:val="00CD16D4"/>
    <w:rsid w:val="00CD2AB4"/>
    <w:rsid w:val="00CD2CD6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BA2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D7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5D52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562"/>
    <w:rsid w:val="00D15873"/>
    <w:rsid w:val="00D15A45"/>
    <w:rsid w:val="00D165B1"/>
    <w:rsid w:val="00D16C7D"/>
    <w:rsid w:val="00D17213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4FD9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2FA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5E45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369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833"/>
    <w:rsid w:val="00D54B6E"/>
    <w:rsid w:val="00D54E96"/>
    <w:rsid w:val="00D561DB"/>
    <w:rsid w:val="00D57113"/>
    <w:rsid w:val="00D5739C"/>
    <w:rsid w:val="00D576B5"/>
    <w:rsid w:val="00D57B83"/>
    <w:rsid w:val="00D57E3B"/>
    <w:rsid w:val="00D607D5"/>
    <w:rsid w:val="00D60CF1"/>
    <w:rsid w:val="00D61379"/>
    <w:rsid w:val="00D61496"/>
    <w:rsid w:val="00D614C7"/>
    <w:rsid w:val="00D61740"/>
    <w:rsid w:val="00D61AAE"/>
    <w:rsid w:val="00D61C86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C7D"/>
    <w:rsid w:val="00D65DB4"/>
    <w:rsid w:val="00D65F33"/>
    <w:rsid w:val="00D67195"/>
    <w:rsid w:val="00D6741A"/>
    <w:rsid w:val="00D67A1A"/>
    <w:rsid w:val="00D67B88"/>
    <w:rsid w:val="00D67EC1"/>
    <w:rsid w:val="00D67FF6"/>
    <w:rsid w:val="00D70088"/>
    <w:rsid w:val="00D7101A"/>
    <w:rsid w:val="00D71DCD"/>
    <w:rsid w:val="00D7208B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4206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0A0"/>
    <w:rsid w:val="00D855BF"/>
    <w:rsid w:val="00D85934"/>
    <w:rsid w:val="00D859E9"/>
    <w:rsid w:val="00D85E50"/>
    <w:rsid w:val="00D867CA"/>
    <w:rsid w:val="00D86E53"/>
    <w:rsid w:val="00D879A8"/>
    <w:rsid w:val="00D90119"/>
    <w:rsid w:val="00D90495"/>
    <w:rsid w:val="00D90D22"/>
    <w:rsid w:val="00D9100B"/>
    <w:rsid w:val="00D918CE"/>
    <w:rsid w:val="00D91F94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625"/>
    <w:rsid w:val="00D93AB1"/>
    <w:rsid w:val="00D93BDD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786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7D1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4D9"/>
    <w:rsid w:val="00DD4796"/>
    <w:rsid w:val="00DD4D39"/>
    <w:rsid w:val="00DD4EBF"/>
    <w:rsid w:val="00DD4FA4"/>
    <w:rsid w:val="00DD6211"/>
    <w:rsid w:val="00DD65A8"/>
    <w:rsid w:val="00DD6C5F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C01"/>
    <w:rsid w:val="00DE1D58"/>
    <w:rsid w:val="00DE2611"/>
    <w:rsid w:val="00DE2D43"/>
    <w:rsid w:val="00DE308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E7DE1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115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B50"/>
    <w:rsid w:val="00E22E4D"/>
    <w:rsid w:val="00E22FF1"/>
    <w:rsid w:val="00E23163"/>
    <w:rsid w:val="00E232DA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B96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316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3B68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0D7A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76F"/>
    <w:rsid w:val="00E70AB6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14E0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796"/>
    <w:rsid w:val="00E909BF"/>
    <w:rsid w:val="00E90E59"/>
    <w:rsid w:val="00E912EA"/>
    <w:rsid w:val="00E914CE"/>
    <w:rsid w:val="00E91B46"/>
    <w:rsid w:val="00E91CAC"/>
    <w:rsid w:val="00E921B2"/>
    <w:rsid w:val="00E922E1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02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2A6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74C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5CC9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ADC"/>
    <w:rsid w:val="00ED1C45"/>
    <w:rsid w:val="00ED21B9"/>
    <w:rsid w:val="00ED2911"/>
    <w:rsid w:val="00ED2A38"/>
    <w:rsid w:val="00ED30F6"/>
    <w:rsid w:val="00ED3991"/>
    <w:rsid w:val="00ED4723"/>
    <w:rsid w:val="00ED4982"/>
    <w:rsid w:val="00ED4CC9"/>
    <w:rsid w:val="00ED5849"/>
    <w:rsid w:val="00ED5D4A"/>
    <w:rsid w:val="00ED6176"/>
    <w:rsid w:val="00ED626E"/>
    <w:rsid w:val="00ED6A80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E87"/>
    <w:rsid w:val="00EF51F2"/>
    <w:rsid w:val="00EF52FA"/>
    <w:rsid w:val="00EF5BB2"/>
    <w:rsid w:val="00EF5D21"/>
    <w:rsid w:val="00EF6532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954"/>
    <w:rsid w:val="00F04B1C"/>
    <w:rsid w:val="00F04B4E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0AD"/>
    <w:rsid w:val="00F15201"/>
    <w:rsid w:val="00F15384"/>
    <w:rsid w:val="00F15EE0"/>
    <w:rsid w:val="00F16D76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26C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07B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3C6F"/>
    <w:rsid w:val="00F54629"/>
    <w:rsid w:val="00F54813"/>
    <w:rsid w:val="00F5487D"/>
    <w:rsid w:val="00F56B4B"/>
    <w:rsid w:val="00F57657"/>
    <w:rsid w:val="00F57A6D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3F4"/>
    <w:rsid w:val="00F747E2"/>
    <w:rsid w:val="00F749E1"/>
    <w:rsid w:val="00F75304"/>
    <w:rsid w:val="00F7530B"/>
    <w:rsid w:val="00F7538D"/>
    <w:rsid w:val="00F75ACE"/>
    <w:rsid w:val="00F765C7"/>
    <w:rsid w:val="00F767DE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8D9"/>
    <w:rsid w:val="00F85DCA"/>
    <w:rsid w:val="00F85F5E"/>
    <w:rsid w:val="00F8675F"/>
    <w:rsid w:val="00F87161"/>
    <w:rsid w:val="00F876EC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1EF4"/>
    <w:rsid w:val="00FA2909"/>
    <w:rsid w:val="00FA2CB0"/>
    <w:rsid w:val="00FA2CDD"/>
    <w:rsid w:val="00FA2DEE"/>
    <w:rsid w:val="00FA2F2A"/>
    <w:rsid w:val="00FA303F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7A4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4DC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6E3"/>
    <w:rsid w:val="00FE0975"/>
    <w:rsid w:val="00FE09D2"/>
    <w:rsid w:val="00FE0AE5"/>
    <w:rsid w:val="00FE1ABE"/>
    <w:rsid w:val="00FE2341"/>
    <w:rsid w:val="00FE2628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5DED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22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D29C1"/>
    <w:pPr>
      <w:spacing w:line="480" w:lineRule="auto"/>
      <w:ind w:firstLine="7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D29C1"/>
    <w:rPr>
      <w:rFonts w:ascii="Times New Roman" w:eastAsia="Calibri" w:hAnsi="Times New Roman" w:cs="Times New Roman"/>
      <w:szCs w:val="24"/>
    </w:rPr>
  </w:style>
  <w:style w:type="character" w:styleId="CommentReference">
    <w:name w:val="annotation reference"/>
    <w:basedOn w:val="DefaultParagraphFont"/>
    <w:rsid w:val="003C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F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3C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9F2"/>
    <w:rPr>
      <w:rFonts w:ascii="Times New Roman" w:hAnsi="Times New Roman" w:cs="Times New Roman"/>
      <w:b/>
      <w:bCs/>
      <w:sz w:val="20"/>
    </w:rPr>
  </w:style>
  <w:style w:type="paragraph" w:styleId="Revision">
    <w:name w:val="Revision"/>
    <w:hidden/>
    <w:uiPriority w:val="99"/>
    <w:semiHidden/>
    <w:rsid w:val="003C29F2"/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19206B"/>
    <w:rPr>
      <w:rFonts w:eastAsia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53C6F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BF45-DAA9-4756-8977-8A6976BD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3</cp:revision>
  <cp:lastPrinted>2017-09-26T13:10:00Z</cp:lastPrinted>
  <dcterms:created xsi:type="dcterms:W3CDTF">2017-09-26T15:06:00Z</dcterms:created>
  <dcterms:modified xsi:type="dcterms:W3CDTF">2017-09-26T19:10:00Z</dcterms:modified>
</cp:coreProperties>
</file>