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3" w:type="dxa"/>
        <w:jc w:val="center"/>
        <w:tblLook w:val="0600" w:firstRow="0" w:lastRow="0" w:firstColumn="0" w:lastColumn="0" w:noHBand="1" w:noVBand="1"/>
      </w:tblPr>
      <w:tblGrid>
        <w:gridCol w:w="5850"/>
        <w:gridCol w:w="5223"/>
      </w:tblGrid>
      <w:tr w:rsidR="00DC06FB" w:rsidRPr="00012730" w:rsidTr="00094EFD">
        <w:trPr>
          <w:trHeight w:val="1673"/>
          <w:jc w:val="center"/>
        </w:trPr>
        <w:tc>
          <w:tcPr>
            <w:tcW w:w="5850" w:type="dxa"/>
            <w:tcBorders>
              <w:bottom w:val="single" w:sz="4" w:space="0" w:color="auto"/>
            </w:tcBorders>
          </w:tcPr>
          <w:p w:rsidR="00DC06FB" w:rsidRPr="00012730" w:rsidRDefault="00DC06FB" w:rsidP="002A24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129A616A" wp14:editId="4797C93E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DC06FB" w:rsidRDefault="00DC06FB" w:rsidP="002A24B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DC06FB" w:rsidRDefault="00DC06FB" w:rsidP="002A24B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DC06FB" w:rsidRDefault="00DC06FB" w:rsidP="002A24BA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DC06FB" w:rsidRDefault="00DC06FB" w:rsidP="002A24BA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DC06FB" w:rsidRPr="00ED74D9" w:rsidRDefault="00DC06FB" w:rsidP="002A24BA">
            <w:pPr>
              <w:rPr>
                <w:b/>
                <w:bCs/>
                <w:sz w:val="16"/>
                <w:szCs w:val="16"/>
              </w:rPr>
            </w:pPr>
          </w:p>
          <w:p w:rsidR="00DC06FB" w:rsidRDefault="00DC06FB" w:rsidP="002A24BA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Pr="00581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1133-A</w:t>
            </w:r>
          </w:p>
          <w:p w:rsidR="00DC06FB" w:rsidRPr="00A267C7" w:rsidRDefault="00DC06FB" w:rsidP="002A24BA">
            <w:pPr>
              <w:rPr>
                <w:color w:val="FF0000"/>
                <w:sz w:val="16"/>
                <w:szCs w:val="16"/>
              </w:rPr>
            </w:pPr>
          </w:p>
          <w:p w:rsidR="00DC06FB" w:rsidRPr="00A267C7" w:rsidRDefault="00DC06FB" w:rsidP="002A24BA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DC06FB" w:rsidRPr="00012730" w:rsidTr="00094EFD">
        <w:trPr>
          <w:trHeight w:val="1048"/>
          <w:jc w:val="center"/>
        </w:trPr>
        <w:tc>
          <w:tcPr>
            <w:tcW w:w="5850" w:type="dxa"/>
            <w:tcBorders>
              <w:top w:val="single" w:sz="4" w:space="0" w:color="auto"/>
            </w:tcBorders>
          </w:tcPr>
          <w:p w:rsidR="00DC06FB" w:rsidRPr="0063076D" w:rsidRDefault="00DC06FB" w:rsidP="002A24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>
              <w:rPr>
                <w:spacing w:val="-3"/>
              </w:rPr>
              <w:t xml:space="preserve">Local Law </w:t>
            </w:r>
            <w:r w:rsidRPr="00DC06FB">
              <w:rPr>
                <w:spacing w:val="-3"/>
              </w:rPr>
              <w:t>to amend the administrative code of the city of New York, in relation to the denial of certain building permits where outstanding charges are owed to the city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DC06FB" w:rsidRPr="00422B5D" w:rsidRDefault="00DC06FB" w:rsidP="002A24BA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2F17D9">
              <w:t xml:space="preserve">Council Members </w:t>
            </w:r>
            <w:r w:rsidRPr="00DC06FB">
              <w:t>Vacca, Rose, Chin, Grodenchik, Williams, Kallos, Rosenthal and Ulrich</w:t>
            </w:r>
          </w:p>
        </w:tc>
      </w:tr>
    </w:tbl>
    <w:p w:rsidR="00DC06FB" w:rsidRDefault="00DC06FB" w:rsidP="00094EFD">
      <w:pPr>
        <w:spacing w:before="100" w:beforeAutospacing="1"/>
      </w:pPr>
      <w:r>
        <w:rPr>
          <w:b/>
          <w:smallCaps/>
        </w:rPr>
        <w:t>Summary</w:t>
      </w:r>
      <w:bookmarkStart w:id="0" w:name="_GoBack"/>
      <w:bookmarkEnd w:id="0"/>
      <w:r>
        <w:rPr>
          <w:b/>
          <w:smallCaps/>
        </w:rPr>
        <w:t xml:space="preserve"> of Legislation:</w:t>
      </w:r>
      <w:r>
        <w:t xml:space="preserve"> Proposed Intro. No. 1133-A </w:t>
      </w:r>
      <w:r w:rsidRPr="0080234B">
        <w:t>would</w:t>
      </w:r>
      <w:r w:rsidRPr="00DC06FB">
        <w:t xml:space="preserve"> require the Department of Buildings</w:t>
      </w:r>
      <w:r>
        <w:t xml:space="preserve"> (DOB)</w:t>
      </w:r>
      <w:r w:rsidRPr="00DC06FB">
        <w:t xml:space="preserve"> to withhold building permits </w:t>
      </w:r>
      <w:r>
        <w:t xml:space="preserve">for new buildings, demolitions </w:t>
      </w:r>
      <w:r w:rsidR="001F5209">
        <w:t xml:space="preserve">and major alterations </w:t>
      </w:r>
      <w:r w:rsidRPr="00DC06FB">
        <w:t xml:space="preserve">for certain properties </w:t>
      </w:r>
      <w:proofErr w:type="spellStart"/>
      <w:r w:rsidRPr="00DC06FB">
        <w:t>where</w:t>
      </w:r>
      <w:proofErr w:type="spellEnd"/>
      <w:r w:rsidRPr="00DC06FB">
        <w:t xml:space="preserve"> $25,000 or more in unpaid charges are owed to the city or where the owners of such properties owe, in aggregate, $25,000 or more in unpaid charges to the city. The bill </w:t>
      </w:r>
      <w:r>
        <w:t>would provide</w:t>
      </w:r>
      <w:r w:rsidRPr="00DC06FB">
        <w:t xml:space="preserve"> certain exceptions to this prohibition, such as where the permit would be required t</w:t>
      </w:r>
      <w:r w:rsidR="00744427">
        <w:t xml:space="preserve">o correct a dangerous condition </w:t>
      </w:r>
      <w:r w:rsidR="00B023FC">
        <w:t xml:space="preserve">or </w:t>
      </w:r>
      <w:r w:rsidR="00744427">
        <w:t xml:space="preserve">where the applicant </w:t>
      </w:r>
      <w:r w:rsidR="00B023FC">
        <w:t xml:space="preserve">has </w:t>
      </w:r>
      <w:r w:rsidR="00744427">
        <w:t>enter</w:t>
      </w:r>
      <w:r w:rsidR="00B023FC">
        <w:t>ed</w:t>
      </w:r>
      <w:r w:rsidR="00744427">
        <w:t xml:space="preserve"> a repayment plan with the New York City Department of Finance (DOF). </w:t>
      </w:r>
    </w:p>
    <w:p w:rsidR="00DC06FB" w:rsidRPr="007A41B9" w:rsidRDefault="00DC06FB" w:rsidP="00094EFD">
      <w:pPr>
        <w:rPr>
          <w:rFonts w:eastAsia="Calibri"/>
        </w:rPr>
      </w:pPr>
    </w:p>
    <w:p w:rsidR="00DC06FB" w:rsidRDefault="00DC06FB" w:rsidP="00DC06FB">
      <w:pPr>
        <w:pStyle w:val="FlushLeft"/>
        <w:rPr>
          <w:spacing w:val="-3"/>
        </w:rPr>
      </w:pPr>
      <w:r w:rsidRPr="00012730">
        <w:rPr>
          <w:b/>
          <w:smallCaps/>
        </w:rPr>
        <w:t>Effective Date:</w:t>
      </w:r>
      <w:r>
        <w:t xml:space="preserve"> </w:t>
      </w:r>
      <w:r w:rsidRPr="00E1742D">
        <w:rPr>
          <w:spacing w:val="-3"/>
        </w:rPr>
        <w:t xml:space="preserve">This local law </w:t>
      </w:r>
      <w:r>
        <w:rPr>
          <w:spacing w:val="-3"/>
        </w:rPr>
        <w:t>would take</w:t>
      </w:r>
      <w:r w:rsidRPr="00E1742D">
        <w:rPr>
          <w:spacing w:val="-3"/>
        </w:rPr>
        <w:t xml:space="preserve"> effect 120 days after i</w:t>
      </w:r>
      <w:r>
        <w:rPr>
          <w:spacing w:val="-3"/>
        </w:rPr>
        <w:t>t becomes law, except that the Commissioner of B</w:t>
      </w:r>
      <w:r w:rsidRPr="00E1742D">
        <w:rPr>
          <w:spacing w:val="-3"/>
        </w:rPr>
        <w:t>uildings may take such measures as are necessary for its implementation, including the promulgation of rules, prior to its effective date.</w:t>
      </w:r>
    </w:p>
    <w:p w:rsidR="00DC06FB" w:rsidRPr="00012730" w:rsidRDefault="00DC06FB" w:rsidP="00DC06FB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</w:t>
      </w:r>
      <w:r w:rsidR="00B023FC">
        <w:t>9</w:t>
      </w:r>
    </w:p>
    <w:p w:rsidR="00DC06FB" w:rsidRDefault="00DC06FB" w:rsidP="00DC06FB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DC06FB" w:rsidRPr="00012730" w:rsidRDefault="00DC06FB" w:rsidP="00DC06FB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C06FB" w:rsidRPr="00012730" w:rsidTr="002A24BA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06FB" w:rsidRPr="001A6C74" w:rsidRDefault="00DC06FB" w:rsidP="002A24BA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DC06FB" w:rsidRPr="001A6C74" w:rsidRDefault="00DC06FB" w:rsidP="002A24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06FB" w:rsidRPr="001A6C74" w:rsidRDefault="00DC06FB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FY18</w:t>
            </w:r>
          </w:p>
          <w:p w:rsidR="00DC06FB" w:rsidRPr="001A6C74" w:rsidRDefault="00DC06FB" w:rsidP="002A24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06FB" w:rsidRPr="001A6C74" w:rsidRDefault="00DC06FB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C06FB" w:rsidRPr="001A6C74" w:rsidRDefault="00DC06FB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FY19</w:t>
            </w:r>
          </w:p>
        </w:tc>
      </w:tr>
      <w:tr w:rsidR="00E90659" w:rsidRPr="00012730" w:rsidTr="00A4246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0659" w:rsidRPr="001A6C74" w:rsidRDefault="00E90659" w:rsidP="00E90659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90659" w:rsidRPr="001A6C74" w:rsidRDefault="00827485" w:rsidP="008C7F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See below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90659" w:rsidRDefault="00827485" w:rsidP="008C7F88">
            <w:pPr>
              <w:jc w:val="center"/>
            </w:pPr>
            <w:r>
              <w:rPr>
                <w:bCs/>
                <w:sz w:val="22"/>
                <w:szCs w:val="22"/>
              </w:rPr>
              <w:t>See below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90659" w:rsidRDefault="00827485" w:rsidP="008C7F88">
            <w:pPr>
              <w:jc w:val="center"/>
            </w:pPr>
            <w:r>
              <w:rPr>
                <w:bCs/>
                <w:sz w:val="22"/>
                <w:szCs w:val="22"/>
              </w:rPr>
              <w:t>See below</w:t>
            </w:r>
          </w:p>
        </w:tc>
      </w:tr>
      <w:tr w:rsidR="00DC06FB" w:rsidRPr="00B56409" w:rsidTr="00835BF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06FB" w:rsidRPr="001A6C74" w:rsidRDefault="00DC06FB" w:rsidP="00DC06F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06FB" w:rsidRPr="00B56409" w:rsidRDefault="00DC06FB" w:rsidP="008C7F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06FB" w:rsidRDefault="00DC06FB" w:rsidP="008C7F88">
            <w:pPr>
              <w:jc w:val="center"/>
            </w:pPr>
            <w:r w:rsidRPr="00932BFA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C06FB" w:rsidRDefault="00DC06FB" w:rsidP="008C7F88">
            <w:pPr>
              <w:jc w:val="center"/>
            </w:pPr>
            <w:r w:rsidRPr="00932BFA">
              <w:rPr>
                <w:bCs/>
                <w:sz w:val="22"/>
                <w:szCs w:val="22"/>
              </w:rPr>
              <w:t>$0</w:t>
            </w:r>
          </w:p>
        </w:tc>
      </w:tr>
      <w:tr w:rsidR="008C7F88" w:rsidRPr="00012730" w:rsidTr="00D31CD4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8C7F88" w:rsidRPr="001A6C74" w:rsidRDefault="008C7F88" w:rsidP="008C7F88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8C7F88" w:rsidRDefault="00827485" w:rsidP="008C7F88">
            <w:pPr>
              <w:jc w:val="center"/>
            </w:pPr>
            <w:r>
              <w:rPr>
                <w:bCs/>
                <w:sz w:val="22"/>
                <w:szCs w:val="22"/>
              </w:rPr>
              <w:t>See below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C7F88" w:rsidRDefault="00827485" w:rsidP="008C7F88">
            <w:pPr>
              <w:jc w:val="center"/>
            </w:pPr>
            <w:r>
              <w:rPr>
                <w:bCs/>
                <w:sz w:val="22"/>
                <w:szCs w:val="22"/>
              </w:rPr>
              <w:t>See below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8C7F88" w:rsidRDefault="00827485" w:rsidP="008C7F88">
            <w:pPr>
              <w:jc w:val="center"/>
            </w:pPr>
            <w:r>
              <w:rPr>
                <w:bCs/>
                <w:sz w:val="22"/>
                <w:szCs w:val="22"/>
              </w:rPr>
              <w:t>See below</w:t>
            </w:r>
          </w:p>
        </w:tc>
      </w:tr>
    </w:tbl>
    <w:p w:rsidR="00DC06FB" w:rsidRPr="00012730" w:rsidRDefault="00DC06FB" w:rsidP="00DC06FB">
      <w:pPr>
        <w:spacing w:before="120"/>
      </w:pPr>
    </w:p>
    <w:p w:rsidR="00F4375B" w:rsidRDefault="00DC06FB" w:rsidP="0066218C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BD56AF">
        <w:t xml:space="preserve">It </w:t>
      </w:r>
      <w:proofErr w:type="gramStart"/>
      <w:r w:rsidRPr="00BD56AF">
        <w:t>is e</w:t>
      </w:r>
      <w:r w:rsidR="001F5209">
        <w:t>stimated</w:t>
      </w:r>
      <w:proofErr w:type="gramEnd"/>
      <w:r w:rsidR="001F5209">
        <w:t xml:space="preserve"> that there would be some </w:t>
      </w:r>
      <w:r w:rsidR="00022E21">
        <w:t>increase in</w:t>
      </w:r>
      <w:r w:rsidRPr="00BD56AF">
        <w:t xml:space="preserve"> revenues resulting from th</w:t>
      </w:r>
      <w:r>
        <w:t xml:space="preserve">e enactment of this legislation. </w:t>
      </w:r>
      <w:r w:rsidR="001F5209" w:rsidRPr="00882141">
        <w:t xml:space="preserve">In 2016, DOB issued approximately </w:t>
      </w:r>
      <w:r w:rsidR="00882141" w:rsidRPr="00882141">
        <w:t xml:space="preserve">109,277 building permits, of which </w:t>
      </w:r>
      <w:r w:rsidR="001F5209" w:rsidRPr="00882141">
        <w:t xml:space="preserve">5,600 permits </w:t>
      </w:r>
      <w:r w:rsidR="00882141" w:rsidRPr="00882141">
        <w:t xml:space="preserve">were </w:t>
      </w:r>
      <w:r w:rsidR="001F5209" w:rsidRPr="00882141">
        <w:t>for new buildings and major alterations.</w:t>
      </w:r>
      <w:r w:rsidR="00054600" w:rsidRPr="00882141">
        <w:t xml:space="preserve"> </w:t>
      </w:r>
      <w:r w:rsidR="007431A5">
        <w:t>I</w:t>
      </w:r>
      <w:r w:rsidR="00054600" w:rsidRPr="007431A5">
        <w:t>n 2016, o</w:t>
      </w:r>
      <w:r w:rsidR="001F5209" w:rsidRPr="007431A5">
        <w:t xml:space="preserve">n average, each permit issued by DOB generated about $1,469 in revenue for the City. </w:t>
      </w:r>
      <w:r w:rsidR="001F5209">
        <w:t>According to testimony provid</w:t>
      </w:r>
      <w:r w:rsidR="00E90659">
        <w:t xml:space="preserve">ed by </w:t>
      </w:r>
      <w:r w:rsidR="00744427">
        <w:t>DOF</w:t>
      </w:r>
      <w:r w:rsidR="00E90659">
        <w:t xml:space="preserve">, there </w:t>
      </w:r>
      <w:r w:rsidR="00E90659" w:rsidRPr="00E90659">
        <w:t xml:space="preserve">are </w:t>
      </w:r>
      <w:r w:rsidR="00E90659">
        <w:t xml:space="preserve">currently </w:t>
      </w:r>
      <w:r w:rsidR="00E90659" w:rsidRPr="00E90659">
        <w:t xml:space="preserve">10,000 entities that have </w:t>
      </w:r>
      <w:r w:rsidR="00E90659">
        <w:t xml:space="preserve">$25,000 </w:t>
      </w:r>
      <w:r w:rsidR="007431A5">
        <w:t xml:space="preserve">in outstanding </w:t>
      </w:r>
      <w:r w:rsidR="00744427">
        <w:t>past due fees</w:t>
      </w:r>
      <w:r w:rsidR="00E90659">
        <w:t xml:space="preserve">. </w:t>
      </w:r>
      <w:r w:rsidR="0066218C">
        <w:t xml:space="preserve">However, </w:t>
      </w:r>
      <w:r w:rsidR="00BE72BE">
        <w:t>due to data limitations</w:t>
      </w:r>
      <w:r w:rsidR="0066218C">
        <w:t xml:space="preserve">, it </w:t>
      </w:r>
      <w:proofErr w:type="gramStart"/>
      <w:r w:rsidR="0066218C">
        <w:t>is not known</w:t>
      </w:r>
      <w:proofErr w:type="gramEnd"/>
      <w:r w:rsidR="0066218C">
        <w:t xml:space="preserve"> how many of these entities would apply for a building</w:t>
      </w:r>
      <w:r w:rsidR="00F4375B">
        <w:t xml:space="preserve"> permit</w:t>
      </w:r>
      <w:r w:rsidR="00B023FC">
        <w:t xml:space="preserve"> after the enactment of this legislation. In addition</w:t>
      </w:r>
      <w:r w:rsidR="00BE72BE">
        <w:t>,</w:t>
      </w:r>
      <w:r w:rsidR="00F732AA">
        <w:t xml:space="preserve"> it is not known </w:t>
      </w:r>
      <w:r w:rsidR="00B023FC">
        <w:t>how many might</w:t>
      </w:r>
      <w:r w:rsidR="00BE72BE">
        <w:t xml:space="preserve"> enter into a repayment plan with the City, pay off all outstanding debt, or </w:t>
      </w:r>
      <w:proofErr w:type="gramStart"/>
      <w:r w:rsidR="00BE72BE">
        <w:t>be denied</w:t>
      </w:r>
      <w:proofErr w:type="gramEnd"/>
      <w:r w:rsidR="00BE72BE">
        <w:t xml:space="preserve"> a building permit in accordance with the legislation</w:t>
      </w:r>
      <w:r w:rsidR="00F4375B">
        <w:t xml:space="preserve">. </w:t>
      </w:r>
      <w:r w:rsidR="00BE72BE" w:rsidRPr="00BE72BE">
        <w:t xml:space="preserve">To the extent that this legislation incentivizes the payment of unpaid charges, it </w:t>
      </w:r>
      <w:proofErr w:type="gramStart"/>
      <w:r w:rsidR="00BE72BE" w:rsidRPr="00BE72BE">
        <w:t>is anticipated</w:t>
      </w:r>
      <w:proofErr w:type="gramEnd"/>
      <w:r w:rsidR="00BE72BE" w:rsidRPr="00BE72BE">
        <w:t xml:space="preserve"> that</w:t>
      </w:r>
      <w:r w:rsidR="00BE72BE">
        <w:t xml:space="preserve"> this would result in an increase in revenue to the City. </w:t>
      </w:r>
      <w:r w:rsidR="00B023FC">
        <w:t xml:space="preserve">To the extent that this legislation would cause an entity to </w:t>
      </w:r>
      <w:proofErr w:type="gramStart"/>
      <w:r w:rsidR="00B023FC">
        <w:t>be denied</w:t>
      </w:r>
      <w:proofErr w:type="gramEnd"/>
      <w:r w:rsidR="00B023FC">
        <w:t xml:space="preserve"> a permit it would have received in the absence of this legislation,</w:t>
      </w:r>
      <w:r w:rsidR="00B173AF">
        <w:t xml:space="preserve"> </w:t>
      </w:r>
      <w:r w:rsidR="00BE72BE">
        <w:t>this</w:t>
      </w:r>
      <w:r w:rsidR="00B173AF">
        <w:t xml:space="preserve"> would result in a loss of revenue to the City</w:t>
      </w:r>
      <w:r w:rsidR="00BE72BE">
        <w:t xml:space="preserve">. </w:t>
      </w:r>
    </w:p>
    <w:p w:rsidR="00DC06FB" w:rsidRPr="00DC06FB" w:rsidRDefault="00DC06FB" w:rsidP="00DC06FB">
      <w:pPr>
        <w:spacing w:before="240"/>
      </w:pPr>
      <w:r w:rsidRPr="005D3344">
        <w:rPr>
          <w:b/>
          <w:smallCaps/>
        </w:rPr>
        <w:t>Impact on Expenditures:</w:t>
      </w:r>
      <w:r w:rsidRPr="005D3344">
        <w:t xml:space="preserve"> </w:t>
      </w:r>
      <w:r w:rsidRPr="00DC06FB">
        <w:t xml:space="preserve">It </w:t>
      </w:r>
      <w:proofErr w:type="gramStart"/>
      <w:r w:rsidRPr="00DC06FB">
        <w:t>is estimated</w:t>
      </w:r>
      <w:proofErr w:type="gramEnd"/>
      <w:r w:rsidRPr="00DC06FB">
        <w:t xml:space="preserve"> that there would be no impact on </w:t>
      </w:r>
      <w:r>
        <w:t>expenditures</w:t>
      </w:r>
      <w:r w:rsidRPr="00DC06FB">
        <w:t xml:space="preserve"> resulting from the enactment of this legislation.</w:t>
      </w:r>
    </w:p>
    <w:p w:rsidR="00DC06FB" w:rsidRDefault="00DC06FB" w:rsidP="00DC06FB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DC06FB" w:rsidRDefault="00DC06FB" w:rsidP="00DC06FB">
      <w:pPr>
        <w:pStyle w:val="NoSpacing"/>
        <w:rPr>
          <w:b/>
          <w:smallCaps/>
        </w:rPr>
      </w:pPr>
    </w:p>
    <w:p w:rsidR="00DC06FB" w:rsidRDefault="00DC06FB" w:rsidP="00DC06FB">
      <w:pPr>
        <w:pStyle w:val="NoSpacing"/>
      </w:pPr>
      <w:r w:rsidRPr="00ED532F">
        <w:rPr>
          <w:b/>
          <w:smallCaps/>
        </w:rPr>
        <w:lastRenderedPageBreak/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DC06FB" w:rsidRDefault="00DC06FB" w:rsidP="00DC06FB">
      <w:pPr>
        <w:pStyle w:val="NoSpacing"/>
      </w:pPr>
      <w:r>
        <w:tab/>
      </w:r>
      <w:r>
        <w:tab/>
      </w:r>
      <w:r>
        <w:tab/>
        <w:t xml:space="preserve">           New York City Department of Finance</w:t>
      </w:r>
    </w:p>
    <w:p w:rsidR="001F5209" w:rsidRDefault="001F5209" w:rsidP="00DC06FB">
      <w:pPr>
        <w:pStyle w:val="NoSpacing"/>
      </w:pPr>
      <w:r>
        <w:tab/>
      </w:r>
      <w:r>
        <w:tab/>
      </w:r>
      <w:r>
        <w:tab/>
        <w:t xml:space="preserve">           New York City Department of Buildings</w:t>
      </w:r>
    </w:p>
    <w:p w:rsidR="00DC06FB" w:rsidRDefault="00DC06FB" w:rsidP="00DC06FB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DC06FB" w:rsidRPr="00012730" w:rsidRDefault="00DC06FB" w:rsidP="00DC06FB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Legislative Financial Analyst </w:t>
      </w:r>
    </w:p>
    <w:p w:rsidR="00DC06FB" w:rsidRPr="00012730" w:rsidRDefault="00DC06FB" w:rsidP="00DC06FB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DC06FB" w:rsidRDefault="00DC06FB" w:rsidP="00DC06FB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 xml:space="preserve">Unit Head </w:t>
      </w:r>
    </w:p>
    <w:p w:rsidR="00DC06FB" w:rsidRDefault="00DC06FB" w:rsidP="00DC06FB">
      <w:r>
        <w:tab/>
      </w:r>
      <w:r>
        <w:tab/>
      </w:r>
      <w:r>
        <w:tab/>
      </w:r>
      <w:r>
        <w:tab/>
        <w:t>Nathan Toth, Deputy Director</w:t>
      </w:r>
    </w:p>
    <w:p w:rsidR="00DC06FB" w:rsidRPr="000373EA" w:rsidRDefault="00DC06FB" w:rsidP="00DC06FB">
      <w:r>
        <w:tab/>
      </w:r>
      <w:r>
        <w:tab/>
      </w:r>
      <w:r>
        <w:tab/>
      </w:r>
      <w:r>
        <w:tab/>
      </w:r>
      <w:r w:rsidR="002F0831">
        <w:t>Rebecca Chasan</w:t>
      </w:r>
      <w:r>
        <w:t xml:space="preserve">, Counsel </w:t>
      </w:r>
    </w:p>
    <w:p w:rsidR="00DC06FB" w:rsidRDefault="00DC06FB" w:rsidP="00DC06FB">
      <w:pPr>
        <w:rPr>
          <w:b/>
          <w:smallCaps/>
        </w:rPr>
      </w:pPr>
    </w:p>
    <w:p w:rsidR="00DC06FB" w:rsidRPr="00CC7A88" w:rsidRDefault="00DC06FB" w:rsidP="00DC06FB">
      <w:r w:rsidRPr="00012730">
        <w:rPr>
          <w:b/>
          <w:smallCaps/>
        </w:rPr>
        <w:t>Legislative History:</w:t>
      </w:r>
      <w:r>
        <w:t xml:space="preserve"> </w:t>
      </w:r>
      <w:r w:rsidRPr="00CE66C1">
        <w:t xml:space="preserve">This legislation </w:t>
      </w:r>
      <w:proofErr w:type="gramStart"/>
      <w:r w:rsidRPr="00CE66C1">
        <w:t>was introduced</w:t>
      </w:r>
      <w:proofErr w:type="gramEnd"/>
      <w:r w:rsidRPr="00CE66C1">
        <w:t xml:space="preserve"> to the full </w:t>
      </w:r>
      <w:r>
        <w:t>C</w:t>
      </w:r>
      <w:r w:rsidRPr="00CE66C1">
        <w:t>ouncil on</w:t>
      </w:r>
      <w:r>
        <w:t xml:space="preserve"> March 22, 2016, </w:t>
      </w:r>
      <w:r w:rsidRPr="00CE66C1">
        <w:t>as Intro.</w:t>
      </w:r>
      <w:r>
        <w:t xml:space="preserve"> No.</w:t>
      </w:r>
      <w:r w:rsidRPr="00CE66C1">
        <w:t xml:space="preserve"> </w:t>
      </w:r>
      <w:r>
        <w:t xml:space="preserve">1133 </w:t>
      </w:r>
      <w:r w:rsidRPr="00CE66C1">
        <w:t>and was referred to the Committee on Housing and Buildings</w:t>
      </w:r>
      <w:r>
        <w:t xml:space="preserve"> (Committee)</w:t>
      </w:r>
      <w:r w:rsidRPr="00CE66C1">
        <w:t xml:space="preserve">. </w:t>
      </w:r>
      <w:proofErr w:type="gramStart"/>
      <w:r>
        <w:t xml:space="preserve">A </w:t>
      </w:r>
      <w:r w:rsidRPr="00CC7A88">
        <w:t>hearing was held by the</w:t>
      </w:r>
      <w:r>
        <w:t xml:space="preserve"> </w:t>
      </w:r>
      <w:r w:rsidRPr="00CC7A88">
        <w:t>Com</w:t>
      </w:r>
      <w:r>
        <w:t>mittee</w:t>
      </w:r>
      <w:proofErr w:type="gramEnd"/>
      <w:r>
        <w:t xml:space="preserve"> on March 23, 2017, </w:t>
      </w:r>
      <w:r w:rsidRPr="00CC7A88">
        <w:t>and the bill was laid over. The legislation was</w:t>
      </w:r>
      <w:r>
        <w:t xml:space="preserve"> subsequently</w:t>
      </w:r>
      <w:r w:rsidRPr="00CC7A88">
        <w:t xml:space="preserve"> amended, and the amended version, Proposed Intro.</w:t>
      </w:r>
      <w:r w:rsidR="00DB136C">
        <w:t xml:space="preserve"> </w:t>
      </w:r>
      <w:proofErr w:type="gramStart"/>
      <w:r w:rsidR="00DB136C">
        <w:t>No.</w:t>
      </w:r>
      <w:r w:rsidRPr="00CC7A88">
        <w:t xml:space="preserve"> </w:t>
      </w:r>
      <w:r>
        <w:t>1133</w:t>
      </w:r>
      <w:r w:rsidRPr="00CC7A88">
        <w:t>-A, will be</w:t>
      </w:r>
      <w:r>
        <w:t xml:space="preserve"> considered by the Committee</w:t>
      </w:r>
      <w:proofErr w:type="gramEnd"/>
      <w:r>
        <w:t xml:space="preserve"> on August 8, 2017. </w:t>
      </w:r>
      <w:r w:rsidRPr="00CC7A88">
        <w:t xml:space="preserve">Following a successful Committee vote, the bill </w:t>
      </w:r>
      <w:proofErr w:type="gramStart"/>
      <w:r>
        <w:t>will</w:t>
      </w:r>
      <w:r w:rsidRPr="00CC7A88">
        <w:t xml:space="preserve"> be submitted</w:t>
      </w:r>
      <w:proofErr w:type="gramEnd"/>
      <w:r w:rsidRPr="00CC7A88">
        <w:t xml:space="preserve"> to</w:t>
      </w:r>
      <w:r>
        <w:t xml:space="preserve"> the full Council for a vote on August 9, </w:t>
      </w:r>
      <w:r w:rsidRPr="009712E9">
        <w:t>2017</w:t>
      </w:r>
      <w:r>
        <w:t xml:space="preserve">. </w:t>
      </w:r>
    </w:p>
    <w:p w:rsidR="00DC06FB" w:rsidRDefault="00DC06FB" w:rsidP="00DC06FB"/>
    <w:p w:rsidR="00DC06FB" w:rsidRDefault="00DC06FB" w:rsidP="00DC06FB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 xml:space="preserve">August </w:t>
      </w:r>
      <w:r w:rsidR="00054600">
        <w:t>7</w:t>
      </w:r>
      <w:r>
        <w:t>, 2017</w:t>
      </w:r>
    </w:p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DC06FB" w:rsidRDefault="00DC06FB" w:rsidP="00DC06FB"/>
    <w:p w:rsidR="00692C15" w:rsidRDefault="00692C15"/>
    <w:sectPr w:rsidR="00692C15" w:rsidSect="006A0996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FA" w:rsidRDefault="00940CFA" w:rsidP="00DC06FB">
      <w:r>
        <w:separator/>
      </w:r>
    </w:p>
  </w:endnote>
  <w:endnote w:type="continuationSeparator" w:id="0">
    <w:p w:rsidR="00940CFA" w:rsidRDefault="00940CFA" w:rsidP="00D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E90659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>
      <w:t xml:space="preserve">Proposed Intro. No. </w:t>
    </w:r>
    <w:r w:rsidR="00DC06FB">
      <w:t>113</w:t>
    </w:r>
    <w:r>
      <w:t>3</w:t>
    </w:r>
    <w:r w:rsidRPr="0080234B"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094EFD" w:rsidRPr="00094EFD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FA" w:rsidRDefault="00940CFA" w:rsidP="00DC06FB">
      <w:r>
        <w:separator/>
      </w:r>
    </w:p>
  </w:footnote>
  <w:footnote w:type="continuationSeparator" w:id="0">
    <w:p w:rsidR="00940CFA" w:rsidRDefault="00940CFA" w:rsidP="00DC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B"/>
    <w:rsid w:val="00022E21"/>
    <w:rsid w:val="00031D49"/>
    <w:rsid w:val="00054600"/>
    <w:rsid w:val="00094EFD"/>
    <w:rsid w:val="001936E1"/>
    <w:rsid w:val="001F5209"/>
    <w:rsid w:val="002F0831"/>
    <w:rsid w:val="00333E3F"/>
    <w:rsid w:val="00392066"/>
    <w:rsid w:val="004366F3"/>
    <w:rsid w:val="005719CE"/>
    <w:rsid w:val="00575F7F"/>
    <w:rsid w:val="0066218C"/>
    <w:rsid w:val="00692C15"/>
    <w:rsid w:val="007431A5"/>
    <w:rsid w:val="00744427"/>
    <w:rsid w:val="00827485"/>
    <w:rsid w:val="00882141"/>
    <w:rsid w:val="008C456B"/>
    <w:rsid w:val="008C7F88"/>
    <w:rsid w:val="00940CFA"/>
    <w:rsid w:val="009457E2"/>
    <w:rsid w:val="00B023FC"/>
    <w:rsid w:val="00B052D1"/>
    <w:rsid w:val="00B173AF"/>
    <w:rsid w:val="00BE72BE"/>
    <w:rsid w:val="00C85D10"/>
    <w:rsid w:val="00D92B0D"/>
    <w:rsid w:val="00DB136C"/>
    <w:rsid w:val="00DC06FB"/>
    <w:rsid w:val="00E5247C"/>
    <w:rsid w:val="00E90659"/>
    <w:rsid w:val="00F072E4"/>
    <w:rsid w:val="00F4375B"/>
    <w:rsid w:val="00F732AA"/>
    <w:rsid w:val="00FA7F59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2E88E-A84D-4AC1-9BE6-8D738F4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6F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DC06FB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C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6F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6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6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410A-5F4C-4556-8C5E-456F81F6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5</cp:revision>
  <dcterms:created xsi:type="dcterms:W3CDTF">2017-08-07T20:50:00Z</dcterms:created>
  <dcterms:modified xsi:type="dcterms:W3CDTF">2017-08-08T20:35:00Z</dcterms:modified>
</cp:coreProperties>
</file>