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4" w:type="dxa"/>
        <w:jc w:val="center"/>
        <w:tblLook w:val="0600" w:firstRow="0" w:lastRow="0" w:firstColumn="0" w:lastColumn="0" w:noHBand="1" w:noVBand="1"/>
      </w:tblPr>
      <w:tblGrid>
        <w:gridCol w:w="5580"/>
        <w:gridCol w:w="5584"/>
      </w:tblGrid>
      <w:tr w:rsidR="001E28C5" w:rsidRPr="00B97A1B" w:rsidTr="00636A12">
        <w:trPr>
          <w:trHeight w:val="1953"/>
          <w:jc w:val="center"/>
        </w:trPr>
        <w:tc>
          <w:tcPr>
            <w:tcW w:w="5580" w:type="dxa"/>
            <w:tcBorders>
              <w:bottom w:val="single" w:sz="4" w:space="0" w:color="auto"/>
            </w:tcBorders>
          </w:tcPr>
          <w:p w:rsidR="001E28C5" w:rsidRPr="00B97A1B" w:rsidRDefault="001E28C5" w:rsidP="002A24B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3E25B3" wp14:editId="4F391938">
                  <wp:extent cx="136207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1E28C5" w:rsidRPr="00B97A1B" w:rsidRDefault="001E28C5" w:rsidP="002A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 Council of the City of New York</w:t>
            </w:r>
          </w:p>
          <w:p w:rsidR="001E28C5" w:rsidRPr="00B97A1B" w:rsidRDefault="001E28C5" w:rsidP="002A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Finance Division</w:t>
            </w:r>
          </w:p>
          <w:p w:rsidR="001E28C5" w:rsidRPr="00B97A1B" w:rsidRDefault="001E28C5" w:rsidP="002A24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Latonia McKinney, Director</w:t>
            </w:r>
          </w:p>
          <w:p w:rsidR="001E28C5" w:rsidRPr="00B97A1B" w:rsidRDefault="001E28C5" w:rsidP="002A24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Fiscal Impact Statement</w:t>
            </w:r>
          </w:p>
          <w:p w:rsidR="001E28C5" w:rsidRPr="00B97A1B" w:rsidRDefault="001E28C5" w:rsidP="002A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E28C5" w:rsidRDefault="001E28C5" w:rsidP="002A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Proposed Intro. No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926-A </w:t>
            </w:r>
          </w:p>
          <w:p w:rsidR="001E28C5" w:rsidRPr="00B97A1B" w:rsidRDefault="001E28C5" w:rsidP="002A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28C5" w:rsidRPr="00B97A1B" w:rsidRDefault="001E28C5" w:rsidP="002A24BA">
            <w:pPr>
              <w:tabs>
                <w:tab w:val="left" w:pos="-144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Committee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Housing and Buildings</w:t>
            </w:r>
          </w:p>
        </w:tc>
      </w:tr>
      <w:tr w:rsidR="001E28C5" w:rsidRPr="00B97A1B" w:rsidTr="00636A12">
        <w:trPr>
          <w:trHeight w:val="1502"/>
          <w:jc w:val="center"/>
        </w:trPr>
        <w:tc>
          <w:tcPr>
            <w:tcW w:w="5580" w:type="dxa"/>
            <w:tcBorders>
              <w:top w:val="single" w:sz="4" w:space="0" w:color="auto"/>
            </w:tcBorders>
          </w:tcPr>
          <w:p w:rsidR="001E28C5" w:rsidRPr="00B97A1B" w:rsidRDefault="001E28C5" w:rsidP="002A24BA">
            <w:pPr>
              <w:suppressLineNumber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Title:</w:t>
            </w:r>
            <w:r w:rsidRPr="00B97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3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Local Law </w:t>
            </w:r>
            <w:r w:rsidRPr="001E2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 relation to creating a task force on construction work in occupied multiple dwellings</w:t>
            </w:r>
          </w:p>
        </w:tc>
        <w:tc>
          <w:tcPr>
            <w:tcW w:w="5584" w:type="dxa"/>
            <w:tcBorders>
              <w:top w:val="single" w:sz="4" w:space="0" w:color="auto"/>
            </w:tcBorders>
          </w:tcPr>
          <w:p w:rsidR="001E28C5" w:rsidRPr="00B97A1B" w:rsidRDefault="000B6E48" w:rsidP="001E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Sponsors</w:t>
            </w:r>
            <w:r w:rsidR="001E28C5"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E28C5" w:rsidRPr="0053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Council Members </w:t>
            </w:r>
            <w:r w:rsidR="001E28C5" w:rsidRPr="001E28C5">
              <w:rPr>
                <w:rFonts w:ascii="Times New Roman" w:hAnsi="Times New Roman"/>
                <w:sz w:val="24"/>
              </w:rPr>
              <w:t>Garodnick, Chin, Espinal, Johnson, Kallos, Levin, Levine, Menchaca, Reynoso, Rosenthal, Constantinides, Koo, Rose, Lander, Rodriguez,</w:t>
            </w:r>
            <w:r w:rsidR="001E28C5">
              <w:rPr>
                <w:rFonts w:ascii="Times New Roman" w:hAnsi="Times New Roman"/>
                <w:sz w:val="24"/>
              </w:rPr>
              <w:t xml:space="preserve"> Richards, Mendez, </w:t>
            </w:r>
            <w:r w:rsidR="001E28C5" w:rsidRPr="001E28C5">
              <w:rPr>
                <w:rFonts w:ascii="Times New Roman" w:hAnsi="Times New Roman"/>
                <w:sz w:val="24"/>
              </w:rPr>
              <w:t>Van Bramer</w:t>
            </w:r>
            <w:r w:rsidR="001E28C5">
              <w:rPr>
                <w:rFonts w:ascii="Times New Roman" w:hAnsi="Times New Roman"/>
                <w:sz w:val="24"/>
              </w:rPr>
              <w:t>, Williams, Perkins, Torres, Dromm, Cornegy and Ferreras-Copeland</w:t>
            </w:r>
          </w:p>
        </w:tc>
      </w:tr>
    </w:tbl>
    <w:p w:rsidR="001E28C5" w:rsidRPr="00B5239D" w:rsidRDefault="001E28C5" w:rsidP="00636A12">
      <w:pPr>
        <w:spacing w:before="100" w:beforeAutospacing="1" w:after="0" w:line="240" w:lineRule="auto"/>
        <w:jc w:val="both"/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Summary </w:t>
      </w:r>
      <w:bookmarkStart w:id="0" w:name="_GoBack"/>
      <w:bookmarkEnd w:id="0"/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of Legislation: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Proposed Intro. No. 926-A w</w:t>
      </w:r>
      <w:r w:rsidRPr="00CB22AD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4964CF">
        <w:t xml:space="preserve"> </w:t>
      </w:r>
      <w:r w:rsidRPr="001E28C5">
        <w:rPr>
          <w:rFonts w:ascii="Times New Roman" w:hAnsi="Times New Roman" w:cs="Times New Roman"/>
          <w:sz w:val="24"/>
          <w:szCs w:val="24"/>
        </w:rPr>
        <w:t xml:space="preserve">create an inter-agency task force consisting of </w:t>
      </w:r>
      <w:r w:rsidR="00B5239D">
        <w:rPr>
          <w:rFonts w:ascii="Times New Roman" w:hAnsi="Times New Roman" w:cs="Times New Roman"/>
          <w:sz w:val="24"/>
          <w:szCs w:val="24"/>
        </w:rPr>
        <w:t xml:space="preserve">13 </w:t>
      </w:r>
      <w:r w:rsidRPr="001E28C5">
        <w:rPr>
          <w:rFonts w:ascii="Times New Roman" w:hAnsi="Times New Roman" w:cs="Times New Roman"/>
          <w:sz w:val="24"/>
          <w:szCs w:val="24"/>
        </w:rPr>
        <w:t>members appointed by the New York City Department of Buildings</w:t>
      </w:r>
      <w:r w:rsidR="00B5239D">
        <w:rPr>
          <w:rFonts w:ascii="Times New Roman" w:hAnsi="Times New Roman" w:cs="Times New Roman"/>
          <w:sz w:val="24"/>
          <w:szCs w:val="24"/>
        </w:rPr>
        <w:t xml:space="preserve"> (DOB)</w:t>
      </w:r>
      <w:r w:rsidRPr="001E28C5">
        <w:rPr>
          <w:rFonts w:ascii="Times New Roman" w:hAnsi="Times New Roman" w:cs="Times New Roman"/>
          <w:sz w:val="24"/>
          <w:szCs w:val="24"/>
        </w:rPr>
        <w:t>, the Department of Housing Preservation and Development</w:t>
      </w:r>
      <w:r w:rsidR="00B5239D">
        <w:rPr>
          <w:rFonts w:ascii="Times New Roman" w:hAnsi="Times New Roman" w:cs="Times New Roman"/>
          <w:sz w:val="24"/>
          <w:szCs w:val="24"/>
        </w:rPr>
        <w:t xml:space="preserve"> (HPD)</w:t>
      </w:r>
      <w:r w:rsidRPr="001E28C5">
        <w:rPr>
          <w:rFonts w:ascii="Times New Roman" w:hAnsi="Times New Roman" w:cs="Times New Roman"/>
          <w:sz w:val="24"/>
          <w:szCs w:val="24"/>
        </w:rPr>
        <w:t>, the Department of Health and Mental Hygiene</w:t>
      </w:r>
      <w:r w:rsidR="00B5239D">
        <w:rPr>
          <w:rFonts w:ascii="Times New Roman" w:hAnsi="Times New Roman" w:cs="Times New Roman"/>
          <w:sz w:val="24"/>
          <w:szCs w:val="24"/>
        </w:rPr>
        <w:t xml:space="preserve"> (DOHMH)</w:t>
      </w:r>
      <w:r w:rsidRPr="001E28C5">
        <w:rPr>
          <w:rFonts w:ascii="Times New Roman" w:hAnsi="Times New Roman" w:cs="Times New Roman"/>
          <w:sz w:val="24"/>
          <w:szCs w:val="24"/>
        </w:rPr>
        <w:t>, the Department of Environmental Protection</w:t>
      </w:r>
      <w:r w:rsidR="00B5239D">
        <w:rPr>
          <w:rFonts w:ascii="Times New Roman" w:hAnsi="Times New Roman" w:cs="Times New Roman"/>
          <w:sz w:val="24"/>
          <w:szCs w:val="24"/>
        </w:rPr>
        <w:t xml:space="preserve"> (DEP)</w:t>
      </w:r>
      <w:r w:rsidRPr="001E28C5">
        <w:rPr>
          <w:rFonts w:ascii="Times New Roman" w:hAnsi="Times New Roman" w:cs="Times New Roman"/>
          <w:sz w:val="24"/>
          <w:szCs w:val="24"/>
        </w:rPr>
        <w:t xml:space="preserve">, the City Council, and the Mayor. Among its primary functions, the task force would evaluate the current practices of the individual agencies represented in the task force </w:t>
      </w:r>
      <w:proofErr w:type="gramStart"/>
      <w:r w:rsidRPr="001E28C5">
        <w:rPr>
          <w:rFonts w:ascii="Times New Roman" w:hAnsi="Times New Roman" w:cs="Times New Roman"/>
          <w:sz w:val="24"/>
          <w:szCs w:val="24"/>
        </w:rPr>
        <w:t>with regards to</w:t>
      </w:r>
      <w:proofErr w:type="gramEnd"/>
      <w:r w:rsidRPr="001E28C5">
        <w:rPr>
          <w:rFonts w:ascii="Times New Roman" w:hAnsi="Times New Roman" w:cs="Times New Roman"/>
          <w:sz w:val="24"/>
          <w:szCs w:val="24"/>
        </w:rPr>
        <w:t xml:space="preserve"> construction and renovation by landlords in occupied residential buildings</w:t>
      </w:r>
      <w:r w:rsidR="00441CC4">
        <w:rPr>
          <w:rFonts w:ascii="Times New Roman" w:hAnsi="Times New Roman" w:cs="Times New Roman"/>
          <w:sz w:val="24"/>
          <w:szCs w:val="24"/>
        </w:rPr>
        <w:t>,</w:t>
      </w:r>
      <w:r w:rsidRPr="001E28C5">
        <w:rPr>
          <w:rFonts w:ascii="Times New Roman" w:hAnsi="Times New Roman" w:cs="Times New Roman"/>
          <w:sz w:val="24"/>
          <w:szCs w:val="24"/>
        </w:rPr>
        <w:t xml:space="preserve"> </w:t>
      </w:r>
      <w:r w:rsidR="00956839">
        <w:rPr>
          <w:rFonts w:ascii="Times New Roman" w:hAnsi="Times New Roman" w:cs="Times New Roman"/>
          <w:sz w:val="24"/>
          <w:szCs w:val="24"/>
        </w:rPr>
        <w:t xml:space="preserve">submit </w:t>
      </w:r>
      <w:r w:rsidRPr="001E28C5">
        <w:rPr>
          <w:rFonts w:ascii="Times New Roman" w:hAnsi="Times New Roman" w:cs="Times New Roman"/>
          <w:sz w:val="24"/>
          <w:szCs w:val="24"/>
        </w:rPr>
        <w:t>a report of its findings</w:t>
      </w:r>
      <w:r w:rsidR="00956839">
        <w:rPr>
          <w:rFonts w:ascii="Times New Roman" w:hAnsi="Times New Roman" w:cs="Times New Roman"/>
          <w:sz w:val="24"/>
          <w:szCs w:val="24"/>
        </w:rPr>
        <w:t xml:space="preserve"> to the Mayor and the Council</w:t>
      </w:r>
      <w:r w:rsidR="00441CC4">
        <w:rPr>
          <w:rFonts w:ascii="Times New Roman" w:hAnsi="Times New Roman" w:cs="Times New Roman"/>
          <w:sz w:val="24"/>
          <w:szCs w:val="24"/>
        </w:rPr>
        <w:t xml:space="preserve"> including </w:t>
      </w:r>
      <w:r w:rsidRPr="001E28C5">
        <w:rPr>
          <w:rFonts w:ascii="Times New Roman" w:hAnsi="Times New Roman" w:cs="Times New Roman"/>
          <w:sz w:val="24"/>
          <w:szCs w:val="24"/>
        </w:rPr>
        <w:t>recommendations to improve inter-agency coordination and sharing of information</w:t>
      </w:r>
      <w:r w:rsidR="00441CC4">
        <w:rPr>
          <w:rFonts w:ascii="Times New Roman" w:hAnsi="Times New Roman" w:cs="Times New Roman"/>
          <w:sz w:val="24"/>
          <w:szCs w:val="24"/>
        </w:rPr>
        <w:t>, and update such report annually</w:t>
      </w:r>
      <w:r w:rsidRPr="001E28C5">
        <w:rPr>
          <w:rFonts w:ascii="Times New Roman" w:hAnsi="Times New Roman" w:cs="Times New Roman"/>
          <w:sz w:val="24"/>
          <w:szCs w:val="24"/>
        </w:rPr>
        <w:t>.</w:t>
      </w:r>
      <w:r w:rsidR="00B5239D">
        <w:rPr>
          <w:rFonts w:ascii="Times New Roman" w:hAnsi="Times New Roman" w:cs="Times New Roman"/>
          <w:sz w:val="24"/>
          <w:szCs w:val="24"/>
        </w:rPr>
        <w:t xml:space="preserve"> The taskforce would dissolve upon submission of the third annual report. </w:t>
      </w:r>
    </w:p>
    <w:p w:rsidR="001E28C5" w:rsidRDefault="001E28C5" w:rsidP="001E2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E28C5" w:rsidRDefault="001E28C5" w:rsidP="001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Effective Date: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2AD">
        <w:rPr>
          <w:rFonts w:ascii="Times New Roman" w:eastAsia="Times New Roman" w:hAnsi="Times New Roman" w:cs="Times New Roman"/>
          <w:sz w:val="24"/>
          <w:szCs w:val="24"/>
        </w:rPr>
        <w:t xml:space="preserve">This local law </w:t>
      </w:r>
      <w:r>
        <w:rPr>
          <w:rFonts w:ascii="Times New Roman" w:eastAsia="Times New Roman" w:hAnsi="Times New Roman" w:cs="Times New Roman"/>
          <w:sz w:val="24"/>
          <w:szCs w:val="24"/>
        </w:rPr>
        <w:t>would take effect 12</w:t>
      </w:r>
      <w:r w:rsidRPr="00CB22AD">
        <w:rPr>
          <w:rFonts w:ascii="Times New Roman" w:eastAsia="Times New Roman" w:hAnsi="Times New Roman" w:cs="Times New Roman"/>
          <w:sz w:val="24"/>
          <w:szCs w:val="24"/>
        </w:rPr>
        <w:t>0 days after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becomes law. </w:t>
      </w:r>
    </w:p>
    <w:p w:rsidR="001E28C5" w:rsidRDefault="001E28C5" w:rsidP="001E28C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E28C5" w:rsidRPr="00B97A1B" w:rsidRDefault="001E28C5" w:rsidP="001E28C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Year In Which Full Fiscal Impact Anticipated: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Fiscal 2019</w:t>
      </w:r>
    </w:p>
    <w:p w:rsidR="001E28C5" w:rsidRDefault="001E28C5" w:rsidP="001E28C5">
      <w:pPr>
        <w:pBdr>
          <w:top w:val="single" w:sz="4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Impact Statement:</w:t>
      </w:r>
    </w:p>
    <w:p w:rsidR="001E28C5" w:rsidRPr="00B97A1B" w:rsidRDefault="001E28C5" w:rsidP="001E28C5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1E28C5" w:rsidRPr="00B97A1B" w:rsidTr="002A24BA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E28C5" w:rsidRPr="00B97A1B" w:rsidRDefault="001E28C5" w:rsidP="002A24BA">
            <w:pPr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Effective FY1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FY Succeeding Effective FY1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Full Fiscal Impact FY1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1E28C5" w:rsidRPr="00B97A1B" w:rsidTr="002A24B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  <w:tr w:rsidR="001E28C5" w:rsidRPr="00B97A1B" w:rsidTr="002A24B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  <w:tr w:rsidR="001E28C5" w:rsidRPr="00B97A1B" w:rsidTr="002A24B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1E28C5" w:rsidRPr="00B97A1B" w:rsidRDefault="001E28C5" w:rsidP="002A24BA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1E28C5" w:rsidRPr="00B97A1B" w:rsidRDefault="001E28C5" w:rsidP="002A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</w:tbl>
    <w:p w:rsidR="001E28C5" w:rsidRPr="00B97A1B" w:rsidRDefault="001E28C5" w:rsidP="001E28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8C5" w:rsidRPr="00B97A1B" w:rsidRDefault="001E28C5" w:rsidP="001E28C5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Impact on Revenues: </w:t>
      </w:r>
      <w:r w:rsidRPr="004964CF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gramStart"/>
      <w:r w:rsidRPr="004964CF">
        <w:rPr>
          <w:rFonts w:ascii="Times New Roman" w:eastAsia="Times New Roman" w:hAnsi="Times New Roman" w:cs="Times New Roman"/>
          <w:sz w:val="24"/>
          <w:szCs w:val="24"/>
        </w:rPr>
        <w:t>is estimated</w:t>
      </w:r>
      <w:proofErr w:type="gramEnd"/>
      <w:r w:rsidRPr="004964CF">
        <w:rPr>
          <w:rFonts w:ascii="Times New Roman" w:eastAsia="Times New Roman" w:hAnsi="Times New Roman" w:cs="Times New Roman"/>
          <w:sz w:val="24"/>
          <w:szCs w:val="24"/>
        </w:rPr>
        <w:t xml:space="preserve"> that there would be no impact on revenues resulting from th</w:t>
      </w:r>
      <w:r w:rsidR="00B5239D">
        <w:rPr>
          <w:rFonts w:ascii="Times New Roman" w:eastAsia="Times New Roman" w:hAnsi="Times New Roman" w:cs="Times New Roman"/>
          <w:sz w:val="24"/>
          <w:szCs w:val="24"/>
        </w:rPr>
        <w:t xml:space="preserve">e enactment of this legislation. </w:t>
      </w:r>
    </w:p>
    <w:p w:rsidR="001E28C5" w:rsidRDefault="001E28C5" w:rsidP="001E28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Impact on Expenditures: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C55">
        <w:rPr>
          <w:rFonts w:ascii="Times New Roman" w:eastAsia="Times New Roman" w:hAnsi="Times New Roman" w:cs="Times New Roman"/>
          <w:sz w:val="24"/>
          <w:szCs w:val="24"/>
        </w:rPr>
        <w:t xml:space="preserve">It is anticipated that there would be no impact on expenditures resulting from the enactment of this legislation because </w:t>
      </w:r>
      <w:proofErr w:type="gramStart"/>
      <w:r w:rsidRPr="006A6C55">
        <w:rPr>
          <w:rFonts w:ascii="Times New Roman" w:eastAsia="Times New Roman" w:hAnsi="Times New Roman" w:cs="Times New Roman"/>
          <w:sz w:val="24"/>
          <w:szCs w:val="24"/>
        </w:rPr>
        <w:t>existi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resources would be used by </w:t>
      </w:r>
      <w:r w:rsidR="00B5239D">
        <w:rPr>
          <w:rFonts w:ascii="Times New Roman" w:eastAsia="Times New Roman" w:hAnsi="Times New Roman" w:cs="Times New Roman"/>
          <w:sz w:val="24"/>
          <w:szCs w:val="24"/>
        </w:rPr>
        <w:t xml:space="preserve">DOB, HPD, DOHMH, DEP, the City Council, and the Mayor </w:t>
      </w:r>
      <w:r w:rsidRPr="006A6C55">
        <w:rPr>
          <w:rFonts w:ascii="Times New Roman" w:eastAsia="Times New Roman" w:hAnsi="Times New Roman" w:cs="Times New Roman"/>
          <w:sz w:val="24"/>
          <w:szCs w:val="24"/>
        </w:rPr>
        <w:t>to implement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B5239D">
        <w:rPr>
          <w:rFonts w:ascii="Times New Roman" w:eastAsia="Times New Roman" w:hAnsi="Times New Roman" w:cs="Times New Roman"/>
          <w:sz w:val="24"/>
          <w:szCs w:val="24"/>
        </w:rPr>
        <w:t>e provisions of this local law</w:t>
      </w:r>
      <w:proofErr w:type="gramEnd"/>
      <w:r w:rsidR="00B52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28C5" w:rsidRPr="00B97A1B" w:rsidRDefault="001E28C5" w:rsidP="001E28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Funds To Cover Estimated Costs: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Applicable. 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8C5" w:rsidRDefault="001E28C5" w:rsidP="001E28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Information: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 New York City Council Finance Division</w:t>
      </w:r>
    </w:p>
    <w:p w:rsidR="001E28C5" w:rsidRDefault="001E28C5" w:rsidP="001E28C5">
      <w:pPr>
        <w:pStyle w:val="NoSpacing"/>
        <w:ind w:left="21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28C5" w:rsidRDefault="001E28C5" w:rsidP="001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 Prepared by:</w:t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B97A1B">
        <w:rPr>
          <w:rFonts w:ascii="Times New Roman" w:eastAsia="Times New Roman" w:hAnsi="Times New Roman" w:cs="Times New Roman"/>
          <w:sz w:val="24"/>
          <w:szCs w:val="24"/>
        </w:rPr>
        <w:t>Sarah Gastelum,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 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Legislative Financial Analyst </w:t>
      </w:r>
    </w:p>
    <w:p w:rsidR="001E28C5" w:rsidRPr="00B97A1B" w:rsidRDefault="001E28C5" w:rsidP="001E2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:rsidR="001E28C5" w:rsidRPr="00CB22AD" w:rsidRDefault="001E28C5" w:rsidP="001E28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Estimate Reviewed by:</w:t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 xml:space="preserve">Chima Obichere, Unit Head </w:t>
      </w:r>
    </w:p>
    <w:p w:rsidR="001E28C5" w:rsidRPr="00CB22AD" w:rsidRDefault="001E28C5" w:rsidP="001E28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  <w:t>Nathan Toth, Deputy Director</w:t>
      </w:r>
    </w:p>
    <w:p w:rsidR="001E28C5" w:rsidRDefault="001E28C5" w:rsidP="001E28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  <w:t xml:space="preserve">Eric Bernstein, Counsel </w:t>
      </w:r>
    </w:p>
    <w:p w:rsidR="001E28C5" w:rsidRDefault="001E28C5" w:rsidP="001E28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28C5" w:rsidRPr="00CB22AD" w:rsidRDefault="001E28C5" w:rsidP="001E28C5">
      <w:pPr>
        <w:tabs>
          <w:tab w:val="left" w:pos="22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Legislative History: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2AD">
        <w:rPr>
          <w:rFonts w:ascii="Times New Roman" w:hAnsi="Times New Roman" w:cs="Times New Roman"/>
          <w:sz w:val="24"/>
          <w:szCs w:val="24"/>
        </w:rPr>
        <w:t xml:space="preserve">This legislation </w:t>
      </w:r>
      <w:proofErr w:type="gramStart"/>
      <w:r w:rsidRPr="00CB22AD">
        <w:rPr>
          <w:rFonts w:ascii="Times New Roman" w:hAnsi="Times New Roman" w:cs="Times New Roman"/>
          <w:sz w:val="24"/>
          <w:szCs w:val="24"/>
        </w:rPr>
        <w:t>was introduced</w:t>
      </w:r>
      <w:proofErr w:type="gramEnd"/>
      <w:r w:rsidRPr="00CB22AD">
        <w:rPr>
          <w:rFonts w:ascii="Times New Roman" w:hAnsi="Times New Roman" w:cs="Times New Roman"/>
          <w:sz w:val="24"/>
          <w:szCs w:val="24"/>
        </w:rPr>
        <w:t xml:space="preserve"> to the full Council on </w:t>
      </w:r>
      <w:r>
        <w:rPr>
          <w:rFonts w:ascii="Times New Roman" w:hAnsi="Times New Roman" w:cs="Times New Roman"/>
          <w:sz w:val="24"/>
          <w:szCs w:val="24"/>
        </w:rPr>
        <w:t xml:space="preserve">September 30, 2015 </w:t>
      </w:r>
      <w:r w:rsidRPr="00CB22AD">
        <w:rPr>
          <w:rFonts w:ascii="Times New Roman" w:hAnsi="Times New Roman" w:cs="Times New Roman"/>
          <w:sz w:val="24"/>
          <w:szCs w:val="24"/>
        </w:rPr>
        <w:t xml:space="preserve">as Intro. No. </w:t>
      </w:r>
      <w:r>
        <w:rPr>
          <w:rFonts w:ascii="Times New Roman" w:hAnsi="Times New Roman" w:cs="Times New Roman"/>
          <w:sz w:val="24"/>
          <w:szCs w:val="24"/>
        </w:rPr>
        <w:t>926</w:t>
      </w:r>
      <w:r w:rsidRPr="00CB22AD">
        <w:rPr>
          <w:rFonts w:ascii="Times New Roman" w:hAnsi="Times New Roman" w:cs="Times New Roman"/>
          <w:sz w:val="24"/>
          <w:szCs w:val="24"/>
        </w:rPr>
        <w:t xml:space="preserve"> and was referred to the Committee on Housing and Buildings (Committee). </w:t>
      </w:r>
      <w:proofErr w:type="gramStart"/>
      <w:r w:rsidRPr="00CB22AD">
        <w:rPr>
          <w:rFonts w:ascii="Times New Roman" w:hAnsi="Times New Roman" w:cs="Times New Roman"/>
          <w:sz w:val="24"/>
          <w:szCs w:val="24"/>
        </w:rPr>
        <w:t>A hearing was held by the Committee</w:t>
      </w:r>
      <w:proofErr w:type="gramEnd"/>
      <w:r w:rsidRPr="00CB22AD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April 19, 2017</w:t>
      </w:r>
      <w:r w:rsidRPr="00CB22AD">
        <w:rPr>
          <w:rFonts w:ascii="Times New Roman" w:hAnsi="Times New Roman" w:cs="Times New Roman"/>
          <w:sz w:val="24"/>
          <w:szCs w:val="24"/>
        </w:rPr>
        <w:t xml:space="preserve">, and the bill was laid </w:t>
      </w:r>
      <w:r w:rsidRPr="000B6E48">
        <w:rPr>
          <w:rFonts w:ascii="Times New Roman" w:hAnsi="Times New Roman" w:cs="Times New Roman"/>
          <w:sz w:val="24"/>
          <w:szCs w:val="24"/>
        </w:rPr>
        <w:t xml:space="preserve">over. The legislation was subsequently amended, and the amended version, Proposed Intro. </w:t>
      </w:r>
      <w:proofErr w:type="gramStart"/>
      <w:r w:rsidRPr="000B6E48">
        <w:rPr>
          <w:rFonts w:ascii="Times New Roman" w:hAnsi="Times New Roman" w:cs="Times New Roman"/>
          <w:sz w:val="24"/>
          <w:szCs w:val="24"/>
        </w:rPr>
        <w:t>No. 926-A, will be considered by the Committee</w:t>
      </w:r>
      <w:proofErr w:type="gramEnd"/>
      <w:r w:rsidRPr="000B6E48">
        <w:rPr>
          <w:rFonts w:ascii="Times New Roman" w:hAnsi="Times New Roman" w:cs="Times New Roman"/>
          <w:sz w:val="24"/>
          <w:szCs w:val="24"/>
        </w:rPr>
        <w:t xml:space="preserve"> on </w:t>
      </w:r>
      <w:r w:rsidR="000B6E48" w:rsidRPr="000B6E48">
        <w:rPr>
          <w:rFonts w:ascii="Times New Roman" w:hAnsi="Times New Roman" w:cs="Times New Roman"/>
          <w:sz w:val="24"/>
          <w:szCs w:val="24"/>
        </w:rPr>
        <w:t>August 8</w:t>
      </w:r>
      <w:r w:rsidRPr="000B6E48">
        <w:rPr>
          <w:rFonts w:ascii="Times New Roman" w:hAnsi="Times New Roman" w:cs="Times New Roman"/>
          <w:sz w:val="24"/>
          <w:szCs w:val="24"/>
        </w:rPr>
        <w:t xml:space="preserve">, 2017. Following a successful Committee vote, the bill </w:t>
      </w:r>
      <w:proofErr w:type="gramStart"/>
      <w:r w:rsidRPr="000B6E48">
        <w:rPr>
          <w:rFonts w:ascii="Times New Roman" w:hAnsi="Times New Roman" w:cs="Times New Roman"/>
          <w:sz w:val="24"/>
          <w:szCs w:val="24"/>
        </w:rPr>
        <w:t>will be submitted</w:t>
      </w:r>
      <w:proofErr w:type="gramEnd"/>
      <w:r w:rsidRPr="000B6E48">
        <w:rPr>
          <w:rFonts w:ascii="Times New Roman" w:hAnsi="Times New Roman" w:cs="Times New Roman"/>
          <w:sz w:val="24"/>
          <w:szCs w:val="24"/>
        </w:rPr>
        <w:t xml:space="preserve"> to the full Council for a vote on </w:t>
      </w:r>
      <w:r w:rsidR="000B6E48" w:rsidRPr="000B6E48">
        <w:rPr>
          <w:rFonts w:ascii="Times New Roman" w:hAnsi="Times New Roman" w:cs="Times New Roman"/>
          <w:sz w:val="24"/>
          <w:szCs w:val="24"/>
        </w:rPr>
        <w:t>August 9</w:t>
      </w:r>
      <w:r w:rsidRPr="000B6E48">
        <w:rPr>
          <w:rFonts w:ascii="Times New Roman" w:hAnsi="Times New Roman" w:cs="Times New Roman"/>
          <w:sz w:val="24"/>
          <w:szCs w:val="24"/>
        </w:rPr>
        <w:t>, 2017.</w:t>
      </w:r>
    </w:p>
    <w:p w:rsidR="001E28C5" w:rsidRPr="00B97A1B" w:rsidRDefault="001E28C5" w:rsidP="001E28C5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B97A1B">
        <w:rPr>
          <w:rFonts w:ascii="Times New Roman" w:eastAsia="Times New Roman" w:hAnsi="Times New Roman" w:cs="Times New Roman"/>
          <w:b/>
          <w:smallCaps/>
        </w:rPr>
        <w:t xml:space="preserve">Date </w:t>
      </w:r>
      <w:r>
        <w:rPr>
          <w:rFonts w:ascii="Times New Roman" w:eastAsia="Times New Roman" w:hAnsi="Times New Roman" w:cs="Times New Roman"/>
          <w:b/>
          <w:smallCaps/>
        </w:rPr>
        <w:t>Prepared</w:t>
      </w:r>
      <w:r w:rsidRPr="00B97A1B">
        <w:rPr>
          <w:rFonts w:ascii="Times New Roman" w:eastAsia="Times New Roman" w:hAnsi="Times New Roman" w:cs="Times New Roman"/>
          <w:b/>
          <w:smallCaps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August 3, 2017</w:t>
      </w:r>
    </w:p>
    <w:p w:rsidR="001E28C5" w:rsidRPr="00B97A1B" w:rsidRDefault="001E28C5" w:rsidP="001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8C5" w:rsidRPr="00B97A1B" w:rsidRDefault="001E28C5" w:rsidP="001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8C5" w:rsidRPr="00B97A1B" w:rsidRDefault="001E28C5" w:rsidP="001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8C5" w:rsidRDefault="001E28C5" w:rsidP="001E28C5"/>
    <w:p w:rsidR="001E28C5" w:rsidRDefault="001E28C5" w:rsidP="001E28C5"/>
    <w:p w:rsidR="001E28C5" w:rsidRDefault="001E28C5" w:rsidP="001E28C5"/>
    <w:p w:rsidR="001E28C5" w:rsidRDefault="001E28C5" w:rsidP="001E28C5"/>
    <w:p w:rsidR="001E28C5" w:rsidRDefault="001E28C5" w:rsidP="001E28C5"/>
    <w:p w:rsidR="001E28C5" w:rsidRDefault="001E28C5" w:rsidP="001E28C5"/>
    <w:p w:rsidR="001E28C5" w:rsidRDefault="001E28C5" w:rsidP="001E28C5"/>
    <w:p w:rsidR="001E28C5" w:rsidRDefault="001E28C5" w:rsidP="001E28C5"/>
    <w:p w:rsidR="00692C15" w:rsidRDefault="00692C15"/>
    <w:sectPr w:rsidR="00692C15" w:rsidSect="00150787">
      <w:footerReference w:type="default" r:id="rId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4A" w:rsidRDefault="00BC144A" w:rsidP="001E28C5">
      <w:pPr>
        <w:spacing w:after="0" w:line="240" w:lineRule="auto"/>
      </w:pPr>
      <w:r>
        <w:separator/>
      </w:r>
    </w:p>
  </w:endnote>
  <w:endnote w:type="continuationSeparator" w:id="0">
    <w:p w:rsidR="00BC144A" w:rsidRDefault="00BC144A" w:rsidP="001E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Pr="00CB22AD" w:rsidRDefault="00B5239D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CB22AD">
      <w:rPr>
        <w:rFonts w:eastAsiaTheme="majorEastAsia"/>
      </w:rPr>
      <w:t xml:space="preserve">Proposed Intro. </w:t>
    </w:r>
    <w:r>
      <w:rPr>
        <w:rFonts w:eastAsiaTheme="majorEastAsia"/>
      </w:rPr>
      <w:t xml:space="preserve">No. </w:t>
    </w:r>
    <w:r w:rsidR="001E28C5">
      <w:rPr>
        <w:rFonts w:eastAsiaTheme="majorEastAsia"/>
      </w:rPr>
      <w:t>926</w:t>
    </w:r>
    <w:r w:rsidRPr="00CB22AD">
      <w:rPr>
        <w:rFonts w:eastAsiaTheme="majorEastAsia"/>
      </w:rPr>
      <w:t>-A</w:t>
    </w:r>
    <w:r w:rsidRPr="00CB22AD">
      <w:rPr>
        <w:rFonts w:eastAsiaTheme="majorEastAsia"/>
      </w:rPr>
      <w:ptab w:relativeTo="margin" w:alignment="right" w:leader="none"/>
    </w:r>
    <w:r w:rsidRPr="00CB22AD">
      <w:rPr>
        <w:rFonts w:eastAsiaTheme="majorEastAsia"/>
      </w:rPr>
      <w:t xml:space="preserve">Page </w:t>
    </w:r>
    <w:r w:rsidRPr="00CB22AD">
      <w:fldChar w:fldCharType="begin"/>
    </w:r>
    <w:r w:rsidRPr="00CB22AD">
      <w:instrText xml:space="preserve"> PAGE   \* MERGEFORMAT </w:instrText>
    </w:r>
    <w:r w:rsidRPr="00CB22AD">
      <w:fldChar w:fldCharType="separate"/>
    </w:r>
    <w:r w:rsidR="00636A12" w:rsidRPr="00636A12">
      <w:rPr>
        <w:rFonts w:eastAsiaTheme="majorEastAsia"/>
        <w:noProof/>
      </w:rPr>
      <w:t>2</w:t>
    </w:r>
    <w:r w:rsidRPr="00CB22AD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4A" w:rsidRDefault="00BC144A" w:rsidP="001E28C5">
      <w:pPr>
        <w:spacing w:after="0" w:line="240" w:lineRule="auto"/>
      </w:pPr>
      <w:r>
        <w:separator/>
      </w:r>
    </w:p>
  </w:footnote>
  <w:footnote w:type="continuationSeparator" w:id="0">
    <w:p w:rsidR="00BC144A" w:rsidRDefault="00BC144A" w:rsidP="001E2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C5"/>
    <w:rsid w:val="000B6E48"/>
    <w:rsid w:val="00183A84"/>
    <w:rsid w:val="001B5BA8"/>
    <w:rsid w:val="001E28C5"/>
    <w:rsid w:val="002D65AD"/>
    <w:rsid w:val="00441CC4"/>
    <w:rsid w:val="00636A12"/>
    <w:rsid w:val="00692C15"/>
    <w:rsid w:val="00956839"/>
    <w:rsid w:val="00A47E84"/>
    <w:rsid w:val="00B5239D"/>
    <w:rsid w:val="00B65A53"/>
    <w:rsid w:val="00BC144A"/>
    <w:rsid w:val="00C5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CFA2C-3D0B-44B8-9380-C0219197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28C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28C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28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E53C-727A-47B8-9749-EBBC487A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dcterms:created xsi:type="dcterms:W3CDTF">2017-08-04T14:27:00Z</dcterms:created>
  <dcterms:modified xsi:type="dcterms:W3CDTF">2017-08-08T20:28:00Z</dcterms:modified>
</cp:coreProperties>
</file>