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9E996F1" wp14:editId="41508AB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2A7A09">
            <w:pPr>
              <w:rPr>
                <w:b/>
                <w:bCs/>
              </w:rPr>
            </w:pPr>
          </w:p>
          <w:p w:rsidR="00810F48" w:rsidRPr="00A267C7" w:rsidRDefault="000A2914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12340D" w:rsidRPr="00197906">
              <w:rPr>
                <w:b/>
                <w:bCs/>
              </w:rPr>
              <w:t>1084</w:t>
            </w:r>
            <w:r w:rsidR="00F4597E" w:rsidRPr="00197906">
              <w:rPr>
                <w:b/>
                <w:bCs/>
              </w:rPr>
              <w:t>-A</w:t>
            </w:r>
          </w:p>
          <w:p w:rsidR="00902A93" w:rsidRPr="00012730" w:rsidRDefault="00902A93" w:rsidP="0039626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0101B2">
              <w:rPr>
                <w:bCs/>
              </w:rPr>
              <w:t>Civil Service and Labor</w:t>
            </w:r>
            <w:r w:rsidR="00A267C7" w:rsidRPr="00012730">
              <w:rPr>
                <w:bCs/>
              </w:rPr>
              <w:t xml:space="preserve"> </w:t>
            </w:r>
          </w:p>
        </w:tc>
      </w:tr>
      <w:tr w:rsidR="00902A93" w:rsidRPr="00012730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AD777B" w:rsidRDefault="00902A93" w:rsidP="0012340D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D65B01">
              <w:rPr>
                <w:bCs/>
              </w:rPr>
              <w:t xml:space="preserve">A local law </w:t>
            </w:r>
            <w:r w:rsidR="00AD777B">
              <w:rPr>
                <w:bCs/>
              </w:rPr>
              <w:t xml:space="preserve">to amend the </w:t>
            </w:r>
            <w:r w:rsidR="0012340D">
              <w:rPr>
                <w:bCs/>
              </w:rPr>
              <w:t xml:space="preserve">charter and the </w:t>
            </w:r>
            <w:r w:rsidR="00AD777B">
              <w:t xml:space="preserve">administrative code of the city of New York, </w:t>
            </w:r>
            <w:r w:rsidR="0012340D">
              <w:t xml:space="preserve">in relation to the establishment of a division of paid care.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02A93" w:rsidRPr="00AD777B" w:rsidRDefault="00902A93" w:rsidP="0012340D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197906" w:rsidRPr="00C42B60">
              <w:rPr>
                <w:bCs/>
              </w:rPr>
              <w:t xml:space="preserve">Council Member </w:t>
            </w:r>
            <w:r w:rsidR="00F639B2">
              <w:t>Cohen, The Speaker (Council Member Mark-Viverito), and Council Members Palma, Rose, Van Bramer, Rodriguez, Rosenthal, Cabrera, Lander, Treyger, Deutsch, Dromm and Chin</w:t>
            </w:r>
          </w:p>
        </w:tc>
      </w:tr>
    </w:tbl>
    <w:p w:rsidR="00940320" w:rsidRDefault="00012730" w:rsidP="00A730F7">
      <w:pPr>
        <w:spacing w:before="100" w:beforeAutospacing="1"/>
        <w:pPrChange w:id="0" w:author="Pagan, Maria" w:date="2016-08-16T08:30:00Z">
          <w:pPr>
            <w:pBdr>
              <w:top w:val="single" w:sz="4" w:space="1" w:color="auto"/>
            </w:pBdr>
            <w:spacing w:before="100" w:beforeAutospacing="1"/>
          </w:pPr>
        </w:pPrChange>
      </w:pPr>
      <w:bookmarkStart w:id="1" w:name="_GoBack"/>
      <w:bookmarkEnd w:id="1"/>
      <w:r>
        <w:rPr>
          <w:b/>
          <w:smallCaps/>
        </w:rPr>
        <w:t>Summary of Legislation:</w:t>
      </w:r>
      <w:r>
        <w:t xml:space="preserve"> </w:t>
      </w:r>
      <w:r w:rsidR="0012340D">
        <w:t>This legislation would establish a new Division of Paid Care within the Office of Labor Standards</w:t>
      </w:r>
      <w:r w:rsidR="000A2914">
        <w:t xml:space="preserve"> at the Department of Consumer Affairs (“DCA”)</w:t>
      </w:r>
      <w:r w:rsidR="005D02FB">
        <w:t xml:space="preserve"> which </w:t>
      </w:r>
      <w:r w:rsidR="007527C8">
        <w:t>would</w:t>
      </w:r>
      <w:r w:rsidR="005D02FB">
        <w:t xml:space="preserve"> be staffed</w:t>
      </w:r>
      <w:r w:rsidR="005D02FB" w:rsidRPr="005D02FB">
        <w:t xml:space="preserve"> </w:t>
      </w:r>
      <w:r w:rsidR="005D02FB">
        <w:t xml:space="preserve">by both a division head and an advocate, as well as additional staff. The Division </w:t>
      </w:r>
      <w:r w:rsidR="007527C8">
        <w:t>would</w:t>
      </w:r>
      <w:r w:rsidR="005D02FB">
        <w:t xml:space="preserve"> be responsible for 1) assisting the Director of the Office of Labor Standards with developing policies and programs that apply to paid care workers, defined as an in-home child care workers or home care worker; 2)</w:t>
      </w:r>
      <w:r w:rsidR="0012340D">
        <w:t xml:space="preserve"> conducting public outreach</w:t>
      </w:r>
      <w:r w:rsidR="005D02FB">
        <w:t xml:space="preserve"> and information</w:t>
      </w:r>
      <w:r w:rsidR="0012340D">
        <w:t xml:space="preserve"> campaigns </w:t>
      </w:r>
      <w:r w:rsidR="005D02FB">
        <w:t>for paid care workers, employers, and care recipients; 3) engaging in and promoting research on the paid care industry; 4) coordinating and contracting with appropriate stakeholders to provide development programming and training; 5) establishing a working group that will meet at least annually to provide recommendations for assisting the paid care workforce and model standards for the paid care worker industry; 6) working with the New York State Department of Health to expand the State’s home care services worker registry</w:t>
      </w:r>
      <w:r w:rsidR="007527C8">
        <w:t>; 7) developing a system to assist paid care workers to obtain information about their rights and to allow them to submit complaints; and 8) notifying relevant agencies about potential systematic violations of labor and employment laws.</w:t>
      </w:r>
      <w:r w:rsidR="0012340D">
        <w:t xml:space="preserve"> </w:t>
      </w:r>
    </w:p>
    <w:p w:rsidR="009F670C" w:rsidRDefault="007527C8" w:rsidP="00A730F7">
      <w:pPr>
        <w:spacing w:before="100" w:beforeAutospacing="1"/>
        <w:pPrChange w:id="2" w:author="Pagan, Maria" w:date="2016-08-16T08:30:00Z">
          <w:pPr>
            <w:pBdr>
              <w:top w:val="single" w:sz="4" w:space="1" w:color="auto"/>
            </w:pBdr>
            <w:spacing w:before="100" w:beforeAutospacing="1"/>
          </w:pPr>
        </w:pPrChange>
      </w:pPr>
      <w:r>
        <w:t>In addition, the Division would be required to annually</w:t>
      </w:r>
      <w:r w:rsidR="009F670C">
        <w:t xml:space="preserve"> post on </w:t>
      </w:r>
      <w:r w:rsidR="008E6C18">
        <w:t xml:space="preserve">its </w:t>
      </w:r>
      <w:r w:rsidR="009F670C">
        <w:t xml:space="preserve">website and submit to the </w:t>
      </w:r>
      <w:r>
        <w:t xml:space="preserve">Speaker </w:t>
      </w:r>
      <w:r w:rsidR="009F670C">
        <w:t xml:space="preserve">a report which </w:t>
      </w:r>
      <w:r>
        <w:t xml:space="preserve">would </w:t>
      </w:r>
      <w:r w:rsidR="009F670C">
        <w:t xml:space="preserve">include information on the </w:t>
      </w:r>
      <w:r>
        <w:t xml:space="preserve">results of research conducted, the </w:t>
      </w:r>
      <w:r w:rsidR="009F670C">
        <w:t xml:space="preserve">number of complaints received by the intake system and types of </w:t>
      </w:r>
      <w:r>
        <w:t xml:space="preserve">information </w:t>
      </w:r>
      <w:r w:rsidR="009F670C">
        <w:t xml:space="preserve">provided, </w:t>
      </w:r>
      <w:r>
        <w:t>the results of findings made regarding any alleged systematic legal violations, any recommendations made by the working group, and the Division’s education and outreach efforts</w:t>
      </w:r>
      <w:r w:rsidR="009F670C">
        <w:t xml:space="preserve"> </w:t>
      </w:r>
    </w:p>
    <w:p w:rsidR="00810F48" w:rsidRPr="00012730" w:rsidRDefault="00810F48" w:rsidP="00A730F7">
      <w:pPr>
        <w:pPrChange w:id="3" w:author="Pagan, Maria" w:date="2016-08-16T08:30:00Z">
          <w:pPr>
            <w:pBdr>
              <w:top w:val="single" w:sz="4" w:space="1" w:color="auto"/>
            </w:pBdr>
          </w:pPr>
        </w:pPrChange>
      </w:pPr>
    </w:p>
    <w:p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8B6AC8">
        <w:t xml:space="preserve">This local law would take effect </w:t>
      </w:r>
      <w:r w:rsidR="008E6C18">
        <w:t xml:space="preserve">180 days </w:t>
      </w:r>
      <w:r w:rsidR="00D65B01">
        <w:t>after its enactment into law</w:t>
      </w:r>
      <w:r w:rsidR="000A2914">
        <w:t xml:space="preserve">, except that DCA </w:t>
      </w:r>
      <w:r w:rsidR="000A2914">
        <w:rPr>
          <w:color w:val="000000"/>
          <w:shd w:val="clear" w:color="auto" w:fill="FFFFFF"/>
        </w:rPr>
        <w:t>may take all actions necessary for its implementation, including the promulgation of rules, before such effective date</w:t>
      </w:r>
      <w:r w:rsidR="008B6AC8">
        <w:t xml:space="preserve">. </w:t>
      </w:r>
    </w:p>
    <w:p w:rsidR="00012730" w:rsidRPr="00012730" w:rsidRDefault="00012730" w:rsidP="00012730">
      <w:pPr>
        <w:spacing w:before="100" w:beforeAutospacing="1"/>
        <w:contextualSpacing/>
      </w:pPr>
    </w:p>
    <w:p w:rsidR="00902A93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CE45C3">
        <w:t xml:space="preserve"> Fiscal </w:t>
      </w:r>
      <w:r w:rsidR="00F2504A">
        <w:t>2018</w:t>
      </w:r>
    </w:p>
    <w:p w:rsidR="002718D2" w:rsidRDefault="002718D2" w:rsidP="00012730">
      <w:pPr>
        <w:spacing w:before="100" w:beforeAutospacing="1"/>
        <w:contextualSpacing/>
      </w:pP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2616"/>
        <w:gridCol w:w="2516"/>
        <w:gridCol w:w="1754"/>
      </w:tblGrid>
      <w:tr w:rsidR="00706E47" w:rsidRPr="00012730" w:rsidTr="0011654E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197906">
              <w:rPr>
                <w:b/>
                <w:bCs/>
                <w:sz w:val="20"/>
                <w:szCs w:val="20"/>
              </w:rPr>
              <w:t>FY17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19790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 xml:space="preserve">Effective </w:t>
            </w:r>
            <w:r w:rsidR="00197906" w:rsidRPr="00012730">
              <w:rPr>
                <w:b/>
                <w:bCs/>
                <w:sz w:val="20"/>
                <w:szCs w:val="20"/>
              </w:rPr>
              <w:t>FY</w:t>
            </w:r>
            <w:r w:rsidR="0019790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19790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 xml:space="preserve">Impact </w:t>
            </w:r>
            <w:r w:rsidR="00197906" w:rsidRPr="00012730">
              <w:rPr>
                <w:b/>
                <w:bCs/>
                <w:sz w:val="20"/>
                <w:szCs w:val="20"/>
              </w:rPr>
              <w:t>FY</w:t>
            </w:r>
            <w:r w:rsidR="00197906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06E47" w:rsidRPr="00012730" w:rsidTr="0011654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11654E" w:rsidRPr="00012730" w:rsidTr="0011654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1654E" w:rsidRPr="00012730" w:rsidRDefault="0011654E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1654E" w:rsidRPr="00012730" w:rsidRDefault="0011654E" w:rsidP="007527C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7527C8">
              <w:rPr>
                <w:bCs/>
                <w:sz w:val="20"/>
                <w:szCs w:val="20"/>
              </w:rPr>
              <w:t>2,124,200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1654E" w:rsidRPr="00012730" w:rsidRDefault="0011654E" w:rsidP="007527C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1,</w:t>
            </w:r>
            <w:r w:rsidR="007527C8">
              <w:rPr>
                <w:bCs/>
                <w:sz w:val="20"/>
                <w:szCs w:val="20"/>
              </w:rPr>
              <w:t>203,408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1654E" w:rsidRPr="00012730" w:rsidRDefault="0011654E" w:rsidP="007527C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1,</w:t>
            </w:r>
            <w:r w:rsidR="007527C8">
              <w:rPr>
                <w:bCs/>
                <w:sz w:val="20"/>
                <w:szCs w:val="20"/>
              </w:rPr>
              <w:t>203,408</w:t>
            </w:r>
          </w:p>
        </w:tc>
      </w:tr>
      <w:tr w:rsidR="0011654E" w:rsidRPr="00012730" w:rsidTr="0011654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1654E" w:rsidRPr="00012730" w:rsidRDefault="0011654E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1654E" w:rsidRPr="00012730" w:rsidRDefault="001165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 w:rsidR="007527C8">
              <w:rPr>
                <w:bCs/>
                <w:sz w:val="20"/>
                <w:szCs w:val="20"/>
              </w:rPr>
              <w:t>2,124,200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1654E" w:rsidRPr="00012730" w:rsidRDefault="0011654E" w:rsidP="001979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1,</w:t>
            </w:r>
            <w:r w:rsidR="007527C8">
              <w:rPr>
                <w:bCs/>
                <w:sz w:val="20"/>
                <w:szCs w:val="20"/>
              </w:rPr>
              <w:t xml:space="preserve"> 203,408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1654E" w:rsidRPr="00012730" w:rsidRDefault="0011654E" w:rsidP="007527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1,</w:t>
            </w:r>
            <w:r w:rsidR="007527C8">
              <w:rPr>
                <w:bCs/>
                <w:sz w:val="20"/>
                <w:szCs w:val="20"/>
              </w:rPr>
              <w:t>203,408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:rsidR="000A5804" w:rsidRPr="00012730" w:rsidRDefault="000A5804" w:rsidP="00706E47">
      <w:pPr>
        <w:spacing w:before="120"/>
      </w:pPr>
    </w:p>
    <w:p w:rsidR="00396260" w:rsidRPr="00D65B01" w:rsidRDefault="000A5804" w:rsidP="00810F48">
      <w:r w:rsidRPr="00012730">
        <w:rPr>
          <w:b/>
          <w:smallCaps/>
        </w:rPr>
        <w:lastRenderedPageBreak/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>It is anticipated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:rsidR="00396260" w:rsidRDefault="00396260" w:rsidP="00810F48">
      <w:pPr>
        <w:rPr>
          <w:b/>
          <w:smallCaps/>
        </w:rPr>
      </w:pPr>
    </w:p>
    <w:p w:rsidR="002E3635" w:rsidRDefault="00396260" w:rsidP="00197906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D65B01">
        <w:t>It is anticipated that</w:t>
      </w:r>
      <w:r w:rsidR="00CB3A56">
        <w:t xml:space="preserve"> this</w:t>
      </w:r>
      <w:r w:rsidR="002E3635">
        <w:t xml:space="preserve"> legislation would </w:t>
      </w:r>
      <w:r w:rsidR="00571955">
        <w:t xml:space="preserve">have a full fiscal </w:t>
      </w:r>
      <w:r w:rsidR="002E3635">
        <w:t xml:space="preserve">impact </w:t>
      </w:r>
      <w:r w:rsidR="00BD40AB">
        <w:t>of</w:t>
      </w:r>
      <w:r w:rsidR="00CB3A56">
        <w:t xml:space="preserve"> $</w:t>
      </w:r>
      <w:r w:rsidR="00197906">
        <w:t>1</w:t>
      </w:r>
      <w:r w:rsidR="00BD40AB">
        <w:t>,</w:t>
      </w:r>
      <w:r w:rsidR="002A55AD">
        <w:t>203,408</w:t>
      </w:r>
      <w:r w:rsidR="002E3635">
        <w:t xml:space="preserve"> </w:t>
      </w:r>
      <w:r w:rsidR="0015620E">
        <w:t>in Fiscal 2018</w:t>
      </w:r>
      <w:r w:rsidR="007527C8">
        <w:t xml:space="preserve"> and the </w:t>
      </w:r>
      <w:proofErr w:type="spellStart"/>
      <w:r w:rsidR="007527C8">
        <w:t>outyears</w:t>
      </w:r>
      <w:proofErr w:type="spellEnd"/>
      <w:r w:rsidR="002E3635">
        <w:t>. T</w:t>
      </w:r>
      <w:r w:rsidR="00E313BA">
        <w:t xml:space="preserve">his </w:t>
      </w:r>
      <w:r w:rsidR="00197906">
        <w:t xml:space="preserve">includes </w:t>
      </w:r>
      <w:r w:rsidR="00AD219A">
        <w:t>$1,1</w:t>
      </w:r>
      <w:r w:rsidR="002A55AD">
        <w:t>85,750</w:t>
      </w:r>
      <w:r w:rsidR="00AD219A">
        <w:t xml:space="preserve"> in </w:t>
      </w:r>
      <w:r w:rsidR="00197906">
        <w:t xml:space="preserve">annual </w:t>
      </w:r>
      <w:r w:rsidR="00AD219A">
        <w:t>P</w:t>
      </w:r>
      <w:r w:rsidR="00B21B2F">
        <w:t xml:space="preserve">ersonal </w:t>
      </w:r>
      <w:r w:rsidR="00AD219A">
        <w:t>S</w:t>
      </w:r>
      <w:r w:rsidR="00B21B2F">
        <w:t>ervices</w:t>
      </w:r>
      <w:r w:rsidR="00DA0B85">
        <w:t xml:space="preserve"> (“PS”)</w:t>
      </w:r>
      <w:r w:rsidR="00B21B2F">
        <w:t xml:space="preserve">, and </w:t>
      </w:r>
      <w:r w:rsidR="00AD219A">
        <w:t>$1</w:t>
      </w:r>
      <w:r w:rsidR="004A2DCD">
        <w:t>7</w:t>
      </w:r>
      <w:r w:rsidR="00AD219A">
        <w:t>,</w:t>
      </w:r>
      <w:r w:rsidR="004A2DCD">
        <w:t>658</w:t>
      </w:r>
      <w:r w:rsidR="00AD219A">
        <w:t xml:space="preserve"> in annual </w:t>
      </w:r>
      <w:r w:rsidR="00B21B2F">
        <w:t>Other Than Personal Services</w:t>
      </w:r>
      <w:r w:rsidR="00DA0B85">
        <w:t xml:space="preserve"> (“OTPS”)</w:t>
      </w:r>
      <w:r w:rsidR="00B21B2F">
        <w:t xml:space="preserve">. </w:t>
      </w:r>
      <w:r w:rsidR="00DA0B85">
        <w:t>PS costs would</w:t>
      </w:r>
      <w:r w:rsidR="004B388A">
        <w:t xml:space="preserve"> </w:t>
      </w:r>
      <w:r w:rsidR="004A2DCD">
        <w:t>comprise</w:t>
      </w:r>
      <w:r w:rsidR="00DA0B85">
        <w:t xml:space="preserve"> of</w:t>
      </w:r>
      <w:r w:rsidR="004B388A">
        <w:t xml:space="preserve"> nine additional staff members, including </w:t>
      </w:r>
      <w:r w:rsidR="00DA0B85">
        <w:t>the</w:t>
      </w:r>
      <w:r w:rsidR="002E3635">
        <w:t xml:space="preserve"> </w:t>
      </w:r>
      <w:r w:rsidR="00197906">
        <w:t>division head</w:t>
      </w:r>
      <w:r w:rsidR="00DA0B85">
        <w:t xml:space="preserve"> and the </w:t>
      </w:r>
      <w:r w:rsidR="002A55AD">
        <w:t>a</w:t>
      </w:r>
      <w:r w:rsidR="004B388A">
        <w:t>dvocate</w:t>
      </w:r>
      <w:r w:rsidR="004A2DCD">
        <w:t>.</w:t>
      </w:r>
      <w:r w:rsidR="00DA0B85">
        <w:t xml:space="preserve"> For Fiscal 2017, it is assumed that the PS costs would be incurred for only six months once the legislation takes effect and, therefore, $592,875 in PS costs are estimated for that year.</w:t>
      </w:r>
      <w:r w:rsidR="004A2DCD">
        <w:t xml:space="preserve"> </w:t>
      </w:r>
      <w:r w:rsidR="001010FB">
        <w:t>In a</w:t>
      </w:r>
      <w:r w:rsidR="004A2DCD">
        <w:t>ddition</w:t>
      </w:r>
      <w:r w:rsidR="00DA0B85">
        <w:t xml:space="preserve">, in Fiscal 2017, it is anticipated that the OTPS costs would be $44,055 for items such as cubicles, chairs, VOIP phones and computers, as well as a one-time </w:t>
      </w:r>
      <w:r w:rsidR="001010FB">
        <w:t xml:space="preserve">expenditure </w:t>
      </w:r>
      <w:r w:rsidR="00DA0B85">
        <w:t xml:space="preserve">of </w:t>
      </w:r>
      <w:r w:rsidR="004A2DCD">
        <w:t xml:space="preserve">$1,478,070 </w:t>
      </w:r>
      <w:r w:rsidR="00DA0B85">
        <w:t>for</w:t>
      </w:r>
      <w:r w:rsidR="004A2DCD">
        <w:t xml:space="preserve"> a public awareness campaign</w:t>
      </w:r>
      <w:r w:rsidR="009D1297">
        <w:t>.</w:t>
      </w:r>
    </w:p>
    <w:p w:rsidR="000A5804" w:rsidRPr="00012730" w:rsidRDefault="000A5804" w:rsidP="00810F48"/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A2914" w:rsidRPr="000A2914">
        <w:t xml:space="preserve"> </w:t>
      </w:r>
      <w:r w:rsidR="000A2914">
        <w:t>General Fund</w:t>
      </w:r>
    </w:p>
    <w:p w:rsidR="000A2914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15086B">
        <w:t xml:space="preserve">Department of Consumer Affairs </w:t>
      </w:r>
    </w:p>
    <w:p w:rsidR="000A5804" w:rsidRPr="00012730" w:rsidRDefault="000A2914" w:rsidP="00C42B60">
      <w:pPr>
        <w:ind w:left="1440" w:firstLine="720"/>
      </w:pPr>
      <w:r>
        <w:t xml:space="preserve">         </w:t>
      </w:r>
      <w:r w:rsidR="00D65B01">
        <w:t>City Council Finance Division</w:t>
      </w:r>
    </w:p>
    <w:p w:rsidR="00B61C69" w:rsidRDefault="00B61C69" w:rsidP="00B61C69">
      <w:pPr>
        <w:jc w:val="left"/>
        <w:rPr>
          <w:b/>
          <w:smallCaps/>
        </w:rPr>
      </w:pPr>
    </w:p>
    <w:p w:rsidR="000A5804" w:rsidRPr="00012730" w:rsidRDefault="000A5804" w:rsidP="00B61C69">
      <w:pPr>
        <w:spacing w:before="120"/>
      </w:pPr>
      <w:r w:rsidRPr="00012730">
        <w:rPr>
          <w:b/>
          <w:smallCaps/>
        </w:rPr>
        <w:t>Estimate Prepared By: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C20BBC">
        <w:t>Davis Winslow</w:t>
      </w:r>
      <w:r w:rsidR="00B61C69">
        <w:t xml:space="preserve">, </w:t>
      </w:r>
      <w:r w:rsidR="00A00389">
        <w:t>Economist</w:t>
      </w:r>
      <w:r w:rsidR="00B61C69">
        <w:t xml:space="preserve">, </w:t>
      </w:r>
      <w:proofErr w:type="gramStart"/>
      <w:r w:rsidR="00B61C69">
        <w:t>Finance</w:t>
      </w:r>
      <w:proofErr w:type="gramEnd"/>
      <w:r w:rsidR="00B61C69">
        <w:t xml:space="preserve"> Division</w:t>
      </w:r>
      <w:r w:rsidRPr="00012730">
        <w:rPr>
          <w:b/>
          <w:smallCaps/>
        </w:rPr>
        <w:tab/>
      </w:r>
    </w:p>
    <w:p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E313BA" w:rsidRDefault="00A65724" w:rsidP="00E313BA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E313BA">
        <w:t xml:space="preserve"> </w:t>
      </w:r>
      <w:r w:rsidR="004F1E7B">
        <w:t>Paul Sturm</w:t>
      </w:r>
      <w:r w:rsidR="00E313BA">
        <w:t xml:space="preserve">, </w:t>
      </w:r>
      <w:r w:rsidR="004F1E7B">
        <w:t xml:space="preserve">Supervising </w:t>
      </w:r>
      <w:r w:rsidR="00A00389">
        <w:t>Economist</w:t>
      </w:r>
      <w:r w:rsidR="00E313BA">
        <w:t>, Finance Division</w:t>
      </w:r>
    </w:p>
    <w:p w:rsidR="00E313BA" w:rsidRDefault="00E313BA" w:rsidP="00E313BA">
      <w:r>
        <w:tab/>
      </w:r>
      <w:r>
        <w:tab/>
      </w:r>
      <w:r>
        <w:tab/>
        <w:t xml:space="preserve">        Rebecca Chasan, Counsel, Finance Division</w:t>
      </w:r>
    </w:p>
    <w:p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t>Legislative History:</w:t>
      </w:r>
      <w:r w:rsidR="00D65B01">
        <w:rPr>
          <w:b/>
          <w:smallCaps/>
        </w:rPr>
        <w:t xml:space="preserve"> </w:t>
      </w:r>
      <w:r w:rsidR="00D65B01">
        <w:t xml:space="preserve">Intro. No. </w:t>
      </w:r>
      <w:r w:rsidR="009C7ADE">
        <w:t>1084</w:t>
      </w:r>
      <w:r w:rsidR="00D65B01">
        <w:t xml:space="preserve"> was i</w:t>
      </w:r>
      <w:r w:rsidR="009C7ADE">
        <w:t>ntroduced to the Council on February 24, 2016</w:t>
      </w:r>
      <w:r w:rsidR="00D65B01">
        <w:t xml:space="preserve">, and was referred to the Committee on Civil Service and Labor. </w:t>
      </w:r>
      <w:r w:rsidR="008938B4">
        <w:t>The Committee</w:t>
      </w:r>
      <w:r w:rsidR="000A2914" w:rsidRPr="000A2914">
        <w:t xml:space="preserve"> </w:t>
      </w:r>
      <w:r w:rsidR="000A2914">
        <w:t>on Civil Service and Labor</w:t>
      </w:r>
      <w:r w:rsidR="008938B4">
        <w:t xml:space="preserve"> </w:t>
      </w:r>
      <w:r w:rsidR="00E17D4E">
        <w:t>held a hearing</w:t>
      </w:r>
      <w:r w:rsidR="000A2914">
        <w:t>, jointly with the Committee on Aging,</w:t>
      </w:r>
      <w:r w:rsidR="00600716">
        <w:t xml:space="preserve"> on Intro. No. 1084 on April</w:t>
      </w:r>
      <w:r w:rsidR="009C7ADE">
        <w:t xml:space="preserve"> 11, 2016</w:t>
      </w:r>
      <w:r w:rsidR="000A2914" w:rsidRPr="000A2914">
        <w:t xml:space="preserve"> </w:t>
      </w:r>
      <w:r w:rsidR="000A2914">
        <w:t>and the legislation</w:t>
      </w:r>
      <w:r w:rsidR="00E17D4E">
        <w:t xml:space="preserve"> </w:t>
      </w:r>
      <w:proofErr w:type="gramStart"/>
      <w:r w:rsidR="00E17D4E">
        <w:t>was</w:t>
      </w:r>
      <w:proofErr w:type="gramEnd"/>
      <w:r w:rsidR="00E17D4E">
        <w:t xml:space="preserve"> laid over by committee</w:t>
      </w:r>
      <w:r w:rsidR="008938B4">
        <w:t xml:space="preserve">. </w:t>
      </w:r>
      <w:r w:rsidR="00580BB2">
        <w:rPr>
          <w:rFonts w:eastAsia="Calibri"/>
        </w:rPr>
        <w:t>The legislation w</w:t>
      </w:r>
      <w:r w:rsidR="00580BB2" w:rsidRPr="00570721">
        <w:rPr>
          <w:rFonts w:eastAsia="Calibri"/>
        </w:rPr>
        <w:t xml:space="preserve">as subsequently amended and the </w:t>
      </w:r>
      <w:r w:rsidR="00580BB2" w:rsidRPr="00570721">
        <w:t xml:space="preserve">amended version of the legislation, </w:t>
      </w:r>
      <w:r w:rsidR="000A2914">
        <w:t>Proposed</w:t>
      </w:r>
      <w:r w:rsidR="000A2914" w:rsidRPr="00570721">
        <w:t xml:space="preserve"> </w:t>
      </w:r>
      <w:r w:rsidR="00580BB2" w:rsidRPr="00570721">
        <w:t xml:space="preserve">Intro. No. </w:t>
      </w:r>
      <w:r w:rsidR="00580BB2">
        <w:t>1084-</w:t>
      </w:r>
      <w:proofErr w:type="gramStart"/>
      <w:r w:rsidR="00580BB2" w:rsidRPr="00570721">
        <w:t>A,</w:t>
      </w:r>
      <w:proofErr w:type="gramEnd"/>
      <w:r w:rsidR="00580BB2" w:rsidRPr="00570721">
        <w:t xml:space="preserve"> will be considered by the </w:t>
      </w:r>
      <w:r w:rsidR="003809FB">
        <w:t xml:space="preserve">Committee on </w:t>
      </w:r>
      <w:r w:rsidR="00580BB2">
        <w:t>Civil Service and Labor</w:t>
      </w:r>
      <w:r w:rsidR="00580BB2" w:rsidRPr="00570721">
        <w:t xml:space="preserve"> on </w:t>
      </w:r>
      <w:r w:rsidR="00580BB2">
        <w:t>August 1</w:t>
      </w:r>
      <w:r w:rsidR="005546AE">
        <w:t>6</w:t>
      </w:r>
      <w:r w:rsidR="00580BB2" w:rsidRPr="00570721">
        <w:rPr>
          <w:rFonts w:eastAsia="Calibri"/>
        </w:rPr>
        <w:t>, 201</w:t>
      </w:r>
      <w:r w:rsidR="00580BB2">
        <w:rPr>
          <w:rFonts w:eastAsia="Calibri"/>
        </w:rPr>
        <w:t>6</w:t>
      </w:r>
      <w:r w:rsidR="00580BB2" w:rsidRPr="00570721">
        <w:t xml:space="preserve">. </w:t>
      </w:r>
      <w:proofErr w:type="gramStart"/>
      <w:r w:rsidR="00580BB2" w:rsidRPr="00570721">
        <w:t xml:space="preserve">Upon successful vote of the Committee, </w:t>
      </w:r>
      <w:r w:rsidR="000A2914">
        <w:t>Proposed</w:t>
      </w:r>
      <w:r w:rsidR="000A2914" w:rsidRPr="00570721">
        <w:t xml:space="preserve"> </w:t>
      </w:r>
      <w:r w:rsidR="00580BB2" w:rsidRPr="00570721">
        <w:t>Intro.</w:t>
      </w:r>
      <w:proofErr w:type="gramEnd"/>
      <w:r w:rsidR="00580BB2" w:rsidRPr="00570721">
        <w:t xml:space="preserve"> No. </w:t>
      </w:r>
      <w:r w:rsidR="00580BB2">
        <w:t>1084</w:t>
      </w:r>
      <w:r w:rsidR="00580BB2" w:rsidRPr="00570721">
        <w:t>-A will be submitted to the full Council for a vote on</w:t>
      </w:r>
      <w:r w:rsidR="00580BB2" w:rsidRPr="00580BB2">
        <w:t xml:space="preserve"> </w:t>
      </w:r>
      <w:r w:rsidR="00580BB2">
        <w:t>August 1</w:t>
      </w:r>
      <w:r w:rsidR="00636FD8">
        <w:t>6</w:t>
      </w:r>
      <w:r w:rsidR="00580BB2" w:rsidRPr="00570721">
        <w:rPr>
          <w:rFonts w:eastAsia="Calibri"/>
        </w:rPr>
        <w:t>, 201</w:t>
      </w:r>
      <w:r w:rsidR="00580BB2">
        <w:rPr>
          <w:rFonts w:eastAsia="Calibri"/>
        </w:rPr>
        <w:t>6</w:t>
      </w:r>
      <w:r w:rsidR="00580BB2" w:rsidRPr="00570721">
        <w:t>.</w:t>
      </w:r>
    </w:p>
    <w:p w:rsidR="006E1466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197906">
        <w:t>August 1</w:t>
      </w:r>
      <w:r w:rsidR="004171A0">
        <w:t>2</w:t>
      </w:r>
      <w:r w:rsidR="00B239F9">
        <w:t>, 2016</w:t>
      </w:r>
    </w:p>
    <w:p w:rsidR="00B61C69" w:rsidRDefault="00B61C69" w:rsidP="006E1466">
      <w:pPr>
        <w:spacing w:before="120"/>
      </w:pPr>
    </w:p>
    <w:sectPr w:rsidR="00B61C69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3" w:rsidRDefault="00F47883" w:rsidP="000B7EB0">
      <w:r>
        <w:separator/>
      </w:r>
    </w:p>
  </w:endnote>
  <w:endnote w:type="continuationSeparator" w:id="0">
    <w:p w:rsidR="00F47883" w:rsidRDefault="00F4788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0A29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Proposed</w:t>
    </w:r>
    <w:r w:rsidRPr="00570721">
      <w:t xml:space="preserve"> </w:t>
    </w:r>
    <w:r w:rsidR="00810F48">
      <w:rPr>
        <w:rFonts w:asciiTheme="majorHAnsi" w:eastAsiaTheme="majorEastAsia" w:hAnsiTheme="majorHAnsi" w:cstheme="majorBidi"/>
      </w:rPr>
      <w:t>Intro.</w:t>
    </w:r>
    <w:r w:rsidR="009C7ADE">
      <w:rPr>
        <w:rFonts w:asciiTheme="majorHAnsi" w:eastAsiaTheme="majorEastAsia" w:hAnsiTheme="majorHAnsi" w:cstheme="majorBidi"/>
      </w:rPr>
      <w:t xml:space="preserve"> No. 1084</w:t>
    </w:r>
    <w:r w:rsidR="00F2504A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A730F7" w:rsidRPr="00A730F7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3" w:rsidRDefault="00F47883" w:rsidP="000B7EB0">
      <w:r>
        <w:separator/>
      </w:r>
    </w:p>
  </w:footnote>
  <w:footnote w:type="continuationSeparator" w:id="0">
    <w:p w:rsidR="00F47883" w:rsidRDefault="00F4788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57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140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914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81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0FB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54E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86B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20E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906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3911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C7EAF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5AD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254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9FB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6F81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1A7E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3B09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1A0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9FF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CD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1E21"/>
    <w:rsid w:val="004B25BC"/>
    <w:rsid w:val="004B2DEB"/>
    <w:rsid w:val="004B2F19"/>
    <w:rsid w:val="004B315C"/>
    <w:rsid w:val="004B3185"/>
    <w:rsid w:val="004B3320"/>
    <w:rsid w:val="004B3407"/>
    <w:rsid w:val="004B3868"/>
    <w:rsid w:val="004B388A"/>
    <w:rsid w:val="004B3A79"/>
    <w:rsid w:val="004B4701"/>
    <w:rsid w:val="004B563E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46AE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955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0BB2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2FB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FD8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43F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064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311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7C8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759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39CB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2DB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C1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1CE9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A4D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993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297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389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1F1D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0F7"/>
    <w:rsid w:val="00A7344A"/>
    <w:rsid w:val="00A73FBB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19A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B2F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0A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BBC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B60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E9F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6E7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A54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405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0B85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679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4E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674"/>
    <w:rsid w:val="00E44A6C"/>
    <w:rsid w:val="00E44F6A"/>
    <w:rsid w:val="00E45BC4"/>
    <w:rsid w:val="00E45E8C"/>
    <w:rsid w:val="00E47493"/>
    <w:rsid w:val="00E50410"/>
    <w:rsid w:val="00E50C04"/>
    <w:rsid w:val="00E50D7E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A30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04A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597E"/>
    <w:rsid w:val="00F46B1B"/>
    <w:rsid w:val="00F46D8A"/>
    <w:rsid w:val="00F47883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276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BC4"/>
    <w:rsid w:val="00F62D00"/>
    <w:rsid w:val="00F635B7"/>
    <w:rsid w:val="00F638B3"/>
    <w:rsid w:val="00F639B2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993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6C3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06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C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064"/>
    <w:rPr>
      <w:rFonts w:ascii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6C3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06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C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064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CD32-37C1-4C1E-B576-A217F7BB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4</cp:revision>
  <cp:lastPrinted>2016-08-11T21:39:00Z</cp:lastPrinted>
  <dcterms:created xsi:type="dcterms:W3CDTF">2016-08-12T18:24:00Z</dcterms:created>
  <dcterms:modified xsi:type="dcterms:W3CDTF">2016-08-16T12:30:00Z</dcterms:modified>
</cp:coreProperties>
</file>