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5508"/>
        <w:gridCol w:w="5508"/>
      </w:tblGrid>
      <w:tr w:rsidR="00352252">
        <w:trPr>
          <w:jc w:val="center"/>
        </w:trPr>
        <w:tc>
          <w:tcPr>
            <w:tcW w:w="5508" w:type="dxa"/>
            <w:tcBorders>
              <w:bottom w:val="single" w:sz="6" w:space="0" w:color="auto"/>
            </w:tcBorders>
          </w:tcPr>
          <w:p w:rsidR="00352252" w:rsidRDefault="00E5089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A8BDF78" wp14:editId="4308DE0D">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352252" w:rsidRDefault="00352252">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352252" w:rsidRDefault="00352252" w:rsidP="00AA7573">
            <w:pPr>
              <w:rPr>
                <w:b/>
                <w:bCs/>
                <w:smallCaps/>
              </w:rPr>
            </w:pPr>
            <w:r>
              <w:rPr>
                <w:b/>
                <w:bCs/>
                <w:smallCaps/>
              </w:rPr>
              <w:t>Finance Division</w:t>
            </w:r>
          </w:p>
          <w:p w:rsidR="00352252" w:rsidRDefault="00A24BA6" w:rsidP="00AA7573">
            <w:pPr>
              <w:spacing w:before="120"/>
              <w:rPr>
                <w:b/>
                <w:bCs/>
                <w:smallCaps/>
              </w:rPr>
            </w:pPr>
            <w:r>
              <w:rPr>
                <w:b/>
                <w:bCs/>
                <w:smallCaps/>
              </w:rPr>
              <w:t>Latonia McKinney</w:t>
            </w:r>
            <w:r w:rsidR="00352252">
              <w:rPr>
                <w:b/>
                <w:bCs/>
                <w:smallCaps/>
              </w:rPr>
              <w:t>, Director</w:t>
            </w:r>
          </w:p>
          <w:p w:rsidR="00352252" w:rsidRDefault="00352252" w:rsidP="00AA7573">
            <w:pPr>
              <w:spacing w:before="120"/>
            </w:pPr>
            <w:r>
              <w:rPr>
                <w:b/>
                <w:bCs/>
                <w:smallCaps/>
              </w:rPr>
              <w:t>Fiscal Impact Statement</w:t>
            </w:r>
          </w:p>
          <w:p w:rsidR="007D040E" w:rsidRPr="007D040E" w:rsidRDefault="001E38BA" w:rsidP="00AA7573">
            <w:pPr>
              <w:spacing w:before="120"/>
              <w:rPr>
                <w:b/>
                <w:bCs/>
                <w:smallCaps/>
              </w:rPr>
            </w:pPr>
            <w:r>
              <w:rPr>
                <w:b/>
                <w:bCs/>
                <w:smallCaps/>
              </w:rPr>
              <w:t xml:space="preserve">Proposed </w:t>
            </w:r>
            <w:r w:rsidR="00A1598A" w:rsidRPr="00A1598A">
              <w:rPr>
                <w:b/>
                <w:bCs/>
                <w:smallCaps/>
              </w:rPr>
              <w:t>Int. No.</w:t>
            </w:r>
            <w:r>
              <w:rPr>
                <w:b/>
                <w:bCs/>
                <w:smallCaps/>
              </w:rPr>
              <w:t xml:space="preserve"> </w:t>
            </w:r>
            <w:r w:rsidR="006F354F">
              <w:t>62-A</w:t>
            </w:r>
          </w:p>
          <w:p w:rsidR="00352252" w:rsidRPr="00F81630" w:rsidRDefault="00352252" w:rsidP="00AA7573">
            <w:pPr>
              <w:tabs>
                <w:tab w:val="left" w:pos="-1440"/>
              </w:tabs>
              <w:spacing w:before="120"/>
              <w:ind w:left="1440" w:hanging="1440"/>
              <w:jc w:val="left"/>
            </w:pPr>
            <w:r>
              <w:rPr>
                <w:b/>
                <w:bCs/>
                <w:smallCaps/>
              </w:rPr>
              <w:t>Committee</w:t>
            </w:r>
            <w:r>
              <w:rPr>
                <w:b/>
                <w:bCs/>
              </w:rPr>
              <w:t>:</w:t>
            </w:r>
            <w:r w:rsidR="000C7FF6">
              <w:rPr>
                <w:b/>
                <w:bCs/>
              </w:rPr>
              <w:t xml:space="preserve"> </w:t>
            </w:r>
            <w:r w:rsidR="00F81630">
              <w:rPr>
                <w:b/>
                <w:bCs/>
              </w:rPr>
              <w:t xml:space="preserve">  </w:t>
            </w:r>
            <w:r w:rsidR="008434EF">
              <w:rPr>
                <w:bCs/>
              </w:rPr>
              <w:t>Governmental Operations</w:t>
            </w:r>
          </w:p>
          <w:p w:rsidR="00352252" w:rsidRDefault="00352252"/>
        </w:tc>
      </w:tr>
      <w:tr w:rsidR="00352252">
        <w:trPr>
          <w:jc w:val="center"/>
        </w:trPr>
        <w:tc>
          <w:tcPr>
            <w:tcW w:w="5508" w:type="dxa"/>
            <w:tcBorders>
              <w:top w:val="single" w:sz="6" w:space="0" w:color="auto"/>
            </w:tcBorders>
          </w:tcPr>
          <w:p w:rsidR="00352252" w:rsidRDefault="00352252">
            <w:pPr>
              <w:rPr>
                <w:b/>
                <w:bCs/>
                <w:smallCaps/>
              </w:rPr>
            </w:pPr>
          </w:p>
          <w:p w:rsidR="00C6438E" w:rsidRPr="00B073C6" w:rsidRDefault="00352252" w:rsidP="00C6438E">
            <w:pPr>
              <w:shd w:val="clear" w:color="auto" w:fill="FFFFFF"/>
              <w:rPr>
                <w:color w:val="000000"/>
                <w:sz w:val="27"/>
                <w:szCs w:val="27"/>
              </w:rPr>
            </w:pPr>
            <w:r>
              <w:rPr>
                <w:b/>
                <w:bCs/>
                <w:smallCaps/>
              </w:rPr>
              <w:t>Title</w:t>
            </w:r>
            <w:r>
              <w:rPr>
                <w:b/>
                <w:bCs/>
              </w:rPr>
              <w:t>:</w:t>
            </w:r>
            <w:r>
              <w:t xml:space="preserve"> </w:t>
            </w:r>
            <w:r w:rsidR="00F81630">
              <w:t xml:space="preserve"> </w:t>
            </w:r>
            <w:r w:rsidR="00C6438E" w:rsidRPr="00B073C6">
              <w:rPr>
                <w:color w:val="000000"/>
              </w:rPr>
              <w:t>A Local Law to amend the New York city charter, in relation to requiring notice on former poll sites</w:t>
            </w:r>
            <w:r w:rsidR="00C6438E">
              <w:rPr>
                <w:color w:val="000000"/>
              </w:rPr>
              <w:t xml:space="preserve">. </w:t>
            </w:r>
          </w:p>
          <w:p w:rsidR="001E38BA" w:rsidRDefault="001E38BA" w:rsidP="001E38BA">
            <w:pPr>
              <w:shd w:val="clear" w:color="auto" w:fill="FFFFFF"/>
            </w:pPr>
          </w:p>
        </w:tc>
        <w:tc>
          <w:tcPr>
            <w:tcW w:w="5508" w:type="dxa"/>
            <w:tcBorders>
              <w:top w:val="single" w:sz="6" w:space="0" w:color="auto"/>
            </w:tcBorders>
          </w:tcPr>
          <w:p w:rsidR="00352252" w:rsidRDefault="00352252">
            <w:pPr>
              <w:tabs>
                <w:tab w:val="left" w:pos="-1440"/>
              </w:tabs>
              <w:ind w:left="1440" w:hanging="1440"/>
              <w:rPr>
                <w:b/>
                <w:bCs/>
                <w:smallCaps/>
              </w:rPr>
            </w:pPr>
          </w:p>
          <w:p w:rsidR="00352252" w:rsidRDefault="00352252" w:rsidP="00C6438E">
            <w:pPr>
              <w:shd w:val="clear" w:color="auto" w:fill="FFFFFF"/>
            </w:pPr>
            <w:r>
              <w:rPr>
                <w:b/>
                <w:bCs/>
                <w:smallCaps/>
              </w:rPr>
              <w:t>Sponsor</w:t>
            </w:r>
            <w:r w:rsidR="001C6CA0">
              <w:rPr>
                <w:b/>
                <w:bCs/>
                <w:smallCaps/>
              </w:rPr>
              <w:t>s</w:t>
            </w:r>
            <w:r>
              <w:rPr>
                <w:b/>
                <w:bCs/>
              </w:rPr>
              <w:t>:</w:t>
            </w:r>
            <w:r w:rsidR="00F81630">
              <w:rPr>
                <w:b/>
                <w:bCs/>
              </w:rPr>
              <w:t xml:space="preserve">  </w:t>
            </w:r>
            <w:r w:rsidR="00C6438E" w:rsidRPr="00B073C6">
              <w:rPr>
                <w:color w:val="000000"/>
              </w:rPr>
              <w:t>Council Members Garodnick, Dickens, King, Koo, Mendez, Palma, Rose, Rosenthal, Reynoso</w:t>
            </w:r>
            <w:r w:rsidR="00C6438E">
              <w:rPr>
                <w:color w:val="000000"/>
              </w:rPr>
              <w:t xml:space="preserve">, </w:t>
            </w:r>
            <w:r w:rsidR="00C6438E" w:rsidRPr="00B073C6">
              <w:rPr>
                <w:color w:val="000000"/>
              </w:rPr>
              <w:t>Cornegy</w:t>
            </w:r>
            <w:r w:rsidR="00C6438E">
              <w:rPr>
                <w:color w:val="000000"/>
              </w:rPr>
              <w:t xml:space="preserve"> and Van Bramer</w:t>
            </w:r>
          </w:p>
        </w:tc>
      </w:tr>
      <w:tr w:rsidR="00352252">
        <w:trPr>
          <w:cantSplit/>
          <w:trHeight w:val="554"/>
          <w:jc w:val="center"/>
        </w:trPr>
        <w:tc>
          <w:tcPr>
            <w:tcW w:w="11016" w:type="dxa"/>
            <w:gridSpan w:val="2"/>
          </w:tcPr>
          <w:p w:rsidR="00C6438E" w:rsidRPr="00C6438E" w:rsidRDefault="00352252" w:rsidP="00C6438E">
            <w:pPr>
              <w:rPr>
                <w:b/>
                <w:bCs/>
                <w:smallCaps/>
              </w:rPr>
            </w:pPr>
            <w:r w:rsidRPr="00D56CD5">
              <w:rPr>
                <w:b/>
                <w:bCs/>
                <w:smallCaps/>
              </w:rPr>
              <w:t>Summary of Legislation</w:t>
            </w:r>
            <w:r w:rsidRPr="00AA0D8B">
              <w:rPr>
                <w:b/>
                <w:bCs/>
                <w:smallCaps/>
              </w:rPr>
              <w:t>:</w:t>
            </w:r>
            <w:r w:rsidR="005D6F39">
              <w:rPr>
                <w:b/>
                <w:bCs/>
                <w:smallCaps/>
              </w:rPr>
              <w:t xml:space="preserve"> </w:t>
            </w:r>
            <w:r w:rsidR="00C6438E">
              <w:t>This bill would require the N</w:t>
            </w:r>
            <w:r w:rsidR="00B16D18">
              <w:t xml:space="preserve">ew </w:t>
            </w:r>
            <w:r w:rsidR="00C6438E">
              <w:t>Y</w:t>
            </w:r>
            <w:r w:rsidR="00B16D18">
              <w:t xml:space="preserve">ork </w:t>
            </w:r>
            <w:r w:rsidR="00C6438E">
              <w:t>C</w:t>
            </w:r>
            <w:r w:rsidR="00B16D18">
              <w:t>ity</w:t>
            </w:r>
            <w:r w:rsidR="00C6438E">
              <w:t xml:space="preserve"> Board of Elections</w:t>
            </w:r>
            <w:r w:rsidR="00B16D18">
              <w:t xml:space="preserve"> (BOE)</w:t>
            </w:r>
            <w:r w:rsidR="00C6438E">
              <w:t xml:space="preserve"> to post a notice on each building that was used as a poll site in any of the four calendar years prior to an election day if such poll site</w:t>
            </w:r>
            <w:r w:rsidR="00045799">
              <w:t xml:space="preserve"> is no longer being used and previously</w:t>
            </w:r>
            <w:r w:rsidR="00C6438E">
              <w:t xml:space="preserve"> covered one or more election districts in which an election is being held on such election day. Posted notices would include (1) notification that the building is not being used as a poll site, (2) the addresses of the poll sites being used for such election, (3) information about the website containing the poll site locator, and (4) contact information for the BOE. </w:t>
            </w:r>
          </w:p>
          <w:p w:rsidR="00D6593F" w:rsidRPr="00D6593F" w:rsidRDefault="00D6593F" w:rsidP="00D6593F">
            <w:pPr>
              <w:ind w:left="360"/>
              <w:contextualSpacing/>
              <w:rPr>
                <w:rFonts w:eastAsia="Calibri"/>
              </w:rPr>
            </w:pPr>
          </w:p>
        </w:tc>
      </w:tr>
      <w:tr w:rsidR="00352252">
        <w:trPr>
          <w:cantSplit/>
          <w:trHeight w:val="553"/>
          <w:jc w:val="center"/>
        </w:trPr>
        <w:tc>
          <w:tcPr>
            <w:tcW w:w="11016" w:type="dxa"/>
            <w:gridSpan w:val="2"/>
          </w:tcPr>
          <w:p w:rsidR="00D6593F" w:rsidRPr="00D6593F" w:rsidRDefault="00352252" w:rsidP="00D6593F">
            <w:pPr>
              <w:spacing w:before="120"/>
              <w:rPr>
                <w:b/>
                <w:bCs/>
                <w:smallCaps/>
              </w:rPr>
            </w:pPr>
            <w:r>
              <w:rPr>
                <w:b/>
                <w:bCs/>
                <w:smallCaps/>
              </w:rPr>
              <w:t>Effective Date:</w:t>
            </w:r>
            <w:r w:rsidR="006A41E8">
              <w:rPr>
                <w:b/>
                <w:bCs/>
                <w:smallCaps/>
              </w:rPr>
              <w:t xml:space="preserve"> </w:t>
            </w:r>
            <w:r w:rsidR="00C6438E" w:rsidRPr="00B073C6">
              <w:rPr>
                <w:color w:val="000000"/>
              </w:rPr>
              <w:t>This local law</w:t>
            </w:r>
            <w:r w:rsidR="00B16D18">
              <w:rPr>
                <w:color w:val="000000"/>
              </w:rPr>
              <w:t xml:space="preserve"> would</w:t>
            </w:r>
            <w:r w:rsidR="00C6438E" w:rsidRPr="00B073C6">
              <w:rPr>
                <w:color w:val="000000"/>
              </w:rPr>
              <w:t xml:space="preserve"> take effect </w:t>
            </w:r>
            <w:r w:rsidR="00C6438E">
              <w:rPr>
                <w:color w:val="000000"/>
              </w:rPr>
              <w:t>January 1, 2017</w:t>
            </w:r>
            <w:r w:rsidR="00C6438E" w:rsidRPr="00B073C6">
              <w:rPr>
                <w:color w:val="000000"/>
              </w:rPr>
              <w:t>.</w:t>
            </w:r>
          </w:p>
          <w:p w:rsidR="00D6593F" w:rsidRDefault="00D6593F" w:rsidP="001E38BA">
            <w:pPr>
              <w:spacing w:before="120"/>
              <w:rPr>
                <w:b/>
                <w:bCs/>
                <w:smallCaps/>
              </w:rPr>
            </w:pPr>
          </w:p>
        </w:tc>
      </w:tr>
      <w:tr w:rsidR="00352252">
        <w:trPr>
          <w:cantSplit/>
          <w:trHeight w:val="553"/>
          <w:jc w:val="center"/>
        </w:trPr>
        <w:tc>
          <w:tcPr>
            <w:tcW w:w="11016" w:type="dxa"/>
            <w:gridSpan w:val="2"/>
            <w:tcBorders>
              <w:bottom w:val="single" w:sz="6" w:space="0" w:color="auto"/>
            </w:tcBorders>
          </w:tcPr>
          <w:p w:rsidR="00352252" w:rsidRDefault="00352252">
            <w:r>
              <w:rPr>
                <w:b/>
                <w:bCs/>
                <w:smallCaps/>
              </w:rPr>
              <w:t>Fiscal Year In Which Full Fiscal Impact Anticipated:</w:t>
            </w:r>
            <w:r>
              <w:t xml:space="preserve"> </w:t>
            </w:r>
            <w:r w:rsidR="00F81630">
              <w:t xml:space="preserve">  </w:t>
            </w:r>
            <w:r w:rsidR="008434EF">
              <w:t>Fiscal 201</w:t>
            </w:r>
            <w:r w:rsidR="00B16D18">
              <w:t>8</w:t>
            </w:r>
          </w:p>
          <w:p w:rsidR="00352252" w:rsidRPr="00B716AE" w:rsidRDefault="00352252" w:rsidP="00B716AE"/>
        </w:tc>
      </w:tr>
      <w:tr w:rsidR="00352252" w:rsidTr="00917202">
        <w:trPr>
          <w:cantSplit/>
          <w:trHeight w:val="2505"/>
          <w:jc w:val="center"/>
        </w:trPr>
        <w:tc>
          <w:tcPr>
            <w:tcW w:w="11016" w:type="dxa"/>
            <w:gridSpan w:val="2"/>
            <w:tcBorders>
              <w:top w:val="single" w:sz="6" w:space="0" w:color="auto"/>
            </w:tcBorders>
          </w:tcPr>
          <w:p w:rsidR="00352252" w:rsidRDefault="00352252">
            <w:pPr>
              <w:rPr>
                <w:b/>
                <w:bCs/>
                <w:smallCaps/>
              </w:rPr>
            </w:pPr>
            <w:r>
              <w:rPr>
                <w:b/>
                <w:bCs/>
                <w:smallCaps/>
              </w:rPr>
              <w:t>Fiscal Impact Statement:</w:t>
            </w:r>
          </w:p>
          <w:p w:rsidR="001D2910" w:rsidRDefault="001D2910"/>
          <w:tbl>
            <w:tblPr>
              <w:tblW w:w="0" w:type="auto"/>
              <w:jc w:val="center"/>
              <w:tblCellMar>
                <w:left w:w="141" w:type="dxa"/>
                <w:right w:w="141" w:type="dxa"/>
              </w:tblCellMar>
              <w:tblLook w:val="0000" w:firstRow="0" w:lastRow="0" w:firstColumn="0" w:lastColumn="0" w:noHBand="0" w:noVBand="0"/>
            </w:tblPr>
            <w:tblGrid>
              <w:gridCol w:w="1995"/>
              <w:gridCol w:w="1522"/>
              <w:gridCol w:w="2083"/>
              <w:gridCol w:w="1754"/>
            </w:tblGrid>
            <w:tr w:rsidR="00352252" w:rsidTr="001B0585">
              <w:trPr>
                <w:jc w:val="center"/>
              </w:trPr>
              <w:tc>
                <w:tcPr>
                  <w:tcW w:w="1995" w:type="dxa"/>
                  <w:tcBorders>
                    <w:top w:val="double" w:sz="7" w:space="0" w:color="000000"/>
                    <w:left w:val="double" w:sz="7" w:space="0" w:color="000000"/>
                    <w:bottom w:val="single" w:sz="6" w:space="0" w:color="FFFFFF"/>
                    <w:right w:val="single" w:sz="6" w:space="0" w:color="FFFFFF"/>
                  </w:tcBorders>
                </w:tcPr>
                <w:p w:rsidR="00352252" w:rsidRPr="008434EF" w:rsidRDefault="00352252">
                  <w:pPr>
                    <w:spacing w:line="201" w:lineRule="exact"/>
                    <w:jc w:val="center"/>
                    <w:rPr>
                      <w:sz w:val="20"/>
                    </w:rPr>
                  </w:pPr>
                </w:p>
                <w:p w:rsidR="00352252" w:rsidRPr="008434EF" w:rsidRDefault="00352252">
                  <w:pPr>
                    <w:jc w:val="center"/>
                    <w:rPr>
                      <w:b/>
                      <w:bCs/>
                      <w:sz w:val="20"/>
                      <w:szCs w:val="19"/>
                    </w:rPr>
                  </w:pPr>
                </w:p>
              </w:tc>
              <w:tc>
                <w:tcPr>
                  <w:tcW w:w="1522" w:type="dxa"/>
                  <w:tcBorders>
                    <w:top w:val="double" w:sz="7" w:space="0" w:color="000000"/>
                    <w:left w:val="single" w:sz="7" w:space="0" w:color="000000"/>
                    <w:bottom w:val="single" w:sz="6" w:space="0" w:color="FFFFFF"/>
                    <w:right w:val="single" w:sz="6" w:space="0" w:color="FFFFFF"/>
                  </w:tcBorders>
                </w:tcPr>
                <w:p w:rsidR="00352252" w:rsidRPr="008434EF" w:rsidRDefault="00DB057D">
                  <w:pPr>
                    <w:jc w:val="center"/>
                    <w:rPr>
                      <w:b/>
                      <w:bCs/>
                      <w:sz w:val="20"/>
                      <w:szCs w:val="19"/>
                    </w:rPr>
                  </w:pPr>
                  <w:r w:rsidRPr="008434EF">
                    <w:rPr>
                      <w:b/>
                      <w:bCs/>
                      <w:sz w:val="20"/>
                      <w:szCs w:val="19"/>
                    </w:rPr>
                    <w:t>Effective FY</w:t>
                  </w:r>
                  <w:r w:rsidR="00406123" w:rsidRPr="008434EF">
                    <w:rPr>
                      <w:b/>
                      <w:bCs/>
                      <w:sz w:val="20"/>
                      <w:szCs w:val="19"/>
                    </w:rPr>
                    <w:t>1</w:t>
                  </w:r>
                  <w:r w:rsidR="008434EF">
                    <w:rPr>
                      <w:b/>
                      <w:bCs/>
                      <w:sz w:val="20"/>
                      <w:szCs w:val="19"/>
                    </w:rPr>
                    <w:t>7</w:t>
                  </w:r>
                </w:p>
              </w:tc>
              <w:tc>
                <w:tcPr>
                  <w:tcW w:w="2083" w:type="dxa"/>
                  <w:tcBorders>
                    <w:top w:val="double" w:sz="7" w:space="0" w:color="000000"/>
                    <w:left w:val="single" w:sz="7" w:space="0" w:color="000000"/>
                    <w:bottom w:val="single" w:sz="6" w:space="0" w:color="FFFFFF"/>
                    <w:right w:val="single" w:sz="6" w:space="0" w:color="FFFFFF"/>
                  </w:tcBorders>
                </w:tcPr>
                <w:p w:rsidR="00352252" w:rsidRPr="008434EF" w:rsidRDefault="008434EF" w:rsidP="00182190">
                  <w:pPr>
                    <w:jc w:val="center"/>
                    <w:rPr>
                      <w:b/>
                      <w:bCs/>
                      <w:sz w:val="20"/>
                      <w:szCs w:val="19"/>
                    </w:rPr>
                  </w:pPr>
                  <w:r w:rsidRPr="001C3FD4">
                    <w:rPr>
                      <w:b/>
                      <w:bCs/>
                      <w:sz w:val="20"/>
                      <w:szCs w:val="20"/>
                    </w:rPr>
                    <w:t>FY Succeeding Effective 18</w:t>
                  </w:r>
                </w:p>
              </w:tc>
              <w:tc>
                <w:tcPr>
                  <w:tcW w:w="1754" w:type="dxa"/>
                  <w:tcBorders>
                    <w:top w:val="double" w:sz="7" w:space="0" w:color="000000"/>
                    <w:left w:val="single" w:sz="7" w:space="0" w:color="000000"/>
                    <w:bottom w:val="single" w:sz="6" w:space="0" w:color="FFFFFF"/>
                    <w:right w:val="double" w:sz="7" w:space="0" w:color="000000"/>
                  </w:tcBorders>
                </w:tcPr>
                <w:p w:rsidR="00352252" w:rsidRPr="008434EF" w:rsidRDefault="00352252">
                  <w:pPr>
                    <w:jc w:val="center"/>
                    <w:rPr>
                      <w:b/>
                      <w:bCs/>
                      <w:sz w:val="20"/>
                      <w:szCs w:val="19"/>
                    </w:rPr>
                  </w:pPr>
                  <w:r w:rsidRPr="008434EF">
                    <w:rPr>
                      <w:b/>
                      <w:bCs/>
                      <w:sz w:val="20"/>
                      <w:szCs w:val="19"/>
                    </w:rPr>
                    <w:t>Full Fiscal</w:t>
                  </w:r>
                </w:p>
                <w:p w:rsidR="00352252" w:rsidRPr="008434EF" w:rsidRDefault="00DB057D">
                  <w:pPr>
                    <w:pStyle w:val="Heading1"/>
                    <w:rPr>
                      <w:sz w:val="20"/>
                    </w:rPr>
                  </w:pPr>
                  <w:r w:rsidRPr="008434EF">
                    <w:rPr>
                      <w:sz w:val="20"/>
                    </w:rPr>
                    <w:t>Impact FY</w:t>
                  </w:r>
                  <w:r w:rsidR="00406123" w:rsidRPr="008434EF">
                    <w:rPr>
                      <w:sz w:val="20"/>
                    </w:rPr>
                    <w:t>1</w:t>
                  </w:r>
                  <w:r w:rsidR="00182190" w:rsidRPr="008434EF">
                    <w:rPr>
                      <w:sz w:val="20"/>
                    </w:rPr>
                    <w:t>8</w:t>
                  </w:r>
                </w:p>
              </w:tc>
            </w:tr>
            <w:tr w:rsidR="00352252" w:rsidTr="0056635C">
              <w:trPr>
                <w:trHeight w:val="289"/>
                <w:jc w:val="center"/>
              </w:trPr>
              <w:tc>
                <w:tcPr>
                  <w:tcW w:w="1995" w:type="dxa"/>
                  <w:tcBorders>
                    <w:top w:val="single" w:sz="7" w:space="0" w:color="000000"/>
                    <w:left w:val="double" w:sz="7" w:space="0" w:color="000000"/>
                    <w:bottom w:val="single" w:sz="6" w:space="0" w:color="FFFFFF"/>
                    <w:right w:val="single" w:sz="6" w:space="0" w:color="FFFFFF"/>
                  </w:tcBorders>
                </w:tcPr>
                <w:p w:rsidR="00352252" w:rsidRPr="008434EF" w:rsidRDefault="00352252" w:rsidP="0056635C">
                  <w:pPr>
                    <w:jc w:val="center"/>
                    <w:rPr>
                      <w:b/>
                      <w:bCs/>
                      <w:sz w:val="20"/>
                      <w:szCs w:val="19"/>
                    </w:rPr>
                  </w:pPr>
                  <w:r w:rsidRPr="008434EF">
                    <w:rPr>
                      <w:b/>
                      <w:bCs/>
                      <w:sz w:val="20"/>
                      <w:szCs w:val="19"/>
                    </w:rPr>
                    <w:t xml:space="preserve">Revenues </w:t>
                  </w:r>
                  <w:r w:rsidR="00251BB3" w:rsidRPr="008434EF">
                    <w:rPr>
                      <w:b/>
                      <w:bCs/>
                      <w:sz w:val="20"/>
                      <w:szCs w:val="19"/>
                    </w:rPr>
                    <w:t>(+)</w:t>
                  </w:r>
                </w:p>
              </w:tc>
              <w:tc>
                <w:tcPr>
                  <w:tcW w:w="1522" w:type="dxa"/>
                  <w:tcBorders>
                    <w:top w:val="single" w:sz="7" w:space="0" w:color="000000"/>
                    <w:left w:val="single" w:sz="7" w:space="0" w:color="000000"/>
                    <w:bottom w:val="single" w:sz="6" w:space="0" w:color="FFFFFF"/>
                    <w:right w:val="single" w:sz="6" w:space="0" w:color="FFFFFF"/>
                  </w:tcBorders>
                </w:tcPr>
                <w:p w:rsidR="00352252" w:rsidRPr="008434EF" w:rsidRDefault="00182190" w:rsidP="0056635C">
                  <w:pPr>
                    <w:jc w:val="center"/>
                    <w:rPr>
                      <w:bCs/>
                      <w:sz w:val="20"/>
                      <w:szCs w:val="19"/>
                    </w:rPr>
                  </w:pPr>
                  <w:r w:rsidRPr="008434EF">
                    <w:rPr>
                      <w:bCs/>
                      <w:sz w:val="20"/>
                      <w:szCs w:val="19"/>
                    </w:rPr>
                    <w:t>$0</w:t>
                  </w:r>
                </w:p>
              </w:tc>
              <w:tc>
                <w:tcPr>
                  <w:tcW w:w="2083" w:type="dxa"/>
                  <w:tcBorders>
                    <w:top w:val="single" w:sz="7" w:space="0" w:color="000000"/>
                    <w:left w:val="single" w:sz="7" w:space="0" w:color="000000"/>
                    <w:bottom w:val="single" w:sz="6" w:space="0" w:color="FFFFFF"/>
                    <w:right w:val="single" w:sz="6" w:space="0" w:color="FFFFFF"/>
                  </w:tcBorders>
                </w:tcPr>
                <w:p w:rsidR="00352252" w:rsidRPr="008434EF" w:rsidRDefault="00182190" w:rsidP="0056635C">
                  <w:pPr>
                    <w:jc w:val="center"/>
                    <w:rPr>
                      <w:bCs/>
                      <w:sz w:val="20"/>
                      <w:szCs w:val="19"/>
                    </w:rPr>
                  </w:pPr>
                  <w:r w:rsidRPr="008434EF">
                    <w:rPr>
                      <w:bCs/>
                      <w:sz w:val="20"/>
                      <w:szCs w:val="19"/>
                    </w:rPr>
                    <w:t>$0</w:t>
                  </w:r>
                </w:p>
              </w:tc>
              <w:tc>
                <w:tcPr>
                  <w:tcW w:w="1754" w:type="dxa"/>
                  <w:tcBorders>
                    <w:top w:val="single" w:sz="7" w:space="0" w:color="000000"/>
                    <w:left w:val="single" w:sz="7" w:space="0" w:color="000000"/>
                    <w:bottom w:val="single" w:sz="6" w:space="0" w:color="FFFFFF"/>
                    <w:right w:val="double" w:sz="7" w:space="0" w:color="000000"/>
                  </w:tcBorders>
                </w:tcPr>
                <w:p w:rsidR="00352252" w:rsidRPr="008434EF" w:rsidRDefault="00182190" w:rsidP="0056635C">
                  <w:pPr>
                    <w:jc w:val="center"/>
                    <w:rPr>
                      <w:bCs/>
                      <w:sz w:val="20"/>
                      <w:szCs w:val="19"/>
                    </w:rPr>
                  </w:pPr>
                  <w:r w:rsidRPr="008434EF">
                    <w:rPr>
                      <w:bCs/>
                      <w:sz w:val="20"/>
                      <w:szCs w:val="19"/>
                    </w:rPr>
                    <w:t>$0</w:t>
                  </w:r>
                </w:p>
              </w:tc>
            </w:tr>
            <w:tr w:rsidR="00352252" w:rsidTr="001B0585">
              <w:trPr>
                <w:jc w:val="center"/>
              </w:trPr>
              <w:tc>
                <w:tcPr>
                  <w:tcW w:w="1995" w:type="dxa"/>
                  <w:tcBorders>
                    <w:top w:val="single" w:sz="7" w:space="0" w:color="000000"/>
                    <w:left w:val="double" w:sz="7" w:space="0" w:color="000000"/>
                    <w:bottom w:val="single" w:sz="6" w:space="0" w:color="FFFFFF"/>
                    <w:right w:val="single" w:sz="6" w:space="0" w:color="FFFFFF"/>
                  </w:tcBorders>
                </w:tcPr>
                <w:p w:rsidR="00352252" w:rsidRPr="008434EF" w:rsidRDefault="00352252" w:rsidP="0056635C">
                  <w:pPr>
                    <w:rPr>
                      <w:b/>
                      <w:bCs/>
                      <w:sz w:val="20"/>
                    </w:rPr>
                  </w:pPr>
                  <w:r w:rsidRPr="008434EF">
                    <w:rPr>
                      <w:b/>
                      <w:bCs/>
                      <w:sz w:val="20"/>
                    </w:rPr>
                    <w:t>Expenditures</w:t>
                  </w:r>
                  <w:r w:rsidR="00251BB3" w:rsidRPr="008434EF">
                    <w:rPr>
                      <w:b/>
                      <w:bCs/>
                      <w:sz w:val="20"/>
                    </w:rPr>
                    <w:t xml:space="preserve"> (-)</w:t>
                  </w:r>
                  <w:r w:rsidRPr="008434EF">
                    <w:rPr>
                      <w:b/>
                      <w:bCs/>
                      <w:sz w:val="20"/>
                    </w:rPr>
                    <w:t xml:space="preserve"> </w:t>
                  </w:r>
                </w:p>
              </w:tc>
              <w:tc>
                <w:tcPr>
                  <w:tcW w:w="1522" w:type="dxa"/>
                  <w:tcBorders>
                    <w:top w:val="single" w:sz="7" w:space="0" w:color="000000"/>
                    <w:left w:val="single" w:sz="7" w:space="0" w:color="000000"/>
                    <w:bottom w:val="single" w:sz="6" w:space="0" w:color="FFFFFF"/>
                    <w:right w:val="single" w:sz="6" w:space="0" w:color="FFFFFF"/>
                  </w:tcBorders>
                </w:tcPr>
                <w:p w:rsidR="00352252" w:rsidRPr="008434EF" w:rsidRDefault="005617A8" w:rsidP="00B716AE">
                  <w:pPr>
                    <w:jc w:val="center"/>
                    <w:rPr>
                      <w:bCs/>
                      <w:sz w:val="20"/>
                    </w:rPr>
                  </w:pPr>
                  <w:r>
                    <w:rPr>
                      <w:bCs/>
                      <w:sz w:val="20"/>
                      <w:szCs w:val="19"/>
                    </w:rPr>
                    <w:t>$0</w:t>
                  </w:r>
                </w:p>
              </w:tc>
              <w:tc>
                <w:tcPr>
                  <w:tcW w:w="2083" w:type="dxa"/>
                  <w:tcBorders>
                    <w:top w:val="single" w:sz="7" w:space="0" w:color="000000"/>
                    <w:left w:val="single" w:sz="7" w:space="0" w:color="000000"/>
                    <w:bottom w:val="single" w:sz="6" w:space="0" w:color="FFFFFF"/>
                    <w:right w:val="single" w:sz="6" w:space="0" w:color="FFFFFF"/>
                  </w:tcBorders>
                </w:tcPr>
                <w:p w:rsidR="00352252" w:rsidRPr="008434EF" w:rsidRDefault="005617A8" w:rsidP="00B716AE">
                  <w:pPr>
                    <w:jc w:val="center"/>
                    <w:rPr>
                      <w:bCs/>
                      <w:sz w:val="20"/>
                    </w:rPr>
                  </w:pPr>
                  <w:r>
                    <w:rPr>
                      <w:bCs/>
                      <w:sz w:val="20"/>
                      <w:szCs w:val="19"/>
                    </w:rPr>
                    <w:t>$0</w:t>
                  </w:r>
                </w:p>
              </w:tc>
              <w:tc>
                <w:tcPr>
                  <w:tcW w:w="1754" w:type="dxa"/>
                  <w:tcBorders>
                    <w:top w:val="single" w:sz="7" w:space="0" w:color="000000"/>
                    <w:left w:val="single" w:sz="7" w:space="0" w:color="000000"/>
                    <w:bottom w:val="single" w:sz="6" w:space="0" w:color="FFFFFF"/>
                    <w:right w:val="double" w:sz="7" w:space="0" w:color="000000"/>
                  </w:tcBorders>
                </w:tcPr>
                <w:p w:rsidR="00352252" w:rsidRPr="008434EF" w:rsidRDefault="005617A8" w:rsidP="00B716AE">
                  <w:pPr>
                    <w:jc w:val="center"/>
                    <w:rPr>
                      <w:bCs/>
                      <w:sz w:val="20"/>
                    </w:rPr>
                  </w:pPr>
                  <w:r>
                    <w:rPr>
                      <w:bCs/>
                      <w:sz w:val="20"/>
                      <w:szCs w:val="19"/>
                    </w:rPr>
                    <w:t>$0</w:t>
                  </w:r>
                </w:p>
              </w:tc>
            </w:tr>
            <w:tr w:rsidR="001B0585" w:rsidTr="001B0585">
              <w:trPr>
                <w:jc w:val="center"/>
              </w:trPr>
              <w:tc>
                <w:tcPr>
                  <w:tcW w:w="1995" w:type="dxa"/>
                  <w:tcBorders>
                    <w:top w:val="single" w:sz="7" w:space="0" w:color="000000"/>
                    <w:left w:val="double" w:sz="7" w:space="0" w:color="000000"/>
                    <w:bottom w:val="single" w:sz="7" w:space="0" w:color="000000"/>
                    <w:right w:val="single" w:sz="6" w:space="0" w:color="FFFFFF"/>
                  </w:tcBorders>
                </w:tcPr>
                <w:p w:rsidR="001B0585" w:rsidRPr="008434EF" w:rsidRDefault="001B0585" w:rsidP="0056635C">
                  <w:pPr>
                    <w:spacing w:after="58"/>
                    <w:jc w:val="center"/>
                    <w:rPr>
                      <w:b/>
                      <w:bCs/>
                      <w:sz w:val="20"/>
                    </w:rPr>
                  </w:pPr>
                  <w:r w:rsidRPr="008434EF">
                    <w:rPr>
                      <w:b/>
                      <w:bCs/>
                      <w:sz w:val="20"/>
                    </w:rPr>
                    <w:t>Net</w:t>
                  </w:r>
                </w:p>
              </w:tc>
              <w:tc>
                <w:tcPr>
                  <w:tcW w:w="1522" w:type="dxa"/>
                  <w:tcBorders>
                    <w:top w:val="single" w:sz="7" w:space="0" w:color="000000"/>
                    <w:left w:val="single" w:sz="7" w:space="0" w:color="000000"/>
                    <w:bottom w:val="single" w:sz="7" w:space="0" w:color="000000"/>
                    <w:right w:val="single" w:sz="6" w:space="0" w:color="FFFFFF"/>
                  </w:tcBorders>
                </w:tcPr>
                <w:p w:rsidR="001B0585" w:rsidRPr="008434EF" w:rsidRDefault="005617A8" w:rsidP="00A34F2F">
                  <w:pPr>
                    <w:jc w:val="center"/>
                    <w:rPr>
                      <w:bCs/>
                      <w:sz w:val="20"/>
                    </w:rPr>
                  </w:pPr>
                  <w:r>
                    <w:rPr>
                      <w:bCs/>
                      <w:sz w:val="20"/>
                      <w:szCs w:val="19"/>
                    </w:rPr>
                    <w:t>$0</w:t>
                  </w:r>
                </w:p>
              </w:tc>
              <w:tc>
                <w:tcPr>
                  <w:tcW w:w="2083" w:type="dxa"/>
                  <w:tcBorders>
                    <w:top w:val="single" w:sz="7" w:space="0" w:color="000000"/>
                    <w:left w:val="single" w:sz="7" w:space="0" w:color="000000"/>
                    <w:bottom w:val="single" w:sz="7" w:space="0" w:color="000000"/>
                    <w:right w:val="single" w:sz="6" w:space="0" w:color="FFFFFF"/>
                  </w:tcBorders>
                </w:tcPr>
                <w:p w:rsidR="001B0585" w:rsidRPr="008434EF" w:rsidRDefault="005617A8" w:rsidP="00B716AE">
                  <w:pPr>
                    <w:spacing w:after="58"/>
                    <w:jc w:val="center"/>
                    <w:rPr>
                      <w:bCs/>
                      <w:sz w:val="20"/>
                    </w:rPr>
                  </w:pPr>
                  <w:r>
                    <w:rPr>
                      <w:bCs/>
                      <w:sz w:val="20"/>
                      <w:szCs w:val="19"/>
                    </w:rPr>
                    <w:t>$0</w:t>
                  </w:r>
                </w:p>
              </w:tc>
              <w:tc>
                <w:tcPr>
                  <w:tcW w:w="1754" w:type="dxa"/>
                  <w:tcBorders>
                    <w:top w:val="single" w:sz="7" w:space="0" w:color="000000"/>
                    <w:left w:val="single" w:sz="7" w:space="0" w:color="000000"/>
                    <w:bottom w:val="single" w:sz="7" w:space="0" w:color="000000"/>
                    <w:right w:val="double" w:sz="7" w:space="0" w:color="000000"/>
                  </w:tcBorders>
                </w:tcPr>
                <w:p w:rsidR="001B0585" w:rsidRPr="008434EF" w:rsidRDefault="005617A8" w:rsidP="00B716AE">
                  <w:pPr>
                    <w:spacing w:after="58"/>
                    <w:jc w:val="center"/>
                    <w:rPr>
                      <w:bCs/>
                      <w:sz w:val="20"/>
                    </w:rPr>
                  </w:pPr>
                  <w:r>
                    <w:rPr>
                      <w:bCs/>
                      <w:sz w:val="20"/>
                      <w:szCs w:val="19"/>
                    </w:rPr>
                    <w:t>$0</w:t>
                  </w:r>
                </w:p>
              </w:tc>
            </w:tr>
          </w:tbl>
          <w:p w:rsidR="00182190" w:rsidRPr="003D6D62" w:rsidRDefault="00E54D27" w:rsidP="001B0585">
            <w:r>
              <w:t xml:space="preserve">                 </w:t>
            </w:r>
          </w:p>
        </w:tc>
      </w:tr>
      <w:tr w:rsidR="00352252">
        <w:trPr>
          <w:jc w:val="center"/>
        </w:trPr>
        <w:tc>
          <w:tcPr>
            <w:tcW w:w="11016" w:type="dxa"/>
            <w:gridSpan w:val="2"/>
          </w:tcPr>
          <w:p w:rsidR="005236DD" w:rsidRPr="00262137" w:rsidRDefault="00352252" w:rsidP="007D040E">
            <w:r>
              <w:rPr>
                <w:b/>
                <w:bCs/>
                <w:smallCaps/>
                <w:szCs w:val="19"/>
              </w:rPr>
              <w:t>Impact on Revenues</w:t>
            </w:r>
            <w:r>
              <w:rPr>
                <w:b/>
                <w:bCs/>
                <w:szCs w:val="19"/>
              </w:rPr>
              <w:t>:</w:t>
            </w:r>
            <w:r>
              <w:rPr>
                <w:szCs w:val="19"/>
              </w:rPr>
              <w:t xml:space="preserve"> </w:t>
            </w:r>
            <w:r w:rsidR="001D2910">
              <w:t xml:space="preserve">It is </w:t>
            </w:r>
            <w:r w:rsidR="006A41E8">
              <w:t xml:space="preserve">estimated that this bill </w:t>
            </w:r>
            <w:r w:rsidR="008434EF">
              <w:t xml:space="preserve">would </w:t>
            </w:r>
            <w:r w:rsidR="006A41E8">
              <w:t>have no impact on revenues.</w:t>
            </w:r>
            <w:r w:rsidR="00921745">
              <w:t xml:space="preserve"> </w:t>
            </w:r>
          </w:p>
          <w:p w:rsidR="00352252" w:rsidRDefault="00352252" w:rsidP="003D6D62"/>
        </w:tc>
      </w:tr>
      <w:tr w:rsidR="00352252">
        <w:trPr>
          <w:jc w:val="center"/>
        </w:trPr>
        <w:tc>
          <w:tcPr>
            <w:tcW w:w="11016" w:type="dxa"/>
            <w:gridSpan w:val="2"/>
          </w:tcPr>
          <w:p w:rsidR="007D040E" w:rsidRDefault="00E5183C" w:rsidP="00AA7573">
            <w:r>
              <w:rPr>
                <w:b/>
                <w:bCs/>
                <w:smallCaps/>
              </w:rPr>
              <w:t>Impact on Expenditures</w:t>
            </w:r>
            <w:r>
              <w:rPr>
                <w:b/>
                <w:bCs/>
                <w:szCs w:val="19"/>
              </w:rPr>
              <w:t>:</w:t>
            </w:r>
            <w:r>
              <w:rPr>
                <w:szCs w:val="19"/>
              </w:rPr>
              <w:t xml:space="preserve"> </w:t>
            </w:r>
            <w:r w:rsidR="005617A8">
              <w:t>According</w:t>
            </w:r>
            <w:r w:rsidR="00B92305">
              <w:t xml:space="preserve"> to</w:t>
            </w:r>
            <w:r w:rsidR="005617A8">
              <w:t xml:space="preserve"> the New York City </w:t>
            </w:r>
            <w:r w:rsidR="00B92305">
              <w:t>Office of Management and Budget</w:t>
            </w:r>
            <w:r w:rsidR="005617A8">
              <w:t xml:space="preserve"> it i</w:t>
            </w:r>
            <w:r w:rsidR="00B92305">
              <w:t xml:space="preserve">s estimated that this bill </w:t>
            </w:r>
            <w:r w:rsidR="00367033">
              <w:t>would</w:t>
            </w:r>
            <w:r w:rsidR="005617A8">
              <w:t xml:space="preserve"> not have a significant fiscal </w:t>
            </w:r>
            <w:r w:rsidR="005617A8" w:rsidRPr="005617A8">
              <w:t>impact</w:t>
            </w:r>
            <w:r w:rsidR="005617A8">
              <w:t>.</w:t>
            </w:r>
            <w:r w:rsidR="00D03C79">
              <w:t xml:space="preserve"> Existing resources </w:t>
            </w:r>
            <w:r w:rsidR="008676FD">
              <w:t>would be used to implement this bill.</w:t>
            </w:r>
          </w:p>
          <w:p w:rsidR="00E5183C" w:rsidRDefault="00E5183C" w:rsidP="00AA7573"/>
        </w:tc>
      </w:tr>
      <w:tr w:rsidR="00352252">
        <w:trPr>
          <w:jc w:val="center"/>
        </w:trPr>
        <w:tc>
          <w:tcPr>
            <w:tcW w:w="11016" w:type="dxa"/>
            <w:gridSpan w:val="2"/>
          </w:tcPr>
          <w:p w:rsidR="00352252" w:rsidRDefault="00352252" w:rsidP="001E38BA">
            <w:pPr>
              <w:rPr>
                <w:szCs w:val="19"/>
              </w:rPr>
            </w:pPr>
            <w:r>
              <w:rPr>
                <w:b/>
                <w:bCs/>
                <w:smallCaps/>
                <w:szCs w:val="19"/>
              </w:rPr>
              <w:t>Source of Funds To Cover Estimated Costs</w:t>
            </w:r>
            <w:r>
              <w:rPr>
                <w:b/>
                <w:bCs/>
                <w:szCs w:val="19"/>
              </w:rPr>
              <w:t>:</w:t>
            </w:r>
            <w:r>
              <w:rPr>
                <w:szCs w:val="19"/>
              </w:rPr>
              <w:tab/>
              <w:t xml:space="preserve">  </w:t>
            </w:r>
            <w:r w:rsidR="00C6438E">
              <w:rPr>
                <w:szCs w:val="19"/>
              </w:rPr>
              <w:t>General Fund</w:t>
            </w:r>
          </w:p>
          <w:p w:rsidR="001E38BA" w:rsidRDefault="001E38BA" w:rsidP="001E38BA"/>
        </w:tc>
      </w:tr>
      <w:tr w:rsidR="00352252">
        <w:trPr>
          <w:jc w:val="center"/>
        </w:trPr>
        <w:tc>
          <w:tcPr>
            <w:tcW w:w="11016" w:type="dxa"/>
            <w:gridSpan w:val="2"/>
          </w:tcPr>
          <w:p w:rsidR="008434EF" w:rsidRDefault="00352252">
            <w:pPr>
              <w:rPr>
                <w:szCs w:val="19"/>
              </w:rPr>
            </w:pPr>
            <w:r>
              <w:rPr>
                <w:b/>
                <w:bCs/>
                <w:smallCaps/>
                <w:szCs w:val="19"/>
              </w:rPr>
              <w:t>Source of Information</w:t>
            </w:r>
            <w:r>
              <w:rPr>
                <w:b/>
                <w:bCs/>
                <w:szCs w:val="19"/>
              </w:rPr>
              <w:t>:</w:t>
            </w:r>
            <w:r>
              <w:rPr>
                <w:szCs w:val="19"/>
              </w:rPr>
              <w:tab/>
            </w:r>
            <w:r w:rsidR="001C6AD0">
              <w:rPr>
                <w:szCs w:val="19"/>
              </w:rPr>
              <w:t xml:space="preserve">New York </w:t>
            </w:r>
            <w:r>
              <w:rPr>
                <w:szCs w:val="19"/>
              </w:rPr>
              <w:t>City Council Finance Division</w:t>
            </w:r>
            <w:r w:rsidR="001E38BA">
              <w:rPr>
                <w:szCs w:val="19"/>
              </w:rPr>
              <w:t xml:space="preserve"> </w:t>
            </w:r>
          </w:p>
          <w:p w:rsidR="008D4F43" w:rsidRDefault="008434EF">
            <w:pPr>
              <w:rPr>
                <w:szCs w:val="19"/>
              </w:rPr>
            </w:pPr>
            <w:r>
              <w:rPr>
                <w:szCs w:val="19"/>
              </w:rPr>
              <w:t xml:space="preserve">                                                </w:t>
            </w:r>
            <w:r w:rsidR="00291F58">
              <w:rPr>
                <w:szCs w:val="19"/>
              </w:rPr>
              <w:t xml:space="preserve">New York </w:t>
            </w:r>
            <w:r w:rsidR="00B16D18">
              <w:rPr>
                <w:szCs w:val="19"/>
              </w:rPr>
              <w:t xml:space="preserve">City </w:t>
            </w:r>
            <w:r w:rsidR="00291F58">
              <w:rPr>
                <w:szCs w:val="19"/>
              </w:rPr>
              <w:t>Office of Management and Budget</w:t>
            </w:r>
          </w:p>
          <w:p w:rsidR="00BC6502" w:rsidRPr="007D040E" w:rsidRDefault="00352252">
            <w:pPr>
              <w:rPr>
                <w:szCs w:val="19"/>
              </w:rPr>
            </w:pPr>
            <w:r>
              <w:rPr>
                <w:szCs w:val="19"/>
              </w:rPr>
              <w:t xml:space="preserve">                                                </w:t>
            </w:r>
          </w:p>
        </w:tc>
      </w:tr>
      <w:tr w:rsidR="00352252" w:rsidTr="00917202">
        <w:trPr>
          <w:trHeight w:val="68"/>
          <w:jc w:val="center"/>
        </w:trPr>
        <w:tc>
          <w:tcPr>
            <w:tcW w:w="11016" w:type="dxa"/>
            <w:gridSpan w:val="2"/>
          </w:tcPr>
          <w:p w:rsidR="00682B42" w:rsidRDefault="00682B42" w:rsidP="00682B42">
            <w:pPr>
              <w:rPr>
                <w:sz w:val="22"/>
                <w:szCs w:val="22"/>
              </w:rPr>
            </w:pPr>
            <w:r>
              <w:rPr>
                <w:b/>
                <w:bCs/>
                <w:smallCaps/>
              </w:rPr>
              <w:t>Estimate Prepared By</w:t>
            </w:r>
            <w:r>
              <w:rPr>
                <w:smallCaps/>
              </w:rPr>
              <w:t xml:space="preserve">:   </w:t>
            </w:r>
            <w:r w:rsidR="00861105">
              <w:t xml:space="preserve">James Subudhi, </w:t>
            </w:r>
            <w:r w:rsidRPr="002F04E4">
              <w:t>Legislative Financial Analyst</w:t>
            </w:r>
          </w:p>
          <w:p w:rsidR="00682B42" w:rsidRDefault="00682B42" w:rsidP="00682B42">
            <w:r>
              <w:t xml:space="preserve">                                             </w:t>
            </w:r>
          </w:p>
          <w:p w:rsidR="00682B42" w:rsidRDefault="00682B42" w:rsidP="00682B42">
            <w:r>
              <w:rPr>
                <w:b/>
                <w:smallCaps/>
                <w:sz w:val="22"/>
                <w:szCs w:val="22"/>
              </w:rPr>
              <w:t>Estimate Reviewed By:</w:t>
            </w:r>
            <w:r>
              <w:rPr>
                <w:smallCaps/>
                <w:sz w:val="22"/>
                <w:szCs w:val="22"/>
              </w:rPr>
              <w:t xml:space="preserve">  </w:t>
            </w:r>
            <w:r w:rsidR="005D6F39">
              <w:t>Rebecca Chasan, Assistant Counsel</w:t>
            </w:r>
          </w:p>
          <w:p w:rsidR="008434EF" w:rsidRDefault="00352252" w:rsidP="008434EF">
            <w:r>
              <w:rPr>
                <w:smallCaps/>
              </w:rPr>
              <w:t xml:space="preserve"> </w:t>
            </w:r>
            <w:r w:rsidR="001C6AD0">
              <w:rPr>
                <w:smallCaps/>
              </w:rPr>
              <w:t xml:space="preserve">  </w:t>
            </w:r>
            <w:r w:rsidR="008434EF">
              <w:rPr>
                <w:smallCaps/>
              </w:rPr>
              <w:t xml:space="preserve">                                                   </w:t>
            </w:r>
            <w:r w:rsidR="008434EF">
              <w:t>Tanisha Edwards, Chief Counsel</w:t>
            </w:r>
          </w:p>
          <w:p w:rsidR="00352252" w:rsidRDefault="008434EF" w:rsidP="008434EF">
            <w:pPr>
              <w:rPr>
                <w:smallCaps/>
              </w:rPr>
            </w:pPr>
            <w:r>
              <w:t xml:space="preserve">                                           John Russell, Unit Head</w:t>
            </w:r>
          </w:p>
          <w:p w:rsidR="00780657" w:rsidRDefault="00780657"/>
        </w:tc>
      </w:tr>
      <w:tr w:rsidR="00352252">
        <w:trPr>
          <w:jc w:val="center"/>
        </w:trPr>
        <w:tc>
          <w:tcPr>
            <w:tcW w:w="11016" w:type="dxa"/>
            <w:gridSpan w:val="2"/>
          </w:tcPr>
          <w:p w:rsidR="003D20D7" w:rsidRPr="00A30C42" w:rsidRDefault="00352252" w:rsidP="003D20D7">
            <w:pPr>
              <w:rPr>
                <w:b/>
                <w:bCs/>
              </w:rPr>
            </w:pPr>
            <w:r>
              <w:rPr>
                <w:b/>
                <w:bCs/>
                <w:smallCaps/>
                <w:szCs w:val="19"/>
              </w:rPr>
              <w:t>History</w:t>
            </w:r>
            <w:r>
              <w:rPr>
                <w:b/>
                <w:bCs/>
                <w:szCs w:val="19"/>
              </w:rPr>
              <w:t>:</w:t>
            </w:r>
            <w:r w:rsidR="00CE719C">
              <w:rPr>
                <w:b/>
                <w:bCs/>
                <w:szCs w:val="19"/>
              </w:rPr>
              <w:t xml:space="preserve"> </w:t>
            </w:r>
            <w:r w:rsidR="005D6F39">
              <w:t xml:space="preserve">This legislation was introduced to the full Council on </w:t>
            </w:r>
            <w:r w:rsidR="006F354F">
              <w:rPr>
                <w:color w:val="000000"/>
              </w:rPr>
              <w:t>February 2</w:t>
            </w:r>
            <w:r w:rsidR="00B16D18">
              <w:rPr>
                <w:color w:val="000000"/>
              </w:rPr>
              <w:t>6</w:t>
            </w:r>
            <w:r w:rsidR="006F354F">
              <w:rPr>
                <w:color w:val="000000"/>
              </w:rPr>
              <w:t>, 2014</w:t>
            </w:r>
            <w:r w:rsidR="005D6F39">
              <w:rPr>
                <w:color w:val="000000"/>
              </w:rPr>
              <w:t xml:space="preserve"> </w:t>
            </w:r>
            <w:r w:rsidR="005D6F39">
              <w:t xml:space="preserve">as Intro. No. </w:t>
            </w:r>
            <w:r w:rsidR="006F354F">
              <w:rPr>
                <w:color w:val="000000"/>
              </w:rPr>
              <w:t>62</w:t>
            </w:r>
            <w:r w:rsidR="005D6F39">
              <w:t xml:space="preserve"> and referred to the Committee on Governmental Operations.  The Committee on Governmental Operations held a hearing</w:t>
            </w:r>
            <w:r w:rsidR="006F354F">
              <w:t xml:space="preserve"> on Intro. No. </w:t>
            </w:r>
            <w:r w:rsidR="006F354F">
              <w:rPr>
                <w:color w:val="000000"/>
              </w:rPr>
              <w:t>62</w:t>
            </w:r>
            <w:r w:rsidR="005D6F39">
              <w:t xml:space="preserve"> on </w:t>
            </w:r>
            <w:r w:rsidR="006F354F">
              <w:rPr>
                <w:color w:val="000000"/>
              </w:rPr>
              <w:t>February</w:t>
            </w:r>
            <w:r w:rsidR="008434EF">
              <w:rPr>
                <w:color w:val="000000"/>
              </w:rPr>
              <w:t xml:space="preserve"> </w:t>
            </w:r>
            <w:r w:rsidR="006F354F">
              <w:rPr>
                <w:color w:val="000000"/>
              </w:rPr>
              <w:t>29, 2016</w:t>
            </w:r>
            <w:r w:rsidR="005D6F39">
              <w:rPr>
                <w:color w:val="000000"/>
              </w:rPr>
              <w:t xml:space="preserve"> </w:t>
            </w:r>
            <w:r w:rsidR="005D6F39">
              <w:t xml:space="preserve">and the legislation </w:t>
            </w:r>
            <w:proofErr w:type="gramStart"/>
            <w:r w:rsidR="005D6F39">
              <w:t>was</w:t>
            </w:r>
            <w:proofErr w:type="gramEnd"/>
            <w:r w:rsidR="005D6F39">
              <w:t xml:space="preserve"> laid over.  The legislation was subsequently amended and the amended version of the le</w:t>
            </w:r>
            <w:r w:rsidR="006F354F">
              <w:t>gislation, Proposed Intro. No.6</w:t>
            </w:r>
            <w:r w:rsidR="005D6F39">
              <w:t xml:space="preserve">2-A, will be considered by the Committee on </w:t>
            </w:r>
            <w:r w:rsidR="006F354F">
              <w:t xml:space="preserve">Governmental Operations on </w:t>
            </w:r>
            <w:r w:rsidR="00EC55D8">
              <w:t>May 4, 2016</w:t>
            </w:r>
            <w:r w:rsidR="005D6F39">
              <w:t xml:space="preserve">. Upon successful vote of the Committee, Proposed Intro. </w:t>
            </w:r>
            <w:r w:rsidR="006F354F">
              <w:t>No. 62-A</w:t>
            </w:r>
            <w:bookmarkStart w:id="0" w:name="_GoBack"/>
            <w:bookmarkEnd w:id="0"/>
            <w:r w:rsidR="006F354F">
              <w:t xml:space="preserve"> </w:t>
            </w:r>
            <w:r w:rsidR="005D6F39">
              <w:t xml:space="preserve">will be submitted to the full Council for a vote on </w:t>
            </w:r>
            <w:r w:rsidR="00EC55D8">
              <w:t xml:space="preserve">May 5, 2016. </w:t>
            </w:r>
          </w:p>
          <w:p w:rsidR="00580EC5" w:rsidRDefault="00580EC5" w:rsidP="002E4212">
            <w:pPr>
              <w:rPr>
                <w:b/>
                <w:bCs/>
                <w:szCs w:val="19"/>
              </w:rPr>
            </w:pPr>
          </w:p>
          <w:p w:rsidR="00352252" w:rsidRDefault="00AA0D8B" w:rsidP="001E38BA">
            <w:r>
              <w:rPr>
                <w:b/>
                <w:bCs/>
                <w:smallCaps/>
                <w:szCs w:val="19"/>
              </w:rPr>
              <w:t>Date Prepared</w:t>
            </w:r>
            <w:r>
              <w:rPr>
                <w:b/>
                <w:bCs/>
                <w:szCs w:val="19"/>
              </w:rPr>
              <w:t xml:space="preserve">:    </w:t>
            </w:r>
            <w:r w:rsidR="00EC55D8" w:rsidRPr="00EC55D8">
              <w:rPr>
                <w:bCs/>
                <w:szCs w:val="19"/>
              </w:rPr>
              <w:t>May</w:t>
            </w:r>
            <w:r w:rsidR="00EC55D8">
              <w:t xml:space="preserve"> 3</w:t>
            </w:r>
            <w:r w:rsidR="00395D94">
              <w:t>, 2016</w:t>
            </w:r>
          </w:p>
        </w:tc>
      </w:tr>
    </w:tbl>
    <w:p w:rsidR="00352252" w:rsidRPr="00BC6502" w:rsidRDefault="00352252" w:rsidP="00885E75"/>
    <w:sectPr w:rsidR="00352252" w:rsidRPr="00BC6502">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24" w:rsidRDefault="00972F24" w:rsidP="00580EC5">
      <w:r>
        <w:separator/>
      </w:r>
    </w:p>
  </w:endnote>
  <w:endnote w:type="continuationSeparator" w:id="0">
    <w:p w:rsidR="00972F24" w:rsidRDefault="00972F24" w:rsidP="0058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9F" w:rsidRDefault="00917202" w:rsidP="00917202">
    <w:pPr>
      <w:pStyle w:val="Footer"/>
      <w:pBdr>
        <w:top w:val="thinThickSmallGap" w:sz="24" w:space="1" w:color="622423" w:themeColor="accent2" w:themeShade="7F"/>
      </w:pBdr>
    </w:pPr>
    <w:r>
      <w:rPr>
        <w:rFonts w:asciiTheme="majorHAnsi" w:eastAsiaTheme="majorEastAsia" w:hAnsiTheme="majorHAnsi" w:cstheme="majorBidi"/>
      </w:rPr>
      <w:t>Intro. No. 62-A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1720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24" w:rsidRDefault="00972F24" w:rsidP="00580EC5">
      <w:r>
        <w:separator/>
      </w:r>
    </w:p>
  </w:footnote>
  <w:footnote w:type="continuationSeparator" w:id="0">
    <w:p w:rsidR="00972F24" w:rsidRDefault="00972F24" w:rsidP="0058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B29"/>
    <w:multiLevelType w:val="hybridMultilevel"/>
    <w:tmpl w:val="491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38D2"/>
    <w:multiLevelType w:val="hybridMultilevel"/>
    <w:tmpl w:val="43B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16559"/>
    <w:multiLevelType w:val="hybridMultilevel"/>
    <w:tmpl w:val="BD9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01D03"/>
    <w:rsid w:val="000267BE"/>
    <w:rsid w:val="0002794F"/>
    <w:rsid w:val="0004223F"/>
    <w:rsid w:val="00045799"/>
    <w:rsid w:val="000464A4"/>
    <w:rsid w:val="000A24EB"/>
    <w:rsid w:val="000C7FF6"/>
    <w:rsid w:val="000D425F"/>
    <w:rsid w:val="000E1017"/>
    <w:rsid w:val="0010375C"/>
    <w:rsid w:val="00122A07"/>
    <w:rsid w:val="001234E4"/>
    <w:rsid w:val="001304F8"/>
    <w:rsid w:val="00161987"/>
    <w:rsid w:val="0017571F"/>
    <w:rsid w:val="00182190"/>
    <w:rsid w:val="001B0585"/>
    <w:rsid w:val="001C6AD0"/>
    <w:rsid w:val="001C6CA0"/>
    <w:rsid w:val="001D2910"/>
    <w:rsid w:val="001E38BA"/>
    <w:rsid w:val="002415F8"/>
    <w:rsid w:val="00251BB3"/>
    <w:rsid w:val="00262137"/>
    <w:rsid w:val="00291F58"/>
    <w:rsid w:val="002B785E"/>
    <w:rsid w:val="002C6BD0"/>
    <w:rsid w:val="002E4212"/>
    <w:rsid w:val="002E57A6"/>
    <w:rsid w:val="003011E5"/>
    <w:rsid w:val="00323D32"/>
    <w:rsid w:val="00325925"/>
    <w:rsid w:val="003439BA"/>
    <w:rsid w:val="00352252"/>
    <w:rsid w:val="00367033"/>
    <w:rsid w:val="003914E1"/>
    <w:rsid w:val="00395D94"/>
    <w:rsid w:val="003D20D7"/>
    <w:rsid w:val="003D6D62"/>
    <w:rsid w:val="004002D9"/>
    <w:rsid w:val="00406123"/>
    <w:rsid w:val="00422899"/>
    <w:rsid w:val="00493233"/>
    <w:rsid w:val="004A4031"/>
    <w:rsid w:val="005236DD"/>
    <w:rsid w:val="005617A8"/>
    <w:rsid w:val="00564365"/>
    <w:rsid w:val="0056635C"/>
    <w:rsid w:val="00571851"/>
    <w:rsid w:val="005751D3"/>
    <w:rsid w:val="00580EC5"/>
    <w:rsid w:val="005B632B"/>
    <w:rsid w:val="005B641E"/>
    <w:rsid w:val="005C13C4"/>
    <w:rsid w:val="005C5979"/>
    <w:rsid w:val="005D6F39"/>
    <w:rsid w:val="005E1549"/>
    <w:rsid w:val="005F25C0"/>
    <w:rsid w:val="00602A3F"/>
    <w:rsid w:val="00635D9B"/>
    <w:rsid w:val="00660C32"/>
    <w:rsid w:val="00682B42"/>
    <w:rsid w:val="0069101C"/>
    <w:rsid w:val="006A41E8"/>
    <w:rsid w:val="006A5F6B"/>
    <w:rsid w:val="006C3EF9"/>
    <w:rsid w:val="006D31A3"/>
    <w:rsid w:val="006E1156"/>
    <w:rsid w:val="006F354F"/>
    <w:rsid w:val="00720ABB"/>
    <w:rsid w:val="00732DE6"/>
    <w:rsid w:val="00741012"/>
    <w:rsid w:val="007421AB"/>
    <w:rsid w:val="007428B7"/>
    <w:rsid w:val="00744507"/>
    <w:rsid w:val="00747DA4"/>
    <w:rsid w:val="00780657"/>
    <w:rsid w:val="007948B8"/>
    <w:rsid w:val="007C1D6A"/>
    <w:rsid w:val="007C7DCF"/>
    <w:rsid w:val="007D040E"/>
    <w:rsid w:val="007E4582"/>
    <w:rsid w:val="007F6492"/>
    <w:rsid w:val="008237EC"/>
    <w:rsid w:val="0083117A"/>
    <w:rsid w:val="00840B3A"/>
    <w:rsid w:val="0084224D"/>
    <w:rsid w:val="008434EF"/>
    <w:rsid w:val="00861105"/>
    <w:rsid w:val="008676FD"/>
    <w:rsid w:val="00881D58"/>
    <w:rsid w:val="00885E75"/>
    <w:rsid w:val="0089429F"/>
    <w:rsid w:val="008970C9"/>
    <w:rsid w:val="008C0750"/>
    <w:rsid w:val="008D4F43"/>
    <w:rsid w:val="00903359"/>
    <w:rsid w:val="00917202"/>
    <w:rsid w:val="00921745"/>
    <w:rsid w:val="009327F5"/>
    <w:rsid w:val="00936BCE"/>
    <w:rsid w:val="00951833"/>
    <w:rsid w:val="00972F24"/>
    <w:rsid w:val="00973A9C"/>
    <w:rsid w:val="009810A5"/>
    <w:rsid w:val="009D3F99"/>
    <w:rsid w:val="009E0587"/>
    <w:rsid w:val="009E4B12"/>
    <w:rsid w:val="00A1598A"/>
    <w:rsid w:val="00A24926"/>
    <w:rsid w:val="00A24BA6"/>
    <w:rsid w:val="00A2642E"/>
    <w:rsid w:val="00A31AB4"/>
    <w:rsid w:val="00A429E5"/>
    <w:rsid w:val="00A64D78"/>
    <w:rsid w:val="00AA0D8B"/>
    <w:rsid w:val="00AA1125"/>
    <w:rsid w:val="00AA7573"/>
    <w:rsid w:val="00AB3AD7"/>
    <w:rsid w:val="00B16D18"/>
    <w:rsid w:val="00B22DD8"/>
    <w:rsid w:val="00B307DE"/>
    <w:rsid w:val="00B30EFB"/>
    <w:rsid w:val="00B31290"/>
    <w:rsid w:val="00B523CE"/>
    <w:rsid w:val="00B716AE"/>
    <w:rsid w:val="00B86F6F"/>
    <w:rsid w:val="00B92305"/>
    <w:rsid w:val="00BA59EA"/>
    <w:rsid w:val="00BC6502"/>
    <w:rsid w:val="00BF788A"/>
    <w:rsid w:val="00C36AF8"/>
    <w:rsid w:val="00C6438E"/>
    <w:rsid w:val="00C67202"/>
    <w:rsid w:val="00CA209F"/>
    <w:rsid w:val="00CA437D"/>
    <w:rsid w:val="00CA7B82"/>
    <w:rsid w:val="00CE2E94"/>
    <w:rsid w:val="00CE719C"/>
    <w:rsid w:val="00CF5F48"/>
    <w:rsid w:val="00D03C79"/>
    <w:rsid w:val="00D06263"/>
    <w:rsid w:val="00D13DA9"/>
    <w:rsid w:val="00D23CF2"/>
    <w:rsid w:val="00D56CD5"/>
    <w:rsid w:val="00D6593F"/>
    <w:rsid w:val="00D872CF"/>
    <w:rsid w:val="00DA69E3"/>
    <w:rsid w:val="00DB057D"/>
    <w:rsid w:val="00DB48A3"/>
    <w:rsid w:val="00E35AB5"/>
    <w:rsid w:val="00E50898"/>
    <w:rsid w:val="00E515F1"/>
    <w:rsid w:val="00E5183C"/>
    <w:rsid w:val="00E54639"/>
    <w:rsid w:val="00E54D27"/>
    <w:rsid w:val="00E73B39"/>
    <w:rsid w:val="00EC55D8"/>
    <w:rsid w:val="00EE2F96"/>
    <w:rsid w:val="00F118BC"/>
    <w:rsid w:val="00F40C7C"/>
    <w:rsid w:val="00F81630"/>
    <w:rsid w:val="00FA0407"/>
    <w:rsid w:val="00FA129C"/>
    <w:rsid w:val="00FE6DF8"/>
    <w:rsid w:val="00FF2168"/>
    <w:rsid w:val="00FF2CAC"/>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8434EF"/>
    <w:rPr>
      <w:sz w:val="16"/>
      <w:szCs w:val="16"/>
    </w:rPr>
  </w:style>
  <w:style w:type="paragraph" w:styleId="CommentText">
    <w:name w:val="annotation text"/>
    <w:basedOn w:val="Normal"/>
    <w:link w:val="CommentTextChar"/>
    <w:rsid w:val="008434EF"/>
    <w:rPr>
      <w:sz w:val="20"/>
      <w:szCs w:val="20"/>
    </w:rPr>
  </w:style>
  <w:style w:type="character" w:customStyle="1" w:styleId="CommentTextChar">
    <w:name w:val="Comment Text Char"/>
    <w:basedOn w:val="DefaultParagraphFont"/>
    <w:link w:val="CommentText"/>
    <w:rsid w:val="008434EF"/>
  </w:style>
  <w:style w:type="paragraph" w:styleId="CommentSubject">
    <w:name w:val="annotation subject"/>
    <w:basedOn w:val="CommentText"/>
    <w:next w:val="CommentText"/>
    <w:link w:val="CommentSubjectChar"/>
    <w:rsid w:val="008434EF"/>
    <w:rPr>
      <w:b/>
      <w:bCs/>
    </w:rPr>
  </w:style>
  <w:style w:type="character" w:customStyle="1" w:styleId="CommentSubjectChar">
    <w:name w:val="Comment Subject Char"/>
    <w:basedOn w:val="CommentTextChar"/>
    <w:link w:val="CommentSubject"/>
    <w:rsid w:val="008434EF"/>
    <w:rPr>
      <w:b/>
      <w:bCs/>
    </w:rPr>
  </w:style>
  <w:style w:type="paragraph" w:styleId="Header">
    <w:name w:val="header"/>
    <w:basedOn w:val="Normal"/>
    <w:link w:val="HeaderChar"/>
    <w:rsid w:val="00CA209F"/>
    <w:pPr>
      <w:tabs>
        <w:tab w:val="center" w:pos="4680"/>
        <w:tab w:val="right" w:pos="9360"/>
      </w:tabs>
    </w:pPr>
  </w:style>
  <w:style w:type="character" w:customStyle="1" w:styleId="HeaderChar">
    <w:name w:val="Header Char"/>
    <w:basedOn w:val="DefaultParagraphFont"/>
    <w:link w:val="Header"/>
    <w:rsid w:val="00CA209F"/>
    <w:rPr>
      <w:sz w:val="24"/>
      <w:szCs w:val="24"/>
    </w:rPr>
  </w:style>
  <w:style w:type="paragraph" w:styleId="Footer">
    <w:name w:val="footer"/>
    <w:basedOn w:val="Normal"/>
    <w:link w:val="FooterChar"/>
    <w:uiPriority w:val="99"/>
    <w:rsid w:val="00CA209F"/>
    <w:pPr>
      <w:tabs>
        <w:tab w:val="center" w:pos="4680"/>
        <w:tab w:val="right" w:pos="9360"/>
      </w:tabs>
    </w:pPr>
  </w:style>
  <w:style w:type="character" w:customStyle="1" w:styleId="FooterChar">
    <w:name w:val="Footer Char"/>
    <w:basedOn w:val="DefaultParagraphFont"/>
    <w:link w:val="Footer"/>
    <w:uiPriority w:val="99"/>
    <w:rsid w:val="00CA20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8434EF"/>
    <w:rPr>
      <w:sz w:val="16"/>
      <w:szCs w:val="16"/>
    </w:rPr>
  </w:style>
  <w:style w:type="paragraph" w:styleId="CommentText">
    <w:name w:val="annotation text"/>
    <w:basedOn w:val="Normal"/>
    <w:link w:val="CommentTextChar"/>
    <w:rsid w:val="008434EF"/>
    <w:rPr>
      <w:sz w:val="20"/>
      <w:szCs w:val="20"/>
    </w:rPr>
  </w:style>
  <w:style w:type="character" w:customStyle="1" w:styleId="CommentTextChar">
    <w:name w:val="Comment Text Char"/>
    <w:basedOn w:val="DefaultParagraphFont"/>
    <w:link w:val="CommentText"/>
    <w:rsid w:val="008434EF"/>
  </w:style>
  <w:style w:type="paragraph" w:styleId="CommentSubject">
    <w:name w:val="annotation subject"/>
    <w:basedOn w:val="CommentText"/>
    <w:next w:val="CommentText"/>
    <w:link w:val="CommentSubjectChar"/>
    <w:rsid w:val="008434EF"/>
    <w:rPr>
      <w:b/>
      <w:bCs/>
    </w:rPr>
  </w:style>
  <w:style w:type="character" w:customStyle="1" w:styleId="CommentSubjectChar">
    <w:name w:val="Comment Subject Char"/>
    <w:basedOn w:val="CommentTextChar"/>
    <w:link w:val="CommentSubject"/>
    <w:rsid w:val="008434EF"/>
    <w:rPr>
      <w:b/>
      <w:bCs/>
    </w:rPr>
  </w:style>
  <w:style w:type="paragraph" w:styleId="Header">
    <w:name w:val="header"/>
    <w:basedOn w:val="Normal"/>
    <w:link w:val="HeaderChar"/>
    <w:rsid w:val="00CA209F"/>
    <w:pPr>
      <w:tabs>
        <w:tab w:val="center" w:pos="4680"/>
        <w:tab w:val="right" w:pos="9360"/>
      </w:tabs>
    </w:pPr>
  </w:style>
  <w:style w:type="character" w:customStyle="1" w:styleId="HeaderChar">
    <w:name w:val="Header Char"/>
    <w:basedOn w:val="DefaultParagraphFont"/>
    <w:link w:val="Header"/>
    <w:rsid w:val="00CA209F"/>
    <w:rPr>
      <w:sz w:val="24"/>
      <w:szCs w:val="24"/>
    </w:rPr>
  </w:style>
  <w:style w:type="paragraph" w:styleId="Footer">
    <w:name w:val="footer"/>
    <w:basedOn w:val="Normal"/>
    <w:link w:val="FooterChar"/>
    <w:uiPriority w:val="99"/>
    <w:rsid w:val="00CA209F"/>
    <w:pPr>
      <w:tabs>
        <w:tab w:val="center" w:pos="4680"/>
        <w:tab w:val="right" w:pos="9360"/>
      </w:tabs>
    </w:pPr>
  </w:style>
  <w:style w:type="character" w:customStyle="1" w:styleId="FooterChar">
    <w:name w:val="Footer Char"/>
    <w:basedOn w:val="DefaultParagraphFont"/>
    <w:link w:val="Footer"/>
    <w:uiPriority w:val="99"/>
    <w:rsid w:val="00CA2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9073">
      <w:bodyDiv w:val="1"/>
      <w:marLeft w:val="0"/>
      <w:marRight w:val="0"/>
      <w:marTop w:val="0"/>
      <w:marBottom w:val="0"/>
      <w:divBdr>
        <w:top w:val="none" w:sz="0" w:space="0" w:color="auto"/>
        <w:left w:val="none" w:sz="0" w:space="0" w:color="auto"/>
        <w:bottom w:val="none" w:sz="0" w:space="0" w:color="auto"/>
        <w:right w:val="none" w:sz="0" w:space="0" w:color="auto"/>
      </w:divBdr>
    </w:div>
    <w:div w:id="1302223944">
      <w:bodyDiv w:val="1"/>
      <w:marLeft w:val="0"/>
      <w:marRight w:val="0"/>
      <w:marTop w:val="0"/>
      <w:marBottom w:val="0"/>
      <w:divBdr>
        <w:top w:val="none" w:sz="0" w:space="0" w:color="auto"/>
        <w:left w:val="none" w:sz="0" w:space="0" w:color="auto"/>
        <w:bottom w:val="none" w:sz="0" w:space="0" w:color="auto"/>
        <w:right w:val="none" w:sz="0" w:space="0" w:color="auto"/>
      </w:divBdr>
    </w:div>
    <w:div w:id="1309749923">
      <w:bodyDiv w:val="1"/>
      <w:marLeft w:val="0"/>
      <w:marRight w:val="0"/>
      <w:marTop w:val="0"/>
      <w:marBottom w:val="0"/>
      <w:divBdr>
        <w:top w:val="none" w:sz="0" w:space="0" w:color="auto"/>
        <w:left w:val="none" w:sz="0" w:space="0" w:color="auto"/>
        <w:bottom w:val="none" w:sz="0" w:space="0" w:color="auto"/>
        <w:right w:val="none" w:sz="0" w:space="0" w:color="auto"/>
      </w:divBdr>
    </w:div>
    <w:div w:id="2032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2016-05-04T14:15:00Z</dcterms:created>
  <dcterms:modified xsi:type="dcterms:W3CDTF">2016-05-05T13:15:00Z</dcterms:modified>
</cp:coreProperties>
</file>