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000" w:firstRow="0" w:lastRow="0" w:firstColumn="0" w:lastColumn="0" w:noHBand="0" w:noVBand="0"/>
      </w:tblPr>
      <w:tblGrid>
        <w:gridCol w:w="5508"/>
        <w:gridCol w:w="5508"/>
      </w:tblGrid>
      <w:tr w:rsidR="00352252">
        <w:trPr>
          <w:jc w:val="center"/>
        </w:trPr>
        <w:tc>
          <w:tcPr>
            <w:tcW w:w="5508" w:type="dxa"/>
            <w:tcBorders>
              <w:bottom w:val="single" w:sz="6" w:space="0" w:color="auto"/>
            </w:tcBorders>
          </w:tcPr>
          <w:p w:rsidR="00352252" w:rsidRDefault="00E50898">
            <w:pPr>
              <w:pBdr>
                <w:top w:val="single" w:sz="6" w:space="0" w:color="FFFFFF"/>
                <w:left w:val="single" w:sz="6" w:space="0" w:color="FFFFFF"/>
                <w:bottom w:val="single" w:sz="6" w:space="0" w:color="FFFFFF"/>
                <w:right w:val="single" w:sz="6" w:space="0" w:color="FFFFFF"/>
              </w:pBdr>
              <w:jc w:val="center"/>
            </w:pPr>
            <w:r>
              <w:rPr>
                <w:noProof/>
              </w:rPr>
              <w:drawing>
                <wp:inline distT="0" distB="0" distL="0" distR="0">
                  <wp:extent cx="136207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1396" t="-970" r="-1396" b="-970"/>
                          <a:stretch>
                            <a:fillRect/>
                          </a:stretch>
                        </pic:blipFill>
                        <pic:spPr bwMode="auto">
                          <a:xfrm>
                            <a:off x="0" y="0"/>
                            <a:ext cx="1362075" cy="1371600"/>
                          </a:xfrm>
                          <a:prstGeom prst="rect">
                            <a:avLst/>
                          </a:prstGeom>
                          <a:noFill/>
                          <a:ln>
                            <a:noFill/>
                          </a:ln>
                        </pic:spPr>
                      </pic:pic>
                    </a:graphicData>
                  </a:graphic>
                </wp:inline>
              </w:drawing>
            </w:r>
          </w:p>
          <w:p w:rsidR="00352252" w:rsidRDefault="00352252"/>
        </w:tc>
        <w:tc>
          <w:tcPr>
            <w:tcW w:w="5508" w:type="dxa"/>
            <w:tcBorders>
              <w:bottom w:val="single" w:sz="6" w:space="0" w:color="auto"/>
            </w:tcBorders>
          </w:tcPr>
          <w:p w:rsidR="00352252" w:rsidRDefault="00352252">
            <w:pPr>
              <w:rPr>
                <w:b/>
                <w:bCs/>
                <w:smallCaps/>
              </w:rPr>
            </w:pPr>
            <w:r>
              <w:rPr>
                <w:b/>
                <w:bCs/>
                <w:smallCaps/>
              </w:rPr>
              <w:t xml:space="preserve">The Council of the City of </w:t>
            </w:r>
            <w:smartTag w:uri="urn:schemas-microsoft-com:office:smarttags" w:element="City">
              <w:smartTag w:uri="urn:schemas-microsoft-com:office:smarttags" w:element="place">
                <w:r>
                  <w:rPr>
                    <w:b/>
                    <w:bCs/>
                    <w:smallCaps/>
                  </w:rPr>
                  <w:t>New York</w:t>
                </w:r>
              </w:smartTag>
            </w:smartTag>
          </w:p>
          <w:p w:rsidR="00352252" w:rsidRDefault="00352252" w:rsidP="00AA7573">
            <w:pPr>
              <w:rPr>
                <w:b/>
                <w:bCs/>
                <w:smallCaps/>
              </w:rPr>
            </w:pPr>
            <w:r>
              <w:rPr>
                <w:b/>
                <w:bCs/>
                <w:smallCaps/>
              </w:rPr>
              <w:t>Finance Division</w:t>
            </w:r>
          </w:p>
          <w:p w:rsidR="00352252" w:rsidRDefault="00A24BA6" w:rsidP="00AA7573">
            <w:pPr>
              <w:spacing w:before="120"/>
              <w:rPr>
                <w:b/>
                <w:bCs/>
                <w:smallCaps/>
              </w:rPr>
            </w:pPr>
            <w:r>
              <w:rPr>
                <w:b/>
                <w:bCs/>
                <w:smallCaps/>
              </w:rPr>
              <w:t>Latonia McKinney</w:t>
            </w:r>
            <w:r w:rsidR="00352252">
              <w:rPr>
                <w:b/>
                <w:bCs/>
                <w:smallCaps/>
              </w:rPr>
              <w:t>, Director</w:t>
            </w:r>
          </w:p>
          <w:p w:rsidR="00352252" w:rsidRDefault="00352252" w:rsidP="00AA7573">
            <w:pPr>
              <w:spacing w:before="120"/>
            </w:pPr>
            <w:r>
              <w:rPr>
                <w:b/>
                <w:bCs/>
                <w:smallCaps/>
              </w:rPr>
              <w:t>Fiscal Impact Statement</w:t>
            </w:r>
          </w:p>
          <w:p w:rsidR="007D040E" w:rsidRPr="007D040E" w:rsidRDefault="001E38BA" w:rsidP="00AA7573">
            <w:pPr>
              <w:spacing w:before="120"/>
              <w:rPr>
                <w:b/>
                <w:bCs/>
                <w:smallCaps/>
              </w:rPr>
            </w:pPr>
            <w:r>
              <w:rPr>
                <w:b/>
                <w:bCs/>
                <w:smallCaps/>
              </w:rPr>
              <w:t xml:space="preserve">Proposed </w:t>
            </w:r>
            <w:r w:rsidR="00A1598A" w:rsidRPr="00A1598A">
              <w:rPr>
                <w:b/>
                <w:bCs/>
                <w:smallCaps/>
              </w:rPr>
              <w:t>Int. No.</w:t>
            </w:r>
            <w:r>
              <w:rPr>
                <w:b/>
                <w:bCs/>
                <w:smallCaps/>
              </w:rPr>
              <w:t xml:space="preserve"> </w:t>
            </w:r>
            <w:r>
              <w:rPr>
                <w:color w:val="000000"/>
              </w:rPr>
              <w:t>812-A</w:t>
            </w:r>
          </w:p>
          <w:p w:rsidR="00352252" w:rsidRPr="00F81630" w:rsidRDefault="00352252" w:rsidP="00AA7573">
            <w:pPr>
              <w:tabs>
                <w:tab w:val="left" w:pos="-1440"/>
              </w:tabs>
              <w:spacing w:before="120"/>
              <w:ind w:left="1440" w:hanging="1440"/>
              <w:jc w:val="left"/>
            </w:pPr>
            <w:r>
              <w:rPr>
                <w:b/>
                <w:bCs/>
                <w:smallCaps/>
              </w:rPr>
              <w:t>Committee</w:t>
            </w:r>
            <w:r>
              <w:rPr>
                <w:b/>
                <w:bCs/>
              </w:rPr>
              <w:t>:</w:t>
            </w:r>
            <w:r w:rsidR="000C7FF6">
              <w:rPr>
                <w:b/>
                <w:bCs/>
              </w:rPr>
              <w:t xml:space="preserve"> </w:t>
            </w:r>
            <w:r w:rsidR="00F81630">
              <w:rPr>
                <w:b/>
                <w:bCs/>
              </w:rPr>
              <w:t xml:space="preserve">  </w:t>
            </w:r>
            <w:r w:rsidR="008434EF">
              <w:rPr>
                <w:bCs/>
              </w:rPr>
              <w:t>Governmental Operations</w:t>
            </w:r>
          </w:p>
          <w:p w:rsidR="00352252" w:rsidRDefault="00352252"/>
        </w:tc>
      </w:tr>
      <w:tr w:rsidR="00352252">
        <w:trPr>
          <w:jc w:val="center"/>
        </w:trPr>
        <w:tc>
          <w:tcPr>
            <w:tcW w:w="5508" w:type="dxa"/>
            <w:tcBorders>
              <w:top w:val="single" w:sz="6" w:space="0" w:color="auto"/>
            </w:tcBorders>
          </w:tcPr>
          <w:p w:rsidR="001E38BA" w:rsidRPr="007A3F6C" w:rsidRDefault="00352252" w:rsidP="001E38BA">
            <w:pPr>
              <w:shd w:val="clear" w:color="auto" w:fill="FFFFFF"/>
              <w:rPr>
                <w:color w:val="000000"/>
                <w:sz w:val="27"/>
                <w:szCs w:val="27"/>
              </w:rPr>
            </w:pPr>
            <w:r>
              <w:rPr>
                <w:b/>
                <w:bCs/>
                <w:smallCaps/>
              </w:rPr>
              <w:t>Title</w:t>
            </w:r>
            <w:r>
              <w:rPr>
                <w:b/>
                <w:bCs/>
              </w:rPr>
              <w:t>:</w:t>
            </w:r>
            <w:r>
              <w:t xml:space="preserve"> </w:t>
            </w:r>
            <w:r w:rsidR="00F81630">
              <w:t xml:space="preserve"> </w:t>
            </w:r>
            <w:r w:rsidR="001E38BA" w:rsidRPr="007A3F6C">
              <w:rPr>
                <w:color w:val="000000"/>
              </w:rPr>
              <w:t xml:space="preserve">A Local Law to amend the New York city charter, in relation to requiring the inclusion of unique identifiers </w:t>
            </w:r>
            <w:r w:rsidR="001E38BA" w:rsidRPr="00617022">
              <w:rPr>
                <w:color w:val="000000"/>
              </w:rPr>
              <w:t xml:space="preserve">for buildings </w:t>
            </w:r>
            <w:r w:rsidR="001E38BA">
              <w:rPr>
                <w:color w:val="000000"/>
              </w:rPr>
              <w:t xml:space="preserve">and lots </w:t>
            </w:r>
            <w:r w:rsidR="001E38BA" w:rsidRPr="00617022">
              <w:rPr>
                <w:color w:val="000000"/>
              </w:rPr>
              <w:t>in</w:t>
            </w:r>
            <w:r w:rsidR="001E38BA" w:rsidRPr="007A3F6C">
              <w:rPr>
                <w:color w:val="000000"/>
              </w:rPr>
              <w:t xml:space="preserve"> notices of violation </w:t>
            </w:r>
            <w:r w:rsidR="001E38BA">
              <w:rPr>
                <w:color w:val="000000"/>
              </w:rPr>
              <w:t>adjudicated by</w:t>
            </w:r>
            <w:r w:rsidR="001E38BA" w:rsidRPr="007A3F6C">
              <w:rPr>
                <w:color w:val="000000"/>
              </w:rPr>
              <w:t xml:space="preserve"> the environmental control board</w:t>
            </w:r>
            <w:r w:rsidR="001E38BA">
              <w:rPr>
                <w:color w:val="000000"/>
              </w:rPr>
              <w:t xml:space="preserve"> </w:t>
            </w:r>
          </w:p>
          <w:p w:rsidR="001E38BA" w:rsidRDefault="001E38BA" w:rsidP="001E38BA">
            <w:pPr>
              <w:shd w:val="clear" w:color="auto" w:fill="FFFFFF"/>
            </w:pPr>
            <w:bookmarkStart w:id="0" w:name="_GoBack"/>
            <w:bookmarkEnd w:id="0"/>
          </w:p>
        </w:tc>
        <w:tc>
          <w:tcPr>
            <w:tcW w:w="5508" w:type="dxa"/>
            <w:tcBorders>
              <w:top w:val="single" w:sz="6" w:space="0" w:color="auto"/>
            </w:tcBorders>
          </w:tcPr>
          <w:p w:rsidR="001E38BA" w:rsidRPr="007A3F6C" w:rsidRDefault="00352252" w:rsidP="001E38BA">
            <w:pPr>
              <w:shd w:val="clear" w:color="auto" w:fill="FFFFFF"/>
              <w:rPr>
                <w:color w:val="000000"/>
                <w:sz w:val="27"/>
                <w:szCs w:val="27"/>
              </w:rPr>
            </w:pPr>
            <w:r>
              <w:rPr>
                <w:b/>
                <w:bCs/>
                <w:smallCaps/>
              </w:rPr>
              <w:t>Sponsor</w:t>
            </w:r>
            <w:r w:rsidR="001C6CA0">
              <w:rPr>
                <w:b/>
                <w:bCs/>
                <w:smallCaps/>
              </w:rPr>
              <w:t>s</w:t>
            </w:r>
            <w:r>
              <w:rPr>
                <w:b/>
                <w:bCs/>
              </w:rPr>
              <w:t>:</w:t>
            </w:r>
            <w:r w:rsidR="00F81630">
              <w:rPr>
                <w:b/>
                <w:bCs/>
              </w:rPr>
              <w:t xml:space="preserve">  </w:t>
            </w:r>
            <w:r w:rsidR="001E38BA" w:rsidRPr="007A3F6C">
              <w:rPr>
                <w:color w:val="000000"/>
              </w:rPr>
              <w:t>Council Members Kallos, Ferreras-Copeland and Gentile</w:t>
            </w:r>
          </w:p>
          <w:p w:rsidR="00352252" w:rsidRDefault="00352252" w:rsidP="001E38BA">
            <w:pPr>
              <w:shd w:val="clear" w:color="auto" w:fill="FFFFFF"/>
            </w:pPr>
          </w:p>
        </w:tc>
      </w:tr>
      <w:tr w:rsidR="00352252">
        <w:trPr>
          <w:cantSplit/>
          <w:trHeight w:val="554"/>
          <w:jc w:val="center"/>
        </w:trPr>
        <w:tc>
          <w:tcPr>
            <w:tcW w:w="11016" w:type="dxa"/>
            <w:gridSpan w:val="2"/>
          </w:tcPr>
          <w:p w:rsidR="00B716AE" w:rsidRPr="00D6593F" w:rsidRDefault="00352252" w:rsidP="005D6F39">
            <w:pPr>
              <w:rPr>
                <w:rFonts w:eastAsia="Calibri"/>
              </w:rPr>
            </w:pPr>
            <w:r w:rsidRPr="00D56CD5">
              <w:rPr>
                <w:b/>
                <w:bCs/>
                <w:smallCaps/>
              </w:rPr>
              <w:t>Summary of Legislation</w:t>
            </w:r>
            <w:r w:rsidRPr="00AA0D8B">
              <w:rPr>
                <w:b/>
                <w:bCs/>
                <w:smallCaps/>
              </w:rPr>
              <w:t>:</w:t>
            </w:r>
            <w:r w:rsidR="005D6F39">
              <w:rPr>
                <w:b/>
                <w:bCs/>
                <w:smallCaps/>
              </w:rPr>
              <w:t xml:space="preserve"> </w:t>
            </w:r>
            <w:r w:rsidR="005D6F39">
              <w:t>Proposed Intro. No. 812-A</w:t>
            </w:r>
            <w:r w:rsidR="005D6F39" w:rsidRPr="00D13DA9">
              <w:t xml:space="preserve"> </w:t>
            </w:r>
            <w:r w:rsidR="00D13DA9" w:rsidRPr="00D13DA9">
              <w:t xml:space="preserve">would </w:t>
            </w:r>
            <w:r w:rsidR="00D6593F" w:rsidRPr="008C0CC8">
              <w:t xml:space="preserve">require </w:t>
            </w:r>
            <w:r w:rsidR="008434EF">
              <w:t>C</w:t>
            </w:r>
            <w:r w:rsidR="00D6593F" w:rsidRPr="008C0CC8">
              <w:t>ity agencies that issue notices of violation that are returnable to the Environmental Control Board</w:t>
            </w:r>
            <w:r w:rsidR="008434EF">
              <w:t xml:space="preserve"> (“ECB”)</w:t>
            </w:r>
            <w:r w:rsidR="00D6593F" w:rsidRPr="008C0CC8">
              <w:t xml:space="preserve"> to  include the borough, block and lot number and building identification number, as applicable, </w:t>
            </w:r>
            <w:r w:rsidR="00D6593F">
              <w:t>of the building or lot</w:t>
            </w:r>
            <w:r w:rsidR="008434EF">
              <w:t xml:space="preserve"> where the alleged violation occurred</w:t>
            </w:r>
            <w:r w:rsidR="00D6593F">
              <w:t>.</w:t>
            </w:r>
            <w:r w:rsidR="005D6F39">
              <w:rPr>
                <w:rFonts w:eastAsia="Calibri"/>
              </w:rPr>
              <w:t xml:space="preserve"> </w:t>
            </w:r>
            <w:r w:rsidR="00D6593F">
              <w:t>T</w:t>
            </w:r>
            <w:r w:rsidR="00D6593F" w:rsidRPr="008C0CC8">
              <w:t xml:space="preserve">he bill </w:t>
            </w:r>
            <w:r w:rsidR="008434EF">
              <w:t xml:space="preserve">further </w:t>
            </w:r>
            <w:r w:rsidR="00D6593F" w:rsidRPr="008C0CC8">
              <w:t>provides that</w:t>
            </w:r>
            <w:r w:rsidR="008434EF">
              <w:t xml:space="preserve"> the ECB may not dismiss</w:t>
            </w:r>
            <w:r w:rsidR="00D6593F" w:rsidRPr="008C0CC8">
              <w:t xml:space="preserve"> a notice of violation </w:t>
            </w:r>
            <w:r w:rsidR="008434EF">
              <w:t>on the basis that</w:t>
            </w:r>
            <w:r w:rsidR="00D6593F" w:rsidRPr="008C0CC8">
              <w:t xml:space="preserve"> it does not include the required identifying information.</w:t>
            </w:r>
          </w:p>
          <w:p w:rsidR="00D6593F" w:rsidRPr="00D6593F" w:rsidRDefault="00D6593F" w:rsidP="00D6593F">
            <w:pPr>
              <w:ind w:left="360"/>
              <w:contextualSpacing/>
              <w:rPr>
                <w:rFonts w:eastAsia="Calibri"/>
              </w:rPr>
            </w:pPr>
          </w:p>
        </w:tc>
      </w:tr>
      <w:tr w:rsidR="00352252">
        <w:trPr>
          <w:cantSplit/>
          <w:trHeight w:val="553"/>
          <w:jc w:val="center"/>
        </w:trPr>
        <w:tc>
          <w:tcPr>
            <w:tcW w:w="11016" w:type="dxa"/>
            <w:gridSpan w:val="2"/>
          </w:tcPr>
          <w:p w:rsidR="00D6593F" w:rsidRPr="00D6593F" w:rsidRDefault="00352252" w:rsidP="00D6593F">
            <w:pPr>
              <w:spacing w:before="120"/>
              <w:rPr>
                <w:b/>
                <w:bCs/>
                <w:smallCaps/>
              </w:rPr>
            </w:pPr>
            <w:r>
              <w:rPr>
                <w:b/>
                <w:bCs/>
                <w:smallCaps/>
              </w:rPr>
              <w:t>Effective Date:</w:t>
            </w:r>
            <w:r w:rsidR="006A41E8">
              <w:rPr>
                <w:b/>
                <w:bCs/>
                <w:smallCaps/>
              </w:rPr>
              <w:t xml:space="preserve"> </w:t>
            </w:r>
            <w:r w:rsidR="00D6593F" w:rsidRPr="00D6593F">
              <w:t>This local law</w:t>
            </w:r>
            <w:r w:rsidR="008434EF">
              <w:t xml:space="preserve"> would</w:t>
            </w:r>
            <w:r w:rsidR="00D6593F" w:rsidRPr="00D6593F">
              <w:t xml:space="preserve"> take effect on the same date as a local law of the city of New York for the year 2016 amending the New York city charter in relation to notices of violation adjudicated by the environmental control board and issued generically to the “owner of” a business, organization or premises, as proposed in introduction number </w:t>
            </w:r>
            <w:r w:rsidR="00E93995">
              <w:t>807</w:t>
            </w:r>
            <w:r w:rsidR="00D6593F" w:rsidRPr="00D6593F">
              <w:t xml:space="preserve">-A, takes effect, except that the </w:t>
            </w:r>
            <w:r w:rsidR="008434EF">
              <w:t>ECB</w:t>
            </w:r>
            <w:r w:rsidR="00D6593F" w:rsidRPr="00D6593F">
              <w:t xml:space="preserve"> may take any actions necessary for its implementation, including the promulgation of rules, before such effective date. </w:t>
            </w:r>
          </w:p>
          <w:p w:rsidR="00D6593F" w:rsidRDefault="00D6593F" w:rsidP="001E38BA">
            <w:pPr>
              <w:spacing w:before="120"/>
              <w:rPr>
                <w:b/>
                <w:bCs/>
                <w:smallCaps/>
              </w:rPr>
            </w:pPr>
          </w:p>
        </w:tc>
      </w:tr>
      <w:tr w:rsidR="00352252">
        <w:trPr>
          <w:cantSplit/>
          <w:trHeight w:val="553"/>
          <w:jc w:val="center"/>
        </w:trPr>
        <w:tc>
          <w:tcPr>
            <w:tcW w:w="11016" w:type="dxa"/>
            <w:gridSpan w:val="2"/>
            <w:tcBorders>
              <w:bottom w:val="single" w:sz="6" w:space="0" w:color="auto"/>
            </w:tcBorders>
          </w:tcPr>
          <w:p w:rsidR="00352252" w:rsidRDefault="00352252">
            <w:r>
              <w:rPr>
                <w:b/>
                <w:bCs/>
                <w:smallCaps/>
              </w:rPr>
              <w:t>Fiscal Year In Which Full Fiscal Impact Anticipated:</w:t>
            </w:r>
            <w:r>
              <w:t xml:space="preserve"> </w:t>
            </w:r>
            <w:r w:rsidR="00F81630">
              <w:t xml:space="preserve">  </w:t>
            </w:r>
            <w:r w:rsidR="008434EF">
              <w:t>Fiscal 2017</w:t>
            </w:r>
          </w:p>
          <w:p w:rsidR="00B716AE" w:rsidRDefault="00B716AE">
            <w:pPr>
              <w:rPr>
                <w:b/>
                <w:bCs/>
                <w:smallCaps/>
              </w:rPr>
            </w:pPr>
          </w:p>
          <w:p w:rsidR="00352252" w:rsidRPr="00B716AE" w:rsidRDefault="00352252" w:rsidP="00B716AE"/>
        </w:tc>
      </w:tr>
      <w:tr w:rsidR="00352252" w:rsidTr="0033426F">
        <w:trPr>
          <w:cantSplit/>
          <w:trHeight w:val="2388"/>
          <w:jc w:val="center"/>
        </w:trPr>
        <w:tc>
          <w:tcPr>
            <w:tcW w:w="11016" w:type="dxa"/>
            <w:gridSpan w:val="2"/>
            <w:tcBorders>
              <w:top w:val="single" w:sz="6" w:space="0" w:color="auto"/>
            </w:tcBorders>
          </w:tcPr>
          <w:p w:rsidR="00352252" w:rsidRDefault="00352252">
            <w:pPr>
              <w:rPr>
                <w:b/>
                <w:bCs/>
                <w:smallCaps/>
              </w:rPr>
            </w:pPr>
            <w:r>
              <w:rPr>
                <w:b/>
                <w:bCs/>
                <w:smallCaps/>
              </w:rPr>
              <w:t>Fiscal Impact Statement:</w:t>
            </w:r>
          </w:p>
          <w:p w:rsidR="001D2910" w:rsidRDefault="001D2910"/>
          <w:tbl>
            <w:tblPr>
              <w:tblW w:w="0" w:type="auto"/>
              <w:jc w:val="center"/>
              <w:tblCellMar>
                <w:left w:w="141" w:type="dxa"/>
                <w:right w:w="141" w:type="dxa"/>
              </w:tblCellMar>
              <w:tblLook w:val="0000" w:firstRow="0" w:lastRow="0" w:firstColumn="0" w:lastColumn="0" w:noHBand="0" w:noVBand="0"/>
            </w:tblPr>
            <w:tblGrid>
              <w:gridCol w:w="1995"/>
              <w:gridCol w:w="1522"/>
              <w:gridCol w:w="2083"/>
              <w:gridCol w:w="1754"/>
            </w:tblGrid>
            <w:tr w:rsidR="00352252" w:rsidTr="001B0585">
              <w:trPr>
                <w:jc w:val="center"/>
              </w:trPr>
              <w:tc>
                <w:tcPr>
                  <w:tcW w:w="1995" w:type="dxa"/>
                  <w:tcBorders>
                    <w:top w:val="double" w:sz="7" w:space="0" w:color="000000"/>
                    <w:left w:val="double" w:sz="7" w:space="0" w:color="000000"/>
                    <w:bottom w:val="single" w:sz="6" w:space="0" w:color="FFFFFF"/>
                    <w:right w:val="single" w:sz="6" w:space="0" w:color="FFFFFF"/>
                  </w:tcBorders>
                </w:tcPr>
                <w:p w:rsidR="00352252" w:rsidRPr="008434EF" w:rsidRDefault="00352252">
                  <w:pPr>
                    <w:spacing w:line="201" w:lineRule="exact"/>
                    <w:jc w:val="center"/>
                    <w:rPr>
                      <w:sz w:val="20"/>
                    </w:rPr>
                  </w:pPr>
                </w:p>
                <w:p w:rsidR="00352252" w:rsidRPr="008434EF" w:rsidRDefault="00352252">
                  <w:pPr>
                    <w:jc w:val="center"/>
                    <w:rPr>
                      <w:b/>
                      <w:bCs/>
                      <w:sz w:val="20"/>
                      <w:szCs w:val="19"/>
                    </w:rPr>
                  </w:pPr>
                </w:p>
              </w:tc>
              <w:tc>
                <w:tcPr>
                  <w:tcW w:w="1522" w:type="dxa"/>
                  <w:tcBorders>
                    <w:top w:val="double" w:sz="7" w:space="0" w:color="000000"/>
                    <w:left w:val="single" w:sz="7" w:space="0" w:color="000000"/>
                    <w:bottom w:val="single" w:sz="6" w:space="0" w:color="FFFFFF"/>
                    <w:right w:val="single" w:sz="6" w:space="0" w:color="FFFFFF"/>
                  </w:tcBorders>
                </w:tcPr>
                <w:p w:rsidR="00352252" w:rsidRPr="008434EF" w:rsidRDefault="00DB057D">
                  <w:pPr>
                    <w:jc w:val="center"/>
                    <w:rPr>
                      <w:b/>
                      <w:bCs/>
                      <w:sz w:val="20"/>
                      <w:szCs w:val="19"/>
                    </w:rPr>
                  </w:pPr>
                  <w:r w:rsidRPr="008434EF">
                    <w:rPr>
                      <w:b/>
                      <w:bCs/>
                      <w:sz w:val="20"/>
                      <w:szCs w:val="19"/>
                    </w:rPr>
                    <w:t>Effective FY</w:t>
                  </w:r>
                  <w:r w:rsidR="00406123" w:rsidRPr="008434EF">
                    <w:rPr>
                      <w:b/>
                      <w:bCs/>
                      <w:sz w:val="20"/>
                      <w:szCs w:val="19"/>
                    </w:rPr>
                    <w:t>1</w:t>
                  </w:r>
                  <w:r w:rsidR="008434EF">
                    <w:rPr>
                      <w:b/>
                      <w:bCs/>
                      <w:sz w:val="20"/>
                      <w:szCs w:val="19"/>
                    </w:rPr>
                    <w:t>7</w:t>
                  </w:r>
                </w:p>
              </w:tc>
              <w:tc>
                <w:tcPr>
                  <w:tcW w:w="2083" w:type="dxa"/>
                  <w:tcBorders>
                    <w:top w:val="double" w:sz="7" w:space="0" w:color="000000"/>
                    <w:left w:val="single" w:sz="7" w:space="0" w:color="000000"/>
                    <w:bottom w:val="single" w:sz="6" w:space="0" w:color="FFFFFF"/>
                    <w:right w:val="single" w:sz="6" w:space="0" w:color="FFFFFF"/>
                  </w:tcBorders>
                </w:tcPr>
                <w:p w:rsidR="00352252" w:rsidRPr="008434EF" w:rsidRDefault="008434EF" w:rsidP="00182190">
                  <w:pPr>
                    <w:jc w:val="center"/>
                    <w:rPr>
                      <w:b/>
                      <w:bCs/>
                      <w:sz w:val="20"/>
                      <w:szCs w:val="19"/>
                    </w:rPr>
                  </w:pPr>
                  <w:r w:rsidRPr="001C3FD4">
                    <w:rPr>
                      <w:b/>
                      <w:bCs/>
                      <w:sz w:val="20"/>
                      <w:szCs w:val="20"/>
                    </w:rPr>
                    <w:t>FY Succeeding Effective 18</w:t>
                  </w:r>
                </w:p>
              </w:tc>
              <w:tc>
                <w:tcPr>
                  <w:tcW w:w="1754" w:type="dxa"/>
                  <w:tcBorders>
                    <w:top w:val="double" w:sz="7" w:space="0" w:color="000000"/>
                    <w:left w:val="single" w:sz="7" w:space="0" w:color="000000"/>
                    <w:bottom w:val="single" w:sz="6" w:space="0" w:color="FFFFFF"/>
                    <w:right w:val="double" w:sz="7" w:space="0" w:color="000000"/>
                  </w:tcBorders>
                </w:tcPr>
                <w:p w:rsidR="00352252" w:rsidRPr="008434EF" w:rsidRDefault="00352252">
                  <w:pPr>
                    <w:jc w:val="center"/>
                    <w:rPr>
                      <w:b/>
                      <w:bCs/>
                      <w:sz w:val="20"/>
                      <w:szCs w:val="19"/>
                    </w:rPr>
                  </w:pPr>
                  <w:r w:rsidRPr="008434EF">
                    <w:rPr>
                      <w:b/>
                      <w:bCs/>
                      <w:sz w:val="20"/>
                      <w:szCs w:val="19"/>
                    </w:rPr>
                    <w:t>Full Fiscal</w:t>
                  </w:r>
                </w:p>
                <w:p w:rsidR="00352252" w:rsidRPr="008434EF" w:rsidRDefault="00DB057D">
                  <w:pPr>
                    <w:pStyle w:val="Heading1"/>
                    <w:rPr>
                      <w:sz w:val="20"/>
                    </w:rPr>
                  </w:pPr>
                  <w:r w:rsidRPr="008434EF">
                    <w:rPr>
                      <w:sz w:val="20"/>
                    </w:rPr>
                    <w:t>Impact FY</w:t>
                  </w:r>
                  <w:r w:rsidR="00406123" w:rsidRPr="008434EF">
                    <w:rPr>
                      <w:sz w:val="20"/>
                    </w:rPr>
                    <w:t>1</w:t>
                  </w:r>
                  <w:r w:rsidR="00182190" w:rsidRPr="008434EF">
                    <w:rPr>
                      <w:sz w:val="20"/>
                    </w:rPr>
                    <w:t>8</w:t>
                  </w:r>
                </w:p>
              </w:tc>
            </w:tr>
            <w:tr w:rsidR="00352252" w:rsidTr="0056635C">
              <w:trPr>
                <w:trHeight w:val="289"/>
                <w:jc w:val="center"/>
              </w:trPr>
              <w:tc>
                <w:tcPr>
                  <w:tcW w:w="1995" w:type="dxa"/>
                  <w:tcBorders>
                    <w:top w:val="single" w:sz="7" w:space="0" w:color="000000"/>
                    <w:left w:val="double" w:sz="7" w:space="0" w:color="000000"/>
                    <w:bottom w:val="single" w:sz="6" w:space="0" w:color="FFFFFF"/>
                    <w:right w:val="single" w:sz="6" w:space="0" w:color="FFFFFF"/>
                  </w:tcBorders>
                </w:tcPr>
                <w:p w:rsidR="00352252" w:rsidRPr="008434EF" w:rsidRDefault="00352252" w:rsidP="0056635C">
                  <w:pPr>
                    <w:jc w:val="center"/>
                    <w:rPr>
                      <w:b/>
                      <w:bCs/>
                      <w:sz w:val="20"/>
                      <w:szCs w:val="19"/>
                    </w:rPr>
                  </w:pPr>
                  <w:r w:rsidRPr="008434EF">
                    <w:rPr>
                      <w:b/>
                      <w:bCs/>
                      <w:sz w:val="20"/>
                      <w:szCs w:val="19"/>
                    </w:rPr>
                    <w:t xml:space="preserve">Revenues </w:t>
                  </w:r>
                  <w:r w:rsidR="00251BB3" w:rsidRPr="008434EF">
                    <w:rPr>
                      <w:b/>
                      <w:bCs/>
                      <w:sz w:val="20"/>
                      <w:szCs w:val="19"/>
                    </w:rPr>
                    <w:t>(+)</w:t>
                  </w:r>
                </w:p>
              </w:tc>
              <w:tc>
                <w:tcPr>
                  <w:tcW w:w="1522" w:type="dxa"/>
                  <w:tcBorders>
                    <w:top w:val="single" w:sz="7" w:space="0" w:color="000000"/>
                    <w:left w:val="single" w:sz="7" w:space="0" w:color="000000"/>
                    <w:bottom w:val="single" w:sz="6" w:space="0" w:color="FFFFFF"/>
                    <w:right w:val="single" w:sz="6" w:space="0" w:color="FFFFFF"/>
                  </w:tcBorders>
                </w:tcPr>
                <w:p w:rsidR="00352252" w:rsidRPr="008434EF" w:rsidRDefault="00182190" w:rsidP="0056635C">
                  <w:pPr>
                    <w:jc w:val="center"/>
                    <w:rPr>
                      <w:bCs/>
                      <w:sz w:val="20"/>
                      <w:szCs w:val="19"/>
                    </w:rPr>
                  </w:pPr>
                  <w:r w:rsidRPr="008434EF">
                    <w:rPr>
                      <w:bCs/>
                      <w:sz w:val="20"/>
                      <w:szCs w:val="19"/>
                    </w:rPr>
                    <w:t>$0</w:t>
                  </w:r>
                </w:p>
              </w:tc>
              <w:tc>
                <w:tcPr>
                  <w:tcW w:w="2083" w:type="dxa"/>
                  <w:tcBorders>
                    <w:top w:val="single" w:sz="7" w:space="0" w:color="000000"/>
                    <w:left w:val="single" w:sz="7" w:space="0" w:color="000000"/>
                    <w:bottom w:val="single" w:sz="6" w:space="0" w:color="FFFFFF"/>
                    <w:right w:val="single" w:sz="6" w:space="0" w:color="FFFFFF"/>
                  </w:tcBorders>
                </w:tcPr>
                <w:p w:rsidR="00352252" w:rsidRPr="008434EF" w:rsidRDefault="00182190" w:rsidP="0056635C">
                  <w:pPr>
                    <w:jc w:val="center"/>
                    <w:rPr>
                      <w:bCs/>
                      <w:sz w:val="20"/>
                      <w:szCs w:val="19"/>
                    </w:rPr>
                  </w:pPr>
                  <w:r w:rsidRPr="008434EF">
                    <w:rPr>
                      <w:bCs/>
                      <w:sz w:val="20"/>
                      <w:szCs w:val="19"/>
                    </w:rPr>
                    <w:t>$0</w:t>
                  </w:r>
                </w:p>
              </w:tc>
              <w:tc>
                <w:tcPr>
                  <w:tcW w:w="1754" w:type="dxa"/>
                  <w:tcBorders>
                    <w:top w:val="single" w:sz="7" w:space="0" w:color="000000"/>
                    <w:left w:val="single" w:sz="7" w:space="0" w:color="000000"/>
                    <w:bottom w:val="single" w:sz="6" w:space="0" w:color="FFFFFF"/>
                    <w:right w:val="double" w:sz="7" w:space="0" w:color="000000"/>
                  </w:tcBorders>
                </w:tcPr>
                <w:p w:rsidR="00352252" w:rsidRPr="008434EF" w:rsidRDefault="00182190" w:rsidP="0056635C">
                  <w:pPr>
                    <w:jc w:val="center"/>
                    <w:rPr>
                      <w:bCs/>
                      <w:sz w:val="20"/>
                      <w:szCs w:val="19"/>
                    </w:rPr>
                  </w:pPr>
                  <w:r w:rsidRPr="008434EF">
                    <w:rPr>
                      <w:bCs/>
                      <w:sz w:val="20"/>
                      <w:szCs w:val="19"/>
                    </w:rPr>
                    <w:t>$0</w:t>
                  </w:r>
                </w:p>
              </w:tc>
            </w:tr>
            <w:tr w:rsidR="00352252" w:rsidTr="001B0585">
              <w:trPr>
                <w:jc w:val="center"/>
              </w:trPr>
              <w:tc>
                <w:tcPr>
                  <w:tcW w:w="1995" w:type="dxa"/>
                  <w:tcBorders>
                    <w:top w:val="single" w:sz="7" w:space="0" w:color="000000"/>
                    <w:left w:val="double" w:sz="7" w:space="0" w:color="000000"/>
                    <w:bottom w:val="single" w:sz="6" w:space="0" w:color="FFFFFF"/>
                    <w:right w:val="single" w:sz="6" w:space="0" w:color="FFFFFF"/>
                  </w:tcBorders>
                </w:tcPr>
                <w:p w:rsidR="00352252" w:rsidRPr="008434EF" w:rsidRDefault="00352252" w:rsidP="0056635C">
                  <w:pPr>
                    <w:rPr>
                      <w:b/>
                      <w:bCs/>
                      <w:sz w:val="20"/>
                    </w:rPr>
                  </w:pPr>
                  <w:r w:rsidRPr="008434EF">
                    <w:rPr>
                      <w:b/>
                      <w:bCs/>
                      <w:sz w:val="20"/>
                    </w:rPr>
                    <w:t>Expenditures</w:t>
                  </w:r>
                  <w:r w:rsidR="00251BB3" w:rsidRPr="008434EF">
                    <w:rPr>
                      <w:b/>
                      <w:bCs/>
                      <w:sz w:val="20"/>
                    </w:rPr>
                    <w:t xml:space="preserve"> (-)</w:t>
                  </w:r>
                  <w:r w:rsidRPr="008434EF">
                    <w:rPr>
                      <w:b/>
                      <w:bCs/>
                      <w:sz w:val="20"/>
                    </w:rPr>
                    <w:t xml:space="preserve"> </w:t>
                  </w:r>
                </w:p>
              </w:tc>
              <w:tc>
                <w:tcPr>
                  <w:tcW w:w="1522" w:type="dxa"/>
                  <w:tcBorders>
                    <w:top w:val="single" w:sz="7" w:space="0" w:color="000000"/>
                    <w:left w:val="single" w:sz="7" w:space="0" w:color="000000"/>
                    <w:bottom w:val="single" w:sz="6" w:space="0" w:color="FFFFFF"/>
                    <w:right w:val="single" w:sz="6" w:space="0" w:color="FFFFFF"/>
                  </w:tcBorders>
                </w:tcPr>
                <w:p w:rsidR="00352252" w:rsidRPr="008434EF" w:rsidRDefault="001E38BA" w:rsidP="00B716AE">
                  <w:pPr>
                    <w:jc w:val="center"/>
                    <w:rPr>
                      <w:bCs/>
                      <w:sz w:val="20"/>
                    </w:rPr>
                  </w:pPr>
                  <w:r w:rsidRPr="008434EF">
                    <w:rPr>
                      <w:bCs/>
                      <w:sz w:val="20"/>
                      <w:szCs w:val="19"/>
                    </w:rPr>
                    <w:t>$0</w:t>
                  </w:r>
                </w:p>
              </w:tc>
              <w:tc>
                <w:tcPr>
                  <w:tcW w:w="2083" w:type="dxa"/>
                  <w:tcBorders>
                    <w:top w:val="single" w:sz="7" w:space="0" w:color="000000"/>
                    <w:left w:val="single" w:sz="7" w:space="0" w:color="000000"/>
                    <w:bottom w:val="single" w:sz="6" w:space="0" w:color="FFFFFF"/>
                    <w:right w:val="single" w:sz="6" w:space="0" w:color="FFFFFF"/>
                  </w:tcBorders>
                </w:tcPr>
                <w:p w:rsidR="00352252" w:rsidRPr="008434EF" w:rsidRDefault="001E38BA" w:rsidP="00B716AE">
                  <w:pPr>
                    <w:jc w:val="center"/>
                    <w:rPr>
                      <w:bCs/>
                      <w:sz w:val="20"/>
                    </w:rPr>
                  </w:pPr>
                  <w:r w:rsidRPr="008434EF">
                    <w:rPr>
                      <w:bCs/>
                      <w:sz w:val="20"/>
                      <w:szCs w:val="19"/>
                    </w:rPr>
                    <w:t>$0</w:t>
                  </w:r>
                </w:p>
              </w:tc>
              <w:tc>
                <w:tcPr>
                  <w:tcW w:w="1754" w:type="dxa"/>
                  <w:tcBorders>
                    <w:top w:val="single" w:sz="7" w:space="0" w:color="000000"/>
                    <w:left w:val="single" w:sz="7" w:space="0" w:color="000000"/>
                    <w:bottom w:val="single" w:sz="6" w:space="0" w:color="FFFFFF"/>
                    <w:right w:val="double" w:sz="7" w:space="0" w:color="000000"/>
                  </w:tcBorders>
                </w:tcPr>
                <w:p w:rsidR="00352252" w:rsidRPr="008434EF" w:rsidRDefault="001E38BA" w:rsidP="00B716AE">
                  <w:pPr>
                    <w:jc w:val="center"/>
                    <w:rPr>
                      <w:bCs/>
                      <w:sz w:val="20"/>
                    </w:rPr>
                  </w:pPr>
                  <w:r w:rsidRPr="008434EF">
                    <w:rPr>
                      <w:bCs/>
                      <w:sz w:val="20"/>
                      <w:szCs w:val="19"/>
                    </w:rPr>
                    <w:t>$0</w:t>
                  </w:r>
                </w:p>
              </w:tc>
            </w:tr>
            <w:tr w:rsidR="001B0585" w:rsidTr="001B0585">
              <w:trPr>
                <w:jc w:val="center"/>
              </w:trPr>
              <w:tc>
                <w:tcPr>
                  <w:tcW w:w="1995" w:type="dxa"/>
                  <w:tcBorders>
                    <w:top w:val="single" w:sz="7" w:space="0" w:color="000000"/>
                    <w:left w:val="double" w:sz="7" w:space="0" w:color="000000"/>
                    <w:bottom w:val="single" w:sz="7" w:space="0" w:color="000000"/>
                    <w:right w:val="single" w:sz="6" w:space="0" w:color="FFFFFF"/>
                  </w:tcBorders>
                </w:tcPr>
                <w:p w:rsidR="001B0585" w:rsidRPr="008434EF" w:rsidRDefault="001B0585" w:rsidP="0056635C">
                  <w:pPr>
                    <w:spacing w:after="58"/>
                    <w:jc w:val="center"/>
                    <w:rPr>
                      <w:b/>
                      <w:bCs/>
                      <w:sz w:val="20"/>
                    </w:rPr>
                  </w:pPr>
                  <w:r w:rsidRPr="008434EF">
                    <w:rPr>
                      <w:b/>
                      <w:bCs/>
                      <w:sz w:val="20"/>
                    </w:rPr>
                    <w:t>Net</w:t>
                  </w:r>
                </w:p>
              </w:tc>
              <w:tc>
                <w:tcPr>
                  <w:tcW w:w="1522" w:type="dxa"/>
                  <w:tcBorders>
                    <w:top w:val="single" w:sz="7" w:space="0" w:color="000000"/>
                    <w:left w:val="single" w:sz="7" w:space="0" w:color="000000"/>
                    <w:bottom w:val="single" w:sz="7" w:space="0" w:color="000000"/>
                    <w:right w:val="single" w:sz="6" w:space="0" w:color="FFFFFF"/>
                  </w:tcBorders>
                </w:tcPr>
                <w:p w:rsidR="001B0585" w:rsidRPr="008434EF" w:rsidRDefault="001E38BA" w:rsidP="00A34F2F">
                  <w:pPr>
                    <w:jc w:val="center"/>
                    <w:rPr>
                      <w:bCs/>
                      <w:sz w:val="20"/>
                    </w:rPr>
                  </w:pPr>
                  <w:r w:rsidRPr="008434EF">
                    <w:rPr>
                      <w:bCs/>
                      <w:sz w:val="20"/>
                      <w:szCs w:val="19"/>
                    </w:rPr>
                    <w:t>$0</w:t>
                  </w:r>
                </w:p>
              </w:tc>
              <w:tc>
                <w:tcPr>
                  <w:tcW w:w="2083" w:type="dxa"/>
                  <w:tcBorders>
                    <w:top w:val="single" w:sz="7" w:space="0" w:color="000000"/>
                    <w:left w:val="single" w:sz="7" w:space="0" w:color="000000"/>
                    <w:bottom w:val="single" w:sz="7" w:space="0" w:color="000000"/>
                    <w:right w:val="single" w:sz="6" w:space="0" w:color="FFFFFF"/>
                  </w:tcBorders>
                </w:tcPr>
                <w:p w:rsidR="001B0585" w:rsidRPr="008434EF" w:rsidRDefault="001E38BA" w:rsidP="00B716AE">
                  <w:pPr>
                    <w:spacing w:after="58"/>
                    <w:jc w:val="center"/>
                    <w:rPr>
                      <w:bCs/>
                      <w:sz w:val="20"/>
                    </w:rPr>
                  </w:pPr>
                  <w:r w:rsidRPr="008434EF">
                    <w:rPr>
                      <w:bCs/>
                      <w:sz w:val="20"/>
                      <w:szCs w:val="19"/>
                    </w:rPr>
                    <w:t>$0</w:t>
                  </w:r>
                </w:p>
              </w:tc>
              <w:tc>
                <w:tcPr>
                  <w:tcW w:w="1754" w:type="dxa"/>
                  <w:tcBorders>
                    <w:top w:val="single" w:sz="7" w:space="0" w:color="000000"/>
                    <w:left w:val="single" w:sz="7" w:space="0" w:color="000000"/>
                    <w:bottom w:val="single" w:sz="7" w:space="0" w:color="000000"/>
                    <w:right w:val="double" w:sz="7" w:space="0" w:color="000000"/>
                  </w:tcBorders>
                </w:tcPr>
                <w:p w:rsidR="001B0585" w:rsidRPr="008434EF" w:rsidRDefault="001E38BA" w:rsidP="00B716AE">
                  <w:pPr>
                    <w:spacing w:after="58"/>
                    <w:jc w:val="center"/>
                    <w:rPr>
                      <w:bCs/>
                      <w:sz w:val="20"/>
                    </w:rPr>
                  </w:pPr>
                  <w:r w:rsidRPr="008434EF">
                    <w:rPr>
                      <w:bCs/>
                      <w:sz w:val="20"/>
                      <w:szCs w:val="19"/>
                    </w:rPr>
                    <w:t>$0</w:t>
                  </w:r>
                </w:p>
              </w:tc>
            </w:tr>
          </w:tbl>
          <w:p w:rsidR="00182190" w:rsidRPr="003D6D62" w:rsidRDefault="00E54D27" w:rsidP="001B0585">
            <w:r>
              <w:t xml:space="preserve">                 </w:t>
            </w:r>
          </w:p>
        </w:tc>
      </w:tr>
      <w:tr w:rsidR="00352252">
        <w:trPr>
          <w:jc w:val="center"/>
        </w:trPr>
        <w:tc>
          <w:tcPr>
            <w:tcW w:w="11016" w:type="dxa"/>
            <w:gridSpan w:val="2"/>
          </w:tcPr>
          <w:p w:rsidR="005236DD" w:rsidRPr="00262137" w:rsidRDefault="00352252" w:rsidP="007D040E">
            <w:r>
              <w:rPr>
                <w:b/>
                <w:bCs/>
                <w:smallCaps/>
                <w:szCs w:val="19"/>
              </w:rPr>
              <w:t>Impact on Revenues</w:t>
            </w:r>
            <w:r>
              <w:rPr>
                <w:b/>
                <w:bCs/>
                <w:szCs w:val="19"/>
              </w:rPr>
              <w:t>:</w:t>
            </w:r>
            <w:r>
              <w:rPr>
                <w:szCs w:val="19"/>
              </w:rPr>
              <w:t xml:space="preserve"> </w:t>
            </w:r>
            <w:r w:rsidR="001D2910">
              <w:t xml:space="preserve">It is </w:t>
            </w:r>
            <w:r w:rsidR="006A41E8">
              <w:t xml:space="preserve">estimated that this bill </w:t>
            </w:r>
            <w:r w:rsidR="008434EF">
              <w:t xml:space="preserve">would </w:t>
            </w:r>
            <w:r w:rsidR="006A41E8">
              <w:t>have no impact on revenues.</w:t>
            </w:r>
            <w:r w:rsidR="00921745">
              <w:t xml:space="preserve"> </w:t>
            </w:r>
          </w:p>
          <w:p w:rsidR="00352252" w:rsidRDefault="00352252" w:rsidP="003D6D62"/>
        </w:tc>
      </w:tr>
      <w:tr w:rsidR="00352252">
        <w:trPr>
          <w:jc w:val="center"/>
        </w:trPr>
        <w:tc>
          <w:tcPr>
            <w:tcW w:w="11016" w:type="dxa"/>
            <w:gridSpan w:val="2"/>
          </w:tcPr>
          <w:p w:rsidR="009E0587" w:rsidRDefault="00352252" w:rsidP="003D6D62">
            <w:r>
              <w:rPr>
                <w:b/>
                <w:bCs/>
                <w:smallCaps/>
              </w:rPr>
              <w:t>Impact on Expenditures</w:t>
            </w:r>
            <w:r>
              <w:rPr>
                <w:b/>
                <w:bCs/>
              </w:rPr>
              <w:t>:</w:t>
            </w:r>
            <w:r>
              <w:t xml:space="preserve">  </w:t>
            </w:r>
            <w:r w:rsidR="001E38BA">
              <w:t xml:space="preserve">It is estimated that this bill </w:t>
            </w:r>
            <w:r w:rsidR="008434EF">
              <w:t xml:space="preserve">would </w:t>
            </w:r>
            <w:r w:rsidR="001E38BA">
              <w:t>have no impact on expenditures</w:t>
            </w:r>
            <w:r w:rsidR="008434EF">
              <w:t xml:space="preserve"> because existing resources would be used to implement the legislation</w:t>
            </w:r>
            <w:r w:rsidR="00D06263">
              <w:t xml:space="preserve">. </w:t>
            </w:r>
          </w:p>
          <w:p w:rsidR="007D040E" w:rsidRDefault="003D6D62" w:rsidP="00AA7573">
            <w:r>
              <w:t xml:space="preserve"> </w:t>
            </w:r>
          </w:p>
        </w:tc>
      </w:tr>
      <w:tr w:rsidR="00352252">
        <w:trPr>
          <w:jc w:val="center"/>
        </w:trPr>
        <w:tc>
          <w:tcPr>
            <w:tcW w:w="11016" w:type="dxa"/>
            <w:gridSpan w:val="2"/>
          </w:tcPr>
          <w:p w:rsidR="00352252" w:rsidRDefault="00352252" w:rsidP="001E38BA">
            <w:pPr>
              <w:rPr>
                <w:szCs w:val="19"/>
              </w:rPr>
            </w:pPr>
            <w:r>
              <w:rPr>
                <w:b/>
                <w:bCs/>
                <w:smallCaps/>
                <w:szCs w:val="19"/>
              </w:rPr>
              <w:t>Source of Funds To Cover Estimated Costs</w:t>
            </w:r>
            <w:r>
              <w:rPr>
                <w:b/>
                <w:bCs/>
                <w:szCs w:val="19"/>
              </w:rPr>
              <w:t>:</w:t>
            </w:r>
            <w:r>
              <w:rPr>
                <w:szCs w:val="19"/>
              </w:rPr>
              <w:tab/>
              <w:t xml:space="preserve">  </w:t>
            </w:r>
            <w:r w:rsidR="001E38BA">
              <w:rPr>
                <w:szCs w:val="19"/>
              </w:rPr>
              <w:t>N</w:t>
            </w:r>
            <w:r w:rsidR="008434EF">
              <w:rPr>
                <w:szCs w:val="19"/>
              </w:rPr>
              <w:t>/</w:t>
            </w:r>
            <w:r w:rsidR="001E38BA">
              <w:rPr>
                <w:szCs w:val="19"/>
              </w:rPr>
              <w:t>A</w:t>
            </w:r>
          </w:p>
          <w:p w:rsidR="001E38BA" w:rsidRDefault="001E38BA" w:rsidP="001E38BA"/>
        </w:tc>
      </w:tr>
      <w:tr w:rsidR="00352252">
        <w:trPr>
          <w:jc w:val="center"/>
        </w:trPr>
        <w:tc>
          <w:tcPr>
            <w:tcW w:w="11016" w:type="dxa"/>
            <w:gridSpan w:val="2"/>
          </w:tcPr>
          <w:p w:rsidR="008434EF" w:rsidRDefault="00352252">
            <w:pPr>
              <w:rPr>
                <w:szCs w:val="19"/>
              </w:rPr>
            </w:pPr>
            <w:r>
              <w:rPr>
                <w:b/>
                <w:bCs/>
                <w:smallCaps/>
                <w:szCs w:val="19"/>
              </w:rPr>
              <w:lastRenderedPageBreak/>
              <w:t>Source of Information</w:t>
            </w:r>
            <w:r>
              <w:rPr>
                <w:b/>
                <w:bCs/>
                <w:szCs w:val="19"/>
              </w:rPr>
              <w:t>:</w:t>
            </w:r>
            <w:r>
              <w:rPr>
                <w:szCs w:val="19"/>
              </w:rPr>
              <w:tab/>
            </w:r>
            <w:r w:rsidR="001C6AD0">
              <w:rPr>
                <w:szCs w:val="19"/>
              </w:rPr>
              <w:t xml:space="preserve">New York </w:t>
            </w:r>
            <w:r>
              <w:rPr>
                <w:szCs w:val="19"/>
              </w:rPr>
              <w:t>City Council Finance Division</w:t>
            </w:r>
            <w:r w:rsidR="001E38BA">
              <w:rPr>
                <w:szCs w:val="19"/>
              </w:rPr>
              <w:t xml:space="preserve"> </w:t>
            </w:r>
          </w:p>
          <w:p w:rsidR="008D4F43" w:rsidRDefault="008434EF">
            <w:pPr>
              <w:rPr>
                <w:szCs w:val="19"/>
              </w:rPr>
            </w:pPr>
            <w:r>
              <w:rPr>
                <w:szCs w:val="19"/>
              </w:rPr>
              <w:t xml:space="preserve">                                                </w:t>
            </w:r>
            <w:r w:rsidR="00291F58">
              <w:rPr>
                <w:szCs w:val="19"/>
              </w:rPr>
              <w:t xml:space="preserve">New York </w:t>
            </w:r>
            <w:r w:rsidR="00AD10B3">
              <w:rPr>
                <w:szCs w:val="19"/>
              </w:rPr>
              <w:t xml:space="preserve">City </w:t>
            </w:r>
            <w:r w:rsidR="00291F58">
              <w:rPr>
                <w:szCs w:val="19"/>
              </w:rPr>
              <w:t>Office of Management and Budget</w:t>
            </w:r>
          </w:p>
          <w:p w:rsidR="00BC6502" w:rsidRPr="007D040E" w:rsidRDefault="00352252">
            <w:pPr>
              <w:rPr>
                <w:szCs w:val="19"/>
              </w:rPr>
            </w:pPr>
            <w:r>
              <w:rPr>
                <w:szCs w:val="19"/>
              </w:rPr>
              <w:t xml:space="preserve">                                                </w:t>
            </w:r>
          </w:p>
        </w:tc>
      </w:tr>
      <w:tr w:rsidR="00352252" w:rsidTr="00AA7573">
        <w:trPr>
          <w:trHeight w:val="1188"/>
          <w:jc w:val="center"/>
        </w:trPr>
        <w:tc>
          <w:tcPr>
            <w:tcW w:w="11016" w:type="dxa"/>
            <w:gridSpan w:val="2"/>
          </w:tcPr>
          <w:p w:rsidR="00682B42" w:rsidRDefault="00682B42" w:rsidP="00682B42">
            <w:pPr>
              <w:rPr>
                <w:sz w:val="22"/>
                <w:szCs w:val="22"/>
              </w:rPr>
            </w:pPr>
            <w:r>
              <w:rPr>
                <w:b/>
                <w:bCs/>
                <w:smallCaps/>
              </w:rPr>
              <w:t>Estimate Prepared By</w:t>
            </w:r>
            <w:r>
              <w:rPr>
                <w:smallCaps/>
              </w:rPr>
              <w:t xml:space="preserve">:   </w:t>
            </w:r>
            <w:r w:rsidR="00861105">
              <w:t xml:space="preserve">James Subudhi, </w:t>
            </w:r>
            <w:r w:rsidRPr="002F04E4">
              <w:t>Legislative Financial Analyst</w:t>
            </w:r>
          </w:p>
          <w:p w:rsidR="00682B42" w:rsidRDefault="00682B42" w:rsidP="00682B42">
            <w:r>
              <w:t xml:space="preserve">                                             </w:t>
            </w:r>
          </w:p>
          <w:p w:rsidR="00682B42" w:rsidRDefault="00682B42" w:rsidP="00682B42">
            <w:r>
              <w:rPr>
                <w:b/>
                <w:smallCaps/>
                <w:sz w:val="22"/>
                <w:szCs w:val="22"/>
              </w:rPr>
              <w:t>Estimate Reviewed By:</w:t>
            </w:r>
            <w:r>
              <w:rPr>
                <w:smallCaps/>
                <w:sz w:val="22"/>
                <w:szCs w:val="22"/>
              </w:rPr>
              <w:t xml:space="preserve">  </w:t>
            </w:r>
            <w:r w:rsidR="005D6F39">
              <w:t>Rebecca Chasan, Assistant Counsel</w:t>
            </w:r>
          </w:p>
          <w:p w:rsidR="008434EF" w:rsidRDefault="00352252" w:rsidP="008434EF">
            <w:r>
              <w:rPr>
                <w:smallCaps/>
              </w:rPr>
              <w:t xml:space="preserve"> </w:t>
            </w:r>
            <w:r w:rsidR="001C6AD0">
              <w:rPr>
                <w:smallCaps/>
              </w:rPr>
              <w:t xml:space="preserve">  </w:t>
            </w:r>
            <w:r w:rsidR="008434EF">
              <w:rPr>
                <w:smallCaps/>
              </w:rPr>
              <w:t xml:space="preserve">                                                   </w:t>
            </w:r>
            <w:r w:rsidR="008434EF">
              <w:t>Tanisha Edwards, Chief Counsel</w:t>
            </w:r>
          </w:p>
          <w:p w:rsidR="00352252" w:rsidRDefault="008434EF" w:rsidP="008434EF">
            <w:pPr>
              <w:rPr>
                <w:smallCaps/>
              </w:rPr>
            </w:pPr>
            <w:r>
              <w:t xml:space="preserve">                                           John Russell, Unit Head</w:t>
            </w:r>
          </w:p>
          <w:p w:rsidR="00780657" w:rsidRDefault="00780657"/>
        </w:tc>
      </w:tr>
      <w:tr w:rsidR="00352252">
        <w:trPr>
          <w:jc w:val="center"/>
        </w:trPr>
        <w:tc>
          <w:tcPr>
            <w:tcW w:w="11016" w:type="dxa"/>
            <w:gridSpan w:val="2"/>
          </w:tcPr>
          <w:p w:rsidR="003D20D7" w:rsidRPr="00A30C42" w:rsidRDefault="00352252" w:rsidP="003D20D7">
            <w:pPr>
              <w:rPr>
                <w:b/>
                <w:bCs/>
              </w:rPr>
            </w:pPr>
            <w:r>
              <w:rPr>
                <w:b/>
                <w:bCs/>
                <w:smallCaps/>
                <w:szCs w:val="19"/>
              </w:rPr>
              <w:t>History</w:t>
            </w:r>
            <w:r>
              <w:rPr>
                <w:b/>
                <w:bCs/>
                <w:szCs w:val="19"/>
              </w:rPr>
              <w:t>:</w:t>
            </w:r>
            <w:r w:rsidR="00CE719C">
              <w:rPr>
                <w:b/>
                <w:bCs/>
                <w:szCs w:val="19"/>
              </w:rPr>
              <w:t xml:space="preserve"> </w:t>
            </w:r>
            <w:r w:rsidR="005D6F39">
              <w:t xml:space="preserve">This legislation was introduced to the full Council on </w:t>
            </w:r>
            <w:r w:rsidR="005D6F39">
              <w:rPr>
                <w:color w:val="000000"/>
              </w:rPr>
              <w:t xml:space="preserve">June 10, 2015 </w:t>
            </w:r>
            <w:r w:rsidR="005D6F39">
              <w:t xml:space="preserve">as Intro. No. </w:t>
            </w:r>
            <w:r w:rsidR="005D6F39">
              <w:rPr>
                <w:color w:val="000000"/>
              </w:rPr>
              <w:t>812</w:t>
            </w:r>
            <w:r w:rsidR="005D6F39">
              <w:t xml:space="preserve"> and referred to the Committee on Governmental Operations.  The Committee on Governmental Operations held a hearing</w:t>
            </w:r>
            <w:r w:rsidR="008434EF">
              <w:t>, jointly with the Committee on Finance,</w:t>
            </w:r>
            <w:r w:rsidR="005D6F39">
              <w:t xml:space="preserve"> on Intro. No.  </w:t>
            </w:r>
            <w:r w:rsidR="005D6F39">
              <w:rPr>
                <w:color w:val="000000"/>
              </w:rPr>
              <w:t>812</w:t>
            </w:r>
            <w:r w:rsidR="005D6F39">
              <w:t xml:space="preserve"> on </w:t>
            </w:r>
            <w:r w:rsidR="008434EF">
              <w:rPr>
                <w:color w:val="000000"/>
              </w:rPr>
              <w:t xml:space="preserve">November </w:t>
            </w:r>
            <w:r w:rsidR="005D6F39">
              <w:rPr>
                <w:color w:val="000000"/>
              </w:rPr>
              <w:t xml:space="preserve">19, 2015 </w:t>
            </w:r>
            <w:r w:rsidR="005D6F39">
              <w:t>and the legislation was laid over.  The legislation was subsequently amended and the amended version of the legislation, Proposed Intro. No. 812-A, will be considered by the Committee on Governmental Operations on April 6, 2016. Upon successful vote of the Committee, Proposed Intro. No. 812-A will be submitted to the full Council for a vote on April, 7, 2016.</w:t>
            </w:r>
          </w:p>
          <w:p w:rsidR="00580EC5" w:rsidRDefault="00580EC5" w:rsidP="002E4212">
            <w:pPr>
              <w:rPr>
                <w:b/>
                <w:bCs/>
                <w:szCs w:val="19"/>
              </w:rPr>
            </w:pPr>
          </w:p>
          <w:p w:rsidR="00352252" w:rsidRDefault="00AA0D8B" w:rsidP="001E38BA">
            <w:r>
              <w:rPr>
                <w:b/>
                <w:bCs/>
                <w:smallCaps/>
                <w:szCs w:val="19"/>
              </w:rPr>
              <w:t>Date Prepared</w:t>
            </w:r>
            <w:r>
              <w:rPr>
                <w:b/>
                <w:bCs/>
                <w:szCs w:val="19"/>
              </w:rPr>
              <w:t xml:space="preserve">:     </w:t>
            </w:r>
            <w:r w:rsidR="001E38BA">
              <w:t>April 4</w:t>
            </w:r>
            <w:r w:rsidR="00395D94">
              <w:t>, 2016</w:t>
            </w:r>
          </w:p>
        </w:tc>
      </w:tr>
    </w:tbl>
    <w:p w:rsidR="00352252" w:rsidRPr="00BC6502" w:rsidRDefault="00352252" w:rsidP="00885E75"/>
    <w:sectPr w:rsidR="00352252" w:rsidRPr="00BC6502">
      <w:footerReference w:type="default" r:id="rId9"/>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F24" w:rsidRDefault="00972F24" w:rsidP="00580EC5">
      <w:r>
        <w:separator/>
      </w:r>
    </w:p>
  </w:endnote>
  <w:endnote w:type="continuationSeparator" w:id="0">
    <w:p w:rsidR="00972F24" w:rsidRDefault="00972F24" w:rsidP="00580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09F" w:rsidRPr="0033426F" w:rsidRDefault="0033426F" w:rsidP="0033426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Proposed Intro No. 812-A</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606ECE" w:rsidRPr="00606ECE">
      <w:rPr>
        <w:rFonts w:asciiTheme="majorHAnsi" w:eastAsiaTheme="majorEastAsia" w:hAnsiTheme="majorHAnsi" w:cstheme="majorBidi"/>
        <w:noProof/>
      </w:rPr>
      <w:t>2</w:t>
    </w:r>
    <w:r>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F24" w:rsidRDefault="00972F24" w:rsidP="00580EC5">
      <w:r>
        <w:separator/>
      </w:r>
    </w:p>
  </w:footnote>
  <w:footnote w:type="continuationSeparator" w:id="0">
    <w:p w:rsidR="00972F24" w:rsidRDefault="00972F24" w:rsidP="00580E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F3B29"/>
    <w:multiLevelType w:val="hybridMultilevel"/>
    <w:tmpl w:val="49103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C138D2"/>
    <w:multiLevelType w:val="hybridMultilevel"/>
    <w:tmpl w:val="43BE4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316559"/>
    <w:multiLevelType w:val="hybridMultilevel"/>
    <w:tmpl w:val="BD9CB3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DCF"/>
    <w:rsid w:val="000267BE"/>
    <w:rsid w:val="0002794F"/>
    <w:rsid w:val="0004223F"/>
    <w:rsid w:val="000464A4"/>
    <w:rsid w:val="000A24EB"/>
    <w:rsid w:val="000C7FF6"/>
    <w:rsid w:val="0010375C"/>
    <w:rsid w:val="00122A07"/>
    <w:rsid w:val="001304F8"/>
    <w:rsid w:val="00161987"/>
    <w:rsid w:val="0017571F"/>
    <w:rsid w:val="00182190"/>
    <w:rsid w:val="001B0585"/>
    <w:rsid w:val="001C6AD0"/>
    <w:rsid w:val="001C6CA0"/>
    <w:rsid w:val="001D2910"/>
    <w:rsid w:val="001E38BA"/>
    <w:rsid w:val="002415F8"/>
    <w:rsid w:val="00251BB3"/>
    <w:rsid w:val="00262137"/>
    <w:rsid w:val="00291F58"/>
    <w:rsid w:val="002C6BD0"/>
    <w:rsid w:val="002E4212"/>
    <w:rsid w:val="002E57A6"/>
    <w:rsid w:val="003011E5"/>
    <w:rsid w:val="00323D32"/>
    <w:rsid w:val="00325925"/>
    <w:rsid w:val="0033426F"/>
    <w:rsid w:val="003439BA"/>
    <w:rsid w:val="00352252"/>
    <w:rsid w:val="00395D94"/>
    <w:rsid w:val="003D20D7"/>
    <w:rsid w:val="003D6D62"/>
    <w:rsid w:val="00406123"/>
    <w:rsid w:val="00422899"/>
    <w:rsid w:val="00493233"/>
    <w:rsid w:val="004A4031"/>
    <w:rsid w:val="005236DD"/>
    <w:rsid w:val="00564365"/>
    <w:rsid w:val="0056635C"/>
    <w:rsid w:val="00571851"/>
    <w:rsid w:val="005751D3"/>
    <w:rsid w:val="00580EC5"/>
    <w:rsid w:val="005B632B"/>
    <w:rsid w:val="005B641E"/>
    <w:rsid w:val="005C13C4"/>
    <w:rsid w:val="005C5979"/>
    <w:rsid w:val="005D6F39"/>
    <w:rsid w:val="005F25C0"/>
    <w:rsid w:val="00602A3F"/>
    <w:rsid w:val="00606ECE"/>
    <w:rsid w:val="00635D9B"/>
    <w:rsid w:val="00660C32"/>
    <w:rsid w:val="00682B42"/>
    <w:rsid w:val="0069101C"/>
    <w:rsid w:val="006A41E8"/>
    <w:rsid w:val="006A5F6B"/>
    <w:rsid w:val="006C3EF9"/>
    <w:rsid w:val="006D31A3"/>
    <w:rsid w:val="006E1156"/>
    <w:rsid w:val="00720ABB"/>
    <w:rsid w:val="00732DE6"/>
    <w:rsid w:val="00741012"/>
    <w:rsid w:val="007421AB"/>
    <w:rsid w:val="007428B7"/>
    <w:rsid w:val="00744507"/>
    <w:rsid w:val="00747DA4"/>
    <w:rsid w:val="00780657"/>
    <w:rsid w:val="007948B8"/>
    <w:rsid w:val="007C1D6A"/>
    <w:rsid w:val="007C7DCF"/>
    <w:rsid w:val="007D040E"/>
    <w:rsid w:val="007E4582"/>
    <w:rsid w:val="008237EC"/>
    <w:rsid w:val="0083117A"/>
    <w:rsid w:val="0084224D"/>
    <w:rsid w:val="008434EF"/>
    <w:rsid w:val="00861105"/>
    <w:rsid w:val="00881D58"/>
    <w:rsid w:val="00885E75"/>
    <w:rsid w:val="0089429F"/>
    <w:rsid w:val="008970C9"/>
    <w:rsid w:val="008C0750"/>
    <w:rsid w:val="008D4F43"/>
    <w:rsid w:val="00921745"/>
    <w:rsid w:val="009327F5"/>
    <w:rsid w:val="00936BCE"/>
    <w:rsid w:val="00951833"/>
    <w:rsid w:val="00972F24"/>
    <w:rsid w:val="00973A9C"/>
    <w:rsid w:val="009810A5"/>
    <w:rsid w:val="009E0587"/>
    <w:rsid w:val="009E4B12"/>
    <w:rsid w:val="00A1598A"/>
    <w:rsid w:val="00A24926"/>
    <w:rsid w:val="00A24BA6"/>
    <w:rsid w:val="00A2642E"/>
    <w:rsid w:val="00A31AB4"/>
    <w:rsid w:val="00A429E5"/>
    <w:rsid w:val="00A64D78"/>
    <w:rsid w:val="00AA0D8B"/>
    <w:rsid w:val="00AA1125"/>
    <w:rsid w:val="00AA7573"/>
    <w:rsid w:val="00AB3AD7"/>
    <w:rsid w:val="00AD10B3"/>
    <w:rsid w:val="00B22DD8"/>
    <w:rsid w:val="00B307DE"/>
    <w:rsid w:val="00B30EFB"/>
    <w:rsid w:val="00B31290"/>
    <w:rsid w:val="00B523CE"/>
    <w:rsid w:val="00B716AE"/>
    <w:rsid w:val="00B86F6F"/>
    <w:rsid w:val="00BA59EA"/>
    <w:rsid w:val="00BC6502"/>
    <w:rsid w:val="00BF788A"/>
    <w:rsid w:val="00C36AF8"/>
    <w:rsid w:val="00C67202"/>
    <w:rsid w:val="00CA209F"/>
    <w:rsid w:val="00CA437D"/>
    <w:rsid w:val="00CA7B82"/>
    <w:rsid w:val="00CE2E94"/>
    <w:rsid w:val="00CE719C"/>
    <w:rsid w:val="00CF5F48"/>
    <w:rsid w:val="00D06263"/>
    <w:rsid w:val="00D13DA9"/>
    <w:rsid w:val="00D23CF2"/>
    <w:rsid w:val="00D56CD5"/>
    <w:rsid w:val="00D6593F"/>
    <w:rsid w:val="00D872CF"/>
    <w:rsid w:val="00DA69E3"/>
    <w:rsid w:val="00DB057D"/>
    <w:rsid w:val="00E35AB5"/>
    <w:rsid w:val="00E50898"/>
    <w:rsid w:val="00E54639"/>
    <w:rsid w:val="00E54D27"/>
    <w:rsid w:val="00E73B39"/>
    <w:rsid w:val="00E93995"/>
    <w:rsid w:val="00EE2F96"/>
    <w:rsid w:val="00F118BC"/>
    <w:rsid w:val="00F40C7C"/>
    <w:rsid w:val="00F81630"/>
    <w:rsid w:val="00FA0407"/>
    <w:rsid w:val="00FA129C"/>
    <w:rsid w:val="00FE6DF8"/>
    <w:rsid w:val="00FF2168"/>
    <w:rsid w:val="00FF2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Body Text Inden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szCs w:val="24"/>
    </w:rPr>
  </w:style>
  <w:style w:type="paragraph" w:styleId="Heading1">
    <w:name w:val="heading 1"/>
    <w:basedOn w:val="Normal"/>
    <w:next w:val="Normal"/>
    <w:qFormat/>
    <w:pPr>
      <w:keepNext/>
      <w:jc w:val="center"/>
      <w:outlineLvl w:val="0"/>
    </w:pPr>
    <w:rPr>
      <w:b/>
      <w:bCs/>
      <w:szCs w:val="19"/>
    </w:rPr>
  </w:style>
  <w:style w:type="paragraph" w:styleId="Heading2">
    <w:name w:val="heading 2"/>
    <w:basedOn w:val="Normal"/>
    <w:next w:val="Normal"/>
    <w:qFormat/>
    <w:pPr>
      <w:keepNext/>
      <w:outlineLvl w:val="1"/>
    </w:pPr>
    <w:rPr>
      <w:b/>
      <w:bCs/>
      <w:smallCaps/>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FootnoteText">
    <w:name w:val="footnote text"/>
    <w:basedOn w:val="Normal"/>
    <w:link w:val="FootnoteTextChar"/>
    <w:uiPriority w:val="99"/>
    <w:unhideWhenUsed/>
    <w:rsid w:val="00580EC5"/>
    <w:pPr>
      <w:jc w:val="left"/>
    </w:pPr>
    <w:rPr>
      <w:rFonts w:eastAsia="Calibri"/>
      <w:sz w:val="20"/>
      <w:szCs w:val="20"/>
    </w:rPr>
  </w:style>
  <w:style w:type="character" w:customStyle="1" w:styleId="FootnoteTextChar">
    <w:name w:val="Footnote Text Char"/>
    <w:link w:val="FootnoteText"/>
    <w:uiPriority w:val="99"/>
    <w:rsid w:val="00580EC5"/>
    <w:rPr>
      <w:rFonts w:eastAsia="Calibri"/>
    </w:rPr>
  </w:style>
  <w:style w:type="paragraph" w:styleId="BodyTextIndent2">
    <w:name w:val="Body Text Indent 2"/>
    <w:basedOn w:val="Normal"/>
    <w:link w:val="BodyTextIndent2Char"/>
    <w:uiPriority w:val="99"/>
    <w:unhideWhenUsed/>
    <w:rsid w:val="00580EC5"/>
    <w:pPr>
      <w:spacing w:after="120" w:line="480" w:lineRule="auto"/>
      <w:ind w:left="360"/>
      <w:jc w:val="left"/>
    </w:pPr>
    <w:rPr>
      <w:rFonts w:eastAsia="Calibri"/>
    </w:rPr>
  </w:style>
  <w:style w:type="character" w:customStyle="1" w:styleId="BodyTextIndent2Char">
    <w:name w:val="Body Text Indent 2 Char"/>
    <w:link w:val="BodyTextIndent2"/>
    <w:uiPriority w:val="99"/>
    <w:rsid w:val="00580EC5"/>
    <w:rPr>
      <w:rFonts w:eastAsia="Calibri"/>
      <w:sz w:val="24"/>
      <w:szCs w:val="24"/>
    </w:rPr>
  </w:style>
  <w:style w:type="character" w:styleId="FootnoteReference">
    <w:name w:val="footnote reference"/>
    <w:uiPriority w:val="99"/>
    <w:unhideWhenUsed/>
    <w:rsid w:val="00580EC5"/>
    <w:rPr>
      <w:vertAlign w:val="superscript"/>
    </w:rPr>
  </w:style>
  <w:style w:type="character" w:customStyle="1" w:styleId="st1">
    <w:name w:val="st1"/>
    <w:rsid w:val="00580EC5"/>
    <w:rPr>
      <w:rFonts w:cs="Times New Roman"/>
    </w:rPr>
  </w:style>
  <w:style w:type="paragraph" w:styleId="BodyText">
    <w:name w:val="Body Text"/>
    <w:basedOn w:val="Normal"/>
    <w:link w:val="BodyTextChar"/>
    <w:rsid w:val="00EE2F96"/>
    <w:pPr>
      <w:spacing w:after="120"/>
    </w:pPr>
  </w:style>
  <w:style w:type="character" w:customStyle="1" w:styleId="BodyTextChar">
    <w:name w:val="Body Text Char"/>
    <w:link w:val="BodyText"/>
    <w:rsid w:val="00EE2F96"/>
    <w:rPr>
      <w:sz w:val="24"/>
      <w:szCs w:val="24"/>
    </w:rPr>
  </w:style>
  <w:style w:type="paragraph" w:styleId="ListParagraph">
    <w:name w:val="List Paragraph"/>
    <w:basedOn w:val="Normal"/>
    <w:uiPriority w:val="34"/>
    <w:qFormat/>
    <w:rsid w:val="00B716AE"/>
    <w:pPr>
      <w:ind w:left="720"/>
    </w:pPr>
  </w:style>
  <w:style w:type="character" w:customStyle="1" w:styleId="apple-converted-space">
    <w:name w:val="apple-converted-space"/>
    <w:rsid w:val="00D13DA9"/>
  </w:style>
  <w:style w:type="paragraph" w:styleId="NoSpacing">
    <w:name w:val="No Spacing"/>
    <w:uiPriority w:val="1"/>
    <w:qFormat/>
    <w:rsid w:val="00D13DA9"/>
    <w:rPr>
      <w:rFonts w:ascii="Calibri" w:eastAsia="Calibri" w:hAnsi="Calibri"/>
      <w:sz w:val="22"/>
      <w:szCs w:val="22"/>
    </w:rPr>
  </w:style>
  <w:style w:type="character" w:styleId="CommentReference">
    <w:name w:val="annotation reference"/>
    <w:basedOn w:val="DefaultParagraphFont"/>
    <w:rsid w:val="008434EF"/>
    <w:rPr>
      <w:sz w:val="16"/>
      <w:szCs w:val="16"/>
    </w:rPr>
  </w:style>
  <w:style w:type="paragraph" w:styleId="CommentText">
    <w:name w:val="annotation text"/>
    <w:basedOn w:val="Normal"/>
    <w:link w:val="CommentTextChar"/>
    <w:rsid w:val="008434EF"/>
    <w:rPr>
      <w:sz w:val="20"/>
      <w:szCs w:val="20"/>
    </w:rPr>
  </w:style>
  <w:style w:type="character" w:customStyle="1" w:styleId="CommentTextChar">
    <w:name w:val="Comment Text Char"/>
    <w:basedOn w:val="DefaultParagraphFont"/>
    <w:link w:val="CommentText"/>
    <w:rsid w:val="008434EF"/>
  </w:style>
  <w:style w:type="paragraph" w:styleId="CommentSubject">
    <w:name w:val="annotation subject"/>
    <w:basedOn w:val="CommentText"/>
    <w:next w:val="CommentText"/>
    <w:link w:val="CommentSubjectChar"/>
    <w:rsid w:val="008434EF"/>
    <w:rPr>
      <w:b/>
      <w:bCs/>
    </w:rPr>
  </w:style>
  <w:style w:type="character" w:customStyle="1" w:styleId="CommentSubjectChar">
    <w:name w:val="Comment Subject Char"/>
    <w:basedOn w:val="CommentTextChar"/>
    <w:link w:val="CommentSubject"/>
    <w:rsid w:val="008434EF"/>
    <w:rPr>
      <w:b/>
      <w:bCs/>
    </w:rPr>
  </w:style>
  <w:style w:type="paragraph" w:styleId="Header">
    <w:name w:val="header"/>
    <w:basedOn w:val="Normal"/>
    <w:link w:val="HeaderChar"/>
    <w:rsid w:val="00CA209F"/>
    <w:pPr>
      <w:tabs>
        <w:tab w:val="center" w:pos="4680"/>
        <w:tab w:val="right" w:pos="9360"/>
      </w:tabs>
    </w:pPr>
  </w:style>
  <w:style w:type="character" w:customStyle="1" w:styleId="HeaderChar">
    <w:name w:val="Header Char"/>
    <w:basedOn w:val="DefaultParagraphFont"/>
    <w:link w:val="Header"/>
    <w:rsid w:val="00CA209F"/>
    <w:rPr>
      <w:sz w:val="24"/>
      <w:szCs w:val="24"/>
    </w:rPr>
  </w:style>
  <w:style w:type="paragraph" w:styleId="Footer">
    <w:name w:val="footer"/>
    <w:basedOn w:val="Normal"/>
    <w:link w:val="FooterChar"/>
    <w:uiPriority w:val="99"/>
    <w:rsid w:val="00CA209F"/>
    <w:pPr>
      <w:tabs>
        <w:tab w:val="center" w:pos="4680"/>
        <w:tab w:val="right" w:pos="9360"/>
      </w:tabs>
    </w:pPr>
  </w:style>
  <w:style w:type="character" w:customStyle="1" w:styleId="FooterChar">
    <w:name w:val="Footer Char"/>
    <w:basedOn w:val="DefaultParagraphFont"/>
    <w:link w:val="Footer"/>
    <w:uiPriority w:val="99"/>
    <w:rsid w:val="00CA209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Body Text Inden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szCs w:val="24"/>
    </w:rPr>
  </w:style>
  <w:style w:type="paragraph" w:styleId="Heading1">
    <w:name w:val="heading 1"/>
    <w:basedOn w:val="Normal"/>
    <w:next w:val="Normal"/>
    <w:qFormat/>
    <w:pPr>
      <w:keepNext/>
      <w:jc w:val="center"/>
      <w:outlineLvl w:val="0"/>
    </w:pPr>
    <w:rPr>
      <w:b/>
      <w:bCs/>
      <w:szCs w:val="19"/>
    </w:rPr>
  </w:style>
  <w:style w:type="paragraph" w:styleId="Heading2">
    <w:name w:val="heading 2"/>
    <w:basedOn w:val="Normal"/>
    <w:next w:val="Normal"/>
    <w:qFormat/>
    <w:pPr>
      <w:keepNext/>
      <w:outlineLvl w:val="1"/>
    </w:pPr>
    <w:rPr>
      <w:b/>
      <w:bCs/>
      <w:smallCaps/>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FootnoteText">
    <w:name w:val="footnote text"/>
    <w:basedOn w:val="Normal"/>
    <w:link w:val="FootnoteTextChar"/>
    <w:uiPriority w:val="99"/>
    <w:unhideWhenUsed/>
    <w:rsid w:val="00580EC5"/>
    <w:pPr>
      <w:jc w:val="left"/>
    </w:pPr>
    <w:rPr>
      <w:rFonts w:eastAsia="Calibri"/>
      <w:sz w:val="20"/>
      <w:szCs w:val="20"/>
    </w:rPr>
  </w:style>
  <w:style w:type="character" w:customStyle="1" w:styleId="FootnoteTextChar">
    <w:name w:val="Footnote Text Char"/>
    <w:link w:val="FootnoteText"/>
    <w:uiPriority w:val="99"/>
    <w:rsid w:val="00580EC5"/>
    <w:rPr>
      <w:rFonts w:eastAsia="Calibri"/>
    </w:rPr>
  </w:style>
  <w:style w:type="paragraph" w:styleId="BodyTextIndent2">
    <w:name w:val="Body Text Indent 2"/>
    <w:basedOn w:val="Normal"/>
    <w:link w:val="BodyTextIndent2Char"/>
    <w:uiPriority w:val="99"/>
    <w:unhideWhenUsed/>
    <w:rsid w:val="00580EC5"/>
    <w:pPr>
      <w:spacing w:after="120" w:line="480" w:lineRule="auto"/>
      <w:ind w:left="360"/>
      <w:jc w:val="left"/>
    </w:pPr>
    <w:rPr>
      <w:rFonts w:eastAsia="Calibri"/>
    </w:rPr>
  </w:style>
  <w:style w:type="character" w:customStyle="1" w:styleId="BodyTextIndent2Char">
    <w:name w:val="Body Text Indent 2 Char"/>
    <w:link w:val="BodyTextIndent2"/>
    <w:uiPriority w:val="99"/>
    <w:rsid w:val="00580EC5"/>
    <w:rPr>
      <w:rFonts w:eastAsia="Calibri"/>
      <w:sz w:val="24"/>
      <w:szCs w:val="24"/>
    </w:rPr>
  </w:style>
  <w:style w:type="character" w:styleId="FootnoteReference">
    <w:name w:val="footnote reference"/>
    <w:uiPriority w:val="99"/>
    <w:unhideWhenUsed/>
    <w:rsid w:val="00580EC5"/>
    <w:rPr>
      <w:vertAlign w:val="superscript"/>
    </w:rPr>
  </w:style>
  <w:style w:type="character" w:customStyle="1" w:styleId="st1">
    <w:name w:val="st1"/>
    <w:rsid w:val="00580EC5"/>
    <w:rPr>
      <w:rFonts w:cs="Times New Roman"/>
    </w:rPr>
  </w:style>
  <w:style w:type="paragraph" w:styleId="BodyText">
    <w:name w:val="Body Text"/>
    <w:basedOn w:val="Normal"/>
    <w:link w:val="BodyTextChar"/>
    <w:rsid w:val="00EE2F96"/>
    <w:pPr>
      <w:spacing w:after="120"/>
    </w:pPr>
  </w:style>
  <w:style w:type="character" w:customStyle="1" w:styleId="BodyTextChar">
    <w:name w:val="Body Text Char"/>
    <w:link w:val="BodyText"/>
    <w:rsid w:val="00EE2F96"/>
    <w:rPr>
      <w:sz w:val="24"/>
      <w:szCs w:val="24"/>
    </w:rPr>
  </w:style>
  <w:style w:type="paragraph" w:styleId="ListParagraph">
    <w:name w:val="List Paragraph"/>
    <w:basedOn w:val="Normal"/>
    <w:uiPriority w:val="34"/>
    <w:qFormat/>
    <w:rsid w:val="00B716AE"/>
    <w:pPr>
      <w:ind w:left="720"/>
    </w:pPr>
  </w:style>
  <w:style w:type="character" w:customStyle="1" w:styleId="apple-converted-space">
    <w:name w:val="apple-converted-space"/>
    <w:rsid w:val="00D13DA9"/>
  </w:style>
  <w:style w:type="paragraph" w:styleId="NoSpacing">
    <w:name w:val="No Spacing"/>
    <w:uiPriority w:val="1"/>
    <w:qFormat/>
    <w:rsid w:val="00D13DA9"/>
    <w:rPr>
      <w:rFonts w:ascii="Calibri" w:eastAsia="Calibri" w:hAnsi="Calibri"/>
      <w:sz w:val="22"/>
      <w:szCs w:val="22"/>
    </w:rPr>
  </w:style>
  <w:style w:type="character" w:styleId="CommentReference">
    <w:name w:val="annotation reference"/>
    <w:basedOn w:val="DefaultParagraphFont"/>
    <w:rsid w:val="008434EF"/>
    <w:rPr>
      <w:sz w:val="16"/>
      <w:szCs w:val="16"/>
    </w:rPr>
  </w:style>
  <w:style w:type="paragraph" w:styleId="CommentText">
    <w:name w:val="annotation text"/>
    <w:basedOn w:val="Normal"/>
    <w:link w:val="CommentTextChar"/>
    <w:rsid w:val="008434EF"/>
    <w:rPr>
      <w:sz w:val="20"/>
      <w:szCs w:val="20"/>
    </w:rPr>
  </w:style>
  <w:style w:type="character" w:customStyle="1" w:styleId="CommentTextChar">
    <w:name w:val="Comment Text Char"/>
    <w:basedOn w:val="DefaultParagraphFont"/>
    <w:link w:val="CommentText"/>
    <w:rsid w:val="008434EF"/>
  </w:style>
  <w:style w:type="paragraph" w:styleId="CommentSubject">
    <w:name w:val="annotation subject"/>
    <w:basedOn w:val="CommentText"/>
    <w:next w:val="CommentText"/>
    <w:link w:val="CommentSubjectChar"/>
    <w:rsid w:val="008434EF"/>
    <w:rPr>
      <w:b/>
      <w:bCs/>
    </w:rPr>
  </w:style>
  <w:style w:type="character" w:customStyle="1" w:styleId="CommentSubjectChar">
    <w:name w:val="Comment Subject Char"/>
    <w:basedOn w:val="CommentTextChar"/>
    <w:link w:val="CommentSubject"/>
    <w:rsid w:val="008434EF"/>
    <w:rPr>
      <w:b/>
      <w:bCs/>
    </w:rPr>
  </w:style>
  <w:style w:type="paragraph" w:styleId="Header">
    <w:name w:val="header"/>
    <w:basedOn w:val="Normal"/>
    <w:link w:val="HeaderChar"/>
    <w:rsid w:val="00CA209F"/>
    <w:pPr>
      <w:tabs>
        <w:tab w:val="center" w:pos="4680"/>
        <w:tab w:val="right" w:pos="9360"/>
      </w:tabs>
    </w:pPr>
  </w:style>
  <w:style w:type="character" w:customStyle="1" w:styleId="HeaderChar">
    <w:name w:val="Header Char"/>
    <w:basedOn w:val="DefaultParagraphFont"/>
    <w:link w:val="Header"/>
    <w:rsid w:val="00CA209F"/>
    <w:rPr>
      <w:sz w:val="24"/>
      <w:szCs w:val="24"/>
    </w:rPr>
  </w:style>
  <w:style w:type="paragraph" w:styleId="Footer">
    <w:name w:val="footer"/>
    <w:basedOn w:val="Normal"/>
    <w:link w:val="FooterChar"/>
    <w:uiPriority w:val="99"/>
    <w:rsid w:val="00CA209F"/>
    <w:pPr>
      <w:tabs>
        <w:tab w:val="center" w:pos="4680"/>
        <w:tab w:val="right" w:pos="9360"/>
      </w:tabs>
    </w:pPr>
  </w:style>
  <w:style w:type="character" w:customStyle="1" w:styleId="FooterChar">
    <w:name w:val="Footer Char"/>
    <w:basedOn w:val="DefaultParagraphFont"/>
    <w:link w:val="Footer"/>
    <w:uiPriority w:val="99"/>
    <w:rsid w:val="00CA209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989073">
      <w:bodyDiv w:val="1"/>
      <w:marLeft w:val="0"/>
      <w:marRight w:val="0"/>
      <w:marTop w:val="0"/>
      <w:marBottom w:val="0"/>
      <w:divBdr>
        <w:top w:val="none" w:sz="0" w:space="0" w:color="auto"/>
        <w:left w:val="none" w:sz="0" w:space="0" w:color="auto"/>
        <w:bottom w:val="none" w:sz="0" w:space="0" w:color="auto"/>
        <w:right w:val="none" w:sz="0" w:space="0" w:color="auto"/>
      </w:divBdr>
    </w:div>
    <w:div w:id="1302223944">
      <w:bodyDiv w:val="1"/>
      <w:marLeft w:val="0"/>
      <w:marRight w:val="0"/>
      <w:marTop w:val="0"/>
      <w:marBottom w:val="0"/>
      <w:divBdr>
        <w:top w:val="none" w:sz="0" w:space="0" w:color="auto"/>
        <w:left w:val="none" w:sz="0" w:space="0" w:color="auto"/>
        <w:bottom w:val="none" w:sz="0" w:space="0" w:color="auto"/>
        <w:right w:val="none" w:sz="0" w:space="0" w:color="auto"/>
      </w:divBdr>
    </w:div>
    <w:div w:id="1309749923">
      <w:bodyDiv w:val="1"/>
      <w:marLeft w:val="0"/>
      <w:marRight w:val="0"/>
      <w:marTop w:val="0"/>
      <w:marBottom w:val="0"/>
      <w:divBdr>
        <w:top w:val="none" w:sz="0" w:space="0" w:color="auto"/>
        <w:left w:val="none" w:sz="0" w:space="0" w:color="auto"/>
        <w:bottom w:val="none" w:sz="0" w:space="0" w:color="auto"/>
        <w:right w:val="none" w:sz="0" w:space="0" w:color="auto"/>
      </w:divBdr>
    </w:div>
    <w:div w:id="203202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2772</Characters>
  <Application>Microsoft Office Word</Application>
  <DocSecurity>0</DocSecurity>
  <Lines>23</Lines>
  <Paragraphs>6</Paragraphs>
  <ScaleCrop>false</ScaleCrop>
  <Company/>
  <LinksUpToDate>false</LinksUpToDate>
  <CharactersWithSpaces>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2016-04-05T18:55:00Z</dcterms:created>
  <dcterms:modified xsi:type="dcterms:W3CDTF">2016-04-07T13:22:00Z</dcterms:modified>
</cp:coreProperties>
</file>