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508"/>
        <w:gridCol w:w="5508"/>
      </w:tblGrid>
      <w:tr w:rsidR="00352252">
        <w:trPr>
          <w:jc w:val="center"/>
        </w:trPr>
        <w:tc>
          <w:tcPr>
            <w:tcW w:w="5508" w:type="dxa"/>
            <w:tcBorders>
              <w:bottom w:val="single" w:sz="6" w:space="0" w:color="auto"/>
            </w:tcBorders>
          </w:tcPr>
          <w:p w:rsidR="00352252" w:rsidRDefault="00E5089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340797A8" wp14:editId="2251CACB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252" w:rsidRDefault="00352252"/>
        </w:tc>
        <w:tc>
          <w:tcPr>
            <w:tcW w:w="5508" w:type="dxa"/>
            <w:tcBorders>
              <w:bottom w:val="single" w:sz="6" w:space="0" w:color="auto"/>
            </w:tcBorders>
          </w:tcPr>
          <w:p w:rsidR="00352252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The Council of the 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mallCaps/>
                  </w:rPr>
                  <w:t>New York</w:t>
                </w:r>
              </w:smartTag>
            </w:smartTag>
          </w:p>
          <w:p w:rsidR="00352252" w:rsidRDefault="00352252" w:rsidP="00AA7573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352252" w:rsidRDefault="00A24BA6" w:rsidP="00AA7573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</w:t>
            </w:r>
            <w:r w:rsidR="00352252">
              <w:rPr>
                <w:b/>
                <w:bCs/>
                <w:smallCaps/>
              </w:rPr>
              <w:t>, Director</w:t>
            </w:r>
          </w:p>
          <w:p w:rsidR="00352252" w:rsidRDefault="00352252" w:rsidP="00AA7573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7D040E" w:rsidRPr="007D040E" w:rsidRDefault="001E38BA" w:rsidP="00AA7573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A1598A" w:rsidRPr="00A1598A">
              <w:rPr>
                <w:b/>
                <w:bCs/>
                <w:smallCaps/>
              </w:rPr>
              <w:t>Int. No.</w:t>
            </w:r>
            <w:r>
              <w:rPr>
                <w:b/>
                <w:bCs/>
                <w:smallCaps/>
              </w:rPr>
              <w:t xml:space="preserve"> </w:t>
            </w:r>
            <w:r w:rsidR="00BB4BAC">
              <w:rPr>
                <w:color w:val="000000"/>
              </w:rPr>
              <w:t>810</w:t>
            </w:r>
            <w:r w:rsidR="00905C41" w:rsidRPr="00905C41">
              <w:rPr>
                <w:color w:val="000000"/>
              </w:rPr>
              <w:t>-A</w:t>
            </w:r>
          </w:p>
          <w:p w:rsidR="00352252" w:rsidRPr="00F81630" w:rsidRDefault="00352252" w:rsidP="00AA7573">
            <w:pPr>
              <w:tabs>
                <w:tab w:val="left" w:pos="-1440"/>
              </w:tabs>
              <w:spacing w:before="120"/>
              <w:ind w:left="1440" w:hanging="1440"/>
              <w:jc w:val="left"/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>:</w:t>
            </w:r>
            <w:r w:rsidR="000C7FF6">
              <w:rPr>
                <w:b/>
                <w:bCs/>
              </w:rPr>
              <w:t xml:space="preserve"> </w:t>
            </w:r>
            <w:r w:rsidR="00F81630">
              <w:rPr>
                <w:b/>
                <w:bCs/>
              </w:rPr>
              <w:t xml:space="preserve">  </w:t>
            </w:r>
            <w:r w:rsidR="001C3FD4">
              <w:rPr>
                <w:bCs/>
              </w:rPr>
              <w:t>Governmental Operations</w:t>
            </w:r>
          </w:p>
          <w:p w:rsidR="00352252" w:rsidRDefault="00352252"/>
        </w:tc>
      </w:tr>
      <w:tr w:rsidR="00352252">
        <w:trPr>
          <w:jc w:val="center"/>
        </w:trPr>
        <w:tc>
          <w:tcPr>
            <w:tcW w:w="5508" w:type="dxa"/>
            <w:tcBorders>
              <w:top w:val="single" w:sz="6" w:space="0" w:color="auto"/>
            </w:tcBorders>
          </w:tcPr>
          <w:p w:rsidR="00DE02CE" w:rsidRPr="00142896" w:rsidRDefault="00352252" w:rsidP="00DE02CE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smallCaps/>
              </w:rPr>
              <w:t>Title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 w:rsidR="00F81630">
              <w:t xml:space="preserve"> </w:t>
            </w:r>
            <w:r w:rsidR="00DE02CE" w:rsidRPr="00142896">
              <w:rPr>
                <w:color w:val="000000"/>
              </w:rPr>
              <w:t xml:space="preserve">A Local Law to amend the New York city charter, in relation to providing for the </w:t>
            </w:r>
            <w:r w:rsidR="00DE02CE">
              <w:rPr>
                <w:color w:val="000000"/>
              </w:rPr>
              <w:t xml:space="preserve">denial of an application for, or the </w:t>
            </w:r>
            <w:r w:rsidR="00DE02CE" w:rsidRPr="00142896">
              <w:rPr>
                <w:color w:val="000000"/>
              </w:rPr>
              <w:t xml:space="preserve">suspension, </w:t>
            </w:r>
            <w:r w:rsidR="00DE02CE">
              <w:rPr>
                <w:color w:val="000000"/>
              </w:rPr>
              <w:t xml:space="preserve">termination or </w:t>
            </w:r>
            <w:r w:rsidR="00DE02CE" w:rsidRPr="00142896">
              <w:rPr>
                <w:color w:val="000000"/>
              </w:rPr>
              <w:t>revocation</w:t>
            </w:r>
            <w:r w:rsidR="00DE02CE">
              <w:rPr>
                <w:color w:val="000000"/>
              </w:rPr>
              <w:t xml:space="preserve"> </w:t>
            </w:r>
            <w:r w:rsidR="00DE02CE" w:rsidRPr="00142896">
              <w:rPr>
                <w:color w:val="000000"/>
              </w:rPr>
              <w:t>of</w:t>
            </w:r>
            <w:r w:rsidR="00DE02CE">
              <w:rPr>
                <w:color w:val="000000"/>
              </w:rPr>
              <w:t>, a</w:t>
            </w:r>
            <w:r w:rsidR="00DE02CE" w:rsidRPr="00142896">
              <w:rPr>
                <w:color w:val="000000"/>
              </w:rPr>
              <w:t xml:space="preserve"> license, permit </w:t>
            </w:r>
            <w:r w:rsidR="00DE02CE">
              <w:rPr>
                <w:color w:val="000000"/>
              </w:rPr>
              <w:t xml:space="preserve">or </w:t>
            </w:r>
            <w:r w:rsidR="00DE02CE" w:rsidRPr="00142896">
              <w:rPr>
                <w:color w:val="000000"/>
              </w:rPr>
              <w:t xml:space="preserve">registration </w:t>
            </w:r>
            <w:r w:rsidR="00DE02CE">
              <w:rPr>
                <w:color w:val="000000"/>
              </w:rPr>
              <w:t xml:space="preserve">based on </w:t>
            </w:r>
            <w:r w:rsidR="00DE02CE" w:rsidRPr="00142896">
              <w:rPr>
                <w:color w:val="000000"/>
              </w:rPr>
              <w:t xml:space="preserve">unpaid </w:t>
            </w:r>
            <w:r w:rsidR="00DE02CE">
              <w:rPr>
                <w:color w:val="000000"/>
              </w:rPr>
              <w:t xml:space="preserve">civil </w:t>
            </w:r>
            <w:r w:rsidR="00DE02CE" w:rsidRPr="00142896">
              <w:rPr>
                <w:color w:val="000000"/>
              </w:rPr>
              <w:t>penalties</w:t>
            </w:r>
            <w:r w:rsidR="00DE02CE">
              <w:rPr>
                <w:color w:val="000000"/>
              </w:rPr>
              <w:t xml:space="preserve"> imposed by the environmental control board or a tribunal of the office of administrative trials and hearings</w:t>
            </w:r>
          </w:p>
          <w:p w:rsidR="001E38BA" w:rsidRDefault="001E38BA" w:rsidP="001E38BA">
            <w:pPr>
              <w:shd w:val="clear" w:color="auto" w:fill="FFFFFF"/>
            </w:pPr>
          </w:p>
        </w:tc>
        <w:tc>
          <w:tcPr>
            <w:tcW w:w="5508" w:type="dxa"/>
            <w:tcBorders>
              <w:top w:val="single" w:sz="6" w:space="0" w:color="auto"/>
            </w:tcBorders>
          </w:tcPr>
          <w:p w:rsidR="00DE02CE" w:rsidRPr="00142896" w:rsidRDefault="00352252" w:rsidP="00DE02CE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smallCaps/>
              </w:rPr>
              <w:t>Sponsor</w:t>
            </w:r>
            <w:r w:rsidR="001C6CA0">
              <w:rPr>
                <w:b/>
                <w:bCs/>
                <w:smallCaps/>
              </w:rPr>
              <w:t>s</w:t>
            </w:r>
            <w:r>
              <w:rPr>
                <w:b/>
                <w:bCs/>
              </w:rPr>
              <w:t>:</w:t>
            </w:r>
            <w:r w:rsidR="00F81630">
              <w:rPr>
                <w:b/>
                <w:bCs/>
              </w:rPr>
              <w:t xml:space="preserve">  </w:t>
            </w:r>
            <w:r w:rsidR="00DE02CE" w:rsidRPr="00142896">
              <w:rPr>
                <w:color w:val="000000"/>
              </w:rPr>
              <w:t>Council Members Kallos and Gentile</w:t>
            </w:r>
          </w:p>
          <w:p w:rsidR="00352252" w:rsidRDefault="00352252" w:rsidP="00521121">
            <w:pPr>
              <w:shd w:val="clear" w:color="auto" w:fill="FFFFFF"/>
            </w:pPr>
          </w:p>
        </w:tc>
      </w:tr>
      <w:tr w:rsidR="00352252">
        <w:trPr>
          <w:cantSplit/>
          <w:trHeight w:val="554"/>
          <w:jc w:val="center"/>
        </w:trPr>
        <w:tc>
          <w:tcPr>
            <w:tcW w:w="11016" w:type="dxa"/>
            <w:gridSpan w:val="2"/>
          </w:tcPr>
          <w:p w:rsidR="008D1E7F" w:rsidRDefault="00352252" w:rsidP="00301F0C">
            <w:r w:rsidRPr="00D56CD5">
              <w:rPr>
                <w:b/>
                <w:bCs/>
                <w:smallCaps/>
              </w:rPr>
              <w:t>Summary of Legislation</w:t>
            </w:r>
            <w:r w:rsidRPr="00AA0D8B">
              <w:rPr>
                <w:b/>
                <w:bCs/>
                <w:smallCaps/>
              </w:rPr>
              <w:t>:</w:t>
            </w:r>
            <w:r w:rsidR="002415F8" w:rsidRPr="00AA0D8B">
              <w:rPr>
                <w:b/>
                <w:bCs/>
                <w:smallCaps/>
              </w:rPr>
              <w:t xml:space="preserve"> </w:t>
            </w:r>
            <w:r w:rsidR="00C2215B">
              <w:rPr>
                <w:b/>
                <w:bCs/>
                <w:smallCaps/>
              </w:rPr>
              <w:t xml:space="preserve"> </w:t>
            </w:r>
            <w:r w:rsidR="008D1E7F">
              <w:t xml:space="preserve">Proposed Intro. No. </w:t>
            </w:r>
            <w:r w:rsidR="00301F0C">
              <w:rPr>
                <w:color w:val="000000"/>
              </w:rPr>
              <w:t>810</w:t>
            </w:r>
            <w:r w:rsidR="00301F0C" w:rsidRPr="00905C41">
              <w:rPr>
                <w:color w:val="000000"/>
              </w:rPr>
              <w:t>-A</w:t>
            </w:r>
            <w:r w:rsidR="00301F0C">
              <w:rPr>
                <w:color w:val="000000"/>
              </w:rPr>
              <w:t xml:space="preserve"> </w:t>
            </w:r>
            <w:r w:rsidR="00301F0C">
              <w:t xml:space="preserve">would </w:t>
            </w:r>
            <w:r w:rsidR="008D1E7F">
              <w:t>grant C</w:t>
            </w:r>
            <w:r w:rsidR="00301F0C">
              <w:t>ity agencies that issue notices of violation returnable to the Environmental Control Board (ECB)</w:t>
            </w:r>
            <w:r w:rsidR="008D1E7F">
              <w:t xml:space="preserve"> the authority to deny, suspend, terminate, or revoke any</w:t>
            </w:r>
            <w:r w:rsidR="00301F0C">
              <w:t xml:space="preserve"> licenses, permits or registrations</w:t>
            </w:r>
            <w:r w:rsidR="008D1E7F">
              <w:t xml:space="preserve"> issued by that agency on the basis of unpaid ECB penalties. The legislation would require these agencies</w:t>
            </w:r>
            <w:r w:rsidR="00301F0C">
              <w:t xml:space="preserve"> to promulgate rules to implement </w:t>
            </w:r>
            <w:r w:rsidR="008D1E7F">
              <w:t xml:space="preserve">this </w:t>
            </w:r>
            <w:r w:rsidR="00301F0C">
              <w:t xml:space="preserve">authority </w:t>
            </w:r>
            <w:r w:rsidR="008D1E7F">
              <w:t>which must</w:t>
            </w:r>
            <w:r w:rsidR="00301F0C">
              <w:t xml:space="preserve"> include</w:t>
            </w:r>
            <w:r w:rsidR="008D1E7F">
              <w:t>, but is not limited to,</w:t>
            </w:r>
            <w:r w:rsidR="00301F0C">
              <w:t xml:space="preserve"> certain factors for agencies to consider when making the determination to deny, suspend, terminate</w:t>
            </w:r>
            <w:r w:rsidR="00B0099B">
              <w:t>,</w:t>
            </w:r>
            <w:r w:rsidR="00301F0C">
              <w:t xml:space="preserve"> or revoke, including </w:t>
            </w:r>
            <w:r w:rsidR="00301F0C" w:rsidRPr="009A6297">
              <w:t xml:space="preserve">(1) whether the applicant, licensee, permittee or registrant has other debt owed to the </w:t>
            </w:r>
            <w:r w:rsidR="008D1E7F">
              <w:t>C</w:t>
            </w:r>
            <w:r w:rsidR="00301F0C" w:rsidRPr="009A6297">
              <w:t>ity; (2) the amount of unpaid civil penalties owed; (3) whether the underlying violation is one of a series of violations and the nature of the underlying violation;</w:t>
            </w:r>
            <w:r w:rsidR="00301F0C">
              <w:t xml:space="preserve"> and</w:t>
            </w:r>
            <w:r w:rsidR="00301F0C" w:rsidRPr="009A6297">
              <w:t xml:space="preserve"> (4) whether the unpaid civil penalties were imposed due to a finding of default decision that was then vacated, or whether the applicant, licensee, permittee or registration has made a request to vacate a default and obtain a new hearing. </w:t>
            </w:r>
          </w:p>
          <w:p w:rsidR="008D1E7F" w:rsidRDefault="008D1E7F" w:rsidP="00301F0C"/>
          <w:p w:rsidR="00301F0C" w:rsidRDefault="00301F0C" w:rsidP="00301F0C">
            <w:r>
              <w:t xml:space="preserve">The </w:t>
            </w:r>
            <w:r w:rsidR="00223347">
              <w:t>legislation</w:t>
            </w:r>
            <w:r>
              <w:t xml:space="preserve"> would also require </w:t>
            </w:r>
            <w:r w:rsidR="002B7EC1">
              <w:t xml:space="preserve">such </w:t>
            </w:r>
            <w:r>
              <w:t>agenc</w:t>
            </w:r>
            <w:r w:rsidR="002B7EC1">
              <w:t>ies</w:t>
            </w:r>
            <w:r>
              <w:t xml:space="preserve"> to provide to the Council</w:t>
            </w:r>
            <w:r w:rsidR="008D1E7F">
              <w:t>, and post online, an annual report</w:t>
            </w:r>
            <w:r>
              <w:t xml:space="preserve"> including the number of applications</w:t>
            </w:r>
            <w:r w:rsidR="008D1E7F">
              <w:t xml:space="preserve"> for licenses, permits, or registrations</w:t>
            </w:r>
            <w:r>
              <w:t xml:space="preserve"> received; the number denied</w:t>
            </w:r>
            <w:r w:rsidR="008D1E7F">
              <w:t>,</w:t>
            </w:r>
            <w:r>
              <w:t xml:space="preserve"> suspended, terminated</w:t>
            </w:r>
            <w:r w:rsidR="008D1E7F">
              <w:t>,</w:t>
            </w:r>
            <w:r>
              <w:t xml:space="preserve"> or revoked</w:t>
            </w:r>
            <w:r w:rsidR="008D1E7F">
              <w:t xml:space="preserve"> pursuant to the authority granted by the proposed law</w:t>
            </w:r>
            <w:r>
              <w:t xml:space="preserve">; and </w:t>
            </w:r>
            <w:r w:rsidR="008D1E7F">
              <w:t xml:space="preserve">a </w:t>
            </w:r>
            <w:r>
              <w:t xml:space="preserve">list of the types of licenses, permits or registrations issued by such agency and the time period for which such licenses, permits or registrations are issued. </w:t>
            </w:r>
          </w:p>
          <w:p w:rsidR="008D1E7F" w:rsidRDefault="008D1E7F" w:rsidP="00301F0C"/>
          <w:p w:rsidR="00301F0C" w:rsidRPr="006C4744" w:rsidRDefault="008D1E7F" w:rsidP="00C2215B">
            <w:pPr>
              <w:rPr>
                <w:rFonts w:eastAsia="Calibri"/>
              </w:rPr>
            </w:pPr>
            <w:r>
              <w:t>Lastly, the legislation would require that notices of violation returnable to ECB include a written statement warning respondents that failure to timely pay an ECB penalty could result in the denial, suspension, termination, or revocation of a license, permit, or registration.</w:t>
            </w:r>
          </w:p>
          <w:p w:rsidR="00905C41" w:rsidRPr="00D6593F" w:rsidRDefault="00905C41" w:rsidP="00905C41">
            <w:pPr>
              <w:ind w:left="360"/>
              <w:contextualSpacing/>
              <w:rPr>
                <w:rFonts w:eastAsia="Calibri"/>
              </w:rPr>
            </w:pPr>
          </w:p>
        </w:tc>
      </w:tr>
      <w:tr w:rsidR="00352252" w:rsidTr="00F249D0">
        <w:trPr>
          <w:cantSplit/>
          <w:trHeight w:val="553"/>
          <w:jc w:val="center"/>
        </w:trPr>
        <w:tc>
          <w:tcPr>
            <w:tcW w:w="11016" w:type="dxa"/>
            <w:gridSpan w:val="2"/>
          </w:tcPr>
          <w:p w:rsidR="00DE02CE" w:rsidRPr="00DE02CE" w:rsidRDefault="00352252" w:rsidP="00DE02CE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Effective Date:</w:t>
            </w:r>
            <w:r w:rsidR="00DE02CE">
              <w:rPr>
                <w:b/>
                <w:bCs/>
                <w:smallCaps/>
              </w:rPr>
              <w:t xml:space="preserve"> </w:t>
            </w:r>
            <w:r w:rsidR="00DE02CE" w:rsidRPr="00142896">
              <w:rPr>
                <w:color w:val="000000"/>
              </w:rPr>
              <w:t xml:space="preserve">This local law </w:t>
            </w:r>
            <w:r w:rsidR="008D1E7F">
              <w:rPr>
                <w:color w:val="000000"/>
              </w:rPr>
              <w:t xml:space="preserve">would </w:t>
            </w:r>
            <w:r w:rsidR="00DE02CE" w:rsidRPr="00142896">
              <w:rPr>
                <w:color w:val="000000"/>
              </w:rPr>
              <w:t xml:space="preserve">take effect </w:t>
            </w:r>
            <w:r w:rsidR="00DE02CE">
              <w:rPr>
                <w:color w:val="000000"/>
              </w:rPr>
              <w:t xml:space="preserve">180 </w:t>
            </w:r>
            <w:r w:rsidR="00DE02CE" w:rsidRPr="00142896">
              <w:rPr>
                <w:color w:val="000000"/>
              </w:rPr>
              <w:t xml:space="preserve">days after it becomes law, except that </w:t>
            </w:r>
            <w:r w:rsidR="00DE02CE">
              <w:rPr>
                <w:color w:val="000000"/>
              </w:rPr>
              <w:t>any agency granted authority</w:t>
            </w:r>
            <w:r w:rsidR="008D1E7F">
              <w:rPr>
                <w:color w:val="000000"/>
              </w:rPr>
              <w:t xml:space="preserve"> to suspend, terminate, revoke, or deny a license, permit, or registration based on unpaid ECB penalties</w:t>
            </w:r>
            <w:r w:rsidR="00DE02CE">
              <w:rPr>
                <w:color w:val="000000"/>
              </w:rPr>
              <w:t xml:space="preserve">, may take any </w:t>
            </w:r>
            <w:r w:rsidR="00DE02CE" w:rsidRPr="00142896">
              <w:rPr>
                <w:color w:val="000000"/>
              </w:rPr>
              <w:t>actions necessary for the implementation of this local law, including the promulgation of rules, before it takes effect.</w:t>
            </w:r>
          </w:p>
          <w:p w:rsidR="00D6593F" w:rsidRDefault="00D6593F" w:rsidP="001E38BA">
            <w:pPr>
              <w:spacing w:before="120"/>
              <w:rPr>
                <w:b/>
                <w:bCs/>
                <w:smallCaps/>
              </w:rPr>
            </w:pPr>
          </w:p>
        </w:tc>
      </w:tr>
    </w:tbl>
    <w:p w:rsidR="00F249D0" w:rsidRDefault="00F249D0">
      <w:r>
        <w:br w:type="page"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1016"/>
      </w:tblGrid>
      <w:tr w:rsidR="00352252" w:rsidTr="00F249D0">
        <w:trPr>
          <w:cantSplit/>
          <w:trHeight w:val="553"/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352252" w:rsidRDefault="00352252" w:rsidP="00F249D0">
            <w:r>
              <w:rPr>
                <w:b/>
                <w:bCs/>
                <w:smallCaps/>
              </w:rPr>
              <w:t>Fiscal Year In Which Full Fiscal Impact Anticipated:</w:t>
            </w:r>
            <w:r>
              <w:t xml:space="preserve"> </w:t>
            </w:r>
            <w:r w:rsidR="00F81630">
              <w:t xml:space="preserve">  </w:t>
            </w:r>
            <w:r w:rsidR="001C3FD4">
              <w:t>Fiscal 201</w:t>
            </w:r>
            <w:r w:rsidR="008D1E7F">
              <w:t>8</w:t>
            </w:r>
          </w:p>
          <w:p w:rsidR="00F249D0" w:rsidRPr="00B716AE" w:rsidRDefault="00F249D0" w:rsidP="00F249D0"/>
        </w:tc>
      </w:tr>
      <w:tr w:rsidR="00352252" w:rsidTr="00F249D0">
        <w:trPr>
          <w:cantSplit/>
          <w:trHeight w:val="2235"/>
          <w:jc w:val="center"/>
        </w:trPr>
        <w:tc>
          <w:tcPr>
            <w:tcW w:w="11016" w:type="dxa"/>
            <w:tcBorders>
              <w:top w:val="single" w:sz="4" w:space="0" w:color="auto"/>
            </w:tcBorders>
          </w:tcPr>
          <w:p w:rsidR="00352252" w:rsidRDefault="00352252">
            <w:pPr>
              <w:rPr>
                <w:b/>
                <w:bCs/>
                <w:smallCaps/>
              </w:rPr>
            </w:pPr>
            <w:bookmarkStart w:id="0" w:name="_GoBack"/>
            <w:bookmarkEnd w:id="0"/>
            <w:r>
              <w:rPr>
                <w:b/>
                <w:bCs/>
                <w:smallCaps/>
              </w:rPr>
              <w:t>Fiscal Impact Statement:</w:t>
            </w:r>
          </w:p>
          <w:p w:rsidR="001D2910" w:rsidRDefault="001D2910"/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522"/>
              <w:gridCol w:w="2083"/>
              <w:gridCol w:w="1754"/>
            </w:tblGrid>
            <w:tr w:rsidR="00352252" w:rsidTr="001B0585">
              <w:trPr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352252" w:rsidRPr="001C3FD4" w:rsidRDefault="00352252">
                  <w:pPr>
                    <w:spacing w:line="201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352252" w:rsidRPr="001C3FD4" w:rsidRDefault="0035225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352252" w:rsidRPr="001C3FD4" w:rsidRDefault="00DB05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3FD4">
                    <w:rPr>
                      <w:b/>
                      <w:bCs/>
                      <w:sz w:val="20"/>
                      <w:szCs w:val="20"/>
                    </w:rPr>
                    <w:t>Effective FY</w:t>
                  </w:r>
                  <w:r w:rsidR="00406123" w:rsidRPr="001C3FD4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1C3FD4" w:rsidRPr="001C3FD4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352252" w:rsidRPr="001C3FD4" w:rsidRDefault="001C3FD4" w:rsidP="001821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3FD4">
                    <w:rPr>
                      <w:b/>
                      <w:bCs/>
                      <w:sz w:val="20"/>
                      <w:szCs w:val="20"/>
                    </w:rPr>
                    <w:t xml:space="preserve">FY Succeeding Effective </w:t>
                  </w:r>
                  <w:r w:rsidR="00DB057D" w:rsidRPr="001C3FD4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1C3FD4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:rsidR="00352252" w:rsidRPr="001C3FD4" w:rsidRDefault="0035225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3FD4">
                    <w:rPr>
                      <w:b/>
                      <w:bCs/>
                      <w:sz w:val="20"/>
                      <w:szCs w:val="20"/>
                    </w:rPr>
                    <w:t>Full Fiscal</w:t>
                  </w:r>
                </w:p>
                <w:p w:rsidR="00352252" w:rsidRPr="001C3FD4" w:rsidRDefault="00DB057D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1C3FD4">
                    <w:rPr>
                      <w:sz w:val="20"/>
                      <w:szCs w:val="20"/>
                    </w:rPr>
                    <w:t>Impact FY</w:t>
                  </w:r>
                  <w:r w:rsidR="00406123" w:rsidRPr="001C3FD4">
                    <w:rPr>
                      <w:sz w:val="20"/>
                      <w:szCs w:val="20"/>
                    </w:rPr>
                    <w:t>1</w:t>
                  </w:r>
                  <w:r w:rsidR="00182190" w:rsidRPr="001C3FD4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352252" w:rsidTr="0056635C">
              <w:trPr>
                <w:trHeight w:val="289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352252" w:rsidRPr="001C3FD4" w:rsidRDefault="00352252" w:rsidP="0056635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3FD4">
                    <w:rPr>
                      <w:b/>
                      <w:bCs/>
                      <w:sz w:val="20"/>
                      <w:szCs w:val="20"/>
                    </w:rPr>
                    <w:t xml:space="preserve">Revenues </w:t>
                  </w:r>
                  <w:r w:rsidR="00251BB3" w:rsidRPr="001C3FD4">
                    <w:rPr>
                      <w:b/>
                      <w:bCs/>
                      <w:sz w:val="20"/>
                      <w:szCs w:val="20"/>
                    </w:rPr>
                    <w:t>(+)</w:t>
                  </w:r>
                </w:p>
              </w:tc>
              <w:tc>
                <w:tcPr>
                  <w:tcW w:w="1522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352252" w:rsidRPr="001C3FD4" w:rsidRDefault="008D1E7F" w:rsidP="0056635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TBD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352252" w:rsidRPr="001C3FD4" w:rsidRDefault="008D1E7F" w:rsidP="0056635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TBD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:rsidR="00352252" w:rsidRPr="001C3FD4" w:rsidRDefault="008D1E7F" w:rsidP="0056635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TBD</w:t>
                  </w:r>
                </w:p>
              </w:tc>
            </w:tr>
            <w:tr w:rsidR="00352252" w:rsidTr="001B0585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352252" w:rsidRPr="001C3FD4" w:rsidRDefault="00352252" w:rsidP="0056635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C3FD4">
                    <w:rPr>
                      <w:b/>
                      <w:bCs/>
                      <w:sz w:val="20"/>
                      <w:szCs w:val="20"/>
                    </w:rPr>
                    <w:t>Expenditures</w:t>
                  </w:r>
                  <w:r w:rsidR="00251BB3" w:rsidRPr="001C3FD4">
                    <w:rPr>
                      <w:b/>
                      <w:bCs/>
                      <w:sz w:val="20"/>
                      <w:szCs w:val="20"/>
                    </w:rPr>
                    <w:t xml:space="preserve"> (-)</w:t>
                  </w:r>
                  <w:r w:rsidRPr="001C3FD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2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352252" w:rsidRPr="001C3FD4" w:rsidRDefault="001E38BA" w:rsidP="00B716A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C3FD4">
                    <w:rPr>
                      <w:bCs/>
                      <w:sz w:val="20"/>
                      <w:szCs w:val="20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352252" w:rsidRPr="001C3FD4" w:rsidRDefault="001E38BA" w:rsidP="00B716A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C3FD4">
                    <w:rPr>
                      <w:bCs/>
                      <w:sz w:val="20"/>
                      <w:szCs w:val="20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:rsidR="00352252" w:rsidRPr="001C3FD4" w:rsidRDefault="001E38BA" w:rsidP="00B716A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C3FD4">
                    <w:rPr>
                      <w:bCs/>
                      <w:sz w:val="20"/>
                      <w:szCs w:val="20"/>
                    </w:rPr>
                    <w:t>$0</w:t>
                  </w:r>
                </w:p>
              </w:tc>
            </w:tr>
            <w:tr w:rsidR="001B0585" w:rsidTr="001B0585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:rsidR="001B0585" w:rsidRPr="001C3FD4" w:rsidRDefault="001B0585" w:rsidP="0056635C">
                  <w:pPr>
                    <w:spacing w:after="5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3FD4">
                    <w:rPr>
                      <w:b/>
                      <w:bCs/>
                      <w:sz w:val="20"/>
                      <w:szCs w:val="20"/>
                    </w:rPr>
                    <w:t>Net</w:t>
                  </w:r>
                </w:p>
              </w:tc>
              <w:tc>
                <w:tcPr>
                  <w:tcW w:w="15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:rsidR="001B0585" w:rsidRPr="001C3FD4" w:rsidRDefault="008D1E7F" w:rsidP="00A34F2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TBD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:rsidR="001B0585" w:rsidRPr="001C3FD4" w:rsidRDefault="008D1E7F" w:rsidP="00B716AE">
                  <w:pPr>
                    <w:spacing w:after="58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TBD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</w:tcPr>
                <w:p w:rsidR="001B0585" w:rsidRPr="001C3FD4" w:rsidRDefault="008D1E7F" w:rsidP="00B716AE">
                  <w:pPr>
                    <w:spacing w:after="58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TBD</w:t>
                  </w:r>
                </w:p>
              </w:tc>
            </w:tr>
          </w:tbl>
          <w:p w:rsidR="00182190" w:rsidRPr="003D6D62" w:rsidRDefault="00E54D27" w:rsidP="001B0585">
            <w:r>
              <w:t xml:space="preserve">               </w:t>
            </w:r>
          </w:p>
        </w:tc>
      </w:tr>
      <w:tr w:rsidR="00352252">
        <w:trPr>
          <w:jc w:val="center"/>
        </w:trPr>
        <w:tc>
          <w:tcPr>
            <w:tcW w:w="11016" w:type="dxa"/>
          </w:tcPr>
          <w:p w:rsidR="005236DD" w:rsidRPr="00262137" w:rsidRDefault="00352252" w:rsidP="007D040E">
            <w:r>
              <w:rPr>
                <w:b/>
                <w:bCs/>
                <w:smallCaps/>
                <w:szCs w:val="19"/>
              </w:rPr>
              <w:t>Impact on Revenues</w:t>
            </w:r>
            <w:r>
              <w:rPr>
                <w:b/>
                <w:bCs/>
                <w:szCs w:val="19"/>
              </w:rPr>
              <w:t>:</w:t>
            </w:r>
            <w:r>
              <w:rPr>
                <w:szCs w:val="19"/>
              </w:rPr>
              <w:t xml:space="preserve"> </w:t>
            </w:r>
            <w:r w:rsidR="00EF3D46">
              <w:t xml:space="preserve">It is estimated that this </w:t>
            </w:r>
            <w:r w:rsidR="00223347">
              <w:t>legislation</w:t>
            </w:r>
            <w:r w:rsidR="00EF3D46">
              <w:t xml:space="preserve"> would </w:t>
            </w:r>
            <w:r w:rsidR="00301F0C">
              <w:t xml:space="preserve">have an impact on revenue because its intent is to incentivize respondents with </w:t>
            </w:r>
            <w:r w:rsidR="00301F0C" w:rsidRPr="009A6297">
              <w:t>unpaid civil penalties</w:t>
            </w:r>
            <w:r w:rsidR="00301F0C">
              <w:t xml:space="preserve"> to pay th</w:t>
            </w:r>
            <w:r w:rsidR="008D1E7F">
              <w:t>os</w:t>
            </w:r>
            <w:r w:rsidR="00301F0C">
              <w:t>e</w:t>
            </w:r>
            <w:r w:rsidR="008D1E7F">
              <w:t xml:space="preserve"> penalties</w:t>
            </w:r>
            <w:r w:rsidR="00F04214">
              <w:t xml:space="preserve">. However, at the time of the </w:t>
            </w:r>
            <w:r w:rsidR="00301F0C">
              <w:t>writing</w:t>
            </w:r>
            <w:r w:rsidR="00F04214">
              <w:t xml:space="preserve"> of this fiscal impact statement</w:t>
            </w:r>
            <w:r w:rsidR="00301F0C">
              <w:t xml:space="preserve"> it is unknown how much revenue</w:t>
            </w:r>
            <w:r w:rsidR="00F04214">
              <w:t xml:space="preserve"> could result from the legislation</w:t>
            </w:r>
            <w:r w:rsidR="00301F0C">
              <w:t xml:space="preserve">.  </w:t>
            </w:r>
          </w:p>
          <w:p w:rsidR="00352252" w:rsidRDefault="00352252" w:rsidP="003D6D62"/>
        </w:tc>
      </w:tr>
      <w:tr w:rsidR="00352252">
        <w:trPr>
          <w:jc w:val="center"/>
        </w:trPr>
        <w:tc>
          <w:tcPr>
            <w:tcW w:w="11016" w:type="dxa"/>
          </w:tcPr>
          <w:p w:rsidR="009E0587" w:rsidRDefault="00352252" w:rsidP="003D6D62">
            <w:r>
              <w:rPr>
                <w:b/>
                <w:bCs/>
                <w:smallCaps/>
              </w:rPr>
              <w:t>Impact on Expenditures</w:t>
            </w:r>
            <w:r>
              <w:rPr>
                <w:b/>
                <w:bCs/>
              </w:rPr>
              <w:t>:</w:t>
            </w:r>
            <w:r w:rsidR="00EF3D46">
              <w:t xml:space="preserve">  </w:t>
            </w:r>
            <w:r w:rsidR="00301F0C">
              <w:t xml:space="preserve">It is estimated that this </w:t>
            </w:r>
            <w:r w:rsidR="00223347">
              <w:t>legislation</w:t>
            </w:r>
            <w:r w:rsidR="00301F0C">
              <w:t xml:space="preserve"> would have no impact on expenditures because existing resources would be used to implement the legislation</w:t>
            </w:r>
            <w:r w:rsidR="00B0099B">
              <w:t>, including the provisions related to the promulgation of rules and the compilation of an annual report</w:t>
            </w:r>
            <w:r w:rsidR="00301F0C">
              <w:t>.</w:t>
            </w:r>
          </w:p>
          <w:p w:rsidR="007D040E" w:rsidRDefault="003D6D62" w:rsidP="00AA7573">
            <w:r>
              <w:t xml:space="preserve"> </w:t>
            </w:r>
          </w:p>
        </w:tc>
      </w:tr>
      <w:tr w:rsidR="00352252">
        <w:trPr>
          <w:jc w:val="center"/>
        </w:trPr>
        <w:tc>
          <w:tcPr>
            <w:tcW w:w="11016" w:type="dxa"/>
          </w:tcPr>
          <w:p w:rsidR="00352252" w:rsidRDefault="00352252" w:rsidP="001E38BA">
            <w:pPr>
              <w:rPr>
                <w:szCs w:val="19"/>
              </w:rPr>
            </w:pPr>
            <w:r>
              <w:rPr>
                <w:b/>
                <w:bCs/>
                <w:smallCaps/>
                <w:szCs w:val="19"/>
              </w:rPr>
              <w:t>Source of Funds To Cover Estimated Costs</w:t>
            </w:r>
            <w:r>
              <w:rPr>
                <w:b/>
                <w:bCs/>
                <w:szCs w:val="19"/>
              </w:rPr>
              <w:t>:</w:t>
            </w:r>
            <w:r>
              <w:rPr>
                <w:szCs w:val="19"/>
              </w:rPr>
              <w:tab/>
              <w:t xml:space="preserve">  </w:t>
            </w:r>
            <w:r w:rsidR="001E38BA">
              <w:rPr>
                <w:szCs w:val="19"/>
              </w:rPr>
              <w:t>N</w:t>
            </w:r>
            <w:r w:rsidR="001C3FD4">
              <w:rPr>
                <w:szCs w:val="19"/>
              </w:rPr>
              <w:t>/</w:t>
            </w:r>
            <w:r w:rsidR="001E38BA">
              <w:rPr>
                <w:szCs w:val="19"/>
              </w:rPr>
              <w:t>A</w:t>
            </w:r>
          </w:p>
          <w:p w:rsidR="001E38BA" w:rsidRDefault="001E38BA" w:rsidP="001E38BA"/>
        </w:tc>
      </w:tr>
      <w:tr w:rsidR="00352252">
        <w:trPr>
          <w:jc w:val="center"/>
        </w:trPr>
        <w:tc>
          <w:tcPr>
            <w:tcW w:w="11016" w:type="dxa"/>
          </w:tcPr>
          <w:p w:rsidR="001C3FD4" w:rsidRDefault="00352252">
            <w:pPr>
              <w:rPr>
                <w:szCs w:val="19"/>
              </w:rPr>
            </w:pPr>
            <w:r>
              <w:rPr>
                <w:b/>
                <w:bCs/>
                <w:smallCaps/>
                <w:szCs w:val="19"/>
              </w:rPr>
              <w:t>Source of Information</w:t>
            </w:r>
            <w:r>
              <w:rPr>
                <w:b/>
                <w:bCs/>
                <w:szCs w:val="19"/>
              </w:rPr>
              <w:t>:</w:t>
            </w:r>
            <w:r>
              <w:rPr>
                <w:szCs w:val="19"/>
              </w:rPr>
              <w:tab/>
            </w:r>
            <w:r w:rsidR="001C6AD0">
              <w:rPr>
                <w:szCs w:val="19"/>
              </w:rPr>
              <w:t xml:space="preserve">New York </w:t>
            </w:r>
            <w:r>
              <w:rPr>
                <w:szCs w:val="19"/>
              </w:rPr>
              <w:t>City Council Finance Division</w:t>
            </w:r>
            <w:r w:rsidR="00291F58">
              <w:rPr>
                <w:szCs w:val="19"/>
              </w:rPr>
              <w:t xml:space="preserve"> </w:t>
            </w:r>
            <w:r w:rsidR="001E38BA">
              <w:rPr>
                <w:szCs w:val="19"/>
              </w:rPr>
              <w:t xml:space="preserve"> </w:t>
            </w:r>
          </w:p>
          <w:p w:rsidR="00AA09FA" w:rsidRDefault="00AA09FA" w:rsidP="00AA09FA">
            <w:pPr>
              <w:rPr>
                <w:szCs w:val="19"/>
              </w:rPr>
            </w:pPr>
            <w:r>
              <w:rPr>
                <w:szCs w:val="19"/>
              </w:rPr>
              <w:t xml:space="preserve">                                                New York City Department of Finance</w:t>
            </w:r>
          </w:p>
          <w:p w:rsidR="008D4F43" w:rsidRDefault="001C3FD4">
            <w:pPr>
              <w:rPr>
                <w:szCs w:val="19"/>
              </w:rPr>
            </w:pPr>
            <w:r>
              <w:rPr>
                <w:szCs w:val="19"/>
              </w:rPr>
              <w:t xml:space="preserve">                                             </w:t>
            </w:r>
            <w:r w:rsidR="00AA09FA">
              <w:rPr>
                <w:szCs w:val="19"/>
              </w:rPr>
              <w:t xml:space="preserve">   </w:t>
            </w:r>
            <w:r w:rsidR="00291F58">
              <w:rPr>
                <w:szCs w:val="19"/>
              </w:rPr>
              <w:t xml:space="preserve">New York </w:t>
            </w:r>
            <w:r w:rsidR="00AA09FA">
              <w:rPr>
                <w:szCs w:val="19"/>
              </w:rPr>
              <w:t xml:space="preserve">City </w:t>
            </w:r>
            <w:r w:rsidR="00291F58">
              <w:rPr>
                <w:szCs w:val="19"/>
              </w:rPr>
              <w:t>Office of Management and Budget</w:t>
            </w:r>
          </w:p>
          <w:p w:rsidR="00AA09FA" w:rsidRDefault="00AA09FA">
            <w:pPr>
              <w:rPr>
                <w:szCs w:val="19"/>
              </w:rPr>
            </w:pPr>
            <w:r>
              <w:rPr>
                <w:szCs w:val="19"/>
              </w:rPr>
              <w:t xml:space="preserve">                                                New York City </w:t>
            </w:r>
            <w:r w:rsidRPr="00AA09FA">
              <w:rPr>
                <w:szCs w:val="19"/>
              </w:rPr>
              <w:t>Mayor's Office of City Legislative Affairs</w:t>
            </w:r>
          </w:p>
          <w:p w:rsidR="00BC6502" w:rsidRPr="007D040E" w:rsidRDefault="00352252">
            <w:pPr>
              <w:rPr>
                <w:szCs w:val="19"/>
              </w:rPr>
            </w:pPr>
            <w:r>
              <w:rPr>
                <w:szCs w:val="19"/>
              </w:rPr>
              <w:t xml:space="preserve">                                                </w:t>
            </w:r>
          </w:p>
        </w:tc>
      </w:tr>
      <w:tr w:rsidR="00352252" w:rsidTr="00AA7573">
        <w:trPr>
          <w:trHeight w:val="1188"/>
          <w:jc w:val="center"/>
        </w:trPr>
        <w:tc>
          <w:tcPr>
            <w:tcW w:w="11016" w:type="dxa"/>
          </w:tcPr>
          <w:p w:rsidR="00682B42" w:rsidRDefault="00682B42" w:rsidP="00682B42">
            <w:pPr>
              <w:rPr>
                <w:sz w:val="22"/>
                <w:szCs w:val="22"/>
              </w:rPr>
            </w:pPr>
            <w:r>
              <w:rPr>
                <w:b/>
                <w:bCs/>
                <w:smallCaps/>
              </w:rPr>
              <w:t>Estimate Prepared By</w:t>
            </w:r>
            <w:r>
              <w:rPr>
                <w:smallCaps/>
              </w:rPr>
              <w:t xml:space="preserve">:   </w:t>
            </w:r>
            <w:r w:rsidR="00861105">
              <w:t xml:space="preserve">James Subudhi, </w:t>
            </w:r>
            <w:r w:rsidRPr="002F04E4">
              <w:t>Legislative Financial Analyst</w:t>
            </w:r>
          </w:p>
          <w:p w:rsidR="00682B42" w:rsidRDefault="00682B42" w:rsidP="00682B42">
            <w:r>
              <w:t xml:space="preserve">                                             </w:t>
            </w:r>
          </w:p>
          <w:p w:rsidR="00682B42" w:rsidRDefault="00682B42" w:rsidP="00682B42">
            <w:r>
              <w:rPr>
                <w:b/>
                <w:smallCaps/>
                <w:sz w:val="22"/>
                <w:szCs w:val="22"/>
              </w:rPr>
              <w:t>Estimate Reviewed By:</w:t>
            </w:r>
            <w:r>
              <w:rPr>
                <w:smallCaps/>
                <w:sz w:val="22"/>
                <w:szCs w:val="22"/>
              </w:rPr>
              <w:t xml:space="preserve">  </w:t>
            </w:r>
            <w:r w:rsidR="00C2215B">
              <w:t>Rebecca Chasan, Assistant Counsel</w:t>
            </w:r>
          </w:p>
          <w:p w:rsidR="001C3FD4" w:rsidRDefault="001C3FD4" w:rsidP="00682B42">
            <w:r>
              <w:t xml:space="preserve">                                           Tanisha Edwards, Chief Counsel</w:t>
            </w:r>
          </w:p>
          <w:p w:rsidR="00751621" w:rsidRDefault="001C3FD4">
            <w:pPr>
              <w:rPr>
                <w:smallCaps/>
              </w:rPr>
            </w:pPr>
            <w:r>
              <w:t xml:space="preserve">                                           John Russell, Unit Head</w:t>
            </w:r>
            <w:r w:rsidR="00352252">
              <w:rPr>
                <w:smallCaps/>
              </w:rPr>
              <w:t xml:space="preserve"> </w:t>
            </w:r>
            <w:r w:rsidR="001C6AD0">
              <w:rPr>
                <w:smallCaps/>
              </w:rPr>
              <w:t xml:space="preserve"> </w:t>
            </w:r>
          </w:p>
          <w:p w:rsidR="00780657" w:rsidRDefault="001C6AD0">
            <w:r>
              <w:rPr>
                <w:smallCaps/>
              </w:rPr>
              <w:t xml:space="preserve"> </w:t>
            </w:r>
          </w:p>
        </w:tc>
      </w:tr>
      <w:tr w:rsidR="00352252">
        <w:trPr>
          <w:jc w:val="center"/>
        </w:trPr>
        <w:tc>
          <w:tcPr>
            <w:tcW w:w="11016" w:type="dxa"/>
          </w:tcPr>
          <w:p w:rsidR="00C2215B" w:rsidRDefault="00352252" w:rsidP="00C2215B">
            <w:r>
              <w:rPr>
                <w:b/>
                <w:bCs/>
                <w:smallCaps/>
                <w:szCs w:val="19"/>
              </w:rPr>
              <w:t>History</w:t>
            </w:r>
            <w:r>
              <w:rPr>
                <w:b/>
                <w:bCs/>
                <w:szCs w:val="19"/>
              </w:rPr>
              <w:t>:</w:t>
            </w:r>
            <w:r w:rsidR="00BC6502">
              <w:rPr>
                <w:b/>
                <w:bCs/>
                <w:szCs w:val="19"/>
              </w:rPr>
              <w:t xml:space="preserve">     </w:t>
            </w:r>
            <w:r w:rsidR="00C2215B">
              <w:t xml:space="preserve">This legislation was introduced to the full Council on </w:t>
            </w:r>
            <w:r w:rsidR="00C2215B">
              <w:rPr>
                <w:color w:val="000000"/>
              </w:rPr>
              <w:t xml:space="preserve">June 10, 2015 </w:t>
            </w:r>
            <w:r w:rsidR="00C2215B">
              <w:t xml:space="preserve">as Intro. No. </w:t>
            </w:r>
            <w:r w:rsidR="00BB4BAC">
              <w:rPr>
                <w:color w:val="000000"/>
              </w:rPr>
              <w:t>810</w:t>
            </w:r>
            <w:r w:rsidR="00C2215B">
              <w:t xml:space="preserve"> and referred to the Committee on Governmental Operations.  The Committee on Governmental Operations held a hearing</w:t>
            </w:r>
            <w:r w:rsidR="003D0701">
              <w:t>, jointly with the Committee on Finance,</w:t>
            </w:r>
            <w:r w:rsidR="00C2215B">
              <w:t xml:space="preserve"> on Intro. No.  </w:t>
            </w:r>
            <w:r w:rsidR="00BB4BAC">
              <w:rPr>
                <w:color w:val="000000"/>
              </w:rPr>
              <w:t>810</w:t>
            </w:r>
            <w:r w:rsidR="00C2215B">
              <w:t xml:space="preserve"> on </w:t>
            </w:r>
            <w:r w:rsidR="003D0701">
              <w:rPr>
                <w:color w:val="000000"/>
              </w:rPr>
              <w:t xml:space="preserve">November </w:t>
            </w:r>
            <w:r w:rsidR="00C2215B">
              <w:rPr>
                <w:color w:val="000000"/>
              </w:rPr>
              <w:t xml:space="preserve">19, 2015 </w:t>
            </w:r>
            <w:r w:rsidR="00C2215B">
              <w:t xml:space="preserve">and the legislation </w:t>
            </w:r>
            <w:proofErr w:type="gramStart"/>
            <w:r w:rsidR="00C2215B">
              <w:t>was</w:t>
            </w:r>
            <w:proofErr w:type="gramEnd"/>
            <w:r w:rsidR="00C2215B">
              <w:t xml:space="preserve"> laid over.  The legislation was subsequently amended and the amended version of the legislation, Proposed Intro. No. </w:t>
            </w:r>
            <w:r w:rsidR="00BB4BAC">
              <w:t>810</w:t>
            </w:r>
            <w:r w:rsidR="00C2215B">
              <w:t>-</w:t>
            </w:r>
            <w:proofErr w:type="gramStart"/>
            <w:r w:rsidR="00C2215B">
              <w:t>A,</w:t>
            </w:r>
            <w:proofErr w:type="gramEnd"/>
            <w:r w:rsidR="00C2215B">
              <w:t xml:space="preserve"> will be considered by the Committee on Governmental Operations on April 6, 2016. Upon successful vote of the Committee, Proposed Intro. No. </w:t>
            </w:r>
            <w:r w:rsidR="00BB4BAC">
              <w:t>810</w:t>
            </w:r>
            <w:r w:rsidR="00C2215B">
              <w:t>-A will be submitted to the full Council for a vote on April, 7, 2016.</w:t>
            </w:r>
          </w:p>
          <w:p w:rsidR="00C2215B" w:rsidRDefault="00C2215B" w:rsidP="003D20D7">
            <w:pPr>
              <w:rPr>
                <w:b/>
                <w:bCs/>
                <w:szCs w:val="19"/>
              </w:rPr>
            </w:pPr>
          </w:p>
          <w:p w:rsidR="00352252" w:rsidRDefault="00AA0D8B" w:rsidP="001E38BA">
            <w:r>
              <w:rPr>
                <w:b/>
                <w:bCs/>
                <w:smallCaps/>
                <w:szCs w:val="19"/>
              </w:rPr>
              <w:t>Date Prepared</w:t>
            </w:r>
            <w:r>
              <w:rPr>
                <w:b/>
                <w:bCs/>
                <w:szCs w:val="19"/>
              </w:rPr>
              <w:t xml:space="preserve">:     </w:t>
            </w:r>
            <w:r w:rsidR="00AA09FA">
              <w:t>April 5</w:t>
            </w:r>
            <w:r w:rsidR="00395D94">
              <w:t>, 2016</w:t>
            </w:r>
          </w:p>
        </w:tc>
      </w:tr>
    </w:tbl>
    <w:p w:rsidR="00352252" w:rsidRPr="00BC6502" w:rsidRDefault="00352252" w:rsidP="00885E75"/>
    <w:sectPr w:rsidR="00352252" w:rsidRPr="00BC6502">
      <w:foot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24" w:rsidRDefault="00972F24" w:rsidP="00580EC5">
      <w:r>
        <w:separator/>
      </w:r>
    </w:p>
  </w:endnote>
  <w:endnote w:type="continuationSeparator" w:id="0">
    <w:p w:rsidR="00972F24" w:rsidRDefault="00972F24" w:rsidP="0058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D0" w:rsidRDefault="00F249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Proposed Intro No. 810-A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F249D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249D0" w:rsidRDefault="00F24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24" w:rsidRDefault="00972F24" w:rsidP="00580EC5">
      <w:r>
        <w:separator/>
      </w:r>
    </w:p>
  </w:footnote>
  <w:footnote w:type="continuationSeparator" w:id="0">
    <w:p w:rsidR="00972F24" w:rsidRDefault="00972F24" w:rsidP="00580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3B29"/>
    <w:multiLevelType w:val="hybridMultilevel"/>
    <w:tmpl w:val="4910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138D2"/>
    <w:multiLevelType w:val="hybridMultilevel"/>
    <w:tmpl w:val="43BE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16559"/>
    <w:multiLevelType w:val="hybridMultilevel"/>
    <w:tmpl w:val="BD9CB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CF"/>
    <w:rsid w:val="000267BE"/>
    <w:rsid w:val="0002794F"/>
    <w:rsid w:val="0004223F"/>
    <w:rsid w:val="000464A4"/>
    <w:rsid w:val="000A24EB"/>
    <w:rsid w:val="000C7FF6"/>
    <w:rsid w:val="000E450D"/>
    <w:rsid w:val="0010375C"/>
    <w:rsid w:val="00122A07"/>
    <w:rsid w:val="001304F8"/>
    <w:rsid w:val="00161987"/>
    <w:rsid w:val="0017571F"/>
    <w:rsid w:val="00182190"/>
    <w:rsid w:val="001B0585"/>
    <w:rsid w:val="001C3FD4"/>
    <w:rsid w:val="001C6AD0"/>
    <w:rsid w:val="001C6CA0"/>
    <w:rsid w:val="001D2910"/>
    <w:rsid w:val="001E38BA"/>
    <w:rsid w:val="00223347"/>
    <w:rsid w:val="002415F8"/>
    <w:rsid w:val="00251BB3"/>
    <w:rsid w:val="00262137"/>
    <w:rsid w:val="00291F58"/>
    <w:rsid w:val="002B7EC1"/>
    <w:rsid w:val="002C6BD0"/>
    <w:rsid w:val="002D4D84"/>
    <w:rsid w:val="002E4212"/>
    <w:rsid w:val="003011E5"/>
    <w:rsid w:val="00301F0C"/>
    <w:rsid w:val="00323D32"/>
    <w:rsid w:val="00325925"/>
    <w:rsid w:val="0033534B"/>
    <w:rsid w:val="003439BA"/>
    <w:rsid w:val="00352252"/>
    <w:rsid w:val="00395D94"/>
    <w:rsid w:val="003D0701"/>
    <w:rsid w:val="003D20D7"/>
    <w:rsid w:val="003D6D62"/>
    <w:rsid w:val="00406123"/>
    <w:rsid w:val="00422899"/>
    <w:rsid w:val="00493233"/>
    <w:rsid w:val="004A4031"/>
    <w:rsid w:val="004D0BF4"/>
    <w:rsid w:val="004F758E"/>
    <w:rsid w:val="00521121"/>
    <w:rsid w:val="005236DD"/>
    <w:rsid w:val="00531199"/>
    <w:rsid w:val="00564365"/>
    <w:rsid w:val="0056635C"/>
    <w:rsid w:val="00571851"/>
    <w:rsid w:val="005751D3"/>
    <w:rsid w:val="00580EC5"/>
    <w:rsid w:val="005B632B"/>
    <w:rsid w:val="005B641E"/>
    <w:rsid w:val="005C13C4"/>
    <w:rsid w:val="005C5979"/>
    <w:rsid w:val="005F25C0"/>
    <w:rsid w:val="00602A3F"/>
    <w:rsid w:val="00660C32"/>
    <w:rsid w:val="00682B42"/>
    <w:rsid w:val="0069101C"/>
    <w:rsid w:val="006A41E8"/>
    <w:rsid w:val="006A5F6B"/>
    <w:rsid w:val="006B2031"/>
    <w:rsid w:val="006C3EF9"/>
    <w:rsid w:val="006C4744"/>
    <w:rsid w:val="006D31A3"/>
    <w:rsid w:val="006E1156"/>
    <w:rsid w:val="006F3541"/>
    <w:rsid w:val="00720ABB"/>
    <w:rsid w:val="00732DE6"/>
    <w:rsid w:val="00741012"/>
    <w:rsid w:val="007421AB"/>
    <w:rsid w:val="007428B7"/>
    <w:rsid w:val="00744507"/>
    <w:rsid w:val="00747DA4"/>
    <w:rsid w:val="00751621"/>
    <w:rsid w:val="00780657"/>
    <w:rsid w:val="007948B8"/>
    <w:rsid w:val="007C1D6A"/>
    <w:rsid w:val="007C7DCF"/>
    <w:rsid w:val="007D040E"/>
    <w:rsid w:val="007E4582"/>
    <w:rsid w:val="008237EC"/>
    <w:rsid w:val="0083117A"/>
    <w:rsid w:val="0084224D"/>
    <w:rsid w:val="00861105"/>
    <w:rsid w:val="00881D58"/>
    <w:rsid w:val="00885E75"/>
    <w:rsid w:val="0089429F"/>
    <w:rsid w:val="008970C9"/>
    <w:rsid w:val="008D1E7F"/>
    <w:rsid w:val="008D4F43"/>
    <w:rsid w:val="00905C41"/>
    <w:rsid w:val="00921745"/>
    <w:rsid w:val="009327F5"/>
    <w:rsid w:val="00936BCE"/>
    <w:rsid w:val="00951833"/>
    <w:rsid w:val="0096472B"/>
    <w:rsid w:val="00972F24"/>
    <w:rsid w:val="00973A9C"/>
    <w:rsid w:val="009810A5"/>
    <w:rsid w:val="009A623B"/>
    <w:rsid w:val="009E0587"/>
    <w:rsid w:val="009E4B12"/>
    <w:rsid w:val="00A1598A"/>
    <w:rsid w:val="00A24926"/>
    <w:rsid w:val="00A24BA6"/>
    <w:rsid w:val="00A2642E"/>
    <w:rsid w:val="00A31AB4"/>
    <w:rsid w:val="00A429E5"/>
    <w:rsid w:val="00A64D78"/>
    <w:rsid w:val="00AA09FA"/>
    <w:rsid w:val="00AA0D8B"/>
    <w:rsid w:val="00AA1125"/>
    <w:rsid w:val="00AA7573"/>
    <w:rsid w:val="00AB3AD7"/>
    <w:rsid w:val="00AE5DDD"/>
    <w:rsid w:val="00B0099B"/>
    <w:rsid w:val="00B110D4"/>
    <w:rsid w:val="00B307DE"/>
    <w:rsid w:val="00B31290"/>
    <w:rsid w:val="00B523CE"/>
    <w:rsid w:val="00B53F3C"/>
    <w:rsid w:val="00B716AE"/>
    <w:rsid w:val="00B86F6F"/>
    <w:rsid w:val="00BA59EA"/>
    <w:rsid w:val="00BB470B"/>
    <w:rsid w:val="00BB4BAC"/>
    <w:rsid w:val="00BC6502"/>
    <w:rsid w:val="00BE7D58"/>
    <w:rsid w:val="00BF73CB"/>
    <w:rsid w:val="00BF788A"/>
    <w:rsid w:val="00C2215B"/>
    <w:rsid w:val="00C36AF8"/>
    <w:rsid w:val="00C52A6A"/>
    <w:rsid w:val="00C67202"/>
    <w:rsid w:val="00CA437D"/>
    <w:rsid w:val="00CA7B82"/>
    <w:rsid w:val="00CB5CAB"/>
    <w:rsid w:val="00CE2E94"/>
    <w:rsid w:val="00CF5F48"/>
    <w:rsid w:val="00D13DA9"/>
    <w:rsid w:val="00D23CF2"/>
    <w:rsid w:val="00D56CD5"/>
    <w:rsid w:val="00D6593F"/>
    <w:rsid w:val="00D872CF"/>
    <w:rsid w:val="00DA69E3"/>
    <w:rsid w:val="00DB057D"/>
    <w:rsid w:val="00DE02CE"/>
    <w:rsid w:val="00E35AB5"/>
    <w:rsid w:val="00E50898"/>
    <w:rsid w:val="00E54639"/>
    <w:rsid w:val="00E54D27"/>
    <w:rsid w:val="00E73B39"/>
    <w:rsid w:val="00EB7B6B"/>
    <w:rsid w:val="00EE2F96"/>
    <w:rsid w:val="00EF3D46"/>
    <w:rsid w:val="00F04214"/>
    <w:rsid w:val="00F118BC"/>
    <w:rsid w:val="00F249D0"/>
    <w:rsid w:val="00F31042"/>
    <w:rsid w:val="00F40C7C"/>
    <w:rsid w:val="00F81630"/>
    <w:rsid w:val="00FA129C"/>
    <w:rsid w:val="00FE6DF8"/>
    <w:rsid w:val="00FF2168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80EC5"/>
    <w:pPr>
      <w:jc w:val="left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80EC5"/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EC5"/>
    <w:pPr>
      <w:spacing w:after="120" w:line="480" w:lineRule="auto"/>
      <w:ind w:left="360"/>
      <w:jc w:val="left"/>
    </w:pPr>
    <w:rPr>
      <w:rFonts w:eastAsia="Calibri"/>
    </w:rPr>
  </w:style>
  <w:style w:type="character" w:customStyle="1" w:styleId="BodyTextIndent2Char">
    <w:name w:val="Body Text Indent 2 Char"/>
    <w:link w:val="BodyTextIndent2"/>
    <w:uiPriority w:val="99"/>
    <w:rsid w:val="00580EC5"/>
    <w:rPr>
      <w:rFonts w:eastAsia="Calibri"/>
      <w:sz w:val="24"/>
      <w:szCs w:val="24"/>
    </w:rPr>
  </w:style>
  <w:style w:type="character" w:styleId="FootnoteReference">
    <w:name w:val="footnote reference"/>
    <w:uiPriority w:val="99"/>
    <w:unhideWhenUsed/>
    <w:rsid w:val="00580EC5"/>
    <w:rPr>
      <w:vertAlign w:val="superscript"/>
    </w:rPr>
  </w:style>
  <w:style w:type="character" w:customStyle="1" w:styleId="st1">
    <w:name w:val="st1"/>
    <w:rsid w:val="00580EC5"/>
    <w:rPr>
      <w:rFonts w:cs="Times New Roman"/>
    </w:rPr>
  </w:style>
  <w:style w:type="paragraph" w:styleId="BodyText">
    <w:name w:val="Body Text"/>
    <w:basedOn w:val="Normal"/>
    <w:link w:val="BodyTextChar"/>
    <w:rsid w:val="00EE2F96"/>
    <w:pPr>
      <w:spacing w:after="120"/>
    </w:pPr>
  </w:style>
  <w:style w:type="character" w:customStyle="1" w:styleId="BodyTextChar">
    <w:name w:val="Body Text Char"/>
    <w:link w:val="BodyText"/>
    <w:rsid w:val="00EE2F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16AE"/>
    <w:pPr>
      <w:ind w:left="720"/>
    </w:pPr>
  </w:style>
  <w:style w:type="character" w:customStyle="1" w:styleId="apple-converted-space">
    <w:name w:val="apple-converted-space"/>
    <w:rsid w:val="00D13DA9"/>
  </w:style>
  <w:style w:type="paragraph" w:styleId="NoSpacing">
    <w:name w:val="No Spacing"/>
    <w:uiPriority w:val="1"/>
    <w:qFormat/>
    <w:rsid w:val="00D13DA9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AE5D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5D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5DDD"/>
  </w:style>
  <w:style w:type="paragraph" w:styleId="CommentSubject">
    <w:name w:val="annotation subject"/>
    <w:basedOn w:val="CommentText"/>
    <w:next w:val="CommentText"/>
    <w:link w:val="CommentSubjectChar"/>
    <w:rsid w:val="00AE5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5DDD"/>
    <w:rPr>
      <w:b/>
      <w:bCs/>
    </w:rPr>
  </w:style>
  <w:style w:type="paragraph" w:styleId="Header">
    <w:name w:val="header"/>
    <w:basedOn w:val="Normal"/>
    <w:link w:val="HeaderChar"/>
    <w:rsid w:val="00F24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49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4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9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80EC5"/>
    <w:pPr>
      <w:jc w:val="left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80EC5"/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EC5"/>
    <w:pPr>
      <w:spacing w:after="120" w:line="480" w:lineRule="auto"/>
      <w:ind w:left="360"/>
      <w:jc w:val="left"/>
    </w:pPr>
    <w:rPr>
      <w:rFonts w:eastAsia="Calibri"/>
    </w:rPr>
  </w:style>
  <w:style w:type="character" w:customStyle="1" w:styleId="BodyTextIndent2Char">
    <w:name w:val="Body Text Indent 2 Char"/>
    <w:link w:val="BodyTextIndent2"/>
    <w:uiPriority w:val="99"/>
    <w:rsid w:val="00580EC5"/>
    <w:rPr>
      <w:rFonts w:eastAsia="Calibri"/>
      <w:sz w:val="24"/>
      <w:szCs w:val="24"/>
    </w:rPr>
  </w:style>
  <w:style w:type="character" w:styleId="FootnoteReference">
    <w:name w:val="footnote reference"/>
    <w:uiPriority w:val="99"/>
    <w:unhideWhenUsed/>
    <w:rsid w:val="00580EC5"/>
    <w:rPr>
      <w:vertAlign w:val="superscript"/>
    </w:rPr>
  </w:style>
  <w:style w:type="character" w:customStyle="1" w:styleId="st1">
    <w:name w:val="st1"/>
    <w:rsid w:val="00580EC5"/>
    <w:rPr>
      <w:rFonts w:cs="Times New Roman"/>
    </w:rPr>
  </w:style>
  <w:style w:type="paragraph" w:styleId="BodyText">
    <w:name w:val="Body Text"/>
    <w:basedOn w:val="Normal"/>
    <w:link w:val="BodyTextChar"/>
    <w:rsid w:val="00EE2F96"/>
    <w:pPr>
      <w:spacing w:after="120"/>
    </w:pPr>
  </w:style>
  <w:style w:type="character" w:customStyle="1" w:styleId="BodyTextChar">
    <w:name w:val="Body Text Char"/>
    <w:link w:val="BodyText"/>
    <w:rsid w:val="00EE2F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16AE"/>
    <w:pPr>
      <w:ind w:left="720"/>
    </w:pPr>
  </w:style>
  <w:style w:type="character" w:customStyle="1" w:styleId="apple-converted-space">
    <w:name w:val="apple-converted-space"/>
    <w:rsid w:val="00D13DA9"/>
  </w:style>
  <w:style w:type="paragraph" w:styleId="NoSpacing">
    <w:name w:val="No Spacing"/>
    <w:uiPriority w:val="1"/>
    <w:qFormat/>
    <w:rsid w:val="00D13DA9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AE5D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5D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5DDD"/>
  </w:style>
  <w:style w:type="paragraph" w:styleId="CommentSubject">
    <w:name w:val="annotation subject"/>
    <w:basedOn w:val="CommentText"/>
    <w:next w:val="CommentText"/>
    <w:link w:val="CommentSubjectChar"/>
    <w:rsid w:val="00AE5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5DDD"/>
    <w:rPr>
      <w:b/>
      <w:bCs/>
    </w:rPr>
  </w:style>
  <w:style w:type="paragraph" w:styleId="Header">
    <w:name w:val="header"/>
    <w:basedOn w:val="Normal"/>
    <w:link w:val="HeaderChar"/>
    <w:rsid w:val="00F24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49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4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9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360B-960E-4DA3-9D99-D510AE39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2</TotalTime>
  <Pages>2</Pages>
  <Words>729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NYCC</dc:creator>
  <cp:lastModifiedBy>Pagan, Maria</cp:lastModifiedBy>
  <cp:revision>3</cp:revision>
  <cp:lastPrinted>2015-01-07T14:48:00Z</cp:lastPrinted>
  <dcterms:created xsi:type="dcterms:W3CDTF">2016-04-05T21:00:00Z</dcterms:created>
  <dcterms:modified xsi:type="dcterms:W3CDTF">2016-04-07T13:21:00Z</dcterms:modified>
</cp:coreProperties>
</file>