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5508"/>
        <w:gridCol w:w="5508"/>
      </w:tblGrid>
      <w:tr w:rsidR="00352252">
        <w:trPr>
          <w:jc w:val="center"/>
        </w:trPr>
        <w:tc>
          <w:tcPr>
            <w:tcW w:w="5508" w:type="dxa"/>
            <w:tcBorders>
              <w:bottom w:val="single" w:sz="6" w:space="0" w:color="auto"/>
            </w:tcBorders>
          </w:tcPr>
          <w:p w:rsidR="00352252" w:rsidRDefault="00E50898">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352252" w:rsidRDefault="00352252"/>
        </w:tc>
        <w:tc>
          <w:tcPr>
            <w:tcW w:w="5508" w:type="dxa"/>
            <w:tcBorders>
              <w:bottom w:val="single" w:sz="6" w:space="0" w:color="auto"/>
            </w:tcBorders>
          </w:tcPr>
          <w:p w:rsidR="00352252" w:rsidRDefault="00352252">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352252" w:rsidRDefault="00352252" w:rsidP="00AA7573">
            <w:pPr>
              <w:rPr>
                <w:b/>
                <w:bCs/>
                <w:smallCaps/>
              </w:rPr>
            </w:pPr>
            <w:r>
              <w:rPr>
                <w:b/>
                <w:bCs/>
                <w:smallCaps/>
              </w:rPr>
              <w:t>Finance Division</w:t>
            </w:r>
          </w:p>
          <w:p w:rsidR="00352252" w:rsidRDefault="00A24BA6" w:rsidP="00AA7573">
            <w:pPr>
              <w:spacing w:before="120"/>
              <w:rPr>
                <w:b/>
                <w:bCs/>
                <w:smallCaps/>
              </w:rPr>
            </w:pPr>
            <w:r>
              <w:rPr>
                <w:b/>
                <w:bCs/>
                <w:smallCaps/>
              </w:rPr>
              <w:t>Latonia McKinney</w:t>
            </w:r>
            <w:r w:rsidR="00352252">
              <w:rPr>
                <w:b/>
                <w:bCs/>
                <w:smallCaps/>
              </w:rPr>
              <w:t>, Director</w:t>
            </w:r>
          </w:p>
          <w:p w:rsidR="00352252" w:rsidRDefault="00352252" w:rsidP="00AA7573">
            <w:pPr>
              <w:spacing w:before="120"/>
            </w:pPr>
            <w:r>
              <w:rPr>
                <w:b/>
                <w:bCs/>
                <w:smallCaps/>
              </w:rPr>
              <w:t>Fiscal Impact Statement</w:t>
            </w:r>
          </w:p>
          <w:p w:rsidR="007D040E" w:rsidRPr="007D040E" w:rsidRDefault="00A1598A" w:rsidP="00AA7573">
            <w:pPr>
              <w:spacing w:before="120"/>
              <w:rPr>
                <w:b/>
                <w:bCs/>
                <w:smallCaps/>
              </w:rPr>
            </w:pPr>
            <w:proofErr w:type="spellStart"/>
            <w:r w:rsidRPr="00A1598A">
              <w:rPr>
                <w:b/>
                <w:bCs/>
                <w:smallCaps/>
              </w:rPr>
              <w:t>Preconsidered</w:t>
            </w:r>
            <w:proofErr w:type="spellEnd"/>
            <w:r w:rsidRPr="00A1598A">
              <w:rPr>
                <w:b/>
                <w:bCs/>
                <w:smallCaps/>
              </w:rPr>
              <w:t xml:space="preserve"> Int. No.</w:t>
            </w:r>
          </w:p>
          <w:p w:rsidR="00352252" w:rsidRPr="00F81630" w:rsidRDefault="00352252" w:rsidP="00AA7573">
            <w:pPr>
              <w:tabs>
                <w:tab w:val="left" w:pos="-1440"/>
              </w:tabs>
              <w:spacing w:before="120"/>
              <w:ind w:left="1440" w:hanging="1440"/>
              <w:jc w:val="left"/>
            </w:pPr>
            <w:r>
              <w:rPr>
                <w:b/>
                <w:bCs/>
                <w:smallCaps/>
              </w:rPr>
              <w:t>Committee</w:t>
            </w:r>
            <w:r>
              <w:rPr>
                <w:b/>
                <w:bCs/>
              </w:rPr>
              <w:t>:</w:t>
            </w:r>
            <w:r w:rsidR="000C7FF6">
              <w:rPr>
                <w:b/>
                <w:bCs/>
              </w:rPr>
              <w:t xml:space="preserve"> </w:t>
            </w:r>
            <w:r w:rsidR="00F81630">
              <w:rPr>
                <w:b/>
                <w:bCs/>
              </w:rPr>
              <w:t xml:space="preserve">  </w:t>
            </w:r>
            <w:r w:rsidR="008B2499">
              <w:rPr>
                <w:b/>
                <w:bCs/>
              </w:rPr>
              <w:t>Governmental Operations</w:t>
            </w:r>
          </w:p>
          <w:p w:rsidR="00352252" w:rsidRDefault="00352252"/>
        </w:tc>
      </w:tr>
      <w:tr w:rsidR="00352252">
        <w:trPr>
          <w:jc w:val="center"/>
        </w:trPr>
        <w:tc>
          <w:tcPr>
            <w:tcW w:w="5508" w:type="dxa"/>
            <w:tcBorders>
              <w:top w:val="single" w:sz="6" w:space="0" w:color="auto"/>
            </w:tcBorders>
          </w:tcPr>
          <w:p w:rsidR="00352252" w:rsidRDefault="00352252">
            <w:pPr>
              <w:rPr>
                <w:b/>
                <w:bCs/>
                <w:smallCaps/>
              </w:rPr>
            </w:pPr>
          </w:p>
          <w:p w:rsidR="00AB3AD7" w:rsidRPr="00AB3AD7" w:rsidRDefault="00352252" w:rsidP="00AB3AD7">
            <w:pPr>
              <w:shd w:val="clear" w:color="auto" w:fill="FFFFFF"/>
            </w:pPr>
            <w:r>
              <w:rPr>
                <w:b/>
                <w:bCs/>
                <w:smallCaps/>
              </w:rPr>
              <w:t>Title</w:t>
            </w:r>
            <w:r>
              <w:rPr>
                <w:b/>
                <w:bCs/>
              </w:rPr>
              <w:t>:</w:t>
            </w:r>
            <w:r>
              <w:t xml:space="preserve"> </w:t>
            </w:r>
            <w:r w:rsidR="00F81630">
              <w:t xml:space="preserve"> </w:t>
            </w:r>
            <w:r w:rsidR="00D13DA9">
              <w:t>A Local Law to amend the New York city charter,</w:t>
            </w:r>
            <w:r w:rsidR="00D13DA9">
              <w:rPr>
                <w:rStyle w:val="apple-converted-space"/>
                <w:color w:val="000000"/>
                <w:shd w:val="clear" w:color="auto" w:fill="FFFFFF"/>
              </w:rPr>
              <w:t> </w:t>
            </w:r>
            <w:r w:rsidR="00D13DA9">
              <w:rPr>
                <w:color w:val="000000"/>
                <w:shd w:val="clear" w:color="auto" w:fill="FFFFFF"/>
              </w:rPr>
              <w:t>in relation to compensation of the mayor, public advocate, members of the city council, borough presidents, comptroller and district attorneys</w:t>
            </w:r>
          </w:p>
          <w:p w:rsidR="00352252" w:rsidRDefault="00352252"/>
        </w:tc>
        <w:tc>
          <w:tcPr>
            <w:tcW w:w="5508" w:type="dxa"/>
            <w:tcBorders>
              <w:top w:val="single" w:sz="6" w:space="0" w:color="auto"/>
            </w:tcBorders>
          </w:tcPr>
          <w:p w:rsidR="00352252" w:rsidRDefault="00352252">
            <w:pPr>
              <w:tabs>
                <w:tab w:val="left" w:pos="-1440"/>
              </w:tabs>
              <w:ind w:left="1440" w:hanging="1440"/>
              <w:rPr>
                <w:b/>
                <w:bCs/>
                <w:smallCaps/>
              </w:rPr>
            </w:pPr>
          </w:p>
          <w:p w:rsidR="00AB3AD7" w:rsidRPr="00AB3AD7" w:rsidRDefault="00352252" w:rsidP="00AB3AD7">
            <w:pPr>
              <w:shd w:val="clear" w:color="auto" w:fill="FFFFFF"/>
              <w:rPr>
                <w:rFonts w:eastAsia="Calibri"/>
              </w:rPr>
            </w:pPr>
            <w:r>
              <w:rPr>
                <w:b/>
                <w:bCs/>
                <w:smallCaps/>
              </w:rPr>
              <w:t>Sponsor</w:t>
            </w:r>
            <w:r w:rsidR="001C6CA0">
              <w:rPr>
                <w:b/>
                <w:bCs/>
                <w:smallCaps/>
              </w:rPr>
              <w:t>s</w:t>
            </w:r>
            <w:r>
              <w:rPr>
                <w:b/>
                <w:bCs/>
              </w:rPr>
              <w:t>:</w:t>
            </w:r>
            <w:r w:rsidR="00F81630">
              <w:rPr>
                <w:b/>
                <w:bCs/>
              </w:rPr>
              <w:t xml:space="preserve">  </w:t>
            </w:r>
            <w:r w:rsidR="008B2499">
              <w:rPr>
                <w:bCs/>
              </w:rPr>
              <w:t xml:space="preserve">The </w:t>
            </w:r>
            <w:r w:rsidR="00720ABB" w:rsidRPr="00720ABB">
              <w:rPr>
                <w:bCs/>
              </w:rPr>
              <w:t xml:space="preserve">Speaker </w:t>
            </w:r>
            <w:r w:rsidR="008B2499">
              <w:rPr>
                <w:bCs/>
              </w:rPr>
              <w:t xml:space="preserve">(Council Member </w:t>
            </w:r>
            <w:r w:rsidR="00720ABB" w:rsidRPr="00720ABB">
              <w:rPr>
                <w:bCs/>
              </w:rPr>
              <w:t>Mark-</w:t>
            </w:r>
            <w:proofErr w:type="spellStart"/>
            <w:r w:rsidR="00720ABB" w:rsidRPr="00720ABB">
              <w:rPr>
                <w:bCs/>
              </w:rPr>
              <w:t>Viverito</w:t>
            </w:r>
            <w:proofErr w:type="spellEnd"/>
            <w:r w:rsidR="008B2499">
              <w:rPr>
                <w:bCs/>
              </w:rPr>
              <w:t>)</w:t>
            </w:r>
          </w:p>
          <w:p w:rsidR="00352252" w:rsidRDefault="00352252"/>
        </w:tc>
      </w:tr>
      <w:tr w:rsidR="00352252">
        <w:trPr>
          <w:cantSplit/>
          <w:trHeight w:val="554"/>
          <w:jc w:val="center"/>
        </w:trPr>
        <w:tc>
          <w:tcPr>
            <w:tcW w:w="11016" w:type="dxa"/>
            <w:gridSpan w:val="2"/>
          </w:tcPr>
          <w:p w:rsidR="00B716AE" w:rsidRPr="00D13DA9" w:rsidRDefault="00352252" w:rsidP="00023E3C">
            <w:pPr>
              <w:rPr>
                <w:rFonts w:eastAsia="Calibri"/>
              </w:rPr>
            </w:pPr>
            <w:r w:rsidRPr="00D56CD5">
              <w:rPr>
                <w:b/>
                <w:bCs/>
                <w:smallCaps/>
              </w:rPr>
              <w:t>Summary of Legislation</w:t>
            </w:r>
            <w:r w:rsidRPr="00AA0D8B">
              <w:rPr>
                <w:b/>
                <w:bCs/>
                <w:smallCaps/>
              </w:rPr>
              <w:t>:</w:t>
            </w:r>
            <w:r w:rsidR="002415F8" w:rsidRPr="00AA0D8B">
              <w:rPr>
                <w:b/>
                <w:bCs/>
                <w:smallCaps/>
              </w:rPr>
              <w:t xml:space="preserve">  </w:t>
            </w:r>
            <w:r w:rsidR="00D13DA9" w:rsidRPr="00D13DA9">
              <w:t xml:space="preserve">This bill would amend the annual salary of the Mayor to $258,750, the annual salary of the Public Advocate to $184,800, the annual salary of the Members of the City Council to $148,500, the annual salary of the Speaker of the City Council to $164,500, the annual salary of the Borough Presidents to $179,200, the annual salary of the Comptroller to $209,050 and the annual salary of the District Attorneys to $212,800. </w:t>
            </w:r>
          </w:p>
        </w:tc>
      </w:tr>
      <w:tr w:rsidR="00352252">
        <w:trPr>
          <w:cantSplit/>
          <w:trHeight w:val="553"/>
          <w:jc w:val="center"/>
        </w:trPr>
        <w:tc>
          <w:tcPr>
            <w:tcW w:w="11016" w:type="dxa"/>
            <w:gridSpan w:val="2"/>
          </w:tcPr>
          <w:p w:rsidR="006A41E8" w:rsidRPr="006A41E8" w:rsidRDefault="00352252" w:rsidP="006A41E8">
            <w:pPr>
              <w:spacing w:before="120"/>
              <w:rPr>
                <w:snapToGrid w:val="0"/>
              </w:rPr>
            </w:pPr>
            <w:r>
              <w:rPr>
                <w:b/>
                <w:bCs/>
                <w:smallCaps/>
              </w:rPr>
              <w:t>Effective Date:</w:t>
            </w:r>
            <w:r w:rsidR="006A41E8">
              <w:rPr>
                <w:b/>
                <w:bCs/>
                <w:smallCaps/>
              </w:rPr>
              <w:t xml:space="preserve"> </w:t>
            </w:r>
            <w:r w:rsidR="008B2499">
              <w:rPr>
                <w:b/>
                <w:bCs/>
                <w:smallCaps/>
              </w:rPr>
              <w:t xml:space="preserve"> </w:t>
            </w:r>
            <w:r w:rsidR="008B2499">
              <w:t xml:space="preserve">This local law would take effect </w:t>
            </w:r>
            <w:r w:rsidR="006A41E8" w:rsidRPr="00990ABC">
              <w:t xml:space="preserve">45 days after </w:t>
            </w:r>
            <w:r w:rsidR="006A41E8">
              <w:t>it</w:t>
            </w:r>
            <w:r w:rsidR="006A41E8" w:rsidRPr="00990ABC">
              <w:t xml:space="preserve"> become</w:t>
            </w:r>
            <w:r w:rsidR="006A41E8">
              <w:t>s</w:t>
            </w:r>
            <w:r w:rsidR="006A41E8" w:rsidRPr="00990ABC">
              <w:t xml:space="preserve"> law,</w:t>
            </w:r>
            <w:r w:rsidR="008B2499">
              <w:t xml:space="preserve"> and would be</w:t>
            </w:r>
            <w:r w:rsidR="006A41E8" w:rsidRPr="00990ABC">
              <w:t xml:space="preserve"> retroactive to</w:t>
            </w:r>
            <w:r w:rsidR="006A41E8">
              <w:t xml:space="preserve"> </w:t>
            </w:r>
            <w:r w:rsidR="006A41E8" w:rsidRPr="00990ABC">
              <w:t>January 1, 2016</w:t>
            </w:r>
            <w:r w:rsidR="006A41E8">
              <w:t xml:space="preserve">, except that </w:t>
            </w:r>
            <w:r w:rsidR="008B2499">
              <w:t xml:space="preserve">the provision of the law related to </w:t>
            </w:r>
            <w:r w:rsidR="006A41E8">
              <w:t>the salaries for Council Members</w:t>
            </w:r>
            <w:r w:rsidR="006A41E8" w:rsidRPr="00990ABC">
              <w:t xml:space="preserve"> </w:t>
            </w:r>
            <w:r w:rsidR="006A41E8">
              <w:t xml:space="preserve">would </w:t>
            </w:r>
            <w:r w:rsidR="008B2499">
              <w:t>take effect 45 days after it becomes law or when the Council has repealed allowances for Council Members by resolution, whichever is later, and at that time would be retroactive to January 1, 2016</w:t>
            </w:r>
            <w:r w:rsidR="006A41E8">
              <w:t>.</w:t>
            </w:r>
            <w:r w:rsidR="006A41E8" w:rsidRPr="00990ABC">
              <w:t xml:space="preserve"> </w:t>
            </w:r>
          </w:p>
          <w:p w:rsidR="00B716AE" w:rsidRDefault="00B716AE" w:rsidP="00FA129C">
            <w:pPr>
              <w:spacing w:before="120"/>
              <w:rPr>
                <w:b/>
                <w:bCs/>
                <w:smallCaps/>
              </w:rPr>
            </w:pPr>
          </w:p>
        </w:tc>
      </w:tr>
      <w:tr w:rsidR="00352252">
        <w:trPr>
          <w:cantSplit/>
          <w:trHeight w:val="553"/>
          <w:jc w:val="center"/>
        </w:trPr>
        <w:tc>
          <w:tcPr>
            <w:tcW w:w="11016" w:type="dxa"/>
            <w:gridSpan w:val="2"/>
            <w:tcBorders>
              <w:bottom w:val="single" w:sz="6" w:space="0" w:color="auto"/>
            </w:tcBorders>
          </w:tcPr>
          <w:p w:rsidR="00352252" w:rsidRDefault="00352252">
            <w:r>
              <w:rPr>
                <w:b/>
                <w:bCs/>
                <w:smallCaps/>
              </w:rPr>
              <w:t>Fiscal Year In Which Full Fiscal Impact Anticipated:</w:t>
            </w:r>
            <w:r>
              <w:t xml:space="preserve"> </w:t>
            </w:r>
            <w:r w:rsidR="00F81630">
              <w:t xml:space="preserve">  </w:t>
            </w:r>
            <w:r w:rsidR="006A41E8">
              <w:t>Fiscal Year 2017</w:t>
            </w:r>
          </w:p>
          <w:p w:rsidR="00B716AE" w:rsidRDefault="00B716AE">
            <w:pPr>
              <w:rPr>
                <w:b/>
                <w:bCs/>
                <w:smallCaps/>
              </w:rPr>
            </w:pPr>
          </w:p>
          <w:p w:rsidR="00352252" w:rsidRPr="00B716AE" w:rsidRDefault="00352252" w:rsidP="00B716AE"/>
        </w:tc>
      </w:tr>
      <w:tr w:rsidR="00352252" w:rsidTr="00E54D27">
        <w:trPr>
          <w:cantSplit/>
          <w:trHeight w:val="3036"/>
          <w:jc w:val="center"/>
        </w:trPr>
        <w:tc>
          <w:tcPr>
            <w:tcW w:w="11016" w:type="dxa"/>
            <w:gridSpan w:val="2"/>
            <w:tcBorders>
              <w:top w:val="single" w:sz="6" w:space="0" w:color="auto"/>
            </w:tcBorders>
          </w:tcPr>
          <w:p w:rsidR="00352252" w:rsidRDefault="00352252">
            <w:pPr>
              <w:rPr>
                <w:b/>
                <w:bCs/>
                <w:smallCaps/>
              </w:rPr>
            </w:pPr>
            <w:r>
              <w:rPr>
                <w:b/>
                <w:bCs/>
                <w:smallCaps/>
              </w:rPr>
              <w:t>Fiscal Impact Statement:</w:t>
            </w:r>
          </w:p>
          <w:p w:rsidR="001D2910" w:rsidRDefault="001D2910"/>
          <w:tbl>
            <w:tblPr>
              <w:tblW w:w="0" w:type="auto"/>
              <w:jc w:val="center"/>
              <w:tblCellMar>
                <w:left w:w="141" w:type="dxa"/>
                <w:right w:w="141" w:type="dxa"/>
              </w:tblCellMar>
              <w:tblLook w:val="0000" w:firstRow="0" w:lastRow="0" w:firstColumn="0" w:lastColumn="0" w:noHBand="0" w:noVBand="0"/>
            </w:tblPr>
            <w:tblGrid>
              <w:gridCol w:w="1995"/>
              <w:gridCol w:w="1522"/>
              <w:gridCol w:w="2083"/>
              <w:gridCol w:w="1754"/>
            </w:tblGrid>
            <w:tr w:rsidR="00352252" w:rsidTr="001B0585">
              <w:trPr>
                <w:jc w:val="center"/>
              </w:trPr>
              <w:tc>
                <w:tcPr>
                  <w:tcW w:w="1995" w:type="dxa"/>
                  <w:tcBorders>
                    <w:top w:val="double" w:sz="7" w:space="0" w:color="000000"/>
                    <w:left w:val="double" w:sz="7" w:space="0" w:color="000000"/>
                    <w:bottom w:val="single" w:sz="6" w:space="0" w:color="FFFFFF"/>
                    <w:right w:val="single" w:sz="6" w:space="0" w:color="FFFFFF"/>
                  </w:tcBorders>
                </w:tcPr>
                <w:p w:rsidR="00352252" w:rsidRDefault="00352252">
                  <w:pPr>
                    <w:spacing w:line="201" w:lineRule="exact"/>
                    <w:jc w:val="center"/>
                  </w:pPr>
                </w:p>
                <w:p w:rsidR="00352252" w:rsidRDefault="00352252">
                  <w:pPr>
                    <w:jc w:val="center"/>
                    <w:rPr>
                      <w:b/>
                      <w:bCs/>
                      <w:szCs w:val="19"/>
                    </w:rPr>
                  </w:pPr>
                </w:p>
              </w:tc>
              <w:tc>
                <w:tcPr>
                  <w:tcW w:w="1522" w:type="dxa"/>
                  <w:tcBorders>
                    <w:top w:val="double" w:sz="7" w:space="0" w:color="000000"/>
                    <w:left w:val="single" w:sz="7" w:space="0" w:color="000000"/>
                    <w:bottom w:val="single" w:sz="6" w:space="0" w:color="FFFFFF"/>
                    <w:right w:val="single" w:sz="6" w:space="0" w:color="FFFFFF"/>
                  </w:tcBorders>
                </w:tcPr>
                <w:p w:rsidR="00352252" w:rsidRDefault="00DB057D">
                  <w:pPr>
                    <w:jc w:val="center"/>
                    <w:rPr>
                      <w:b/>
                      <w:bCs/>
                      <w:szCs w:val="19"/>
                    </w:rPr>
                  </w:pPr>
                  <w:r>
                    <w:rPr>
                      <w:b/>
                      <w:bCs/>
                      <w:szCs w:val="19"/>
                    </w:rPr>
                    <w:t>Effective FY</w:t>
                  </w:r>
                  <w:r w:rsidR="00406123">
                    <w:rPr>
                      <w:b/>
                      <w:bCs/>
                      <w:szCs w:val="19"/>
                    </w:rPr>
                    <w:t>1</w:t>
                  </w:r>
                  <w:r w:rsidR="00182190">
                    <w:rPr>
                      <w:b/>
                      <w:bCs/>
                      <w:szCs w:val="19"/>
                    </w:rPr>
                    <w:t>6</w:t>
                  </w:r>
                </w:p>
              </w:tc>
              <w:tc>
                <w:tcPr>
                  <w:tcW w:w="2083" w:type="dxa"/>
                  <w:tcBorders>
                    <w:top w:val="double" w:sz="7" w:space="0" w:color="000000"/>
                    <w:left w:val="single" w:sz="7" w:space="0" w:color="000000"/>
                    <w:bottom w:val="single" w:sz="6" w:space="0" w:color="FFFFFF"/>
                    <w:right w:val="single" w:sz="6" w:space="0" w:color="FFFFFF"/>
                  </w:tcBorders>
                </w:tcPr>
                <w:p w:rsidR="00352252" w:rsidRDefault="008B2499" w:rsidP="00182190">
                  <w:pPr>
                    <w:jc w:val="center"/>
                    <w:rPr>
                      <w:b/>
                      <w:bCs/>
                      <w:szCs w:val="19"/>
                    </w:rPr>
                  </w:pPr>
                  <w:r>
                    <w:rPr>
                      <w:b/>
                      <w:bCs/>
                      <w:szCs w:val="19"/>
                    </w:rPr>
                    <w:t>FY Succeeding Effective</w:t>
                  </w:r>
                  <w:r w:rsidR="00182190" w:rsidRPr="00182190">
                    <w:rPr>
                      <w:b/>
                    </w:rPr>
                    <w:t xml:space="preserve"> </w:t>
                  </w:r>
                  <w:r w:rsidR="00DB057D">
                    <w:rPr>
                      <w:b/>
                      <w:bCs/>
                      <w:szCs w:val="19"/>
                    </w:rPr>
                    <w:t>FY1</w:t>
                  </w:r>
                  <w:r w:rsidR="00182190">
                    <w:rPr>
                      <w:b/>
                      <w:bCs/>
                      <w:szCs w:val="19"/>
                    </w:rPr>
                    <w:t>7</w:t>
                  </w:r>
                </w:p>
              </w:tc>
              <w:tc>
                <w:tcPr>
                  <w:tcW w:w="1754" w:type="dxa"/>
                  <w:tcBorders>
                    <w:top w:val="double" w:sz="7" w:space="0" w:color="000000"/>
                    <w:left w:val="single" w:sz="7" w:space="0" w:color="000000"/>
                    <w:bottom w:val="single" w:sz="6" w:space="0" w:color="FFFFFF"/>
                    <w:right w:val="double" w:sz="7" w:space="0" w:color="000000"/>
                  </w:tcBorders>
                </w:tcPr>
                <w:p w:rsidR="00352252" w:rsidRDefault="00352252">
                  <w:pPr>
                    <w:jc w:val="center"/>
                    <w:rPr>
                      <w:b/>
                      <w:bCs/>
                      <w:szCs w:val="19"/>
                    </w:rPr>
                  </w:pPr>
                  <w:r>
                    <w:rPr>
                      <w:b/>
                      <w:bCs/>
                      <w:szCs w:val="19"/>
                    </w:rPr>
                    <w:t>Full Fiscal</w:t>
                  </w:r>
                </w:p>
                <w:p w:rsidR="00352252" w:rsidRDefault="00DB057D">
                  <w:pPr>
                    <w:pStyle w:val="Heading1"/>
                  </w:pPr>
                  <w:r>
                    <w:t>Impact FY</w:t>
                  </w:r>
                  <w:r w:rsidR="00406123">
                    <w:t>1</w:t>
                  </w:r>
                  <w:r w:rsidR="008B2499">
                    <w:t>7</w:t>
                  </w:r>
                </w:p>
              </w:tc>
            </w:tr>
            <w:tr w:rsidR="00352252" w:rsidTr="0056635C">
              <w:trPr>
                <w:trHeight w:val="289"/>
                <w:jc w:val="center"/>
              </w:trPr>
              <w:tc>
                <w:tcPr>
                  <w:tcW w:w="1995" w:type="dxa"/>
                  <w:tcBorders>
                    <w:top w:val="single" w:sz="7" w:space="0" w:color="000000"/>
                    <w:left w:val="double" w:sz="7" w:space="0" w:color="000000"/>
                    <w:bottom w:val="single" w:sz="6" w:space="0" w:color="FFFFFF"/>
                    <w:right w:val="single" w:sz="6" w:space="0" w:color="FFFFFF"/>
                  </w:tcBorders>
                </w:tcPr>
                <w:p w:rsidR="00352252" w:rsidRDefault="00352252" w:rsidP="0056635C">
                  <w:pPr>
                    <w:jc w:val="center"/>
                    <w:rPr>
                      <w:b/>
                      <w:bCs/>
                      <w:szCs w:val="19"/>
                    </w:rPr>
                  </w:pPr>
                  <w:r>
                    <w:rPr>
                      <w:b/>
                      <w:bCs/>
                      <w:szCs w:val="19"/>
                    </w:rPr>
                    <w:t xml:space="preserve">Revenues </w:t>
                  </w:r>
                  <w:r w:rsidR="00251BB3">
                    <w:rPr>
                      <w:b/>
                      <w:bCs/>
                      <w:szCs w:val="19"/>
                    </w:rPr>
                    <w:t>(+)</w:t>
                  </w:r>
                </w:p>
              </w:tc>
              <w:tc>
                <w:tcPr>
                  <w:tcW w:w="1522" w:type="dxa"/>
                  <w:tcBorders>
                    <w:top w:val="single" w:sz="7" w:space="0" w:color="000000"/>
                    <w:left w:val="single" w:sz="7" w:space="0" w:color="000000"/>
                    <w:bottom w:val="single" w:sz="6" w:space="0" w:color="FFFFFF"/>
                    <w:right w:val="single" w:sz="6" w:space="0" w:color="FFFFFF"/>
                  </w:tcBorders>
                </w:tcPr>
                <w:p w:rsidR="00352252" w:rsidRDefault="00182190" w:rsidP="0056635C">
                  <w:pPr>
                    <w:jc w:val="center"/>
                    <w:rPr>
                      <w:b/>
                      <w:bCs/>
                      <w:szCs w:val="19"/>
                    </w:rPr>
                  </w:pPr>
                  <w:r>
                    <w:rPr>
                      <w:b/>
                      <w:bCs/>
                      <w:szCs w:val="19"/>
                    </w:rPr>
                    <w:t>$0</w:t>
                  </w:r>
                </w:p>
              </w:tc>
              <w:tc>
                <w:tcPr>
                  <w:tcW w:w="2083" w:type="dxa"/>
                  <w:tcBorders>
                    <w:top w:val="single" w:sz="7" w:space="0" w:color="000000"/>
                    <w:left w:val="single" w:sz="7" w:space="0" w:color="000000"/>
                    <w:bottom w:val="single" w:sz="6" w:space="0" w:color="FFFFFF"/>
                    <w:right w:val="single" w:sz="6" w:space="0" w:color="FFFFFF"/>
                  </w:tcBorders>
                </w:tcPr>
                <w:p w:rsidR="00352252" w:rsidRDefault="00182190" w:rsidP="0056635C">
                  <w:pPr>
                    <w:jc w:val="center"/>
                    <w:rPr>
                      <w:b/>
                      <w:bCs/>
                      <w:szCs w:val="19"/>
                    </w:rPr>
                  </w:pPr>
                  <w:r>
                    <w:rPr>
                      <w:b/>
                      <w:bCs/>
                      <w:szCs w:val="19"/>
                    </w:rPr>
                    <w:t>$0</w:t>
                  </w:r>
                </w:p>
              </w:tc>
              <w:tc>
                <w:tcPr>
                  <w:tcW w:w="1754" w:type="dxa"/>
                  <w:tcBorders>
                    <w:top w:val="single" w:sz="7" w:space="0" w:color="000000"/>
                    <w:left w:val="single" w:sz="7" w:space="0" w:color="000000"/>
                    <w:bottom w:val="single" w:sz="6" w:space="0" w:color="FFFFFF"/>
                    <w:right w:val="double" w:sz="7" w:space="0" w:color="000000"/>
                  </w:tcBorders>
                </w:tcPr>
                <w:p w:rsidR="00352252" w:rsidRDefault="00182190" w:rsidP="0056635C">
                  <w:pPr>
                    <w:jc w:val="center"/>
                    <w:rPr>
                      <w:b/>
                      <w:bCs/>
                      <w:szCs w:val="19"/>
                    </w:rPr>
                  </w:pPr>
                  <w:r>
                    <w:rPr>
                      <w:b/>
                      <w:bCs/>
                      <w:szCs w:val="19"/>
                    </w:rPr>
                    <w:t>$0</w:t>
                  </w:r>
                </w:p>
              </w:tc>
            </w:tr>
            <w:tr w:rsidR="00352252" w:rsidTr="001B0585">
              <w:trPr>
                <w:jc w:val="center"/>
              </w:trPr>
              <w:tc>
                <w:tcPr>
                  <w:tcW w:w="1995" w:type="dxa"/>
                  <w:tcBorders>
                    <w:top w:val="single" w:sz="7" w:space="0" w:color="000000"/>
                    <w:left w:val="double" w:sz="7" w:space="0" w:color="000000"/>
                    <w:bottom w:val="single" w:sz="6" w:space="0" w:color="FFFFFF"/>
                    <w:right w:val="single" w:sz="6" w:space="0" w:color="FFFFFF"/>
                  </w:tcBorders>
                </w:tcPr>
                <w:p w:rsidR="00352252" w:rsidRPr="006A41E8" w:rsidRDefault="00352252" w:rsidP="0056635C">
                  <w:pPr>
                    <w:rPr>
                      <w:b/>
                      <w:bCs/>
                    </w:rPr>
                  </w:pPr>
                  <w:r w:rsidRPr="006A41E8">
                    <w:rPr>
                      <w:b/>
                      <w:bCs/>
                    </w:rPr>
                    <w:t>Expenditures</w:t>
                  </w:r>
                  <w:r w:rsidR="00251BB3" w:rsidRPr="006A41E8">
                    <w:rPr>
                      <w:b/>
                      <w:bCs/>
                    </w:rPr>
                    <w:t xml:space="preserve"> (-)</w:t>
                  </w:r>
                  <w:r w:rsidRPr="006A41E8">
                    <w:rPr>
                      <w:b/>
                      <w:bCs/>
                    </w:rPr>
                    <w:t xml:space="preserve"> </w:t>
                  </w:r>
                </w:p>
              </w:tc>
              <w:tc>
                <w:tcPr>
                  <w:tcW w:w="1522" w:type="dxa"/>
                  <w:tcBorders>
                    <w:top w:val="single" w:sz="7" w:space="0" w:color="000000"/>
                    <w:left w:val="single" w:sz="7" w:space="0" w:color="000000"/>
                    <w:bottom w:val="single" w:sz="6" w:space="0" w:color="FFFFFF"/>
                    <w:right w:val="single" w:sz="6" w:space="0" w:color="FFFFFF"/>
                  </w:tcBorders>
                </w:tcPr>
                <w:p w:rsidR="00352252" w:rsidRPr="00A24926" w:rsidRDefault="001B0585" w:rsidP="00B716AE">
                  <w:pPr>
                    <w:jc w:val="center"/>
                    <w:rPr>
                      <w:b/>
                      <w:bCs/>
                    </w:rPr>
                  </w:pPr>
                  <w:r w:rsidRPr="001B0585">
                    <w:t>$1,011,399</w:t>
                  </w:r>
                </w:p>
              </w:tc>
              <w:tc>
                <w:tcPr>
                  <w:tcW w:w="2083" w:type="dxa"/>
                  <w:tcBorders>
                    <w:top w:val="single" w:sz="7" w:space="0" w:color="000000"/>
                    <w:left w:val="single" w:sz="7" w:space="0" w:color="000000"/>
                    <w:bottom w:val="single" w:sz="6" w:space="0" w:color="FFFFFF"/>
                    <w:right w:val="single" w:sz="6" w:space="0" w:color="FFFFFF"/>
                  </w:tcBorders>
                </w:tcPr>
                <w:p w:rsidR="00352252" w:rsidRPr="00A24926" w:rsidRDefault="001B0585" w:rsidP="00B716AE">
                  <w:pPr>
                    <w:jc w:val="center"/>
                    <w:rPr>
                      <w:b/>
                      <w:bCs/>
                    </w:rPr>
                  </w:pPr>
                  <w:r w:rsidRPr="001B0585">
                    <w:t>$2,016,127</w:t>
                  </w:r>
                </w:p>
              </w:tc>
              <w:tc>
                <w:tcPr>
                  <w:tcW w:w="1754" w:type="dxa"/>
                  <w:tcBorders>
                    <w:top w:val="single" w:sz="7" w:space="0" w:color="000000"/>
                    <w:left w:val="single" w:sz="7" w:space="0" w:color="000000"/>
                    <w:bottom w:val="single" w:sz="6" w:space="0" w:color="FFFFFF"/>
                    <w:right w:val="double" w:sz="7" w:space="0" w:color="000000"/>
                  </w:tcBorders>
                </w:tcPr>
                <w:p w:rsidR="00352252" w:rsidRPr="00A24926" w:rsidRDefault="001B0585" w:rsidP="00B716AE">
                  <w:pPr>
                    <w:jc w:val="center"/>
                    <w:rPr>
                      <w:b/>
                      <w:bCs/>
                    </w:rPr>
                  </w:pPr>
                  <w:r w:rsidRPr="001B0585">
                    <w:t>$2,016,127</w:t>
                  </w:r>
                </w:p>
              </w:tc>
            </w:tr>
            <w:tr w:rsidR="001B0585" w:rsidTr="001B0585">
              <w:trPr>
                <w:jc w:val="center"/>
              </w:trPr>
              <w:tc>
                <w:tcPr>
                  <w:tcW w:w="1995" w:type="dxa"/>
                  <w:tcBorders>
                    <w:top w:val="single" w:sz="7" w:space="0" w:color="000000"/>
                    <w:left w:val="double" w:sz="7" w:space="0" w:color="000000"/>
                    <w:bottom w:val="single" w:sz="7" w:space="0" w:color="000000"/>
                    <w:right w:val="single" w:sz="6" w:space="0" w:color="FFFFFF"/>
                  </w:tcBorders>
                </w:tcPr>
                <w:p w:rsidR="001B0585" w:rsidRPr="006A41E8" w:rsidRDefault="001B0585" w:rsidP="0056635C">
                  <w:pPr>
                    <w:spacing w:after="58"/>
                    <w:jc w:val="center"/>
                    <w:rPr>
                      <w:b/>
                      <w:bCs/>
                    </w:rPr>
                  </w:pPr>
                  <w:r w:rsidRPr="006A41E8">
                    <w:rPr>
                      <w:b/>
                      <w:bCs/>
                    </w:rPr>
                    <w:t>Net</w:t>
                  </w:r>
                </w:p>
              </w:tc>
              <w:tc>
                <w:tcPr>
                  <w:tcW w:w="1522" w:type="dxa"/>
                  <w:tcBorders>
                    <w:top w:val="single" w:sz="7" w:space="0" w:color="000000"/>
                    <w:left w:val="single" w:sz="7" w:space="0" w:color="000000"/>
                    <w:bottom w:val="single" w:sz="7" w:space="0" w:color="000000"/>
                    <w:right w:val="single" w:sz="6" w:space="0" w:color="FFFFFF"/>
                  </w:tcBorders>
                </w:tcPr>
                <w:p w:rsidR="001B0585" w:rsidRPr="00A24926" w:rsidRDefault="001B0585" w:rsidP="00A34F2F">
                  <w:pPr>
                    <w:jc w:val="center"/>
                    <w:rPr>
                      <w:b/>
                      <w:bCs/>
                    </w:rPr>
                  </w:pPr>
                  <w:r w:rsidRPr="001B0585">
                    <w:t>$</w:t>
                  </w:r>
                  <w:r>
                    <w:t>(</w:t>
                  </w:r>
                  <w:r w:rsidRPr="001B0585">
                    <w:t>1,011,399</w:t>
                  </w:r>
                  <w:r>
                    <w:t>)</w:t>
                  </w:r>
                </w:p>
              </w:tc>
              <w:tc>
                <w:tcPr>
                  <w:tcW w:w="2083" w:type="dxa"/>
                  <w:tcBorders>
                    <w:top w:val="single" w:sz="7" w:space="0" w:color="000000"/>
                    <w:left w:val="single" w:sz="7" w:space="0" w:color="000000"/>
                    <w:bottom w:val="single" w:sz="7" w:space="0" w:color="000000"/>
                    <w:right w:val="single" w:sz="6" w:space="0" w:color="FFFFFF"/>
                  </w:tcBorders>
                </w:tcPr>
                <w:p w:rsidR="001B0585" w:rsidRPr="00A24926" w:rsidRDefault="001B0585" w:rsidP="00B716AE">
                  <w:pPr>
                    <w:spacing w:after="58"/>
                    <w:jc w:val="center"/>
                    <w:rPr>
                      <w:b/>
                      <w:bCs/>
                    </w:rPr>
                  </w:pPr>
                  <w:r w:rsidRPr="001B0585">
                    <w:t>$</w:t>
                  </w:r>
                  <w:r>
                    <w:t>(</w:t>
                  </w:r>
                  <w:r w:rsidRPr="001B0585">
                    <w:t>2,016,127</w:t>
                  </w:r>
                  <w:r>
                    <w:t>)</w:t>
                  </w:r>
                </w:p>
              </w:tc>
              <w:tc>
                <w:tcPr>
                  <w:tcW w:w="1754" w:type="dxa"/>
                  <w:tcBorders>
                    <w:top w:val="single" w:sz="7" w:space="0" w:color="000000"/>
                    <w:left w:val="single" w:sz="7" w:space="0" w:color="000000"/>
                    <w:bottom w:val="single" w:sz="7" w:space="0" w:color="000000"/>
                    <w:right w:val="double" w:sz="7" w:space="0" w:color="000000"/>
                  </w:tcBorders>
                </w:tcPr>
                <w:p w:rsidR="001B0585" w:rsidRPr="00A24926" w:rsidRDefault="001B0585" w:rsidP="00B716AE">
                  <w:pPr>
                    <w:spacing w:after="58"/>
                    <w:jc w:val="center"/>
                    <w:rPr>
                      <w:b/>
                      <w:bCs/>
                    </w:rPr>
                  </w:pPr>
                  <w:r w:rsidRPr="001B0585">
                    <w:t>$</w:t>
                  </w:r>
                  <w:r>
                    <w:t>(</w:t>
                  </w:r>
                  <w:r w:rsidRPr="001B0585">
                    <w:t>2,016,127</w:t>
                  </w:r>
                  <w:r>
                    <w:t>)</w:t>
                  </w:r>
                </w:p>
              </w:tc>
            </w:tr>
          </w:tbl>
          <w:p w:rsidR="00182190" w:rsidRPr="003D6D62" w:rsidRDefault="00E54D27" w:rsidP="001B0585">
            <w:r>
              <w:t xml:space="preserve">             </w:t>
            </w:r>
          </w:p>
        </w:tc>
      </w:tr>
      <w:tr w:rsidR="00352252">
        <w:trPr>
          <w:jc w:val="center"/>
        </w:trPr>
        <w:tc>
          <w:tcPr>
            <w:tcW w:w="11016" w:type="dxa"/>
            <w:gridSpan w:val="2"/>
          </w:tcPr>
          <w:p w:rsidR="00352252" w:rsidRDefault="00352252" w:rsidP="00AB600C">
            <w:r>
              <w:rPr>
                <w:b/>
                <w:bCs/>
                <w:smallCaps/>
                <w:szCs w:val="19"/>
              </w:rPr>
              <w:t>Impact on Revenues</w:t>
            </w:r>
            <w:r>
              <w:rPr>
                <w:b/>
                <w:bCs/>
                <w:szCs w:val="19"/>
              </w:rPr>
              <w:t>:</w:t>
            </w:r>
            <w:r>
              <w:rPr>
                <w:szCs w:val="19"/>
              </w:rPr>
              <w:t xml:space="preserve"> </w:t>
            </w:r>
            <w:r w:rsidR="001D2910">
              <w:t xml:space="preserve">It is </w:t>
            </w:r>
            <w:r w:rsidR="006A41E8">
              <w:t>estimated that this bill will have no impact on revenues.</w:t>
            </w:r>
            <w:r w:rsidR="00921745">
              <w:t xml:space="preserve"> </w:t>
            </w:r>
          </w:p>
          <w:p w:rsidR="00023E3C" w:rsidRDefault="00023E3C" w:rsidP="00AB600C"/>
        </w:tc>
      </w:tr>
      <w:tr w:rsidR="00352252">
        <w:trPr>
          <w:jc w:val="center"/>
        </w:trPr>
        <w:tc>
          <w:tcPr>
            <w:tcW w:w="11016" w:type="dxa"/>
            <w:gridSpan w:val="2"/>
          </w:tcPr>
          <w:p w:rsidR="009E0587" w:rsidRPr="00262137" w:rsidRDefault="00352252" w:rsidP="003D6D62">
            <w:r>
              <w:rPr>
                <w:b/>
                <w:bCs/>
                <w:smallCaps/>
              </w:rPr>
              <w:t>Impact on Expenditures</w:t>
            </w:r>
            <w:r>
              <w:rPr>
                <w:b/>
                <w:bCs/>
              </w:rPr>
              <w:t>:</w:t>
            </w:r>
            <w:r>
              <w:t xml:space="preserve">  </w:t>
            </w:r>
            <w:r w:rsidR="008B2499">
              <w:t>It is estimated that t</w:t>
            </w:r>
            <w:r w:rsidR="001B0585">
              <w:t>his bill would impact expenditures</w:t>
            </w:r>
            <w:r w:rsidR="008B2499">
              <w:t xml:space="preserve"> in the amount of $2,016,127 per year beginning in Fiscal 2017. Because the salary changes would be in effect for only half of Fiscal 2016, the impact on expenditures in that year is lower. </w:t>
            </w:r>
          </w:p>
          <w:p w:rsidR="007D040E" w:rsidRDefault="003D6D62" w:rsidP="00AA7573">
            <w:r>
              <w:t xml:space="preserve"> </w:t>
            </w:r>
          </w:p>
        </w:tc>
      </w:tr>
      <w:tr w:rsidR="00352252">
        <w:trPr>
          <w:jc w:val="center"/>
        </w:trPr>
        <w:tc>
          <w:tcPr>
            <w:tcW w:w="11016" w:type="dxa"/>
            <w:gridSpan w:val="2"/>
          </w:tcPr>
          <w:p w:rsidR="00352252" w:rsidRDefault="00352252">
            <w:pPr>
              <w:rPr>
                <w:szCs w:val="19"/>
              </w:rPr>
            </w:pPr>
            <w:r>
              <w:rPr>
                <w:b/>
                <w:bCs/>
                <w:smallCaps/>
                <w:szCs w:val="19"/>
              </w:rPr>
              <w:t>Source of Funds To Cover Estimated Costs</w:t>
            </w:r>
            <w:r>
              <w:rPr>
                <w:b/>
                <w:bCs/>
                <w:szCs w:val="19"/>
              </w:rPr>
              <w:t>:</w:t>
            </w:r>
            <w:r>
              <w:rPr>
                <w:szCs w:val="19"/>
              </w:rPr>
              <w:tab/>
              <w:t xml:space="preserve">  </w:t>
            </w:r>
            <w:r w:rsidR="00291F58">
              <w:rPr>
                <w:szCs w:val="19"/>
              </w:rPr>
              <w:t>General Fund</w:t>
            </w:r>
          </w:p>
          <w:p w:rsidR="00352252" w:rsidRDefault="00352252"/>
        </w:tc>
      </w:tr>
      <w:tr w:rsidR="00352252">
        <w:trPr>
          <w:jc w:val="center"/>
        </w:trPr>
        <w:tc>
          <w:tcPr>
            <w:tcW w:w="11016" w:type="dxa"/>
            <w:gridSpan w:val="2"/>
          </w:tcPr>
          <w:p w:rsidR="00291F58" w:rsidRDefault="00352252">
            <w:pPr>
              <w:rPr>
                <w:szCs w:val="19"/>
              </w:rPr>
            </w:pPr>
            <w:r>
              <w:rPr>
                <w:b/>
                <w:bCs/>
                <w:smallCaps/>
                <w:szCs w:val="19"/>
              </w:rPr>
              <w:t>Source of Information</w:t>
            </w:r>
            <w:r>
              <w:rPr>
                <w:b/>
                <w:bCs/>
                <w:szCs w:val="19"/>
              </w:rPr>
              <w:t>:</w:t>
            </w:r>
            <w:r>
              <w:rPr>
                <w:szCs w:val="19"/>
              </w:rPr>
              <w:tab/>
            </w:r>
            <w:r w:rsidR="001C6AD0">
              <w:rPr>
                <w:szCs w:val="19"/>
              </w:rPr>
              <w:t xml:space="preserve">New York </w:t>
            </w:r>
            <w:r>
              <w:rPr>
                <w:szCs w:val="19"/>
              </w:rPr>
              <w:t>City Council Finance Division</w:t>
            </w:r>
            <w:r w:rsidR="00291F58">
              <w:rPr>
                <w:szCs w:val="19"/>
              </w:rPr>
              <w:t xml:space="preserve"> </w:t>
            </w:r>
          </w:p>
          <w:p w:rsidR="008D4F43" w:rsidRDefault="008B2499">
            <w:pPr>
              <w:rPr>
                <w:szCs w:val="19"/>
              </w:rPr>
            </w:pPr>
            <w:r>
              <w:rPr>
                <w:szCs w:val="19"/>
              </w:rPr>
              <w:t xml:space="preserve">                                                </w:t>
            </w:r>
            <w:r w:rsidR="00291F58">
              <w:rPr>
                <w:szCs w:val="19"/>
              </w:rPr>
              <w:t>New York</w:t>
            </w:r>
            <w:r>
              <w:rPr>
                <w:szCs w:val="19"/>
              </w:rPr>
              <w:t xml:space="preserve"> City</w:t>
            </w:r>
            <w:r w:rsidR="00291F58">
              <w:rPr>
                <w:szCs w:val="19"/>
              </w:rPr>
              <w:t xml:space="preserve"> Office of Management and Budget</w:t>
            </w:r>
          </w:p>
          <w:p w:rsidR="00BC6502" w:rsidRPr="007D040E" w:rsidRDefault="00352252">
            <w:pPr>
              <w:rPr>
                <w:szCs w:val="19"/>
              </w:rPr>
            </w:pPr>
            <w:r>
              <w:rPr>
                <w:szCs w:val="19"/>
              </w:rPr>
              <w:lastRenderedPageBreak/>
              <w:t xml:space="preserve">                                                </w:t>
            </w:r>
          </w:p>
        </w:tc>
      </w:tr>
      <w:tr w:rsidR="00352252" w:rsidTr="00AA7573">
        <w:trPr>
          <w:trHeight w:val="1188"/>
          <w:jc w:val="center"/>
        </w:trPr>
        <w:tc>
          <w:tcPr>
            <w:tcW w:w="11016" w:type="dxa"/>
            <w:gridSpan w:val="2"/>
          </w:tcPr>
          <w:p w:rsidR="00682B42" w:rsidRDefault="00682B42" w:rsidP="00682B42">
            <w:pPr>
              <w:rPr>
                <w:sz w:val="22"/>
                <w:szCs w:val="22"/>
              </w:rPr>
            </w:pPr>
            <w:r>
              <w:rPr>
                <w:b/>
                <w:bCs/>
                <w:smallCaps/>
              </w:rPr>
              <w:lastRenderedPageBreak/>
              <w:t>Estimate Prepared By</w:t>
            </w:r>
            <w:r>
              <w:rPr>
                <w:smallCaps/>
              </w:rPr>
              <w:t xml:space="preserve">:   </w:t>
            </w:r>
            <w:r w:rsidR="00861105">
              <w:t xml:space="preserve">James Subudhi, </w:t>
            </w:r>
            <w:r w:rsidRPr="002F04E4">
              <w:t>Legislative Financial Analyst</w:t>
            </w:r>
          </w:p>
          <w:p w:rsidR="00682B42" w:rsidRDefault="00682B42" w:rsidP="00682B42">
            <w:r>
              <w:t xml:space="preserve">                                             </w:t>
            </w:r>
          </w:p>
          <w:p w:rsidR="008B2499" w:rsidRDefault="00682B42" w:rsidP="00682B42">
            <w:r>
              <w:rPr>
                <w:b/>
                <w:smallCaps/>
                <w:sz w:val="22"/>
                <w:szCs w:val="22"/>
              </w:rPr>
              <w:t>Estimate Reviewed By:</w:t>
            </w:r>
            <w:r>
              <w:rPr>
                <w:smallCaps/>
                <w:sz w:val="22"/>
                <w:szCs w:val="22"/>
              </w:rPr>
              <w:t xml:space="preserve">  </w:t>
            </w:r>
            <w:r w:rsidR="008B2499">
              <w:t xml:space="preserve">Raymond Majewski, Deputy Director/Chief Economist </w:t>
            </w:r>
          </w:p>
          <w:p w:rsidR="00DF08B7" w:rsidRDefault="008B2499" w:rsidP="00682B42">
            <w:r>
              <w:t xml:space="preserve">                                           Tanisha Edwards, Chief Counsel</w:t>
            </w:r>
          </w:p>
          <w:p w:rsidR="008B2499" w:rsidRDefault="008B2499" w:rsidP="00682B42">
            <w:r>
              <w:t xml:space="preserve">                                           Rebecca Chasan, Assistant Counsel</w:t>
            </w:r>
          </w:p>
          <w:p w:rsidR="00352252" w:rsidRDefault="00352252">
            <w:pPr>
              <w:rPr>
                <w:smallCaps/>
              </w:rPr>
            </w:pPr>
            <w:r>
              <w:rPr>
                <w:smallCaps/>
              </w:rPr>
              <w:t xml:space="preserve"> </w:t>
            </w:r>
            <w:r w:rsidR="001C6AD0">
              <w:rPr>
                <w:smallCaps/>
              </w:rPr>
              <w:t xml:space="preserve">  </w:t>
            </w:r>
            <w:r w:rsidR="008B2499">
              <w:rPr>
                <w:smallCaps/>
              </w:rPr>
              <w:t xml:space="preserve">                                                    </w:t>
            </w:r>
          </w:p>
          <w:p w:rsidR="00780657" w:rsidRDefault="00780657"/>
        </w:tc>
      </w:tr>
      <w:tr w:rsidR="00352252">
        <w:trPr>
          <w:jc w:val="center"/>
        </w:trPr>
        <w:tc>
          <w:tcPr>
            <w:tcW w:w="11016" w:type="dxa"/>
            <w:gridSpan w:val="2"/>
          </w:tcPr>
          <w:p w:rsidR="00580EC5" w:rsidRDefault="00352252" w:rsidP="002E4212">
            <w:pPr>
              <w:rPr>
                <w:bCs/>
                <w:szCs w:val="19"/>
              </w:rPr>
            </w:pPr>
            <w:r>
              <w:rPr>
                <w:b/>
                <w:bCs/>
                <w:smallCaps/>
                <w:szCs w:val="19"/>
              </w:rPr>
              <w:t>History</w:t>
            </w:r>
            <w:r>
              <w:rPr>
                <w:b/>
                <w:bCs/>
                <w:szCs w:val="19"/>
              </w:rPr>
              <w:t>:</w:t>
            </w:r>
            <w:r w:rsidR="00BC6502">
              <w:rPr>
                <w:b/>
                <w:bCs/>
                <w:szCs w:val="19"/>
              </w:rPr>
              <w:t xml:space="preserve"> </w:t>
            </w:r>
            <w:r w:rsidR="00FB05F3" w:rsidRPr="00FB05F3">
              <w:rPr>
                <w:bCs/>
                <w:szCs w:val="19"/>
              </w:rPr>
              <w:t xml:space="preserve">This </w:t>
            </w:r>
            <w:proofErr w:type="spellStart"/>
            <w:r w:rsidR="00FB05F3" w:rsidRPr="00FB05F3">
              <w:rPr>
                <w:bCs/>
                <w:szCs w:val="19"/>
              </w:rPr>
              <w:t>Preconsidered</w:t>
            </w:r>
            <w:proofErr w:type="spellEnd"/>
            <w:r w:rsidR="00FB05F3" w:rsidRPr="00FB05F3">
              <w:rPr>
                <w:bCs/>
                <w:szCs w:val="19"/>
              </w:rPr>
              <w:t xml:space="preserve"> Intro. </w:t>
            </w:r>
            <w:proofErr w:type="gramStart"/>
            <w:r w:rsidR="00FB05F3" w:rsidRPr="00FB05F3">
              <w:rPr>
                <w:bCs/>
                <w:szCs w:val="19"/>
              </w:rPr>
              <w:t>was</w:t>
            </w:r>
            <w:proofErr w:type="gramEnd"/>
            <w:r w:rsidR="00FB05F3" w:rsidRPr="00FB05F3">
              <w:rPr>
                <w:bCs/>
                <w:szCs w:val="19"/>
              </w:rPr>
              <w:t xml:space="preserve"> heard jointly by the Committee on Governmental Operations and the Committee on Rules, Privileges and Elections on February 3, 2016. It will be considered by the Committee on Governmental Operations on February 5, 2016. Upon successful vote by the Committee, this legislation will be introduced to, and voted on by, the full Council on February 5, 2016.</w:t>
            </w:r>
          </w:p>
          <w:p w:rsidR="00FB05F3" w:rsidRDefault="00FB05F3" w:rsidP="002E4212">
            <w:pPr>
              <w:rPr>
                <w:b/>
                <w:bCs/>
                <w:szCs w:val="19"/>
              </w:rPr>
            </w:pPr>
          </w:p>
          <w:p w:rsidR="00352252" w:rsidRDefault="00AA0D8B" w:rsidP="00395D94">
            <w:r>
              <w:rPr>
                <w:b/>
                <w:bCs/>
                <w:smallCaps/>
                <w:szCs w:val="19"/>
              </w:rPr>
              <w:t>Date Prepared</w:t>
            </w:r>
            <w:r>
              <w:rPr>
                <w:b/>
                <w:bCs/>
                <w:szCs w:val="19"/>
              </w:rPr>
              <w:t xml:space="preserve">:     </w:t>
            </w:r>
            <w:r w:rsidR="00FB05F3">
              <w:t>February 4</w:t>
            </w:r>
            <w:bookmarkStart w:id="0" w:name="_GoBack"/>
            <w:bookmarkEnd w:id="0"/>
            <w:r w:rsidR="00395D94">
              <w:t>, 2016</w:t>
            </w:r>
          </w:p>
        </w:tc>
      </w:tr>
    </w:tbl>
    <w:p w:rsidR="00352252" w:rsidRPr="00BC6502" w:rsidRDefault="00352252" w:rsidP="00885E75"/>
    <w:sectPr w:rsidR="00352252" w:rsidRPr="00BC6502">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63" w:rsidRDefault="00722A63" w:rsidP="00580EC5">
      <w:r>
        <w:separator/>
      </w:r>
    </w:p>
  </w:endnote>
  <w:endnote w:type="continuationSeparator" w:id="0">
    <w:p w:rsidR="00722A63" w:rsidRDefault="00722A63" w:rsidP="0058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04" w:rsidRDefault="004A6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04" w:rsidRDefault="004A6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04" w:rsidRDefault="004A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63" w:rsidRDefault="00722A63" w:rsidP="00580EC5">
      <w:r>
        <w:separator/>
      </w:r>
    </w:p>
  </w:footnote>
  <w:footnote w:type="continuationSeparator" w:id="0">
    <w:p w:rsidR="00722A63" w:rsidRDefault="00722A63" w:rsidP="00580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04" w:rsidRDefault="004A6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04" w:rsidRDefault="004A6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04" w:rsidRDefault="004A6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B29"/>
    <w:multiLevelType w:val="hybridMultilevel"/>
    <w:tmpl w:val="4910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138D2"/>
    <w:multiLevelType w:val="hybridMultilevel"/>
    <w:tmpl w:val="43B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16559"/>
    <w:multiLevelType w:val="hybridMultilevel"/>
    <w:tmpl w:val="BD9C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CF"/>
    <w:rsid w:val="00023E3C"/>
    <w:rsid w:val="000267BE"/>
    <w:rsid w:val="0002794F"/>
    <w:rsid w:val="0004223F"/>
    <w:rsid w:val="000464A4"/>
    <w:rsid w:val="000A24EB"/>
    <w:rsid w:val="000C7FF6"/>
    <w:rsid w:val="0010375C"/>
    <w:rsid w:val="00122A07"/>
    <w:rsid w:val="001304F8"/>
    <w:rsid w:val="00161987"/>
    <w:rsid w:val="0017571F"/>
    <w:rsid w:val="00182190"/>
    <w:rsid w:val="001B0585"/>
    <w:rsid w:val="001C6AD0"/>
    <w:rsid w:val="001C6CA0"/>
    <w:rsid w:val="001D2910"/>
    <w:rsid w:val="002415F8"/>
    <w:rsid w:val="00251BB3"/>
    <w:rsid w:val="00262137"/>
    <w:rsid w:val="00291F58"/>
    <w:rsid w:val="002C6BD0"/>
    <w:rsid w:val="002E4212"/>
    <w:rsid w:val="003011E5"/>
    <w:rsid w:val="00323D32"/>
    <w:rsid w:val="00325925"/>
    <w:rsid w:val="003439BA"/>
    <w:rsid w:val="00352252"/>
    <w:rsid w:val="00395D94"/>
    <w:rsid w:val="003D20D7"/>
    <w:rsid w:val="003D6D62"/>
    <w:rsid w:val="00406123"/>
    <w:rsid w:val="00422899"/>
    <w:rsid w:val="00493233"/>
    <w:rsid w:val="004A4031"/>
    <w:rsid w:val="004A6004"/>
    <w:rsid w:val="005236DD"/>
    <w:rsid w:val="00564365"/>
    <w:rsid w:val="0056635C"/>
    <w:rsid w:val="00571851"/>
    <w:rsid w:val="005751D3"/>
    <w:rsid w:val="00580EC5"/>
    <w:rsid w:val="005B632B"/>
    <w:rsid w:val="005B641E"/>
    <w:rsid w:val="005C13C4"/>
    <w:rsid w:val="005C5979"/>
    <w:rsid w:val="005F25C0"/>
    <w:rsid w:val="00602A3F"/>
    <w:rsid w:val="00660C32"/>
    <w:rsid w:val="00682B42"/>
    <w:rsid w:val="00683CFE"/>
    <w:rsid w:val="0069101C"/>
    <w:rsid w:val="006A41E8"/>
    <w:rsid w:val="006A5F6B"/>
    <w:rsid w:val="006C3EF9"/>
    <w:rsid w:val="006D31A3"/>
    <w:rsid w:val="006E1156"/>
    <w:rsid w:val="00720ABB"/>
    <w:rsid w:val="00722A63"/>
    <w:rsid w:val="00732DE6"/>
    <w:rsid w:val="00741012"/>
    <w:rsid w:val="007421AB"/>
    <w:rsid w:val="007428B7"/>
    <w:rsid w:val="00744507"/>
    <w:rsid w:val="00747DA4"/>
    <w:rsid w:val="00780657"/>
    <w:rsid w:val="007948B8"/>
    <w:rsid w:val="007C1D6A"/>
    <w:rsid w:val="007C7DCF"/>
    <w:rsid w:val="007D040E"/>
    <w:rsid w:val="007E4582"/>
    <w:rsid w:val="008237EC"/>
    <w:rsid w:val="0083117A"/>
    <w:rsid w:val="0084224D"/>
    <w:rsid w:val="00861105"/>
    <w:rsid w:val="00881D58"/>
    <w:rsid w:val="00885E75"/>
    <w:rsid w:val="0089429F"/>
    <w:rsid w:val="008970C9"/>
    <w:rsid w:val="008B2499"/>
    <w:rsid w:val="008D4F43"/>
    <w:rsid w:val="00921745"/>
    <w:rsid w:val="009327F5"/>
    <w:rsid w:val="00936BCE"/>
    <w:rsid w:val="00951833"/>
    <w:rsid w:val="0095551B"/>
    <w:rsid w:val="00972F24"/>
    <w:rsid w:val="00973A9C"/>
    <w:rsid w:val="009810A5"/>
    <w:rsid w:val="009E0587"/>
    <w:rsid w:val="009E4B12"/>
    <w:rsid w:val="009E514D"/>
    <w:rsid w:val="00A1598A"/>
    <w:rsid w:val="00A24926"/>
    <w:rsid w:val="00A24BA6"/>
    <w:rsid w:val="00A2642E"/>
    <w:rsid w:val="00A31AB4"/>
    <w:rsid w:val="00A36252"/>
    <w:rsid w:val="00A429E5"/>
    <w:rsid w:val="00A64D78"/>
    <w:rsid w:val="00AA0D8B"/>
    <w:rsid w:val="00AA1125"/>
    <w:rsid w:val="00AA7573"/>
    <w:rsid w:val="00AB3AD7"/>
    <w:rsid w:val="00AB600C"/>
    <w:rsid w:val="00AC1E9D"/>
    <w:rsid w:val="00AF42A0"/>
    <w:rsid w:val="00B307DE"/>
    <w:rsid w:val="00B523CE"/>
    <w:rsid w:val="00B716AE"/>
    <w:rsid w:val="00B86F6F"/>
    <w:rsid w:val="00BA59EA"/>
    <w:rsid w:val="00BC6502"/>
    <w:rsid w:val="00BF788A"/>
    <w:rsid w:val="00C36AF8"/>
    <w:rsid w:val="00C67202"/>
    <w:rsid w:val="00CA437D"/>
    <w:rsid w:val="00CA5F41"/>
    <w:rsid w:val="00CA7B82"/>
    <w:rsid w:val="00CE2E94"/>
    <w:rsid w:val="00CF06F7"/>
    <w:rsid w:val="00CF5F48"/>
    <w:rsid w:val="00D13DA9"/>
    <w:rsid w:val="00D23CF2"/>
    <w:rsid w:val="00D56CD5"/>
    <w:rsid w:val="00D872CF"/>
    <w:rsid w:val="00DA69E3"/>
    <w:rsid w:val="00DB057D"/>
    <w:rsid w:val="00DF08B7"/>
    <w:rsid w:val="00E35AB5"/>
    <w:rsid w:val="00E50898"/>
    <w:rsid w:val="00E54639"/>
    <w:rsid w:val="00E54D27"/>
    <w:rsid w:val="00E73B39"/>
    <w:rsid w:val="00EE2F96"/>
    <w:rsid w:val="00F118BC"/>
    <w:rsid w:val="00F40C7C"/>
    <w:rsid w:val="00F81630"/>
    <w:rsid w:val="00F83C7E"/>
    <w:rsid w:val="00FA129C"/>
    <w:rsid w:val="00FB05F3"/>
    <w:rsid w:val="00FF2168"/>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580EC5"/>
    <w:pPr>
      <w:jc w:val="left"/>
    </w:pPr>
    <w:rPr>
      <w:rFonts w:eastAsia="Calibri"/>
      <w:sz w:val="20"/>
      <w:szCs w:val="20"/>
    </w:rPr>
  </w:style>
  <w:style w:type="character" w:customStyle="1" w:styleId="FootnoteTextChar">
    <w:name w:val="Footnote Text Char"/>
    <w:link w:val="FootnoteText"/>
    <w:uiPriority w:val="99"/>
    <w:rsid w:val="00580EC5"/>
    <w:rPr>
      <w:rFonts w:eastAsia="Calibri"/>
    </w:rPr>
  </w:style>
  <w:style w:type="paragraph" w:styleId="BodyTextIndent2">
    <w:name w:val="Body Text Indent 2"/>
    <w:basedOn w:val="Normal"/>
    <w:link w:val="BodyTextIndent2Char"/>
    <w:uiPriority w:val="99"/>
    <w:unhideWhenUsed/>
    <w:rsid w:val="00580EC5"/>
    <w:pPr>
      <w:spacing w:after="120" w:line="480" w:lineRule="auto"/>
      <w:ind w:left="360"/>
      <w:jc w:val="left"/>
    </w:pPr>
    <w:rPr>
      <w:rFonts w:eastAsia="Calibri"/>
    </w:rPr>
  </w:style>
  <w:style w:type="character" w:customStyle="1" w:styleId="BodyTextIndent2Char">
    <w:name w:val="Body Text Indent 2 Char"/>
    <w:link w:val="BodyTextIndent2"/>
    <w:uiPriority w:val="99"/>
    <w:rsid w:val="00580EC5"/>
    <w:rPr>
      <w:rFonts w:eastAsia="Calibri"/>
      <w:sz w:val="24"/>
      <w:szCs w:val="24"/>
    </w:rPr>
  </w:style>
  <w:style w:type="character" w:styleId="FootnoteReference">
    <w:name w:val="footnote reference"/>
    <w:uiPriority w:val="99"/>
    <w:unhideWhenUsed/>
    <w:rsid w:val="00580EC5"/>
    <w:rPr>
      <w:vertAlign w:val="superscript"/>
    </w:rPr>
  </w:style>
  <w:style w:type="character" w:customStyle="1" w:styleId="st1">
    <w:name w:val="st1"/>
    <w:rsid w:val="00580EC5"/>
    <w:rPr>
      <w:rFonts w:cs="Times New Roman"/>
    </w:rPr>
  </w:style>
  <w:style w:type="paragraph" w:styleId="BodyText">
    <w:name w:val="Body Text"/>
    <w:basedOn w:val="Normal"/>
    <w:link w:val="BodyTextChar"/>
    <w:rsid w:val="00EE2F96"/>
    <w:pPr>
      <w:spacing w:after="120"/>
    </w:pPr>
  </w:style>
  <w:style w:type="character" w:customStyle="1" w:styleId="BodyTextChar">
    <w:name w:val="Body Text Char"/>
    <w:link w:val="BodyText"/>
    <w:rsid w:val="00EE2F96"/>
    <w:rPr>
      <w:sz w:val="24"/>
      <w:szCs w:val="24"/>
    </w:rPr>
  </w:style>
  <w:style w:type="paragraph" w:styleId="ListParagraph">
    <w:name w:val="List Paragraph"/>
    <w:basedOn w:val="Normal"/>
    <w:uiPriority w:val="34"/>
    <w:qFormat/>
    <w:rsid w:val="00B716AE"/>
    <w:pPr>
      <w:ind w:left="720"/>
    </w:pPr>
  </w:style>
  <w:style w:type="character" w:customStyle="1" w:styleId="apple-converted-space">
    <w:name w:val="apple-converted-space"/>
    <w:rsid w:val="00D13DA9"/>
  </w:style>
  <w:style w:type="paragraph" w:styleId="NoSpacing">
    <w:name w:val="No Spacing"/>
    <w:uiPriority w:val="1"/>
    <w:qFormat/>
    <w:rsid w:val="00D13DA9"/>
    <w:rPr>
      <w:rFonts w:ascii="Calibri" w:eastAsia="Calibri" w:hAnsi="Calibri"/>
      <w:sz w:val="22"/>
      <w:szCs w:val="22"/>
    </w:rPr>
  </w:style>
  <w:style w:type="character" w:styleId="CommentReference">
    <w:name w:val="annotation reference"/>
    <w:basedOn w:val="DefaultParagraphFont"/>
    <w:rsid w:val="00DF08B7"/>
    <w:rPr>
      <w:sz w:val="16"/>
      <w:szCs w:val="16"/>
    </w:rPr>
  </w:style>
  <w:style w:type="paragraph" w:styleId="CommentText">
    <w:name w:val="annotation text"/>
    <w:basedOn w:val="Normal"/>
    <w:link w:val="CommentTextChar"/>
    <w:rsid w:val="00DF08B7"/>
    <w:rPr>
      <w:sz w:val="20"/>
      <w:szCs w:val="20"/>
    </w:rPr>
  </w:style>
  <w:style w:type="character" w:customStyle="1" w:styleId="CommentTextChar">
    <w:name w:val="Comment Text Char"/>
    <w:basedOn w:val="DefaultParagraphFont"/>
    <w:link w:val="CommentText"/>
    <w:rsid w:val="00DF08B7"/>
  </w:style>
  <w:style w:type="paragraph" w:styleId="CommentSubject">
    <w:name w:val="annotation subject"/>
    <w:basedOn w:val="CommentText"/>
    <w:next w:val="CommentText"/>
    <w:link w:val="CommentSubjectChar"/>
    <w:rsid w:val="00DF08B7"/>
    <w:rPr>
      <w:b/>
      <w:bCs/>
    </w:rPr>
  </w:style>
  <w:style w:type="character" w:customStyle="1" w:styleId="CommentSubjectChar">
    <w:name w:val="Comment Subject Char"/>
    <w:basedOn w:val="CommentTextChar"/>
    <w:link w:val="CommentSubject"/>
    <w:rsid w:val="00DF08B7"/>
    <w:rPr>
      <w:b/>
      <w:bCs/>
    </w:rPr>
  </w:style>
  <w:style w:type="paragraph" w:styleId="Header">
    <w:name w:val="header"/>
    <w:basedOn w:val="Normal"/>
    <w:link w:val="HeaderChar"/>
    <w:rsid w:val="004A6004"/>
    <w:pPr>
      <w:tabs>
        <w:tab w:val="center" w:pos="4680"/>
        <w:tab w:val="right" w:pos="9360"/>
      </w:tabs>
    </w:pPr>
  </w:style>
  <w:style w:type="character" w:customStyle="1" w:styleId="HeaderChar">
    <w:name w:val="Header Char"/>
    <w:basedOn w:val="DefaultParagraphFont"/>
    <w:link w:val="Header"/>
    <w:rsid w:val="004A6004"/>
    <w:rPr>
      <w:sz w:val="24"/>
      <w:szCs w:val="24"/>
    </w:rPr>
  </w:style>
  <w:style w:type="paragraph" w:styleId="Footer">
    <w:name w:val="footer"/>
    <w:basedOn w:val="Normal"/>
    <w:link w:val="FooterChar"/>
    <w:rsid w:val="004A6004"/>
    <w:pPr>
      <w:tabs>
        <w:tab w:val="center" w:pos="4680"/>
        <w:tab w:val="right" w:pos="9360"/>
      </w:tabs>
    </w:pPr>
  </w:style>
  <w:style w:type="character" w:customStyle="1" w:styleId="FooterChar">
    <w:name w:val="Footer Char"/>
    <w:basedOn w:val="DefaultParagraphFont"/>
    <w:link w:val="Footer"/>
    <w:rsid w:val="004A60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580EC5"/>
    <w:pPr>
      <w:jc w:val="left"/>
    </w:pPr>
    <w:rPr>
      <w:rFonts w:eastAsia="Calibri"/>
      <w:sz w:val="20"/>
      <w:szCs w:val="20"/>
    </w:rPr>
  </w:style>
  <w:style w:type="character" w:customStyle="1" w:styleId="FootnoteTextChar">
    <w:name w:val="Footnote Text Char"/>
    <w:link w:val="FootnoteText"/>
    <w:uiPriority w:val="99"/>
    <w:rsid w:val="00580EC5"/>
    <w:rPr>
      <w:rFonts w:eastAsia="Calibri"/>
    </w:rPr>
  </w:style>
  <w:style w:type="paragraph" w:styleId="BodyTextIndent2">
    <w:name w:val="Body Text Indent 2"/>
    <w:basedOn w:val="Normal"/>
    <w:link w:val="BodyTextIndent2Char"/>
    <w:uiPriority w:val="99"/>
    <w:unhideWhenUsed/>
    <w:rsid w:val="00580EC5"/>
    <w:pPr>
      <w:spacing w:after="120" w:line="480" w:lineRule="auto"/>
      <w:ind w:left="360"/>
      <w:jc w:val="left"/>
    </w:pPr>
    <w:rPr>
      <w:rFonts w:eastAsia="Calibri"/>
    </w:rPr>
  </w:style>
  <w:style w:type="character" w:customStyle="1" w:styleId="BodyTextIndent2Char">
    <w:name w:val="Body Text Indent 2 Char"/>
    <w:link w:val="BodyTextIndent2"/>
    <w:uiPriority w:val="99"/>
    <w:rsid w:val="00580EC5"/>
    <w:rPr>
      <w:rFonts w:eastAsia="Calibri"/>
      <w:sz w:val="24"/>
      <w:szCs w:val="24"/>
    </w:rPr>
  </w:style>
  <w:style w:type="character" w:styleId="FootnoteReference">
    <w:name w:val="footnote reference"/>
    <w:uiPriority w:val="99"/>
    <w:unhideWhenUsed/>
    <w:rsid w:val="00580EC5"/>
    <w:rPr>
      <w:vertAlign w:val="superscript"/>
    </w:rPr>
  </w:style>
  <w:style w:type="character" w:customStyle="1" w:styleId="st1">
    <w:name w:val="st1"/>
    <w:rsid w:val="00580EC5"/>
    <w:rPr>
      <w:rFonts w:cs="Times New Roman"/>
    </w:rPr>
  </w:style>
  <w:style w:type="paragraph" w:styleId="BodyText">
    <w:name w:val="Body Text"/>
    <w:basedOn w:val="Normal"/>
    <w:link w:val="BodyTextChar"/>
    <w:rsid w:val="00EE2F96"/>
    <w:pPr>
      <w:spacing w:after="120"/>
    </w:pPr>
  </w:style>
  <w:style w:type="character" w:customStyle="1" w:styleId="BodyTextChar">
    <w:name w:val="Body Text Char"/>
    <w:link w:val="BodyText"/>
    <w:rsid w:val="00EE2F96"/>
    <w:rPr>
      <w:sz w:val="24"/>
      <w:szCs w:val="24"/>
    </w:rPr>
  </w:style>
  <w:style w:type="paragraph" w:styleId="ListParagraph">
    <w:name w:val="List Paragraph"/>
    <w:basedOn w:val="Normal"/>
    <w:uiPriority w:val="34"/>
    <w:qFormat/>
    <w:rsid w:val="00B716AE"/>
    <w:pPr>
      <w:ind w:left="720"/>
    </w:pPr>
  </w:style>
  <w:style w:type="character" w:customStyle="1" w:styleId="apple-converted-space">
    <w:name w:val="apple-converted-space"/>
    <w:rsid w:val="00D13DA9"/>
  </w:style>
  <w:style w:type="paragraph" w:styleId="NoSpacing">
    <w:name w:val="No Spacing"/>
    <w:uiPriority w:val="1"/>
    <w:qFormat/>
    <w:rsid w:val="00D13DA9"/>
    <w:rPr>
      <w:rFonts w:ascii="Calibri" w:eastAsia="Calibri" w:hAnsi="Calibri"/>
      <w:sz w:val="22"/>
      <w:szCs w:val="22"/>
    </w:rPr>
  </w:style>
  <w:style w:type="character" w:styleId="CommentReference">
    <w:name w:val="annotation reference"/>
    <w:basedOn w:val="DefaultParagraphFont"/>
    <w:rsid w:val="00DF08B7"/>
    <w:rPr>
      <w:sz w:val="16"/>
      <w:szCs w:val="16"/>
    </w:rPr>
  </w:style>
  <w:style w:type="paragraph" w:styleId="CommentText">
    <w:name w:val="annotation text"/>
    <w:basedOn w:val="Normal"/>
    <w:link w:val="CommentTextChar"/>
    <w:rsid w:val="00DF08B7"/>
    <w:rPr>
      <w:sz w:val="20"/>
      <w:szCs w:val="20"/>
    </w:rPr>
  </w:style>
  <w:style w:type="character" w:customStyle="1" w:styleId="CommentTextChar">
    <w:name w:val="Comment Text Char"/>
    <w:basedOn w:val="DefaultParagraphFont"/>
    <w:link w:val="CommentText"/>
    <w:rsid w:val="00DF08B7"/>
  </w:style>
  <w:style w:type="paragraph" w:styleId="CommentSubject">
    <w:name w:val="annotation subject"/>
    <w:basedOn w:val="CommentText"/>
    <w:next w:val="CommentText"/>
    <w:link w:val="CommentSubjectChar"/>
    <w:rsid w:val="00DF08B7"/>
    <w:rPr>
      <w:b/>
      <w:bCs/>
    </w:rPr>
  </w:style>
  <w:style w:type="character" w:customStyle="1" w:styleId="CommentSubjectChar">
    <w:name w:val="Comment Subject Char"/>
    <w:basedOn w:val="CommentTextChar"/>
    <w:link w:val="CommentSubject"/>
    <w:rsid w:val="00DF08B7"/>
    <w:rPr>
      <w:b/>
      <w:bCs/>
    </w:rPr>
  </w:style>
  <w:style w:type="paragraph" w:styleId="Header">
    <w:name w:val="header"/>
    <w:basedOn w:val="Normal"/>
    <w:link w:val="HeaderChar"/>
    <w:rsid w:val="004A6004"/>
    <w:pPr>
      <w:tabs>
        <w:tab w:val="center" w:pos="4680"/>
        <w:tab w:val="right" w:pos="9360"/>
      </w:tabs>
    </w:pPr>
  </w:style>
  <w:style w:type="character" w:customStyle="1" w:styleId="HeaderChar">
    <w:name w:val="Header Char"/>
    <w:basedOn w:val="DefaultParagraphFont"/>
    <w:link w:val="Header"/>
    <w:rsid w:val="004A6004"/>
    <w:rPr>
      <w:sz w:val="24"/>
      <w:szCs w:val="24"/>
    </w:rPr>
  </w:style>
  <w:style w:type="paragraph" w:styleId="Footer">
    <w:name w:val="footer"/>
    <w:basedOn w:val="Normal"/>
    <w:link w:val="FooterChar"/>
    <w:rsid w:val="004A6004"/>
    <w:pPr>
      <w:tabs>
        <w:tab w:val="center" w:pos="4680"/>
        <w:tab w:val="right" w:pos="9360"/>
      </w:tabs>
    </w:pPr>
  </w:style>
  <w:style w:type="character" w:customStyle="1" w:styleId="FooterChar">
    <w:name w:val="Footer Char"/>
    <w:basedOn w:val="DefaultParagraphFont"/>
    <w:link w:val="Footer"/>
    <w:rsid w:val="004A60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9073">
      <w:bodyDiv w:val="1"/>
      <w:marLeft w:val="0"/>
      <w:marRight w:val="0"/>
      <w:marTop w:val="0"/>
      <w:marBottom w:val="0"/>
      <w:divBdr>
        <w:top w:val="none" w:sz="0" w:space="0" w:color="auto"/>
        <w:left w:val="none" w:sz="0" w:space="0" w:color="auto"/>
        <w:bottom w:val="none" w:sz="0" w:space="0" w:color="auto"/>
        <w:right w:val="none" w:sz="0" w:space="0" w:color="auto"/>
      </w:divBdr>
    </w:div>
    <w:div w:id="1302223944">
      <w:bodyDiv w:val="1"/>
      <w:marLeft w:val="0"/>
      <w:marRight w:val="0"/>
      <w:marTop w:val="0"/>
      <w:marBottom w:val="0"/>
      <w:divBdr>
        <w:top w:val="none" w:sz="0" w:space="0" w:color="auto"/>
        <w:left w:val="none" w:sz="0" w:space="0" w:color="auto"/>
        <w:bottom w:val="none" w:sz="0" w:space="0" w:color="auto"/>
        <w:right w:val="none" w:sz="0" w:space="0" w:color="auto"/>
      </w:divBdr>
    </w:div>
    <w:div w:id="1309749923">
      <w:bodyDiv w:val="1"/>
      <w:marLeft w:val="0"/>
      <w:marRight w:val="0"/>
      <w:marTop w:val="0"/>
      <w:marBottom w:val="0"/>
      <w:divBdr>
        <w:top w:val="none" w:sz="0" w:space="0" w:color="auto"/>
        <w:left w:val="none" w:sz="0" w:space="0" w:color="auto"/>
        <w:bottom w:val="none" w:sz="0" w:space="0" w:color="auto"/>
        <w:right w:val="none" w:sz="0" w:space="0" w:color="auto"/>
      </w:divBdr>
    </w:div>
    <w:div w:id="2032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2016-02-02T23:34:00Z</dcterms:created>
  <dcterms:modified xsi:type="dcterms:W3CDTF">2016-02-04T19:15:00Z</dcterms:modified>
</cp:coreProperties>
</file>