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98" w:type="dxa"/>
        <w:tblLook w:val="0000" w:firstRow="0" w:lastRow="0" w:firstColumn="0" w:lastColumn="0" w:noHBand="0" w:noVBand="0"/>
      </w:tblPr>
      <w:tblGrid>
        <w:gridCol w:w="5310"/>
        <w:gridCol w:w="5508"/>
      </w:tblGrid>
      <w:tr w:rsidR="00352252" w:rsidTr="00C87D5E">
        <w:trPr>
          <w:jc w:val="center"/>
        </w:trPr>
        <w:tc>
          <w:tcPr>
            <w:tcW w:w="5310" w:type="dxa"/>
            <w:tcBorders>
              <w:bottom w:val="single" w:sz="6" w:space="0" w:color="auto"/>
            </w:tcBorders>
          </w:tcPr>
          <w:p w:rsidR="00352252" w:rsidRDefault="0068314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rsidR="00352252" w:rsidRDefault="00352252"/>
        </w:tc>
        <w:tc>
          <w:tcPr>
            <w:tcW w:w="5508" w:type="dxa"/>
            <w:tcBorders>
              <w:bottom w:val="single" w:sz="6" w:space="0" w:color="auto"/>
            </w:tcBorders>
          </w:tcPr>
          <w:p w:rsidR="00AC3B91" w:rsidRDefault="00AC3B91" w:rsidP="00AC3B91">
            <w:pPr>
              <w:rPr>
                <w:b/>
                <w:bCs/>
                <w:smallCaps/>
              </w:rPr>
            </w:pPr>
            <w:r>
              <w:rPr>
                <w:b/>
                <w:bCs/>
                <w:smallCaps/>
              </w:rPr>
              <w:t>The Council of the City of New York</w:t>
            </w:r>
          </w:p>
          <w:p w:rsidR="00AC3B91" w:rsidRDefault="00AC3B91" w:rsidP="00AC3B91">
            <w:pPr>
              <w:rPr>
                <w:b/>
                <w:bCs/>
                <w:smallCaps/>
              </w:rPr>
            </w:pPr>
            <w:r>
              <w:rPr>
                <w:b/>
                <w:bCs/>
                <w:smallCaps/>
              </w:rPr>
              <w:t>Finance Division</w:t>
            </w:r>
          </w:p>
          <w:p w:rsidR="00AC3B91" w:rsidRDefault="00A46F43" w:rsidP="00AC3B91">
            <w:pPr>
              <w:spacing w:before="120"/>
              <w:rPr>
                <w:b/>
                <w:bCs/>
                <w:smallCaps/>
              </w:rPr>
            </w:pPr>
            <w:r>
              <w:rPr>
                <w:b/>
                <w:bCs/>
                <w:smallCaps/>
              </w:rPr>
              <w:t>Latonia Mckinney</w:t>
            </w:r>
            <w:r w:rsidR="00AC3B91">
              <w:rPr>
                <w:b/>
                <w:bCs/>
                <w:smallCaps/>
              </w:rPr>
              <w:t>, Director</w:t>
            </w:r>
          </w:p>
          <w:p w:rsidR="00AC3B91" w:rsidRDefault="00AC3B91" w:rsidP="00AC3B91">
            <w:pPr>
              <w:spacing w:before="120"/>
            </w:pPr>
            <w:r>
              <w:rPr>
                <w:b/>
                <w:bCs/>
                <w:smallCaps/>
              </w:rPr>
              <w:t>Fiscal Impact Statement</w:t>
            </w:r>
          </w:p>
          <w:p w:rsidR="00AC3B91" w:rsidRPr="00ED74D9" w:rsidRDefault="00AC3B91" w:rsidP="00AC3B91">
            <w:pPr>
              <w:rPr>
                <w:b/>
                <w:bCs/>
                <w:sz w:val="16"/>
                <w:szCs w:val="16"/>
              </w:rPr>
            </w:pPr>
          </w:p>
          <w:p w:rsidR="00AC3B91" w:rsidRPr="00A267C7" w:rsidRDefault="00AC3B91" w:rsidP="00AC3B91">
            <w:pPr>
              <w:rPr>
                <w:color w:val="FF0000"/>
                <w:sz w:val="16"/>
                <w:szCs w:val="16"/>
              </w:rPr>
            </w:pPr>
            <w:r>
              <w:rPr>
                <w:b/>
                <w:bCs/>
                <w:smallCaps/>
              </w:rPr>
              <w:t xml:space="preserve">Proposed Intro. </w:t>
            </w:r>
            <w:r w:rsidRPr="00D24628">
              <w:rPr>
                <w:b/>
                <w:bCs/>
                <w:smallCaps/>
              </w:rPr>
              <w:t>No</w:t>
            </w:r>
            <w:r w:rsidR="008D3779">
              <w:rPr>
                <w:b/>
                <w:bCs/>
                <w:smallCaps/>
              </w:rPr>
              <w:t>.</w:t>
            </w:r>
            <w:r w:rsidRPr="00D24628">
              <w:rPr>
                <w:b/>
                <w:bCs/>
              </w:rPr>
              <w:t xml:space="preserve">:  </w:t>
            </w:r>
            <w:r w:rsidR="00325A26">
              <w:rPr>
                <w:b/>
                <w:bCs/>
              </w:rPr>
              <w:t>908</w:t>
            </w:r>
            <w:r>
              <w:rPr>
                <w:b/>
                <w:bCs/>
              </w:rPr>
              <w:t>-A</w:t>
            </w:r>
          </w:p>
          <w:p w:rsidR="00352252" w:rsidRDefault="00AC3B91" w:rsidP="00325A26">
            <w:r>
              <w:rPr>
                <w:b/>
                <w:bCs/>
                <w:smallCaps/>
              </w:rPr>
              <w:t>Committee</w:t>
            </w:r>
            <w:r>
              <w:rPr>
                <w:b/>
                <w:bCs/>
              </w:rPr>
              <w:t xml:space="preserve">:  </w:t>
            </w:r>
            <w:r w:rsidR="00325A26">
              <w:rPr>
                <w:b/>
                <w:bCs/>
              </w:rPr>
              <w:t>Technology</w:t>
            </w:r>
          </w:p>
        </w:tc>
      </w:tr>
      <w:tr w:rsidR="00352252" w:rsidTr="00517454">
        <w:trPr>
          <w:trHeight w:val="1209"/>
          <w:jc w:val="center"/>
        </w:trPr>
        <w:tc>
          <w:tcPr>
            <w:tcW w:w="5310" w:type="dxa"/>
            <w:tcBorders>
              <w:top w:val="single" w:sz="6" w:space="0" w:color="auto"/>
            </w:tcBorders>
          </w:tcPr>
          <w:p w:rsidR="009317CB" w:rsidRPr="00326FF1" w:rsidRDefault="00352252" w:rsidP="009317CB">
            <w:pPr>
              <w:shd w:val="clear" w:color="auto" w:fill="FFFFFF"/>
            </w:pPr>
            <w:r w:rsidRPr="00326FF1">
              <w:rPr>
                <w:b/>
                <w:bCs/>
                <w:smallCaps/>
              </w:rPr>
              <w:t>Title</w:t>
            </w:r>
            <w:r w:rsidR="00C72B25" w:rsidRPr="00326FF1">
              <w:rPr>
                <w:b/>
                <w:bCs/>
                <w:smallCaps/>
              </w:rPr>
              <w:t xml:space="preserve">: </w:t>
            </w:r>
            <w:r w:rsidR="00C72B25" w:rsidRPr="00326FF1">
              <w:rPr>
                <w:bCs/>
                <w:smallCaps/>
              </w:rPr>
              <w:t xml:space="preserve"> </w:t>
            </w:r>
            <w:r w:rsidR="00765127" w:rsidRPr="00326FF1">
              <w:t xml:space="preserve">A Local Law </w:t>
            </w:r>
            <w:r w:rsidR="00325A26">
              <w:rPr>
                <w:color w:val="000000"/>
                <w:shd w:val="clear" w:color="auto" w:fill="FFFFFF"/>
              </w:rPr>
              <w:t>to amend the administrative code of the city of New York, in relation to the review of data requested through FOIL for inclusion on the open data portal</w:t>
            </w:r>
          </w:p>
          <w:p w:rsidR="00E83693" w:rsidRPr="00326FF1" w:rsidRDefault="00E83693" w:rsidP="009317CB">
            <w:pPr>
              <w:shd w:val="clear" w:color="auto" w:fill="FFFFFF"/>
            </w:pPr>
          </w:p>
        </w:tc>
        <w:tc>
          <w:tcPr>
            <w:tcW w:w="5508" w:type="dxa"/>
            <w:tcBorders>
              <w:top w:val="single" w:sz="6" w:space="0" w:color="auto"/>
            </w:tcBorders>
          </w:tcPr>
          <w:p w:rsidR="000329FE" w:rsidRPr="00326FF1" w:rsidRDefault="00352252" w:rsidP="002521EF">
            <w:pPr>
              <w:shd w:val="clear" w:color="auto" w:fill="FFFFFF"/>
              <w:autoSpaceDE w:val="0"/>
              <w:autoSpaceDN w:val="0"/>
              <w:adjustRightInd w:val="0"/>
            </w:pPr>
            <w:r w:rsidRPr="00326FF1">
              <w:rPr>
                <w:b/>
                <w:bCs/>
              </w:rPr>
              <w:t>Sponsor:</w:t>
            </w:r>
            <w:r w:rsidR="00D13AF8" w:rsidRPr="00326FF1">
              <w:rPr>
                <w:b/>
                <w:bCs/>
              </w:rPr>
              <w:t xml:space="preserve"> </w:t>
            </w:r>
            <w:r w:rsidR="006F030A" w:rsidRPr="00326FF1">
              <w:rPr>
                <w:bCs/>
              </w:rPr>
              <w:t>By Council Members</w:t>
            </w:r>
            <w:r w:rsidR="006F030A" w:rsidRPr="00326FF1">
              <w:t xml:space="preserve"> </w:t>
            </w:r>
            <w:r w:rsidR="00351D5A">
              <w:t>Palma and Mendez</w:t>
            </w:r>
          </w:p>
          <w:p w:rsidR="00FC5178" w:rsidRPr="00326FF1" w:rsidRDefault="00FC5178" w:rsidP="00FC5178">
            <w:pPr>
              <w:shd w:val="clear" w:color="auto" w:fill="FFFFFF"/>
              <w:autoSpaceDE w:val="0"/>
              <w:autoSpaceDN w:val="0"/>
              <w:adjustRightInd w:val="0"/>
            </w:pPr>
          </w:p>
        </w:tc>
      </w:tr>
      <w:tr w:rsidR="00352252" w:rsidTr="00C87D5E">
        <w:trPr>
          <w:cantSplit/>
          <w:trHeight w:val="554"/>
          <w:jc w:val="center"/>
        </w:trPr>
        <w:tc>
          <w:tcPr>
            <w:tcW w:w="10818" w:type="dxa"/>
            <w:gridSpan w:val="2"/>
          </w:tcPr>
          <w:p w:rsidR="002C558E" w:rsidRPr="00326FF1" w:rsidRDefault="00352252" w:rsidP="00325A26">
            <w:pPr>
              <w:shd w:val="clear" w:color="auto" w:fill="FFFFFF"/>
            </w:pPr>
            <w:r w:rsidRPr="00326FF1">
              <w:rPr>
                <w:b/>
                <w:bCs/>
                <w:smallCaps/>
              </w:rPr>
              <w:t>Summary of Legislation</w:t>
            </w:r>
            <w:r w:rsidR="00B70870" w:rsidRPr="00326FF1">
              <w:rPr>
                <w:b/>
                <w:bCs/>
                <w:smallCaps/>
              </w:rPr>
              <w:t>:</w:t>
            </w:r>
            <w:r w:rsidR="005977C3" w:rsidRPr="00326FF1">
              <w:rPr>
                <w:b/>
                <w:bCs/>
                <w:smallCaps/>
              </w:rPr>
              <w:t xml:space="preserve"> </w:t>
            </w:r>
            <w:r w:rsidR="00325A26">
              <w:t>Proposed Intro. 908-A would require agencies to review Freedom of Information Law requests that include the release of data to determine if they consist of public data sets that should be included on the City’s Open Data Portal.</w:t>
            </w:r>
          </w:p>
        </w:tc>
      </w:tr>
      <w:tr w:rsidR="00352252" w:rsidTr="009E4362">
        <w:trPr>
          <w:cantSplit/>
          <w:trHeight w:val="324"/>
          <w:jc w:val="center"/>
        </w:trPr>
        <w:tc>
          <w:tcPr>
            <w:tcW w:w="10818" w:type="dxa"/>
            <w:gridSpan w:val="2"/>
          </w:tcPr>
          <w:p w:rsidR="00F25AA7" w:rsidRPr="00326FF1" w:rsidRDefault="00352252" w:rsidP="009657CF">
            <w:pPr>
              <w:shd w:val="clear" w:color="auto" w:fill="FFFFFF"/>
              <w:rPr>
                <w:rFonts w:eastAsia="Calibri"/>
                <w:color w:val="000000"/>
              </w:rPr>
            </w:pPr>
            <w:r w:rsidRPr="00326FF1">
              <w:rPr>
                <w:b/>
                <w:bCs/>
                <w:smallCaps/>
              </w:rPr>
              <w:t>Effective Date:</w:t>
            </w:r>
            <w:r w:rsidR="00AA6BEF" w:rsidRPr="00326FF1">
              <w:rPr>
                <w:b/>
                <w:bCs/>
                <w:smallCaps/>
              </w:rPr>
              <w:t xml:space="preserve"> </w:t>
            </w:r>
            <w:r w:rsidR="005D31BB" w:rsidRPr="00326FF1">
              <w:t xml:space="preserve">This local law would take </w:t>
            </w:r>
            <w:r w:rsidR="002B3D96" w:rsidRPr="00326FF1">
              <w:t xml:space="preserve">effect </w:t>
            </w:r>
            <w:r w:rsidR="00325A26">
              <w:rPr>
                <w:rFonts w:eastAsia="Calibri"/>
                <w:color w:val="000000"/>
              </w:rPr>
              <w:t>immediately</w:t>
            </w:r>
            <w:r w:rsidR="009657CF" w:rsidRPr="00326FF1">
              <w:rPr>
                <w:rFonts w:eastAsia="Calibri"/>
                <w:color w:val="000000"/>
              </w:rPr>
              <w:t>.</w:t>
            </w:r>
          </w:p>
          <w:p w:rsidR="009657CF" w:rsidRPr="00326FF1" w:rsidRDefault="009657CF" w:rsidP="009657CF">
            <w:pPr>
              <w:shd w:val="clear" w:color="auto" w:fill="FFFFFF"/>
              <w:rPr>
                <w:bCs/>
              </w:rPr>
            </w:pPr>
          </w:p>
        </w:tc>
      </w:tr>
      <w:tr w:rsidR="00352252" w:rsidTr="009E4362">
        <w:trPr>
          <w:cantSplit/>
          <w:trHeight w:val="576"/>
          <w:jc w:val="center"/>
        </w:trPr>
        <w:tc>
          <w:tcPr>
            <w:tcW w:w="10818" w:type="dxa"/>
            <w:gridSpan w:val="2"/>
            <w:tcBorders>
              <w:bottom w:val="single" w:sz="6" w:space="0" w:color="auto"/>
            </w:tcBorders>
          </w:tcPr>
          <w:p w:rsidR="005D31BB" w:rsidRPr="00326FF1" w:rsidRDefault="00352252" w:rsidP="00DE6E42">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8D3779" w:rsidRPr="00326FF1">
              <w:rPr>
                <w:bCs/>
                <w:smallCaps/>
              </w:rPr>
              <w:t>FY</w:t>
            </w:r>
            <w:r w:rsidR="005D31BB" w:rsidRPr="00326FF1">
              <w:rPr>
                <w:bCs/>
                <w:smallCaps/>
              </w:rPr>
              <w:t>201</w:t>
            </w:r>
            <w:r w:rsidR="00405391" w:rsidRPr="00326FF1">
              <w:rPr>
                <w:bCs/>
                <w:smallCaps/>
              </w:rPr>
              <w:t>7</w:t>
            </w:r>
          </w:p>
        </w:tc>
      </w:tr>
      <w:tr w:rsidR="00352252" w:rsidTr="00E74CFA">
        <w:trPr>
          <w:cantSplit/>
          <w:trHeight w:val="1839"/>
          <w:jc w:val="center"/>
        </w:trPr>
        <w:tc>
          <w:tcPr>
            <w:tcW w:w="10818" w:type="dxa"/>
            <w:gridSpan w:val="2"/>
            <w:tcBorders>
              <w:top w:val="single" w:sz="6" w:space="0" w:color="auto"/>
            </w:tcBorders>
          </w:tcPr>
          <w:p w:rsidR="00EC30EE" w:rsidRDefault="00352252">
            <w:pPr>
              <w:rPr>
                <w:b/>
                <w:bCs/>
                <w:smallCaps/>
              </w:rPr>
            </w:pPr>
            <w:r>
              <w:rPr>
                <w:b/>
                <w:bCs/>
                <w:smallCaps/>
              </w:rPr>
              <w:t>Fiscal Impact Statement:</w:t>
            </w:r>
            <w:r w:rsidR="00AA6BEF">
              <w:rPr>
                <w:b/>
                <w:bCs/>
                <w:smallCaps/>
              </w:rPr>
              <w:t xml:space="preserve"> </w:t>
            </w:r>
          </w:p>
          <w:p w:rsidR="00FE1D08" w:rsidRPr="00FE1D08" w:rsidRDefault="00FE1D08">
            <w:pPr>
              <w:rPr>
                <w:b/>
                <w:bCs/>
                <w:smallCaps/>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352252" w:rsidTr="00251BB3">
              <w:trPr>
                <w:jc w:val="center"/>
              </w:trPr>
              <w:tc>
                <w:tcPr>
                  <w:tcW w:w="1995" w:type="dxa"/>
                  <w:tcBorders>
                    <w:top w:val="double" w:sz="7" w:space="0" w:color="000000"/>
                    <w:left w:val="double" w:sz="7" w:space="0" w:color="000000"/>
                    <w:bottom w:val="single" w:sz="6" w:space="0" w:color="FFFFFF"/>
                    <w:right w:val="single" w:sz="6" w:space="0" w:color="FFFFFF"/>
                  </w:tcBorders>
                </w:tcPr>
                <w:p w:rsidR="00352252" w:rsidRPr="00542556" w:rsidRDefault="00352252">
                  <w:pPr>
                    <w:spacing w:line="201" w:lineRule="exact"/>
                    <w:jc w:val="center"/>
                    <w:rPr>
                      <w:sz w:val="18"/>
                      <w:szCs w:val="18"/>
                    </w:rPr>
                  </w:pPr>
                </w:p>
                <w:p w:rsidR="00352252" w:rsidRPr="00542556" w:rsidRDefault="00352252">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rsidR="00352252" w:rsidRPr="00542556" w:rsidRDefault="00DB057D" w:rsidP="009657CF">
                  <w:pPr>
                    <w:jc w:val="center"/>
                    <w:rPr>
                      <w:b/>
                      <w:bCs/>
                      <w:sz w:val="18"/>
                      <w:szCs w:val="18"/>
                    </w:rPr>
                  </w:pPr>
                  <w:r w:rsidRPr="00542556">
                    <w:rPr>
                      <w:b/>
                      <w:bCs/>
                      <w:sz w:val="18"/>
                      <w:szCs w:val="18"/>
                    </w:rPr>
                    <w:t>Effective FY</w:t>
                  </w:r>
                  <w:r w:rsidR="008D79B4" w:rsidRPr="00542556">
                    <w:rPr>
                      <w:b/>
                      <w:bCs/>
                      <w:sz w:val="18"/>
                      <w:szCs w:val="18"/>
                    </w:rPr>
                    <w:t>1</w:t>
                  </w:r>
                  <w:r w:rsidR="00326FF1">
                    <w:rPr>
                      <w:b/>
                      <w:bCs/>
                      <w:sz w:val="18"/>
                      <w:szCs w:val="18"/>
                    </w:rPr>
                    <w:t>6</w:t>
                  </w:r>
                </w:p>
              </w:tc>
              <w:tc>
                <w:tcPr>
                  <w:tcW w:w="2083" w:type="dxa"/>
                  <w:tcBorders>
                    <w:top w:val="double" w:sz="7" w:space="0" w:color="000000"/>
                    <w:left w:val="single" w:sz="7" w:space="0" w:color="000000"/>
                    <w:bottom w:val="single" w:sz="6" w:space="0" w:color="FFFFFF"/>
                    <w:right w:val="single" w:sz="6" w:space="0" w:color="FFFFFF"/>
                  </w:tcBorders>
                </w:tcPr>
                <w:p w:rsidR="00352252" w:rsidRPr="00542556" w:rsidRDefault="00352252">
                  <w:pPr>
                    <w:jc w:val="center"/>
                    <w:rPr>
                      <w:b/>
                      <w:bCs/>
                      <w:sz w:val="18"/>
                      <w:szCs w:val="18"/>
                    </w:rPr>
                  </w:pPr>
                  <w:r w:rsidRPr="00542556">
                    <w:rPr>
                      <w:b/>
                      <w:bCs/>
                      <w:sz w:val="18"/>
                      <w:szCs w:val="18"/>
                    </w:rPr>
                    <w:t>FY Succeeding</w:t>
                  </w:r>
                </w:p>
                <w:p w:rsidR="00352252" w:rsidRPr="00542556" w:rsidRDefault="00DB057D" w:rsidP="009657CF">
                  <w:pPr>
                    <w:jc w:val="center"/>
                    <w:rPr>
                      <w:b/>
                      <w:bCs/>
                      <w:sz w:val="18"/>
                      <w:szCs w:val="18"/>
                    </w:rPr>
                  </w:pPr>
                  <w:r w:rsidRPr="00542556">
                    <w:rPr>
                      <w:b/>
                      <w:bCs/>
                      <w:sz w:val="18"/>
                      <w:szCs w:val="18"/>
                    </w:rPr>
                    <w:t>Effective FY1</w:t>
                  </w:r>
                  <w:r w:rsidR="00326FF1">
                    <w:rPr>
                      <w:b/>
                      <w:bCs/>
                      <w:sz w:val="18"/>
                      <w:szCs w:val="18"/>
                    </w:rPr>
                    <w:t>7</w:t>
                  </w:r>
                </w:p>
              </w:tc>
              <w:tc>
                <w:tcPr>
                  <w:tcW w:w="1754" w:type="dxa"/>
                  <w:tcBorders>
                    <w:top w:val="double" w:sz="7" w:space="0" w:color="000000"/>
                    <w:left w:val="single" w:sz="7" w:space="0" w:color="000000"/>
                    <w:bottom w:val="single" w:sz="6" w:space="0" w:color="FFFFFF"/>
                    <w:right w:val="double" w:sz="7" w:space="0" w:color="000000"/>
                  </w:tcBorders>
                </w:tcPr>
                <w:p w:rsidR="00352252" w:rsidRPr="00542556" w:rsidRDefault="00352252">
                  <w:pPr>
                    <w:jc w:val="center"/>
                    <w:rPr>
                      <w:b/>
                      <w:bCs/>
                      <w:sz w:val="18"/>
                      <w:szCs w:val="18"/>
                    </w:rPr>
                  </w:pPr>
                  <w:r w:rsidRPr="00542556">
                    <w:rPr>
                      <w:b/>
                      <w:bCs/>
                      <w:sz w:val="18"/>
                      <w:szCs w:val="18"/>
                    </w:rPr>
                    <w:t>Full Fiscal</w:t>
                  </w:r>
                </w:p>
                <w:p w:rsidR="00352252" w:rsidRPr="00542556" w:rsidRDefault="00DB057D" w:rsidP="00DE6E42">
                  <w:pPr>
                    <w:pStyle w:val="Heading1"/>
                    <w:rPr>
                      <w:sz w:val="18"/>
                      <w:szCs w:val="18"/>
                    </w:rPr>
                  </w:pPr>
                  <w:r w:rsidRPr="00542556">
                    <w:rPr>
                      <w:sz w:val="18"/>
                      <w:szCs w:val="18"/>
                    </w:rPr>
                    <w:t>Impact FY</w:t>
                  </w:r>
                  <w:r w:rsidR="008D79B4" w:rsidRPr="00542556">
                    <w:rPr>
                      <w:sz w:val="18"/>
                      <w:szCs w:val="18"/>
                    </w:rPr>
                    <w:t>1</w:t>
                  </w:r>
                  <w:r w:rsidR="00326FF1">
                    <w:rPr>
                      <w:sz w:val="18"/>
                      <w:szCs w:val="18"/>
                    </w:rPr>
                    <w:t>7</w:t>
                  </w:r>
                </w:p>
              </w:tc>
            </w:tr>
            <w:tr w:rsidR="00E37241" w:rsidTr="00E37241">
              <w:trPr>
                <w:jc w:val="center"/>
              </w:trPr>
              <w:tc>
                <w:tcPr>
                  <w:tcW w:w="1995" w:type="dxa"/>
                  <w:tcBorders>
                    <w:top w:val="single" w:sz="7" w:space="0" w:color="000000"/>
                    <w:left w:val="double" w:sz="7" w:space="0" w:color="000000"/>
                    <w:bottom w:val="single" w:sz="6" w:space="0" w:color="FFFFFF"/>
                    <w:right w:val="single" w:sz="6" w:space="0" w:color="FFFFFF"/>
                  </w:tcBorders>
                </w:tcPr>
                <w:p w:rsidR="00E37241" w:rsidRPr="00542556" w:rsidRDefault="00E37241" w:rsidP="00E37241">
                  <w:pPr>
                    <w:spacing w:line="163" w:lineRule="exact"/>
                    <w:jc w:val="center"/>
                    <w:rPr>
                      <w:b/>
                      <w:bCs/>
                      <w:sz w:val="18"/>
                      <w:szCs w:val="18"/>
                    </w:rPr>
                  </w:pPr>
                </w:p>
                <w:p w:rsidR="00E37241" w:rsidRPr="00542556" w:rsidRDefault="00E37241" w:rsidP="00E37241">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rsidR="00E37241" w:rsidRPr="00542556" w:rsidRDefault="00E37241" w:rsidP="00E37241">
                  <w:pPr>
                    <w:jc w:val="center"/>
                    <w:rPr>
                      <w:b/>
                      <w:bCs/>
                      <w:sz w:val="18"/>
                      <w:szCs w:val="18"/>
                    </w:rP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rsidR="00E37241" w:rsidRDefault="00E37241" w:rsidP="00E37241">
                  <w:pPr>
                    <w:jc w:val="center"/>
                  </w:pPr>
                  <w:r w:rsidRPr="005C6B16">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E37241" w:rsidRDefault="00E37241" w:rsidP="00E37241">
                  <w:pPr>
                    <w:jc w:val="center"/>
                  </w:pPr>
                  <w:r w:rsidRPr="005C6B16">
                    <w:rPr>
                      <w:b/>
                      <w:bCs/>
                      <w:sz w:val="18"/>
                      <w:szCs w:val="18"/>
                    </w:rPr>
                    <w:t>$0</w:t>
                  </w:r>
                </w:p>
              </w:tc>
            </w:tr>
            <w:tr w:rsidR="00E37241" w:rsidTr="00E37241">
              <w:trPr>
                <w:jc w:val="center"/>
              </w:trPr>
              <w:tc>
                <w:tcPr>
                  <w:tcW w:w="1995" w:type="dxa"/>
                  <w:tcBorders>
                    <w:top w:val="single" w:sz="7" w:space="0" w:color="000000"/>
                    <w:left w:val="double" w:sz="7" w:space="0" w:color="000000"/>
                    <w:bottom w:val="single" w:sz="6" w:space="0" w:color="FFFFFF"/>
                    <w:right w:val="single" w:sz="6" w:space="0" w:color="FFFFFF"/>
                  </w:tcBorders>
                </w:tcPr>
                <w:p w:rsidR="00E37241" w:rsidRPr="00542556" w:rsidRDefault="00E37241" w:rsidP="00E37241">
                  <w:pPr>
                    <w:spacing w:line="163" w:lineRule="exact"/>
                    <w:jc w:val="center"/>
                    <w:rPr>
                      <w:b/>
                      <w:bCs/>
                      <w:sz w:val="18"/>
                      <w:szCs w:val="18"/>
                    </w:rPr>
                  </w:pPr>
                </w:p>
                <w:p w:rsidR="00E37241" w:rsidRPr="00542556" w:rsidRDefault="00E37241" w:rsidP="00E37241">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rsidR="00E37241" w:rsidRDefault="00E37241" w:rsidP="00E37241">
                  <w:pPr>
                    <w:jc w:val="center"/>
                  </w:pPr>
                  <w:r w:rsidRPr="00BD2ADA">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rsidR="00E37241" w:rsidRDefault="00E37241" w:rsidP="00E37241">
                  <w:pPr>
                    <w:jc w:val="center"/>
                  </w:pPr>
                  <w:r w:rsidRPr="00BD2ADA">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E37241" w:rsidRDefault="00E37241" w:rsidP="00E37241">
                  <w:pPr>
                    <w:jc w:val="center"/>
                  </w:pPr>
                  <w:r w:rsidRPr="00BD2ADA">
                    <w:rPr>
                      <w:b/>
                      <w:bCs/>
                      <w:sz w:val="18"/>
                      <w:szCs w:val="18"/>
                    </w:rPr>
                    <w:t>$0</w:t>
                  </w:r>
                </w:p>
              </w:tc>
            </w:tr>
            <w:tr w:rsidR="00E37241" w:rsidTr="00E37241">
              <w:trPr>
                <w:jc w:val="center"/>
              </w:trPr>
              <w:tc>
                <w:tcPr>
                  <w:tcW w:w="1995" w:type="dxa"/>
                  <w:tcBorders>
                    <w:top w:val="single" w:sz="7" w:space="0" w:color="000000"/>
                    <w:left w:val="double" w:sz="7" w:space="0" w:color="000000"/>
                    <w:bottom w:val="single" w:sz="7" w:space="0" w:color="000000"/>
                    <w:right w:val="single" w:sz="6" w:space="0" w:color="FFFFFF"/>
                  </w:tcBorders>
                </w:tcPr>
                <w:p w:rsidR="00E37241" w:rsidRPr="00542556" w:rsidRDefault="00E37241" w:rsidP="00E37241">
                  <w:pPr>
                    <w:spacing w:line="163" w:lineRule="exact"/>
                    <w:jc w:val="center"/>
                    <w:rPr>
                      <w:b/>
                      <w:bCs/>
                      <w:sz w:val="18"/>
                      <w:szCs w:val="18"/>
                    </w:rPr>
                  </w:pPr>
                </w:p>
                <w:p w:rsidR="00E37241" w:rsidRPr="00542556" w:rsidRDefault="00E37241">
                  <w:pPr>
                    <w:spacing w:after="58"/>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rsidR="00E37241" w:rsidRDefault="00E37241" w:rsidP="00E37241">
                  <w:pPr>
                    <w:jc w:val="center"/>
                  </w:pPr>
                  <w:r w:rsidRPr="00C066CC">
                    <w:rPr>
                      <w:b/>
                      <w:bCs/>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rsidR="00E37241" w:rsidRDefault="00E37241" w:rsidP="00E37241">
                  <w:pPr>
                    <w:jc w:val="center"/>
                  </w:pPr>
                  <w:r w:rsidRPr="00C066CC">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E37241" w:rsidRDefault="00E37241" w:rsidP="00E37241">
                  <w:pPr>
                    <w:jc w:val="center"/>
                  </w:pPr>
                  <w:r w:rsidRPr="00C066CC">
                    <w:rPr>
                      <w:b/>
                      <w:bCs/>
                      <w:sz w:val="18"/>
                      <w:szCs w:val="18"/>
                    </w:rPr>
                    <w:t>$0</w:t>
                  </w:r>
                </w:p>
              </w:tc>
            </w:tr>
          </w:tbl>
          <w:p w:rsidR="00352252" w:rsidRDefault="00352252" w:rsidP="00E37241"/>
        </w:tc>
      </w:tr>
      <w:tr w:rsidR="00352252" w:rsidRPr="00840B00" w:rsidTr="007F2187">
        <w:trPr>
          <w:jc w:val="center"/>
        </w:trPr>
        <w:tc>
          <w:tcPr>
            <w:tcW w:w="10818" w:type="dxa"/>
            <w:gridSpan w:val="2"/>
            <w:vAlign w:val="center"/>
          </w:tcPr>
          <w:p w:rsidR="001028F7" w:rsidRPr="00840B00" w:rsidRDefault="001028F7" w:rsidP="007F2187">
            <w:pPr>
              <w:jc w:val="left"/>
              <w:rPr>
                <w:b/>
                <w:bCs/>
                <w:smallCaps/>
                <w:sz w:val="22"/>
                <w:szCs w:val="22"/>
              </w:rPr>
            </w:pPr>
          </w:p>
          <w:p w:rsidR="007F2187" w:rsidRPr="00EC30EE" w:rsidRDefault="00352252" w:rsidP="00D662B9">
            <w:pPr>
              <w:pBdr>
                <w:top w:val="single" w:sz="4" w:space="1" w:color="auto"/>
              </w:pBdr>
            </w:pPr>
            <w:r w:rsidRPr="00EC30EE">
              <w:rPr>
                <w:b/>
                <w:bCs/>
                <w:smallCaps/>
              </w:rPr>
              <w:t>Impact on Revenues</w:t>
            </w:r>
            <w:r w:rsidRPr="00EC30EE">
              <w:rPr>
                <w:b/>
                <w:bCs/>
              </w:rPr>
              <w:t>:</w:t>
            </w:r>
            <w:r w:rsidRPr="00EC30EE">
              <w:t xml:space="preserve">  </w:t>
            </w:r>
            <w:r w:rsidR="00D662B9">
              <w:t xml:space="preserve">It is estimated that there would be </w:t>
            </w:r>
            <w:r w:rsidR="00D662B9" w:rsidRPr="00617B45">
              <w:t>no impact on revenues</w:t>
            </w:r>
            <w:r w:rsidR="00D662B9">
              <w:t xml:space="preserve"> resulting from the enactment of this legislation</w:t>
            </w:r>
            <w:r w:rsidR="00D662B9" w:rsidRPr="00617B45">
              <w:t>.</w:t>
            </w:r>
          </w:p>
          <w:p w:rsidR="00FE1D08" w:rsidRPr="00840B00" w:rsidRDefault="00FE1D08" w:rsidP="00D662B9">
            <w:pPr>
              <w:jc w:val="left"/>
              <w:rPr>
                <w:sz w:val="22"/>
                <w:szCs w:val="22"/>
              </w:rPr>
            </w:pPr>
          </w:p>
        </w:tc>
      </w:tr>
      <w:tr w:rsidR="00352252" w:rsidRPr="00EC30EE" w:rsidTr="00C87D5E">
        <w:trPr>
          <w:jc w:val="center"/>
        </w:trPr>
        <w:tc>
          <w:tcPr>
            <w:tcW w:w="10818" w:type="dxa"/>
            <w:gridSpan w:val="2"/>
          </w:tcPr>
          <w:p w:rsidR="005D31BB" w:rsidRPr="00EC30EE" w:rsidRDefault="00352252" w:rsidP="005D31BB">
            <w:r w:rsidRPr="00EC30EE">
              <w:rPr>
                <w:b/>
                <w:bCs/>
                <w:smallCaps/>
              </w:rPr>
              <w:t>Impact on Expenditures</w:t>
            </w:r>
            <w:r w:rsidRPr="00EC30EE">
              <w:rPr>
                <w:b/>
                <w:bCs/>
              </w:rPr>
              <w:t>:</w:t>
            </w:r>
            <w:r w:rsidRPr="00EC30EE">
              <w:t xml:space="preserve">  </w:t>
            </w:r>
            <w:r w:rsidR="00A36A79">
              <w:t>It has yet to be determined</w:t>
            </w:r>
            <w:r w:rsidR="00A36A79" w:rsidRPr="00A36A79">
              <w:t xml:space="preserve"> </w:t>
            </w:r>
            <w:r w:rsidR="00A36A79">
              <w:t xml:space="preserve">if </w:t>
            </w:r>
            <w:r w:rsidR="00A36A79" w:rsidRPr="00A36A79">
              <w:t xml:space="preserve">City Agencies with a high volume of FOIL requests that involve the release of data </w:t>
            </w:r>
            <w:r w:rsidR="00A36A79">
              <w:t xml:space="preserve">will need an </w:t>
            </w:r>
            <w:r w:rsidR="00A36A79" w:rsidRPr="00A36A79">
              <w:t>additional Full-Time Equivalent position to assist with facilitating the review and processing of incoming and outgoing requests</w:t>
            </w:r>
            <w:r w:rsidR="00A36A79">
              <w:t>.  It is expected that agencies will comply with this law using existing resources</w:t>
            </w:r>
            <w:bookmarkStart w:id="0" w:name="_GoBack"/>
            <w:bookmarkEnd w:id="0"/>
            <w:r w:rsidR="00A36A79">
              <w:t xml:space="preserve">. </w:t>
            </w:r>
          </w:p>
          <w:p w:rsidR="00EB5A53" w:rsidRPr="00EC30EE" w:rsidRDefault="00EB5A53" w:rsidP="00E203BF"/>
        </w:tc>
      </w:tr>
      <w:tr w:rsidR="00352252" w:rsidRPr="00EC30EE" w:rsidTr="00C87D5E">
        <w:trPr>
          <w:jc w:val="center"/>
        </w:trPr>
        <w:tc>
          <w:tcPr>
            <w:tcW w:w="10818" w:type="dxa"/>
            <w:gridSpan w:val="2"/>
          </w:tcPr>
          <w:p w:rsidR="003C1ABB" w:rsidRPr="00EC30EE" w:rsidRDefault="00352252" w:rsidP="00E203BF">
            <w:r w:rsidRPr="00EC30EE">
              <w:rPr>
                <w:b/>
                <w:bCs/>
                <w:smallCaps/>
              </w:rPr>
              <w:t>Source of Funds To Cover Estimated Costs</w:t>
            </w:r>
            <w:r w:rsidR="003A3DE9" w:rsidRPr="00EC30EE">
              <w:rPr>
                <w:b/>
                <w:bCs/>
              </w:rPr>
              <w:t>:</w:t>
            </w:r>
            <w:r w:rsidR="005D31BB" w:rsidRPr="00EC30EE">
              <w:rPr>
                <w:b/>
                <w:bCs/>
              </w:rPr>
              <w:t xml:space="preserve"> </w:t>
            </w:r>
            <w:r w:rsidR="00325A26">
              <w:rPr>
                <w:bCs/>
              </w:rPr>
              <w:t>General Fund</w:t>
            </w:r>
          </w:p>
          <w:p w:rsidR="00EB5A53" w:rsidRPr="00EC30EE" w:rsidRDefault="00EB5A53" w:rsidP="00E203BF"/>
        </w:tc>
      </w:tr>
      <w:tr w:rsidR="00352252" w:rsidRPr="00EC30EE" w:rsidTr="00C87D5E">
        <w:trPr>
          <w:trHeight w:val="693"/>
          <w:jc w:val="center"/>
        </w:trPr>
        <w:tc>
          <w:tcPr>
            <w:tcW w:w="10818" w:type="dxa"/>
            <w:gridSpan w:val="2"/>
          </w:tcPr>
          <w:p w:rsidR="00352252" w:rsidRPr="00EC30EE" w:rsidRDefault="00352252" w:rsidP="003A3DE9">
            <w:r w:rsidRPr="00EC30EE">
              <w:rPr>
                <w:b/>
                <w:bCs/>
                <w:smallCaps/>
              </w:rPr>
              <w:t>Source of Information</w:t>
            </w:r>
            <w:r w:rsidRPr="00EC30EE">
              <w:rPr>
                <w:b/>
                <w:bCs/>
              </w:rPr>
              <w:t>:</w:t>
            </w:r>
            <w:r w:rsidRPr="00EC30EE">
              <w:tab/>
            </w:r>
            <w:r w:rsidR="00A36A79">
              <w:t>NYC Council Finance Division</w:t>
            </w:r>
          </w:p>
          <w:p w:rsidR="00325A26" w:rsidRDefault="005D31BB" w:rsidP="00325A26">
            <w:r w:rsidRPr="00EC30EE">
              <w:t xml:space="preserve">               </w:t>
            </w:r>
            <w:r w:rsidR="00326FF1" w:rsidRPr="00EC30EE">
              <w:t xml:space="preserve">                            </w:t>
            </w:r>
            <w:r w:rsidR="00325A26">
              <w:t>Office of Management and Budget</w:t>
            </w:r>
          </w:p>
          <w:p w:rsidR="00A36A79" w:rsidRDefault="00A36A79" w:rsidP="00325A26"/>
          <w:p w:rsidR="00A36A79" w:rsidRPr="00EC30EE" w:rsidRDefault="00A36A79" w:rsidP="00325A26"/>
        </w:tc>
      </w:tr>
      <w:tr w:rsidR="00352252" w:rsidRPr="00EC30EE" w:rsidTr="00C87D5E">
        <w:trPr>
          <w:jc w:val="center"/>
        </w:trPr>
        <w:tc>
          <w:tcPr>
            <w:tcW w:w="10818" w:type="dxa"/>
            <w:gridSpan w:val="2"/>
          </w:tcPr>
          <w:p w:rsidR="005D31BB" w:rsidRPr="00EC30EE" w:rsidRDefault="00352252" w:rsidP="003A3DE9">
            <w:r w:rsidRPr="00EC30EE">
              <w:rPr>
                <w:b/>
                <w:bCs/>
                <w:smallCaps/>
              </w:rPr>
              <w:t>Estimate Prepared By</w:t>
            </w:r>
            <w:r w:rsidRPr="00EC30EE">
              <w:rPr>
                <w:smallCaps/>
              </w:rPr>
              <w:t xml:space="preserve">: </w:t>
            </w:r>
            <w:r w:rsidR="005D31BB" w:rsidRPr="00EC30EE">
              <w:rPr>
                <w:smallCaps/>
              </w:rPr>
              <w:t xml:space="preserve">   </w:t>
            </w:r>
            <w:r w:rsidR="00325A26">
              <w:t>Nathan Toth</w:t>
            </w:r>
            <w:r w:rsidR="00326FF1" w:rsidRPr="00EC30EE">
              <w:t>,</w:t>
            </w:r>
            <w:r w:rsidR="00325A26">
              <w:t xml:space="preserve"> Deputy Directory,</w:t>
            </w:r>
            <w:r w:rsidR="00326FF1" w:rsidRPr="00EC30EE">
              <w:t xml:space="preserve"> New York City Council Finance Division</w:t>
            </w:r>
          </w:p>
          <w:p w:rsidR="009B0F5C" w:rsidRPr="00EC30EE" w:rsidRDefault="00E74CFA" w:rsidP="009B0F5C">
            <w:pPr>
              <w:tabs>
                <w:tab w:val="left" w:pos="2895"/>
              </w:tabs>
            </w:pPr>
            <w:r w:rsidRPr="00EC30EE">
              <w:t xml:space="preserve"> </w:t>
            </w:r>
            <w:r w:rsidR="005D31BB" w:rsidRPr="00EC30EE">
              <w:t xml:space="preserve">                                             </w:t>
            </w:r>
          </w:p>
          <w:p w:rsidR="00326FF1" w:rsidRPr="00EC30EE" w:rsidRDefault="00D273DC" w:rsidP="00325A26">
            <w:r w:rsidRPr="00EC30EE">
              <w:rPr>
                <w:b/>
                <w:smallCaps/>
              </w:rPr>
              <w:t>Estimate Reviewed By:</w:t>
            </w:r>
            <w:r w:rsidR="00326FF1" w:rsidRPr="00EC30EE">
              <w:rPr>
                <w:b/>
                <w:smallCaps/>
              </w:rPr>
              <w:t xml:space="preserve"> </w:t>
            </w:r>
            <w:r w:rsidR="00EC30EE">
              <w:rPr>
                <w:b/>
                <w:smallCaps/>
              </w:rPr>
              <w:t xml:space="preserve"> </w:t>
            </w:r>
            <w:r w:rsidR="00326FF1" w:rsidRPr="00EC30EE">
              <w:t xml:space="preserve">  Rebecca Chasan, Assistant Counsel, New York City Council Finance Division</w:t>
            </w:r>
          </w:p>
          <w:p w:rsidR="00326FF1" w:rsidRPr="00EC30EE" w:rsidRDefault="00326FF1" w:rsidP="00326FF1">
            <w:pPr>
              <w:ind w:left="3600" w:hanging="1440"/>
            </w:pPr>
            <w:r w:rsidRPr="00EC30EE">
              <w:t xml:space="preserve">          Tanisha Edwards, Chief Counsel, New York City Council Finance Division</w:t>
            </w:r>
          </w:p>
          <w:p w:rsidR="00512323" w:rsidRPr="00EC30EE" w:rsidRDefault="00D273DC" w:rsidP="008D3779">
            <w:pPr>
              <w:spacing w:before="120"/>
              <w:rPr>
                <w:rFonts w:eastAsia="Calibri"/>
              </w:rPr>
            </w:pPr>
            <w:r w:rsidRPr="00EC30EE">
              <w:rPr>
                <w:b/>
                <w:bCs/>
                <w:smallCaps/>
              </w:rPr>
              <w:t xml:space="preserve">Legislative </w:t>
            </w:r>
            <w:r w:rsidR="007A5805" w:rsidRPr="00EC30EE">
              <w:rPr>
                <w:b/>
                <w:bCs/>
                <w:smallCaps/>
              </w:rPr>
              <w:t>History</w:t>
            </w:r>
            <w:r w:rsidR="007A5805" w:rsidRPr="00EC30EE">
              <w:rPr>
                <w:b/>
                <w:bCs/>
              </w:rPr>
              <w:t>:</w:t>
            </w:r>
            <w:r w:rsidR="007A5805" w:rsidRPr="00EC30EE">
              <w:t xml:space="preserve">  </w:t>
            </w:r>
            <w:r w:rsidR="008D3779" w:rsidRPr="00EC30EE">
              <w:t>This legislation was i</w:t>
            </w:r>
            <w:r w:rsidR="00D82449" w:rsidRPr="00EC30EE">
              <w:t xml:space="preserve">ntroduced as Intro. </w:t>
            </w:r>
            <w:r w:rsidR="008D3779" w:rsidRPr="00EC30EE">
              <w:t xml:space="preserve">No. </w:t>
            </w:r>
            <w:r w:rsidR="00325A26">
              <w:t>908</w:t>
            </w:r>
            <w:r w:rsidR="00D82449" w:rsidRPr="00EC30EE">
              <w:t xml:space="preserve"> by the Council on </w:t>
            </w:r>
            <w:r w:rsidR="00325A26">
              <w:t>September</w:t>
            </w:r>
            <w:r w:rsidR="00EC30EE">
              <w:t xml:space="preserve"> 17</w:t>
            </w:r>
            <w:r w:rsidR="00D82449" w:rsidRPr="00EC30EE">
              <w:t xml:space="preserve">, </w:t>
            </w:r>
            <w:r w:rsidR="00D82449" w:rsidRPr="00EC30EE">
              <w:lastRenderedPageBreak/>
              <w:t>201</w:t>
            </w:r>
            <w:r w:rsidR="00325A26">
              <w:t>5</w:t>
            </w:r>
            <w:r w:rsidR="00D82449" w:rsidRPr="00EC30EE">
              <w:t xml:space="preserve"> and referred to the Committee on </w:t>
            </w:r>
            <w:r w:rsidR="00325A26">
              <w:t>Technology</w:t>
            </w:r>
            <w:r w:rsidR="00D82449" w:rsidRPr="00EC30EE">
              <w:t xml:space="preserve">. A hearing was held </w:t>
            </w:r>
            <w:r w:rsidR="008D3779" w:rsidRPr="00EC30EE">
              <w:t xml:space="preserve">by the Committee on </w:t>
            </w:r>
            <w:r w:rsidR="00325A26">
              <w:t>October 1</w:t>
            </w:r>
            <w:r w:rsidR="00EC30EE">
              <w:t>, 2015</w:t>
            </w:r>
            <w:r w:rsidR="008D3779" w:rsidRPr="00EC30EE">
              <w:t xml:space="preserve"> </w:t>
            </w:r>
            <w:r w:rsidR="00D82449" w:rsidRPr="00EC30EE">
              <w:t xml:space="preserve">and the legislation was laid over. Intro. </w:t>
            </w:r>
            <w:r w:rsidR="00325A26">
              <w:t>908</w:t>
            </w:r>
            <w:r w:rsidR="00D82449" w:rsidRPr="00EC30EE">
              <w:t xml:space="preserve"> </w:t>
            </w:r>
            <w:r w:rsidR="008D3779" w:rsidRPr="00EC30EE">
              <w:t>w</w:t>
            </w:r>
            <w:r w:rsidR="00D82449" w:rsidRPr="00EC30EE">
              <w:t xml:space="preserve">as </w:t>
            </w:r>
            <w:r w:rsidR="008D3779" w:rsidRPr="00EC30EE">
              <w:t xml:space="preserve">subsequently </w:t>
            </w:r>
            <w:r w:rsidR="00D82449" w:rsidRPr="00EC30EE">
              <w:t>amended, and the amended version, Proposed Int</w:t>
            </w:r>
            <w:r w:rsidR="008D3779" w:rsidRPr="00EC30EE">
              <w:t>ro</w:t>
            </w:r>
            <w:r w:rsidR="00D82449" w:rsidRPr="00EC30EE">
              <w:t>.</w:t>
            </w:r>
            <w:r w:rsidR="008D3779" w:rsidRPr="00EC30EE">
              <w:t xml:space="preserve"> No.</w:t>
            </w:r>
            <w:r w:rsidR="00D82449" w:rsidRPr="00EC30EE">
              <w:t xml:space="preserve"> </w:t>
            </w:r>
            <w:r w:rsidR="00325A26">
              <w:t>908</w:t>
            </w:r>
            <w:r w:rsidR="00D82449" w:rsidRPr="00EC30EE">
              <w:t>-</w:t>
            </w:r>
            <w:r w:rsidR="00913057" w:rsidRPr="00EC30EE">
              <w:t>A</w:t>
            </w:r>
            <w:r w:rsidR="00D82449" w:rsidRPr="00EC30EE">
              <w:t xml:space="preserve"> will be considered by the Committee on </w:t>
            </w:r>
            <w:r w:rsidR="00325A26">
              <w:t>Technology</w:t>
            </w:r>
            <w:r w:rsidR="00D82449" w:rsidRPr="00EC30EE">
              <w:t xml:space="preserve"> on </w:t>
            </w:r>
            <w:r w:rsidR="00EC30EE">
              <w:t>December 15, 2015</w:t>
            </w:r>
            <w:r w:rsidR="008D3779" w:rsidRPr="00EC30EE">
              <w:t>.</w:t>
            </w:r>
            <w:r w:rsidR="00D82449" w:rsidRPr="00EC30EE">
              <w:t xml:space="preserve"> </w:t>
            </w:r>
            <w:r w:rsidR="008D3779" w:rsidRPr="00EC30EE">
              <w:t>U</w:t>
            </w:r>
            <w:r w:rsidR="00D82449" w:rsidRPr="00EC30EE">
              <w:t>pon a successful vote</w:t>
            </w:r>
            <w:r w:rsidR="008D3779" w:rsidRPr="00EC30EE">
              <w:t xml:space="preserve"> by the Committee</w:t>
            </w:r>
            <w:r w:rsidR="00D82449" w:rsidRPr="00EC30EE">
              <w:t xml:space="preserve">, </w:t>
            </w:r>
            <w:r w:rsidR="00D662B9">
              <w:t xml:space="preserve">Proposed Intro. </w:t>
            </w:r>
            <w:r w:rsidR="00325A26">
              <w:t>908</w:t>
            </w:r>
            <w:r w:rsidR="008D3779" w:rsidRPr="00EC30EE">
              <w:t>-A will</w:t>
            </w:r>
            <w:r w:rsidR="00D82449" w:rsidRPr="00EC30EE">
              <w:t xml:space="preserve"> be submitted to the full Council for a vote</w:t>
            </w:r>
            <w:r w:rsidR="008D3779" w:rsidRPr="00EC30EE">
              <w:t xml:space="preserve"> on </w:t>
            </w:r>
            <w:r w:rsidR="00EC30EE">
              <w:t>December 16, 2015</w:t>
            </w:r>
            <w:r w:rsidR="00D82449" w:rsidRPr="00EC30EE">
              <w:t>.</w:t>
            </w:r>
            <w:r w:rsidR="00D82449" w:rsidRPr="00EC30EE">
              <w:rPr>
                <w:rFonts w:eastAsia="Calibri"/>
              </w:rPr>
              <w:t xml:space="preserve"> </w:t>
            </w:r>
          </w:p>
          <w:p w:rsidR="008D3779" w:rsidRPr="00EC30EE" w:rsidRDefault="008D3779" w:rsidP="008D3779">
            <w:pPr>
              <w:spacing w:before="120"/>
              <w:rPr>
                <w:rFonts w:eastAsia="Calibri"/>
                <w:b/>
              </w:rPr>
            </w:pPr>
          </w:p>
        </w:tc>
      </w:tr>
    </w:tbl>
    <w:p w:rsidR="00352252" w:rsidRPr="00EC30EE" w:rsidRDefault="008D3779" w:rsidP="00A37E01">
      <w:pPr>
        <w:rPr>
          <w:b/>
          <w:bCs/>
          <w:smallCaps/>
        </w:rPr>
      </w:pPr>
      <w:r w:rsidRPr="00EC30EE">
        <w:rPr>
          <w:b/>
          <w:bCs/>
          <w:smallCaps/>
        </w:rPr>
        <w:lastRenderedPageBreak/>
        <w:t xml:space="preserve">  Date Prepared:</w:t>
      </w:r>
      <w:r w:rsidR="000E3294" w:rsidRPr="00EC30EE">
        <w:rPr>
          <w:b/>
          <w:bCs/>
          <w:smallCaps/>
        </w:rPr>
        <w:t xml:space="preserve"> </w:t>
      </w:r>
      <w:r w:rsidR="00EC30EE">
        <w:t>December 1</w:t>
      </w:r>
      <w:r w:rsidR="00325A26">
        <w:t>5</w:t>
      </w:r>
      <w:r w:rsidR="00EC30EE">
        <w:t>, 2015</w:t>
      </w:r>
    </w:p>
    <w:sectPr w:rsidR="00352252" w:rsidRPr="00EC30EE" w:rsidSect="00AC3B91">
      <w:footerReference w:type="even" r:id="rId9"/>
      <w:footerReference w:type="default" r:id="rId10"/>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FD" w:rsidRDefault="00AE1AFD" w:rsidP="00276120">
      <w:r>
        <w:separator/>
      </w:r>
    </w:p>
  </w:endnote>
  <w:endnote w:type="continuationSeparator" w:id="0">
    <w:p w:rsidR="00AE1AFD" w:rsidRDefault="00AE1AFD" w:rsidP="002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91" w:rsidRPr="00AC3B91" w:rsidRDefault="008D3779" w:rsidP="00AC3B91">
    <w:pPr>
      <w:pStyle w:val="Footer"/>
      <w:pBdr>
        <w:top w:val="thinThickSmallGap" w:sz="24" w:space="1" w:color="622423"/>
      </w:pBdr>
      <w:tabs>
        <w:tab w:val="right" w:pos="10800"/>
      </w:tabs>
      <w:rPr>
        <w:rFonts w:ascii="Cambria" w:hAnsi="Cambria"/>
      </w:rPr>
    </w:pPr>
    <w:r>
      <w:rPr>
        <w:rFonts w:ascii="Cambria" w:hAnsi="Cambria"/>
      </w:rPr>
      <w:t>P</w:t>
    </w:r>
    <w:r w:rsidR="00D662B9">
      <w:rPr>
        <w:rFonts w:ascii="Cambria" w:hAnsi="Cambria"/>
      </w:rPr>
      <w:t xml:space="preserve">roposed Intro. No. </w:t>
    </w:r>
    <w:r w:rsidR="00811FAD">
      <w:rPr>
        <w:rFonts w:ascii="Cambria" w:hAnsi="Cambria"/>
      </w:rPr>
      <w:t>9</w:t>
    </w:r>
    <w:r w:rsidR="00D662B9">
      <w:rPr>
        <w:rFonts w:ascii="Cambria" w:hAnsi="Cambria"/>
      </w:rPr>
      <w:t>0</w:t>
    </w:r>
    <w:r w:rsidR="00811FAD">
      <w:rPr>
        <w:rFonts w:ascii="Cambria" w:hAnsi="Cambria"/>
      </w:rPr>
      <w:t>8</w:t>
    </w:r>
    <w:r>
      <w:rPr>
        <w:rFonts w:ascii="Cambria" w:hAnsi="Cambria"/>
      </w:rPr>
      <w:t>-A</w:t>
    </w:r>
    <w:r w:rsidR="00AC3B91" w:rsidRPr="00AC3B91">
      <w:rPr>
        <w:rFonts w:ascii="Cambria" w:hAnsi="Cambria"/>
      </w:rPr>
      <w:tab/>
    </w:r>
    <w:r w:rsidR="00AC3B91" w:rsidRPr="00AC3B91">
      <w:rPr>
        <w:rFonts w:ascii="Cambria" w:hAnsi="Cambria"/>
      </w:rPr>
      <w:tab/>
    </w:r>
    <w:r w:rsidR="00AC3B91" w:rsidRPr="00AC3B91">
      <w:rPr>
        <w:rFonts w:ascii="Cambria" w:hAnsi="Cambria"/>
      </w:rPr>
      <w:tab/>
      <w:t xml:space="preserve">Page </w:t>
    </w:r>
    <w:r w:rsidR="00AC3B91" w:rsidRPr="00AC3B91">
      <w:rPr>
        <w:rFonts w:ascii="Calibri" w:hAnsi="Calibri"/>
      </w:rPr>
      <w:fldChar w:fldCharType="begin"/>
    </w:r>
    <w:r w:rsidR="00AC3B91">
      <w:instrText xml:space="preserve"> PAGE   \* MERGEFORMAT </w:instrText>
    </w:r>
    <w:r w:rsidR="00AC3B91" w:rsidRPr="00AC3B91">
      <w:rPr>
        <w:rFonts w:ascii="Calibri" w:hAnsi="Calibri"/>
      </w:rPr>
      <w:fldChar w:fldCharType="separate"/>
    </w:r>
    <w:r w:rsidR="00811FAD" w:rsidRPr="00811FAD">
      <w:rPr>
        <w:rFonts w:ascii="Cambria" w:hAnsi="Cambria"/>
        <w:noProof/>
      </w:rPr>
      <w:t>2</w:t>
    </w:r>
    <w:r w:rsidR="00AC3B91" w:rsidRPr="00AC3B91">
      <w:rPr>
        <w:rFonts w:ascii="Cambria" w:hAnsi="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91" w:rsidRPr="00AC3B91" w:rsidRDefault="008D3779" w:rsidP="00AC3B91">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AC3B91">
      <w:rPr>
        <w:rFonts w:ascii="Cambria" w:hAnsi="Cambria"/>
      </w:rPr>
      <w:t>Intro</w:t>
    </w:r>
    <w:r>
      <w:rPr>
        <w:rFonts w:ascii="Cambria" w:hAnsi="Cambria"/>
      </w:rPr>
      <w:t>. No.</w:t>
    </w:r>
    <w:r w:rsidR="00AC3B91">
      <w:rPr>
        <w:rFonts w:ascii="Cambria" w:hAnsi="Cambria"/>
      </w:rPr>
      <w:t xml:space="preserve"> </w:t>
    </w:r>
    <w:r w:rsidR="00325A26">
      <w:rPr>
        <w:rFonts w:ascii="Cambria" w:hAnsi="Cambria"/>
      </w:rPr>
      <w:t>908</w:t>
    </w:r>
    <w:r w:rsidR="00AC3B91">
      <w:rPr>
        <w:rFonts w:ascii="Cambria" w:hAnsi="Cambria"/>
      </w:rPr>
      <w:t>-A</w:t>
    </w:r>
    <w:r w:rsidR="00AC3B91" w:rsidRPr="00AC3B91">
      <w:rPr>
        <w:rFonts w:ascii="Cambria" w:hAnsi="Cambria"/>
      </w:rPr>
      <w:tab/>
      <w:t xml:space="preserve">Page </w:t>
    </w:r>
    <w:r w:rsidR="00AC3B91" w:rsidRPr="00AC3B91">
      <w:rPr>
        <w:rFonts w:ascii="Calibri" w:hAnsi="Calibri"/>
      </w:rPr>
      <w:fldChar w:fldCharType="begin"/>
    </w:r>
    <w:r w:rsidR="00AC3B91">
      <w:instrText xml:space="preserve"> PAGE   \* MERGEFORMAT </w:instrText>
    </w:r>
    <w:r w:rsidR="00AC3B91" w:rsidRPr="00AC3B91">
      <w:rPr>
        <w:rFonts w:ascii="Calibri" w:hAnsi="Calibri"/>
      </w:rPr>
      <w:fldChar w:fldCharType="separate"/>
    </w:r>
    <w:r w:rsidR="0021790D" w:rsidRPr="0021790D">
      <w:rPr>
        <w:rFonts w:ascii="Cambria" w:hAnsi="Cambria"/>
        <w:noProof/>
      </w:rPr>
      <w:t>1</w:t>
    </w:r>
    <w:r w:rsidR="00AC3B91" w:rsidRPr="00AC3B91">
      <w:rPr>
        <w:rFonts w:ascii="Cambria" w:hAnsi="Cambria"/>
        <w:noProof/>
      </w:rPr>
      <w:fldChar w:fldCharType="end"/>
    </w:r>
  </w:p>
  <w:p w:rsidR="006E1700" w:rsidRPr="00AC3B91" w:rsidRDefault="006E1700" w:rsidP="00AC3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FD" w:rsidRDefault="00AE1AFD" w:rsidP="00276120">
      <w:r>
        <w:separator/>
      </w:r>
    </w:p>
  </w:footnote>
  <w:footnote w:type="continuationSeparator" w:id="0">
    <w:p w:rsidR="00AE1AFD" w:rsidRDefault="00AE1AFD" w:rsidP="00276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CF"/>
    <w:rsid w:val="00001A7A"/>
    <w:rsid w:val="000030DD"/>
    <w:rsid w:val="000329FE"/>
    <w:rsid w:val="00032FE9"/>
    <w:rsid w:val="000360FF"/>
    <w:rsid w:val="00037B11"/>
    <w:rsid w:val="000407A1"/>
    <w:rsid w:val="00057D10"/>
    <w:rsid w:val="00063260"/>
    <w:rsid w:val="000713D3"/>
    <w:rsid w:val="000720F2"/>
    <w:rsid w:val="00076B40"/>
    <w:rsid w:val="00076C11"/>
    <w:rsid w:val="00094ED2"/>
    <w:rsid w:val="00097A10"/>
    <w:rsid w:val="000A1056"/>
    <w:rsid w:val="000B2CA3"/>
    <w:rsid w:val="000C25BD"/>
    <w:rsid w:val="000C4D0C"/>
    <w:rsid w:val="000C7FF6"/>
    <w:rsid w:val="000D6F75"/>
    <w:rsid w:val="000D7AEC"/>
    <w:rsid w:val="000E3294"/>
    <w:rsid w:val="000E3B3F"/>
    <w:rsid w:val="000F2143"/>
    <w:rsid w:val="001024A2"/>
    <w:rsid w:val="001028F7"/>
    <w:rsid w:val="00121B3F"/>
    <w:rsid w:val="00121BBE"/>
    <w:rsid w:val="00131A2D"/>
    <w:rsid w:val="0014626B"/>
    <w:rsid w:val="00151FD2"/>
    <w:rsid w:val="00160E54"/>
    <w:rsid w:val="00171FA1"/>
    <w:rsid w:val="001762BE"/>
    <w:rsid w:val="00177D8E"/>
    <w:rsid w:val="00181A83"/>
    <w:rsid w:val="001904E8"/>
    <w:rsid w:val="001941DB"/>
    <w:rsid w:val="0019526D"/>
    <w:rsid w:val="001B229A"/>
    <w:rsid w:val="001B68C3"/>
    <w:rsid w:val="001C2A54"/>
    <w:rsid w:val="001D3549"/>
    <w:rsid w:val="001F5B8B"/>
    <w:rsid w:val="001F758B"/>
    <w:rsid w:val="00215668"/>
    <w:rsid w:val="0021790D"/>
    <w:rsid w:val="00224F9E"/>
    <w:rsid w:val="002354C6"/>
    <w:rsid w:val="00241A43"/>
    <w:rsid w:val="00251BB3"/>
    <w:rsid w:val="002521EF"/>
    <w:rsid w:val="002551E9"/>
    <w:rsid w:val="00260059"/>
    <w:rsid w:val="0027396D"/>
    <w:rsid w:val="00276120"/>
    <w:rsid w:val="002765AA"/>
    <w:rsid w:val="00287BD9"/>
    <w:rsid w:val="002A17B6"/>
    <w:rsid w:val="002B3D96"/>
    <w:rsid w:val="002C095A"/>
    <w:rsid w:val="002C0C81"/>
    <w:rsid w:val="002C558E"/>
    <w:rsid w:val="002D557B"/>
    <w:rsid w:val="002E72D6"/>
    <w:rsid w:val="002F7C64"/>
    <w:rsid w:val="00325A26"/>
    <w:rsid w:val="00326FF1"/>
    <w:rsid w:val="00327B3A"/>
    <w:rsid w:val="003313E2"/>
    <w:rsid w:val="00337604"/>
    <w:rsid w:val="003432B3"/>
    <w:rsid w:val="00351D5A"/>
    <w:rsid w:val="00352252"/>
    <w:rsid w:val="00354684"/>
    <w:rsid w:val="00354E86"/>
    <w:rsid w:val="003662F7"/>
    <w:rsid w:val="003A07CE"/>
    <w:rsid w:val="003A3DE9"/>
    <w:rsid w:val="003B28BC"/>
    <w:rsid w:val="003B3A9D"/>
    <w:rsid w:val="003C0AF9"/>
    <w:rsid w:val="003C1ABB"/>
    <w:rsid w:val="003C2928"/>
    <w:rsid w:val="003D6B3D"/>
    <w:rsid w:val="003F297F"/>
    <w:rsid w:val="00405391"/>
    <w:rsid w:val="00422899"/>
    <w:rsid w:val="004450A1"/>
    <w:rsid w:val="00447C5A"/>
    <w:rsid w:val="00452E47"/>
    <w:rsid w:val="00466BC9"/>
    <w:rsid w:val="00476230"/>
    <w:rsid w:val="0048098A"/>
    <w:rsid w:val="00484172"/>
    <w:rsid w:val="00494625"/>
    <w:rsid w:val="0049769D"/>
    <w:rsid w:val="004C19BF"/>
    <w:rsid w:val="004C1A6A"/>
    <w:rsid w:val="004F4056"/>
    <w:rsid w:val="00501079"/>
    <w:rsid w:val="00505558"/>
    <w:rsid w:val="00512323"/>
    <w:rsid w:val="00514F08"/>
    <w:rsid w:val="00517454"/>
    <w:rsid w:val="00517D5B"/>
    <w:rsid w:val="00523AE1"/>
    <w:rsid w:val="00537F82"/>
    <w:rsid w:val="00540E76"/>
    <w:rsid w:val="00542556"/>
    <w:rsid w:val="00545E4E"/>
    <w:rsid w:val="005516E8"/>
    <w:rsid w:val="00575DAB"/>
    <w:rsid w:val="005865E8"/>
    <w:rsid w:val="00591A29"/>
    <w:rsid w:val="005977C3"/>
    <w:rsid w:val="005B5D45"/>
    <w:rsid w:val="005B5F6B"/>
    <w:rsid w:val="005D31BB"/>
    <w:rsid w:val="005E0C5B"/>
    <w:rsid w:val="005E24DF"/>
    <w:rsid w:val="005E2786"/>
    <w:rsid w:val="006104EE"/>
    <w:rsid w:val="006112F6"/>
    <w:rsid w:val="006142B3"/>
    <w:rsid w:val="00620DDC"/>
    <w:rsid w:val="00624BF3"/>
    <w:rsid w:val="006463AD"/>
    <w:rsid w:val="006548C6"/>
    <w:rsid w:val="0065752B"/>
    <w:rsid w:val="0066324A"/>
    <w:rsid w:val="00663E55"/>
    <w:rsid w:val="00674614"/>
    <w:rsid w:val="00680223"/>
    <w:rsid w:val="00683147"/>
    <w:rsid w:val="006A32E8"/>
    <w:rsid w:val="006B4BEF"/>
    <w:rsid w:val="006B7F13"/>
    <w:rsid w:val="006E1700"/>
    <w:rsid w:val="006F030A"/>
    <w:rsid w:val="007311A9"/>
    <w:rsid w:val="0073791A"/>
    <w:rsid w:val="00741160"/>
    <w:rsid w:val="0074484A"/>
    <w:rsid w:val="007542AC"/>
    <w:rsid w:val="00760AD4"/>
    <w:rsid w:val="00765127"/>
    <w:rsid w:val="007A5805"/>
    <w:rsid w:val="007C463F"/>
    <w:rsid w:val="007C6B6E"/>
    <w:rsid w:val="007C7DCF"/>
    <w:rsid w:val="007D0A60"/>
    <w:rsid w:val="007D0DCE"/>
    <w:rsid w:val="007D38CF"/>
    <w:rsid w:val="007D6260"/>
    <w:rsid w:val="007F2187"/>
    <w:rsid w:val="00811FAD"/>
    <w:rsid w:val="00814E5C"/>
    <w:rsid w:val="00840B00"/>
    <w:rsid w:val="00883B01"/>
    <w:rsid w:val="008B7C97"/>
    <w:rsid w:val="008C116A"/>
    <w:rsid w:val="008C264A"/>
    <w:rsid w:val="008C51C0"/>
    <w:rsid w:val="008C55D3"/>
    <w:rsid w:val="008D3779"/>
    <w:rsid w:val="008D79B4"/>
    <w:rsid w:val="008E2D65"/>
    <w:rsid w:val="008E41A4"/>
    <w:rsid w:val="00910734"/>
    <w:rsid w:val="00913057"/>
    <w:rsid w:val="00927E80"/>
    <w:rsid w:val="009317CB"/>
    <w:rsid w:val="00942003"/>
    <w:rsid w:val="009616EB"/>
    <w:rsid w:val="009657CF"/>
    <w:rsid w:val="009725BF"/>
    <w:rsid w:val="00973CCA"/>
    <w:rsid w:val="0098367F"/>
    <w:rsid w:val="00985B97"/>
    <w:rsid w:val="00990853"/>
    <w:rsid w:val="0099543E"/>
    <w:rsid w:val="0099668F"/>
    <w:rsid w:val="009A1709"/>
    <w:rsid w:val="009A5B62"/>
    <w:rsid w:val="009B0F5C"/>
    <w:rsid w:val="009B6AA9"/>
    <w:rsid w:val="009D275A"/>
    <w:rsid w:val="009D4BEE"/>
    <w:rsid w:val="009D5ED9"/>
    <w:rsid w:val="009D659B"/>
    <w:rsid w:val="009D7FAC"/>
    <w:rsid w:val="009E4362"/>
    <w:rsid w:val="009F328D"/>
    <w:rsid w:val="00A002AF"/>
    <w:rsid w:val="00A161B2"/>
    <w:rsid w:val="00A203A5"/>
    <w:rsid w:val="00A311B2"/>
    <w:rsid w:val="00A33096"/>
    <w:rsid w:val="00A36A79"/>
    <w:rsid w:val="00A37E01"/>
    <w:rsid w:val="00A46F43"/>
    <w:rsid w:val="00A763F2"/>
    <w:rsid w:val="00A82025"/>
    <w:rsid w:val="00AA1DE4"/>
    <w:rsid w:val="00AA6BEF"/>
    <w:rsid w:val="00AB46D5"/>
    <w:rsid w:val="00AC3B91"/>
    <w:rsid w:val="00AC5988"/>
    <w:rsid w:val="00AD6F79"/>
    <w:rsid w:val="00AE1AFD"/>
    <w:rsid w:val="00AE683E"/>
    <w:rsid w:val="00AF0929"/>
    <w:rsid w:val="00AF1B17"/>
    <w:rsid w:val="00B027D5"/>
    <w:rsid w:val="00B038F6"/>
    <w:rsid w:val="00B03D76"/>
    <w:rsid w:val="00B07F3E"/>
    <w:rsid w:val="00B17F43"/>
    <w:rsid w:val="00B307DE"/>
    <w:rsid w:val="00B3136A"/>
    <w:rsid w:val="00B42620"/>
    <w:rsid w:val="00B42AA4"/>
    <w:rsid w:val="00B46169"/>
    <w:rsid w:val="00B50226"/>
    <w:rsid w:val="00B5117A"/>
    <w:rsid w:val="00B5249D"/>
    <w:rsid w:val="00B5490E"/>
    <w:rsid w:val="00B60C1B"/>
    <w:rsid w:val="00B70870"/>
    <w:rsid w:val="00B83313"/>
    <w:rsid w:val="00B8672F"/>
    <w:rsid w:val="00BC0C38"/>
    <w:rsid w:val="00BC35F5"/>
    <w:rsid w:val="00BD2435"/>
    <w:rsid w:val="00BD2EEB"/>
    <w:rsid w:val="00BE7F03"/>
    <w:rsid w:val="00BF3072"/>
    <w:rsid w:val="00BF31E2"/>
    <w:rsid w:val="00BF788A"/>
    <w:rsid w:val="00C00669"/>
    <w:rsid w:val="00C01190"/>
    <w:rsid w:val="00C11B5E"/>
    <w:rsid w:val="00C158C4"/>
    <w:rsid w:val="00C21D34"/>
    <w:rsid w:val="00C43E4E"/>
    <w:rsid w:val="00C50CA1"/>
    <w:rsid w:val="00C511FF"/>
    <w:rsid w:val="00C525F3"/>
    <w:rsid w:val="00C55363"/>
    <w:rsid w:val="00C626C9"/>
    <w:rsid w:val="00C668CA"/>
    <w:rsid w:val="00C72B25"/>
    <w:rsid w:val="00C75B89"/>
    <w:rsid w:val="00C76848"/>
    <w:rsid w:val="00C87D5E"/>
    <w:rsid w:val="00C93378"/>
    <w:rsid w:val="00C94DDC"/>
    <w:rsid w:val="00CA5E51"/>
    <w:rsid w:val="00CD1E59"/>
    <w:rsid w:val="00CD448F"/>
    <w:rsid w:val="00CE56A2"/>
    <w:rsid w:val="00CF67FA"/>
    <w:rsid w:val="00D12B0A"/>
    <w:rsid w:val="00D13AF8"/>
    <w:rsid w:val="00D14956"/>
    <w:rsid w:val="00D161A4"/>
    <w:rsid w:val="00D25AE0"/>
    <w:rsid w:val="00D273DC"/>
    <w:rsid w:val="00D34224"/>
    <w:rsid w:val="00D36F47"/>
    <w:rsid w:val="00D607A2"/>
    <w:rsid w:val="00D662B9"/>
    <w:rsid w:val="00D77A36"/>
    <w:rsid w:val="00D8127A"/>
    <w:rsid w:val="00D82449"/>
    <w:rsid w:val="00D86BA6"/>
    <w:rsid w:val="00DA0673"/>
    <w:rsid w:val="00DA1556"/>
    <w:rsid w:val="00DA40DA"/>
    <w:rsid w:val="00DA69E3"/>
    <w:rsid w:val="00DB057D"/>
    <w:rsid w:val="00DB47A0"/>
    <w:rsid w:val="00DD09FA"/>
    <w:rsid w:val="00DE6E42"/>
    <w:rsid w:val="00E00EB3"/>
    <w:rsid w:val="00E12670"/>
    <w:rsid w:val="00E15B60"/>
    <w:rsid w:val="00E203BF"/>
    <w:rsid w:val="00E24074"/>
    <w:rsid w:val="00E26F24"/>
    <w:rsid w:val="00E313DD"/>
    <w:rsid w:val="00E333D4"/>
    <w:rsid w:val="00E35BA2"/>
    <w:rsid w:val="00E3690D"/>
    <w:rsid w:val="00E37241"/>
    <w:rsid w:val="00E4319D"/>
    <w:rsid w:val="00E723BF"/>
    <w:rsid w:val="00E72DDF"/>
    <w:rsid w:val="00E74AD2"/>
    <w:rsid w:val="00E74CFA"/>
    <w:rsid w:val="00E80E0C"/>
    <w:rsid w:val="00E83693"/>
    <w:rsid w:val="00EB5A53"/>
    <w:rsid w:val="00EC1006"/>
    <w:rsid w:val="00EC30EE"/>
    <w:rsid w:val="00ED74D9"/>
    <w:rsid w:val="00EE08D9"/>
    <w:rsid w:val="00EF7437"/>
    <w:rsid w:val="00F05DD2"/>
    <w:rsid w:val="00F11A59"/>
    <w:rsid w:val="00F22023"/>
    <w:rsid w:val="00F25AA7"/>
    <w:rsid w:val="00F35436"/>
    <w:rsid w:val="00F35E4E"/>
    <w:rsid w:val="00F43E05"/>
    <w:rsid w:val="00F674B5"/>
    <w:rsid w:val="00F67565"/>
    <w:rsid w:val="00F701F9"/>
    <w:rsid w:val="00F84DF2"/>
    <w:rsid w:val="00FB184B"/>
    <w:rsid w:val="00FB2948"/>
    <w:rsid w:val="00FB3104"/>
    <w:rsid w:val="00FB6868"/>
    <w:rsid w:val="00FB7EDC"/>
    <w:rsid w:val="00FC345E"/>
    <w:rsid w:val="00FC3D2A"/>
    <w:rsid w:val="00FC5178"/>
    <w:rsid w:val="00FE1D08"/>
    <w:rsid w:val="00FF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jc w:val="center"/>
      <w:outlineLvl w:val="0"/>
    </w:pPr>
    <w:rPr>
      <w:b/>
      <w:bCs/>
      <w:szCs w:val="19"/>
    </w:rPr>
  </w:style>
  <w:style w:type="paragraph" w:styleId="Heading2">
    <w:name w:val="heading 2"/>
    <w:basedOn w:val="Normal"/>
    <w:next w:val="Normal"/>
    <w:qFormat/>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jc w:val="center"/>
      <w:outlineLvl w:val="0"/>
    </w:pPr>
    <w:rPr>
      <w:b/>
      <w:bCs/>
      <w:szCs w:val="19"/>
    </w:rPr>
  </w:style>
  <w:style w:type="paragraph" w:styleId="Heading2">
    <w:name w:val="heading 2"/>
    <w:basedOn w:val="Normal"/>
    <w:next w:val="Normal"/>
    <w:qFormat/>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8013-EA3A-4CBF-B359-BE875BD6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6</TotalTime>
  <Pages>2</Pages>
  <Words>378</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NYCC</dc:creator>
  <cp:lastModifiedBy>Toth, Nathaniel</cp:lastModifiedBy>
  <cp:revision>3</cp:revision>
  <cp:lastPrinted>2015-12-15T15:50:00Z</cp:lastPrinted>
  <dcterms:created xsi:type="dcterms:W3CDTF">2015-12-15T15:50:00Z</dcterms:created>
  <dcterms:modified xsi:type="dcterms:W3CDTF">2015-12-15T15:56:00Z</dcterms:modified>
</cp:coreProperties>
</file>