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DC" w:rsidRDefault="006E39DC" w:rsidP="006E39DC">
      <w:pPr>
        <w:pStyle w:val="Heading1"/>
        <w:tabs>
          <w:tab w:val="left" w:pos="0"/>
        </w:tabs>
        <w:ind w:left="0" w:right="90"/>
        <w:jc w:val="center"/>
        <w:rPr>
          <w:rFonts w:ascii="Times New Roman" w:hAnsi="Times New Roman"/>
        </w:rPr>
      </w:pPr>
      <w:r>
        <w:rPr>
          <w:rFonts w:ascii="Times New Roman" w:hAnsi="Times New Roman"/>
        </w:rPr>
        <w:t>T H E  C O U N C I L</w:t>
      </w:r>
    </w:p>
    <w:p w:rsidR="006E39DC" w:rsidRDefault="006E39DC" w:rsidP="006E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rsidR="006E39DC" w:rsidRDefault="006E39DC" w:rsidP="006E39DC">
      <w:pPr>
        <w:widowControl/>
        <w:tabs>
          <w:tab w:val="center" w:pos="5256"/>
        </w:tabs>
        <w:jc w:val="both"/>
        <w:rPr>
          <w:rFonts w:cs="Times New Roman CYR"/>
          <w:b/>
          <w:bCs/>
        </w:rPr>
      </w:pPr>
      <w:r>
        <w:rPr>
          <w:b/>
        </w:rPr>
        <w:t xml:space="preserve">REPORT OF THE COMMITTEE ON FINANCE APPROVING </w:t>
      </w:r>
      <w:r>
        <w:rPr>
          <w:rFonts w:cs="Times New Roman CYR"/>
          <w:b/>
          <w:bCs/>
        </w:rPr>
        <w:t>THE COMMUNITY DEVELOPMENT BUDGET FOR CITY FISCAL YEAR 2016, THE REALLOCATION OF FORTY-FIRST YEAR COMMUNITY DEVELOPMENT FUNDS, AND THE FORTY-SECOND COMMUNITY DEVELOPMENT PROGRAM YEAR.</w:t>
      </w:r>
    </w:p>
    <w:p w:rsidR="006E39DC" w:rsidRDefault="006E39DC" w:rsidP="006E39DC">
      <w:pPr>
        <w:pStyle w:val="Heading2"/>
        <w:ind w:right="90"/>
      </w:pPr>
    </w:p>
    <w:p w:rsidR="006E39DC" w:rsidRDefault="006E39DC" w:rsidP="006E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6E39DC" w:rsidRDefault="006E39DC" w:rsidP="006E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r>
        <w:t>The Committee on Finance respectfully submits to The Council of the City of New York the following:</w:t>
      </w:r>
    </w:p>
    <w:p w:rsidR="006E39DC" w:rsidRDefault="006E39DC" w:rsidP="006E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6E39DC" w:rsidRDefault="006E39DC" w:rsidP="006E39DC">
      <w:pPr>
        <w:tabs>
          <w:tab w:val="left" w:pos="-90"/>
          <w:tab w:val="left" w:pos="0"/>
          <w:tab w:val="center" w:pos="4680"/>
          <w:tab w:val="left" w:pos="5040"/>
          <w:tab w:val="left" w:pos="5760"/>
          <w:tab w:val="left" w:pos="6480"/>
          <w:tab w:val="left" w:pos="7200"/>
          <w:tab w:val="left" w:pos="7920"/>
          <w:tab w:val="left" w:pos="8640"/>
          <w:tab w:val="left" w:pos="9360"/>
        </w:tabs>
        <w:ind w:right="90"/>
        <w:jc w:val="center"/>
        <w:rPr>
          <w:b/>
        </w:rPr>
      </w:pPr>
      <w:r>
        <w:rPr>
          <w:b/>
        </w:rPr>
        <w:t>R E P O R T</w:t>
      </w:r>
    </w:p>
    <w:p w:rsidR="006E39DC" w:rsidRDefault="006E39DC" w:rsidP="006E39DC">
      <w:pPr>
        <w:widowControl/>
        <w:jc w:val="both"/>
        <w:rPr>
          <w:rFonts w:cs="Times New Roman CYR"/>
          <w:b/>
          <w:bCs/>
        </w:rPr>
      </w:pPr>
    </w:p>
    <w:p w:rsidR="006E39DC" w:rsidRDefault="006E39DC" w:rsidP="006E39DC">
      <w:pPr>
        <w:widowControl/>
        <w:ind w:firstLine="720"/>
        <w:jc w:val="both"/>
        <w:rPr>
          <w:rFonts w:cs="Times New Roman CYR"/>
          <w:b/>
          <w:bCs/>
        </w:rPr>
      </w:pPr>
      <w:proofErr w:type="gramStart"/>
      <w:r>
        <w:rPr>
          <w:u w:val="single"/>
        </w:rPr>
        <w:t>Introduction.</w:t>
      </w:r>
      <w:proofErr w:type="gramEnd"/>
      <w:r>
        <w:t xml:space="preserve">  </w:t>
      </w:r>
      <w:r>
        <w:rPr>
          <w:rFonts w:cs="Times New Roman CYR"/>
          <w:bCs/>
        </w:rPr>
        <w:t xml:space="preserve">The Proposed City Fiscal Year 2016 Community Development Program, Proposed Reallocation of Forty-First Year Community Development Funds, and Proposed Forty-Second Year Community Development Program were submitted by the Mayor to the Council on May 7, 2015 and referred to the Committee on Finance.  </w:t>
      </w:r>
    </w:p>
    <w:p w:rsidR="006E39DC" w:rsidRDefault="006E39DC" w:rsidP="006E39DC">
      <w:pPr>
        <w:widowControl/>
        <w:jc w:val="both"/>
        <w:rPr>
          <w:rFonts w:cs="Times New Roman CYR"/>
          <w:b/>
          <w:bCs/>
        </w:rPr>
      </w:pPr>
    </w:p>
    <w:p w:rsidR="006E39DC" w:rsidRDefault="006E39DC" w:rsidP="006E39DC">
      <w:pPr>
        <w:widowControl/>
        <w:ind w:firstLine="720"/>
        <w:jc w:val="both"/>
        <w:rPr>
          <w:rFonts w:cs="Times New Roman CYR"/>
          <w:bCs/>
          <w:highlight w:val="yellow"/>
        </w:rPr>
      </w:pPr>
      <w:proofErr w:type="gramStart"/>
      <w:r>
        <w:rPr>
          <w:rFonts w:cs="Times New Roman CYR"/>
          <w:bCs/>
          <w:u w:val="single"/>
        </w:rPr>
        <w:t>Analysis.</w:t>
      </w:r>
      <w:proofErr w:type="gramEnd"/>
      <w:r>
        <w:rPr>
          <w:rFonts w:cs="Times New Roman CYR"/>
          <w:b/>
          <w:bCs/>
        </w:rPr>
        <w:t xml:space="preserve"> </w:t>
      </w:r>
      <w:r>
        <w:rPr>
          <w:rFonts w:cs="Times New Roman CYR"/>
          <w:bCs/>
        </w:rPr>
        <w:t>The Committee on Finance held hearings on the 18</w:t>
      </w:r>
      <w:r>
        <w:rPr>
          <w:rFonts w:cs="Times New Roman CYR"/>
          <w:bCs/>
          <w:vertAlign w:val="superscript"/>
        </w:rPr>
        <w:t>th</w:t>
      </w:r>
      <w:r>
        <w:rPr>
          <w:rFonts w:cs="Times New Roman CYR"/>
          <w:bCs/>
        </w:rPr>
        <w:t>, 19</w:t>
      </w:r>
      <w:r>
        <w:rPr>
          <w:rFonts w:cs="Times New Roman CYR"/>
          <w:bCs/>
          <w:vertAlign w:val="superscript"/>
        </w:rPr>
        <w:t>th</w:t>
      </w:r>
      <w:r>
        <w:rPr>
          <w:rFonts w:cs="Times New Roman CYR"/>
          <w:bCs/>
        </w:rPr>
        <w:t>, 20</w:t>
      </w:r>
      <w:r>
        <w:rPr>
          <w:rFonts w:cs="Times New Roman CYR"/>
          <w:bCs/>
          <w:vertAlign w:val="superscript"/>
        </w:rPr>
        <w:t>th</w:t>
      </w:r>
      <w:r>
        <w:rPr>
          <w:rFonts w:cs="Times New Roman CYR"/>
          <w:bCs/>
        </w:rPr>
        <w:t>, 21</w:t>
      </w:r>
      <w:r>
        <w:rPr>
          <w:rFonts w:cs="Times New Roman CYR"/>
          <w:bCs/>
          <w:vertAlign w:val="superscript"/>
        </w:rPr>
        <w:t>st</w:t>
      </w:r>
      <w:r>
        <w:rPr>
          <w:rFonts w:cs="Times New Roman CYR"/>
          <w:bCs/>
        </w:rPr>
        <w:t>, 26</w:t>
      </w:r>
      <w:r>
        <w:rPr>
          <w:rFonts w:cs="Times New Roman CYR"/>
          <w:bCs/>
          <w:vertAlign w:val="superscript"/>
        </w:rPr>
        <w:t>th</w:t>
      </w:r>
      <w:r>
        <w:rPr>
          <w:rFonts w:cs="Times New Roman CYR"/>
          <w:bCs/>
        </w:rPr>
        <w:t>, 28</w:t>
      </w:r>
      <w:r>
        <w:rPr>
          <w:rFonts w:cs="Times New Roman CYR"/>
          <w:bCs/>
          <w:vertAlign w:val="superscript"/>
        </w:rPr>
        <w:t>th</w:t>
      </w:r>
      <w:r>
        <w:rPr>
          <w:rFonts w:cs="Times New Roman CYR"/>
          <w:bCs/>
        </w:rPr>
        <w:t>, and 29</w:t>
      </w:r>
      <w:r>
        <w:rPr>
          <w:rFonts w:cs="Times New Roman CYR"/>
          <w:bCs/>
          <w:vertAlign w:val="superscript"/>
        </w:rPr>
        <w:t>th</w:t>
      </w:r>
      <w:r>
        <w:rPr>
          <w:rFonts w:cs="Times New Roman CYR"/>
          <w:bCs/>
        </w:rPr>
        <w:t xml:space="preserve"> </w:t>
      </w:r>
      <w:r>
        <w:rPr>
          <w:rFonts w:cs="Times New Roman CYR"/>
          <w:bCs/>
          <w:vertAlign w:val="superscript"/>
        </w:rPr>
        <w:t xml:space="preserve"> </w:t>
      </w:r>
      <w:r>
        <w:rPr>
          <w:rFonts w:cs="Times New Roman CYR"/>
          <w:bCs/>
        </w:rPr>
        <w:t>of May 2015, and on the 1</w:t>
      </w:r>
      <w:r>
        <w:rPr>
          <w:rFonts w:cs="Times New Roman CYR"/>
          <w:bCs/>
          <w:vertAlign w:val="superscript"/>
        </w:rPr>
        <w:t>st</w:t>
      </w:r>
      <w:r>
        <w:rPr>
          <w:rFonts w:cs="Times New Roman CYR"/>
          <w:bCs/>
        </w:rPr>
        <w:t>, 2</w:t>
      </w:r>
      <w:r>
        <w:rPr>
          <w:rFonts w:cs="Times New Roman CYR"/>
          <w:bCs/>
          <w:vertAlign w:val="superscript"/>
        </w:rPr>
        <w:t>nd</w:t>
      </w:r>
      <w:r>
        <w:rPr>
          <w:rFonts w:cs="Times New Roman CYR"/>
          <w:bCs/>
        </w:rPr>
        <w:t>, 4</w:t>
      </w:r>
      <w:r>
        <w:rPr>
          <w:rFonts w:cs="Times New Roman CYR"/>
          <w:bCs/>
          <w:vertAlign w:val="superscript"/>
        </w:rPr>
        <w:t>th</w:t>
      </w:r>
      <w:r>
        <w:rPr>
          <w:rFonts w:cs="Times New Roman CYR"/>
          <w:bCs/>
        </w:rPr>
        <w:t>, 8</w:t>
      </w:r>
      <w:r>
        <w:rPr>
          <w:rFonts w:cs="Times New Roman CYR"/>
          <w:bCs/>
          <w:vertAlign w:val="superscript"/>
        </w:rPr>
        <w:t>th</w:t>
      </w:r>
      <w:r>
        <w:rPr>
          <w:rFonts w:cs="Times New Roman CYR"/>
          <w:bCs/>
        </w:rPr>
        <w:t>, and 9</w:t>
      </w:r>
      <w:r>
        <w:rPr>
          <w:rFonts w:cs="Times New Roman CYR"/>
          <w:bCs/>
          <w:vertAlign w:val="superscript"/>
        </w:rPr>
        <w:t>th</w:t>
      </w:r>
      <w:r>
        <w:rPr>
          <w:rFonts w:cs="Times New Roman CYR"/>
          <w:bCs/>
        </w:rPr>
        <w:t>, of June 2015.  The testimony elicited at these hearings regarding the budget as a whole and with respect to specific needs and projects was supplemented by further data developed at the meetings of the Committee on Finance, and from Council staff and representatives of City agencies.  The primary concern of the Committee was that the funding contained in the Proposed City Fiscal Year 2016 Community Development Program would meet the actual and perceived needs of the communities the City of New York comprises.</w:t>
      </w:r>
    </w:p>
    <w:p w:rsidR="006E39DC" w:rsidRDefault="006E39DC" w:rsidP="006E39DC">
      <w:pPr>
        <w:widowControl/>
        <w:jc w:val="both"/>
        <w:rPr>
          <w:rFonts w:cs="Times New Roman CYR"/>
          <w:bCs/>
        </w:rPr>
      </w:pPr>
    </w:p>
    <w:p w:rsidR="006E39DC" w:rsidRDefault="006E39DC" w:rsidP="006E39DC">
      <w:pPr>
        <w:widowControl/>
        <w:jc w:val="both"/>
        <w:rPr>
          <w:rFonts w:cs="Times New Roman CYR"/>
          <w:bCs/>
        </w:rPr>
      </w:pPr>
      <w:r>
        <w:rPr>
          <w:rFonts w:cs="Times New Roman CYR"/>
          <w:bCs/>
        </w:rPr>
        <w:t>In its deliberations, the Committee on Finance took into consideration the testimony of the citizenry at the public hearings and the information furnished by Council Members, staff assistants and City agencies.</w:t>
      </w:r>
    </w:p>
    <w:p w:rsidR="006E39DC" w:rsidRDefault="006E39DC" w:rsidP="006E39DC">
      <w:pPr>
        <w:widowControl/>
        <w:jc w:val="both"/>
        <w:rPr>
          <w:rFonts w:cs="Times New Roman CYR"/>
          <w:b/>
          <w:bCs/>
        </w:rPr>
      </w:pPr>
    </w:p>
    <w:p w:rsidR="006E39DC" w:rsidRDefault="006E39DC" w:rsidP="006E39DC">
      <w:pPr>
        <w:widowControl/>
        <w:jc w:val="both"/>
        <w:rPr>
          <w:rFonts w:cs="Times New Roman CYR"/>
          <w:bCs/>
        </w:rPr>
      </w:pPr>
      <w:r>
        <w:rPr>
          <w:rFonts w:cs="Times New Roman CYR"/>
          <w:bCs/>
        </w:rPr>
        <w:t xml:space="preserve">As a result of the Committee on Finance’s deliberation, the Committee recommends the following: </w:t>
      </w:r>
    </w:p>
    <w:p w:rsidR="006E39DC" w:rsidRDefault="006E39DC" w:rsidP="006E39DC">
      <w:pPr>
        <w:widowControl/>
        <w:jc w:val="both"/>
        <w:rPr>
          <w:rFonts w:cs="Times New Roman CYR"/>
          <w:bCs/>
        </w:rPr>
      </w:pPr>
    </w:p>
    <w:p w:rsidR="006E39DC" w:rsidRDefault="006E39DC" w:rsidP="006E39DC">
      <w:pPr>
        <w:pStyle w:val="ListParagraph"/>
        <w:widowControl/>
        <w:numPr>
          <w:ilvl w:val="0"/>
          <w:numId w:val="3"/>
        </w:numPr>
        <w:jc w:val="both"/>
        <w:rPr>
          <w:rFonts w:cs="Times New Roman CYR"/>
          <w:bCs/>
        </w:rPr>
      </w:pPr>
      <w:r>
        <w:rPr>
          <w:rFonts w:cs="Times New Roman CYR"/>
          <w:bCs/>
        </w:rPr>
        <w:t xml:space="preserve">A City Fiscal Year 2016 Community Development Program totaling $224,863,000; </w:t>
      </w:r>
    </w:p>
    <w:p w:rsidR="006E39DC" w:rsidRDefault="006E39DC" w:rsidP="006E39DC">
      <w:pPr>
        <w:pStyle w:val="ListParagraph"/>
        <w:widowControl/>
        <w:numPr>
          <w:ilvl w:val="0"/>
          <w:numId w:val="3"/>
        </w:numPr>
        <w:jc w:val="both"/>
        <w:rPr>
          <w:rFonts w:cs="Times New Roman CYR"/>
          <w:bCs/>
        </w:rPr>
      </w:pPr>
      <w:r>
        <w:rPr>
          <w:rFonts w:cs="Times New Roman CYR"/>
          <w:bCs/>
        </w:rPr>
        <w:t>A Reallocated Forty-First Year Community Development Program totaling $222,879,000; and</w:t>
      </w:r>
    </w:p>
    <w:p w:rsidR="006E39DC" w:rsidRDefault="006E39DC" w:rsidP="006E39DC">
      <w:pPr>
        <w:pStyle w:val="ListParagraph"/>
        <w:widowControl/>
        <w:numPr>
          <w:ilvl w:val="0"/>
          <w:numId w:val="3"/>
        </w:numPr>
        <w:jc w:val="both"/>
        <w:rPr>
          <w:rFonts w:cs="Times New Roman CYR"/>
          <w:bCs/>
        </w:rPr>
      </w:pPr>
      <w:r>
        <w:rPr>
          <w:rFonts w:cs="Times New Roman CYR"/>
          <w:bCs/>
        </w:rPr>
        <w:t xml:space="preserve">A Forty-Second Community Development Program totaling $223,039,000.  </w:t>
      </w:r>
    </w:p>
    <w:p w:rsidR="006E39DC" w:rsidRDefault="006E39DC" w:rsidP="006E39DC">
      <w:pPr>
        <w:widowControl/>
        <w:jc w:val="both"/>
        <w:rPr>
          <w:rFonts w:cs="Times New Roman CYR"/>
          <w:bCs/>
        </w:rPr>
      </w:pPr>
    </w:p>
    <w:p w:rsidR="006E39DC" w:rsidRDefault="006E39DC" w:rsidP="006E39DC">
      <w:pPr>
        <w:widowControl/>
        <w:jc w:val="both"/>
        <w:rPr>
          <w:rFonts w:cs="Times New Roman CYR"/>
          <w:bCs/>
        </w:rPr>
      </w:pPr>
      <w:r>
        <w:rPr>
          <w:rFonts w:cs="Times New Roman CYR"/>
          <w:bCs/>
        </w:rPr>
        <w:t>The Committee makes this recommendation with the stipulation that the portion of the Forty-Second Year Community Development budget, which will be spent in City Fiscal Year 2017 and not City Fiscal Year 2016, will be subject to review and reallocation in the City Fiscal Year 2017 Community Development budget.</w:t>
      </w:r>
    </w:p>
    <w:p w:rsidR="006E39DC" w:rsidRDefault="006E39DC" w:rsidP="006E39DC">
      <w:pPr>
        <w:widowControl/>
        <w:jc w:val="both"/>
        <w:rPr>
          <w:rFonts w:cs="Times New Roman CYR"/>
          <w:b/>
          <w:bCs/>
        </w:rPr>
      </w:pPr>
    </w:p>
    <w:p w:rsidR="006E39DC" w:rsidRDefault="006E39DC" w:rsidP="006E39DC">
      <w:pPr>
        <w:widowControl/>
        <w:jc w:val="both"/>
        <w:rPr>
          <w:rFonts w:cs="Times New Roman CYR"/>
          <w:b/>
          <w:bCs/>
        </w:rPr>
      </w:pPr>
    </w:p>
    <w:p w:rsidR="006E39DC" w:rsidRDefault="006E39DC" w:rsidP="006E39DC">
      <w:pPr>
        <w:widowControl/>
        <w:jc w:val="both"/>
        <w:rPr>
          <w:rFonts w:cs="Times New Roman CYR"/>
          <w:b/>
          <w:bCs/>
        </w:rPr>
      </w:pPr>
    </w:p>
    <w:p w:rsidR="006E39DC" w:rsidRDefault="006E39DC" w:rsidP="006E39DC">
      <w:pPr>
        <w:widowControl/>
        <w:jc w:val="both"/>
        <w:rPr>
          <w:rFonts w:cs="Times New Roman CYR"/>
          <w:b/>
          <w:bCs/>
        </w:rPr>
      </w:pPr>
    </w:p>
    <w:p w:rsidR="006E39DC" w:rsidRDefault="006E39DC" w:rsidP="006E39DC">
      <w:pPr>
        <w:spacing w:after="200" w:line="276" w:lineRule="auto"/>
        <w:jc w:val="center"/>
        <w:rPr>
          <w:b/>
          <w:bCs/>
          <w:u w:val="single"/>
        </w:rPr>
      </w:pPr>
      <w:r>
        <w:rPr>
          <w:b/>
          <w:bCs/>
          <w:u w:val="single"/>
        </w:rPr>
        <w:t>Community Development Block Grant (CDBG)-Additional Funding</w:t>
      </w:r>
    </w:p>
    <w:p w:rsidR="006E39DC" w:rsidRDefault="006E39DC" w:rsidP="006E39DC">
      <w:pPr>
        <w:spacing w:after="200" w:line="276" w:lineRule="auto"/>
        <w:ind w:left="5760" w:firstLine="720"/>
        <w:rPr>
          <w:bCs/>
        </w:rPr>
      </w:pPr>
      <w:r>
        <w:rPr>
          <w:bCs/>
        </w:rPr>
        <w:t xml:space="preserve">             (Dollars in Millions)</w:t>
      </w:r>
    </w:p>
    <w:tbl>
      <w:tblPr>
        <w:tblW w:w="9294" w:type="dxa"/>
        <w:jc w:val="center"/>
        <w:tblInd w:w="93" w:type="dxa"/>
        <w:tblLook w:val="04A0" w:firstRow="1" w:lastRow="0" w:firstColumn="1" w:lastColumn="0" w:noHBand="0" w:noVBand="1"/>
      </w:tblPr>
      <w:tblGrid>
        <w:gridCol w:w="4965"/>
        <w:gridCol w:w="1523"/>
        <w:gridCol w:w="1523"/>
        <w:gridCol w:w="1283"/>
      </w:tblGrid>
      <w:tr w:rsidR="006E39DC" w:rsidTr="006E39DC">
        <w:trPr>
          <w:trHeight w:val="310"/>
          <w:jc w:val="center"/>
        </w:trPr>
        <w:tc>
          <w:tcPr>
            <w:tcW w:w="4965" w:type="dxa"/>
            <w:tcBorders>
              <w:top w:val="single" w:sz="4"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b/>
              </w:rPr>
            </w:pPr>
            <w:r>
              <w:rPr>
                <w:rFonts w:ascii="Arial MT" w:hAnsi="Arial MT"/>
                <w:b/>
              </w:rPr>
              <w:t> </w:t>
            </w:r>
          </w:p>
        </w:tc>
        <w:tc>
          <w:tcPr>
            <w:tcW w:w="1523" w:type="dxa"/>
            <w:tcBorders>
              <w:top w:val="single" w:sz="4"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b/>
              </w:rPr>
            </w:pPr>
            <w:r>
              <w:rPr>
                <w:rFonts w:ascii="Arial MT" w:hAnsi="Arial MT"/>
                <w:b/>
              </w:rPr>
              <w:t>PROPOSED</w:t>
            </w:r>
          </w:p>
        </w:tc>
        <w:tc>
          <w:tcPr>
            <w:tcW w:w="1523" w:type="dxa"/>
            <w:tcBorders>
              <w:top w:val="single" w:sz="4"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b/>
              </w:rPr>
            </w:pPr>
            <w:r>
              <w:rPr>
                <w:rFonts w:ascii="Arial MT" w:hAnsi="Arial MT"/>
                <w:b/>
              </w:rPr>
              <w:t>PROPOSED</w:t>
            </w:r>
          </w:p>
        </w:tc>
        <w:tc>
          <w:tcPr>
            <w:tcW w:w="1283" w:type="dxa"/>
            <w:tcBorders>
              <w:top w:val="single" w:sz="4"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jc w:val="right"/>
              <w:rPr>
                <w:rFonts w:ascii="Arial MT" w:hAnsi="Arial MT"/>
                <w:b/>
              </w:rPr>
            </w:pPr>
            <w:r>
              <w:rPr>
                <w:rFonts w:ascii="Arial MT" w:hAnsi="Arial MT"/>
                <w:b/>
              </w:rPr>
              <w:t>REVISED</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b/>
              </w:rPr>
            </w:pPr>
            <w:r>
              <w:rPr>
                <w:rFonts w:ascii="Arial MT" w:hAnsi="Arial MT"/>
                <w:b/>
              </w:rPr>
              <w:t>COMMUNITY DEVELOPMENT PROGRAM</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b/>
              </w:rPr>
            </w:pPr>
            <w:r>
              <w:rPr>
                <w:rFonts w:ascii="Arial MT" w:hAnsi="Arial MT"/>
                <w:b/>
              </w:rPr>
              <w:t>BUDGET</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b/>
              </w:rPr>
            </w:pPr>
            <w:r>
              <w:rPr>
                <w:rFonts w:ascii="Arial MT" w:hAnsi="Arial MT"/>
                <w:b/>
              </w:rPr>
              <w:t xml:space="preserve">CHANGES </w:t>
            </w: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jc w:val="right"/>
              <w:rPr>
                <w:rFonts w:ascii="Arial MT" w:hAnsi="Arial MT"/>
                <w:b/>
              </w:rPr>
            </w:pPr>
            <w:r>
              <w:rPr>
                <w:rFonts w:ascii="Arial MT" w:hAnsi="Arial MT"/>
                <w:b/>
              </w:rPr>
              <w:t>BUDGET</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xml:space="preserve">City Fiscal Year 2016 Community Development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jc w:val="center"/>
              <w:rPr>
                <w:rFonts w:ascii="Arial MT" w:hAnsi="Arial MT"/>
              </w:rPr>
            </w:pPr>
            <w:r>
              <w:rPr>
                <w:rFonts w:ascii="Arial MT" w:hAnsi="Arial MT"/>
              </w:rPr>
              <w:t>Program Total:</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223.039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1.824 </w:t>
            </w: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224.863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Reallocated Forty-First Year Community</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jc w:val="center"/>
              <w:rPr>
                <w:rFonts w:ascii="Arial MT" w:hAnsi="Arial MT"/>
              </w:rPr>
            </w:pPr>
            <w:r>
              <w:rPr>
                <w:rFonts w:ascii="Arial MT" w:hAnsi="Arial MT"/>
              </w:rPr>
              <w:t>Development Program Total:</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221.055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1.824 </w:t>
            </w: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222.879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Forty-Second Year Community Development</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6" w:space="0" w:color="000000"/>
              <w:left w:val="single" w:sz="4" w:space="0" w:color="000000"/>
              <w:bottom w:val="single" w:sz="6" w:space="0" w:color="000000"/>
              <w:right w:val="single" w:sz="6" w:space="0" w:color="000000"/>
            </w:tcBorders>
            <w:noWrap/>
            <w:vAlign w:val="bottom"/>
            <w:hideMark/>
          </w:tcPr>
          <w:p w:rsidR="006E39DC" w:rsidRDefault="006E39DC">
            <w:pPr>
              <w:spacing w:line="276" w:lineRule="auto"/>
              <w:jc w:val="center"/>
              <w:rPr>
                <w:rFonts w:ascii="Arial MT" w:hAnsi="Arial MT"/>
              </w:rPr>
            </w:pPr>
            <w:r>
              <w:rPr>
                <w:rFonts w:ascii="Arial MT" w:hAnsi="Arial MT"/>
              </w:rPr>
              <w:t>Program Total:</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223.039 </w:t>
            </w:r>
          </w:p>
        </w:tc>
        <w:tc>
          <w:tcPr>
            <w:tcW w:w="1523" w:type="dxa"/>
            <w:tcBorders>
              <w:top w:val="single" w:sz="6" w:space="0" w:color="000000"/>
              <w:left w:val="single" w:sz="6" w:space="0" w:color="000000"/>
              <w:bottom w:val="single" w:sz="6" w:space="0" w:color="000000"/>
              <w:right w:val="single" w:sz="6"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0.000 </w:t>
            </w:r>
          </w:p>
        </w:tc>
        <w:tc>
          <w:tcPr>
            <w:tcW w:w="1283" w:type="dxa"/>
            <w:tcBorders>
              <w:top w:val="single" w:sz="6" w:space="0" w:color="000000"/>
              <w:left w:val="single" w:sz="6" w:space="0" w:color="000000"/>
              <w:bottom w:val="single" w:sz="6" w:space="0" w:color="000000"/>
              <w:right w:val="single" w:sz="4" w:space="0" w:color="000000"/>
            </w:tcBorders>
            <w:noWrap/>
            <w:vAlign w:val="bottom"/>
            <w:hideMark/>
          </w:tcPr>
          <w:p w:rsidR="006E39DC" w:rsidRDefault="006E39DC">
            <w:pPr>
              <w:spacing w:line="276" w:lineRule="auto"/>
              <w:jc w:val="right"/>
              <w:rPr>
                <w:rFonts w:ascii="Arial MT" w:hAnsi="Arial MT"/>
              </w:rPr>
            </w:pPr>
            <w:r>
              <w:rPr>
                <w:rFonts w:ascii="Arial MT" w:hAnsi="Arial MT"/>
              </w:rPr>
              <w:t xml:space="preserve">223.039 </w:t>
            </w:r>
          </w:p>
        </w:tc>
      </w:tr>
      <w:tr w:rsidR="006E39DC" w:rsidTr="006E39DC">
        <w:trPr>
          <w:trHeight w:val="310"/>
          <w:jc w:val="center"/>
        </w:trPr>
        <w:tc>
          <w:tcPr>
            <w:tcW w:w="4965" w:type="dxa"/>
            <w:tcBorders>
              <w:top w:val="single" w:sz="6" w:space="0" w:color="000000"/>
              <w:left w:val="single" w:sz="4" w:space="0" w:color="000000"/>
              <w:bottom w:val="single" w:sz="4" w:space="0" w:color="000000"/>
              <w:right w:val="single" w:sz="6"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6" w:space="0" w:color="000000"/>
              <w:left w:val="single" w:sz="6" w:space="0" w:color="000000"/>
              <w:bottom w:val="single" w:sz="4"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523" w:type="dxa"/>
            <w:tcBorders>
              <w:top w:val="single" w:sz="6" w:space="0" w:color="000000"/>
              <w:left w:val="single" w:sz="6" w:space="0" w:color="000000"/>
              <w:bottom w:val="single" w:sz="4" w:space="0" w:color="000000"/>
              <w:right w:val="single" w:sz="6" w:space="0" w:color="000000"/>
            </w:tcBorders>
            <w:noWrap/>
            <w:vAlign w:val="bottom"/>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283" w:type="dxa"/>
            <w:tcBorders>
              <w:top w:val="single" w:sz="6" w:space="0" w:color="000000"/>
              <w:left w:val="single" w:sz="6" w:space="0" w:color="000000"/>
              <w:bottom w:val="single" w:sz="4"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r w:rsidR="006E39DC" w:rsidTr="006E39DC">
        <w:trPr>
          <w:trHeight w:val="310"/>
          <w:jc w:val="center"/>
        </w:trPr>
        <w:tc>
          <w:tcPr>
            <w:tcW w:w="4965" w:type="dxa"/>
            <w:tcBorders>
              <w:top w:val="single" w:sz="4" w:space="0" w:color="000000"/>
              <w:left w:val="single" w:sz="4" w:space="0" w:color="000000"/>
              <w:bottom w:val="single" w:sz="4"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4" w:space="0" w:color="000000"/>
              <w:left w:val="nil"/>
              <w:bottom w:val="single" w:sz="4" w:space="0" w:color="000000"/>
              <w:right w:val="nil"/>
            </w:tcBorders>
            <w:noWrap/>
            <w:vAlign w:val="bottom"/>
            <w:hideMark/>
          </w:tcPr>
          <w:p w:rsidR="006E39DC" w:rsidRDefault="006E39DC">
            <w:pPr>
              <w:spacing w:line="276" w:lineRule="auto"/>
              <w:rPr>
                <w:rFonts w:ascii="Arial MT" w:hAnsi="Arial MT"/>
              </w:rPr>
            </w:pPr>
            <w:r>
              <w:rPr>
                <w:rFonts w:ascii="Arial MT" w:hAnsi="Arial MT"/>
              </w:rPr>
              <w:t> </w:t>
            </w:r>
          </w:p>
        </w:tc>
        <w:tc>
          <w:tcPr>
            <w:tcW w:w="1523" w:type="dxa"/>
            <w:tcBorders>
              <w:top w:val="single" w:sz="4" w:space="0" w:color="000000"/>
              <w:left w:val="nil"/>
              <w:bottom w:val="single" w:sz="4" w:space="0" w:color="000000"/>
              <w:right w:val="nil"/>
            </w:tcBorders>
            <w:noWrap/>
            <w:vAlign w:val="bottom"/>
            <w:hideMark/>
          </w:tcPr>
          <w:p w:rsidR="006E39DC" w:rsidRDefault="006E39DC">
            <w:pPr>
              <w:spacing w:line="276" w:lineRule="auto"/>
              <w:rPr>
                <w:rFonts w:ascii="Arial MT" w:hAnsi="Arial MT"/>
              </w:rPr>
            </w:pPr>
            <w:r>
              <w:rPr>
                <w:rFonts w:ascii="Arial MT" w:hAnsi="Arial MT"/>
              </w:rPr>
              <w:t> </w:t>
            </w:r>
          </w:p>
        </w:tc>
        <w:tc>
          <w:tcPr>
            <w:tcW w:w="1283" w:type="dxa"/>
            <w:tcBorders>
              <w:top w:val="single" w:sz="4" w:space="0" w:color="000000"/>
              <w:left w:val="nil"/>
              <w:bottom w:val="single" w:sz="4" w:space="0" w:color="000000"/>
              <w:right w:val="single" w:sz="4" w:space="0" w:color="000000"/>
            </w:tcBorders>
            <w:noWrap/>
            <w:vAlign w:val="bottom"/>
            <w:hideMark/>
          </w:tcPr>
          <w:p w:rsidR="006E39DC" w:rsidRDefault="006E39DC">
            <w:pPr>
              <w:spacing w:line="276" w:lineRule="auto"/>
              <w:rPr>
                <w:rFonts w:ascii="Arial MT" w:hAnsi="Arial MT"/>
              </w:rPr>
            </w:pPr>
            <w:r>
              <w:rPr>
                <w:rFonts w:ascii="Arial MT" w:hAnsi="Arial MT"/>
              </w:rPr>
              <w:t> </w:t>
            </w:r>
          </w:p>
        </w:tc>
      </w:tr>
    </w:tbl>
    <w:p w:rsidR="006E39DC" w:rsidRDefault="006E39DC" w:rsidP="006E39DC">
      <w:pPr>
        <w:widowControl/>
        <w:jc w:val="both"/>
        <w:rPr>
          <w:rFonts w:cs="Times New Roman CYR"/>
          <w:bCs/>
        </w:rPr>
      </w:pPr>
    </w:p>
    <w:p w:rsidR="006E39DC" w:rsidRDefault="006E39DC" w:rsidP="006E39DC"/>
    <w:p w:rsidR="006E39DC" w:rsidRDefault="006E39DC" w:rsidP="006E39DC">
      <w:pPr>
        <w:spacing w:after="200" w:line="276" w:lineRule="auto"/>
        <w:jc w:val="both"/>
        <w:rPr>
          <w:bCs/>
        </w:rPr>
      </w:pPr>
      <w:r>
        <w:rPr>
          <w:bCs/>
        </w:rPr>
        <w:t>The proposed changes are comprised of two components.  The first is $0.375 for the Met Council Food Pantry, administered through the Department of Youth and Community Development.  Community Development funds will pay for a food distribution program targeting low- and moderate-income residents in New York City.  Funds will pay for the administrative staff and for food.</w:t>
      </w:r>
    </w:p>
    <w:p w:rsidR="006E39DC" w:rsidRDefault="006E39DC" w:rsidP="006E39DC">
      <w:pPr>
        <w:spacing w:after="200" w:line="276" w:lineRule="auto"/>
        <w:jc w:val="both"/>
        <w:rPr>
          <w:bCs/>
        </w:rPr>
      </w:pPr>
      <w:r>
        <w:rPr>
          <w:bCs/>
        </w:rPr>
        <w:t>The second component is a $1.449 million increase due to collective bargaining agreements.  This sum reflects settlements reached with the Building Inspectors Union and Sanitation Workers Local 831.</w:t>
      </w:r>
    </w:p>
    <w:p w:rsidR="006E39DC" w:rsidRDefault="006E39DC" w:rsidP="006E39DC">
      <w:pPr>
        <w:spacing w:after="200" w:line="276" w:lineRule="auto"/>
        <w:jc w:val="both"/>
        <w:rPr>
          <w:bCs/>
        </w:rPr>
      </w:pPr>
      <w:r>
        <w:rPr>
          <w:bCs/>
        </w:rPr>
        <w:t xml:space="preserve">Changes were made to the CDBG FY16 budget to adhere to eligibility and compliance requirements of the CDBG program.  Details of these changes are below, and the net effect of such changes is zero.  </w:t>
      </w:r>
    </w:p>
    <w:p w:rsidR="006E39DC" w:rsidRDefault="006E39DC" w:rsidP="006E39DC">
      <w:pPr>
        <w:rPr>
          <w:bCs/>
          <w:u w:val="single"/>
        </w:rPr>
      </w:pPr>
      <w:r>
        <w:rPr>
          <w:bCs/>
          <w:u w:val="single"/>
        </w:rPr>
        <w:t>Reductions to the CDBG CFY 2016 Budget:</w:t>
      </w:r>
    </w:p>
    <w:p w:rsidR="006E39DC" w:rsidRDefault="006E39DC" w:rsidP="006E39DC">
      <w:pPr>
        <w:rPr>
          <w:b/>
          <w:sz w:val="18"/>
          <w:u w:val="single"/>
        </w:rPr>
      </w:pPr>
    </w:p>
    <w:p w:rsidR="006E39DC" w:rsidRDefault="006E39DC" w:rsidP="006E39DC">
      <w:pPr>
        <w:pStyle w:val="ListParagraph"/>
        <w:widowControl/>
        <w:numPr>
          <w:ilvl w:val="1"/>
          <w:numId w:val="4"/>
        </w:numPr>
        <w:autoSpaceDE/>
        <w:adjustRightInd/>
        <w:spacing w:after="120"/>
        <w:ind w:left="720"/>
        <w:jc w:val="both"/>
      </w:pPr>
      <w:r>
        <w:t>Due to CDBG eligibility issues and to reduce administrative burden, the City Commission on Human Rights’ (CCHR) Law Enforcement Program and the Neighborhood Human Rights Program will now be funded by city tax levy.</w:t>
      </w:r>
    </w:p>
    <w:p w:rsidR="006E39DC" w:rsidRDefault="006E39DC" w:rsidP="006E39DC">
      <w:pPr>
        <w:pStyle w:val="ListParagraph"/>
        <w:widowControl/>
        <w:numPr>
          <w:ilvl w:val="1"/>
          <w:numId w:val="4"/>
        </w:numPr>
        <w:autoSpaceDE/>
        <w:adjustRightInd/>
        <w:spacing w:after="120"/>
        <w:ind w:left="720"/>
        <w:jc w:val="both"/>
      </w:pPr>
      <w:r>
        <w:t>The City's collective bargaining agreements would have pushed the City over the CDBG Planning and Administration cap.  In order to remain in compliance with this requirement, the Department of Housing Preservation and Development’s (HPD) Program Planning and Neighborhood Preservation Offices programs will now be funded by city tax levy.</w:t>
      </w:r>
    </w:p>
    <w:p w:rsidR="006E39DC" w:rsidRDefault="006E39DC" w:rsidP="006E39DC">
      <w:pPr>
        <w:pStyle w:val="ListParagraph"/>
        <w:widowControl/>
        <w:numPr>
          <w:ilvl w:val="1"/>
          <w:numId w:val="4"/>
        </w:numPr>
        <w:autoSpaceDE/>
        <w:adjustRightInd/>
        <w:spacing w:after="120"/>
        <w:ind w:left="720"/>
        <w:jc w:val="both"/>
      </w:pPr>
      <w:r>
        <w:t>HPD’s Targeted Code Enforcement Program provides for housing inspections in response to emergency housing complaints from tenants in multi-unit buildings.  Due to rising incomes and improving housing conditions, some areas are no longer eligible for CDBG funding.  City tax levy funds will now cover those areas.</w:t>
      </w:r>
    </w:p>
    <w:p w:rsidR="006E39DC" w:rsidRDefault="006E39DC" w:rsidP="006E39DC">
      <w:pPr>
        <w:pStyle w:val="ListParagraph"/>
        <w:widowControl/>
        <w:numPr>
          <w:ilvl w:val="1"/>
          <w:numId w:val="4"/>
        </w:numPr>
        <w:autoSpaceDE/>
        <w:adjustRightInd/>
        <w:ind w:left="720"/>
        <w:jc w:val="both"/>
      </w:pPr>
      <w:r>
        <w:t>The fringe benefits costs associated with the City staff funded under the above-referenced programs will now be paid for with city tax levy funds.</w:t>
      </w:r>
    </w:p>
    <w:p w:rsidR="006E39DC" w:rsidRDefault="006E39DC" w:rsidP="006E39DC">
      <w:pPr>
        <w:pStyle w:val="ListParagraph"/>
        <w:jc w:val="both"/>
      </w:pPr>
    </w:p>
    <w:p w:rsidR="006E39DC" w:rsidRDefault="006E39DC" w:rsidP="006E39DC">
      <w:pPr>
        <w:pStyle w:val="ListParagraph"/>
        <w:ind w:hanging="720"/>
        <w:jc w:val="both"/>
        <w:rPr>
          <w:u w:val="single"/>
        </w:rPr>
      </w:pPr>
      <w:r>
        <w:rPr>
          <w:u w:val="single"/>
        </w:rPr>
        <w:t>Increases to the CDBG CFY 2016 Budget:</w:t>
      </w:r>
    </w:p>
    <w:p w:rsidR="006E39DC" w:rsidRDefault="006E39DC" w:rsidP="006E39DC">
      <w:pPr>
        <w:pStyle w:val="ListParagraph"/>
        <w:ind w:hanging="720"/>
        <w:jc w:val="both"/>
        <w:rPr>
          <w:b/>
          <w:sz w:val="18"/>
          <w:u w:val="single"/>
        </w:rPr>
      </w:pPr>
    </w:p>
    <w:p w:rsidR="006E39DC" w:rsidRDefault="006E39DC" w:rsidP="006E39DC">
      <w:pPr>
        <w:pStyle w:val="ListParagraph"/>
        <w:ind w:left="0"/>
        <w:jc w:val="both"/>
      </w:pPr>
      <w:r>
        <w:t xml:space="preserve">CDBG will fund that portion of the Department of Education’s Breakfast in the Classroom initiative involving the rehabilitation of kitchens, which is necessary to carry out the program.  </w:t>
      </w:r>
    </w:p>
    <w:p w:rsidR="006E39DC" w:rsidRDefault="006E39DC" w:rsidP="006E39DC">
      <w:pPr>
        <w:pStyle w:val="ListParagraph"/>
        <w:spacing w:after="120"/>
        <w:ind w:left="360"/>
        <w:jc w:val="both"/>
        <w:rPr>
          <w:sz w:val="18"/>
        </w:rPr>
      </w:pPr>
    </w:p>
    <w:tbl>
      <w:tblPr>
        <w:tblW w:w="8676" w:type="dxa"/>
        <w:jc w:val="center"/>
        <w:tblLook w:val="04A0" w:firstRow="1" w:lastRow="0" w:firstColumn="1" w:lastColumn="0" w:noHBand="0" w:noVBand="1"/>
      </w:tblPr>
      <w:tblGrid>
        <w:gridCol w:w="2120"/>
        <w:gridCol w:w="5008"/>
        <w:gridCol w:w="512"/>
        <w:gridCol w:w="1036"/>
      </w:tblGrid>
      <w:tr w:rsidR="006E39DC" w:rsidTr="006E39DC">
        <w:trPr>
          <w:trHeight w:val="315"/>
          <w:jc w:val="center"/>
        </w:trPr>
        <w:tc>
          <w:tcPr>
            <w:tcW w:w="8676" w:type="dxa"/>
            <w:gridSpan w:val="4"/>
            <w:noWrap/>
            <w:vAlign w:val="bottom"/>
            <w:hideMark/>
          </w:tcPr>
          <w:p w:rsidR="006E39DC" w:rsidRDefault="006E39DC">
            <w:pPr>
              <w:spacing w:line="276" w:lineRule="auto"/>
              <w:jc w:val="center"/>
              <w:rPr>
                <w:b/>
                <w:color w:val="000000"/>
                <w:u w:val="single"/>
              </w:rPr>
            </w:pPr>
            <w:r>
              <w:rPr>
                <w:b/>
                <w:color w:val="000000"/>
                <w:u w:val="single"/>
              </w:rPr>
              <w:t>CFY 2016 CDBG ADJUSTMENTS</w:t>
            </w:r>
          </w:p>
        </w:tc>
      </w:tr>
      <w:tr w:rsidR="006E39DC" w:rsidTr="006E39DC">
        <w:trPr>
          <w:trHeight w:val="432"/>
          <w:jc w:val="center"/>
        </w:trPr>
        <w:tc>
          <w:tcPr>
            <w:tcW w:w="2120" w:type="dxa"/>
            <w:tcBorders>
              <w:top w:val="nil"/>
              <w:left w:val="nil"/>
              <w:bottom w:val="single" w:sz="4" w:space="0" w:color="auto"/>
              <w:right w:val="nil"/>
            </w:tcBorders>
            <w:noWrap/>
            <w:vAlign w:val="center"/>
            <w:hideMark/>
          </w:tcPr>
          <w:p w:rsidR="006E39DC" w:rsidRDefault="006E39DC">
            <w:pPr>
              <w:spacing w:line="276" w:lineRule="auto"/>
              <w:rPr>
                <w:b/>
                <w:color w:val="000000"/>
                <w:u w:val="single"/>
              </w:rPr>
            </w:pPr>
            <w:r>
              <w:rPr>
                <w:b/>
                <w:color w:val="000000"/>
                <w:u w:val="single"/>
              </w:rPr>
              <w:t>Sources:</w:t>
            </w:r>
          </w:p>
        </w:tc>
        <w:tc>
          <w:tcPr>
            <w:tcW w:w="6556" w:type="dxa"/>
            <w:gridSpan w:val="3"/>
            <w:tcBorders>
              <w:top w:val="nil"/>
              <w:left w:val="nil"/>
              <w:bottom w:val="single" w:sz="4" w:space="0" w:color="auto"/>
              <w:right w:val="nil"/>
            </w:tcBorders>
            <w:noWrap/>
            <w:vAlign w:val="bottom"/>
            <w:hideMark/>
          </w:tcPr>
          <w:p w:rsidR="006E39DC" w:rsidRDefault="006E39DC">
            <w:pPr>
              <w:spacing w:line="276" w:lineRule="auto"/>
              <w:jc w:val="right"/>
              <w:rPr>
                <w:rFonts w:ascii="Calibri" w:hAnsi="Calibri" w:cs="Calibri"/>
                <w:b/>
                <w:color w:val="000000"/>
                <w:sz w:val="22"/>
                <w:szCs w:val="22"/>
                <w:u w:val="single"/>
              </w:rPr>
            </w:pPr>
            <w:r>
              <w:rPr>
                <w:color w:val="000000"/>
              </w:rPr>
              <w:t>(Dollars in Millions)</w:t>
            </w:r>
          </w:p>
        </w:tc>
      </w:tr>
      <w:tr w:rsidR="006E39DC" w:rsidTr="006E39DC">
        <w:trPr>
          <w:trHeight w:val="310"/>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center"/>
              <w:rPr>
                <w:color w:val="000000"/>
              </w:rPr>
            </w:pPr>
            <w:r>
              <w:rPr>
                <w:color w:val="000000"/>
              </w:rPr>
              <w:t>Agency</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 xml:space="preserve">Program </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center"/>
              <w:rPr>
                <w:color w:val="000000"/>
              </w:rPr>
            </w:pPr>
            <w:r>
              <w:rPr>
                <w:color w:val="000000"/>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 xml:space="preserve">Total </w:t>
            </w:r>
          </w:p>
        </w:tc>
      </w:tr>
      <w:tr w:rsidR="006E39DC" w:rsidTr="006E39DC">
        <w:trPr>
          <w:trHeight w:val="270"/>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jc w:val="center"/>
              <w:rPr>
                <w:color w:val="000000"/>
              </w:rPr>
            </w:pPr>
            <w:r>
              <w:rPr>
                <w:color w:val="000000"/>
              </w:rPr>
              <w:t>CCHR (226)</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 xml:space="preserve">Neighborhood Human Rights Program </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(2.913)</w:t>
            </w:r>
          </w:p>
        </w:tc>
      </w:tr>
      <w:tr w:rsidR="006E39DC" w:rsidTr="006E39DC">
        <w:trPr>
          <w:trHeight w:val="310"/>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rPr>
                <w:color w:val="000000"/>
              </w:rPr>
            </w:pPr>
            <w:r>
              <w:rPr>
                <w:color w:val="000000"/>
              </w:rPr>
              <w:t> </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 xml:space="preserve">Law Enforcement Program </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jc w:val="right"/>
              <w:rPr>
                <w:color w:val="000000"/>
              </w:rPr>
            </w:pPr>
            <w:r>
              <w:rPr>
                <w:color w:val="000000"/>
              </w:rPr>
              <w:t>(1.353)</w:t>
            </w:r>
          </w:p>
        </w:tc>
      </w:tr>
      <w:tr w:rsidR="006E39DC" w:rsidTr="006E39DC">
        <w:trPr>
          <w:trHeight w:val="310"/>
          <w:jc w:val="center"/>
        </w:trPr>
        <w:tc>
          <w:tcPr>
            <w:tcW w:w="7128" w:type="dxa"/>
            <w:gridSpan w:val="2"/>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iCs/>
                <w:color w:val="000000"/>
              </w:rPr>
            </w:pPr>
            <w:r>
              <w:rPr>
                <w:b/>
                <w:iCs/>
                <w:color w:val="000000"/>
              </w:rPr>
              <w:t>CCHR Sub-Total</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iCs/>
                <w:color w:val="000000"/>
              </w:rPr>
            </w:pPr>
            <w:r>
              <w:rPr>
                <w:b/>
                <w:iCs/>
                <w:color w:val="000000"/>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iCs/>
                <w:color w:val="000000"/>
              </w:rPr>
            </w:pPr>
            <w:r>
              <w:rPr>
                <w:b/>
                <w:iCs/>
                <w:color w:val="000000"/>
              </w:rPr>
              <w:t>(4.266)</w:t>
            </w:r>
          </w:p>
        </w:tc>
      </w:tr>
      <w:tr w:rsidR="006E39DC" w:rsidTr="006E39DC">
        <w:trPr>
          <w:trHeight w:val="310"/>
          <w:jc w:val="center"/>
        </w:trPr>
        <w:tc>
          <w:tcPr>
            <w:tcW w:w="7128" w:type="dxa"/>
            <w:gridSpan w:val="2"/>
            <w:tcBorders>
              <w:top w:val="single" w:sz="4" w:space="0" w:color="auto"/>
              <w:left w:val="single" w:sz="4" w:space="0" w:color="auto"/>
              <w:bottom w:val="single" w:sz="4" w:space="0" w:color="auto"/>
              <w:right w:val="single" w:sz="4" w:space="0" w:color="auto"/>
            </w:tcBorders>
            <w:vAlign w:val="center"/>
          </w:tcPr>
          <w:p w:rsidR="006E39DC" w:rsidRDefault="006E39DC">
            <w:pPr>
              <w:spacing w:line="276" w:lineRule="auto"/>
              <w:jc w:val="center"/>
              <w:rPr>
                <w:b/>
                <w:iCs/>
                <w:color w:val="000000"/>
              </w:rPr>
            </w:pPr>
          </w:p>
        </w:tc>
        <w:tc>
          <w:tcPr>
            <w:tcW w:w="512" w:type="dxa"/>
            <w:tcBorders>
              <w:top w:val="single" w:sz="4" w:space="0" w:color="auto"/>
              <w:left w:val="single" w:sz="4" w:space="0" w:color="auto"/>
              <w:bottom w:val="single" w:sz="4" w:space="0" w:color="auto"/>
              <w:right w:val="single" w:sz="4" w:space="0" w:color="auto"/>
            </w:tcBorders>
            <w:vAlign w:val="center"/>
          </w:tcPr>
          <w:p w:rsidR="006E39DC" w:rsidRDefault="006E39DC">
            <w:pPr>
              <w:spacing w:line="276" w:lineRule="auto"/>
              <w:jc w:val="right"/>
              <w:rPr>
                <w:b/>
                <w:iCs/>
                <w:color w:val="000000"/>
              </w:rPr>
            </w:pPr>
          </w:p>
        </w:tc>
        <w:tc>
          <w:tcPr>
            <w:tcW w:w="1036" w:type="dxa"/>
            <w:tcBorders>
              <w:top w:val="single" w:sz="4" w:space="0" w:color="auto"/>
              <w:left w:val="single" w:sz="4" w:space="0" w:color="auto"/>
              <w:bottom w:val="single" w:sz="4" w:space="0" w:color="auto"/>
              <w:right w:val="single" w:sz="4" w:space="0" w:color="auto"/>
            </w:tcBorders>
            <w:vAlign w:val="center"/>
          </w:tcPr>
          <w:p w:rsidR="006E39DC" w:rsidRDefault="006E39DC">
            <w:pPr>
              <w:spacing w:line="276" w:lineRule="auto"/>
              <w:jc w:val="right"/>
              <w:rPr>
                <w:b/>
                <w:iCs/>
                <w:color w:val="000000"/>
              </w:rPr>
            </w:pPr>
          </w:p>
        </w:tc>
      </w:tr>
      <w:tr w:rsidR="006E39DC" w:rsidTr="006E39DC">
        <w:trPr>
          <w:trHeight w:val="310"/>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jc w:val="center"/>
              <w:rPr>
                <w:color w:val="000000"/>
              </w:rPr>
            </w:pPr>
            <w:r>
              <w:rPr>
                <w:color w:val="000000"/>
              </w:rPr>
              <w:t>HPD (806)</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Neighborhood Preservation Offices</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(3.424)</w:t>
            </w:r>
          </w:p>
        </w:tc>
      </w:tr>
      <w:tr w:rsidR="006E39DC" w:rsidTr="006E39DC">
        <w:trPr>
          <w:trHeight w:val="315"/>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rPr>
                <w:color w:val="000000"/>
              </w:rPr>
            </w:pPr>
            <w:r>
              <w:rPr>
                <w:color w:val="000000"/>
              </w:rPr>
              <w:t> </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 xml:space="preserve">Program Planning </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(1.809)</w:t>
            </w:r>
          </w:p>
        </w:tc>
      </w:tr>
      <w:tr w:rsidR="006E39DC" w:rsidTr="006E39DC">
        <w:trPr>
          <w:trHeight w:val="310"/>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rsidR="006E39DC" w:rsidRDefault="006E39DC">
            <w:pPr>
              <w:spacing w:line="276" w:lineRule="auto"/>
              <w:rPr>
                <w:color w:val="000000"/>
              </w:rPr>
            </w:pPr>
            <w:r>
              <w:rPr>
                <w:color w:val="000000"/>
              </w:rPr>
              <w:t> </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Targeted Code Enforcement</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(2.344)</w:t>
            </w:r>
          </w:p>
        </w:tc>
      </w:tr>
      <w:tr w:rsidR="006E39DC" w:rsidTr="006E39DC">
        <w:trPr>
          <w:trHeight w:val="310"/>
          <w:jc w:val="center"/>
        </w:trPr>
        <w:tc>
          <w:tcPr>
            <w:tcW w:w="7128" w:type="dxa"/>
            <w:gridSpan w:val="2"/>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iCs/>
                <w:color w:val="000000"/>
              </w:rPr>
            </w:pPr>
            <w:r>
              <w:rPr>
                <w:b/>
                <w:iCs/>
                <w:color w:val="000000"/>
              </w:rPr>
              <w:t>HPD Sub-Total</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39DC" w:rsidRDefault="006E39DC">
            <w:pPr>
              <w:spacing w:line="276" w:lineRule="auto"/>
              <w:jc w:val="right"/>
              <w:rPr>
                <w:b/>
                <w:iCs/>
                <w:color w:val="000000"/>
              </w:rPr>
            </w:pPr>
            <w:r>
              <w:rPr>
                <w:b/>
                <w:iCs/>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39DC" w:rsidRDefault="006E39DC">
            <w:pPr>
              <w:spacing w:line="276" w:lineRule="auto"/>
              <w:jc w:val="right"/>
              <w:rPr>
                <w:b/>
                <w:iCs/>
                <w:color w:val="000000"/>
              </w:rPr>
            </w:pPr>
            <w:r>
              <w:rPr>
                <w:b/>
                <w:iCs/>
                <w:color w:val="000000"/>
              </w:rPr>
              <w:t>(7.577)</w:t>
            </w:r>
          </w:p>
        </w:tc>
      </w:tr>
      <w:tr w:rsidR="006E39DC" w:rsidTr="006E39DC">
        <w:trPr>
          <w:trHeight w:val="310"/>
          <w:jc w:val="center"/>
        </w:trPr>
        <w:tc>
          <w:tcPr>
            <w:tcW w:w="7128" w:type="dxa"/>
            <w:gridSpan w:val="2"/>
            <w:tcBorders>
              <w:top w:val="single" w:sz="4" w:space="0" w:color="auto"/>
              <w:left w:val="single" w:sz="4" w:space="0" w:color="auto"/>
              <w:bottom w:val="single" w:sz="4" w:space="0" w:color="auto"/>
              <w:right w:val="single" w:sz="4" w:space="0" w:color="auto"/>
            </w:tcBorders>
            <w:vAlign w:val="center"/>
          </w:tcPr>
          <w:p w:rsidR="006E39DC" w:rsidRDefault="006E39DC">
            <w:pPr>
              <w:spacing w:line="276" w:lineRule="auto"/>
              <w:jc w:val="center"/>
              <w:rPr>
                <w:b/>
                <w:iCs/>
                <w:color w:val="000000"/>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6E39DC" w:rsidRDefault="006E39DC">
            <w:pPr>
              <w:spacing w:line="276" w:lineRule="auto"/>
              <w:jc w:val="right"/>
              <w:rPr>
                <w:b/>
                <w:iCs/>
                <w:color w:val="000000"/>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6E39DC" w:rsidRDefault="006E39DC">
            <w:pPr>
              <w:spacing w:line="276" w:lineRule="auto"/>
              <w:jc w:val="right"/>
              <w:rPr>
                <w:b/>
                <w:iCs/>
                <w:color w:val="000000"/>
              </w:rPr>
            </w:pPr>
          </w:p>
        </w:tc>
      </w:tr>
      <w:tr w:rsidR="006E39DC" w:rsidTr="006E39DC">
        <w:trPr>
          <w:trHeight w:val="310"/>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center"/>
              <w:rPr>
                <w:color w:val="000000"/>
              </w:rPr>
            </w:pPr>
            <w:r>
              <w:rPr>
                <w:color w:val="000000"/>
              </w:rPr>
              <w:t>MISC (098)</w:t>
            </w:r>
          </w:p>
        </w:tc>
        <w:tc>
          <w:tcPr>
            <w:tcW w:w="5008"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rPr>
                <w:color w:val="000000"/>
              </w:rPr>
            </w:pPr>
            <w:r>
              <w:rPr>
                <w:color w:val="000000"/>
              </w:rPr>
              <w:t>Fringe Benefits associated with above actions</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39DC" w:rsidRDefault="006E39DC">
            <w:pPr>
              <w:spacing w:line="276" w:lineRule="auto"/>
              <w:jc w:val="right"/>
              <w:rPr>
                <w:b/>
                <w:i/>
                <w:iCs/>
                <w:color w:val="000000"/>
              </w:rPr>
            </w:pPr>
            <w:r>
              <w:rPr>
                <w:b/>
                <w:i/>
                <w:iCs/>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39DC" w:rsidRDefault="006E39DC">
            <w:pPr>
              <w:spacing w:line="276" w:lineRule="auto"/>
              <w:jc w:val="right"/>
              <w:rPr>
                <w:b/>
                <w:color w:val="000000"/>
              </w:rPr>
            </w:pPr>
            <w:r>
              <w:rPr>
                <w:b/>
                <w:color w:val="000000"/>
              </w:rPr>
              <w:t>(2.834)</w:t>
            </w:r>
          </w:p>
        </w:tc>
      </w:tr>
      <w:tr w:rsidR="006E39DC" w:rsidTr="006E39DC">
        <w:trPr>
          <w:trHeight w:val="314"/>
          <w:jc w:val="center"/>
        </w:trPr>
        <w:tc>
          <w:tcPr>
            <w:tcW w:w="7128" w:type="dxa"/>
            <w:gridSpan w:val="2"/>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bCs/>
                <w:color w:val="000000"/>
              </w:rPr>
            </w:pPr>
            <w:r>
              <w:rPr>
                <w:b/>
                <w:bCs/>
                <w:color w:val="000000"/>
              </w:rPr>
              <w:t>Total Sources:</w:t>
            </w:r>
          </w:p>
        </w:tc>
        <w:tc>
          <w:tcPr>
            <w:tcW w:w="512"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bCs/>
                <w:color w:val="000000"/>
              </w:rPr>
            </w:pPr>
            <w:r>
              <w:rPr>
                <w:b/>
                <w:bCs/>
                <w:color w:val="000000"/>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rsidR="006E39DC" w:rsidRDefault="006E39DC">
            <w:pPr>
              <w:spacing w:line="276" w:lineRule="auto"/>
              <w:jc w:val="right"/>
              <w:rPr>
                <w:b/>
                <w:bCs/>
                <w:color w:val="000000"/>
              </w:rPr>
            </w:pPr>
            <w:r>
              <w:rPr>
                <w:b/>
                <w:bCs/>
                <w:color w:val="000000"/>
              </w:rPr>
              <w:t>(14.677)</w:t>
            </w:r>
          </w:p>
        </w:tc>
      </w:tr>
      <w:tr w:rsidR="006E39DC" w:rsidTr="006E39DC">
        <w:trPr>
          <w:trHeight w:val="360"/>
          <w:jc w:val="center"/>
        </w:trPr>
        <w:tc>
          <w:tcPr>
            <w:tcW w:w="8676" w:type="dxa"/>
            <w:gridSpan w:val="4"/>
            <w:noWrap/>
            <w:vAlign w:val="center"/>
          </w:tcPr>
          <w:p w:rsidR="006E39DC" w:rsidRDefault="006E39DC">
            <w:pPr>
              <w:spacing w:line="276" w:lineRule="auto"/>
              <w:rPr>
                <w:b/>
                <w:color w:val="000000"/>
                <w:u w:val="single"/>
              </w:rPr>
            </w:pPr>
          </w:p>
          <w:p w:rsidR="006E39DC" w:rsidRDefault="006E39DC">
            <w:pPr>
              <w:spacing w:line="276" w:lineRule="auto"/>
              <w:rPr>
                <w:b/>
                <w:color w:val="000000"/>
                <w:u w:val="single"/>
              </w:rPr>
            </w:pPr>
          </w:p>
          <w:p w:rsidR="006E39DC" w:rsidRDefault="006E39DC">
            <w:pPr>
              <w:spacing w:line="276" w:lineRule="auto"/>
              <w:rPr>
                <w:b/>
                <w:color w:val="000000"/>
                <w:u w:val="single"/>
              </w:rPr>
            </w:pPr>
          </w:p>
          <w:p w:rsidR="006E39DC" w:rsidRDefault="006E39DC">
            <w:pPr>
              <w:spacing w:line="276" w:lineRule="auto"/>
              <w:rPr>
                <w:rFonts w:ascii="Calibri" w:hAnsi="Calibri" w:cs="Calibri"/>
                <w:color w:val="000000"/>
                <w:sz w:val="22"/>
                <w:szCs w:val="22"/>
              </w:rPr>
            </w:pPr>
            <w:r>
              <w:rPr>
                <w:b/>
                <w:color w:val="000000"/>
                <w:u w:val="single"/>
              </w:rPr>
              <w:t>Use:</w:t>
            </w:r>
          </w:p>
        </w:tc>
      </w:tr>
      <w:tr w:rsidR="006E39DC" w:rsidTr="006E39DC">
        <w:trPr>
          <w:trHeight w:val="310"/>
          <w:jc w:val="center"/>
        </w:trPr>
        <w:tc>
          <w:tcPr>
            <w:tcW w:w="2120" w:type="dxa"/>
            <w:tcBorders>
              <w:top w:val="single" w:sz="4" w:space="0" w:color="auto"/>
              <w:left w:val="single" w:sz="4" w:space="0" w:color="auto"/>
              <w:bottom w:val="single" w:sz="4" w:space="0" w:color="auto"/>
              <w:right w:val="nil"/>
            </w:tcBorders>
            <w:vAlign w:val="center"/>
            <w:hideMark/>
          </w:tcPr>
          <w:p w:rsidR="006E39DC" w:rsidRDefault="006E39DC">
            <w:pPr>
              <w:spacing w:line="276" w:lineRule="auto"/>
              <w:jc w:val="center"/>
              <w:rPr>
                <w:color w:val="000000"/>
              </w:rPr>
            </w:pPr>
            <w:r>
              <w:rPr>
                <w:color w:val="000000"/>
              </w:rPr>
              <w:t>Agency</w:t>
            </w:r>
          </w:p>
        </w:tc>
        <w:tc>
          <w:tcPr>
            <w:tcW w:w="5008" w:type="dxa"/>
            <w:tcBorders>
              <w:top w:val="single" w:sz="4" w:space="0" w:color="auto"/>
              <w:left w:val="nil"/>
              <w:bottom w:val="single" w:sz="4" w:space="0" w:color="auto"/>
              <w:right w:val="nil"/>
            </w:tcBorders>
            <w:vAlign w:val="center"/>
            <w:hideMark/>
          </w:tcPr>
          <w:p w:rsidR="006E39DC" w:rsidRDefault="006E39DC">
            <w:pPr>
              <w:spacing w:line="276" w:lineRule="auto"/>
              <w:rPr>
                <w:color w:val="000000"/>
              </w:rPr>
            </w:pPr>
            <w:r>
              <w:rPr>
                <w:color w:val="000000"/>
              </w:rPr>
              <w:t xml:space="preserve">Program </w:t>
            </w:r>
          </w:p>
        </w:tc>
        <w:tc>
          <w:tcPr>
            <w:tcW w:w="512" w:type="dxa"/>
            <w:tcBorders>
              <w:top w:val="single" w:sz="4" w:space="0" w:color="auto"/>
              <w:left w:val="nil"/>
              <w:bottom w:val="single" w:sz="4" w:space="0" w:color="auto"/>
              <w:right w:val="nil"/>
            </w:tcBorders>
            <w:vAlign w:val="center"/>
            <w:hideMark/>
          </w:tcPr>
          <w:p w:rsidR="006E39DC" w:rsidRDefault="006E39DC">
            <w:pPr>
              <w:spacing w:line="276" w:lineRule="auto"/>
              <w:jc w:val="center"/>
              <w:rPr>
                <w:color w:val="000000"/>
              </w:rPr>
            </w:pPr>
            <w:r>
              <w:rPr>
                <w:color w:val="000000"/>
              </w:rPr>
              <w:t> </w:t>
            </w:r>
          </w:p>
        </w:tc>
        <w:tc>
          <w:tcPr>
            <w:tcW w:w="1036" w:type="dxa"/>
            <w:tcBorders>
              <w:top w:val="single" w:sz="4" w:space="0" w:color="auto"/>
              <w:left w:val="nil"/>
              <w:bottom w:val="single" w:sz="4" w:space="0" w:color="auto"/>
              <w:right w:val="single" w:sz="4" w:space="0" w:color="auto"/>
            </w:tcBorders>
            <w:vAlign w:val="center"/>
            <w:hideMark/>
          </w:tcPr>
          <w:p w:rsidR="006E39DC" w:rsidRDefault="006E39DC">
            <w:pPr>
              <w:spacing w:line="276" w:lineRule="auto"/>
              <w:jc w:val="right"/>
              <w:rPr>
                <w:color w:val="000000"/>
              </w:rPr>
            </w:pPr>
            <w:r>
              <w:rPr>
                <w:color w:val="000000"/>
              </w:rPr>
              <w:t xml:space="preserve">Total </w:t>
            </w:r>
          </w:p>
        </w:tc>
      </w:tr>
      <w:tr w:rsidR="006E39DC" w:rsidTr="006E39DC">
        <w:trPr>
          <w:trHeight w:val="98"/>
          <w:jc w:val="center"/>
        </w:trPr>
        <w:tc>
          <w:tcPr>
            <w:tcW w:w="2120" w:type="dxa"/>
            <w:tcBorders>
              <w:top w:val="nil"/>
              <w:left w:val="single" w:sz="4" w:space="0" w:color="auto"/>
              <w:bottom w:val="nil"/>
              <w:right w:val="nil"/>
            </w:tcBorders>
            <w:noWrap/>
            <w:vAlign w:val="center"/>
            <w:hideMark/>
          </w:tcPr>
          <w:p w:rsidR="006E39DC" w:rsidRDefault="006E39DC">
            <w:pPr>
              <w:spacing w:line="276" w:lineRule="auto"/>
              <w:rPr>
                <w:color w:val="000000"/>
                <w:sz w:val="14"/>
              </w:rPr>
            </w:pPr>
            <w:r>
              <w:rPr>
                <w:color w:val="000000"/>
                <w:sz w:val="14"/>
              </w:rPr>
              <w:t> </w:t>
            </w:r>
          </w:p>
        </w:tc>
        <w:tc>
          <w:tcPr>
            <w:tcW w:w="5008" w:type="dxa"/>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512" w:type="dxa"/>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nil"/>
              <w:left w:val="nil"/>
              <w:bottom w:val="nil"/>
              <w:right w:val="single" w:sz="4" w:space="0" w:color="auto"/>
            </w:tcBorders>
            <w:vAlign w:val="center"/>
            <w:hideMark/>
          </w:tcPr>
          <w:p w:rsidR="006E39DC" w:rsidRDefault="006E39DC">
            <w:pPr>
              <w:spacing w:line="276" w:lineRule="auto"/>
              <w:jc w:val="right"/>
              <w:rPr>
                <w:color w:val="000000"/>
                <w:sz w:val="14"/>
              </w:rPr>
            </w:pPr>
            <w:r>
              <w:rPr>
                <w:color w:val="000000"/>
                <w:sz w:val="14"/>
              </w:rPr>
              <w:t> </w:t>
            </w:r>
          </w:p>
        </w:tc>
      </w:tr>
      <w:tr w:rsidR="006E39DC" w:rsidTr="006E39DC">
        <w:trPr>
          <w:trHeight w:val="310"/>
          <w:jc w:val="center"/>
        </w:trPr>
        <w:tc>
          <w:tcPr>
            <w:tcW w:w="2120" w:type="dxa"/>
            <w:tcBorders>
              <w:top w:val="nil"/>
              <w:left w:val="single" w:sz="4" w:space="0" w:color="auto"/>
              <w:bottom w:val="nil"/>
              <w:right w:val="nil"/>
            </w:tcBorders>
            <w:noWrap/>
            <w:vAlign w:val="center"/>
            <w:hideMark/>
          </w:tcPr>
          <w:p w:rsidR="006E39DC" w:rsidRDefault="006E39DC">
            <w:pPr>
              <w:spacing w:line="276" w:lineRule="auto"/>
              <w:jc w:val="center"/>
              <w:rPr>
                <w:color w:val="000000"/>
              </w:rPr>
            </w:pPr>
            <w:r>
              <w:rPr>
                <w:color w:val="000000"/>
              </w:rPr>
              <w:t>DOE (040)</w:t>
            </w:r>
          </w:p>
        </w:tc>
        <w:tc>
          <w:tcPr>
            <w:tcW w:w="5008" w:type="dxa"/>
            <w:vAlign w:val="center"/>
            <w:hideMark/>
          </w:tcPr>
          <w:p w:rsidR="006E39DC" w:rsidRDefault="006E39DC">
            <w:pPr>
              <w:spacing w:line="276" w:lineRule="auto"/>
              <w:rPr>
                <w:color w:val="000000"/>
              </w:rPr>
            </w:pPr>
            <w:r>
              <w:rPr>
                <w:color w:val="000000"/>
              </w:rPr>
              <w:t>Breakfast in the Classroom (BIC)</w:t>
            </w:r>
          </w:p>
        </w:tc>
        <w:tc>
          <w:tcPr>
            <w:tcW w:w="512" w:type="dxa"/>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nil"/>
              <w:left w:val="nil"/>
              <w:bottom w:val="nil"/>
              <w:right w:val="single" w:sz="4" w:space="0" w:color="auto"/>
            </w:tcBorders>
            <w:vAlign w:val="center"/>
            <w:hideMark/>
          </w:tcPr>
          <w:p w:rsidR="006E39DC" w:rsidRDefault="006E39DC">
            <w:pPr>
              <w:spacing w:line="276" w:lineRule="auto"/>
              <w:jc w:val="right"/>
              <w:rPr>
                <w:color w:val="000000"/>
              </w:rPr>
            </w:pPr>
            <w:r>
              <w:rPr>
                <w:color w:val="000000"/>
              </w:rPr>
              <w:t>14.677</w:t>
            </w:r>
          </w:p>
        </w:tc>
      </w:tr>
      <w:tr w:rsidR="006E39DC" w:rsidTr="006E39DC">
        <w:trPr>
          <w:trHeight w:val="180"/>
          <w:jc w:val="center"/>
        </w:trPr>
        <w:tc>
          <w:tcPr>
            <w:tcW w:w="2120" w:type="dxa"/>
            <w:tcBorders>
              <w:top w:val="nil"/>
              <w:left w:val="single" w:sz="4" w:space="0" w:color="auto"/>
              <w:bottom w:val="nil"/>
              <w:right w:val="nil"/>
            </w:tcBorders>
            <w:noWrap/>
            <w:vAlign w:val="center"/>
            <w:hideMark/>
          </w:tcPr>
          <w:p w:rsidR="006E39DC" w:rsidRDefault="006E39DC">
            <w:pPr>
              <w:spacing w:line="276" w:lineRule="auto"/>
              <w:rPr>
                <w:color w:val="000000"/>
                <w:sz w:val="14"/>
              </w:rPr>
            </w:pPr>
            <w:r>
              <w:rPr>
                <w:color w:val="000000"/>
                <w:sz w:val="14"/>
              </w:rPr>
              <w:t> </w:t>
            </w:r>
          </w:p>
        </w:tc>
        <w:tc>
          <w:tcPr>
            <w:tcW w:w="5008" w:type="dxa"/>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512" w:type="dxa"/>
            <w:vAlign w:val="center"/>
            <w:hideMark/>
          </w:tcPr>
          <w:p w:rsidR="006E39DC" w:rsidRDefault="006E39DC">
            <w:pPr>
              <w:widowControl/>
              <w:autoSpaceDE/>
              <w:autoSpaceDN/>
              <w:adjustRightInd/>
              <w:spacing w:line="276" w:lineRule="auto"/>
              <w:rPr>
                <w:rFonts w:asciiTheme="minorHAnsi" w:eastAsiaTheme="minorHAnsi" w:hAnsiTheme="minorHAnsi"/>
                <w:sz w:val="22"/>
                <w:szCs w:val="22"/>
              </w:rPr>
            </w:pPr>
          </w:p>
        </w:tc>
        <w:tc>
          <w:tcPr>
            <w:tcW w:w="1036" w:type="dxa"/>
            <w:tcBorders>
              <w:top w:val="nil"/>
              <w:left w:val="nil"/>
              <w:bottom w:val="nil"/>
              <w:right w:val="single" w:sz="4" w:space="0" w:color="auto"/>
            </w:tcBorders>
            <w:vAlign w:val="center"/>
            <w:hideMark/>
          </w:tcPr>
          <w:p w:rsidR="006E39DC" w:rsidRDefault="006E39DC">
            <w:pPr>
              <w:spacing w:line="276" w:lineRule="auto"/>
              <w:jc w:val="right"/>
              <w:rPr>
                <w:color w:val="000000"/>
                <w:sz w:val="14"/>
              </w:rPr>
            </w:pPr>
            <w:r>
              <w:rPr>
                <w:color w:val="000000"/>
                <w:sz w:val="14"/>
              </w:rPr>
              <w:t> </w:t>
            </w:r>
          </w:p>
        </w:tc>
      </w:tr>
      <w:tr w:rsidR="006E39DC" w:rsidTr="006E39DC">
        <w:trPr>
          <w:trHeight w:val="310"/>
          <w:jc w:val="center"/>
        </w:trPr>
        <w:tc>
          <w:tcPr>
            <w:tcW w:w="2120" w:type="dxa"/>
            <w:tcBorders>
              <w:top w:val="single" w:sz="4" w:space="0" w:color="auto"/>
              <w:left w:val="single" w:sz="4" w:space="0" w:color="auto"/>
              <w:bottom w:val="single" w:sz="4" w:space="0" w:color="auto"/>
              <w:right w:val="nil"/>
            </w:tcBorders>
            <w:noWrap/>
            <w:vAlign w:val="center"/>
            <w:hideMark/>
          </w:tcPr>
          <w:p w:rsidR="006E39DC" w:rsidRDefault="006E39DC">
            <w:pPr>
              <w:spacing w:line="276" w:lineRule="auto"/>
              <w:rPr>
                <w:color w:val="000000"/>
              </w:rPr>
            </w:pPr>
            <w:r>
              <w:rPr>
                <w:color w:val="000000"/>
              </w:rPr>
              <w:t> </w:t>
            </w:r>
          </w:p>
        </w:tc>
        <w:tc>
          <w:tcPr>
            <w:tcW w:w="5008" w:type="dxa"/>
            <w:tcBorders>
              <w:top w:val="single" w:sz="4" w:space="0" w:color="auto"/>
              <w:left w:val="nil"/>
              <w:bottom w:val="single" w:sz="4" w:space="0" w:color="auto"/>
              <w:right w:val="nil"/>
            </w:tcBorders>
            <w:vAlign w:val="center"/>
            <w:hideMark/>
          </w:tcPr>
          <w:p w:rsidR="006E39DC" w:rsidRDefault="006E39DC">
            <w:pPr>
              <w:spacing w:line="276" w:lineRule="auto"/>
              <w:jc w:val="right"/>
              <w:rPr>
                <w:b/>
                <w:bCs/>
                <w:color w:val="000000"/>
              </w:rPr>
            </w:pPr>
            <w:r>
              <w:rPr>
                <w:b/>
                <w:bCs/>
                <w:color w:val="000000"/>
              </w:rPr>
              <w:t>Total Use:</w:t>
            </w:r>
          </w:p>
        </w:tc>
        <w:tc>
          <w:tcPr>
            <w:tcW w:w="512" w:type="dxa"/>
            <w:tcBorders>
              <w:top w:val="single" w:sz="4" w:space="0" w:color="auto"/>
              <w:left w:val="nil"/>
              <w:bottom w:val="single" w:sz="4" w:space="0" w:color="auto"/>
              <w:right w:val="nil"/>
            </w:tcBorders>
            <w:vAlign w:val="center"/>
            <w:hideMark/>
          </w:tcPr>
          <w:p w:rsidR="006E39DC" w:rsidRDefault="006E39DC">
            <w:pPr>
              <w:spacing w:line="276" w:lineRule="auto"/>
              <w:jc w:val="right"/>
              <w:rPr>
                <w:color w:val="000000"/>
              </w:rPr>
            </w:pPr>
            <w:r>
              <w:rPr>
                <w:color w:val="000000"/>
              </w:rPr>
              <w:t> </w:t>
            </w:r>
          </w:p>
        </w:tc>
        <w:tc>
          <w:tcPr>
            <w:tcW w:w="1036" w:type="dxa"/>
            <w:tcBorders>
              <w:top w:val="single" w:sz="4" w:space="0" w:color="auto"/>
              <w:left w:val="nil"/>
              <w:bottom w:val="single" w:sz="4" w:space="0" w:color="auto"/>
              <w:right w:val="single" w:sz="4" w:space="0" w:color="auto"/>
            </w:tcBorders>
            <w:vAlign w:val="center"/>
            <w:hideMark/>
          </w:tcPr>
          <w:p w:rsidR="006E39DC" w:rsidRDefault="006E39DC">
            <w:pPr>
              <w:spacing w:line="276" w:lineRule="auto"/>
              <w:jc w:val="right"/>
              <w:rPr>
                <w:b/>
                <w:bCs/>
                <w:color w:val="000000"/>
              </w:rPr>
            </w:pPr>
            <w:r>
              <w:rPr>
                <w:b/>
                <w:bCs/>
                <w:color w:val="000000"/>
              </w:rPr>
              <w:t>14.677</w:t>
            </w:r>
          </w:p>
        </w:tc>
      </w:tr>
    </w:tbl>
    <w:p w:rsidR="006E39DC" w:rsidRDefault="006E39DC" w:rsidP="006E39DC">
      <w:pPr>
        <w:widowControl/>
        <w:jc w:val="both"/>
        <w:rPr>
          <w:rFonts w:cs="Times New Roman CYR"/>
          <w:b/>
          <w:bCs/>
        </w:rPr>
      </w:pPr>
    </w:p>
    <w:p w:rsidR="006E39DC" w:rsidRDefault="006E39DC" w:rsidP="006E39DC">
      <w:pPr>
        <w:spacing w:after="200" w:line="276" w:lineRule="auto"/>
        <w:jc w:val="both"/>
        <w:rPr>
          <w:rFonts w:cs="Times New Roman CYR"/>
          <w:bCs/>
        </w:rPr>
      </w:pPr>
      <w:bookmarkStart w:id="0" w:name="_GoBack"/>
      <w:bookmarkEnd w:id="0"/>
      <w:r>
        <w:rPr>
          <w:rFonts w:cs="Times New Roman CYR"/>
          <w:bCs/>
        </w:rPr>
        <w:br w:type="page"/>
      </w:r>
    </w:p>
    <w:p w:rsidR="001B0058" w:rsidRDefault="009763A2" w:rsidP="009763A2">
      <w:pPr>
        <w:widowControl/>
        <w:tabs>
          <w:tab w:val="center" w:pos="5256"/>
        </w:tabs>
        <w:jc w:val="center"/>
        <w:rPr>
          <w:rFonts w:cs="Times New Roman CYR"/>
          <w:bCs/>
        </w:rPr>
      </w:pPr>
      <w:r>
        <w:rPr>
          <w:rFonts w:cs="Times New Roman CYR"/>
          <w:bCs/>
        </w:rPr>
        <w:t>Res. No. 774</w:t>
      </w:r>
    </w:p>
    <w:p w:rsidR="001B0058" w:rsidRDefault="001B0058" w:rsidP="001B0058">
      <w:pPr>
        <w:widowControl/>
        <w:tabs>
          <w:tab w:val="center" w:pos="5256"/>
        </w:tabs>
        <w:jc w:val="both"/>
        <w:rPr>
          <w:rFonts w:cs="Times New Roman CYR"/>
          <w:bCs/>
        </w:rPr>
      </w:pPr>
    </w:p>
    <w:p w:rsidR="009763A2" w:rsidRPr="009763A2" w:rsidRDefault="009763A2" w:rsidP="001B0058">
      <w:pPr>
        <w:widowControl/>
        <w:tabs>
          <w:tab w:val="center" w:pos="5256"/>
        </w:tabs>
        <w:jc w:val="both"/>
        <w:rPr>
          <w:rFonts w:cs="Times New Roman CYR"/>
          <w:bCs/>
          <w:vanish/>
        </w:rPr>
      </w:pPr>
      <w:r w:rsidRPr="009763A2">
        <w:rPr>
          <w:rFonts w:cs="Times New Roman CYR"/>
          <w:bCs/>
          <w:vanish/>
        </w:rPr>
        <w:t>..Title</w:t>
      </w:r>
    </w:p>
    <w:p w:rsidR="001B0058" w:rsidRPr="00BF38DA" w:rsidRDefault="001B0058" w:rsidP="001B0058">
      <w:pPr>
        <w:widowControl/>
        <w:tabs>
          <w:tab w:val="center" w:pos="5256"/>
        </w:tabs>
        <w:jc w:val="both"/>
        <w:rPr>
          <w:rFonts w:cs="Times New Roman CYR"/>
          <w:bCs/>
        </w:rPr>
      </w:pPr>
      <w:r>
        <w:rPr>
          <w:rFonts w:cs="Times New Roman CYR"/>
          <w:bCs/>
        </w:rPr>
        <w:t>Resolution a</w:t>
      </w:r>
      <w:r w:rsidRPr="00BF38DA">
        <w:rPr>
          <w:rFonts w:cs="Times New Roman CYR"/>
          <w:bCs/>
        </w:rPr>
        <w:t>pp</w:t>
      </w:r>
      <w:r w:rsidR="00D75484">
        <w:rPr>
          <w:rFonts w:cs="Times New Roman CYR"/>
          <w:bCs/>
        </w:rPr>
        <w:t>roving The City Fiscal Year 2016</w:t>
      </w:r>
      <w:r w:rsidRPr="00BF38DA">
        <w:rPr>
          <w:rFonts w:cs="Times New Roman CYR"/>
          <w:bCs/>
        </w:rPr>
        <w:t xml:space="preserve"> Community Development</w:t>
      </w:r>
      <w:r>
        <w:rPr>
          <w:rFonts w:cs="Times New Roman CYR"/>
          <w:bCs/>
        </w:rPr>
        <w:t xml:space="preserve"> </w:t>
      </w:r>
      <w:r w:rsidRPr="00BF38DA">
        <w:rPr>
          <w:rFonts w:cs="Times New Roman CYR"/>
          <w:bCs/>
        </w:rPr>
        <w:t xml:space="preserve">Program, Reallocation </w:t>
      </w:r>
      <w:r w:rsidR="002E1D59">
        <w:rPr>
          <w:rFonts w:cs="Times New Roman CYR"/>
          <w:bCs/>
        </w:rPr>
        <w:t>o</w:t>
      </w:r>
      <w:r w:rsidR="002E1D59" w:rsidRPr="00BF38DA">
        <w:rPr>
          <w:rFonts w:cs="Times New Roman CYR"/>
          <w:bCs/>
        </w:rPr>
        <w:t xml:space="preserve">f </w:t>
      </w:r>
      <w:r w:rsidRPr="00BF38DA">
        <w:rPr>
          <w:rFonts w:cs="Times New Roman CYR"/>
          <w:bCs/>
        </w:rPr>
        <w:t>Fort</w:t>
      </w:r>
      <w:r w:rsidR="00D75484">
        <w:rPr>
          <w:rFonts w:cs="Times New Roman CYR"/>
          <w:bCs/>
        </w:rPr>
        <w:t>y-</w:t>
      </w:r>
      <w:r w:rsidR="00DF45B5">
        <w:rPr>
          <w:rFonts w:cs="Times New Roman CYR"/>
          <w:bCs/>
        </w:rPr>
        <w:t>First</w:t>
      </w:r>
      <w:r w:rsidR="00D75484">
        <w:rPr>
          <w:rFonts w:cs="Times New Roman CYR"/>
          <w:bCs/>
        </w:rPr>
        <w:t xml:space="preserve"> </w:t>
      </w:r>
      <w:r w:rsidRPr="00BF38DA">
        <w:rPr>
          <w:rFonts w:cs="Times New Roman CYR"/>
          <w:bCs/>
        </w:rPr>
        <w:t>Year Community Development</w:t>
      </w:r>
      <w:r>
        <w:rPr>
          <w:rFonts w:cs="Times New Roman CYR"/>
          <w:bCs/>
        </w:rPr>
        <w:t xml:space="preserve"> Funds, and t</w:t>
      </w:r>
      <w:r w:rsidRPr="00BF38DA">
        <w:rPr>
          <w:rFonts w:cs="Times New Roman CYR"/>
          <w:bCs/>
        </w:rPr>
        <w:t>he Proposed Forty-</w:t>
      </w:r>
      <w:r w:rsidR="00D75484">
        <w:rPr>
          <w:rFonts w:cs="Times New Roman CYR"/>
          <w:bCs/>
        </w:rPr>
        <w:t>Second</w:t>
      </w:r>
      <w:r w:rsidRPr="00BF38DA">
        <w:rPr>
          <w:rFonts w:cs="Times New Roman CYR"/>
          <w:bCs/>
        </w:rPr>
        <w:t xml:space="preserve"> Year Community</w:t>
      </w:r>
      <w:r>
        <w:rPr>
          <w:rFonts w:cs="Times New Roman CYR"/>
          <w:bCs/>
        </w:rPr>
        <w:t xml:space="preserve"> </w:t>
      </w:r>
      <w:r w:rsidRPr="00BF38DA">
        <w:rPr>
          <w:rFonts w:cs="Times New Roman CYR"/>
          <w:bCs/>
        </w:rPr>
        <w:t>Development Program</w:t>
      </w:r>
      <w:r>
        <w:rPr>
          <w:rFonts w:cs="Times New Roman CYR"/>
          <w:bCs/>
        </w:rPr>
        <w:t>.</w:t>
      </w:r>
    </w:p>
    <w:p w:rsidR="001B0058" w:rsidRPr="009763A2" w:rsidRDefault="009763A2" w:rsidP="001B0058">
      <w:pPr>
        <w:widowControl/>
        <w:jc w:val="both"/>
        <w:rPr>
          <w:rFonts w:cs="Times New Roman CYR"/>
          <w:b/>
          <w:bCs/>
          <w:vanish/>
        </w:rPr>
      </w:pPr>
      <w:r w:rsidRPr="009763A2">
        <w:rPr>
          <w:rFonts w:cs="Times New Roman CYR"/>
          <w:b/>
          <w:bCs/>
          <w:vanish/>
        </w:rPr>
        <w:t>..Body</w:t>
      </w:r>
    </w:p>
    <w:p w:rsidR="001B0058" w:rsidRPr="00BF38DA" w:rsidRDefault="001B0058" w:rsidP="001B0058">
      <w:pPr>
        <w:widowControl/>
        <w:jc w:val="both"/>
        <w:rPr>
          <w:rFonts w:cs="Times New Roman CYR"/>
          <w:bCs/>
        </w:rPr>
      </w:pPr>
    </w:p>
    <w:p w:rsidR="001B0058" w:rsidRPr="00BF38DA" w:rsidRDefault="001B0058" w:rsidP="001B0058">
      <w:pPr>
        <w:widowControl/>
        <w:jc w:val="both"/>
        <w:rPr>
          <w:rFonts w:cs="Times New Roman CYR"/>
          <w:bCs/>
        </w:rPr>
      </w:pPr>
      <w:r w:rsidRPr="00BF38DA">
        <w:rPr>
          <w:rFonts w:cs="Times New Roman CYR"/>
          <w:bCs/>
        </w:rPr>
        <w:t>By Council Member Ferreras</w:t>
      </w:r>
      <w:r w:rsidR="00D75484">
        <w:rPr>
          <w:rFonts w:cs="Times New Roman CYR"/>
          <w:bCs/>
        </w:rPr>
        <w:t>-Copeland</w:t>
      </w:r>
    </w:p>
    <w:p w:rsidR="001B0058" w:rsidRPr="00BF38DA" w:rsidRDefault="001B0058" w:rsidP="001B0058">
      <w:pPr>
        <w:widowControl/>
        <w:jc w:val="both"/>
        <w:rPr>
          <w:rFonts w:cs="Times New Roman CYR"/>
          <w:bCs/>
        </w:rPr>
      </w:pPr>
    </w:p>
    <w:p w:rsidR="001B0058" w:rsidRPr="00BF38DA" w:rsidRDefault="001B0058" w:rsidP="001B0058">
      <w:pPr>
        <w:widowControl/>
        <w:ind w:firstLine="720"/>
        <w:jc w:val="both"/>
        <w:rPr>
          <w:rFonts w:cs="Times New Roman CYR"/>
          <w:bCs/>
        </w:rPr>
      </w:pPr>
      <w:r w:rsidRPr="00BF38DA">
        <w:rPr>
          <w:rFonts w:cs="Times New Roman CYR"/>
          <w:bCs/>
        </w:rPr>
        <w:t>Whereas, The Office of Management and Budget has prepared a Proposed City Fiscal Year 201</w:t>
      </w:r>
      <w:r w:rsidR="00D75484">
        <w:rPr>
          <w:rFonts w:cs="Times New Roman CYR"/>
          <w:bCs/>
        </w:rPr>
        <w:t>6</w:t>
      </w:r>
      <w:r w:rsidRPr="00BF38DA">
        <w:rPr>
          <w:rFonts w:cs="Times New Roman CYR"/>
          <w:bCs/>
        </w:rPr>
        <w:t xml:space="preserve"> Community Development Program, a Proposed Reallocation of </w:t>
      </w:r>
      <w:r w:rsidR="00D75484" w:rsidRPr="00BF38DA">
        <w:rPr>
          <w:rFonts w:cs="Times New Roman CYR"/>
          <w:bCs/>
        </w:rPr>
        <w:t>Forty-First</w:t>
      </w:r>
      <w:r w:rsidRPr="00BF38DA">
        <w:rPr>
          <w:rFonts w:cs="Times New Roman CYR"/>
          <w:bCs/>
        </w:rPr>
        <w:t xml:space="preserve"> Year Community Development Funds, and a Proposed Forty-</w:t>
      </w:r>
      <w:r w:rsidR="00D75484">
        <w:rPr>
          <w:rFonts w:cs="Times New Roman CYR"/>
          <w:bCs/>
        </w:rPr>
        <w:t>Second</w:t>
      </w:r>
      <w:r w:rsidRPr="00BF38DA">
        <w:rPr>
          <w:rFonts w:cs="Times New Roman CYR"/>
          <w:bCs/>
        </w:rPr>
        <w:t xml:space="preserve"> Year Community Development Program; and </w:t>
      </w:r>
    </w:p>
    <w:p w:rsidR="001B0058" w:rsidRPr="00BF38DA" w:rsidRDefault="001B0058" w:rsidP="001B0058">
      <w:pPr>
        <w:widowControl/>
        <w:jc w:val="both"/>
        <w:rPr>
          <w:rFonts w:cs="Times New Roman CYR"/>
          <w:bCs/>
        </w:rPr>
      </w:pPr>
    </w:p>
    <w:p w:rsidR="001B0058" w:rsidRPr="00BF38DA" w:rsidRDefault="001B0058" w:rsidP="001B0058">
      <w:pPr>
        <w:widowControl/>
        <w:ind w:firstLine="720"/>
        <w:jc w:val="both"/>
        <w:rPr>
          <w:rFonts w:cs="Times New Roman CYR"/>
          <w:bCs/>
        </w:rPr>
      </w:pPr>
      <w:r w:rsidRPr="00BF38DA">
        <w:rPr>
          <w:rFonts w:cs="Times New Roman CYR"/>
          <w:bCs/>
        </w:rPr>
        <w:t>Whereas, T</w:t>
      </w:r>
      <w:r w:rsidR="00D75484">
        <w:rPr>
          <w:rFonts w:cs="Times New Roman CYR"/>
          <w:bCs/>
        </w:rPr>
        <w:t>he Proposed City Fiscal Year 2016</w:t>
      </w:r>
      <w:r w:rsidRPr="00BF38DA">
        <w:rPr>
          <w:rFonts w:cs="Times New Roman CYR"/>
          <w:bCs/>
        </w:rPr>
        <w:t xml:space="preserve"> Community Development Program, Proposed Reallocation of </w:t>
      </w:r>
      <w:r w:rsidR="00D75484" w:rsidRPr="00BF38DA">
        <w:rPr>
          <w:rFonts w:cs="Times New Roman CYR"/>
          <w:bCs/>
        </w:rPr>
        <w:t>Forty-First</w:t>
      </w:r>
      <w:r w:rsidRPr="00BF38DA">
        <w:rPr>
          <w:rFonts w:cs="Times New Roman CYR"/>
          <w:bCs/>
        </w:rPr>
        <w:t xml:space="preserve"> Year Community Development Funds and Proposed </w:t>
      </w:r>
      <w:r w:rsidR="00D75484" w:rsidRPr="00BF38DA">
        <w:rPr>
          <w:rFonts w:cs="Times New Roman CYR"/>
          <w:bCs/>
        </w:rPr>
        <w:t>Forty-</w:t>
      </w:r>
      <w:r w:rsidR="00D75484">
        <w:rPr>
          <w:rFonts w:cs="Times New Roman CYR"/>
          <w:bCs/>
        </w:rPr>
        <w:t>Second</w:t>
      </w:r>
      <w:r w:rsidR="00D75484" w:rsidRPr="00BF38DA">
        <w:rPr>
          <w:rFonts w:cs="Times New Roman CYR"/>
          <w:bCs/>
        </w:rPr>
        <w:t xml:space="preserve"> </w:t>
      </w:r>
      <w:r w:rsidRPr="00BF38DA">
        <w:rPr>
          <w:rFonts w:cs="Times New Roman CYR"/>
          <w:bCs/>
        </w:rPr>
        <w:t>Year Community Development Program are provided to the City Council for review and consideration; and</w:t>
      </w:r>
    </w:p>
    <w:p w:rsidR="001B0058" w:rsidRPr="00BF38DA" w:rsidRDefault="001B0058" w:rsidP="001B0058">
      <w:pPr>
        <w:widowControl/>
        <w:jc w:val="both"/>
        <w:rPr>
          <w:rFonts w:cs="Times New Roman CYR"/>
          <w:bCs/>
        </w:rPr>
      </w:pPr>
    </w:p>
    <w:p w:rsidR="001B0058" w:rsidRPr="00D375DA" w:rsidRDefault="001B0058" w:rsidP="00D375DA">
      <w:pPr>
        <w:widowControl/>
        <w:ind w:firstLine="720"/>
        <w:jc w:val="both"/>
        <w:rPr>
          <w:rFonts w:cs="Times New Roman CYR"/>
          <w:bCs/>
        </w:rPr>
      </w:pPr>
      <w:r w:rsidRPr="00BF38DA">
        <w:rPr>
          <w:rFonts w:cs="Times New Roman CYR"/>
          <w:bCs/>
        </w:rPr>
        <w:t xml:space="preserve">Resolved, That </w:t>
      </w:r>
      <w:r w:rsidRPr="00D375DA">
        <w:rPr>
          <w:rFonts w:cs="Times New Roman CYR"/>
          <w:bCs/>
        </w:rPr>
        <w:t>the Council of the City of New York hereby agrees to the Proposed Community Development Program for City Fiscal Year 201</w:t>
      </w:r>
      <w:r w:rsidR="00D75484" w:rsidRPr="00D375DA">
        <w:rPr>
          <w:rFonts w:cs="Times New Roman CYR"/>
          <w:bCs/>
        </w:rPr>
        <w:t>6</w:t>
      </w:r>
      <w:r w:rsidRPr="00D375DA">
        <w:rPr>
          <w:rFonts w:cs="Times New Roman CYR"/>
          <w:bCs/>
        </w:rPr>
        <w:t xml:space="preserve"> </w:t>
      </w:r>
      <w:r w:rsidR="002E1D59">
        <w:rPr>
          <w:rFonts w:cs="Times New Roman CYR"/>
          <w:bCs/>
        </w:rPr>
        <w:t xml:space="preserve">in the amount of $224,863,000, which reflects an increase of $1,824,000 over the Executive Budget </w:t>
      </w:r>
      <w:r w:rsidRPr="00D375DA">
        <w:rPr>
          <w:rFonts w:cs="Times New Roman CYR"/>
          <w:bCs/>
        </w:rPr>
        <w:t xml:space="preserve">as submitted by the Mayor on </w:t>
      </w:r>
      <w:r w:rsidR="00F94508" w:rsidRPr="00D375DA">
        <w:rPr>
          <w:rFonts w:cs="Times New Roman CYR"/>
          <w:bCs/>
        </w:rPr>
        <w:t>May 7, 2015</w:t>
      </w:r>
      <w:r w:rsidRPr="00D375DA">
        <w:rPr>
          <w:rFonts w:cs="Times New Roman CYR"/>
          <w:bCs/>
        </w:rPr>
        <w:t>; and be it further</w:t>
      </w:r>
    </w:p>
    <w:p w:rsidR="001B0058" w:rsidRPr="00D375DA" w:rsidRDefault="001B0058" w:rsidP="001B0058">
      <w:pPr>
        <w:widowControl/>
        <w:jc w:val="both"/>
        <w:rPr>
          <w:rFonts w:cs="Times New Roman CYR"/>
          <w:bCs/>
        </w:rPr>
      </w:pPr>
    </w:p>
    <w:p w:rsidR="001B0058" w:rsidRPr="00D375DA" w:rsidRDefault="001B0058" w:rsidP="001B0058">
      <w:pPr>
        <w:widowControl/>
        <w:ind w:firstLine="720"/>
        <w:jc w:val="both"/>
        <w:rPr>
          <w:rFonts w:cs="Times New Roman CYR"/>
          <w:bCs/>
        </w:rPr>
      </w:pPr>
      <w:r w:rsidRPr="00D375DA">
        <w:rPr>
          <w:rFonts w:cs="Times New Roman CYR"/>
          <w:bCs/>
        </w:rPr>
        <w:t xml:space="preserve">Resolved, That the Council of the City of New York hereby agrees to the Proposed Reallocation of </w:t>
      </w:r>
      <w:r w:rsidR="00D75484" w:rsidRPr="00D375DA">
        <w:rPr>
          <w:rFonts w:cs="Times New Roman CYR"/>
          <w:bCs/>
        </w:rPr>
        <w:t xml:space="preserve">Forty-First </w:t>
      </w:r>
      <w:r w:rsidRPr="00D375DA">
        <w:rPr>
          <w:rFonts w:cs="Times New Roman CYR"/>
          <w:bCs/>
        </w:rPr>
        <w:t xml:space="preserve">Year Community Development Funds </w:t>
      </w:r>
      <w:r w:rsidR="002E1D59">
        <w:rPr>
          <w:rFonts w:cs="Times New Roman CYR"/>
          <w:bCs/>
        </w:rPr>
        <w:t xml:space="preserve">in the amount of $222,879,000, which reflects an increase of $1,824,000 over the Proposed Forty-First Year Community Development Budget </w:t>
      </w:r>
      <w:r w:rsidRPr="00D375DA">
        <w:rPr>
          <w:rFonts w:cs="Times New Roman CYR"/>
          <w:bCs/>
        </w:rPr>
        <w:t xml:space="preserve">as submitted by the Mayor on </w:t>
      </w:r>
      <w:r w:rsidR="00F94508" w:rsidRPr="00D375DA">
        <w:rPr>
          <w:rFonts w:cs="Times New Roman CYR"/>
          <w:bCs/>
        </w:rPr>
        <w:t>May 7</w:t>
      </w:r>
      <w:r w:rsidRPr="00D375DA">
        <w:rPr>
          <w:rFonts w:cs="Times New Roman CYR"/>
          <w:bCs/>
        </w:rPr>
        <w:t>, 20</w:t>
      </w:r>
      <w:r w:rsidR="00F94508" w:rsidRPr="00D375DA">
        <w:rPr>
          <w:rFonts w:cs="Times New Roman CYR"/>
          <w:bCs/>
        </w:rPr>
        <w:t>15</w:t>
      </w:r>
      <w:r w:rsidRPr="00D375DA">
        <w:rPr>
          <w:rFonts w:cs="Times New Roman CYR"/>
          <w:bCs/>
        </w:rPr>
        <w:t>; and be it further</w:t>
      </w:r>
    </w:p>
    <w:p w:rsidR="001B0058" w:rsidRPr="00D375DA" w:rsidRDefault="001B0058" w:rsidP="001B0058">
      <w:pPr>
        <w:widowControl/>
        <w:jc w:val="both"/>
        <w:rPr>
          <w:rFonts w:cs="Times New Roman CYR"/>
          <w:bCs/>
        </w:rPr>
      </w:pPr>
    </w:p>
    <w:p w:rsidR="001B0058" w:rsidRDefault="001B0058" w:rsidP="001B0058">
      <w:pPr>
        <w:widowControl/>
        <w:ind w:firstLine="720"/>
        <w:jc w:val="both"/>
        <w:rPr>
          <w:rFonts w:cs="Times New Roman CYR"/>
          <w:bCs/>
        </w:rPr>
      </w:pPr>
      <w:r w:rsidRPr="00D375DA">
        <w:rPr>
          <w:rFonts w:cs="Times New Roman CYR"/>
          <w:bCs/>
        </w:rPr>
        <w:t xml:space="preserve">Resolved, That the Council of the City of New York hereby agrees to the Proposed </w:t>
      </w:r>
      <w:r w:rsidR="00D75484" w:rsidRPr="00D375DA">
        <w:rPr>
          <w:rFonts w:cs="Times New Roman CYR"/>
          <w:bCs/>
        </w:rPr>
        <w:t xml:space="preserve">Forty-Second </w:t>
      </w:r>
      <w:r w:rsidRPr="00D375DA">
        <w:rPr>
          <w:rFonts w:cs="Times New Roman CYR"/>
          <w:bCs/>
        </w:rPr>
        <w:t xml:space="preserve">Year Community Development Program as submitted by the Mayor on </w:t>
      </w:r>
      <w:r w:rsidR="00F94508" w:rsidRPr="00D375DA">
        <w:rPr>
          <w:rFonts w:cs="Times New Roman CYR"/>
          <w:bCs/>
        </w:rPr>
        <w:t>May 7, 2015</w:t>
      </w:r>
      <w:r w:rsidRPr="00D375DA">
        <w:rPr>
          <w:rFonts w:cs="Times New Roman CYR"/>
          <w:bCs/>
        </w:rPr>
        <w:t xml:space="preserve">, in </w:t>
      </w:r>
      <w:r w:rsidR="00D375DA">
        <w:rPr>
          <w:rFonts w:cs="Times New Roman CYR"/>
          <w:bCs/>
        </w:rPr>
        <w:t>the amount of $223,039,000</w:t>
      </w:r>
      <w:r w:rsidRPr="00D375DA">
        <w:rPr>
          <w:rFonts w:cs="Times New Roman CYR"/>
          <w:bCs/>
        </w:rPr>
        <w:t>; and be it further</w:t>
      </w:r>
    </w:p>
    <w:p w:rsidR="001B0058" w:rsidRDefault="001B0058" w:rsidP="001B0058">
      <w:pPr>
        <w:widowControl/>
        <w:ind w:firstLine="720"/>
        <w:jc w:val="both"/>
        <w:rPr>
          <w:rFonts w:cs="Times New Roman CYR"/>
          <w:bCs/>
        </w:rPr>
      </w:pPr>
    </w:p>
    <w:p w:rsidR="001B0058" w:rsidRDefault="001B0058" w:rsidP="001B0058">
      <w:pPr>
        <w:widowControl/>
        <w:ind w:firstLine="720"/>
        <w:jc w:val="both"/>
        <w:rPr>
          <w:rFonts w:cs="Times New Roman CYR"/>
          <w:bCs/>
        </w:rPr>
      </w:pPr>
      <w:r>
        <w:rPr>
          <w:rFonts w:cs="Times New Roman CYR"/>
          <w:bCs/>
        </w:rPr>
        <w:t>Resolved, T</w:t>
      </w:r>
      <w:r w:rsidRPr="00BF38DA">
        <w:rPr>
          <w:rFonts w:cs="Times New Roman CYR"/>
          <w:bCs/>
        </w:rPr>
        <w:t xml:space="preserve">hat the Council of the City of </w:t>
      </w:r>
      <w:r>
        <w:rPr>
          <w:rFonts w:cs="Times New Roman CYR"/>
          <w:bCs/>
        </w:rPr>
        <w:t>New York hereby sha</w:t>
      </w:r>
      <w:r w:rsidRPr="00BF38DA">
        <w:rPr>
          <w:rFonts w:cs="Times New Roman CYR"/>
          <w:bCs/>
        </w:rPr>
        <w:t>ll have the opportunity to review the allocation as part of the City Fiscal Year 2016 budget adoption, of that portion of the Forty-First Community Development budget that will be scheduled to b</w:t>
      </w:r>
      <w:r w:rsidR="00D75484">
        <w:rPr>
          <w:rFonts w:cs="Times New Roman CYR"/>
          <w:bCs/>
        </w:rPr>
        <w:t>e spent in City Fiscal Year 2017 and not City Fiscal Year 2016</w:t>
      </w:r>
      <w:r w:rsidRPr="00BF38DA">
        <w:rPr>
          <w:rFonts w:cs="Times New Roman CYR"/>
          <w:bCs/>
        </w:rPr>
        <w:t>.</w:t>
      </w:r>
    </w:p>
    <w:p w:rsidR="009763A2" w:rsidRDefault="009763A2" w:rsidP="001B0058">
      <w:pPr>
        <w:widowControl/>
        <w:ind w:firstLine="720"/>
        <w:jc w:val="both"/>
        <w:rPr>
          <w:rFonts w:cs="Times New Roman CYR"/>
          <w:bCs/>
        </w:rPr>
      </w:pPr>
    </w:p>
    <w:p w:rsidR="001B0058" w:rsidRDefault="001B0058" w:rsidP="001B0058">
      <w:pPr>
        <w:widowControl/>
        <w:ind w:firstLine="720"/>
        <w:jc w:val="both"/>
        <w:rPr>
          <w:rFonts w:cs="Times New Roman CYR"/>
          <w:bCs/>
        </w:rPr>
      </w:pPr>
    </w:p>
    <w:p w:rsidR="001B0058" w:rsidRDefault="001B0058" w:rsidP="009763A2">
      <w:pPr>
        <w:widowControl/>
        <w:rPr>
          <w:rFonts w:cs="Times New Roman CYR"/>
          <w:bCs/>
        </w:rPr>
      </w:pPr>
      <w:r>
        <w:rPr>
          <w:rFonts w:cs="Times New Roman CYR"/>
          <w:bCs/>
        </w:rPr>
        <w:t>TE6-</w:t>
      </w:r>
      <w:r w:rsidR="007953B3">
        <w:rPr>
          <w:rFonts w:cs="Times New Roman CYR"/>
          <w:bCs/>
        </w:rPr>
        <w:t>2</w:t>
      </w:r>
      <w:r w:rsidR="00AE25EA">
        <w:rPr>
          <w:rFonts w:cs="Times New Roman CYR"/>
          <w:bCs/>
        </w:rPr>
        <w:t>3</w:t>
      </w:r>
      <w:r w:rsidR="007953B3">
        <w:rPr>
          <w:rFonts w:cs="Times New Roman CYR"/>
          <w:bCs/>
        </w:rPr>
        <w:t>-15</w:t>
      </w:r>
    </w:p>
    <w:p w:rsidR="001B0058" w:rsidRDefault="001B0058" w:rsidP="009763A2">
      <w:pPr>
        <w:widowControl/>
        <w:rPr>
          <w:rFonts w:cs="Times New Roman CYR"/>
          <w:bCs/>
        </w:rPr>
      </w:pPr>
      <w:r>
        <w:rPr>
          <w:rFonts w:cs="Times New Roman CYR"/>
          <w:bCs/>
        </w:rPr>
        <w:t xml:space="preserve">LS </w:t>
      </w:r>
      <w:r w:rsidR="007953B3">
        <w:rPr>
          <w:rFonts w:cs="Times New Roman CYR"/>
          <w:bCs/>
        </w:rPr>
        <w:t>5553</w:t>
      </w:r>
    </w:p>
    <w:p w:rsidR="00D375DA" w:rsidRDefault="00D375DA" w:rsidP="001B0058">
      <w:pPr>
        <w:widowControl/>
        <w:ind w:firstLine="720"/>
        <w:jc w:val="both"/>
        <w:rPr>
          <w:rFonts w:cs="Times New Roman CYR"/>
          <w:bCs/>
        </w:rPr>
      </w:pPr>
    </w:p>
    <w:p w:rsidR="00D375DA" w:rsidRDefault="00D375DA" w:rsidP="001B0058">
      <w:pPr>
        <w:widowControl/>
        <w:ind w:firstLine="720"/>
        <w:jc w:val="both"/>
        <w:rPr>
          <w:rFonts w:cs="Times New Roman CYR"/>
          <w:bCs/>
        </w:rPr>
      </w:pPr>
    </w:p>
    <w:p w:rsidR="00D375DA" w:rsidRDefault="00D375DA" w:rsidP="001B0058">
      <w:pPr>
        <w:widowControl/>
        <w:ind w:firstLine="720"/>
        <w:jc w:val="both"/>
        <w:rPr>
          <w:rFonts w:cs="Times New Roman CYR"/>
          <w:bCs/>
        </w:rPr>
      </w:pPr>
    </w:p>
    <w:p w:rsidR="00D375DA" w:rsidRDefault="00D375DA" w:rsidP="001B0058">
      <w:pPr>
        <w:widowControl/>
        <w:ind w:firstLine="720"/>
        <w:jc w:val="both"/>
        <w:rPr>
          <w:rFonts w:cs="Times New Roman CYR"/>
          <w:bCs/>
        </w:rPr>
      </w:pPr>
    </w:p>
    <w:p w:rsidR="001B0058" w:rsidRDefault="001B0058" w:rsidP="001B0058">
      <w:pPr>
        <w:widowControl/>
        <w:ind w:firstLine="720"/>
        <w:jc w:val="both"/>
        <w:rPr>
          <w:rFonts w:cs="Times New Roman CYR"/>
          <w:bCs/>
        </w:rPr>
      </w:pPr>
    </w:p>
    <w:sectPr w:rsidR="001B00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59" w:rsidRDefault="002E1D59">
      <w:r>
        <w:separator/>
      </w:r>
    </w:p>
  </w:endnote>
  <w:endnote w:type="continuationSeparator" w:id="0">
    <w:p w:rsidR="002E1D59" w:rsidRDefault="002E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CYR">
    <w:altName w:val="Times New Roman"/>
    <w:charset w:val="00"/>
    <w:family w:val="roman"/>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59" w:rsidRDefault="002E1D59">
      <w:r>
        <w:separator/>
      </w:r>
    </w:p>
  </w:footnote>
  <w:footnote w:type="continuationSeparator" w:id="0">
    <w:p w:rsidR="002E1D59" w:rsidRDefault="002E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9" w:rsidRDefault="002E1D59">
    <w:pPr>
      <w:ind w:left="576" w:right="576"/>
      <w:rPr>
        <w:sz w:val="28"/>
        <w:szCs w:val="28"/>
      </w:rPr>
    </w:pPr>
  </w:p>
  <w:p w:rsidR="002E1D59" w:rsidRDefault="002E1D59">
    <w:pPr>
      <w:spacing w:line="240" w:lineRule="exac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E90"/>
    <w:multiLevelType w:val="hybridMultilevel"/>
    <w:tmpl w:val="CA1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010F"/>
    <w:multiLevelType w:val="hybridMultilevel"/>
    <w:tmpl w:val="93B637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58"/>
    <w:rsid w:val="000048E3"/>
    <w:rsid w:val="00012BEF"/>
    <w:rsid w:val="00041A79"/>
    <w:rsid w:val="001B0058"/>
    <w:rsid w:val="002E1D59"/>
    <w:rsid w:val="00341812"/>
    <w:rsid w:val="00412A2D"/>
    <w:rsid w:val="00425126"/>
    <w:rsid w:val="00695174"/>
    <w:rsid w:val="006D7061"/>
    <w:rsid w:val="006E39DC"/>
    <w:rsid w:val="00723904"/>
    <w:rsid w:val="007953B3"/>
    <w:rsid w:val="009763A2"/>
    <w:rsid w:val="00A1431B"/>
    <w:rsid w:val="00AA3BE0"/>
    <w:rsid w:val="00AA7645"/>
    <w:rsid w:val="00AE25EA"/>
    <w:rsid w:val="00D375DA"/>
    <w:rsid w:val="00D53E91"/>
    <w:rsid w:val="00D75484"/>
    <w:rsid w:val="00DD43C2"/>
    <w:rsid w:val="00DF45B5"/>
    <w:rsid w:val="00EB50AE"/>
    <w:rsid w:val="00F94508"/>
    <w:rsid w:val="00F96132"/>
    <w:rsid w:val="00FA7E9E"/>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58"/>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paragraph" w:styleId="Heading1">
    <w:name w:val="heading 1"/>
    <w:basedOn w:val="Normal"/>
    <w:next w:val="Normal"/>
    <w:link w:val="Heading1Char"/>
    <w:qFormat/>
    <w:rsid w:val="001B0058"/>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1B0058"/>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058"/>
    <w:rPr>
      <w:rFonts w:ascii="CG Times" w:eastAsia="Times New Roman" w:hAnsi="CG Times" w:cs="Times New Roman"/>
      <w:b/>
      <w:sz w:val="24"/>
      <w:szCs w:val="24"/>
      <w:u w:val="single"/>
      <w:lang w:val="x-none" w:eastAsia="x-none"/>
    </w:rPr>
  </w:style>
  <w:style w:type="character" w:customStyle="1" w:styleId="Heading2Char">
    <w:name w:val="Heading 2 Char"/>
    <w:basedOn w:val="DefaultParagraphFont"/>
    <w:link w:val="Heading2"/>
    <w:rsid w:val="001B0058"/>
    <w:rPr>
      <w:rFonts w:ascii="Times New Roman" w:eastAsia="Times New Roman" w:hAnsi="Times New Roman" w:cs="Times New Roman"/>
      <w:b/>
      <w:sz w:val="24"/>
      <w:szCs w:val="24"/>
      <w:lang w:val="x-none" w:eastAsia="x-none"/>
    </w:rPr>
  </w:style>
  <w:style w:type="paragraph" w:styleId="ListParagraph">
    <w:name w:val="List Paragraph"/>
    <w:basedOn w:val="Normal"/>
    <w:uiPriority w:val="34"/>
    <w:qFormat/>
    <w:rsid w:val="001B0058"/>
    <w:pPr>
      <w:ind w:left="720"/>
      <w:contextualSpacing/>
    </w:pPr>
  </w:style>
  <w:style w:type="paragraph" w:styleId="BalloonText">
    <w:name w:val="Balloon Text"/>
    <w:basedOn w:val="Normal"/>
    <w:link w:val="BalloonTextChar"/>
    <w:uiPriority w:val="99"/>
    <w:semiHidden/>
    <w:unhideWhenUsed/>
    <w:rsid w:val="001B0058"/>
    <w:rPr>
      <w:rFonts w:ascii="Tahoma" w:hAnsi="Tahoma" w:cs="Tahoma"/>
      <w:sz w:val="16"/>
      <w:szCs w:val="16"/>
    </w:rPr>
  </w:style>
  <w:style w:type="character" w:customStyle="1" w:styleId="BalloonTextChar">
    <w:name w:val="Balloon Text Char"/>
    <w:basedOn w:val="DefaultParagraphFont"/>
    <w:link w:val="BalloonText"/>
    <w:uiPriority w:val="99"/>
    <w:semiHidden/>
    <w:rsid w:val="001B00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1D59"/>
    <w:rPr>
      <w:sz w:val="16"/>
      <w:szCs w:val="16"/>
    </w:rPr>
  </w:style>
  <w:style w:type="paragraph" w:styleId="CommentText">
    <w:name w:val="annotation text"/>
    <w:basedOn w:val="Normal"/>
    <w:link w:val="CommentTextChar"/>
    <w:uiPriority w:val="99"/>
    <w:semiHidden/>
    <w:unhideWhenUsed/>
    <w:rsid w:val="002E1D59"/>
    <w:rPr>
      <w:sz w:val="20"/>
      <w:szCs w:val="20"/>
    </w:rPr>
  </w:style>
  <w:style w:type="character" w:customStyle="1" w:styleId="CommentTextChar">
    <w:name w:val="Comment Text Char"/>
    <w:basedOn w:val="DefaultParagraphFont"/>
    <w:link w:val="CommentText"/>
    <w:uiPriority w:val="99"/>
    <w:semiHidden/>
    <w:rsid w:val="002E1D59"/>
    <w:rPr>
      <w:rFonts w:ascii="Times New Roman CYR" w:eastAsia="Times New Roman" w:hAnsi="Times New Roman CYR" w:cs="Times New Roman"/>
      <w:sz w:val="20"/>
      <w:szCs w:val="20"/>
    </w:rPr>
  </w:style>
  <w:style w:type="paragraph" w:styleId="CommentSubject">
    <w:name w:val="annotation subject"/>
    <w:basedOn w:val="CommentText"/>
    <w:next w:val="CommentText"/>
    <w:link w:val="CommentSubjectChar"/>
    <w:uiPriority w:val="99"/>
    <w:semiHidden/>
    <w:unhideWhenUsed/>
    <w:rsid w:val="002E1D59"/>
    <w:rPr>
      <w:b/>
      <w:bCs/>
    </w:rPr>
  </w:style>
  <w:style w:type="character" w:customStyle="1" w:styleId="CommentSubjectChar">
    <w:name w:val="Comment Subject Char"/>
    <w:basedOn w:val="CommentTextChar"/>
    <w:link w:val="CommentSubject"/>
    <w:uiPriority w:val="99"/>
    <w:semiHidden/>
    <w:rsid w:val="002E1D59"/>
    <w:rPr>
      <w:rFonts w:ascii="Times New Roman CYR" w:eastAsia="Times New Roman" w:hAnsi="Times New Roman CY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58"/>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paragraph" w:styleId="Heading1">
    <w:name w:val="heading 1"/>
    <w:basedOn w:val="Normal"/>
    <w:next w:val="Normal"/>
    <w:link w:val="Heading1Char"/>
    <w:qFormat/>
    <w:rsid w:val="001B0058"/>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1B0058"/>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058"/>
    <w:rPr>
      <w:rFonts w:ascii="CG Times" w:eastAsia="Times New Roman" w:hAnsi="CG Times" w:cs="Times New Roman"/>
      <w:b/>
      <w:sz w:val="24"/>
      <w:szCs w:val="24"/>
      <w:u w:val="single"/>
      <w:lang w:val="x-none" w:eastAsia="x-none"/>
    </w:rPr>
  </w:style>
  <w:style w:type="character" w:customStyle="1" w:styleId="Heading2Char">
    <w:name w:val="Heading 2 Char"/>
    <w:basedOn w:val="DefaultParagraphFont"/>
    <w:link w:val="Heading2"/>
    <w:rsid w:val="001B0058"/>
    <w:rPr>
      <w:rFonts w:ascii="Times New Roman" w:eastAsia="Times New Roman" w:hAnsi="Times New Roman" w:cs="Times New Roman"/>
      <w:b/>
      <w:sz w:val="24"/>
      <w:szCs w:val="24"/>
      <w:lang w:val="x-none" w:eastAsia="x-none"/>
    </w:rPr>
  </w:style>
  <w:style w:type="paragraph" w:styleId="ListParagraph">
    <w:name w:val="List Paragraph"/>
    <w:basedOn w:val="Normal"/>
    <w:uiPriority w:val="34"/>
    <w:qFormat/>
    <w:rsid w:val="001B0058"/>
    <w:pPr>
      <w:ind w:left="720"/>
      <w:contextualSpacing/>
    </w:pPr>
  </w:style>
  <w:style w:type="paragraph" w:styleId="BalloonText">
    <w:name w:val="Balloon Text"/>
    <w:basedOn w:val="Normal"/>
    <w:link w:val="BalloonTextChar"/>
    <w:uiPriority w:val="99"/>
    <w:semiHidden/>
    <w:unhideWhenUsed/>
    <w:rsid w:val="001B0058"/>
    <w:rPr>
      <w:rFonts w:ascii="Tahoma" w:hAnsi="Tahoma" w:cs="Tahoma"/>
      <w:sz w:val="16"/>
      <w:szCs w:val="16"/>
    </w:rPr>
  </w:style>
  <w:style w:type="character" w:customStyle="1" w:styleId="BalloonTextChar">
    <w:name w:val="Balloon Text Char"/>
    <w:basedOn w:val="DefaultParagraphFont"/>
    <w:link w:val="BalloonText"/>
    <w:uiPriority w:val="99"/>
    <w:semiHidden/>
    <w:rsid w:val="001B00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1D59"/>
    <w:rPr>
      <w:sz w:val="16"/>
      <w:szCs w:val="16"/>
    </w:rPr>
  </w:style>
  <w:style w:type="paragraph" w:styleId="CommentText">
    <w:name w:val="annotation text"/>
    <w:basedOn w:val="Normal"/>
    <w:link w:val="CommentTextChar"/>
    <w:uiPriority w:val="99"/>
    <w:semiHidden/>
    <w:unhideWhenUsed/>
    <w:rsid w:val="002E1D59"/>
    <w:rPr>
      <w:sz w:val="20"/>
      <w:szCs w:val="20"/>
    </w:rPr>
  </w:style>
  <w:style w:type="character" w:customStyle="1" w:styleId="CommentTextChar">
    <w:name w:val="Comment Text Char"/>
    <w:basedOn w:val="DefaultParagraphFont"/>
    <w:link w:val="CommentText"/>
    <w:uiPriority w:val="99"/>
    <w:semiHidden/>
    <w:rsid w:val="002E1D59"/>
    <w:rPr>
      <w:rFonts w:ascii="Times New Roman CYR" w:eastAsia="Times New Roman" w:hAnsi="Times New Roman CYR" w:cs="Times New Roman"/>
      <w:sz w:val="20"/>
      <w:szCs w:val="20"/>
    </w:rPr>
  </w:style>
  <w:style w:type="paragraph" w:styleId="CommentSubject">
    <w:name w:val="annotation subject"/>
    <w:basedOn w:val="CommentText"/>
    <w:next w:val="CommentText"/>
    <w:link w:val="CommentSubjectChar"/>
    <w:uiPriority w:val="99"/>
    <w:semiHidden/>
    <w:unhideWhenUsed/>
    <w:rsid w:val="002E1D59"/>
    <w:rPr>
      <w:b/>
      <w:bCs/>
    </w:rPr>
  </w:style>
  <w:style w:type="character" w:customStyle="1" w:styleId="CommentSubjectChar">
    <w:name w:val="Comment Subject Char"/>
    <w:basedOn w:val="CommentTextChar"/>
    <w:link w:val="CommentSubject"/>
    <w:uiPriority w:val="99"/>
    <w:semiHidden/>
    <w:rsid w:val="002E1D59"/>
    <w:rPr>
      <w:rFonts w:ascii="Times New Roman CYR" w:eastAsia="Times New Roman" w:hAnsi="Times New Roman CY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 OMB</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2015-06-23T20:23:00Z</cp:lastPrinted>
  <dcterms:created xsi:type="dcterms:W3CDTF">2015-06-26T13:46:00Z</dcterms:created>
  <dcterms:modified xsi:type="dcterms:W3CDTF">2015-06-26T13:46:00Z</dcterms:modified>
</cp:coreProperties>
</file>