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Look w:val="0600" w:firstRow="0" w:lastRow="0" w:firstColumn="0" w:lastColumn="0" w:noHBand="1" w:noVBand="1"/>
      </w:tblPr>
      <w:tblGrid>
        <w:gridCol w:w="6006"/>
        <w:gridCol w:w="4869"/>
      </w:tblGrid>
      <w:tr w:rsidR="007C1533" w:rsidTr="00864A43">
        <w:trPr>
          <w:jc w:val="center"/>
        </w:trPr>
        <w:tc>
          <w:tcPr>
            <w:tcW w:w="6006" w:type="dxa"/>
            <w:tcBorders>
              <w:bottom w:val="single" w:sz="4" w:space="0" w:color="auto"/>
            </w:tcBorders>
          </w:tcPr>
          <w:p w:rsidR="007C1533" w:rsidRDefault="007C1533" w:rsidP="00864A4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24BF273" wp14:editId="76A0F234">
                  <wp:extent cx="13608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96" t="-970" r="-1396" b="-970"/>
                          <a:stretch>
                            <a:fillRect/>
                          </a:stretch>
                        </pic:blipFill>
                        <pic:spPr bwMode="auto">
                          <a:xfrm>
                            <a:off x="0" y="0"/>
                            <a:ext cx="1360805" cy="1375410"/>
                          </a:xfrm>
                          <a:prstGeom prst="rect">
                            <a:avLst/>
                          </a:prstGeom>
                          <a:noFill/>
                          <a:ln>
                            <a:noFill/>
                          </a:ln>
                        </pic:spPr>
                      </pic:pic>
                    </a:graphicData>
                  </a:graphic>
                </wp:inline>
              </w:drawing>
            </w:r>
          </w:p>
          <w:p w:rsidR="007C1533" w:rsidRDefault="007C1533" w:rsidP="00864A43"/>
        </w:tc>
        <w:tc>
          <w:tcPr>
            <w:tcW w:w="4869" w:type="dxa"/>
            <w:tcBorders>
              <w:bottom w:val="single" w:sz="4" w:space="0" w:color="auto"/>
            </w:tcBorders>
          </w:tcPr>
          <w:p w:rsidR="007C1533" w:rsidRDefault="007C1533" w:rsidP="00864A43">
            <w:pPr>
              <w:rPr>
                <w:b/>
                <w:bCs/>
                <w:smallCaps/>
              </w:rPr>
            </w:pPr>
            <w:r>
              <w:rPr>
                <w:b/>
                <w:bCs/>
                <w:smallCaps/>
              </w:rPr>
              <w:t>The Council of the City of New York</w:t>
            </w:r>
          </w:p>
          <w:p w:rsidR="007C1533" w:rsidRDefault="007C1533" w:rsidP="00864A43">
            <w:pPr>
              <w:rPr>
                <w:b/>
                <w:bCs/>
                <w:smallCaps/>
              </w:rPr>
            </w:pPr>
            <w:r>
              <w:rPr>
                <w:b/>
                <w:bCs/>
                <w:smallCaps/>
              </w:rPr>
              <w:t>Finance Division</w:t>
            </w:r>
          </w:p>
          <w:p w:rsidR="007C1533" w:rsidRPr="00EB1653" w:rsidRDefault="007C1533" w:rsidP="00864A43">
            <w:pPr>
              <w:spacing w:before="120"/>
              <w:rPr>
                <w:bCs/>
                <w:smallCaps/>
              </w:rPr>
            </w:pPr>
            <w:r w:rsidRPr="00EB1653">
              <w:rPr>
                <w:bCs/>
                <w:smallCaps/>
              </w:rPr>
              <w:t>Latonia McKinney, Director</w:t>
            </w:r>
          </w:p>
          <w:p w:rsidR="007C1533" w:rsidRDefault="007C1533" w:rsidP="00864A43">
            <w:pPr>
              <w:spacing w:before="120"/>
            </w:pPr>
            <w:r>
              <w:rPr>
                <w:b/>
                <w:bCs/>
                <w:smallCaps/>
              </w:rPr>
              <w:t>Fiscal Impact Statement</w:t>
            </w:r>
          </w:p>
          <w:p w:rsidR="007C1533" w:rsidRPr="00ED74D9" w:rsidRDefault="007C1533" w:rsidP="00864A43">
            <w:pPr>
              <w:rPr>
                <w:b/>
                <w:bCs/>
                <w:sz w:val="16"/>
                <w:szCs w:val="16"/>
              </w:rPr>
            </w:pPr>
          </w:p>
          <w:p w:rsidR="007C1533" w:rsidRDefault="007C1533" w:rsidP="00864A43">
            <w:pPr>
              <w:rPr>
                <w:b/>
                <w:bCs/>
              </w:rPr>
            </w:pPr>
            <w:r>
              <w:rPr>
                <w:b/>
                <w:bCs/>
                <w:smallCaps/>
              </w:rPr>
              <w:t xml:space="preserve">Proposed Intro. </w:t>
            </w:r>
            <w:r>
              <w:rPr>
                <w:spacing w:val="-4"/>
                <w:w w:val="105"/>
              </w:rPr>
              <w:t>No. 318-A</w:t>
            </w:r>
          </w:p>
          <w:p w:rsidR="007C1533" w:rsidRPr="00A267C7" w:rsidRDefault="007C1533" w:rsidP="00864A43">
            <w:pPr>
              <w:rPr>
                <w:color w:val="FF0000"/>
                <w:sz w:val="16"/>
                <w:szCs w:val="16"/>
              </w:rPr>
            </w:pPr>
          </w:p>
          <w:p w:rsidR="007C1533" w:rsidRPr="00A267C7" w:rsidRDefault="007C1533" w:rsidP="00864A43">
            <w:pPr>
              <w:tabs>
                <w:tab w:val="left" w:pos="-1440"/>
              </w:tabs>
              <w:ind w:left="1440" w:hanging="1440"/>
              <w:jc w:val="left"/>
              <w:rPr>
                <w:color w:val="FF0000"/>
              </w:rPr>
            </w:pPr>
            <w:r>
              <w:rPr>
                <w:b/>
                <w:bCs/>
                <w:smallCaps/>
              </w:rPr>
              <w:t>Committee</w:t>
            </w:r>
            <w:r>
              <w:rPr>
                <w:b/>
                <w:bCs/>
              </w:rPr>
              <w:t xml:space="preserve">: </w:t>
            </w:r>
            <w:r>
              <w:rPr>
                <w:bCs/>
              </w:rPr>
              <w:t xml:space="preserve">Civil Rights </w:t>
            </w:r>
          </w:p>
        </w:tc>
      </w:tr>
      <w:tr w:rsidR="007C1533" w:rsidRPr="00ED74D9" w:rsidTr="00864A43">
        <w:trPr>
          <w:jc w:val="center"/>
        </w:trPr>
        <w:tc>
          <w:tcPr>
            <w:tcW w:w="6006" w:type="dxa"/>
            <w:tcBorders>
              <w:top w:val="single" w:sz="4" w:space="0" w:color="auto"/>
            </w:tcBorders>
          </w:tcPr>
          <w:p w:rsidR="007C1533" w:rsidRPr="00054FC6" w:rsidRDefault="007C1533" w:rsidP="00864A43">
            <w:pPr>
              <w:autoSpaceDE w:val="0"/>
              <w:autoSpaceDN w:val="0"/>
              <w:adjustRightInd w:val="0"/>
              <w:rPr>
                <w:spacing w:val="-4"/>
                <w:w w:val="105"/>
              </w:rPr>
            </w:pPr>
            <w:r w:rsidRPr="00ED74D9">
              <w:rPr>
                <w:b/>
                <w:bCs/>
                <w:smallCaps/>
                <w:sz w:val="22"/>
                <w:szCs w:val="22"/>
              </w:rPr>
              <w:t xml:space="preserve">Title: </w:t>
            </w:r>
            <w:r w:rsidRPr="00054FC6">
              <w:rPr>
                <w:spacing w:val="-4"/>
                <w:w w:val="105"/>
              </w:rPr>
              <w:t>A Local Law to amend the administrative code of the city of New Yo</w:t>
            </w:r>
            <w:r>
              <w:rPr>
                <w:spacing w:val="-4"/>
                <w:w w:val="105"/>
              </w:rPr>
              <w:t xml:space="preserve">rk, in relation to prohibiting </w:t>
            </w:r>
            <w:r w:rsidRPr="00054FC6">
              <w:rPr>
                <w:spacing w:val="-4"/>
                <w:w w:val="105"/>
              </w:rPr>
              <w:t>discrimination based on one’s arrest record or criminal conviction</w:t>
            </w:r>
            <w:r>
              <w:rPr>
                <w:spacing w:val="-4"/>
                <w:w w:val="105"/>
              </w:rPr>
              <w:t>.</w:t>
            </w:r>
          </w:p>
          <w:p w:rsidR="007C1533" w:rsidRPr="00ED74D9" w:rsidRDefault="007C1533" w:rsidP="00864A43">
            <w:pPr>
              <w:rPr>
                <w:sz w:val="22"/>
                <w:szCs w:val="22"/>
              </w:rPr>
            </w:pPr>
          </w:p>
        </w:tc>
        <w:tc>
          <w:tcPr>
            <w:tcW w:w="4869" w:type="dxa"/>
            <w:tcBorders>
              <w:top w:val="single" w:sz="4" w:space="0" w:color="auto"/>
            </w:tcBorders>
          </w:tcPr>
          <w:p w:rsidR="007C1533" w:rsidRPr="00054FC6" w:rsidRDefault="007C1533" w:rsidP="00864A43">
            <w:pPr>
              <w:tabs>
                <w:tab w:val="right" w:pos="10190"/>
              </w:tabs>
              <w:spacing w:before="108"/>
              <w:jc w:val="left"/>
            </w:pPr>
            <w:r w:rsidRPr="005E650C">
              <w:rPr>
                <w:b/>
                <w:bCs/>
                <w:smallCaps/>
                <w:sz w:val="22"/>
                <w:szCs w:val="22"/>
              </w:rPr>
              <w:t>Sponsors</w:t>
            </w:r>
            <w:r w:rsidRPr="005E650C">
              <w:rPr>
                <w:b/>
                <w:bCs/>
                <w:sz w:val="22"/>
                <w:szCs w:val="22"/>
              </w:rPr>
              <w:t>:</w:t>
            </w:r>
            <w:r>
              <w:rPr>
                <w:b/>
                <w:bCs/>
                <w:sz w:val="22"/>
                <w:szCs w:val="22"/>
              </w:rPr>
              <w:t xml:space="preserve"> </w:t>
            </w:r>
            <w:r>
              <w:t xml:space="preserve">Council Members Williams, Johnson, Torres, Miller, Gibson, Chin, Palma, the Public Advocate (Ms.  James),  Arroyo,  Cornegy,  Dromm,  Koo,  Levine,  Reynoso,  Richards,  Espinal,  Levin, Menchaca, Dickens, Barron, Rosenthal, Cumbo, Rose, Rodriguez, King, </w:t>
            </w:r>
            <w:proofErr w:type="spellStart"/>
            <w:r>
              <w:t>Koslowitz</w:t>
            </w:r>
            <w:proofErr w:type="spellEnd"/>
            <w:r>
              <w:t xml:space="preserve">, Wills, Mendez, Kallos,  Lander,  Eugene,  Cabrera,  </w:t>
            </w:r>
            <w:proofErr w:type="spellStart"/>
            <w:r>
              <w:t>Constantinides</w:t>
            </w:r>
            <w:proofErr w:type="spellEnd"/>
            <w:r>
              <w:t xml:space="preserve">,  Ferreras </w:t>
            </w:r>
            <w:r>
              <w:rPr>
                <w:b/>
              </w:rPr>
              <w:t>–</w:t>
            </w:r>
            <w:r>
              <w:t xml:space="preserve"> Copeland, and  </w:t>
            </w:r>
            <w:proofErr w:type="spellStart"/>
            <w:r>
              <w:t>Maisel</w:t>
            </w:r>
            <w:proofErr w:type="spellEnd"/>
            <w:r>
              <w:t xml:space="preserve">  (by  the  request  of  the Manhattan Borough President)</w:t>
            </w:r>
          </w:p>
          <w:p w:rsidR="007C1533" w:rsidRPr="00706E47" w:rsidRDefault="007C1533" w:rsidP="00864A43">
            <w:pPr>
              <w:spacing w:before="36" w:line="199" w:lineRule="auto"/>
              <w:rPr>
                <w:b/>
              </w:rPr>
            </w:pPr>
          </w:p>
        </w:tc>
      </w:tr>
    </w:tbl>
    <w:p w:rsidR="007C1533" w:rsidRDefault="007C1533" w:rsidP="007C1533">
      <w:pPr>
        <w:rPr>
          <w:b/>
          <w:smallCaps/>
          <w:sz w:val="22"/>
          <w:szCs w:val="22"/>
        </w:rPr>
      </w:pPr>
    </w:p>
    <w:p w:rsidR="007C1533" w:rsidRDefault="007C1533" w:rsidP="007C1533">
      <w:r w:rsidRPr="00AC7B0F">
        <w:rPr>
          <w:b/>
          <w:smallCaps/>
        </w:rPr>
        <w:t>Summary of Legislation</w:t>
      </w:r>
      <w:r w:rsidRPr="00AC7B0F">
        <w:t xml:space="preserve">: </w:t>
      </w:r>
      <w:r>
        <w:t xml:space="preserve"> Proposed Int. No. 318-A would make it a violation of the New York City Human Rights Law for any employer to make any inquiry or statement about an applicant’s pending arrest record or criminal background prior to an applicant receiving a conditional offer of employment. Following a conditional offer, an employer would be permitted to make inquiries related to the applicant’s criminal history and make considerations based on criminal history in accordance with article 23-a of the New York State Correction Law.  If an employer decides to take adverse action against an applicant based on the applicant’s criminal record in accordance with article 23-a, Proposed Int. 318-a would require the employer to:  (i) provide the applicant, in writing, in a manner to be determined by the Commission on Human Rights, with the reason for the adverse action , along with a copy of the source of criminal history information; and (ii)  hold the position open for three days before offering the position to another applicant. During this three day period, the applicant would have an opportunity to respond by possibly addressing any incorrect or negative reporting, or providing the employer with proof of rehabilitation. </w:t>
      </w:r>
    </w:p>
    <w:p w:rsidR="007C1533" w:rsidRDefault="007C1533" w:rsidP="007C1533"/>
    <w:p w:rsidR="007C1533" w:rsidRDefault="007C1533" w:rsidP="007C1533">
      <w:r>
        <w:t>Nothing in the bill would prohibit an employer from denying employment based on any factor other than criminal history.</w:t>
      </w:r>
    </w:p>
    <w:p w:rsidR="007C1533" w:rsidRDefault="007C1533" w:rsidP="007C1533"/>
    <w:p w:rsidR="007C1533" w:rsidRDefault="007C1533" w:rsidP="007C1533">
      <w:r>
        <w:t>Proposed Int. 318-A would not apply to employers hiring for positions for which any federal, State or local law requires criminal background checks or for which criminal history serves as a bar to employment. Proposed Int. 318-A would also exempt law enforcement positions, including police and peace officers, members of the Police and Fire Departments, the Departments of Investigation, Correction, Youth and Family Services and Probation, and the Business Integrity Commission.  Finally, the bill would not apply to a limited number of positions appointed by the Department of Citywide Administrative Services through a hiring process done pursuant to the New York State Civil Service Law where the Department determines that such positions involve a matter of public safety and trust.</w:t>
      </w:r>
    </w:p>
    <w:p w:rsidR="007C1533" w:rsidRDefault="007C1533" w:rsidP="007C1533"/>
    <w:p w:rsidR="007C1533" w:rsidRDefault="007C1533" w:rsidP="007C1533">
      <w:r w:rsidRPr="003062DE">
        <w:t xml:space="preserve">Proposed Int. 318-A would require the Commission on Human Rights to engage in outreach and education efforts regarding the rights of current and prospective employees, and the responsibilities of employers, established by this local law. Such outreach and education </w:t>
      </w:r>
      <w:r>
        <w:t>would</w:t>
      </w:r>
      <w:r w:rsidRPr="003062DE">
        <w:t xml:space="preserve"> be directed at public and private employers, and the general public.</w:t>
      </w:r>
    </w:p>
    <w:p w:rsidR="007C1533" w:rsidRPr="00A578D1" w:rsidRDefault="007C1533" w:rsidP="007C1533"/>
    <w:p w:rsidR="007C1533" w:rsidRPr="008517D3" w:rsidRDefault="007C1533" w:rsidP="007C1533">
      <w:pPr>
        <w:pStyle w:val="NormalWeb"/>
        <w:spacing w:before="2" w:after="2"/>
        <w:jc w:val="both"/>
        <w:rPr>
          <w:sz w:val="24"/>
          <w:szCs w:val="24"/>
        </w:rPr>
      </w:pPr>
      <w:r w:rsidRPr="008517D3">
        <w:rPr>
          <w:b/>
          <w:sz w:val="24"/>
          <w:szCs w:val="24"/>
        </w:rPr>
        <w:t>Effective Date:</w:t>
      </w:r>
      <w:r w:rsidRPr="008517D3">
        <w:rPr>
          <w:sz w:val="24"/>
          <w:szCs w:val="24"/>
        </w:rPr>
        <w:t xml:space="preserve"> </w:t>
      </w:r>
      <w:r w:rsidRPr="008517D3">
        <w:rPr>
          <w:spacing w:val="-4"/>
          <w:w w:val="105"/>
          <w:sz w:val="24"/>
          <w:szCs w:val="24"/>
        </w:rPr>
        <w:t>This local law would take effect 120 days after its enactment</w:t>
      </w:r>
      <w:r w:rsidRPr="008517D3">
        <w:rPr>
          <w:rFonts w:ascii="Times New Roman" w:hAnsi="Times New Roman"/>
          <w:sz w:val="24"/>
          <w:szCs w:val="24"/>
        </w:rPr>
        <w:t>,</w:t>
      </w:r>
      <w:r w:rsidRPr="003062DE">
        <w:rPr>
          <w:rFonts w:ascii="Times New Roman" w:hAnsi="Times New Roman"/>
          <w:sz w:val="24"/>
          <w:szCs w:val="24"/>
        </w:rPr>
        <w:t xml:space="preserve"> provided, however, that the commissioner </w:t>
      </w:r>
      <w:r w:rsidRPr="00A578D1">
        <w:rPr>
          <w:rFonts w:ascii="Times New Roman" w:hAnsi="Times New Roman"/>
          <w:sz w:val="24"/>
          <w:szCs w:val="24"/>
        </w:rPr>
        <w:t xml:space="preserve">of the Commission on Human Rights would take any actions necessary prior to such effective date for the implementation of the local law including, but not limited to, the adoption of any necessary rules. </w:t>
      </w:r>
    </w:p>
    <w:p w:rsidR="007C1533" w:rsidRPr="00AC7B0F" w:rsidRDefault="007C1533" w:rsidP="007C1533">
      <w:pPr>
        <w:pStyle w:val="FlushLeft"/>
        <w:spacing w:after="0"/>
        <w:rPr>
          <w:szCs w:val="24"/>
        </w:rPr>
      </w:pPr>
      <w:r w:rsidRPr="00AC7B0F">
        <w:rPr>
          <w:szCs w:val="24"/>
        </w:rPr>
        <w:t xml:space="preserve"> </w:t>
      </w:r>
    </w:p>
    <w:p w:rsidR="007C1533" w:rsidRDefault="007C1533" w:rsidP="007C1533">
      <w:pPr>
        <w:rPr>
          <w:smallCaps/>
        </w:rPr>
      </w:pPr>
      <w:r w:rsidRPr="00AC7B0F">
        <w:rPr>
          <w:b/>
          <w:smallCaps/>
        </w:rPr>
        <w:t>Fiscal Year In Which Full Fiscal Impact Anticipated:</w:t>
      </w:r>
      <w:r>
        <w:rPr>
          <w:b/>
          <w:smallCaps/>
        </w:rPr>
        <w:t xml:space="preserve"> </w:t>
      </w:r>
      <w:r w:rsidRPr="00973A38">
        <w:rPr>
          <w:smallCaps/>
        </w:rPr>
        <w:t>201</w:t>
      </w:r>
      <w:r>
        <w:rPr>
          <w:smallCaps/>
        </w:rPr>
        <w:t>7</w:t>
      </w:r>
    </w:p>
    <w:p w:rsidR="007C1533" w:rsidRDefault="007C1533" w:rsidP="007C1533">
      <w:pPr>
        <w:pBdr>
          <w:top w:val="single" w:sz="4" w:space="1" w:color="auto"/>
        </w:pBdr>
        <w:spacing w:before="240" w:after="240"/>
        <w:rPr>
          <w:b/>
          <w:smallCaps/>
          <w:sz w:val="22"/>
          <w:szCs w:val="22"/>
        </w:rPr>
      </w:pPr>
      <w:r>
        <w:rPr>
          <w:b/>
          <w:smallCaps/>
          <w:sz w:val="22"/>
          <w:szCs w:val="22"/>
        </w:rPr>
        <w:t>Fiscal Impact Statement:</w:t>
      </w:r>
    </w:p>
    <w:tbl>
      <w:tblPr>
        <w:tblW w:w="0" w:type="auto"/>
        <w:jc w:val="center"/>
        <w:tblInd w:w="276" w:type="dxa"/>
        <w:tblLayout w:type="fixed"/>
        <w:tblCellMar>
          <w:left w:w="101" w:type="dxa"/>
          <w:right w:w="101" w:type="dxa"/>
        </w:tblCellMar>
        <w:tblLook w:val="0000" w:firstRow="0" w:lastRow="0" w:firstColumn="0" w:lastColumn="0" w:noHBand="0" w:noVBand="0"/>
      </w:tblPr>
      <w:tblGrid>
        <w:gridCol w:w="1680"/>
        <w:gridCol w:w="1809"/>
        <w:gridCol w:w="1639"/>
        <w:gridCol w:w="1444"/>
      </w:tblGrid>
      <w:tr w:rsidR="007C1533" w:rsidRPr="003062DE" w:rsidTr="00864A43">
        <w:trPr>
          <w:trHeight w:val="20"/>
          <w:jc w:val="center"/>
        </w:trPr>
        <w:tc>
          <w:tcPr>
            <w:tcW w:w="1680" w:type="dxa"/>
            <w:tcBorders>
              <w:top w:val="double" w:sz="7" w:space="0" w:color="000000"/>
              <w:left w:val="double" w:sz="7" w:space="0" w:color="000000"/>
              <w:bottom w:val="single" w:sz="6" w:space="0" w:color="FFFFFF"/>
              <w:right w:val="single" w:sz="6" w:space="0" w:color="FFFFFF"/>
            </w:tcBorders>
            <w:vAlign w:val="center"/>
          </w:tcPr>
          <w:p w:rsidR="007C1533" w:rsidRPr="003062DE" w:rsidRDefault="007C1533" w:rsidP="00864A43">
            <w:pPr>
              <w:rPr>
                <w:b/>
                <w:bCs/>
                <w:sz w:val="20"/>
                <w:szCs w:val="20"/>
              </w:rPr>
            </w:pPr>
          </w:p>
        </w:tc>
        <w:tc>
          <w:tcPr>
            <w:tcW w:w="1809" w:type="dxa"/>
            <w:tcBorders>
              <w:top w:val="double" w:sz="7" w:space="0" w:color="000000"/>
              <w:left w:val="single" w:sz="7" w:space="0" w:color="000000"/>
              <w:bottom w:val="single" w:sz="6" w:space="0" w:color="FFFFFF"/>
              <w:right w:val="single" w:sz="6" w:space="0" w:color="FFFFFF"/>
            </w:tcBorders>
            <w:vAlign w:val="center"/>
          </w:tcPr>
          <w:p w:rsidR="007C1533" w:rsidRPr="003062DE" w:rsidRDefault="007C1533" w:rsidP="00864A43">
            <w:pPr>
              <w:rPr>
                <w:b/>
                <w:bCs/>
                <w:sz w:val="20"/>
                <w:szCs w:val="20"/>
              </w:rPr>
            </w:pPr>
            <w:r w:rsidRPr="003062DE">
              <w:rPr>
                <w:b/>
                <w:bCs/>
                <w:sz w:val="20"/>
                <w:szCs w:val="20"/>
              </w:rPr>
              <w:t>Effective FY16</w:t>
            </w:r>
          </w:p>
        </w:tc>
        <w:tc>
          <w:tcPr>
            <w:tcW w:w="1639" w:type="dxa"/>
            <w:tcBorders>
              <w:top w:val="double" w:sz="7" w:space="0" w:color="000000"/>
              <w:left w:val="single" w:sz="7" w:space="0" w:color="000000"/>
              <w:bottom w:val="single" w:sz="6" w:space="0" w:color="FFFFFF"/>
              <w:right w:val="single" w:sz="6" w:space="0" w:color="FFFFFF"/>
            </w:tcBorders>
            <w:vAlign w:val="center"/>
          </w:tcPr>
          <w:p w:rsidR="007C1533" w:rsidRPr="003062DE" w:rsidRDefault="007C1533" w:rsidP="00864A43">
            <w:pPr>
              <w:jc w:val="center"/>
              <w:rPr>
                <w:b/>
                <w:bCs/>
                <w:sz w:val="20"/>
                <w:szCs w:val="20"/>
              </w:rPr>
            </w:pPr>
            <w:r w:rsidRPr="003062DE">
              <w:rPr>
                <w:b/>
                <w:bCs/>
                <w:sz w:val="20"/>
                <w:szCs w:val="20"/>
              </w:rPr>
              <w:t>FY Succeeding</w:t>
            </w:r>
          </w:p>
          <w:p w:rsidR="007C1533" w:rsidRPr="003062DE" w:rsidRDefault="007C1533" w:rsidP="00864A43">
            <w:pPr>
              <w:jc w:val="center"/>
              <w:rPr>
                <w:b/>
                <w:bCs/>
                <w:sz w:val="20"/>
                <w:szCs w:val="20"/>
              </w:rPr>
            </w:pPr>
            <w:r w:rsidRPr="003062DE">
              <w:rPr>
                <w:b/>
                <w:bCs/>
                <w:sz w:val="20"/>
                <w:szCs w:val="20"/>
              </w:rPr>
              <w:t>Effective FY17</w:t>
            </w:r>
          </w:p>
        </w:tc>
        <w:tc>
          <w:tcPr>
            <w:tcW w:w="1444" w:type="dxa"/>
            <w:tcBorders>
              <w:top w:val="double" w:sz="7" w:space="0" w:color="000000"/>
              <w:left w:val="single" w:sz="7" w:space="0" w:color="000000"/>
              <w:bottom w:val="single" w:sz="6" w:space="0" w:color="FFFFFF"/>
              <w:right w:val="double" w:sz="7" w:space="0" w:color="000000"/>
            </w:tcBorders>
            <w:vAlign w:val="center"/>
          </w:tcPr>
          <w:p w:rsidR="007C1533" w:rsidRPr="003062DE" w:rsidRDefault="007C1533" w:rsidP="00864A43">
            <w:pPr>
              <w:jc w:val="center"/>
              <w:rPr>
                <w:b/>
                <w:bCs/>
                <w:sz w:val="20"/>
                <w:szCs w:val="20"/>
              </w:rPr>
            </w:pPr>
            <w:r w:rsidRPr="003062DE">
              <w:rPr>
                <w:b/>
                <w:bCs/>
                <w:sz w:val="20"/>
                <w:szCs w:val="20"/>
              </w:rPr>
              <w:t>Full Fiscal Impact FY17</w:t>
            </w:r>
          </w:p>
        </w:tc>
      </w:tr>
      <w:tr w:rsidR="007C1533" w:rsidRPr="003062DE" w:rsidTr="00864A43">
        <w:trPr>
          <w:trHeight w:val="20"/>
          <w:jc w:val="center"/>
        </w:trPr>
        <w:tc>
          <w:tcPr>
            <w:tcW w:w="1680" w:type="dxa"/>
            <w:tcBorders>
              <w:top w:val="single" w:sz="7" w:space="0" w:color="000000"/>
              <w:left w:val="double" w:sz="7" w:space="0" w:color="000000"/>
              <w:bottom w:val="single" w:sz="6" w:space="0" w:color="FFFFFF"/>
              <w:right w:val="single" w:sz="6" w:space="0" w:color="FFFFFF"/>
            </w:tcBorders>
            <w:vAlign w:val="center"/>
          </w:tcPr>
          <w:p w:rsidR="007C1533" w:rsidRPr="003062DE" w:rsidRDefault="007C1533" w:rsidP="00864A43">
            <w:pPr>
              <w:rPr>
                <w:b/>
                <w:bCs/>
                <w:sz w:val="20"/>
                <w:szCs w:val="20"/>
                <w:lang w:val="fr-FR"/>
              </w:rPr>
            </w:pPr>
            <w:r w:rsidRPr="003062DE">
              <w:rPr>
                <w:b/>
                <w:bCs/>
                <w:sz w:val="20"/>
                <w:szCs w:val="20"/>
                <w:lang w:val="fr-FR"/>
              </w:rPr>
              <w:t>Revenues (+)</w:t>
            </w:r>
          </w:p>
        </w:tc>
        <w:tc>
          <w:tcPr>
            <w:tcW w:w="1809" w:type="dxa"/>
            <w:tcBorders>
              <w:top w:val="single" w:sz="7" w:space="0" w:color="000000"/>
              <w:left w:val="single" w:sz="7" w:space="0" w:color="000000"/>
              <w:bottom w:val="single" w:sz="6" w:space="0" w:color="FFFFFF"/>
              <w:right w:val="single" w:sz="6" w:space="0" w:color="FFFFFF"/>
            </w:tcBorders>
            <w:vAlign w:val="center"/>
          </w:tcPr>
          <w:p w:rsidR="007C1533" w:rsidRPr="003062DE" w:rsidRDefault="007C1533" w:rsidP="00864A43">
            <w:pPr>
              <w:jc w:val="center"/>
              <w:rPr>
                <w:bCs/>
                <w:sz w:val="20"/>
                <w:szCs w:val="20"/>
                <w:lang w:val="fr-FR"/>
              </w:rPr>
            </w:pPr>
            <w:r w:rsidRPr="003062DE">
              <w:rPr>
                <w:bCs/>
                <w:sz w:val="20"/>
                <w:szCs w:val="20"/>
                <w:lang w:val="fr-FR"/>
              </w:rPr>
              <w:t>$0</w:t>
            </w:r>
          </w:p>
        </w:tc>
        <w:tc>
          <w:tcPr>
            <w:tcW w:w="1639" w:type="dxa"/>
            <w:tcBorders>
              <w:top w:val="single" w:sz="7" w:space="0" w:color="000000"/>
              <w:left w:val="single" w:sz="7" w:space="0" w:color="000000"/>
              <w:bottom w:val="single" w:sz="6" w:space="0" w:color="FFFFFF"/>
              <w:right w:val="single" w:sz="6" w:space="0" w:color="FFFFFF"/>
            </w:tcBorders>
            <w:vAlign w:val="center"/>
          </w:tcPr>
          <w:p w:rsidR="007C1533" w:rsidRPr="003062DE" w:rsidRDefault="007C1533" w:rsidP="00864A43">
            <w:pPr>
              <w:jc w:val="center"/>
              <w:rPr>
                <w:bCs/>
                <w:sz w:val="20"/>
                <w:szCs w:val="20"/>
                <w:lang w:val="fr-FR"/>
              </w:rPr>
            </w:pPr>
            <w:r w:rsidRPr="003062DE">
              <w:rPr>
                <w:bCs/>
                <w:sz w:val="20"/>
                <w:szCs w:val="20"/>
                <w:lang w:val="fr-FR"/>
              </w:rPr>
              <w:t>$0</w:t>
            </w:r>
          </w:p>
        </w:tc>
        <w:tc>
          <w:tcPr>
            <w:tcW w:w="1444" w:type="dxa"/>
            <w:tcBorders>
              <w:top w:val="single" w:sz="7" w:space="0" w:color="000000"/>
              <w:left w:val="single" w:sz="7" w:space="0" w:color="000000"/>
              <w:bottom w:val="single" w:sz="6" w:space="0" w:color="FFFFFF"/>
              <w:right w:val="double" w:sz="7" w:space="0" w:color="000000"/>
            </w:tcBorders>
            <w:vAlign w:val="center"/>
          </w:tcPr>
          <w:p w:rsidR="007C1533" w:rsidRPr="003062DE" w:rsidRDefault="007C1533" w:rsidP="00864A43">
            <w:pPr>
              <w:jc w:val="center"/>
              <w:rPr>
                <w:bCs/>
                <w:sz w:val="20"/>
                <w:szCs w:val="20"/>
              </w:rPr>
            </w:pPr>
            <w:r w:rsidRPr="003062DE">
              <w:rPr>
                <w:bCs/>
                <w:sz w:val="20"/>
                <w:szCs w:val="20"/>
              </w:rPr>
              <w:t>$0</w:t>
            </w:r>
          </w:p>
        </w:tc>
      </w:tr>
      <w:tr w:rsidR="007C1533" w:rsidRPr="003062DE" w:rsidTr="00864A43">
        <w:trPr>
          <w:trHeight w:val="20"/>
          <w:jc w:val="center"/>
        </w:trPr>
        <w:tc>
          <w:tcPr>
            <w:tcW w:w="1680" w:type="dxa"/>
            <w:tcBorders>
              <w:top w:val="single" w:sz="7" w:space="0" w:color="000000"/>
              <w:left w:val="double" w:sz="7" w:space="0" w:color="000000"/>
              <w:bottom w:val="single" w:sz="6" w:space="0" w:color="FFFFFF"/>
              <w:right w:val="single" w:sz="6" w:space="0" w:color="FFFFFF"/>
            </w:tcBorders>
            <w:vAlign w:val="center"/>
          </w:tcPr>
          <w:p w:rsidR="007C1533" w:rsidRPr="003062DE" w:rsidRDefault="007C1533" w:rsidP="00864A43">
            <w:pPr>
              <w:rPr>
                <w:b/>
                <w:bCs/>
                <w:sz w:val="20"/>
                <w:szCs w:val="20"/>
                <w:lang w:val="fr-FR"/>
              </w:rPr>
            </w:pPr>
            <w:proofErr w:type="spellStart"/>
            <w:r w:rsidRPr="003062DE">
              <w:rPr>
                <w:b/>
                <w:bCs/>
                <w:sz w:val="20"/>
                <w:szCs w:val="20"/>
                <w:lang w:val="fr-FR"/>
              </w:rPr>
              <w:t>Expenditures</w:t>
            </w:r>
            <w:proofErr w:type="spellEnd"/>
            <w:r w:rsidRPr="003062DE">
              <w:rPr>
                <w:b/>
                <w:bCs/>
                <w:sz w:val="20"/>
                <w:szCs w:val="20"/>
                <w:lang w:val="fr-FR"/>
              </w:rPr>
              <w:t xml:space="preserve"> (-)</w:t>
            </w:r>
          </w:p>
        </w:tc>
        <w:tc>
          <w:tcPr>
            <w:tcW w:w="1809" w:type="dxa"/>
            <w:tcBorders>
              <w:top w:val="single" w:sz="7" w:space="0" w:color="000000"/>
              <w:left w:val="single" w:sz="7" w:space="0" w:color="000000"/>
              <w:bottom w:val="single" w:sz="6" w:space="0" w:color="FFFFFF"/>
              <w:right w:val="single" w:sz="6" w:space="0" w:color="FFFFFF"/>
            </w:tcBorders>
            <w:vAlign w:val="center"/>
          </w:tcPr>
          <w:p w:rsidR="007C1533" w:rsidRPr="003062DE" w:rsidRDefault="007C1533" w:rsidP="00864A43">
            <w:pPr>
              <w:jc w:val="center"/>
              <w:rPr>
                <w:bCs/>
                <w:sz w:val="20"/>
                <w:szCs w:val="20"/>
                <w:lang w:val="fr-FR"/>
              </w:rPr>
            </w:pPr>
            <w:r w:rsidRPr="003062DE">
              <w:rPr>
                <w:bCs/>
                <w:sz w:val="20"/>
                <w:szCs w:val="20"/>
                <w:lang w:val="fr-FR"/>
              </w:rPr>
              <w:t>$0</w:t>
            </w:r>
          </w:p>
        </w:tc>
        <w:tc>
          <w:tcPr>
            <w:tcW w:w="1639" w:type="dxa"/>
            <w:tcBorders>
              <w:top w:val="single" w:sz="7" w:space="0" w:color="000000"/>
              <w:left w:val="single" w:sz="7" w:space="0" w:color="000000"/>
              <w:bottom w:val="single" w:sz="6" w:space="0" w:color="FFFFFF"/>
              <w:right w:val="single" w:sz="6" w:space="0" w:color="FFFFFF"/>
            </w:tcBorders>
            <w:vAlign w:val="center"/>
          </w:tcPr>
          <w:p w:rsidR="007C1533" w:rsidRPr="003062DE" w:rsidRDefault="007C1533" w:rsidP="00864A43">
            <w:pPr>
              <w:jc w:val="center"/>
              <w:rPr>
                <w:bCs/>
                <w:sz w:val="20"/>
                <w:szCs w:val="20"/>
                <w:lang w:val="fr-FR"/>
              </w:rPr>
            </w:pPr>
            <w:r w:rsidRPr="003062DE">
              <w:rPr>
                <w:bCs/>
                <w:sz w:val="20"/>
                <w:szCs w:val="20"/>
                <w:lang w:val="fr-FR"/>
              </w:rPr>
              <w:t>$0</w:t>
            </w:r>
          </w:p>
        </w:tc>
        <w:tc>
          <w:tcPr>
            <w:tcW w:w="1444" w:type="dxa"/>
            <w:tcBorders>
              <w:top w:val="single" w:sz="7" w:space="0" w:color="000000"/>
              <w:left w:val="single" w:sz="7" w:space="0" w:color="000000"/>
              <w:bottom w:val="single" w:sz="6" w:space="0" w:color="FFFFFF"/>
              <w:right w:val="double" w:sz="7" w:space="0" w:color="000000"/>
            </w:tcBorders>
            <w:vAlign w:val="center"/>
          </w:tcPr>
          <w:p w:rsidR="007C1533" w:rsidRPr="003062DE" w:rsidRDefault="007C1533" w:rsidP="00864A43">
            <w:pPr>
              <w:jc w:val="center"/>
              <w:rPr>
                <w:bCs/>
                <w:sz w:val="20"/>
                <w:szCs w:val="20"/>
              </w:rPr>
            </w:pPr>
            <w:r w:rsidRPr="003062DE">
              <w:rPr>
                <w:bCs/>
                <w:sz w:val="20"/>
                <w:szCs w:val="20"/>
              </w:rPr>
              <w:t>$0</w:t>
            </w:r>
          </w:p>
        </w:tc>
      </w:tr>
      <w:tr w:rsidR="007C1533" w:rsidRPr="003062DE" w:rsidTr="00864A43">
        <w:trPr>
          <w:trHeight w:val="262"/>
          <w:jc w:val="center"/>
        </w:trPr>
        <w:tc>
          <w:tcPr>
            <w:tcW w:w="1680" w:type="dxa"/>
            <w:tcBorders>
              <w:top w:val="single" w:sz="7" w:space="0" w:color="000000"/>
              <w:left w:val="double" w:sz="7" w:space="0" w:color="000000"/>
              <w:bottom w:val="single" w:sz="7" w:space="0" w:color="000000"/>
              <w:right w:val="single" w:sz="6" w:space="0" w:color="FFFFFF"/>
            </w:tcBorders>
            <w:vAlign w:val="center"/>
          </w:tcPr>
          <w:p w:rsidR="007C1533" w:rsidRPr="003062DE" w:rsidRDefault="007C1533" w:rsidP="00864A43">
            <w:pPr>
              <w:spacing w:after="58"/>
              <w:rPr>
                <w:b/>
                <w:bCs/>
                <w:sz w:val="20"/>
                <w:szCs w:val="20"/>
                <w:lang w:val="fr-FR"/>
              </w:rPr>
            </w:pPr>
            <w:r w:rsidRPr="003062DE">
              <w:rPr>
                <w:b/>
                <w:bCs/>
                <w:sz w:val="20"/>
                <w:szCs w:val="20"/>
                <w:lang w:val="fr-FR"/>
              </w:rPr>
              <w:t>Net</w:t>
            </w:r>
          </w:p>
        </w:tc>
        <w:tc>
          <w:tcPr>
            <w:tcW w:w="1809" w:type="dxa"/>
            <w:tcBorders>
              <w:top w:val="single" w:sz="7" w:space="0" w:color="000000"/>
              <w:left w:val="single" w:sz="7" w:space="0" w:color="000000"/>
              <w:bottom w:val="single" w:sz="7" w:space="0" w:color="000000"/>
              <w:right w:val="single" w:sz="6" w:space="0" w:color="FFFFFF"/>
            </w:tcBorders>
            <w:vAlign w:val="center"/>
          </w:tcPr>
          <w:p w:rsidR="007C1533" w:rsidRPr="003062DE" w:rsidRDefault="007C1533" w:rsidP="00864A43">
            <w:pPr>
              <w:jc w:val="center"/>
              <w:rPr>
                <w:bCs/>
                <w:sz w:val="20"/>
                <w:szCs w:val="20"/>
                <w:lang w:val="fr-FR"/>
              </w:rPr>
            </w:pPr>
            <w:r w:rsidRPr="003062DE">
              <w:rPr>
                <w:bCs/>
                <w:sz w:val="20"/>
                <w:szCs w:val="20"/>
                <w:lang w:val="fr-FR"/>
              </w:rPr>
              <w:t>$0</w:t>
            </w:r>
          </w:p>
        </w:tc>
        <w:tc>
          <w:tcPr>
            <w:tcW w:w="1639" w:type="dxa"/>
            <w:tcBorders>
              <w:top w:val="single" w:sz="7" w:space="0" w:color="000000"/>
              <w:left w:val="single" w:sz="7" w:space="0" w:color="000000"/>
              <w:bottom w:val="single" w:sz="7" w:space="0" w:color="000000"/>
              <w:right w:val="single" w:sz="6" w:space="0" w:color="FFFFFF"/>
            </w:tcBorders>
            <w:vAlign w:val="center"/>
          </w:tcPr>
          <w:p w:rsidR="007C1533" w:rsidRPr="003062DE" w:rsidRDefault="007C1533" w:rsidP="00864A43">
            <w:pPr>
              <w:jc w:val="center"/>
              <w:rPr>
                <w:bCs/>
                <w:sz w:val="20"/>
                <w:szCs w:val="20"/>
                <w:lang w:val="fr-FR"/>
              </w:rPr>
            </w:pPr>
            <w:r w:rsidRPr="003062DE">
              <w:rPr>
                <w:bCs/>
                <w:sz w:val="20"/>
                <w:szCs w:val="20"/>
                <w:lang w:val="fr-FR"/>
              </w:rPr>
              <w:t>$0</w:t>
            </w:r>
          </w:p>
        </w:tc>
        <w:tc>
          <w:tcPr>
            <w:tcW w:w="1444" w:type="dxa"/>
            <w:tcBorders>
              <w:top w:val="single" w:sz="7" w:space="0" w:color="000000"/>
              <w:left w:val="single" w:sz="7" w:space="0" w:color="000000"/>
              <w:bottom w:val="single" w:sz="7" w:space="0" w:color="000000"/>
              <w:right w:val="double" w:sz="7" w:space="0" w:color="000000"/>
            </w:tcBorders>
            <w:vAlign w:val="center"/>
          </w:tcPr>
          <w:p w:rsidR="007C1533" w:rsidRPr="003062DE" w:rsidRDefault="007C1533" w:rsidP="00864A43">
            <w:pPr>
              <w:jc w:val="center"/>
              <w:rPr>
                <w:bCs/>
                <w:sz w:val="20"/>
                <w:szCs w:val="20"/>
                <w:lang w:val="fr-FR"/>
              </w:rPr>
            </w:pPr>
            <w:r w:rsidRPr="003062DE">
              <w:rPr>
                <w:bCs/>
                <w:sz w:val="20"/>
                <w:szCs w:val="20"/>
                <w:lang w:val="fr-FR"/>
              </w:rPr>
              <w:t>$0</w:t>
            </w:r>
          </w:p>
        </w:tc>
      </w:tr>
    </w:tbl>
    <w:p w:rsidR="007C1533" w:rsidRDefault="007C1533" w:rsidP="007C1533">
      <w:pPr>
        <w:spacing w:before="120"/>
        <w:rPr>
          <w:b/>
          <w:smallCaps/>
          <w:sz w:val="22"/>
          <w:szCs w:val="22"/>
        </w:rPr>
      </w:pPr>
    </w:p>
    <w:p w:rsidR="007C1533" w:rsidRPr="00676DCF" w:rsidRDefault="007C1533" w:rsidP="007C1533">
      <w:r w:rsidRPr="00676DCF">
        <w:rPr>
          <w:b/>
          <w:smallCaps/>
        </w:rPr>
        <w:t xml:space="preserve">Impact on Revenues: </w:t>
      </w:r>
      <w:r w:rsidRPr="00676DCF">
        <w:t>There would be no impact on revenues resulting from this legislation.</w:t>
      </w:r>
    </w:p>
    <w:p w:rsidR="007C1533" w:rsidRPr="00676DCF" w:rsidRDefault="007C1533" w:rsidP="007C1533">
      <w:pPr>
        <w:rPr>
          <w:b/>
        </w:rPr>
      </w:pPr>
    </w:p>
    <w:p w:rsidR="007C1533" w:rsidRPr="00E07634" w:rsidRDefault="007C1533" w:rsidP="00612F09">
      <w:r w:rsidRPr="00676DCF">
        <w:rPr>
          <w:b/>
          <w:smallCaps/>
        </w:rPr>
        <w:t>Impact on Expenditures:</w:t>
      </w:r>
      <w:r w:rsidRPr="00676DCF">
        <w:t xml:space="preserve"> </w:t>
      </w:r>
      <w:r w:rsidR="00612F09">
        <w:t>The Administration has indicated that the C</w:t>
      </w:r>
      <w:r w:rsidR="00612F09">
        <w:t>ommission on Human Rights</w:t>
      </w:r>
      <w:r w:rsidR="00612F09">
        <w:t xml:space="preserve"> would need additional budgetary resources to implement </w:t>
      </w:r>
      <w:r w:rsidR="00612F09">
        <w:t xml:space="preserve">Proposed </w:t>
      </w:r>
      <w:r w:rsidR="00612F09">
        <w:t>Intro</w:t>
      </w:r>
      <w:r w:rsidR="00612F09">
        <w:t xml:space="preserve">. </w:t>
      </w:r>
      <w:r w:rsidR="00612F09">
        <w:t>318</w:t>
      </w:r>
      <w:r w:rsidR="00D84770">
        <w:t>, however,</w:t>
      </w:r>
      <w:r w:rsidR="00612F09">
        <w:t xml:space="preserve"> considering the</w:t>
      </w:r>
      <w:r w:rsidR="000C4473">
        <w:t xml:space="preserve"> limited information </w:t>
      </w:r>
      <w:r w:rsidR="00D84770">
        <w:t>provided by the</w:t>
      </w:r>
      <w:r w:rsidR="000C4473">
        <w:t xml:space="preserve"> A</w:t>
      </w:r>
      <w:r w:rsidR="00612F09">
        <w:t xml:space="preserve">dministration, </w:t>
      </w:r>
      <w:r w:rsidR="00E07634">
        <w:t>the Finance Division</w:t>
      </w:r>
      <w:r w:rsidR="00D84770">
        <w:t xml:space="preserve"> estimates that</w:t>
      </w:r>
      <w:r w:rsidR="00612F09">
        <w:t xml:space="preserve"> there would be no fiscal impact</w:t>
      </w:r>
      <w:r w:rsidR="00D84770">
        <w:t xml:space="preserve">, </w:t>
      </w:r>
      <w:bookmarkStart w:id="0" w:name="_GoBack"/>
      <w:bookmarkEnd w:id="0"/>
      <w:r w:rsidR="00E07634">
        <w:t xml:space="preserve">and that the </w:t>
      </w:r>
      <w:r>
        <w:t xml:space="preserve">Commission on Human Rights can use existing resources to implement the bill. </w:t>
      </w:r>
    </w:p>
    <w:p w:rsidR="007C1533" w:rsidRPr="00586F9E" w:rsidRDefault="007C1533" w:rsidP="007C1533">
      <w:pPr>
        <w:rPr>
          <w:rFonts w:eastAsia="Calibri"/>
        </w:rPr>
      </w:pPr>
    </w:p>
    <w:p w:rsidR="007C1533" w:rsidRPr="00D72576" w:rsidRDefault="007C1533" w:rsidP="007C1533">
      <w:pPr>
        <w:rPr>
          <w:b/>
          <w:smallCaps/>
        </w:rPr>
      </w:pPr>
      <w:r w:rsidRPr="00D72576">
        <w:rPr>
          <w:b/>
          <w:smallCaps/>
        </w:rPr>
        <w:t xml:space="preserve">Source of Funds to Cover Estimated Costs: </w:t>
      </w:r>
      <w:r>
        <w:t>N/A</w:t>
      </w:r>
    </w:p>
    <w:p w:rsidR="007C1533" w:rsidRDefault="007C1533" w:rsidP="007C1533">
      <w:pPr>
        <w:rPr>
          <w:b/>
          <w:smallCaps/>
        </w:rPr>
      </w:pPr>
    </w:p>
    <w:p w:rsidR="007C1533" w:rsidRDefault="007C1533" w:rsidP="007C1533">
      <w:r w:rsidRPr="00D72576">
        <w:rPr>
          <w:b/>
          <w:smallCaps/>
        </w:rPr>
        <w:t>Source</w:t>
      </w:r>
      <w:r>
        <w:rPr>
          <w:b/>
          <w:smallCaps/>
        </w:rPr>
        <w:t>s</w:t>
      </w:r>
      <w:r w:rsidRPr="00D72576">
        <w:rPr>
          <w:b/>
          <w:smallCaps/>
        </w:rPr>
        <w:t xml:space="preserve"> of Information:  </w:t>
      </w:r>
      <w:r w:rsidR="00612F09">
        <w:t xml:space="preserve">Mayor’s Office of City Legislative Affairs </w:t>
      </w:r>
      <w:r>
        <w:t xml:space="preserve"> </w:t>
      </w:r>
    </w:p>
    <w:p w:rsidR="007C1533" w:rsidRPr="00D72576" w:rsidRDefault="007C1533" w:rsidP="007C1533">
      <w:r w:rsidRPr="00D72576">
        <w:t xml:space="preserve">                                            </w:t>
      </w:r>
      <w:r w:rsidRPr="00D72576">
        <w:tab/>
      </w:r>
    </w:p>
    <w:p w:rsidR="007C1533" w:rsidRDefault="007C1533" w:rsidP="007C1533">
      <w:r>
        <w:rPr>
          <w:b/>
          <w:smallCaps/>
        </w:rPr>
        <w:t>Estimate Prepared b</w:t>
      </w:r>
      <w:r w:rsidRPr="00D72576">
        <w:rPr>
          <w:b/>
          <w:smallCaps/>
        </w:rPr>
        <w:t>y:</w:t>
      </w:r>
      <w:r w:rsidRPr="00D72576">
        <w:rPr>
          <w:b/>
          <w:smallCaps/>
        </w:rPr>
        <w:tab/>
      </w:r>
      <w:r>
        <w:t>Eisha Wright, Unit Head, Finance Division</w:t>
      </w:r>
    </w:p>
    <w:p w:rsidR="007C1533" w:rsidRPr="00D72576" w:rsidRDefault="007C1533" w:rsidP="007C1533">
      <w:pPr>
        <w:ind w:firstLine="2880"/>
      </w:pPr>
      <w:r w:rsidRPr="00D72576">
        <w:rPr>
          <w:b/>
          <w:smallCaps/>
        </w:rPr>
        <w:tab/>
      </w:r>
    </w:p>
    <w:p w:rsidR="007C1533" w:rsidRPr="00D72576" w:rsidRDefault="007C1533" w:rsidP="007C1533">
      <w:r>
        <w:rPr>
          <w:b/>
          <w:smallCaps/>
        </w:rPr>
        <w:t>Estimate Reviewed b</w:t>
      </w:r>
      <w:r w:rsidRPr="00D72576">
        <w:rPr>
          <w:b/>
          <w:smallCaps/>
        </w:rPr>
        <w:t>y:</w:t>
      </w:r>
      <w:r w:rsidRPr="00D72576">
        <w:rPr>
          <w:b/>
          <w:smallCaps/>
        </w:rPr>
        <w:tab/>
      </w:r>
      <w:r w:rsidRPr="00D72576">
        <w:t>Regina Poreda Ryan, Deputy Director, Finance Division</w:t>
      </w:r>
    </w:p>
    <w:p w:rsidR="007C1533" w:rsidRDefault="007C1533" w:rsidP="007C1533">
      <w:r w:rsidRPr="00D72576">
        <w:rPr>
          <w:b/>
          <w:smallCaps/>
        </w:rPr>
        <w:tab/>
      </w:r>
      <w:r w:rsidRPr="00D72576">
        <w:rPr>
          <w:b/>
          <w:smallCaps/>
        </w:rPr>
        <w:tab/>
      </w:r>
      <w:r w:rsidRPr="00D72576">
        <w:rPr>
          <w:b/>
          <w:smallCaps/>
        </w:rPr>
        <w:tab/>
      </w:r>
      <w:r w:rsidRPr="00D72576">
        <w:rPr>
          <w:b/>
          <w:smallCaps/>
        </w:rPr>
        <w:tab/>
      </w:r>
      <w:r w:rsidRPr="00D72576">
        <w:t>Rebecca Chasan, Assistant Counsel, Finance Division</w:t>
      </w:r>
    </w:p>
    <w:p w:rsidR="007C1533" w:rsidRDefault="007C1533" w:rsidP="007C1533">
      <w:r>
        <w:tab/>
      </w:r>
      <w:r>
        <w:tab/>
      </w:r>
      <w:r>
        <w:tab/>
      </w:r>
      <w:r>
        <w:tab/>
        <w:t>Tanisha Edwards, Chief Counsel, Finance Division</w:t>
      </w:r>
    </w:p>
    <w:p w:rsidR="007C1533" w:rsidRPr="00D72576" w:rsidRDefault="007C1533" w:rsidP="007C1533">
      <w:r>
        <w:tab/>
      </w:r>
      <w:r>
        <w:tab/>
      </w:r>
      <w:r>
        <w:tab/>
      </w:r>
      <w:r>
        <w:tab/>
      </w:r>
    </w:p>
    <w:p w:rsidR="007C1533" w:rsidRDefault="007C1533" w:rsidP="007C1533">
      <w:r w:rsidRPr="00D72576">
        <w:rPr>
          <w:b/>
          <w:smallCaps/>
        </w:rPr>
        <w:t xml:space="preserve">Legislative </w:t>
      </w:r>
      <w:r w:rsidRPr="003A3F12">
        <w:rPr>
          <w:b/>
          <w:smallCaps/>
        </w:rPr>
        <w:t xml:space="preserve">History: </w:t>
      </w:r>
      <w:r w:rsidRPr="003A3F12">
        <w:rPr>
          <w:smallCaps/>
        </w:rPr>
        <w:t xml:space="preserve"> </w:t>
      </w:r>
      <w:r w:rsidRPr="003A3F12">
        <w:t xml:space="preserve">Intro. </w:t>
      </w:r>
      <w:r>
        <w:t xml:space="preserve">No. 318 </w:t>
      </w:r>
      <w:r w:rsidRPr="003A3F12">
        <w:t xml:space="preserve">was introduced by the Council on </w:t>
      </w:r>
      <w:r>
        <w:t>April 29</w:t>
      </w:r>
      <w:r w:rsidRPr="003A3F12">
        <w:t>, 201</w:t>
      </w:r>
      <w:r>
        <w:t>4</w:t>
      </w:r>
      <w:r w:rsidRPr="003A3F12">
        <w:t xml:space="preserve"> and referred to the Committee on</w:t>
      </w:r>
      <w:r>
        <w:t xml:space="preserve"> Civil Rights</w:t>
      </w:r>
      <w:r w:rsidRPr="003A3F12">
        <w:t xml:space="preserve">. The Committee considered the legislation at a hearing on </w:t>
      </w:r>
      <w:r>
        <w:t>December 3, 2014</w:t>
      </w:r>
      <w:r w:rsidRPr="003A3F12">
        <w:t xml:space="preserve"> and the legislation was laid over. The legislation was subsequently amended and the amended version, Proposed Intro. No. </w:t>
      </w:r>
      <w:r>
        <w:t>318</w:t>
      </w:r>
      <w:r w:rsidRPr="003A3F12">
        <w:t>-</w:t>
      </w:r>
      <w:proofErr w:type="gramStart"/>
      <w:r w:rsidRPr="003A3F12">
        <w:t>A,</w:t>
      </w:r>
      <w:proofErr w:type="gramEnd"/>
      <w:r w:rsidRPr="003A3F12">
        <w:t xml:space="preserve"> will be voted on by the Committee at a hearing on </w:t>
      </w:r>
      <w:r>
        <w:t>June 9</w:t>
      </w:r>
      <w:r w:rsidRPr="003A3F12">
        <w:t xml:space="preserve">, 2015. </w:t>
      </w:r>
      <w:proofErr w:type="gramStart"/>
      <w:r w:rsidRPr="003A3F12">
        <w:t>Upon successful vote of the Committee, Proposed Intro.</w:t>
      </w:r>
      <w:proofErr w:type="gramEnd"/>
      <w:r>
        <w:t xml:space="preserve"> No. 318</w:t>
      </w:r>
      <w:r w:rsidRPr="003A3F12">
        <w:t>-A will be submitted to the full Council for a vote on</w:t>
      </w:r>
      <w:r>
        <w:t xml:space="preserve"> June 10, 2015</w:t>
      </w:r>
      <w:r w:rsidRPr="00D72576">
        <w:t>.</w:t>
      </w:r>
    </w:p>
    <w:p w:rsidR="007C1533" w:rsidRDefault="007C1533" w:rsidP="007C1533"/>
    <w:p w:rsidR="007C1533" w:rsidRPr="00D72576" w:rsidRDefault="007C1533" w:rsidP="007C1533">
      <w:pPr>
        <w:rPr>
          <w:b/>
          <w:smallCaps/>
        </w:rPr>
      </w:pPr>
      <w:r>
        <w:rPr>
          <w:b/>
          <w:smallCaps/>
        </w:rPr>
        <w:t xml:space="preserve">Date Prepared: </w:t>
      </w:r>
      <w:r w:rsidR="00E07634">
        <w:t>June 9</w:t>
      </w:r>
      <w:r>
        <w:t>, 2015</w:t>
      </w:r>
    </w:p>
    <w:p w:rsidR="009936A2" w:rsidRPr="007C1533" w:rsidRDefault="009936A2" w:rsidP="007C1533"/>
    <w:sectPr w:rsidR="009936A2" w:rsidRPr="007C1533" w:rsidSect="00AA4E09">
      <w:footerReference w:type="default" r:id="rId10"/>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48" w:rsidRDefault="004D0148" w:rsidP="000B7EB0">
      <w:r>
        <w:separator/>
      </w:r>
    </w:p>
  </w:endnote>
  <w:endnote w:type="continuationSeparator" w:id="0">
    <w:p w:rsidR="004D0148" w:rsidRDefault="004D0148"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53" w:rsidRDefault="00146D3C" w:rsidP="002725B7">
    <w:pPr>
      <w:pStyle w:val="Footer"/>
      <w:pBdr>
        <w:top w:val="thinThickSmallGap" w:sz="24" w:space="1" w:color="622423"/>
      </w:pBdr>
      <w:tabs>
        <w:tab w:val="clear" w:pos="4680"/>
        <w:tab w:val="clear" w:pos="9360"/>
        <w:tab w:val="right" w:pos="10800"/>
      </w:tabs>
    </w:pPr>
    <w:r w:rsidRPr="00D72576">
      <w:t>Pr</w:t>
    </w:r>
    <w:r>
      <w:t>opos</w:t>
    </w:r>
    <w:r w:rsidRPr="00D72576">
      <w:t xml:space="preserve">ed </w:t>
    </w:r>
    <w:r w:rsidR="0053707B" w:rsidRPr="00D72576">
      <w:t>Intro</w:t>
    </w:r>
    <w:r w:rsidR="00400BCE">
      <w:t>.</w:t>
    </w:r>
    <w:r w:rsidR="00BB4E6A">
      <w:t xml:space="preserve"> </w:t>
    </w:r>
    <w:r w:rsidR="008E1916">
      <w:t xml:space="preserve">No. </w:t>
    </w:r>
    <w:r w:rsidR="00073600">
      <w:t>318</w:t>
    </w:r>
    <w:r w:rsidR="007E7653">
      <w:t>-A</w:t>
    </w:r>
  </w:p>
  <w:p w:rsidR="005A6D71" w:rsidRPr="002725B7" w:rsidRDefault="002725B7" w:rsidP="002725B7">
    <w:pPr>
      <w:pStyle w:val="Footer"/>
      <w:pBdr>
        <w:top w:val="thinThickSmallGap" w:sz="24" w:space="1" w:color="622423"/>
      </w:pBdr>
      <w:tabs>
        <w:tab w:val="clear" w:pos="4680"/>
        <w:tab w:val="clear" w:pos="9360"/>
        <w:tab w:val="right" w:pos="10800"/>
      </w:tabs>
    </w:pPr>
    <w:r w:rsidRPr="00E67655">
      <w:tab/>
    </w:r>
    <w:r w:rsidR="005A6D71" w:rsidRPr="002725B7">
      <w:t xml:space="preserve">Page </w:t>
    </w:r>
    <w:r w:rsidR="00D228E6">
      <w:fldChar w:fldCharType="begin"/>
    </w:r>
    <w:r w:rsidR="00D228E6">
      <w:instrText xml:space="preserve"> PAGE   \* MERGEFORMAT </w:instrText>
    </w:r>
    <w:r w:rsidR="00D228E6">
      <w:fldChar w:fldCharType="separate"/>
    </w:r>
    <w:r w:rsidR="00D84770">
      <w:rPr>
        <w:noProof/>
      </w:rPr>
      <w:t>2</w:t>
    </w:r>
    <w:r w:rsidR="00D228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48" w:rsidRDefault="004D0148" w:rsidP="000B7EB0">
      <w:r>
        <w:separator/>
      </w:r>
    </w:p>
  </w:footnote>
  <w:footnote w:type="continuationSeparator" w:id="0">
    <w:p w:rsidR="004D0148" w:rsidRDefault="004D0148"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763"/>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58F"/>
    <w:rsid w:val="0003567C"/>
    <w:rsid w:val="00036378"/>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4FC6"/>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600"/>
    <w:rsid w:val="00073726"/>
    <w:rsid w:val="00073D2A"/>
    <w:rsid w:val="00073F85"/>
    <w:rsid w:val="00074A33"/>
    <w:rsid w:val="00074FF1"/>
    <w:rsid w:val="000752E4"/>
    <w:rsid w:val="000757E9"/>
    <w:rsid w:val="00075BAA"/>
    <w:rsid w:val="0007612C"/>
    <w:rsid w:val="000763CF"/>
    <w:rsid w:val="00076B2E"/>
    <w:rsid w:val="00076F00"/>
    <w:rsid w:val="00077D5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2EA6"/>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E2A"/>
    <w:rsid w:val="000B4147"/>
    <w:rsid w:val="000B42AB"/>
    <w:rsid w:val="000B54AE"/>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85A"/>
    <w:rsid w:val="000C09D5"/>
    <w:rsid w:val="000C117C"/>
    <w:rsid w:val="000C12F9"/>
    <w:rsid w:val="000C15B2"/>
    <w:rsid w:val="000C163D"/>
    <w:rsid w:val="000C18DD"/>
    <w:rsid w:val="000C1BE5"/>
    <w:rsid w:val="000C2D9F"/>
    <w:rsid w:val="000C3430"/>
    <w:rsid w:val="000C3B8E"/>
    <w:rsid w:val="000C4473"/>
    <w:rsid w:val="000C4E69"/>
    <w:rsid w:val="000C5023"/>
    <w:rsid w:val="000C59E0"/>
    <w:rsid w:val="000C5FE0"/>
    <w:rsid w:val="000C61BA"/>
    <w:rsid w:val="000C68B2"/>
    <w:rsid w:val="000C6C6E"/>
    <w:rsid w:val="000C6FE5"/>
    <w:rsid w:val="000C71D7"/>
    <w:rsid w:val="000C72CE"/>
    <w:rsid w:val="000C74FF"/>
    <w:rsid w:val="000C7BA0"/>
    <w:rsid w:val="000C7C84"/>
    <w:rsid w:val="000D07DF"/>
    <w:rsid w:val="000D0BAF"/>
    <w:rsid w:val="000D0E20"/>
    <w:rsid w:val="000D1FCB"/>
    <w:rsid w:val="000D21F4"/>
    <w:rsid w:val="000D2665"/>
    <w:rsid w:val="000D2B52"/>
    <w:rsid w:val="000D2C2B"/>
    <w:rsid w:val="000D2FAC"/>
    <w:rsid w:val="000D3B02"/>
    <w:rsid w:val="000D3CFF"/>
    <w:rsid w:val="000D3D8E"/>
    <w:rsid w:val="000D3E71"/>
    <w:rsid w:val="000D4217"/>
    <w:rsid w:val="000D4905"/>
    <w:rsid w:val="000D4AB3"/>
    <w:rsid w:val="000D534F"/>
    <w:rsid w:val="000D5D1A"/>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629"/>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47A"/>
    <w:rsid w:val="000F07D9"/>
    <w:rsid w:val="000F0F1F"/>
    <w:rsid w:val="000F12B6"/>
    <w:rsid w:val="000F136A"/>
    <w:rsid w:val="000F1582"/>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0EBA"/>
    <w:rsid w:val="001318E3"/>
    <w:rsid w:val="001323D7"/>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6D3C"/>
    <w:rsid w:val="0014714A"/>
    <w:rsid w:val="0014767D"/>
    <w:rsid w:val="001476EA"/>
    <w:rsid w:val="00147747"/>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A36"/>
    <w:rsid w:val="00192EA8"/>
    <w:rsid w:val="001936D7"/>
    <w:rsid w:val="001937E6"/>
    <w:rsid w:val="001937F5"/>
    <w:rsid w:val="0019381D"/>
    <w:rsid w:val="0019386D"/>
    <w:rsid w:val="00193CCA"/>
    <w:rsid w:val="00193CE0"/>
    <w:rsid w:val="00193DD7"/>
    <w:rsid w:val="0019406D"/>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2EDB"/>
    <w:rsid w:val="001C3477"/>
    <w:rsid w:val="001C45BA"/>
    <w:rsid w:val="001C5084"/>
    <w:rsid w:val="001C56F7"/>
    <w:rsid w:val="001C5776"/>
    <w:rsid w:val="001C5B7F"/>
    <w:rsid w:val="001C5E92"/>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A4"/>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4F2A"/>
    <w:rsid w:val="001F5049"/>
    <w:rsid w:val="001F5450"/>
    <w:rsid w:val="001F54DD"/>
    <w:rsid w:val="001F5847"/>
    <w:rsid w:val="001F6399"/>
    <w:rsid w:val="001F6820"/>
    <w:rsid w:val="001F6857"/>
    <w:rsid w:val="001F6B48"/>
    <w:rsid w:val="001F6BB2"/>
    <w:rsid w:val="001F701F"/>
    <w:rsid w:val="001F7A42"/>
    <w:rsid w:val="00200AB8"/>
    <w:rsid w:val="00200F97"/>
    <w:rsid w:val="00201B89"/>
    <w:rsid w:val="00201F4E"/>
    <w:rsid w:val="00202D35"/>
    <w:rsid w:val="00202DDD"/>
    <w:rsid w:val="00203123"/>
    <w:rsid w:val="002044A6"/>
    <w:rsid w:val="00204A71"/>
    <w:rsid w:val="00205F74"/>
    <w:rsid w:val="0020649F"/>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1FC9"/>
    <w:rsid w:val="0025252D"/>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57F3C"/>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BB1"/>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2EC"/>
    <w:rsid w:val="00294D2B"/>
    <w:rsid w:val="00294D9A"/>
    <w:rsid w:val="0029552B"/>
    <w:rsid w:val="00295A60"/>
    <w:rsid w:val="00295D8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1F9E"/>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A7A3A"/>
    <w:rsid w:val="002B0DD7"/>
    <w:rsid w:val="002B176B"/>
    <w:rsid w:val="002B2C59"/>
    <w:rsid w:val="002B2C79"/>
    <w:rsid w:val="002B2F68"/>
    <w:rsid w:val="002B4368"/>
    <w:rsid w:val="002B44A7"/>
    <w:rsid w:val="002B4D6A"/>
    <w:rsid w:val="002B56A2"/>
    <w:rsid w:val="002B67FA"/>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697"/>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2DE"/>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6047"/>
    <w:rsid w:val="003165F6"/>
    <w:rsid w:val="00316807"/>
    <w:rsid w:val="00316908"/>
    <w:rsid w:val="00316B24"/>
    <w:rsid w:val="00316F55"/>
    <w:rsid w:val="00317318"/>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CA"/>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28F8"/>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075"/>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422"/>
    <w:rsid w:val="0038362C"/>
    <w:rsid w:val="00383E0A"/>
    <w:rsid w:val="0038406F"/>
    <w:rsid w:val="003843BF"/>
    <w:rsid w:val="003843E1"/>
    <w:rsid w:val="003845BB"/>
    <w:rsid w:val="003857DA"/>
    <w:rsid w:val="00385A03"/>
    <w:rsid w:val="00385C98"/>
    <w:rsid w:val="00385FC6"/>
    <w:rsid w:val="0038661D"/>
    <w:rsid w:val="003869B7"/>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12"/>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5F8"/>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748"/>
    <w:rsid w:val="00400876"/>
    <w:rsid w:val="00400BCE"/>
    <w:rsid w:val="00401696"/>
    <w:rsid w:val="00401B31"/>
    <w:rsid w:val="004022CC"/>
    <w:rsid w:val="0040236A"/>
    <w:rsid w:val="00402513"/>
    <w:rsid w:val="00402C37"/>
    <w:rsid w:val="00402D98"/>
    <w:rsid w:val="00402E2B"/>
    <w:rsid w:val="004032C3"/>
    <w:rsid w:val="004033AF"/>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0C9C"/>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A91"/>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6049"/>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148"/>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17A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59BF"/>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944"/>
    <w:rsid w:val="00551B1F"/>
    <w:rsid w:val="0055272B"/>
    <w:rsid w:val="005529E8"/>
    <w:rsid w:val="00552A9C"/>
    <w:rsid w:val="00552B26"/>
    <w:rsid w:val="00553342"/>
    <w:rsid w:val="00554225"/>
    <w:rsid w:val="00554241"/>
    <w:rsid w:val="005552CD"/>
    <w:rsid w:val="00555401"/>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0BD7"/>
    <w:rsid w:val="005820F6"/>
    <w:rsid w:val="005824F8"/>
    <w:rsid w:val="00582E09"/>
    <w:rsid w:val="00582E74"/>
    <w:rsid w:val="005830F3"/>
    <w:rsid w:val="005840B1"/>
    <w:rsid w:val="005841F9"/>
    <w:rsid w:val="00584276"/>
    <w:rsid w:val="0058455B"/>
    <w:rsid w:val="00584AD6"/>
    <w:rsid w:val="00585A08"/>
    <w:rsid w:val="005864D2"/>
    <w:rsid w:val="00586F9E"/>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61"/>
    <w:rsid w:val="005A7A8A"/>
    <w:rsid w:val="005B00DF"/>
    <w:rsid w:val="005B014B"/>
    <w:rsid w:val="005B0344"/>
    <w:rsid w:val="005B0DFC"/>
    <w:rsid w:val="005B186A"/>
    <w:rsid w:val="005B1A29"/>
    <w:rsid w:val="005B1F9A"/>
    <w:rsid w:val="005B216F"/>
    <w:rsid w:val="005B2437"/>
    <w:rsid w:val="005B24CC"/>
    <w:rsid w:val="005B2AAF"/>
    <w:rsid w:val="005B343B"/>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3E2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3BA"/>
    <w:rsid w:val="005D47CA"/>
    <w:rsid w:val="005D51D7"/>
    <w:rsid w:val="005D5B84"/>
    <w:rsid w:val="005D5C2A"/>
    <w:rsid w:val="005D5F95"/>
    <w:rsid w:val="005D6B30"/>
    <w:rsid w:val="005D7172"/>
    <w:rsid w:val="005D7560"/>
    <w:rsid w:val="005D76C0"/>
    <w:rsid w:val="005D76FA"/>
    <w:rsid w:val="005E055A"/>
    <w:rsid w:val="005E0828"/>
    <w:rsid w:val="005E0F4B"/>
    <w:rsid w:val="005E0F69"/>
    <w:rsid w:val="005E15F6"/>
    <w:rsid w:val="005E169B"/>
    <w:rsid w:val="005E1FC7"/>
    <w:rsid w:val="005E2BF9"/>
    <w:rsid w:val="005E2EF5"/>
    <w:rsid w:val="005E346A"/>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BC8"/>
    <w:rsid w:val="00612F09"/>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428"/>
    <w:rsid w:val="00637E59"/>
    <w:rsid w:val="00640505"/>
    <w:rsid w:val="006405AF"/>
    <w:rsid w:val="006406E4"/>
    <w:rsid w:val="00640963"/>
    <w:rsid w:val="00640DB0"/>
    <w:rsid w:val="00641705"/>
    <w:rsid w:val="00641741"/>
    <w:rsid w:val="00641AF0"/>
    <w:rsid w:val="00641C0B"/>
    <w:rsid w:val="00641CB9"/>
    <w:rsid w:val="00642567"/>
    <w:rsid w:val="00642B1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6F2E"/>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3EE"/>
    <w:rsid w:val="006707FB"/>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5A6C"/>
    <w:rsid w:val="00676DBE"/>
    <w:rsid w:val="00676DCF"/>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46"/>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102"/>
    <w:rsid w:val="006B6E82"/>
    <w:rsid w:val="006B72BD"/>
    <w:rsid w:val="006B7DDE"/>
    <w:rsid w:val="006B7E74"/>
    <w:rsid w:val="006C0659"/>
    <w:rsid w:val="006C2233"/>
    <w:rsid w:val="006C393A"/>
    <w:rsid w:val="006C4539"/>
    <w:rsid w:val="006C525D"/>
    <w:rsid w:val="006C543B"/>
    <w:rsid w:val="006C5928"/>
    <w:rsid w:val="006C5C7D"/>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83E"/>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0B7"/>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2CE"/>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78"/>
    <w:rsid w:val="00725265"/>
    <w:rsid w:val="00725401"/>
    <w:rsid w:val="00725801"/>
    <w:rsid w:val="00725949"/>
    <w:rsid w:val="00725AA2"/>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4FFC"/>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1E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5C81"/>
    <w:rsid w:val="0075634D"/>
    <w:rsid w:val="007568CD"/>
    <w:rsid w:val="00757074"/>
    <w:rsid w:val="007570F9"/>
    <w:rsid w:val="00757268"/>
    <w:rsid w:val="00757701"/>
    <w:rsid w:val="00757883"/>
    <w:rsid w:val="007608F1"/>
    <w:rsid w:val="00760A17"/>
    <w:rsid w:val="00760AA6"/>
    <w:rsid w:val="00760D48"/>
    <w:rsid w:val="00761821"/>
    <w:rsid w:val="00761E3A"/>
    <w:rsid w:val="0076209B"/>
    <w:rsid w:val="0076304C"/>
    <w:rsid w:val="0076331F"/>
    <w:rsid w:val="00763559"/>
    <w:rsid w:val="007652A6"/>
    <w:rsid w:val="00765338"/>
    <w:rsid w:val="00765B61"/>
    <w:rsid w:val="00765EC8"/>
    <w:rsid w:val="00766088"/>
    <w:rsid w:val="00766194"/>
    <w:rsid w:val="0076729B"/>
    <w:rsid w:val="00767E50"/>
    <w:rsid w:val="007701C5"/>
    <w:rsid w:val="007701DD"/>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0DF"/>
    <w:rsid w:val="0078253E"/>
    <w:rsid w:val="007825F9"/>
    <w:rsid w:val="00783610"/>
    <w:rsid w:val="00783B20"/>
    <w:rsid w:val="00783C18"/>
    <w:rsid w:val="00783D10"/>
    <w:rsid w:val="007848BE"/>
    <w:rsid w:val="00784F6E"/>
    <w:rsid w:val="00786AF0"/>
    <w:rsid w:val="00786DEA"/>
    <w:rsid w:val="00787C42"/>
    <w:rsid w:val="00787CA6"/>
    <w:rsid w:val="00787D20"/>
    <w:rsid w:val="00787D38"/>
    <w:rsid w:val="00790D3D"/>
    <w:rsid w:val="007915CA"/>
    <w:rsid w:val="00791792"/>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1B35"/>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533"/>
    <w:rsid w:val="007C1864"/>
    <w:rsid w:val="007C1E4E"/>
    <w:rsid w:val="007C2E0D"/>
    <w:rsid w:val="007C364F"/>
    <w:rsid w:val="007C384E"/>
    <w:rsid w:val="007C4A14"/>
    <w:rsid w:val="007C4D40"/>
    <w:rsid w:val="007C55E7"/>
    <w:rsid w:val="007C633E"/>
    <w:rsid w:val="007C6512"/>
    <w:rsid w:val="007C721B"/>
    <w:rsid w:val="007C76F0"/>
    <w:rsid w:val="007C7FD1"/>
    <w:rsid w:val="007D0151"/>
    <w:rsid w:val="007D0272"/>
    <w:rsid w:val="007D06D9"/>
    <w:rsid w:val="007D0A4F"/>
    <w:rsid w:val="007D14D3"/>
    <w:rsid w:val="007D190E"/>
    <w:rsid w:val="007D1B3E"/>
    <w:rsid w:val="007D1C63"/>
    <w:rsid w:val="007D1CA5"/>
    <w:rsid w:val="007D1E9A"/>
    <w:rsid w:val="007D2118"/>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466"/>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653"/>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F3C"/>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1FE"/>
    <w:rsid w:val="00832E44"/>
    <w:rsid w:val="00833174"/>
    <w:rsid w:val="008331A3"/>
    <w:rsid w:val="008332CE"/>
    <w:rsid w:val="008336EF"/>
    <w:rsid w:val="0083375B"/>
    <w:rsid w:val="00833F4B"/>
    <w:rsid w:val="0083411C"/>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C8B"/>
    <w:rsid w:val="00850FCA"/>
    <w:rsid w:val="008513B7"/>
    <w:rsid w:val="0085176E"/>
    <w:rsid w:val="008517D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6E"/>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BC0"/>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8B5"/>
    <w:rsid w:val="008C1DAA"/>
    <w:rsid w:val="008C23ED"/>
    <w:rsid w:val="008C2C43"/>
    <w:rsid w:val="008C2F7C"/>
    <w:rsid w:val="008C30AD"/>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1916"/>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11"/>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7AD"/>
    <w:rsid w:val="009327DD"/>
    <w:rsid w:val="00932BA1"/>
    <w:rsid w:val="00932EE9"/>
    <w:rsid w:val="00933EC7"/>
    <w:rsid w:val="009341B9"/>
    <w:rsid w:val="00934414"/>
    <w:rsid w:val="00934756"/>
    <w:rsid w:val="00934D96"/>
    <w:rsid w:val="00935945"/>
    <w:rsid w:val="00936054"/>
    <w:rsid w:val="00937D2C"/>
    <w:rsid w:val="009402CC"/>
    <w:rsid w:val="009406A9"/>
    <w:rsid w:val="009408A9"/>
    <w:rsid w:val="0094093E"/>
    <w:rsid w:val="009409A2"/>
    <w:rsid w:val="00940DFD"/>
    <w:rsid w:val="00940E31"/>
    <w:rsid w:val="00940EBA"/>
    <w:rsid w:val="00941113"/>
    <w:rsid w:val="00941FA6"/>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3F5"/>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A38"/>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6A2"/>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A5B"/>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D8E"/>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94B"/>
    <w:rsid w:val="009E1307"/>
    <w:rsid w:val="009E186B"/>
    <w:rsid w:val="009E2C6C"/>
    <w:rsid w:val="009E33BE"/>
    <w:rsid w:val="009E4AF7"/>
    <w:rsid w:val="009E4FB2"/>
    <w:rsid w:val="009E5661"/>
    <w:rsid w:val="009E58E0"/>
    <w:rsid w:val="009E608F"/>
    <w:rsid w:val="009E6524"/>
    <w:rsid w:val="009E65F4"/>
    <w:rsid w:val="009E688F"/>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1AD"/>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776"/>
    <w:rsid w:val="00A32832"/>
    <w:rsid w:val="00A32FB7"/>
    <w:rsid w:val="00A3331B"/>
    <w:rsid w:val="00A337AF"/>
    <w:rsid w:val="00A33CD3"/>
    <w:rsid w:val="00A343E7"/>
    <w:rsid w:val="00A34ED7"/>
    <w:rsid w:val="00A35451"/>
    <w:rsid w:val="00A35525"/>
    <w:rsid w:val="00A358E2"/>
    <w:rsid w:val="00A36B39"/>
    <w:rsid w:val="00A36B5D"/>
    <w:rsid w:val="00A36BE4"/>
    <w:rsid w:val="00A37062"/>
    <w:rsid w:val="00A37913"/>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8D1"/>
    <w:rsid w:val="00A57E1B"/>
    <w:rsid w:val="00A57E64"/>
    <w:rsid w:val="00A6090E"/>
    <w:rsid w:val="00A618B1"/>
    <w:rsid w:val="00A61957"/>
    <w:rsid w:val="00A61A4F"/>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9C2"/>
    <w:rsid w:val="00A94C4E"/>
    <w:rsid w:val="00A94E1A"/>
    <w:rsid w:val="00A96124"/>
    <w:rsid w:val="00A96BB8"/>
    <w:rsid w:val="00A97B8A"/>
    <w:rsid w:val="00A97E2C"/>
    <w:rsid w:val="00A97EDC"/>
    <w:rsid w:val="00AA0B84"/>
    <w:rsid w:val="00AA0D7C"/>
    <w:rsid w:val="00AA1361"/>
    <w:rsid w:val="00AA1537"/>
    <w:rsid w:val="00AA1A72"/>
    <w:rsid w:val="00AA1C9D"/>
    <w:rsid w:val="00AA1FD5"/>
    <w:rsid w:val="00AA29C8"/>
    <w:rsid w:val="00AA2FA3"/>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3A8C"/>
    <w:rsid w:val="00AC476F"/>
    <w:rsid w:val="00AC4823"/>
    <w:rsid w:val="00AC4AB2"/>
    <w:rsid w:val="00AC4CBA"/>
    <w:rsid w:val="00AC4CEE"/>
    <w:rsid w:val="00AC4E74"/>
    <w:rsid w:val="00AC57AC"/>
    <w:rsid w:val="00AC5836"/>
    <w:rsid w:val="00AC5B28"/>
    <w:rsid w:val="00AC5BFF"/>
    <w:rsid w:val="00AC6461"/>
    <w:rsid w:val="00AC79C9"/>
    <w:rsid w:val="00AC7B0F"/>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6E2D"/>
    <w:rsid w:val="00AF715C"/>
    <w:rsid w:val="00AF7721"/>
    <w:rsid w:val="00B000CD"/>
    <w:rsid w:val="00B00290"/>
    <w:rsid w:val="00B00458"/>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19A"/>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EE6"/>
    <w:rsid w:val="00B1750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7D4"/>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00F"/>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BA5"/>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4E6A"/>
    <w:rsid w:val="00BB5D6D"/>
    <w:rsid w:val="00BB643E"/>
    <w:rsid w:val="00BB68C2"/>
    <w:rsid w:val="00BB6FDA"/>
    <w:rsid w:val="00BB73B5"/>
    <w:rsid w:val="00BB7605"/>
    <w:rsid w:val="00BB7798"/>
    <w:rsid w:val="00BB7866"/>
    <w:rsid w:val="00BC0274"/>
    <w:rsid w:val="00BC0584"/>
    <w:rsid w:val="00BC10D1"/>
    <w:rsid w:val="00BC14CF"/>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3BD1"/>
    <w:rsid w:val="00BF4312"/>
    <w:rsid w:val="00BF44BA"/>
    <w:rsid w:val="00BF4A85"/>
    <w:rsid w:val="00BF5AB3"/>
    <w:rsid w:val="00BF61C1"/>
    <w:rsid w:val="00BF63A0"/>
    <w:rsid w:val="00BF6CAA"/>
    <w:rsid w:val="00BF7EA8"/>
    <w:rsid w:val="00C0032E"/>
    <w:rsid w:val="00C00D42"/>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8BD"/>
    <w:rsid w:val="00C05933"/>
    <w:rsid w:val="00C063DA"/>
    <w:rsid w:val="00C06B81"/>
    <w:rsid w:val="00C06CA0"/>
    <w:rsid w:val="00C076B3"/>
    <w:rsid w:val="00C0788C"/>
    <w:rsid w:val="00C07897"/>
    <w:rsid w:val="00C103CE"/>
    <w:rsid w:val="00C10E51"/>
    <w:rsid w:val="00C110B6"/>
    <w:rsid w:val="00C11437"/>
    <w:rsid w:val="00C115DE"/>
    <w:rsid w:val="00C116EC"/>
    <w:rsid w:val="00C1174B"/>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6"/>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6FE9"/>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4475"/>
    <w:rsid w:val="00C5508B"/>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56F7"/>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CA0"/>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28E6"/>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C3A"/>
    <w:rsid w:val="00D37D3A"/>
    <w:rsid w:val="00D37D79"/>
    <w:rsid w:val="00D400CF"/>
    <w:rsid w:val="00D40BE3"/>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7DB"/>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4770"/>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1B6"/>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B83"/>
    <w:rsid w:val="00DB3C34"/>
    <w:rsid w:val="00DB3C61"/>
    <w:rsid w:val="00DB3FB8"/>
    <w:rsid w:val="00DB511C"/>
    <w:rsid w:val="00DB55DA"/>
    <w:rsid w:val="00DB5732"/>
    <w:rsid w:val="00DB5CFF"/>
    <w:rsid w:val="00DB5ED7"/>
    <w:rsid w:val="00DB61DB"/>
    <w:rsid w:val="00DB7265"/>
    <w:rsid w:val="00DB742E"/>
    <w:rsid w:val="00DB75E1"/>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EDD"/>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191"/>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954"/>
    <w:rsid w:val="00E05E43"/>
    <w:rsid w:val="00E067A2"/>
    <w:rsid w:val="00E06BA9"/>
    <w:rsid w:val="00E07634"/>
    <w:rsid w:val="00E078A0"/>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ECB"/>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9A"/>
    <w:rsid w:val="00E25EC3"/>
    <w:rsid w:val="00E26938"/>
    <w:rsid w:val="00E27B8C"/>
    <w:rsid w:val="00E27ED2"/>
    <w:rsid w:val="00E303A6"/>
    <w:rsid w:val="00E304D8"/>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47551"/>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56D1"/>
    <w:rsid w:val="00E66338"/>
    <w:rsid w:val="00E66448"/>
    <w:rsid w:val="00E669F4"/>
    <w:rsid w:val="00E672C4"/>
    <w:rsid w:val="00E67655"/>
    <w:rsid w:val="00E67D91"/>
    <w:rsid w:val="00E67FE4"/>
    <w:rsid w:val="00E70840"/>
    <w:rsid w:val="00E70C68"/>
    <w:rsid w:val="00E70FC4"/>
    <w:rsid w:val="00E70FF5"/>
    <w:rsid w:val="00E71391"/>
    <w:rsid w:val="00E717CB"/>
    <w:rsid w:val="00E71854"/>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90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9E"/>
    <w:rsid w:val="00E914CE"/>
    <w:rsid w:val="00E91B46"/>
    <w:rsid w:val="00E91CAC"/>
    <w:rsid w:val="00E92309"/>
    <w:rsid w:val="00E9268E"/>
    <w:rsid w:val="00E92F83"/>
    <w:rsid w:val="00E93200"/>
    <w:rsid w:val="00E9331C"/>
    <w:rsid w:val="00E93979"/>
    <w:rsid w:val="00E93C30"/>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756"/>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5F14"/>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D5D"/>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339"/>
    <w:rsid w:val="00F1241E"/>
    <w:rsid w:val="00F12AE6"/>
    <w:rsid w:val="00F13533"/>
    <w:rsid w:val="00F13D02"/>
    <w:rsid w:val="00F140A5"/>
    <w:rsid w:val="00F1434E"/>
    <w:rsid w:val="00F1453C"/>
    <w:rsid w:val="00F15201"/>
    <w:rsid w:val="00F15384"/>
    <w:rsid w:val="00F15C55"/>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403"/>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686"/>
    <w:rsid w:val="00F749E1"/>
    <w:rsid w:val="00F75304"/>
    <w:rsid w:val="00F7538D"/>
    <w:rsid w:val="00F75ACE"/>
    <w:rsid w:val="00F765C7"/>
    <w:rsid w:val="00F76919"/>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60C"/>
    <w:rsid w:val="00FD1F21"/>
    <w:rsid w:val="00FD282C"/>
    <w:rsid w:val="00FD2D04"/>
    <w:rsid w:val="00FD307F"/>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 w:type="paragraph" w:customStyle="1" w:styleId="Default">
    <w:name w:val="Default"/>
    <w:rsid w:val="00C1174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204A71"/>
    <w:pPr>
      <w:spacing w:beforeLines="1" w:afterLines="1"/>
      <w:jc w:val="left"/>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 w:type="paragraph" w:customStyle="1" w:styleId="Default">
    <w:name w:val="Default"/>
    <w:rsid w:val="00C1174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204A71"/>
    <w:pPr>
      <w:spacing w:beforeLines="1" w:afterLines="1"/>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126390618">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 w:id="1552690062">
      <w:bodyDiv w:val="1"/>
      <w:marLeft w:val="0"/>
      <w:marRight w:val="0"/>
      <w:marTop w:val="0"/>
      <w:marBottom w:val="0"/>
      <w:divBdr>
        <w:top w:val="none" w:sz="0" w:space="0" w:color="auto"/>
        <w:left w:val="none" w:sz="0" w:space="0" w:color="auto"/>
        <w:bottom w:val="none" w:sz="0" w:space="0" w:color="auto"/>
        <w:right w:val="none" w:sz="0" w:space="0" w:color="auto"/>
      </w:divBdr>
    </w:div>
    <w:div w:id="18843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A658-014A-431B-BD23-17EF3C7A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2015-06-09T18:10:00Z</dcterms:created>
  <dcterms:modified xsi:type="dcterms:W3CDTF">2015-06-09T18:21:00Z</dcterms:modified>
</cp:coreProperties>
</file>