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32689D" w:rsidRPr="00012730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32689D" w:rsidRPr="00012730" w:rsidRDefault="0032689D" w:rsidP="005C28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2689D" w:rsidRDefault="0032689D" w:rsidP="005C284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32689D" w:rsidRDefault="0032689D" w:rsidP="005C284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32689D" w:rsidRDefault="0032689D" w:rsidP="005C2849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32689D" w:rsidRDefault="0032689D" w:rsidP="005C2849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32689D" w:rsidRPr="00ED74D9" w:rsidRDefault="0032689D" w:rsidP="005C2849">
            <w:pPr>
              <w:rPr>
                <w:b/>
                <w:bCs/>
                <w:sz w:val="16"/>
                <w:szCs w:val="16"/>
              </w:rPr>
            </w:pPr>
          </w:p>
          <w:p w:rsidR="0032689D" w:rsidRPr="00A267C7" w:rsidRDefault="00B67F1F" w:rsidP="005C2849">
            <w:pPr>
              <w:rPr>
                <w:color w:val="FF0000"/>
                <w:sz w:val="16"/>
                <w:szCs w:val="16"/>
              </w:rPr>
            </w:pPr>
            <w:r w:rsidRPr="00EE2325">
              <w:rPr>
                <w:b/>
                <w:bCs/>
                <w:smallCaps/>
              </w:rPr>
              <w:t>Intro. No</w:t>
            </w:r>
            <w:r w:rsidR="00951206">
              <w:rPr>
                <w:b/>
                <w:bCs/>
                <w:smallCaps/>
              </w:rPr>
              <w:t>.</w:t>
            </w:r>
            <w:r w:rsidR="0032689D">
              <w:rPr>
                <w:b/>
                <w:bCs/>
              </w:rPr>
              <w:t xml:space="preserve">: </w:t>
            </w:r>
            <w:r w:rsidR="0032689D" w:rsidRPr="00581C14">
              <w:rPr>
                <w:b/>
                <w:bCs/>
              </w:rPr>
              <w:t xml:space="preserve"> </w:t>
            </w:r>
            <w:r w:rsidR="00951188">
              <w:rPr>
                <w:b/>
                <w:bCs/>
              </w:rPr>
              <w:t>125-B</w:t>
            </w:r>
          </w:p>
          <w:p w:rsidR="0032689D" w:rsidRPr="00A267C7" w:rsidRDefault="0032689D" w:rsidP="00013F04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 w:rsidR="000D7CED">
              <w:rPr>
                <w:b/>
                <w:bCs/>
              </w:rPr>
              <w:t xml:space="preserve">: </w:t>
            </w:r>
            <w:r w:rsidR="00013F04">
              <w:rPr>
                <w:b/>
                <w:bCs/>
              </w:rPr>
              <w:t>Civil Service &amp; Labor</w:t>
            </w:r>
          </w:p>
        </w:tc>
      </w:tr>
      <w:tr w:rsidR="0032689D" w:rsidRPr="00012730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32689D" w:rsidRPr="00012730" w:rsidRDefault="0032689D" w:rsidP="00951188">
            <w:pPr>
              <w:widowControl w:val="0"/>
              <w:autoSpaceDE w:val="0"/>
              <w:autoSpaceDN w:val="0"/>
              <w:adjustRightInd w:val="0"/>
              <w:jc w:val="left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B67F1F">
              <w:rPr>
                <w:bCs/>
              </w:rPr>
              <w:t xml:space="preserve">A local law </w:t>
            </w:r>
            <w:r w:rsidR="00A26A9A">
              <w:rPr>
                <w:bCs/>
              </w:rPr>
              <w:t xml:space="preserve">to </w:t>
            </w:r>
            <w:r w:rsidR="00951188">
              <w:t xml:space="preserve">amend the administrative code of the city of New York, in relation to licensing car wash businesses.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51188" w:rsidRPr="00951188" w:rsidRDefault="0032689D" w:rsidP="00951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mallCaps/>
              </w:rPr>
              <w:t>Sponsor(s</w:t>
            </w:r>
            <w:r w:rsidRPr="00012730">
              <w:rPr>
                <w:b/>
                <w:bCs/>
                <w:smallCaps/>
              </w:rPr>
              <w:t>)</w:t>
            </w:r>
            <w:r w:rsidRPr="00012730">
              <w:rPr>
                <w:b/>
                <w:bCs/>
              </w:rPr>
              <w:t xml:space="preserve">: </w:t>
            </w:r>
            <w:r w:rsidR="00951188">
              <w:rPr>
                <w:bCs/>
              </w:rPr>
              <w:t>Speaker Mark-Viverito</w:t>
            </w:r>
            <w:r w:rsidR="00951188" w:rsidRPr="00951188">
              <w:rPr>
                <w:bCs/>
              </w:rPr>
              <w:t xml:space="preserve"> and Council Members Arroyo, Barron, Chin, Constantinides, Dromm, Ferreras-Copeland, Johnson, Koo, Lancman, Lander, Palma, Reynoso, Richards, Rose, Torres, Van Bramer, Williams, Mendez, Koslowitz, Kallos, Mench</w:t>
            </w:r>
            <w:bookmarkStart w:id="0" w:name="_GoBack"/>
            <w:bookmarkEnd w:id="0"/>
            <w:r w:rsidR="00951188" w:rsidRPr="00951188">
              <w:rPr>
                <w:bCs/>
              </w:rPr>
              <w:t>aca, Rodriguez, Levine, Levin, Rosenthal, Crowley, Gibson, King</w:t>
            </w:r>
            <w:r w:rsidR="00951188">
              <w:rPr>
                <w:bCs/>
              </w:rPr>
              <w:t>, Garodnick and Public Advocate James</w:t>
            </w:r>
          </w:p>
          <w:p w:rsidR="0032689D" w:rsidRPr="00012730" w:rsidRDefault="0032689D" w:rsidP="006D0A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3126" w:rsidRDefault="0032689D" w:rsidP="00033126">
      <w:pPr>
        <w:pStyle w:val="NoSpacing"/>
      </w:pPr>
      <w:r>
        <w:rPr>
          <w:b/>
          <w:smallCaps/>
        </w:rPr>
        <w:t>Summary of Legislation:</w:t>
      </w:r>
      <w:r w:rsidR="00F3656E">
        <w:t xml:space="preserve"> </w:t>
      </w:r>
      <w:r w:rsidR="00AE213F" w:rsidRPr="00AE213F">
        <w:rPr>
          <w:iCs/>
        </w:rPr>
        <w:t>The proposed legislation</w:t>
      </w:r>
      <w:r w:rsidR="00D85DCD">
        <w:rPr>
          <w:iCs/>
        </w:rPr>
        <w:t>, known as the “car wash accountability law,”</w:t>
      </w:r>
      <w:r w:rsidR="00AE213F" w:rsidRPr="00AE213F">
        <w:rPr>
          <w:iCs/>
        </w:rPr>
        <w:t xml:space="preserve"> </w:t>
      </w:r>
      <w:r w:rsidR="005C2849">
        <w:rPr>
          <w:iCs/>
        </w:rPr>
        <w:t xml:space="preserve">would require </w:t>
      </w:r>
      <w:r w:rsidR="005C2849" w:rsidRPr="005C2849">
        <w:rPr>
          <w:iCs/>
        </w:rPr>
        <w:t>car wash</w:t>
      </w:r>
      <w:r w:rsidR="005C2849">
        <w:rPr>
          <w:iCs/>
        </w:rPr>
        <w:t>es to register with and secure a license from</w:t>
      </w:r>
      <w:r w:rsidR="005C2849" w:rsidRPr="005C2849">
        <w:rPr>
          <w:iCs/>
        </w:rPr>
        <w:t xml:space="preserve"> the Department of Consumer Affairs </w:t>
      </w:r>
      <w:r w:rsidR="005C2849">
        <w:rPr>
          <w:iCs/>
        </w:rPr>
        <w:t>(“</w:t>
      </w:r>
      <w:r w:rsidR="00992C9F">
        <w:rPr>
          <w:iCs/>
        </w:rPr>
        <w:t>DCA</w:t>
      </w:r>
      <w:r w:rsidR="005C2849">
        <w:rPr>
          <w:iCs/>
        </w:rPr>
        <w:t>”)</w:t>
      </w:r>
      <w:r w:rsidR="006104DA">
        <w:rPr>
          <w:iCs/>
        </w:rPr>
        <w:t xml:space="preserve"> in order to operate</w:t>
      </w:r>
      <w:r w:rsidR="00D85DCD">
        <w:rPr>
          <w:iCs/>
        </w:rPr>
        <w:t xml:space="preserve">. </w:t>
      </w:r>
      <w:r w:rsidR="003D29BD">
        <w:rPr>
          <w:iCs/>
        </w:rPr>
        <w:t>The biennial fee</w:t>
      </w:r>
      <w:r w:rsidR="00992C9F">
        <w:rPr>
          <w:iCs/>
        </w:rPr>
        <w:t xml:space="preserve"> of $550</w:t>
      </w:r>
      <w:r w:rsidR="005C2849">
        <w:rPr>
          <w:iCs/>
        </w:rPr>
        <w:t xml:space="preserve"> would apply</w:t>
      </w:r>
      <w:r w:rsidR="00312536">
        <w:rPr>
          <w:iCs/>
        </w:rPr>
        <w:t xml:space="preserve"> to each location</w:t>
      </w:r>
      <w:r w:rsidR="00992C9F">
        <w:rPr>
          <w:iCs/>
        </w:rPr>
        <w:t xml:space="preserve"> where the applicant’s car was</w:t>
      </w:r>
      <w:r w:rsidR="00101E37">
        <w:rPr>
          <w:iCs/>
        </w:rPr>
        <w:t>h</w:t>
      </w:r>
      <w:r w:rsidR="00992C9F">
        <w:rPr>
          <w:iCs/>
        </w:rPr>
        <w:t xml:space="preserve"> operates</w:t>
      </w:r>
      <w:r w:rsidR="00312536">
        <w:rPr>
          <w:iCs/>
        </w:rPr>
        <w:t>.</w:t>
      </w:r>
      <w:r w:rsidR="006104DA">
        <w:rPr>
          <w:iCs/>
        </w:rPr>
        <w:t xml:space="preserve"> The legislation would cover businesses where car washing is a sole or central</w:t>
      </w:r>
      <w:r w:rsidR="006104DA" w:rsidRPr="005C2849">
        <w:rPr>
          <w:iCs/>
        </w:rPr>
        <w:t xml:space="preserve"> </w:t>
      </w:r>
      <w:r w:rsidR="006104DA">
        <w:rPr>
          <w:iCs/>
        </w:rPr>
        <w:t xml:space="preserve">component of the business model, but businesses where </w:t>
      </w:r>
      <w:r w:rsidR="006104DA" w:rsidRPr="005C2849">
        <w:rPr>
          <w:iCs/>
        </w:rPr>
        <w:t xml:space="preserve">some car washing </w:t>
      </w:r>
      <w:r w:rsidR="006104DA">
        <w:rPr>
          <w:iCs/>
        </w:rPr>
        <w:t xml:space="preserve">is done </w:t>
      </w:r>
      <w:r w:rsidR="006104DA" w:rsidRPr="005C2849">
        <w:rPr>
          <w:iCs/>
        </w:rPr>
        <w:t>on the side</w:t>
      </w:r>
      <w:r w:rsidR="006104DA">
        <w:rPr>
          <w:iCs/>
        </w:rPr>
        <w:t>, as is the case with many auto repair shops or car rental companies,</w:t>
      </w:r>
      <w:r w:rsidR="006104DA" w:rsidRPr="005C2849">
        <w:rPr>
          <w:iCs/>
        </w:rPr>
        <w:t xml:space="preserve"> would</w:t>
      </w:r>
      <w:r w:rsidR="006104DA">
        <w:rPr>
          <w:iCs/>
        </w:rPr>
        <w:t xml:space="preserve"> not be covered.</w:t>
      </w:r>
      <w:r w:rsidR="00312536">
        <w:rPr>
          <w:iCs/>
        </w:rPr>
        <w:t xml:space="preserve"> </w:t>
      </w:r>
      <w:r w:rsidR="006104DA">
        <w:t xml:space="preserve">Among other things, DCA could consider the “moral character” of a business when issuing or renewing a license, including </w:t>
      </w:r>
      <w:r w:rsidR="00712E54">
        <w:t xml:space="preserve">whether an applicant provided truthful statements in support of a license application or information request, </w:t>
      </w:r>
      <w:r w:rsidR="006104DA">
        <w:t xml:space="preserve">a history of egregious and </w:t>
      </w:r>
      <w:r w:rsidR="006104DA" w:rsidRPr="001368D0">
        <w:t xml:space="preserve">repeated </w:t>
      </w:r>
      <w:r w:rsidR="00712E54" w:rsidRPr="001368D0">
        <w:t xml:space="preserve">determinations of illegal activity, </w:t>
      </w:r>
      <w:r w:rsidR="00712E54">
        <w:t xml:space="preserve">including </w:t>
      </w:r>
      <w:r w:rsidR="006104DA">
        <w:t>labor law violations</w:t>
      </w:r>
      <w:r w:rsidR="00712E54">
        <w:t>,</w:t>
      </w:r>
      <w:r w:rsidR="006104DA">
        <w:t xml:space="preserve"> </w:t>
      </w:r>
      <w:r w:rsidR="00712E54">
        <w:t xml:space="preserve">that </w:t>
      </w:r>
      <w:r w:rsidR="006104DA">
        <w:t>bear a direct relationship on the fitness of an applicant to conduct b</w:t>
      </w:r>
      <w:r w:rsidR="00712E54">
        <w:t xml:space="preserve">usiness. </w:t>
      </w:r>
    </w:p>
    <w:p w:rsidR="00033126" w:rsidRDefault="00033126" w:rsidP="005C2849">
      <w:pPr>
        <w:pStyle w:val="NoSpacing"/>
      </w:pPr>
    </w:p>
    <w:p w:rsidR="005C2849" w:rsidRDefault="00312536" w:rsidP="005C2849">
      <w:pPr>
        <w:pStyle w:val="NoSpacing"/>
        <w:rPr>
          <w:iCs/>
        </w:rPr>
      </w:pPr>
      <w:r>
        <w:rPr>
          <w:iCs/>
        </w:rPr>
        <w:t>As a condition of licensed operation, each registrant</w:t>
      </w:r>
      <w:r w:rsidR="005C2849">
        <w:rPr>
          <w:iCs/>
        </w:rPr>
        <w:t xml:space="preserve"> would need to secure a $150,000 surety bond to cover potential claims</w:t>
      </w:r>
      <w:r w:rsidR="00712E54">
        <w:rPr>
          <w:iCs/>
        </w:rPr>
        <w:t xml:space="preserve"> for damages owed to consumers and </w:t>
      </w:r>
      <w:r w:rsidR="003D29BD">
        <w:rPr>
          <w:iCs/>
        </w:rPr>
        <w:t xml:space="preserve">claims </w:t>
      </w:r>
      <w:r w:rsidR="00712E54">
        <w:rPr>
          <w:iCs/>
        </w:rPr>
        <w:t>of</w:t>
      </w:r>
      <w:r w:rsidR="005C2849">
        <w:rPr>
          <w:iCs/>
        </w:rPr>
        <w:t xml:space="preserve"> underpayment or nonpayment of wages or damage to vehicles. Operations that secure collective bargaining agreements with employees</w:t>
      </w:r>
      <w:r w:rsidR="003D29BD">
        <w:rPr>
          <w:iCs/>
        </w:rPr>
        <w:t xml:space="preserve">, or </w:t>
      </w:r>
      <w:r w:rsidR="003D29BD" w:rsidRPr="005C2849">
        <w:rPr>
          <w:iCs/>
        </w:rPr>
        <w:t>that are covered by an active government monitoring agreement by the State</w:t>
      </w:r>
      <w:r w:rsidR="00992C9F">
        <w:rPr>
          <w:iCs/>
        </w:rPr>
        <w:t xml:space="preserve"> or federal governments</w:t>
      </w:r>
      <w:r w:rsidR="003D29BD">
        <w:rPr>
          <w:iCs/>
        </w:rPr>
        <w:t>,</w:t>
      </w:r>
      <w:r w:rsidR="00712E54">
        <w:rPr>
          <w:iCs/>
        </w:rPr>
        <w:t xml:space="preserve"> would be required to secure a </w:t>
      </w:r>
      <w:r w:rsidR="005C2849">
        <w:rPr>
          <w:iCs/>
        </w:rPr>
        <w:t xml:space="preserve">surety bond of $30,000. </w:t>
      </w:r>
    </w:p>
    <w:p w:rsidR="005C2849" w:rsidRPr="005C2849" w:rsidRDefault="005C2849" w:rsidP="005C2849">
      <w:pPr>
        <w:pStyle w:val="NoSpacing"/>
        <w:rPr>
          <w:iCs/>
        </w:rPr>
      </w:pPr>
    </w:p>
    <w:p w:rsidR="005C2849" w:rsidRPr="005C2849" w:rsidRDefault="003D29BD" w:rsidP="005C2849">
      <w:pPr>
        <w:pStyle w:val="NoSpacing"/>
        <w:rPr>
          <w:iCs/>
        </w:rPr>
      </w:pPr>
      <w:r>
        <w:rPr>
          <w:iCs/>
        </w:rPr>
        <w:t>Car washes would also need to certify that they comply with certain laws and rules at the</w:t>
      </w:r>
      <w:r w:rsidR="005C2849" w:rsidRPr="005C2849">
        <w:rPr>
          <w:iCs/>
        </w:rPr>
        <w:t xml:space="preserve"> Department of Buildings</w:t>
      </w:r>
      <w:r w:rsidR="006104DA">
        <w:rPr>
          <w:iCs/>
        </w:rPr>
        <w:t xml:space="preserve"> (“DOB”)</w:t>
      </w:r>
      <w:r w:rsidR="005C2849" w:rsidRPr="005C2849">
        <w:rPr>
          <w:iCs/>
        </w:rPr>
        <w:t xml:space="preserve"> and</w:t>
      </w:r>
      <w:r w:rsidR="006104DA">
        <w:rPr>
          <w:iCs/>
        </w:rPr>
        <w:t xml:space="preserve"> the Department of</w:t>
      </w:r>
      <w:r w:rsidR="005C2849" w:rsidRPr="005C2849">
        <w:rPr>
          <w:iCs/>
        </w:rPr>
        <w:t xml:space="preserve"> </w:t>
      </w:r>
      <w:r>
        <w:rPr>
          <w:iCs/>
        </w:rPr>
        <w:t>Environmental Protection</w:t>
      </w:r>
      <w:r w:rsidR="006104DA">
        <w:rPr>
          <w:iCs/>
        </w:rPr>
        <w:t xml:space="preserve"> (“DEP”)</w:t>
      </w:r>
      <w:r>
        <w:rPr>
          <w:iCs/>
        </w:rPr>
        <w:t xml:space="preserve"> </w:t>
      </w:r>
      <w:r w:rsidR="005C2849" w:rsidRPr="005C2849">
        <w:rPr>
          <w:iCs/>
        </w:rPr>
        <w:t>related to, among other things, permits for well water, the amount of water drawn from public sources, use and maintenance of oil/water separators</w:t>
      </w:r>
      <w:r w:rsidR="00BC4B2E">
        <w:rPr>
          <w:iCs/>
        </w:rPr>
        <w:t xml:space="preserve"> and sand interceptors, and </w:t>
      </w:r>
      <w:r w:rsidR="005C2849" w:rsidRPr="005C2849">
        <w:rPr>
          <w:iCs/>
        </w:rPr>
        <w:t>reporting and retention of chemical</w:t>
      </w:r>
      <w:r w:rsidR="00312536">
        <w:rPr>
          <w:iCs/>
        </w:rPr>
        <w:t xml:space="preserve">s used in </w:t>
      </w:r>
      <w:r w:rsidR="005C2849" w:rsidRPr="005C2849">
        <w:rPr>
          <w:iCs/>
        </w:rPr>
        <w:t>operation</w:t>
      </w:r>
      <w:r w:rsidR="00312536">
        <w:rPr>
          <w:iCs/>
        </w:rPr>
        <w:t>s</w:t>
      </w:r>
      <w:r w:rsidR="005C2849" w:rsidRPr="005C2849">
        <w:rPr>
          <w:iCs/>
        </w:rPr>
        <w:t xml:space="preserve">. Car washes would also be required to keep records of damage to cars and payments to customers. </w:t>
      </w:r>
    </w:p>
    <w:p w:rsidR="00C04D26" w:rsidRDefault="00C04D26" w:rsidP="008E6D8B">
      <w:pPr>
        <w:rPr>
          <w:b/>
          <w:smallCaps/>
        </w:rPr>
      </w:pPr>
    </w:p>
    <w:p w:rsidR="008E6D8B" w:rsidRDefault="0032689D" w:rsidP="00C04D26">
      <w:pPr>
        <w:rPr>
          <w:b/>
          <w:smallCaps/>
        </w:rPr>
      </w:pPr>
      <w:r w:rsidRPr="00012730">
        <w:rPr>
          <w:b/>
          <w:smallCaps/>
        </w:rPr>
        <w:t>Effective Date:</w:t>
      </w:r>
      <w:r w:rsidR="00A73733">
        <w:t xml:space="preserve"> </w:t>
      </w:r>
      <w:r w:rsidR="00BC4B2E">
        <w:t xml:space="preserve">This </w:t>
      </w:r>
      <w:r w:rsidR="00C15D4C" w:rsidRPr="00C15D4C">
        <w:t xml:space="preserve">law </w:t>
      </w:r>
      <w:r w:rsidR="00992C9F">
        <w:t>would</w:t>
      </w:r>
      <w:r w:rsidR="00992C9F" w:rsidRPr="00C15D4C">
        <w:t xml:space="preserve"> </w:t>
      </w:r>
      <w:r w:rsidR="00C15D4C" w:rsidRPr="00C15D4C">
        <w:t>take effect 180 da</w:t>
      </w:r>
      <w:r w:rsidR="00BC4B2E">
        <w:t>ys after enactment</w:t>
      </w:r>
      <w:r w:rsidR="00992C9F">
        <w:t>, except that</w:t>
      </w:r>
      <w:r w:rsidR="00BC4B2E">
        <w:t xml:space="preserve"> </w:t>
      </w:r>
      <w:r w:rsidR="00C15D4C" w:rsidRPr="00C15D4C">
        <w:t xml:space="preserve">prior to such date, the commissioners of </w:t>
      </w:r>
      <w:r w:rsidR="00992C9F">
        <w:t>DCA</w:t>
      </w:r>
      <w:r w:rsidR="00C15D4C" w:rsidRPr="00C15D4C">
        <w:t xml:space="preserve"> and </w:t>
      </w:r>
      <w:r w:rsidR="00992C9F">
        <w:t>DEP</w:t>
      </w:r>
      <w:r w:rsidR="00C15D4C" w:rsidRPr="00C15D4C">
        <w:t xml:space="preserve"> </w:t>
      </w:r>
      <w:r w:rsidR="001C5CE9">
        <w:t>would</w:t>
      </w:r>
      <w:r w:rsidR="001C5CE9" w:rsidRPr="00C15D4C">
        <w:t xml:space="preserve"> </w:t>
      </w:r>
      <w:r w:rsidR="00C15D4C" w:rsidRPr="00C15D4C">
        <w:t>take such actions, including the promulgating of rules and the processing of applications, as necessary to implement the provisions of this local law.</w:t>
      </w:r>
    </w:p>
    <w:p w:rsidR="008E6D8B" w:rsidRDefault="008E6D8B" w:rsidP="0032689D">
      <w:pPr>
        <w:spacing w:before="100" w:beforeAutospacing="1"/>
        <w:contextualSpacing/>
        <w:rPr>
          <w:b/>
          <w:smallCaps/>
        </w:rPr>
      </w:pPr>
    </w:p>
    <w:p w:rsidR="0032689D" w:rsidRDefault="0032689D" w:rsidP="0032689D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930825">
        <w:t xml:space="preserve"> Fiscal 201</w:t>
      </w:r>
      <w:r w:rsidR="00992C9F">
        <w:t>7</w:t>
      </w:r>
    </w:p>
    <w:p w:rsidR="00BC4B2E" w:rsidRDefault="00BC4B2E" w:rsidP="0032689D">
      <w:pPr>
        <w:spacing w:before="100" w:beforeAutospacing="1"/>
        <w:contextualSpacing/>
      </w:pPr>
    </w:p>
    <w:p w:rsidR="00BC4B2E" w:rsidRDefault="00BC4B2E" w:rsidP="0032689D">
      <w:pPr>
        <w:spacing w:before="100" w:beforeAutospacing="1"/>
        <w:contextualSpacing/>
      </w:pPr>
    </w:p>
    <w:p w:rsidR="00BC4B2E" w:rsidRDefault="00BC4B2E" w:rsidP="0032689D">
      <w:pPr>
        <w:spacing w:before="100" w:beforeAutospacing="1"/>
        <w:contextualSpacing/>
      </w:pPr>
    </w:p>
    <w:p w:rsidR="00BC4B2E" w:rsidRDefault="00BC4B2E" w:rsidP="0032689D">
      <w:pPr>
        <w:spacing w:before="100" w:beforeAutospacing="1"/>
        <w:contextualSpacing/>
      </w:pPr>
    </w:p>
    <w:p w:rsidR="00BC4B2E" w:rsidRPr="00012730" w:rsidRDefault="00BC4B2E" w:rsidP="0032689D">
      <w:pPr>
        <w:spacing w:before="100" w:beforeAutospacing="1"/>
        <w:contextualSpacing/>
      </w:pPr>
    </w:p>
    <w:p w:rsidR="0082035F" w:rsidRPr="00012730" w:rsidRDefault="0032689D" w:rsidP="00BC4B2E">
      <w:pPr>
        <w:pBdr>
          <w:top w:val="single" w:sz="4" w:space="1" w:color="auto"/>
        </w:pBdr>
        <w:spacing w:after="120"/>
        <w:rPr>
          <w:b/>
          <w:smallCaps/>
        </w:rPr>
      </w:pPr>
      <w:r w:rsidRPr="00012730">
        <w:rPr>
          <w:b/>
          <w:smallCaps/>
        </w:rPr>
        <w:lastRenderedPageBreak/>
        <w:t>Fiscal Impact Statement:</w:t>
      </w: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2689D" w:rsidRP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5C2849">
            <w:pPr>
              <w:spacing w:line="201" w:lineRule="exact"/>
              <w:jc w:val="center"/>
            </w:pPr>
          </w:p>
          <w:p w:rsidR="0032689D" w:rsidRPr="001A6C74" w:rsidRDefault="0032689D" w:rsidP="005C2849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A5050" w:rsidP="005C28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Effective FY16</w:t>
            </w:r>
          </w:p>
          <w:p w:rsidR="0032689D" w:rsidRPr="001A6C74" w:rsidRDefault="0032689D" w:rsidP="005C2849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A5050" w:rsidP="00C878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FY Succeeding Effective FY17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99582D" w:rsidP="005C28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Full Fiscal Impact FY1</w:t>
            </w:r>
            <w:r w:rsidR="00992C9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2689D" w:rsidRP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5C2849">
            <w:pPr>
              <w:jc w:val="center"/>
              <w:rPr>
                <w:b/>
                <w:bCs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E213F" w:rsidP="009E7858">
            <w:pPr>
              <w:jc w:val="center"/>
              <w:rPr>
                <w:bCs/>
              </w:rPr>
            </w:pPr>
            <w:r>
              <w:t>$</w:t>
            </w:r>
            <w:r w:rsidR="00E457C5">
              <w:t>74,250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E213F" w:rsidP="005C2849">
            <w:pPr>
              <w:jc w:val="center"/>
              <w:rPr>
                <w:bCs/>
              </w:rPr>
            </w:pPr>
            <w:r>
              <w:t>$</w:t>
            </w:r>
            <w:r w:rsidR="00E457C5">
              <w:t>74,250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E457C5" w:rsidP="005C2849">
            <w:pPr>
              <w:jc w:val="center"/>
              <w:rPr>
                <w:bCs/>
              </w:rPr>
            </w:pPr>
            <w:r>
              <w:t>$74</w:t>
            </w:r>
            <w:r w:rsidR="009E7858">
              <w:t>,250</w:t>
            </w:r>
          </w:p>
        </w:tc>
      </w:tr>
      <w:tr w:rsidR="0032689D" w:rsidRP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5C2849">
            <w:pPr>
              <w:jc w:val="center"/>
              <w:rPr>
                <w:b/>
                <w:bCs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E213F" w:rsidP="00ED2C99">
            <w:pPr>
              <w:jc w:val="center"/>
              <w:rPr>
                <w:bCs/>
              </w:rPr>
            </w:pPr>
            <w:r>
              <w:t>$</w:t>
            </w:r>
            <w:r w:rsidR="00ED2C99">
              <w:t>195,492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AE213F">
            <w:pPr>
              <w:jc w:val="center"/>
              <w:rPr>
                <w:bCs/>
              </w:rPr>
            </w:pPr>
            <w:r>
              <w:t>$</w:t>
            </w:r>
            <w:r w:rsidR="00ED2C99">
              <w:t>195,492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AE213F" w:rsidP="005C2849">
            <w:pPr>
              <w:jc w:val="center"/>
              <w:rPr>
                <w:bCs/>
              </w:rPr>
            </w:pPr>
            <w:r>
              <w:t>$</w:t>
            </w:r>
            <w:r w:rsidR="00ED2C99">
              <w:t>195,492</w:t>
            </w:r>
          </w:p>
        </w:tc>
      </w:tr>
      <w:tr w:rsidR="0032689D" w:rsidRP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5C2849">
            <w:pPr>
              <w:spacing w:after="58"/>
              <w:jc w:val="center"/>
              <w:rPr>
                <w:b/>
                <w:bCs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FE1EA3" w:rsidP="00ED2C99">
            <w:pPr>
              <w:jc w:val="center"/>
              <w:rPr>
                <w:bCs/>
              </w:rPr>
            </w:pPr>
            <w:r>
              <w:t>-</w:t>
            </w:r>
            <w:r w:rsidR="00AE213F">
              <w:t>$</w:t>
            </w:r>
            <w:r w:rsidR="00ED2C99">
              <w:t>121,242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FE1EA3" w:rsidP="005C2849">
            <w:pPr>
              <w:jc w:val="center"/>
              <w:rPr>
                <w:bCs/>
              </w:rPr>
            </w:pPr>
            <w:r>
              <w:t>-</w:t>
            </w:r>
            <w:r w:rsidR="00AE213F">
              <w:t>$</w:t>
            </w:r>
            <w:r w:rsidR="00ED2C99">
              <w:t>121,242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2689D" w:rsidRPr="001A6C74" w:rsidRDefault="00FE1EA3" w:rsidP="005C2849">
            <w:pPr>
              <w:jc w:val="center"/>
              <w:rPr>
                <w:bCs/>
              </w:rPr>
            </w:pPr>
            <w:r>
              <w:t>-</w:t>
            </w:r>
            <w:r w:rsidR="00AE213F">
              <w:t>$</w:t>
            </w:r>
            <w:r w:rsidR="00ED2C99">
              <w:t>121,242</w:t>
            </w:r>
          </w:p>
        </w:tc>
      </w:tr>
    </w:tbl>
    <w:p w:rsidR="00B75397" w:rsidRPr="00EE265F" w:rsidRDefault="0032689D" w:rsidP="00BC4B2E">
      <w:pPr>
        <w:spacing w:before="120"/>
        <w:jc w:val="left"/>
        <w:rPr>
          <w:iCs/>
        </w:rPr>
      </w:pPr>
      <w:r w:rsidRPr="00012730">
        <w:rPr>
          <w:b/>
          <w:smallCaps/>
        </w:rPr>
        <w:t xml:space="preserve">Impact on Revenues: </w:t>
      </w:r>
      <w:r w:rsidR="00312536">
        <w:t>F</w:t>
      </w:r>
      <w:r w:rsidR="00B70C97">
        <w:t xml:space="preserve">ees from </w:t>
      </w:r>
      <w:r w:rsidR="003D29BD">
        <w:t>the $550-per-location biennial license</w:t>
      </w:r>
      <w:r w:rsidR="00B70C97">
        <w:t xml:space="preserve"> would ge</w:t>
      </w:r>
      <w:r w:rsidR="00AE213F">
        <w:t xml:space="preserve">nerate </w:t>
      </w:r>
      <w:r w:rsidR="00AE213F" w:rsidRPr="003D29BD">
        <w:t>biennial</w:t>
      </w:r>
      <w:r w:rsidR="000E5C88">
        <w:t xml:space="preserve"> revenues of $148,</w:t>
      </w:r>
      <w:r w:rsidR="00AE213F">
        <w:t>5</w:t>
      </w:r>
      <w:r w:rsidR="003D29BD">
        <w:t>0</w:t>
      </w:r>
      <w:r w:rsidR="000E5C88">
        <w:t>0, averaging $74,250</w:t>
      </w:r>
      <w:r w:rsidR="003D29BD">
        <w:t xml:space="preserve"> per year</w:t>
      </w:r>
      <w:r w:rsidR="00B70C97">
        <w:t xml:space="preserve">. </w:t>
      </w:r>
      <w:r w:rsidR="003D29BD">
        <w:t>Of</w:t>
      </w:r>
      <w:r w:rsidR="009E7858">
        <w:t xml:space="preserve"> roughly 300 car washes</w:t>
      </w:r>
      <w:r w:rsidR="00312536">
        <w:t xml:space="preserve"> in the </w:t>
      </w:r>
      <w:r w:rsidR="00101E37">
        <w:t>c</w:t>
      </w:r>
      <w:r w:rsidR="00312536">
        <w:t>ity, the Finance Division estimates a</w:t>
      </w:r>
      <w:r w:rsidR="003D29BD">
        <w:t xml:space="preserve"> significant majority (90 percent) </w:t>
      </w:r>
      <w:r w:rsidR="00312536">
        <w:t>use</w:t>
      </w:r>
      <w:r w:rsidR="003D29BD">
        <w:t xml:space="preserve"> employees</w:t>
      </w:r>
      <w:r w:rsidR="002E2D53">
        <w:t xml:space="preserve"> </w:t>
      </w:r>
      <w:r w:rsidR="00312536">
        <w:t>in a manner requiring them to secure licenses</w:t>
      </w:r>
      <w:r w:rsidR="00EE265F">
        <w:t xml:space="preserve"> under this law</w:t>
      </w:r>
      <w:r w:rsidR="00EE265F">
        <w:rPr>
          <w:iCs/>
        </w:rPr>
        <w:t xml:space="preserve">. The figures above assume </w:t>
      </w:r>
      <w:r w:rsidR="00B75397">
        <w:rPr>
          <w:iCs/>
        </w:rPr>
        <w:t>all</w:t>
      </w:r>
      <w:r w:rsidR="00312536">
        <w:rPr>
          <w:iCs/>
        </w:rPr>
        <w:t xml:space="preserve"> would </w:t>
      </w:r>
      <w:r w:rsidR="00B75397">
        <w:rPr>
          <w:iCs/>
        </w:rPr>
        <w:t xml:space="preserve">secure </w:t>
      </w:r>
      <w:r w:rsidR="00EE265F">
        <w:rPr>
          <w:iCs/>
        </w:rPr>
        <w:t xml:space="preserve">a license </w:t>
      </w:r>
      <w:r w:rsidR="00B75397">
        <w:rPr>
          <w:iCs/>
        </w:rPr>
        <w:t xml:space="preserve">within a </w:t>
      </w:r>
      <w:r w:rsidR="00312536">
        <w:rPr>
          <w:iCs/>
        </w:rPr>
        <w:t xml:space="preserve">calendar </w:t>
      </w:r>
      <w:r w:rsidR="009E7858">
        <w:rPr>
          <w:iCs/>
        </w:rPr>
        <w:t>year</w:t>
      </w:r>
      <w:r w:rsidR="00B75397">
        <w:rPr>
          <w:iCs/>
        </w:rPr>
        <w:t xml:space="preserve"> of the law’s effective date</w:t>
      </w:r>
      <w:r w:rsidR="00EE265F">
        <w:rPr>
          <w:iCs/>
        </w:rPr>
        <w:t>.</w:t>
      </w:r>
      <w:r w:rsidR="00130799">
        <w:rPr>
          <w:iCs/>
        </w:rPr>
        <w:t xml:space="preserve"> It is anticipated that, given the 180-day window between passage and the effective date, half of the first-year revenue would arrive during the last six months of Fiscal 2016 and half during the first six months of Fiscal 2017. </w:t>
      </w:r>
    </w:p>
    <w:p w:rsidR="00D85DCD" w:rsidRDefault="0032689D" w:rsidP="00401244">
      <w:pPr>
        <w:spacing w:before="240"/>
        <w:jc w:val="left"/>
      </w:pPr>
      <w:r w:rsidRPr="00012730">
        <w:rPr>
          <w:b/>
          <w:smallCaps/>
        </w:rPr>
        <w:t>Impact on Expenditures:</w:t>
      </w:r>
      <w:r>
        <w:t xml:space="preserve"> </w:t>
      </w:r>
      <w:r w:rsidR="00401244">
        <w:t>I</w:t>
      </w:r>
      <w:r>
        <w:t>t is</w:t>
      </w:r>
      <w:r w:rsidR="00EE265F">
        <w:t xml:space="preserve"> anticipated that </w:t>
      </w:r>
      <w:r w:rsidR="001C5CE9">
        <w:t>DCA</w:t>
      </w:r>
      <w:r w:rsidR="00EE265F">
        <w:t xml:space="preserve"> would employ </w:t>
      </w:r>
      <w:r w:rsidR="00BC4B2E">
        <w:t>both</w:t>
      </w:r>
      <w:r w:rsidR="00EE265F">
        <w:t xml:space="preserve"> exis</w:t>
      </w:r>
      <w:r w:rsidR="00312536">
        <w:t>ting resources and new hires</w:t>
      </w:r>
      <w:r w:rsidR="00BC4B2E">
        <w:t xml:space="preserve"> to administer </w:t>
      </w:r>
      <w:r w:rsidR="00EE265F">
        <w:t xml:space="preserve">the car wash licensing program. New resources, representing </w:t>
      </w:r>
      <w:r w:rsidR="000E5C88">
        <w:t xml:space="preserve">salaries and benefits for </w:t>
      </w:r>
      <w:r w:rsidR="00ED2C99">
        <w:t>two</w:t>
      </w:r>
      <w:r w:rsidR="00EE265F">
        <w:t xml:space="preserve"> new a</w:t>
      </w:r>
      <w:r w:rsidR="00BC4B2E">
        <w:t>nalysts, would represent an</w:t>
      </w:r>
      <w:r w:rsidR="00EE265F">
        <w:t xml:space="preserve"> </w:t>
      </w:r>
      <w:r w:rsidR="00B70C97" w:rsidRPr="003D29BD">
        <w:t>annual</w:t>
      </w:r>
      <w:r w:rsidR="00EE265F">
        <w:t xml:space="preserve"> cost of </w:t>
      </w:r>
      <w:r w:rsidR="00AE213F">
        <w:t>$</w:t>
      </w:r>
      <w:r w:rsidR="00ED2C99">
        <w:t>162,910</w:t>
      </w:r>
      <w:r w:rsidR="00BC4B2E">
        <w:t xml:space="preserve"> plus</w:t>
      </w:r>
      <w:r w:rsidR="000E5C88">
        <w:t xml:space="preserve"> an additional 20 percent for miscellaneous costs</w:t>
      </w:r>
      <w:r w:rsidR="001C5CE9">
        <w:t>, for a total of $195,492,</w:t>
      </w:r>
      <w:r w:rsidR="00BC4B2E">
        <w:t xml:space="preserve"> associated with adding</w:t>
      </w:r>
      <w:r w:rsidR="00312536">
        <w:t xml:space="preserve"> </w:t>
      </w:r>
      <w:r w:rsidR="00BC4B2E">
        <w:t xml:space="preserve">a </w:t>
      </w:r>
      <w:r w:rsidR="00312536">
        <w:t>licensing category</w:t>
      </w:r>
      <w:r w:rsidR="00BC4B2E">
        <w:t xml:space="preserve"> to </w:t>
      </w:r>
      <w:r w:rsidR="001C5CE9">
        <w:t>DCA</w:t>
      </w:r>
      <w:r w:rsidR="00BC4B2E">
        <w:t>’s portfolio</w:t>
      </w:r>
      <w:r w:rsidR="000E5C88">
        <w:t xml:space="preserve">. </w:t>
      </w:r>
      <w:r w:rsidR="008E2F51">
        <w:t>The additional analysts would assist in</w:t>
      </w:r>
      <w:r w:rsidR="00312536">
        <w:t xml:space="preserve"> </w:t>
      </w:r>
      <w:r w:rsidR="00EE265F">
        <w:t>the inspection and enforcement stage and, more importantly, the registration/licensing sta</w:t>
      </w:r>
      <w:r w:rsidR="00312536">
        <w:t xml:space="preserve">ge of </w:t>
      </w:r>
      <w:r w:rsidR="001C5CE9">
        <w:t>DCA</w:t>
      </w:r>
      <w:r w:rsidR="00312536">
        <w:t>’s process.</w:t>
      </w:r>
      <w:r w:rsidR="00BC4B2E">
        <w:t xml:space="preserve"> </w:t>
      </w:r>
      <w:r w:rsidR="00D85DCD">
        <w:t xml:space="preserve">The </w:t>
      </w:r>
      <w:r w:rsidR="00CA3648">
        <w:t xml:space="preserve">car wash accountability law would require </w:t>
      </w:r>
      <w:r w:rsidR="001C5CE9">
        <w:t>DCA</w:t>
      </w:r>
      <w:r w:rsidR="00CA3648">
        <w:t xml:space="preserve"> to consider, in part, a firm’s adherence to wage l</w:t>
      </w:r>
      <w:r w:rsidR="00BC4B2E">
        <w:t>aws</w:t>
      </w:r>
      <w:r w:rsidR="00CA3648">
        <w:t xml:space="preserve">. This requirement would not fundamentally alter </w:t>
      </w:r>
      <w:r w:rsidR="00D85DCD">
        <w:t xml:space="preserve">the nature of demands </w:t>
      </w:r>
      <w:r w:rsidR="00CA3648">
        <w:t xml:space="preserve">legally placed on </w:t>
      </w:r>
      <w:r w:rsidR="001C5CE9">
        <w:t>DCA</w:t>
      </w:r>
      <w:r w:rsidR="00D85DCD">
        <w:t xml:space="preserve"> when </w:t>
      </w:r>
      <w:r w:rsidR="00BC4B2E">
        <w:t xml:space="preserve">evaluating </w:t>
      </w:r>
      <w:r w:rsidR="00D85DCD">
        <w:t>applicants</w:t>
      </w:r>
      <w:r w:rsidR="00312536">
        <w:t xml:space="preserve"> across relevant industries</w:t>
      </w:r>
      <w:r w:rsidR="00D85DCD">
        <w:t xml:space="preserve">, </w:t>
      </w:r>
      <w:r w:rsidR="00CA3648">
        <w:t>as</w:t>
      </w:r>
      <w:r w:rsidR="00D85DCD">
        <w:t xml:space="preserve"> </w:t>
      </w:r>
      <w:r w:rsidR="00CA3648">
        <w:t>existing</w:t>
      </w:r>
      <w:r w:rsidR="00BC4B2E">
        <w:t xml:space="preserve"> licensing directives identify</w:t>
      </w:r>
      <w:r w:rsidR="00CA3648">
        <w:t xml:space="preserve"> laundries as another industry where it must also consider applica</w:t>
      </w:r>
      <w:r w:rsidR="008E2F51">
        <w:t>nts’ compliance with wage laws.</w:t>
      </w:r>
    </w:p>
    <w:p w:rsidR="001C62BB" w:rsidRPr="00401244" w:rsidRDefault="001C62BB" w:rsidP="00401244">
      <w:pPr>
        <w:spacing w:before="240"/>
        <w:jc w:val="left"/>
      </w:pPr>
    </w:p>
    <w:p w:rsidR="00ED29C1" w:rsidRDefault="0032689D" w:rsidP="001F5D2C">
      <w:r w:rsidRPr="00012730">
        <w:rPr>
          <w:b/>
          <w:smallCaps/>
        </w:rPr>
        <w:t>Source of Funds To Cover Estimated Costs:</w:t>
      </w:r>
      <w:r>
        <w:t xml:space="preserve"> </w:t>
      </w:r>
      <w:r w:rsidR="00C15D4C">
        <w:t>Fees from licenses (see “Impact on Revenues” above)</w:t>
      </w:r>
      <w:r>
        <w:t xml:space="preserve"> </w:t>
      </w:r>
    </w:p>
    <w:p w:rsidR="00ED29C1" w:rsidRDefault="00ED29C1" w:rsidP="001F5D2C"/>
    <w:p w:rsidR="00ED29C1" w:rsidRDefault="0032689D" w:rsidP="001F5D2C">
      <w:r w:rsidRPr="00012730">
        <w:rPr>
          <w:b/>
          <w:smallCaps/>
        </w:rPr>
        <w:t>Source of Information</w:t>
      </w:r>
      <w:r w:rsidRPr="00010BF6">
        <w:rPr>
          <w:b/>
          <w:smallCaps/>
        </w:rPr>
        <w:t>:</w:t>
      </w:r>
      <w:r w:rsidRPr="00010BF6">
        <w:t xml:space="preserve"> </w:t>
      </w:r>
      <w:r>
        <w:t xml:space="preserve"> </w:t>
      </w:r>
      <w:r w:rsidR="00992C9F">
        <w:t xml:space="preserve"> </w:t>
      </w:r>
      <w:r w:rsidR="007B4FBE">
        <w:t xml:space="preserve">New York City </w:t>
      </w:r>
      <w:r w:rsidR="00E71035">
        <w:t>Council</w:t>
      </w:r>
      <w:r w:rsidR="00B75397">
        <w:t>,</w:t>
      </w:r>
      <w:r w:rsidR="00E71035">
        <w:t xml:space="preserve"> Finance </w:t>
      </w:r>
      <w:r w:rsidR="00B75397">
        <w:t xml:space="preserve">and Legislative </w:t>
      </w:r>
      <w:r w:rsidR="00E71035">
        <w:t>Division</w:t>
      </w:r>
      <w:r w:rsidR="00B75397">
        <w:t xml:space="preserve">s </w:t>
      </w:r>
    </w:p>
    <w:p w:rsidR="00ED29C1" w:rsidRDefault="00B75397" w:rsidP="001F5D2C">
      <w:pPr>
        <w:ind w:left="2160" w:firstLine="720"/>
      </w:pPr>
      <w:r>
        <w:t xml:space="preserve">New York City Department of Consumer Affairs. </w:t>
      </w:r>
      <w:r w:rsidR="0032689D" w:rsidRPr="00010BF6">
        <w:tab/>
      </w:r>
      <w:r w:rsidR="0032689D" w:rsidRPr="00010BF6">
        <w:tab/>
        <w:t xml:space="preserve">       </w:t>
      </w:r>
      <w:r w:rsidR="0032689D">
        <w:tab/>
      </w:r>
      <w:r w:rsidR="0032689D">
        <w:tab/>
      </w:r>
      <w:r w:rsidR="0032689D">
        <w:tab/>
        <w:t xml:space="preserve">          </w:t>
      </w:r>
    </w:p>
    <w:p w:rsidR="0032689D" w:rsidRPr="00012730" w:rsidRDefault="0032689D" w:rsidP="0032689D">
      <w:pPr>
        <w:spacing w:before="240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C15D4C">
        <w:t>Christopher Eshleman</w:t>
      </w:r>
      <w:r>
        <w:t xml:space="preserve">, </w:t>
      </w:r>
      <w:r w:rsidR="00C15D4C">
        <w:t xml:space="preserve">Senior </w:t>
      </w:r>
      <w:r>
        <w:t xml:space="preserve">Legislative Financial Analyst </w:t>
      </w:r>
    </w:p>
    <w:p w:rsidR="00FA2AD3" w:rsidRPr="001A3008" w:rsidRDefault="0032689D" w:rsidP="0032689D">
      <w:pPr>
        <w:rPr>
          <w:b/>
          <w:smallCaps/>
        </w:rPr>
      </w:pP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992C9F" w:rsidRDefault="0032689D" w:rsidP="00B70C97">
      <w:r w:rsidRPr="00012730">
        <w:rPr>
          <w:b/>
          <w:smallCaps/>
        </w:rPr>
        <w:t xml:space="preserve">Estimate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C15D4C">
        <w:t>Ray</w:t>
      </w:r>
      <w:r w:rsidR="005A575E">
        <w:t>mond</w:t>
      </w:r>
      <w:r w:rsidR="00C15D4C">
        <w:t xml:space="preserve"> Majewski,</w:t>
      </w:r>
      <w:r w:rsidR="00951206">
        <w:t xml:space="preserve"> Deputy Director</w:t>
      </w:r>
      <w:r w:rsidR="00C15D4C">
        <w:t xml:space="preserve"> / Chief Economist</w:t>
      </w:r>
      <w:r w:rsidR="002312CF">
        <w:t xml:space="preserve"> </w:t>
      </w:r>
    </w:p>
    <w:p w:rsidR="00992C9F" w:rsidRDefault="002312CF" w:rsidP="00992C9F">
      <w:pPr>
        <w:ind w:left="2160" w:firstLine="720"/>
      </w:pPr>
      <w:r>
        <w:t xml:space="preserve">Tanisha Edwards, Chief Counsel </w:t>
      </w:r>
    </w:p>
    <w:p w:rsidR="00ED29C1" w:rsidRDefault="002312CF" w:rsidP="001F5D2C">
      <w:pPr>
        <w:ind w:left="2160" w:firstLine="720"/>
        <w:rPr>
          <w:smallCaps/>
        </w:rPr>
      </w:pPr>
      <w:r>
        <w:t>Rebecca Chasan, Assistant Counsel</w:t>
      </w:r>
      <w:r w:rsidR="00CA3648">
        <w:t xml:space="preserve"> </w:t>
      </w:r>
    </w:p>
    <w:p w:rsidR="00166BC1" w:rsidRDefault="0032689D" w:rsidP="00FA2AD3">
      <w:pPr>
        <w:spacing w:before="240"/>
      </w:pPr>
      <w:r w:rsidRPr="00012730">
        <w:rPr>
          <w:b/>
          <w:smallCaps/>
        </w:rPr>
        <w:t>Legislative History:</w:t>
      </w:r>
      <w:r>
        <w:t xml:space="preserve"> This </w:t>
      </w:r>
      <w:r w:rsidR="00AE213F" w:rsidRPr="00AE213F">
        <w:rPr>
          <w:iCs/>
        </w:rPr>
        <w:t>legisla</w:t>
      </w:r>
      <w:r w:rsidR="00660A90">
        <w:rPr>
          <w:iCs/>
        </w:rPr>
        <w:t xml:space="preserve">tion was introduced to the </w:t>
      </w:r>
      <w:r w:rsidR="00AE213F" w:rsidRPr="00AE213F">
        <w:rPr>
          <w:iCs/>
        </w:rPr>
        <w:t xml:space="preserve">Council on </w:t>
      </w:r>
      <w:r w:rsidR="000E5C88">
        <w:rPr>
          <w:iCs/>
        </w:rPr>
        <w:t>March 12, 2014</w:t>
      </w:r>
      <w:r w:rsidR="00660A90">
        <w:rPr>
          <w:iCs/>
        </w:rPr>
        <w:t xml:space="preserve"> as Intro. No. 125 and </w:t>
      </w:r>
      <w:r w:rsidR="00AE213F" w:rsidRPr="00AE213F">
        <w:rPr>
          <w:iCs/>
        </w:rPr>
        <w:t>referred to the Committee on Civil Service &amp; Labor.</w:t>
      </w:r>
      <w:r w:rsidR="00992C9F">
        <w:rPr>
          <w:iCs/>
        </w:rPr>
        <w:t xml:space="preserve"> The legislation was subsequently amended and the amended legislation, Proposed Intro. No. 125-A was considered by the Committee at a</w:t>
      </w:r>
      <w:r w:rsidR="00660A90">
        <w:rPr>
          <w:iCs/>
        </w:rPr>
        <w:t xml:space="preserve"> hearing </w:t>
      </w:r>
      <w:r w:rsidR="00AE213F" w:rsidRPr="00AE213F">
        <w:rPr>
          <w:iCs/>
        </w:rPr>
        <w:t>he</w:t>
      </w:r>
      <w:r w:rsidR="00660A90">
        <w:rPr>
          <w:iCs/>
        </w:rPr>
        <w:t xml:space="preserve">ld </w:t>
      </w:r>
      <w:r w:rsidR="00AE213F" w:rsidRPr="00AE213F">
        <w:rPr>
          <w:iCs/>
        </w:rPr>
        <w:t xml:space="preserve">on </w:t>
      </w:r>
      <w:r w:rsidR="00992C9F">
        <w:rPr>
          <w:iCs/>
        </w:rPr>
        <w:t>June 19</w:t>
      </w:r>
      <w:r w:rsidR="000E5C88">
        <w:rPr>
          <w:iCs/>
        </w:rPr>
        <w:t>, 2014</w:t>
      </w:r>
      <w:r w:rsidR="00992C9F">
        <w:rPr>
          <w:iCs/>
        </w:rPr>
        <w:t xml:space="preserve"> and the legislation was laid over</w:t>
      </w:r>
      <w:r w:rsidR="00AE213F" w:rsidRPr="00AE213F">
        <w:rPr>
          <w:iCs/>
        </w:rPr>
        <w:t>.</w:t>
      </w:r>
      <w:r w:rsidR="00992C9F">
        <w:rPr>
          <w:iCs/>
        </w:rPr>
        <w:t xml:space="preserve"> The legislation was subsequently amended again and the further amended legislation, Proposed Intro. 125-B, will be considered by the Committee at a hearing on June 9, 2015.</w:t>
      </w:r>
      <w:r w:rsidR="00AE213F" w:rsidRPr="00AE213F">
        <w:rPr>
          <w:iCs/>
        </w:rPr>
        <w:t xml:space="preserve"> Upon a successful </w:t>
      </w:r>
      <w:r w:rsidR="001A17F3">
        <w:rPr>
          <w:iCs/>
        </w:rPr>
        <w:t xml:space="preserve">vote by the Committee, </w:t>
      </w:r>
      <w:r w:rsidR="00AE213F" w:rsidRPr="00AE213F">
        <w:rPr>
          <w:iCs/>
        </w:rPr>
        <w:t>Intro. No. 125-B will be submitted to the full Council for a vote on June 10, 2015.</w:t>
      </w:r>
    </w:p>
    <w:p w:rsidR="00FA2AD3" w:rsidRDefault="00FA2AD3"/>
    <w:p w:rsidR="00AE213F" w:rsidRDefault="0082035F">
      <w:r>
        <w:rPr>
          <w:b/>
          <w:smallCaps/>
        </w:rPr>
        <w:t xml:space="preserve">Date </w:t>
      </w:r>
      <w:r w:rsidRPr="00012730">
        <w:rPr>
          <w:b/>
          <w:smallCaps/>
        </w:rPr>
        <w:t>Prepared</w:t>
      </w:r>
      <w:r>
        <w:rPr>
          <w:b/>
          <w:smallCaps/>
        </w:rPr>
        <w:t>:</w:t>
      </w:r>
      <w:r w:rsidRPr="0082035F">
        <w:t xml:space="preserve"> </w:t>
      </w:r>
      <w:r w:rsidR="009D2906">
        <w:t>June 8</w:t>
      </w:r>
      <w:r>
        <w:t>, 2015</w:t>
      </w:r>
    </w:p>
    <w:sectPr w:rsidR="00AE213F" w:rsidSect="005C2849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79" w:rsidRDefault="009D2C79" w:rsidP="002C7C0B">
      <w:r>
        <w:separator/>
      </w:r>
    </w:p>
  </w:endnote>
  <w:endnote w:type="continuationSeparator" w:id="0">
    <w:p w:rsidR="009D2C79" w:rsidRDefault="009D2C79" w:rsidP="002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9F" w:rsidRDefault="00992C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Intro. No. 125-B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01E37">
      <w:fldChar w:fldCharType="begin"/>
    </w:r>
    <w:r w:rsidR="00101E37">
      <w:instrText xml:space="preserve"> PAGE   \* MERGEFORMAT </w:instrText>
    </w:r>
    <w:r w:rsidR="00101E37">
      <w:fldChar w:fldCharType="separate"/>
    </w:r>
    <w:r w:rsidR="00E943BA" w:rsidRPr="00E943BA">
      <w:rPr>
        <w:rFonts w:asciiTheme="majorHAnsi" w:eastAsiaTheme="majorEastAsia" w:hAnsiTheme="majorHAnsi" w:cstheme="majorBidi"/>
        <w:noProof/>
      </w:rPr>
      <w:t>1</w:t>
    </w:r>
    <w:r w:rsidR="00101E37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79" w:rsidRDefault="009D2C79" w:rsidP="002C7C0B">
      <w:r>
        <w:separator/>
      </w:r>
    </w:p>
  </w:footnote>
  <w:footnote w:type="continuationSeparator" w:id="0">
    <w:p w:rsidR="009D2C79" w:rsidRDefault="009D2C79" w:rsidP="002C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D"/>
    <w:rsid w:val="000034B1"/>
    <w:rsid w:val="00013F04"/>
    <w:rsid w:val="000155DD"/>
    <w:rsid w:val="00033126"/>
    <w:rsid w:val="0005795B"/>
    <w:rsid w:val="000D7CED"/>
    <w:rsid w:val="000E5C88"/>
    <w:rsid w:val="00100AE3"/>
    <w:rsid w:val="00101E37"/>
    <w:rsid w:val="00130799"/>
    <w:rsid w:val="001368D0"/>
    <w:rsid w:val="001547B2"/>
    <w:rsid w:val="00166BC1"/>
    <w:rsid w:val="00184207"/>
    <w:rsid w:val="001A17F3"/>
    <w:rsid w:val="001A3008"/>
    <w:rsid w:val="001C5CE9"/>
    <w:rsid w:val="001C62BB"/>
    <w:rsid w:val="001F5D2C"/>
    <w:rsid w:val="0021255B"/>
    <w:rsid w:val="00216B19"/>
    <w:rsid w:val="002312CF"/>
    <w:rsid w:val="00286197"/>
    <w:rsid w:val="002B5256"/>
    <w:rsid w:val="002C7C0B"/>
    <w:rsid w:val="002E198E"/>
    <w:rsid w:val="002E2D53"/>
    <w:rsid w:val="003102B0"/>
    <w:rsid w:val="00312536"/>
    <w:rsid w:val="0032689D"/>
    <w:rsid w:val="003427BB"/>
    <w:rsid w:val="00363303"/>
    <w:rsid w:val="0039676B"/>
    <w:rsid w:val="003B0C12"/>
    <w:rsid w:val="003D02A6"/>
    <w:rsid w:val="003D29BD"/>
    <w:rsid w:val="00401244"/>
    <w:rsid w:val="00491712"/>
    <w:rsid w:val="004A1708"/>
    <w:rsid w:val="004B3288"/>
    <w:rsid w:val="004C45D6"/>
    <w:rsid w:val="00504C7A"/>
    <w:rsid w:val="00510634"/>
    <w:rsid w:val="00510FC7"/>
    <w:rsid w:val="005A575E"/>
    <w:rsid w:val="005C2849"/>
    <w:rsid w:val="005E5239"/>
    <w:rsid w:val="00600019"/>
    <w:rsid w:val="006104DA"/>
    <w:rsid w:val="00660A90"/>
    <w:rsid w:val="00667893"/>
    <w:rsid w:val="006864D9"/>
    <w:rsid w:val="006D0A98"/>
    <w:rsid w:val="0070218D"/>
    <w:rsid w:val="00712E54"/>
    <w:rsid w:val="00727296"/>
    <w:rsid w:val="007B4FBE"/>
    <w:rsid w:val="007E5CAC"/>
    <w:rsid w:val="00810009"/>
    <w:rsid w:val="00810F2C"/>
    <w:rsid w:val="0082035F"/>
    <w:rsid w:val="00873D91"/>
    <w:rsid w:val="008C093C"/>
    <w:rsid w:val="008E2D5D"/>
    <w:rsid w:val="008E2F51"/>
    <w:rsid w:val="008E6D8B"/>
    <w:rsid w:val="008F6E0F"/>
    <w:rsid w:val="00930825"/>
    <w:rsid w:val="00951188"/>
    <w:rsid w:val="00951206"/>
    <w:rsid w:val="00977E28"/>
    <w:rsid w:val="00992C9F"/>
    <w:rsid w:val="0099582D"/>
    <w:rsid w:val="009D2906"/>
    <w:rsid w:val="009D2C79"/>
    <w:rsid w:val="009E7858"/>
    <w:rsid w:val="00A21183"/>
    <w:rsid w:val="00A26A9A"/>
    <w:rsid w:val="00A36D3C"/>
    <w:rsid w:val="00A4316B"/>
    <w:rsid w:val="00A73733"/>
    <w:rsid w:val="00AA5050"/>
    <w:rsid w:val="00AB598C"/>
    <w:rsid w:val="00AE213F"/>
    <w:rsid w:val="00B67F1F"/>
    <w:rsid w:val="00B70C97"/>
    <w:rsid w:val="00B75397"/>
    <w:rsid w:val="00BC4B2E"/>
    <w:rsid w:val="00BD4E53"/>
    <w:rsid w:val="00C0475D"/>
    <w:rsid w:val="00C04D26"/>
    <w:rsid w:val="00C14C65"/>
    <w:rsid w:val="00C15D4C"/>
    <w:rsid w:val="00C166D6"/>
    <w:rsid w:val="00C17D66"/>
    <w:rsid w:val="00C30C73"/>
    <w:rsid w:val="00C878FC"/>
    <w:rsid w:val="00CA3648"/>
    <w:rsid w:val="00CD30A5"/>
    <w:rsid w:val="00CF11AD"/>
    <w:rsid w:val="00D47871"/>
    <w:rsid w:val="00D61F19"/>
    <w:rsid w:val="00D85DCD"/>
    <w:rsid w:val="00DD3E2E"/>
    <w:rsid w:val="00E334BA"/>
    <w:rsid w:val="00E457C5"/>
    <w:rsid w:val="00E52DCF"/>
    <w:rsid w:val="00E71035"/>
    <w:rsid w:val="00E731DB"/>
    <w:rsid w:val="00E75BAB"/>
    <w:rsid w:val="00E943BA"/>
    <w:rsid w:val="00E96EDD"/>
    <w:rsid w:val="00EA4198"/>
    <w:rsid w:val="00ED29C1"/>
    <w:rsid w:val="00ED2C99"/>
    <w:rsid w:val="00EE265F"/>
    <w:rsid w:val="00EF4D9D"/>
    <w:rsid w:val="00EF7D86"/>
    <w:rsid w:val="00F33810"/>
    <w:rsid w:val="00F3656E"/>
    <w:rsid w:val="00F46B39"/>
    <w:rsid w:val="00F86BE5"/>
    <w:rsid w:val="00FA2AD3"/>
    <w:rsid w:val="00FB6EFE"/>
    <w:rsid w:val="00FD0B97"/>
    <w:rsid w:val="00FE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85DCD"/>
  </w:style>
  <w:style w:type="character" w:customStyle="1" w:styleId="FootnoteTextChar">
    <w:name w:val="Footnote Text Char"/>
    <w:basedOn w:val="DefaultParagraphFont"/>
    <w:link w:val="FootnoteText"/>
    <w:uiPriority w:val="99"/>
    <w:rsid w:val="00D85DC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85D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85DCD"/>
  </w:style>
  <w:style w:type="character" w:customStyle="1" w:styleId="FootnoteTextChar">
    <w:name w:val="Footnote Text Char"/>
    <w:basedOn w:val="DefaultParagraphFont"/>
    <w:link w:val="FootnoteText"/>
    <w:uiPriority w:val="99"/>
    <w:rsid w:val="00D85DC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8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0889-C16E-4A8D-87E6-E7626897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Eshleman, Christopher</cp:lastModifiedBy>
  <cp:revision>2</cp:revision>
  <cp:lastPrinted>2015-06-10T16:51:00Z</cp:lastPrinted>
  <dcterms:created xsi:type="dcterms:W3CDTF">2015-06-10T17:10:00Z</dcterms:created>
  <dcterms:modified xsi:type="dcterms:W3CDTF">2015-06-10T17:10:00Z</dcterms:modified>
</cp:coreProperties>
</file>