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508"/>
        <w:gridCol w:w="5508"/>
      </w:tblGrid>
      <w:tr w:rsidR="00006DA7" w:rsidTr="00AB18C3">
        <w:trPr>
          <w:jc w:val="center"/>
        </w:trPr>
        <w:tc>
          <w:tcPr>
            <w:tcW w:w="5508" w:type="dxa"/>
            <w:tcBorders>
              <w:bottom w:val="single" w:sz="6" w:space="0" w:color="auto"/>
            </w:tcBorders>
          </w:tcPr>
          <w:p w:rsidR="00006DA7" w:rsidRPr="004A26DD" w:rsidRDefault="00006DA7" w:rsidP="009018E8">
            <w:pPr>
              <w:ind w:left="1350"/>
              <w:rPr>
                <w:color w:val="FF0000"/>
              </w:rPr>
            </w:pPr>
            <w:r w:rsidRPr="004A26DD">
              <w:rPr>
                <w:noProof/>
                <w:color w:val="FF0000"/>
              </w:rPr>
              <w:drawing>
                <wp:inline distT="0" distB="0" distL="0" distR="0" wp14:anchorId="1C39C9B0" wp14:editId="6FFB1AA9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06DA7" w:rsidRPr="004A26DD" w:rsidRDefault="00006DA7" w:rsidP="00006DA7">
            <w:pPr>
              <w:rPr>
                <w:color w:val="FF0000"/>
              </w:rPr>
            </w:pPr>
          </w:p>
        </w:tc>
        <w:tc>
          <w:tcPr>
            <w:tcW w:w="5508" w:type="dxa"/>
            <w:tcBorders>
              <w:bottom w:val="single" w:sz="6" w:space="0" w:color="auto"/>
            </w:tcBorders>
          </w:tcPr>
          <w:p w:rsidR="00006DA7" w:rsidRPr="00D95B1F" w:rsidRDefault="00006DA7" w:rsidP="00006DA7">
            <w:pPr>
              <w:rPr>
                <w:b/>
                <w:bCs/>
                <w:smallCaps/>
              </w:rPr>
            </w:pPr>
            <w:r w:rsidRPr="00D95B1F">
              <w:rPr>
                <w:b/>
                <w:bCs/>
                <w:smallCaps/>
              </w:rPr>
              <w:t>The Council of the City of New York</w:t>
            </w:r>
          </w:p>
          <w:p w:rsidR="00006DA7" w:rsidRPr="00D95B1F" w:rsidRDefault="00006DA7" w:rsidP="00006DA7">
            <w:pPr>
              <w:rPr>
                <w:b/>
                <w:bCs/>
                <w:smallCaps/>
              </w:rPr>
            </w:pPr>
            <w:r w:rsidRPr="00D95B1F">
              <w:rPr>
                <w:b/>
                <w:bCs/>
                <w:smallCaps/>
              </w:rPr>
              <w:t>Finance Division</w:t>
            </w:r>
          </w:p>
          <w:p w:rsidR="00006DA7" w:rsidRPr="00D95B1F" w:rsidRDefault="00006DA7" w:rsidP="00006DA7">
            <w:pPr>
              <w:rPr>
                <w:b/>
                <w:bCs/>
                <w:smallCaps/>
              </w:rPr>
            </w:pPr>
          </w:p>
          <w:p w:rsidR="00006DA7" w:rsidRPr="00D95B1F" w:rsidRDefault="00006DA7" w:rsidP="00006DA7">
            <w:pPr>
              <w:rPr>
                <w:b/>
                <w:bCs/>
                <w:smallCaps/>
              </w:rPr>
            </w:pPr>
            <w:r w:rsidRPr="00D95B1F">
              <w:rPr>
                <w:b/>
                <w:bCs/>
                <w:smallCaps/>
              </w:rPr>
              <w:t>Latonia McKinney, Director</w:t>
            </w:r>
          </w:p>
          <w:p w:rsidR="00006DA7" w:rsidRPr="00D95B1F" w:rsidRDefault="00006DA7" w:rsidP="00006DA7">
            <w:r w:rsidRPr="00D95B1F">
              <w:rPr>
                <w:b/>
                <w:bCs/>
                <w:smallCaps/>
              </w:rPr>
              <w:t>Fiscal Impact Statement</w:t>
            </w:r>
          </w:p>
          <w:p w:rsidR="00006DA7" w:rsidRPr="00D95B1F" w:rsidRDefault="00006DA7" w:rsidP="00006DA7">
            <w:pPr>
              <w:rPr>
                <w:b/>
                <w:bCs/>
                <w:sz w:val="16"/>
                <w:szCs w:val="16"/>
              </w:rPr>
            </w:pPr>
          </w:p>
          <w:p w:rsidR="00006DA7" w:rsidRPr="00D95B1F" w:rsidRDefault="00006DA7" w:rsidP="00006DA7">
            <w:pPr>
              <w:rPr>
                <w:b/>
                <w:bCs/>
              </w:rPr>
            </w:pPr>
            <w:r w:rsidRPr="00D95B1F">
              <w:rPr>
                <w:b/>
                <w:bCs/>
                <w:smallCaps/>
              </w:rPr>
              <w:t>Proposed Intro. No</w:t>
            </w:r>
            <w:r w:rsidRPr="00D95B1F">
              <w:rPr>
                <w:b/>
                <w:bCs/>
              </w:rPr>
              <w:t xml:space="preserve">:  </w:t>
            </w:r>
            <w:r w:rsidR="00826AD9" w:rsidRPr="00D95B1F">
              <w:rPr>
                <w:b/>
                <w:bCs/>
              </w:rPr>
              <w:t>612-A</w:t>
            </w:r>
          </w:p>
          <w:p w:rsidR="00006DA7" w:rsidRPr="00D95B1F" w:rsidRDefault="00006DA7" w:rsidP="00006DA7">
            <w:pPr>
              <w:rPr>
                <w:sz w:val="16"/>
                <w:szCs w:val="16"/>
              </w:rPr>
            </w:pPr>
          </w:p>
          <w:p w:rsidR="00006DA7" w:rsidRPr="004A26DD" w:rsidRDefault="00006DA7" w:rsidP="00006DA7">
            <w:pPr>
              <w:rPr>
                <w:color w:val="FF0000"/>
              </w:rPr>
            </w:pPr>
            <w:r w:rsidRPr="00D95B1F">
              <w:rPr>
                <w:b/>
                <w:bCs/>
                <w:smallCaps/>
              </w:rPr>
              <w:t>Committee</w:t>
            </w:r>
            <w:r w:rsidRPr="00D95B1F">
              <w:rPr>
                <w:b/>
                <w:bCs/>
              </w:rPr>
              <w:t>: Finance</w:t>
            </w:r>
          </w:p>
        </w:tc>
      </w:tr>
      <w:tr w:rsidR="00006DA7" w:rsidTr="00AB18C3">
        <w:trPr>
          <w:trHeight w:val="1452"/>
          <w:jc w:val="center"/>
        </w:trPr>
        <w:tc>
          <w:tcPr>
            <w:tcW w:w="5508" w:type="dxa"/>
            <w:tcBorders>
              <w:top w:val="single" w:sz="6" w:space="0" w:color="auto"/>
            </w:tcBorders>
          </w:tcPr>
          <w:p w:rsidR="00006DA7" w:rsidRPr="00D95B1F" w:rsidRDefault="00006DA7" w:rsidP="00AF3E9F">
            <w:pPr>
              <w:jc w:val="left"/>
              <w:rPr>
                <w:b/>
                <w:bCs/>
                <w:smallCaps/>
              </w:rPr>
            </w:pPr>
          </w:p>
          <w:p w:rsidR="00006DA7" w:rsidRPr="00D95B1F" w:rsidRDefault="00006DA7" w:rsidP="00AF3E9F">
            <w:pPr>
              <w:ind w:left="4320" w:hanging="4320"/>
              <w:jc w:val="left"/>
            </w:pPr>
            <w:r w:rsidRPr="00D95B1F">
              <w:rPr>
                <w:b/>
                <w:bCs/>
                <w:smallCaps/>
              </w:rPr>
              <w:t>Title</w:t>
            </w:r>
            <w:r w:rsidRPr="00D95B1F">
              <w:rPr>
                <w:b/>
                <w:bCs/>
              </w:rPr>
              <w:t>:</w:t>
            </w:r>
            <w:r w:rsidRPr="00D95B1F">
              <w:t xml:space="preserve">  To amend the administrative code of the city</w:t>
            </w:r>
          </w:p>
          <w:p w:rsidR="00006DA7" w:rsidRPr="00D95B1F" w:rsidRDefault="00006DA7" w:rsidP="00AF3E9F">
            <w:pPr>
              <w:ind w:left="4320" w:hanging="4320"/>
              <w:jc w:val="left"/>
              <w:rPr>
                <w:rFonts w:ascii="Arial" w:hAnsi="Arial" w:cs="Arial"/>
              </w:rPr>
            </w:pPr>
            <w:proofErr w:type="gramStart"/>
            <w:r w:rsidRPr="00D95B1F">
              <w:t>of</w:t>
            </w:r>
            <w:proofErr w:type="gramEnd"/>
            <w:r w:rsidRPr="00D95B1F">
              <w:t xml:space="preserve"> New York,  in relation to the sale of tax liens.</w:t>
            </w:r>
          </w:p>
        </w:tc>
        <w:tc>
          <w:tcPr>
            <w:tcW w:w="5508" w:type="dxa"/>
            <w:tcBorders>
              <w:top w:val="single" w:sz="6" w:space="0" w:color="auto"/>
            </w:tcBorders>
          </w:tcPr>
          <w:p w:rsidR="00006DA7" w:rsidRPr="00D95B1F" w:rsidRDefault="00006DA7" w:rsidP="00AF3E9F">
            <w:pPr>
              <w:tabs>
                <w:tab w:val="left" w:pos="-1440"/>
              </w:tabs>
              <w:ind w:left="1440" w:hanging="1440"/>
              <w:jc w:val="left"/>
              <w:rPr>
                <w:b/>
                <w:bCs/>
                <w:smallCaps/>
              </w:rPr>
            </w:pPr>
          </w:p>
          <w:p w:rsidR="00006DA7" w:rsidRPr="00D95B1F" w:rsidRDefault="00006DA7" w:rsidP="00AF3E9F">
            <w:pPr>
              <w:widowControl w:val="0"/>
              <w:autoSpaceDE w:val="0"/>
              <w:autoSpaceDN w:val="0"/>
              <w:adjustRightInd w:val="0"/>
              <w:jc w:val="left"/>
            </w:pPr>
            <w:r w:rsidRPr="00D95B1F">
              <w:rPr>
                <w:b/>
                <w:bCs/>
                <w:smallCaps/>
              </w:rPr>
              <w:t>Sponsors</w:t>
            </w:r>
            <w:r w:rsidRPr="00D95B1F">
              <w:rPr>
                <w:b/>
                <w:bCs/>
              </w:rPr>
              <w:t xml:space="preserve">:   </w:t>
            </w:r>
            <w:r w:rsidRPr="00D95B1F">
              <w:t xml:space="preserve">Council Members Ferreras, </w:t>
            </w:r>
            <w:r w:rsidR="00364A04" w:rsidRPr="00D95B1F">
              <w:t xml:space="preserve">Menchaca, </w:t>
            </w:r>
            <w:r w:rsidR="00E87A8A" w:rsidRPr="00D95B1F">
              <w:t xml:space="preserve">Torres, </w:t>
            </w:r>
            <w:r w:rsidRPr="00D95B1F">
              <w:t xml:space="preserve">Williams, </w:t>
            </w:r>
            <w:r w:rsidR="00E87A8A" w:rsidRPr="00D95B1F">
              <w:t>Gentile and Rose</w:t>
            </w:r>
          </w:p>
          <w:p w:rsidR="00006DA7" w:rsidRPr="00D95B1F" w:rsidRDefault="00006DA7" w:rsidP="00AF3E9F">
            <w:pPr>
              <w:jc w:val="left"/>
            </w:pPr>
          </w:p>
        </w:tc>
      </w:tr>
      <w:tr w:rsidR="00006DA7" w:rsidTr="00AB18C3">
        <w:trPr>
          <w:trHeight w:val="1839"/>
          <w:jc w:val="center"/>
        </w:trPr>
        <w:tc>
          <w:tcPr>
            <w:tcW w:w="11016" w:type="dxa"/>
            <w:gridSpan w:val="2"/>
          </w:tcPr>
          <w:p w:rsidR="00006DA7" w:rsidRPr="00D95B1F" w:rsidRDefault="00006DA7" w:rsidP="00494FCD">
            <w:r w:rsidRPr="00D95B1F">
              <w:rPr>
                <w:b/>
                <w:bCs/>
                <w:smallCaps/>
              </w:rPr>
              <w:t xml:space="preserve">Summary of Legislation:  </w:t>
            </w:r>
            <w:r w:rsidRPr="00D95B1F">
              <w:rPr>
                <w:bCs/>
              </w:rPr>
              <w:t xml:space="preserve">This legislation would </w:t>
            </w:r>
            <w:r w:rsidRPr="00D95B1F">
              <w:t>reauthoriz</w:t>
            </w:r>
            <w:r w:rsidR="00506D1F">
              <w:t>e</w:t>
            </w:r>
            <w:r w:rsidRPr="00D95B1F">
              <w:t xml:space="preserve"> the C</w:t>
            </w:r>
            <w:r w:rsidR="00506D1F">
              <w:t>ommissioner of Finance</w:t>
            </w:r>
            <w:r w:rsidRPr="00D95B1F">
              <w:t>’s ability to sell</w:t>
            </w:r>
            <w:r w:rsidR="00506D1F">
              <w:t xml:space="preserve"> real property</w:t>
            </w:r>
            <w:r w:rsidRPr="00D95B1F">
              <w:t xml:space="preserve"> tax</w:t>
            </w:r>
            <w:r w:rsidR="00E87A8A" w:rsidRPr="00D95B1F">
              <w:t xml:space="preserve"> liens</w:t>
            </w:r>
            <w:r w:rsidR="00955109" w:rsidRPr="00D95B1F">
              <w:t>,</w:t>
            </w:r>
            <w:r w:rsidRPr="00D95B1F">
              <w:t xml:space="preserve"> stand-alone water liens</w:t>
            </w:r>
            <w:r w:rsidR="00955109" w:rsidRPr="00D95B1F">
              <w:t>,</w:t>
            </w:r>
            <w:r w:rsidR="00DB643C">
              <w:t xml:space="preserve"> and</w:t>
            </w:r>
            <w:r w:rsidRPr="00D95B1F">
              <w:t xml:space="preserve"> other stand-alone municipal charges</w:t>
            </w:r>
            <w:r w:rsidR="00955109" w:rsidRPr="00D95B1F">
              <w:t>. Also included in the legislation are</w:t>
            </w:r>
            <w:r w:rsidRPr="00D95B1F">
              <w:t xml:space="preserve"> </w:t>
            </w:r>
            <w:r w:rsidR="00E87A8A" w:rsidRPr="00D95B1F">
              <w:t xml:space="preserve">not-for profit and </w:t>
            </w:r>
            <w:r w:rsidRPr="00D95B1F">
              <w:t>homeowner protections</w:t>
            </w:r>
            <w:r w:rsidR="00E87A8A" w:rsidRPr="00D95B1F">
              <w:t>,</w:t>
            </w:r>
            <w:r w:rsidRPr="00D95B1F">
              <w:t xml:space="preserve"> </w:t>
            </w:r>
            <w:r w:rsidR="00955109" w:rsidRPr="00D95B1F">
              <w:t>and the creation of a temporary task force to ensure the tax lien sale process is fair, efficient and effective</w:t>
            </w:r>
            <w:r w:rsidRPr="00D95B1F">
              <w:t xml:space="preserve">. </w:t>
            </w:r>
          </w:p>
          <w:p w:rsidR="00006DA7" w:rsidRPr="00D95B1F" w:rsidRDefault="00006DA7" w:rsidP="00494FCD"/>
          <w:p w:rsidR="00006DA7" w:rsidRPr="00D95B1F" w:rsidRDefault="00006DA7" w:rsidP="00494FCD">
            <w:pPr>
              <w:rPr>
                <w:b/>
              </w:rPr>
            </w:pPr>
            <w:r w:rsidRPr="00D95B1F">
              <w:rPr>
                <w:b/>
              </w:rPr>
              <w:t>Current Law</w:t>
            </w:r>
          </w:p>
          <w:p w:rsidR="00006DA7" w:rsidRDefault="00006DA7" w:rsidP="00494FCD">
            <w:r w:rsidRPr="00D95B1F">
              <w:t>Currently, owners of Class One homes (1-, 2- and 3-family homes) and owners of Class Two co-ops and condos must be three years in arrears on property tax</w:t>
            </w:r>
            <w:r w:rsidR="00506D1F">
              <w:t>es</w:t>
            </w:r>
            <w:r w:rsidRPr="00D95B1F">
              <w:t xml:space="preserve"> to be included in property tax lien sales. </w:t>
            </w:r>
            <w:r w:rsidR="008F7C01" w:rsidRPr="00D95B1F">
              <w:t>O</w:t>
            </w:r>
            <w:r w:rsidRPr="00D95B1F">
              <w:t xml:space="preserve">wners of Class One </w:t>
            </w:r>
            <w:r w:rsidR="00506D1F">
              <w:t>2</w:t>
            </w:r>
            <w:r w:rsidRPr="00D95B1F">
              <w:t xml:space="preserve">- and </w:t>
            </w:r>
            <w:r w:rsidR="00506D1F">
              <w:t>3</w:t>
            </w:r>
            <w:r w:rsidRPr="00D95B1F">
              <w:t>-fami</w:t>
            </w:r>
            <w:r w:rsidR="006E2ED6" w:rsidRPr="00D95B1F">
              <w:t xml:space="preserve">ly homes </w:t>
            </w:r>
            <w:r w:rsidRPr="00D95B1F">
              <w:t>must be at leas</w:t>
            </w:r>
            <w:r w:rsidR="008F7C01" w:rsidRPr="00D95B1F">
              <w:t xml:space="preserve">t one year in arrears and </w:t>
            </w:r>
            <w:r w:rsidR="00506D1F">
              <w:t>owe</w:t>
            </w:r>
            <w:r w:rsidR="00506D1F" w:rsidRPr="00D95B1F">
              <w:t xml:space="preserve"> </w:t>
            </w:r>
            <w:r w:rsidR="008F7C01" w:rsidRPr="00D95B1F">
              <w:t>$2</w:t>
            </w:r>
            <w:r w:rsidRPr="00D95B1F">
              <w:t xml:space="preserve">,000 or more to be included in water and sewer-only lien sales.  </w:t>
            </w:r>
            <w:r w:rsidR="006E2ED6" w:rsidRPr="00D95B1F">
              <w:t xml:space="preserve">All other properties, including owners of Class Two co-ops and condos must be at least one year in arrears and </w:t>
            </w:r>
            <w:r w:rsidR="00506D1F">
              <w:t xml:space="preserve">owe </w:t>
            </w:r>
            <w:r w:rsidR="006E2ED6" w:rsidRPr="00D95B1F">
              <w:t xml:space="preserve">$1,000 or more to be included in water and sewer-only lien sales. </w:t>
            </w:r>
            <w:r w:rsidR="00647526" w:rsidRPr="00D95B1F">
              <w:t>In addition, properties with</w:t>
            </w:r>
            <w:r w:rsidR="005B55D1" w:rsidRPr="00D95B1F">
              <w:t xml:space="preserve"> liens place</w:t>
            </w:r>
            <w:r w:rsidR="00A13CE2">
              <w:t>d</w:t>
            </w:r>
            <w:r w:rsidR="005B55D1" w:rsidRPr="00D95B1F">
              <w:t xml:space="preserve"> by the Department of Housing Preservation and Development (HPD) for</w:t>
            </w:r>
            <w:r w:rsidR="00647526" w:rsidRPr="00D95B1F">
              <w:t xml:space="preserve"> Emergency Repair</w:t>
            </w:r>
            <w:r w:rsidR="005B55D1" w:rsidRPr="00D95B1F">
              <w:t xml:space="preserve"> (ERP)</w:t>
            </w:r>
            <w:r w:rsidR="00647526" w:rsidRPr="00D95B1F">
              <w:t xml:space="preserve"> </w:t>
            </w:r>
            <w:r w:rsidR="00A13CE2">
              <w:t>c</w:t>
            </w:r>
            <w:r w:rsidR="00647526" w:rsidRPr="00D95B1F">
              <w:t>harges accrued after January 1, 2006 and Alternative Enforcement Program</w:t>
            </w:r>
            <w:r w:rsidR="00A13CE2">
              <w:t xml:space="preserve"> (AEP) charges</w:t>
            </w:r>
            <w:r w:rsidR="00647526" w:rsidRPr="00D95B1F">
              <w:t xml:space="preserve"> </w:t>
            </w:r>
            <w:r w:rsidR="00620B14" w:rsidRPr="00D95B1F">
              <w:t xml:space="preserve">must be at least one year in arrears and owe $1,000 or more to be included in the lien sale. </w:t>
            </w:r>
            <w:r w:rsidR="00B64BE9" w:rsidRPr="00D95B1F">
              <w:t>Housing Development Fund Companies (HDFCs)</w:t>
            </w:r>
            <w:r w:rsidR="00A13CE2">
              <w:t xml:space="preserve"> that are rentals can</w:t>
            </w:r>
            <w:r w:rsidR="00B64BE9" w:rsidRPr="00D95B1F">
              <w:t xml:space="preserve"> currently </w:t>
            </w:r>
            <w:r w:rsidR="00A13CE2">
              <w:t xml:space="preserve">be </w:t>
            </w:r>
            <w:r w:rsidR="00B64BE9" w:rsidRPr="00D95B1F">
              <w:t xml:space="preserve">included in </w:t>
            </w:r>
            <w:r w:rsidR="00A13CE2">
              <w:t>the</w:t>
            </w:r>
            <w:r w:rsidR="00A13CE2" w:rsidRPr="00D95B1F">
              <w:t xml:space="preserve"> </w:t>
            </w:r>
            <w:r w:rsidR="00B64BE9" w:rsidRPr="00D95B1F">
              <w:t xml:space="preserve">lien sale </w:t>
            </w:r>
            <w:r w:rsidR="00A13CE2">
              <w:t>if they are</w:t>
            </w:r>
            <w:r w:rsidR="00B64BE9" w:rsidRPr="00D95B1F">
              <w:t xml:space="preserve"> at least two year</w:t>
            </w:r>
            <w:r w:rsidR="00A13CE2">
              <w:t>s</w:t>
            </w:r>
            <w:r w:rsidR="00B64BE9" w:rsidRPr="00D95B1F">
              <w:t xml:space="preserve"> in arrears and </w:t>
            </w:r>
            <w:r w:rsidR="00A13CE2">
              <w:t xml:space="preserve">owe </w:t>
            </w:r>
            <w:r w:rsidR="00B64BE9" w:rsidRPr="00D95B1F">
              <w:t xml:space="preserve">$5,000. </w:t>
            </w:r>
            <w:r w:rsidRPr="00D95B1F">
              <w:t xml:space="preserve">Owners who are currently exempt from the </w:t>
            </w:r>
            <w:r w:rsidR="00A13CE2">
              <w:t xml:space="preserve">lien sale due to delinquent </w:t>
            </w:r>
            <w:r w:rsidRPr="00D95B1F">
              <w:t>property tax</w:t>
            </w:r>
            <w:r w:rsidR="00A13CE2">
              <w:t>es</w:t>
            </w:r>
            <w:r w:rsidRPr="00D95B1F">
              <w:t xml:space="preserve"> include: Class One residential property owners receiving a qualifying exemption</w:t>
            </w:r>
            <w:r w:rsidR="00DF120F" w:rsidRPr="00D95B1F">
              <w:t xml:space="preserve">, </w:t>
            </w:r>
            <w:r w:rsidR="00A13CE2">
              <w:t>including</w:t>
            </w:r>
            <w:r w:rsidR="00DF120F" w:rsidRPr="00D95B1F">
              <w:t xml:space="preserve"> a </w:t>
            </w:r>
            <w:r w:rsidRPr="00D95B1F">
              <w:t xml:space="preserve">Senior Citizens Homeowner Exemption, </w:t>
            </w:r>
            <w:r w:rsidR="00DF120F" w:rsidRPr="00D95B1F">
              <w:t xml:space="preserve">a </w:t>
            </w:r>
            <w:r w:rsidRPr="00D95B1F">
              <w:t xml:space="preserve">Disabled Homeowner Exemption, </w:t>
            </w:r>
            <w:r w:rsidR="00DF120F" w:rsidRPr="00D95B1F">
              <w:t xml:space="preserve">a New York State </w:t>
            </w:r>
            <w:r w:rsidRPr="00D95B1F">
              <w:t>Circuit Breaker</w:t>
            </w:r>
            <w:r w:rsidR="00DF120F" w:rsidRPr="00D95B1F">
              <w:t xml:space="preserve">, or a Veterans Property Tax Exemption. </w:t>
            </w:r>
            <w:r w:rsidRPr="00D95B1F">
              <w:t xml:space="preserve">Owners </w:t>
            </w:r>
            <w:r w:rsidR="00A13CE2">
              <w:t>who</w:t>
            </w:r>
            <w:r w:rsidR="00A13CE2" w:rsidRPr="00D95B1F">
              <w:t xml:space="preserve"> </w:t>
            </w:r>
            <w:r w:rsidRPr="00D95B1F">
              <w:t>are</w:t>
            </w:r>
            <w:r w:rsidR="00A13CE2">
              <w:t xml:space="preserve"> currently</w:t>
            </w:r>
            <w:r w:rsidRPr="00D95B1F">
              <w:t xml:space="preserve"> exempt from </w:t>
            </w:r>
            <w:r w:rsidR="00A13CE2">
              <w:t>the</w:t>
            </w:r>
            <w:r w:rsidRPr="00D95B1F">
              <w:t xml:space="preserve"> lien sale</w:t>
            </w:r>
            <w:r w:rsidR="00A13CE2">
              <w:t xml:space="preserve"> due to delinquent water and sewer charges</w:t>
            </w:r>
            <w:r w:rsidRPr="00D95B1F">
              <w:t xml:space="preserve"> include: </w:t>
            </w:r>
            <w:r w:rsidR="005B55D1" w:rsidRPr="00D95B1F">
              <w:t>Class One residential property owners receiving a qualifying exemption.</w:t>
            </w:r>
            <w:r w:rsidR="00A13CE2">
              <w:t xml:space="preserve"> Certain properties </w:t>
            </w:r>
            <w:r w:rsidR="00A13CE2" w:rsidRPr="00D95B1F">
              <w:t xml:space="preserve">damaged by </w:t>
            </w:r>
            <w:proofErr w:type="spellStart"/>
            <w:r w:rsidR="00A13CE2" w:rsidRPr="00D95B1F">
              <w:t>SuperStorm</w:t>
            </w:r>
            <w:proofErr w:type="spellEnd"/>
            <w:r w:rsidR="00A13CE2" w:rsidRPr="00D95B1F">
              <w:t xml:space="preserve"> Sandy and properties in the Build It Back program</w:t>
            </w:r>
            <w:r w:rsidR="00A13CE2">
              <w:t xml:space="preserve"> are exempt from the lien sale.</w:t>
            </w:r>
          </w:p>
          <w:p w:rsidR="00D95B1F" w:rsidRPr="00D95B1F" w:rsidRDefault="00D95B1F" w:rsidP="00494FCD"/>
          <w:p w:rsidR="00955109" w:rsidRPr="00D95B1F" w:rsidRDefault="00955109" w:rsidP="00494FCD">
            <w:pPr>
              <w:rPr>
                <w:b/>
              </w:rPr>
            </w:pPr>
            <w:r w:rsidRPr="00D95B1F">
              <w:rPr>
                <w:b/>
              </w:rPr>
              <w:t xml:space="preserve">Proposed </w:t>
            </w:r>
            <w:r w:rsidR="0029383A" w:rsidRPr="00D95B1F">
              <w:rPr>
                <w:b/>
              </w:rPr>
              <w:t>Legislation</w:t>
            </w:r>
          </w:p>
          <w:p w:rsidR="00006DA7" w:rsidRPr="00D95B1F" w:rsidRDefault="00006DA7" w:rsidP="00494FCD">
            <w:pPr>
              <w:rPr>
                <w:bCs/>
              </w:rPr>
            </w:pPr>
            <w:r w:rsidRPr="00D95B1F">
              <w:t xml:space="preserve">This </w:t>
            </w:r>
            <w:r w:rsidR="00A13CE2">
              <w:t>l</w:t>
            </w:r>
            <w:r w:rsidR="00A13CE2" w:rsidRPr="00D95B1F">
              <w:t xml:space="preserve">egislation </w:t>
            </w:r>
            <w:r w:rsidRPr="00D95B1F">
              <w:t>would maintain the current provisions</w:t>
            </w:r>
            <w:r w:rsidR="007F08EF" w:rsidRPr="00D95B1F">
              <w:t xml:space="preserve"> for real property tax liens and </w:t>
            </w:r>
            <w:r w:rsidR="004027CA" w:rsidRPr="00D95B1F">
              <w:t>extend the</w:t>
            </w:r>
            <w:r w:rsidR="00A13CE2">
              <w:t xml:space="preserve"> authority of the Commissioner of the</w:t>
            </w:r>
            <w:r w:rsidR="004027CA" w:rsidRPr="00D95B1F">
              <w:t xml:space="preserve"> Department of Finance</w:t>
            </w:r>
            <w:r w:rsidR="007F08EF" w:rsidRPr="00D95B1F">
              <w:t xml:space="preserve"> (DOF) to sell tax liens until December 31, 2016.</w:t>
            </w:r>
            <w:r w:rsidR="005E3F45" w:rsidRPr="00D95B1F">
              <w:t xml:space="preserve"> </w:t>
            </w:r>
          </w:p>
          <w:p w:rsidR="00DB643C" w:rsidRDefault="00DB643C" w:rsidP="004A26DD">
            <w:pPr>
              <w:pStyle w:val="NoSpacing"/>
              <w:rPr>
                <w:u w:val="single"/>
              </w:rPr>
            </w:pPr>
          </w:p>
          <w:p w:rsidR="00006DA7" w:rsidRPr="00D95B1F" w:rsidRDefault="00A13CE2" w:rsidP="004A26DD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HDFCs</w:t>
            </w:r>
            <w:r w:rsidR="00D95B1F" w:rsidRPr="00D95B1F">
              <w:rPr>
                <w:u w:val="single"/>
              </w:rPr>
              <w:t xml:space="preserve"> </w:t>
            </w:r>
          </w:p>
          <w:p w:rsidR="00006DA7" w:rsidRPr="00D95B1F" w:rsidRDefault="00006DA7" w:rsidP="004A26DD">
            <w:pPr>
              <w:pStyle w:val="NoSpacing"/>
            </w:pPr>
            <w:r w:rsidRPr="00D95B1F">
              <w:t xml:space="preserve">This legislation </w:t>
            </w:r>
            <w:r w:rsidR="00A13CE2">
              <w:t xml:space="preserve">would </w:t>
            </w:r>
            <w:r w:rsidR="004E2CF0" w:rsidRPr="00D95B1F">
              <w:t xml:space="preserve">remove language specifying </w:t>
            </w:r>
            <w:r w:rsidR="00856360" w:rsidRPr="00D95B1F">
              <w:t xml:space="preserve">that </w:t>
            </w:r>
            <w:r w:rsidR="004E2CF0" w:rsidRPr="00D95B1F">
              <w:t xml:space="preserve">HDFCs sold in </w:t>
            </w:r>
            <w:r w:rsidR="00E40E23" w:rsidRPr="00D95B1F">
              <w:t xml:space="preserve">the </w:t>
            </w:r>
            <w:r w:rsidR="004E2CF0" w:rsidRPr="00D95B1F">
              <w:t xml:space="preserve">lien </w:t>
            </w:r>
            <w:r w:rsidR="00E40E23" w:rsidRPr="00D95B1F">
              <w:t xml:space="preserve">sale </w:t>
            </w:r>
            <w:r w:rsidR="004E2CF0" w:rsidRPr="00D95B1F">
              <w:t xml:space="preserve">shall be deemed </w:t>
            </w:r>
            <w:r w:rsidR="00D95B1F" w:rsidRPr="00D95B1F">
              <w:t>“</w:t>
            </w:r>
            <w:r w:rsidR="004E2CF0" w:rsidRPr="00D95B1F">
              <w:t>defective</w:t>
            </w:r>
            <w:r w:rsidR="00856360" w:rsidRPr="00D95B1F">
              <w:t>.</w:t>
            </w:r>
            <w:r w:rsidR="00D95B1F" w:rsidRPr="00D95B1F">
              <w:t>”</w:t>
            </w:r>
            <w:r w:rsidR="00856360" w:rsidRPr="00D95B1F">
              <w:t xml:space="preserve"> Instead, their</w:t>
            </w:r>
            <w:r w:rsidR="00A13CE2">
              <w:t xml:space="preserve"> initial</w:t>
            </w:r>
            <w:r w:rsidR="00856360" w:rsidRPr="00D95B1F">
              <w:t xml:space="preserve"> inclusion </w:t>
            </w:r>
            <w:r w:rsidR="00A13CE2">
              <w:t>in the lien sale would be</w:t>
            </w:r>
            <w:r w:rsidR="00A13CE2" w:rsidRPr="00D95B1F">
              <w:t xml:space="preserve"> </w:t>
            </w:r>
            <w:r w:rsidR="00856360" w:rsidRPr="00D95B1F">
              <w:t>prohibited.</w:t>
            </w:r>
            <w:r w:rsidR="004E2CF0" w:rsidRPr="00D95B1F">
              <w:t xml:space="preserve"> </w:t>
            </w:r>
            <w:r w:rsidR="00856360" w:rsidRPr="00D95B1F">
              <w:t>I</w:t>
            </w:r>
            <w:r w:rsidR="004E2CF0" w:rsidRPr="00D95B1F">
              <w:t xml:space="preserve">f erroneously sold, </w:t>
            </w:r>
            <w:r w:rsidR="00856360" w:rsidRPr="00D95B1F">
              <w:t xml:space="preserve">the </w:t>
            </w:r>
            <w:r w:rsidR="004E2CF0" w:rsidRPr="00D95B1F">
              <w:t xml:space="preserve">lien </w:t>
            </w:r>
            <w:r w:rsidR="00A13CE2">
              <w:t>would</w:t>
            </w:r>
            <w:r w:rsidR="00A13CE2" w:rsidRPr="00D95B1F">
              <w:t xml:space="preserve"> </w:t>
            </w:r>
            <w:r w:rsidR="004E2CF0" w:rsidRPr="00D95B1F">
              <w:t xml:space="preserve">be substituted for an equal value lien, or </w:t>
            </w:r>
            <w:r w:rsidR="00A13CE2">
              <w:t>the purchaser of the lien would</w:t>
            </w:r>
            <w:r w:rsidR="00A13CE2" w:rsidRPr="00D95B1F">
              <w:t xml:space="preserve"> </w:t>
            </w:r>
            <w:r w:rsidR="004E2CF0" w:rsidRPr="00D95B1F">
              <w:t>be r</w:t>
            </w:r>
            <w:r w:rsidR="005E5505" w:rsidRPr="00D95B1F">
              <w:t>efunded the value of the lien.</w:t>
            </w:r>
          </w:p>
          <w:p w:rsidR="004A26DD" w:rsidRDefault="004A26DD" w:rsidP="004A26DD">
            <w:pPr>
              <w:pStyle w:val="NoSpacing"/>
            </w:pPr>
          </w:p>
          <w:p w:rsidR="00D95B1F" w:rsidRDefault="00D95B1F" w:rsidP="004A26DD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Sandy Damaged Properties</w:t>
            </w:r>
          </w:p>
          <w:p w:rsidR="00D95B1F" w:rsidRPr="00D95B1F" w:rsidRDefault="00D95B1F" w:rsidP="00D95B1F">
            <w:pPr>
              <w:pStyle w:val="NoSpacing"/>
            </w:pPr>
            <w:r w:rsidRPr="00D95B1F">
              <w:t xml:space="preserve">Properties tagged red and yellow by the Department of Buildings to indicate severity of damage due to </w:t>
            </w:r>
            <w:proofErr w:type="spellStart"/>
            <w:r w:rsidRPr="00D95B1F">
              <w:t>SuperStorm</w:t>
            </w:r>
            <w:proofErr w:type="spellEnd"/>
            <w:r w:rsidRPr="00D95B1F">
              <w:t xml:space="preserve"> Sandy and</w:t>
            </w:r>
            <w:r w:rsidR="00D8484A">
              <w:t xml:space="preserve"> properties in the</w:t>
            </w:r>
            <w:r w:rsidRPr="00D95B1F">
              <w:t xml:space="preserve"> Build It Back </w:t>
            </w:r>
            <w:r w:rsidR="00D8484A">
              <w:t>program would be</w:t>
            </w:r>
            <w:r w:rsidRPr="00D95B1F">
              <w:t xml:space="preserve"> excluded from the lien sale. If erroneously sold, the lien </w:t>
            </w:r>
            <w:r w:rsidR="00D8484A">
              <w:t>would</w:t>
            </w:r>
            <w:r w:rsidR="00D8484A" w:rsidRPr="00D95B1F">
              <w:t xml:space="preserve"> </w:t>
            </w:r>
            <w:r w:rsidRPr="00D95B1F">
              <w:t xml:space="preserve">be substituted for an equal value lien, or </w:t>
            </w:r>
            <w:r w:rsidR="00D8484A">
              <w:t>the purchaser of the lien would</w:t>
            </w:r>
            <w:r w:rsidR="00D8484A" w:rsidRPr="00D95B1F">
              <w:t xml:space="preserve"> </w:t>
            </w:r>
            <w:r w:rsidRPr="00D95B1F">
              <w:t xml:space="preserve">be </w:t>
            </w:r>
            <w:r w:rsidRPr="00D95B1F">
              <w:lastRenderedPageBreak/>
              <w:t>refunded the value of the lien.</w:t>
            </w:r>
          </w:p>
          <w:p w:rsidR="00D95B1F" w:rsidRPr="00D95B1F" w:rsidRDefault="00D95B1F" w:rsidP="004A26DD">
            <w:pPr>
              <w:pStyle w:val="NoSpacing"/>
            </w:pPr>
          </w:p>
          <w:p w:rsidR="00006DA7" w:rsidRPr="00D95B1F" w:rsidRDefault="00856360" w:rsidP="000B2E97">
            <w:pPr>
              <w:pStyle w:val="NoSpacing"/>
              <w:rPr>
                <w:u w:val="single"/>
              </w:rPr>
            </w:pPr>
            <w:r w:rsidRPr="00D95B1F">
              <w:rPr>
                <w:u w:val="single"/>
              </w:rPr>
              <w:t xml:space="preserve">Not-For-Profit </w:t>
            </w:r>
            <w:r w:rsidR="00006DA7" w:rsidRPr="00D95B1F">
              <w:rPr>
                <w:u w:val="single"/>
              </w:rPr>
              <w:t>Notification Provisions</w:t>
            </w:r>
          </w:p>
          <w:p w:rsidR="005D7B91" w:rsidRPr="00D95B1F" w:rsidRDefault="00D8484A" w:rsidP="000B2E97">
            <w:pPr>
              <w:pStyle w:val="NoSpacing"/>
            </w:pPr>
            <w:r>
              <w:t>The legislation would require the provision of information relating to property tax exemption application and renewal to n</w:t>
            </w:r>
            <w:r w:rsidR="005D7B91" w:rsidRPr="00D95B1F">
              <w:t>ot</w:t>
            </w:r>
            <w:r>
              <w:t>-</w:t>
            </w:r>
            <w:r w:rsidR="005D7B91" w:rsidRPr="00D95B1F">
              <w:t>for</w:t>
            </w:r>
            <w:r>
              <w:t>-</w:t>
            </w:r>
            <w:r w:rsidR="005D7B91" w:rsidRPr="00D95B1F">
              <w:t>profit</w:t>
            </w:r>
            <w:r>
              <w:t xml:space="preserve"> organization</w:t>
            </w:r>
            <w:r w:rsidR="005D7B91" w:rsidRPr="00D95B1F">
              <w:t>s</w:t>
            </w:r>
            <w:r>
              <w:t xml:space="preserve"> noticed for the lien sale</w:t>
            </w:r>
            <w:r w:rsidR="005D7B91" w:rsidRPr="00D95B1F">
              <w:t xml:space="preserve"> </w:t>
            </w:r>
            <w:r>
              <w:t>that had</w:t>
            </w:r>
            <w:r w:rsidR="005D7B91" w:rsidRPr="00D95B1F">
              <w:t xml:space="preserve"> received a property tax exemption in one of the </w:t>
            </w:r>
            <w:r w:rsidR="00856360" w:rsidRPr="00D95B1F">
              <w:t>three</w:t>
            </w:r>
            <w:r>
              <w:t xml:space="preserve"> prior</w:t>
            </w:r>
            <w:r w:rsidR="005D7B91" w:rsidRPr="00D95B1F">
              <w:t xml:space="preserve"> fiscal years</w:t>
            </w:r>
            <w:r>
              <w:t>.</w:t>
            </w:r>
            <w:r w:rsidR="00856360" w:rsidRPr="00D95B1F">
              <w:t xml:space="preserve"> </w:t>
            </w:r>
            <w:r>
              <w:t>Such notice shall also include information on other</w:t>
            </w:r>
            <w:r w:rsidR="00856360" w:rsidRPr="00D95B1F">
              <w:t xml:space="preserve"> </w:t>
            </w:r>
            <w:r w:rsidR="005D7B91" w:rsidRPr="00D95B1F">
              <w:t>actions that can be taken when noticed for the lien sale</w:t>
            </w:r>
            <w:r>
              <w:t>,</w:t>
            </w:r>
            <w:r w:rsidR="005D7B91" w:rsidRPr="00D95B1F">
              <w:t xml:space="preserve"> </w:t>
            </w:r>
            <w:r w:rsidR="00856360" w:rsidRPr="00D95B1F">
              <w:t>including adjustment or cancellation of back taxes</w:t>
            </w:r>
            <w:r w:rsidR="005D7B91" w:rsidRPr="00D95B1F">
              <w:t xml:space="preserve">. </w:t>
            </w:r>
            <w:r w:rsidR="003342ED" w:rsidRPr="00D95B1F">
              <w:rPr>
                <w:rFonts w:eastAsia="Calibri"/>
              </w:rPr>
              <w:t>Statements and notices must be</w:t>
            </w:r>
            <w:r w:rsidR="00A30FE9" w:rsidRPr="00D95B1F">
              <w:rPr>
                <w:rFonts w:eastAsia="Calibri"/>
              </w:rPr>
              <w:t xml:space="preserve"> provided</w:t>
            </w:r>
            <w:r w:rsidR="003342ED" w:rsidRPr="00D95B1F">
              <w:rPr>
                <w:rFonts w:eastAsia="Calibri"/>
              </w:rPr>
              <w:t xml:space="preserve"> in Chinese, Korean, Russian, or Spanish if requested by owner. </w:t>
            </w:r>
          </w:p>
          <w:p w:rsidR="007B25E2" w:rsidRPr="00D95B1F" w:rsidRDefault="007B25E2" w:rsidP="007B25E2">
            <w:pPr>
              <w:pStyle w:val="NoSpacing"/>
              <w:rPr>
                <w:u w:val="single"/>
              </w:rPr>
            </w:pPr>
          </w:p>
          <w:p w:rsidR="007B25E2" w:rsidRPr="00D95B1F" w:rsidRDefault="007B25E2" w:rsidP="007B25E2">
            <w:pPr>
              <w:pStyle w:val="NoSpacing"/>
              <w:rPr>
                <w:u w:val="single"/>
              </w:rPr>
            </w:pPr>
            <w:r w:rsidRPr="00D95B1F">
              <w:rPr>
                <w:u w:val="single"/>
              </w:rPr>
              <w:t xml:space="preserve">Lien Servicer Reporting </w:t>
            </w:r>
          </w:p>
          <w:p w:rsidR="007B25E2" w:rsidRPr="00D95B1F" w:rsidRDefault="007B25E2" w:rsidP="007B25E2">
            <w:pPr>
              <w:pStyle w:val="NoSpacing"/>
            </w:pPr>
            <w:r w:rsidRPr="00D95B1F">
              <w:rPr>
                <w:rFonts w:eastAsia="Calibri"/>
              </w:rPr>
              <w:t>This legislation would require that</w:t>
            </w:r>
            <w:r w:rsidRPr="00D95B1F">
              <w:t xml:space="preserve"> lien sale servicers provide Property Status reports to the Council detailing the status of tax liens.  Such reports would include: foreclosure information; if the property entered into a payment agreement; if the lien was deemed defective; and the reasons for such determinations. </w:t>
            </w:r>
          </w:p>
          <w:p w:rsidR="007B25E2" w:rsidRPr="00D95B1F" w:rsidRDefault="007B25E2" w:rsidP="007B25E2">
            <w:pPr>
              <w:pStyle w:val="NoSpacing"/>
            </w:pPr>
          </w:p>
          <w:p w:rsidR="007B25E2" w:rsidRPr="00D95B1F" w:rsidRDefault="007B25E2" w:rsidP="007B25E2">
            <w:pPr>
              <w:pStyle w:val="NoSpacing"/>
              <w:rPr>
                <w:u w:val="single"/>
              </w:rPr>
            </w:pPr>
            <w:r w:rsidRPr="00D95B1F">
              <w:rPr>
                <w:u w:val="single"/>
              </w:rPr>
              <w:t>Outreach Sessions</w:t>
            </w:r>
          </w:p>
          <w:p w:rsidR="007B25E2" w:rsidRPr="00D95B1F" w:rsidRDefault="007B25E2" w:rsidP="007B25E2">
            <w:pPr>
              <w:pStyle w:val="NoSpacing"/>
            </w:pPr>
            <w:r w:rsidRPr="00D95B1F">
              <w:t>The legislation</w:t>
            </w:r>
            <w:r w:rsidR="00D8484A">
              <w:t xml:space="preserve"> would</w:t>
            </w:r>
            <w:r w:rsidRPr="00D95B1F">
              <w:t xml:space="preserve"> codif</w:t>
            </w:r>
            <w:r w:rsidR="00D8484A">
              <w:t>y the</w:t>
            </w:r>
            <w:r w:rsidRPr="00D95B1F">
              <w:t xml:space="preserve"> current practice </w:t>
            </w:r>
            <w:r w:rsidR="00D8484A">
              <w:t xml:space="preserve">to </w:t>
            </w:r>
            <w:r w:rsidRPr="00D95B1F">
              <w:t>allow Council Members to request outreach sessions with HPD, the Department of Environmental Protection (DEP), and DOF in their</w:t>
            </w:r>
            <w:r w:rsidR="00D8484A">
              <w:t xml:space="preserve"> respective</w:t>
            </w:r>
            <w:r w:rsidRPr="00D95B1F">
              <w:t xml:space="preserve"> Council district</w:t>
            </w:r>
            <w:r w:rsidR="00D8484A">
              <w:t>s</w:t>
            </w:r>
            <w:r w:rsidRPr="00D95B1F">
              <w:t xml:space="preserve">. In addition, a report on outreach sessions </w:t>
            </w:r>
            <w:r w:rsidR="00D8484A">
              <w:t>would</w:t>
            </w:r>
            <w:r w:rsidR="00D8484A" w:rsidRPr="00D95B1F">
              <w:t xml:space="preserve"> </w:t>
            </w:r>
            <w:r w:rsidRPr="00D95B1F">
              <w:t>be provided by DOF</w:t>
            </w:r>
            <w:r w:rsidR="00D8484A">
              <w:t xml:space="preserve"> to the Council</w:t>
            </w:r>
            <w:r w:rsidRPr="00D95B1F">
              <w:t>, no later than 90 days after the lien sale</w:t>
            </w:r>
            <w:r w:rsidR="00364A04" w:rsidRPr="00D95B1F">
              <w:t xml:space="preserve">.  The report </w:t>
            </w:r>
            <w:r w:rsidR="00D8484A">
              <w:t>would</w:t>
            </w:r>
            <w:r w:rsidR="00D8484A" w:rsidRPr="00D95B1F">
              <w:t xml:space="preserve"> </w:t>
            </w:r>
            <w:r w:rsidRPr="00D95B1F">
              <w:t>detail</w:t>
            </w:r>
            <w:r w:rsidR="00D95B1F">
              <w:t xml:space="preserve"> </w:t>
            </w:r>
            <w:r w:rsidRPr="00D95B1F">
              <w:t>the number of outreach sessions performed,</w:t>
            </w:r>
            <w:r w:rsidR="00D8484A">
              <w:t xml:space="preserve"> the</w:t>
            </w:r>
            <w:r w:rsidRPr="00D95B1F">
              <w:t xml:space="preserve"> </w:t>
            </w:r>
            <w:r w:rsidR="00364A04" w:rsidRPr="00D95B1F">
              <w:t xml:space="preserve">number of </w:t>
            </w:r>
            <w:r w:rsidRPr="00D95B1F">
              <w:t xml:space="preserve">payment agreements begun, </w:t>
            </w:r>
            <w:r w:rsidR="00D8484A">
              <w:t xml:space="preserve">the </w:t>
            </w:r>
            <w:r w:rsidRPr="00D95B1F">
              <w:t>number of property tax applications begun, and</w:t>
            </w:r>
            <w:r w:rsidR="00D8484A">
              <w:t xml:space="preserve"> the</w:t>
            </w:r>
            <w:r w:rsidRPr="00D95B1F">
              <w:t xml:space="preserve"> number of attendees at each session.</w:t>
            </w:r>
          </w:p>
          <w:p w:rsidR="00364A04" w:rsidRPr="00D95B1F" w:rsidRDefault="00364A04" w:rsidP="00494FCD">
            <w:pPr>
              <w:spacing w:before="240"/>
              <w:rPr>
                <w:u w:val="single"/>
              </w:rPr>
            </w:pPr>
            <w:r w:rsidRPr="00D95B1F">
              <w:rPr>
                <w:u w:val="single"/>
              </w:rPr>
              <w:t>Extenuating Circumstances</w:t>
            </w:r>
          </w:p>
          <w:p w:rsidR="00006DA7" w:rsidRPr="00D95B1F" w:rsidRDefault="00D8484A" w:rsidP="00D95B1F">
            <w:r>
              <w:t>The legislation would require l</w:t>
            </w:r>
            <w:r w:rsidR="00364A04" w:rsidRPr="00D95B1F">
              <w:t xml:space="preserve">anguage </w:t>
            </w:r>
            <w:r>
              <w:t>to</w:t>
            </w:r>
            <w:r w:rsidRPr="00D95B1F">
              <w:t xml:space="preserve"> </w:t>
            </w:r>
            <w:r w:rsidR="00364A04" w:rsidRPr="00D95B1F">
              <w:t xml:space="preserve">be included on the </w:t>
            </w:r>
            <w:r>
              <w:t xml:space="preserve">payment </w:t>
            </w:r>
            <w:r w:rsidR="00364A04" w:rsidRPr="00D95B1F">
              <w:t xml:space="preserve">agreement form to make clear to the property owner (or other eligible person) that if the payment plan is defaulted on, that he/she would be prevented from entering into another payment agreement for five years unless extenuating circumstances exist.  Extenuating circumstances would be defined on the form.  </w:t>
            </w:r>
          </w:p>
          <w:p w:rsidR="00CC2154" w:rsidRPr="00D95B1F" w:rsidRDefault="00CC2154" w:rsidP="00494FCD"/>
          <w:p w:rsidR="00CC2154" w:rsidRPr="00D95B1F" w:rsidRDefault="008628A2" w:rsidP="00494FCD">
            <w:pPr>
              <w:rPr>
                <w:bCs/>
                <w:u w:val="single"/>
              </w:rPr>
            </w:pPr>
            <w:r w:rsidRPr="00D95B1F">
              <w:rPr>
                <w:bCs/>
                <w:u w:val="single"/>
              </w:rPr>
              <w:t>Temporary Task Force</w:t>
            </w:r>
          </w:p>
          <w:p w:rsidR="00BC4201" w:rsidRPr="00D95B1F" w:rsidRDefault="00BC4201" w:rsidP="00494FCD">
            <w:pPr>
              <w:rPr>
                <w:u w:val="single"/>
              </w:rPr>
            </w:pPr>
            <w:r w:rsidRPr="00D95B1F">
              <w:rPr>
                <w:rFonts w:eastAsia="Calibri"/>
              </w:rPr>
              <w:t xml:space="preserve">This legislation would </w:t>
            </w:r>
            <w:r w:rsidR="00E87A8A" w:rsidRPr="00D95B1F">
              <w:rPr>
                <w:rFonts w:eastAsia="Calibri"/>
              </w:rPr>
              <w:t xml:space="preserve">require </w:t>
            </w:r>
            <w:r w:rsidRPr="00D95B1F">
              <w:rPr>
                <w:rFonts w:eastAsia="Calibri"/>
              </w:rPr>
              <w:t xml:space="preserve">the creation of a ten-member temporary task force to meet </w:t>
            </w:r>
            <w:r w:rsidR="00AC62F4" w:rsidRPr="00D95B1F">
              <w:rPr>
                <w:rFonts w:eastAsia="Calibri"/>
              </w:rPr>
              <w:t xml:space="preserve">at least </w:t>
            </w:r>
            <w:r w:rsidRPr="00D95B1F">
              <w:rPr>
                <w:rFonts w:eastAsia="Calibri"/>
              </w:rPr>
              <w:t xml:space="preserve">quarterly. The task force will consist of </w:t>
            </w:r>
            <w:r w:rsidR="00E87A8A" w:rsidRPr="00D95B1F">
              <w:rPr>
                <w:rFonts w:eastAsia="Calibri"/>
              </w:rPr>
              <w:t>the Commissioners of</w:t>
            </w:r>
            <w:r w:rsidRPr="00D95B1F">
              <w:rPr>
                <w:rFonts w:eastAsia="Calibri"/>
              </w:rPr>
              <w:t xml:space="preserve"> </w:t>
            </w:r>
            <w:r w:rsidRPr="00D95B1F">
              <w:t xml:space="preserve">DOF, HPD, </w:t>
            </w:r>
            <w:r w:rsidR="00E87A8A" w:rsidRPr="00D95B1F">
              <w:t xml:space="preserve">and </w:t>
            </w:r>
            <w:r w:rsidRPr="00D95B1F">
              <w:t xml:space="preserve">DEP, </w:t>
            </w:r>
            <w:r w:rsidR="00E87A8A" w:rsidRPr="00D95B1F">
              <w:t>or their appointee</w:t>
            </w:r>
            <w:r w:rsidR="00D8484A">
              <w:t>s</w:t>
            </w:r>
            <w:r w:rsidR="00E87A8A" w:rsidRPr="00D95B1F">
              <w:t>; the Director of the Mayor’s Office of Management and Budget, or his/her appointee; an appointee of the Mayor; and five</w:t>
            </w:r>
            <w:r w:rsidR="009315FE">
              <w:t xml:space="preserve"> members</w:t>
            </w:r>
            <w:r w:rsidR="00E87A8A" w:rsidRPr="00D95B1F">
              <w:t xml:space="preserve"> appointed by the Speaker of the City Council. </w:t>
            </w:r>
            <w:r w:rsidR="00AC62F4" w:rsidRPr="00D95B1F">
              <w:t>The</w:t>
            </w:r>
            <w:r w:rsidR="00F17FB2" w:rsidRPr="00D95B1F">
              <w:t xml:space="preserve"> task force will formulate and submit a report the Mayor and Council that outlines recommendations on changes to improve fairness, transparency, efficiency, and effectiveness of the lien sale process. </w:t>
            </w:r>
          </w:p>
          <w:p w:rsidR="008628A2" w:rsidRPr="00D95B1F" w:rsidRDefault="008628A2" w:rsidP="00494FCD"/>
          <w:p w:rsidR="00006DA7" w:rsidRPr="00D95B1F" w:rsidRDefault="00006DA7" w:rsidP="00494FCD">
            <w:pPr>
              <w:rPr>
                <w:u w:val="single"/>
              </w:rPr>
            </w:pPr>
            <w:r w:rsidRPr="00D95B1F">
              <w:rPr>
                <w:u w:val="single"/>
              </w:rPr>
              <w:t>Expiration</w:t>
            </w:r>
          </w:p>
          <w:p w:rsidR="00006DA7" w:rsidRPr="00D95B1F" w:rsidRDefault="00006DA7" w:rsidP="00494FCD">
            <w:r w:rsidRPr="00D95B1F">
              <w:t xml:space="preserve">The bill expires </w:t>
            </w:r>
            <w:r w:rsidR="00CC2154" w:rsidRPr="00D95B1F">
              <w:t xml:space="preserve">December 31, 2016. </w:t>
            </w:r>
          </w:p>
          <w:p w:rsidR="00006DA7" w:rsidRPr="00D95B1F" w:rsidRDefault="00006DA7" w:rsidP="00494FCD"/>
          <w:p w:rsidR="008628A2" w:rsidRPr="00D95B1F" w:rsidRDefault="00006DA7" w:rsidP="008628A2">
            <w:r w:rsidRPr="00D95B1F">
              <w:rPr>
                <w:b/>
                <w:bCs/>
                <w:smallCaps/>
              </w:rPr>
              <w:t xml:space="preserve">Effective Date:   </w:t>
            </w:r>
            <w:r w:rsidRPr="00D95B1F">
              <w:t xml:space="preserve">The </w:t>
            </w:r>
            <w:r w:rsidR="00506D1F">
              <w:t>legislation</w:t>
            </w:r>
            <w:r w:rsidR="00506D1F" w:rsidRPr="00D95B1F">
              <w:t xml:space="preserve"> </w:t>
            </w:r>
            <w:r w:rsidRPr="00D95B1F">
              <w:t>would take effect immediately</w:t>
            </w:r>
            <w:r w:rsidR="008628A2" w:rsidRPr="00D95B1F">
              <w:t xml:space="preserve">, retroactive to January 1, 2015. </w:t>
            </w:r>
          </w:p>
          <w:p w:rsidR="00006DA7" w:rsidRPr="00D95B1F" w:rsidRDefault="00006DA7" w:rsidP="00494F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DA7">
        <w:trPr>
          <w:cantSplit/>
          <w:trHeight w:val="553"/>
          <w:jc w:val="center"/>
        </w:trPr>
        <w:tc>
          <w:tcPr>
            <w:tcW w:w="11016" w:type="dxa"/>
            <w:gridSpan w:val="2"/>
            <w:tcBorders>
              <w:bottom w:val="single" w:sz="6" w:space="0" w:color="auto"/>
            </w:tcBorders>
          </w:tcPr>
          <w:p w:rsidR="00006DA7" w:rsidRPr="00D95B1F" w:rsidRDefault="00006DA7" w:rsidP="00494FCD">
            <w:r w:rsidRPr="00D95B1F">
              <w:rPr>
                <w:b/>
                <w:bCs/>
                <w:smallCaps/>
              </w:rPr>
              <w:lastRenderedPageBreak/>
              <w:t>Fiscal Year In Which Full Fiscal Impact Anticipated:</w:t>
            </w:r>
            <w:r w:rsidR="00CC2154" w:rsidRPr="00D95B1F">
              <w:t xml:space="preserve">   Fiscal 201</w:t>
            </w:r>
            <w:r w:rsidR="00D95B1F">
              <w:t>5</w:t>
            </w:r>
          </w:p>
          <w:p w:rsidR="00006DA7" w:rsidRPr="00D95B1F" w:rsidRDefault="00006DA7" w:rsidP="00494FCD">
            <w:pPr>
              <w:rPr>
                <w:b/>
                <w:bCs/>
                <w:smallCaps/>
              </w:rPr>
            </w:pPr>
          </w:p>
        </w:tc>
      </w:tr>
      <w:tr w:rsidR="00006DA7">
        <w:trPr>
          <w:cantSplit/>
          <w:jc w:val="center"/>
        </w:trPr>
        <w:tc>
          <w:tcPr>
            <w:tcW w:w="11016" w:type="dxa"/>
            <w:gridSpan w:val="2"/>
            <w:tcBorders>
              <w:top w:val="single" w:sz="6" w:space="0" w:color="auto"/>
            </w:tcBorders>
          </w:tcPr>
          <w:p w:rsidR="00006DA7" w:rsidRDefault="00006DA7" w:rsidP="00494FCD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Fiscal Impact Statement:</w:t>
            </w:r>
          </w:p>
          <w:p w:rsidR="00006DA7" w:rsidRDefault="00006DA7" w:rsidP="00494FCD">
            <w:pPr>
              <w:rPr>
                <w:b/>
                <w:bCs/>
                <w:smallCaps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634"/>
              <w:gridCol w:w="1874"/>
              <w:gridCol w:w="1754"/>
            </w:tblGrid>
            <w:tr w:rsidR="00006DA7">
              <w:trPr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006DA7" w:rsidRDefault="00006DA7" w:rsidP="00494FCD">
                  <w:pPr>
                    <w:spacing w:line="201" w:lineRule="exact"/>
                    <w:jc w:val="center"/>
                  </w:pPr>
                </w:p>
                <w:p w:rsidR="00006DA7" w:rsidRDefault="00006DA7" w:rsidP="00494FCD">
                  <w:pPr>
                    <w:jc w:val="center"/>
                    <w:rPr>
                      <w:b/>
                      <w:bCs/>
                      <w:szCs w:val="19"/>
                    </w:rPr>
                  </w:pPr>
                </w:p>
              </w:tc>
              <w:tc>
                <w:tcPr>
                  <w:tcW w:w="163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006DA7" w:rsidRDefault="00CC2154" w:rsidP="00494FCD">
                  <w:pPr>
                    <w:jc w:val="center"/>
                    <w:rPr>
                      <w:b/>
                      <w:bCs/>
                      <w:szCs w:val="19"/>
                    </w:rPr>
                  </w:pPr>
                  <w:r>
                    <w:rPr>
                      <w:b/>
                      <w:bCs/>
                      <w:szCs w:val="19"/>
                    </w:rPr>
                    <w:t>Effective FY15</w:t>
                  </w:r>
                </w:p>
              </w:tc>
              <w:tc>
                <w:tcPr>
                  <w:tcW w:w="187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006DA7" w:rsidRDefault="00006DA7" w:rsidP="00494FCD">
                  <w:pPr>
                    <w:jc w:val="center"/>
                    <w:rPr>
                      <w:b/>
                      <w:bCs/>
                      <w:szCs w:val="19"/>
                    </w:rPr>
                  </w:pPr>
                  <w:r>
                    <w:rPr>
                      <w:b/>
                      <w:bCs/>
                      <w:szCs w:val="19"/>
                    </w:rPr>
                    <w:t>FY Succeeding</w:t>
                  </w:r>
                </w:p>
                <w:p w:rsidR="00006DA7" w:rsidRDefault="00006DA7" w:rsidP="00494FCD">
                  <w:pPr>
                    <w:jc w:val="center"/>
                    <w:rPr>
                      <w:b/>
                      <w:bCs/>
                      <w:szCs w:val="19"/>
                    </w:rPr>
                  </w:pPr>
                  <w:r>
                    <w:rPr>
                      <w:b/>
                      <w:bCs/>
                      <w:szCs w:val="19"/>
                    </w:rPr>
                    <w:t xml:space="preserve">Effective </w:t>
                  </w:r>
                  <w:r w:rsidR="00CC2154">
                    <w:rPr>
                      <w:b/>
                      <w:bCs/>
                      <w:szCs w:val="19"/>
                    </w:rPr>
                    <w:t>FY16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:rsidR="00006DA7" w:rsidRDefault="00006DA7" w:rsidP="00494FCD">
                  <w:pPr>
                    <w:jc w:val="center"/>
                    <w:rPr>
                      <w:b/>
                      <w:bCs/>
                      <w:szCs w:val="19"/>
                    </w:rPr>
                  </w:pPr>
                  <w:r>
                    <w:rPr>
                      <w:b/>
                      <w:bCs/>
                      <w:szCs w:val="19"/>
                    </w:rPr>
                    <w:t>Full Fiscal</w:t>
                  </w:r>
                </w:p>
                <w:p w:rsidR="00006DA7" w:rsidRDefault="00CC2154" w:rsidP="00506D1F">
                  <w:pPr>
                    <w:pStyle w:val="Heading1"/>
                  </w:pPr>
                  <w:r>
                    <w:t>Impact FY16</w:t>
                  </w:r>
                </w:p>
              </w:tc>
            </w:tr>
            <w:tr w:rsidR="00D95B1F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D95B1F" w:rsidRDefault="00D95B1F" w:rsidP="00494FCD">
                  <w:pPr>
                    <w:spacing w:line="163" w:lineRule="exact"/>
                    <w:jc w:val="center"/>
                    <w:rPr>
                      <w:b/>
                      <w:bCs/>
                      <w:szCs w:val="19"/>
                    </w:rPr>
                  </w:pPr>
                </w:p>
                <w:p w:rsidR="00D95B1F" w:rsidRDefault="00D95B1F" w:rsidP="00494FCD">
                  <w:pPr>
                    <w:jc w:val="center"/>
                    <w:rPr>
                      <w:b/>
                      <w:bCs/>
                      <w:szCs w:val="19"/>
                    </w:rPr>
                  </w:pPr>
                  <w:r>
                    <w:rPr>
                      <w:b/>
                      <w:bCs/>
                      <w:szCs w:val="19"/>
                    </w:rPr>
                    <w:t>Revenues (+)</w:t>
                  </w:r>
                </w:p>
              </w:tc>
              <w:tc>
                <w:tcPr>
                  <w:tcW w:w="163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bottom"/>
                </w:tcPr>
                <w:p w:rsidR="00D95B1F" w:rsidRDefault="00D95B1F" w:rsidP="00705E7D">
                  <w:pPr>
                    <w:jc w:val="center"/>
                  </w:pPr>
                  <w:r w:rsidRPr="00F8264F">
                    <w:rPr>
                      <w:b/>
                      <w:bCs/>
                      <w:szCs w:val="19"/>
                    </w:rPr>
                    <w:t>$0</w:t>
                  </w:r>
                </w:p>
              </w:tc>
              <w:tc>
                <w:tcPr>
                  <w:tcW w:w="187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bottom"/>
                </w:tcPr>
                <w:p w:rsidR="00D95B1F" w:rsidRDefault="00D95B1F" w:rsidP="00705E7D">
                  <w:pPr>
                    <w:jc w:val="center"/>
                  </w:pPr>
                  <w:r w:rsidRPr="00F8264F">
                    <w:rPr>
                      <w:b/>
                      <w:bCs/>
                      <w:szCs w:val="19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bottom"/>
                </w:tcPr>
                <w:p w:rsidR="00D95B1F" w:rsidRDefault="00D95B1F" w:rsidP="00705E7D">
                  <w:pPr>
                    <w:jc w:val="center"/>
                  </w:pPr>
                  <w:r w:rsidRPr="00F8264F">
                    <w:rPr>
                      <w:b/>
                      <w:bCs/>
                      <w:szCs w:val="19"/>
                    </w:rPr>
                    <w:t>$0</w:t>
                  </w:r>
                </w:p>
              </w:tc>
            </w:tr>
            <w:tr w:rsidR="00D95B1F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D95B1F" w:rsidRDefault="00D95B1F" w:rsidP="00494FCD">
                  <w:pPr>
                    <w:spacing w:line="163" w:lineRule="exact"/>
                    <w:jc w:val="center"/>
                    <w:rPr>
                      <w:b/>
                      <w:bCs/>
                      <w:szCs w:val="19"/>
                    </w:rPr>
                  </w:pPr>
                </w:p>
                <w:p w:rsidR="00D95B1F" w:rsidRDefault="00D95B1F" w:rsidP="00494FCD">
                  <w:pPr>
                    <w:jc w:val="center"/>
                    <w:rPr>
                      <w:b/>
                      <w:bCs/>
                      <w:szCs w:val="19"/>
                    </w:rPr>
                  </w:pPr>
                  <w:r>
                    <w:rPr>
                      <w:b/>
                      <w:bCs/>
                      <w:szCs w:val="19"/>
                    </w:rPr>
                    <w:t xml:space="preserve">Expenditures (-) </w:t>
                  </w:r>
                </w:p>
              </w:tc>
              <w:tc>
                <w:tcPr>
                  <w:tcW w:w="163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bottom"/>
                </w:tcPr>
                <w:p w:rsidR="00D95B1F" w:rsidRDefault="00D95B1F" w:rsidP="00705E7D">
                  <w:pPr>
                    <w:jc w:val="center"/>
                  </w:pPr>
                  <w:r w:rsidRPr="00F8264F">
                    <w:rPr>
                      <w:b/>
                      <w:bCs/>
                      <w:szCs w:val="19"/>
                    </w:rPr>
                    <w:t>$0</w:t>
                  </w:r>
                </w:p>
              </w:tc>
              <w:tc>
                <w:tcPr>
                  <w:tcW w:w="187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bottom"/>
                </w:tcPr>
                <w:p w:rsidR="00D95B1F" w:rsidRDefault="00D95B1F" w:rsidP="00705E7D">
                  <w:pPr>
                    <w:jc w:val="center"/>
                  </w:pPr>
                  <w:r w:rsidRPr="00F8264F">
                    <w:rPr>
                      <w:b/>
                      <w:bCs/>
                      <w:szCs w:val="19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bottom"/>
                </w:tcPr>
                <w:p w:rsidR="00D95B1F" w:rsidRDefault="00D95B1F" w:rsidP="00705E7D">
                  <w:pPr>
                    <w:jc w:val="center"/>
                  </w:pPr>
                  <w:r w:rsidRPr="00F8264F">
                    <w:rPr>
                      <w:b/>
                      <w:bCs/>
                      <w:szCs w:val="19"/>
                    </w:rPr>
                    <w:t>$0</w:t>
                  </w:r>
                </w:p>
              </w:tc>
            </w:tr>
            <w:tr w:rsidR="00D95B1F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:rsidR="00D95B1F" w:rsidRDefault="00D95B1F" w:rsidP="00494FCD">
                  <w:pPr>
                    <w:spacing w:line="163" w:lineRule="exact"/>
                    <w:jc w:val="center"/>
                    <w:rPr>
                      <w:b/>
                      <w:bCs/>
                      <w:szCs w:val="19"/>
                    </w:rPr>
                  </w:pPr>
                </w:p>
                <w:p w:rsidR="00D95B1F" w:rsidRDefault="00D95B1F" w:rsidP="00494FCD">
                  <w:pPr>
                    <w:spacing w:after="58"/>
                    <w:jc w:val="center"/>
                    <w:rPr>
                      <w:b/>
                      <w:bCs/>
                      <w:szCs w:val="19"/>
                    </w:rPr>
                  </w:pPr>
                  <w:r>
                    <w:rPr>
                      <w:b/>
                      <w:bCs/>
                      <w:szCs w:val="19"/>
                    </w:rPr>
                    <w:t>Net</w:t>
                  </w:r>
                </w:p>
              </w:tc>
              <w:tc>
                <w:tcPr>
                  <w:tcW w:w="16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bottom"/>
                </w:tcPr>
                <w:p w:rsidR="00D95B1F" w:rsidRDefault="00D95B1F" w:rsidP="00D95B1F">
                  <w:pPr>
                    <w:jc w:val="center"/>
                  </w:pPr>
                  <w:r w:rsidRPr="00F8264F">
                    <w:rPr>
                      <w:b/>
                      <w:bCs/>
                      <w:szCs w:val="19"/>
                    </w:rPr>
                    <w:t>$0</w:t>
                  </w:r>
                </w:p>
              </w:tc>
              <w:tc>
                <w:tcPr>
                  <w:tcW w:w="1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bottom"/>
                </w:tcPr>
                <w:p w:rsidR="00D95B1F" w:rsidRDefault="00D95B1F" w:rsidP="00D95B1F">
                  <w:pPr>
                    <w:jc w:val="center"/>
                  </w:pPr>
                  <w:r w:rsidRPr="00F8264F">
                    <w:rPr>
                      <w:b/>
                      <w:bCs/>
                      <w:szCs w:val="19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bottom"/>
                </w:tcPr>
                <w:p w:rsidR="00D95B1F" w:rsidRDefault="00D95B1F" w:rsidP="00D95B1F">
                  <w:pPr>
                    <w:jc w:val="center"/>
                  </w:pPr>
                  <w:r w:rsidRPr="00F8264F">
                    <w:rPr>
                      <w:b/>
                      <w:bCs/>
                      <w:szCs w:val="19"/>
                    </w:rPr>
                    <w:t>$0</w:t>
                  </w:r>
                </w:p>
              </w:tc>
            </w:tr>
          </w:tbl>
          <w:p w:rsidR="00006DA7" w:rsidRDefault="00006DA7" w:rsidP="00494FCD"/>
        </w:tc>
      </w:tr>
      <w:tr w:rsidR="00006DA7">
        <w:trPr>
          <w:jc w:val="center"/>
        </w:trPr>
        <w:tc>
          <w:tcPr>
            <w:tcW w:w="11016" w:type="dxa"/>
            <w:gridSpan w:val="2"/>
          </w:tcPr>
          <w:p w:rsidR="00006DA7" w:rsidRDefault="00006DA7" w:rsidP="00494FCD"/>
        </w:tc>
      </w:tr>
      <w:tr w:rsidR="00006DA7">
        <w:trPr>
          <w:jc w:val="center"/>
        </w:trPr>
        <w:tc>
          <w:tcPr>
            <w:tcW w:w="11016" w:type="dxa"/>
            <w:gridSpan w:val="2"/>
          </w:tcPr>
          <w:p w:rsidR="00006DA7" w:rsidRDefault="00006DA7" w:rsidP="00494FCD">
            <w:r>
              <w:rPr>
                <w:b/>
                <w:bCs/>
                <w:smallCaps/>
                <w:szCs w:val="19"/>
              </w:rPr>
              <w:t>Impact on Revenues</w:t>
            </w:r>
            <w:r w:rsidR="00D95B1F">
              <w:rPr>
                <w:b/>
                <w:bCs/>
                <w:smallCaps/>
                <w:szCs w:val="19"/>
              </w:rPr>
              <w:t xml:space="preserve"> &amp; Expenditures</w:t>
            </w:r>
            <w:r>
              <w:rPr>
                <w:b/>
                <w:bCs/>
                <w:szCs w:val="19"/>
              </w:rPr>
              <w:t>:</w:t>
            </w:r>
            <w:r>
              <w:rPr>
                <w:szCs w:val="19"/>
              </w:rPr>
              <w:t xml:space="preserve">  </w:t>
            </w:r>
          </w:p>
        </w:tc>
      </w:tr>
      <w:tr w:rsidR="00006DA7">
        <w:trPr>
          <w:jc w:val="center"/>
        </w:trPr>
        <w:tc>
          <w:tcPr>
            <w:tcW w:w="11016" w:type="dxa"/>
            <w:gridSpan w:val="2"/>
          </w:tcPr>
          <w:p w:rsidR="00006DA7" w:rsidRDefault="00D95B1F" w:rsidP="00494FCD">
            <w:r>
              <w:t xml:space="preserve">The City’s financial plan already </w:t>
            </w:r>
            <w:r w:rsidR="00D8484A">
              <w:t xml:space="preserve">assumes </w:t>
            </w:r>
            <w:r>
              <w:t>the</w:t>
            </w:r>
            <w:r w:rsidR="00D8484A">
              <w:t xml:space="preserve"> anticipated</w:t>
            </w:r>
            <w:r>
              <w:t xml:space="preserve"> revenues and expenses associated with the lien sale under the framework authorized under the recently expired law. </w:t>
            </w:r>
            <w:r w:rsidR="00D8484A">
              <w:t>It is not anticipated that t</w:t>
            </w:r>
            <w:r w:rsidR="00006DA7">
              <w:t>he</w:t>
            </w:r>
            <w:r>
              <w:t xml:space="preserve"> proposed legislation </w:t>
            </w:r>
            <w:r w:rsidR="00D8484A">
              <w:t>would have an additional impact on the City’s revenues or expenditures because it in large part</w:t>
            </w:r>
            <w:r>
              <w:t xml:space="preserve"> codifies existing practices, and introduces several new reporting and notification requirements </w:t>
            </w:r>
            <w:r w:rsidR="00D8484A">
              <w:t>which compliance will be accomplished utilizing</w:t>
            </w:r>
            <w:r>
              <w:t xml:space="preserve"> existing resources. </w:t>
            </w:r>
          </w:p>
          <w:p w:rsidR="00DB643C" w:rsidRDefault="00DB643C" w:rsidP="00494FCD"/>
          <w:p w:rsidR="00006DA7" w:rsidRPr="00312C6E" w:rsidRDefault="00006DA7" w:rsidP="00D95B1F">
            <w:pPr>
              <w:rPr>
                <w:szCs w:val="19"/>
              </w:rPr>
            </w:pPr>
            <w:r w:rsidRPr="00D95B1F">
              <w:rPr>
                <w:b/>
                <w:bCs/>
                <w:smallCaps/>
                <w:szCs w:val="19"/>
              </w:rPr>
              <w:t>Source of Funds To Cover Estimated Costs</w:t>
            </w:r>
            <w:r w:rsidRPr="00D95B1F">
              <w:rPr>
                <w:b/>
                <w:bCs/>
                <w:szCs w:val="19"/>
              </w:rPr>
              <w:t>:</w:t>
            </w:r>
            <w:r w:rsidR="00826AD9" w:rsidRPr="00D95B1F">
              <w:rPr>
                <w:szCs w:val="19"/>
              </w:rPr>
              <w:tab/>
              <w:t xml:space="preserve">  </w:t>
            </w:r>
            <w:r w:rsidR="00D95B1F" w:rsidRPr="00D95B1F">
              <w:rPr>
                <w:szCs w:val="19"/>
              </w:rPr>
              <w:t>N/A</w:t>
            </w:r>
          </w:p>
        </w:tc>
      </w:tr>
      <w:tr w:rsidR="00006DA7">
        <w:trPr>
          <w:jc w:val="center"/>
        </w:trPr>
        <w:tc>
          <w:tcPr>
            <w:tcW w:w="11016" w:type="dxa"/>
            <w:gridSpan w:val="2"/>
          </w:tcPr>
          <w:p w:rsidR="00006DA7" w:rsidRDefault="00006DA7" w:rsidP="00494FCD">
            <w:r>
              <w:rPr>
                <w:szCs w:val="19"/>
              </w:rPr>
              <w:t xml:space="preserve">                                                </w:t>
            </w:r>
          </w:p>
        </w:tc>
      </w:tr>
      <w:tr w:rsidR="00006DA7">
        <w:trPr>
          <w:trHeight w:val="666"/>
          <w:jc w:val="center"/>
        </w:trPr>
        <w:tc>
          <w:tcPr>
            <w:tcW w:w="11016" w:type="dxa"/>
            <w:gridSpan w:val="2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0800"/>
            </w:tblGrid>
            <w:tr w:rsidR="00006DA7" w:rsidRPr="00583C8A">
              <w:trPr>
                <w:jc w:val="center"/>
              </w:trPr>
              <w:tc>
                <w:tcPr>
                  <w:tcW w:w="11016" w:type="dxa"/>
                </w:tcPr>
                <w:p w:rsidR="00006DA7" w:rsidRDefault="00006DA7" w:rsidP="00AB18C3">
                  <w:pPr>
                    <w:tabs>
                      <w:tab w:val="left" w:pos="2952"/>
                    </w:tabs>
                    <w:rPr>
                      <w:szCs w:val="19"/>
                    </w:rPr>
                  </w:pPr>
                  <w:r w:rsidRPr="00D95B1F">
                    <w:rPr>
                      <w:b/>
                      <w:bCs/>
                      <w:smallCaps/>
                      <w:szCs w:val="19"/>
                    </w:rPr>
                    <w:t>Source of Information</w:t>
                  </w:r>
                  <w:r w:rsidRPr="00D95B1F">
                    <w:rPr>
                      <w:b/>
                      <w:bCs/>
                      <w:szCs w:val="19"/>
                    </w:rPr>
                    <w:t>:</w:t>
                  </w:r>
                  <w:r w:rsidRPr="00D95B1F">
                    <w:rPr>
                      <w:szCs w:val="19"/>
                    </w:rPr>
                    <w:tab/>
                    <w:t>New York City Council Finance Division</w:t>
                  </w:r>
                </w:p>
                <w:p w:rsidR="00C64B2A" w:rsidRPr="00D95B1F" w:rsidRDefault="00C64B2A" w:rsidP="00AB18C3">
                  <w:pPr>
                    <w:tabs>
                      <w:tab w:val="left" w:pos="2952"/>
                    </w:tabs>
                    <w:rPr>
                      <w:szCs w:val="19"/>
                    </w:rPr>
                  </w:pPr>
                  <w:r>
                    <w:rPr>
                      <w:szCs w:val="19"/>
                    </w:rPr>
                    <w:t xml:space="preserve">                                   </w:t>
                  </w:r>
                  <w:r w:rsidR="00AB18C3">
                    <w:rPr>
                      <w:szCs w:val="19"/>
                    </w:rPr>
                    <w:t xml:space="preserve"> </w:t>
                  </w:r>
                  <w:r>
                    <w:rPr>
                      <w:szCs w:val="19"/>
                    </w:rPr>
                    <w:t xml:space="preserve">      </w:t>
                  </w:r>
                  <w:r w:rsidR="00AB18C3">
                    <w:rPr>
                      <w:szCs w:val="19"/>
                    </w:rPr>
                    <w:t xml:space="preserve">   </w:t>
                  </w:r>
                  <w:r>
                    <w:rPr>
                      <w:szCs w:val="19"/>
                    </w:rPr>
                    <w:t xml:space="preserve">  </w:t>
                  </w:r>
                  <w:r w:rsidR="00A931B9">
                    <w:rPr>
                      <w:szCs w:val="19"/>
                    </w:rPr>
                    <w:t xml:space="preserve"> </w:t>
                  </w:r>
                  <w:r>
                    <w:rPr>
                      <w:szCs w:val="19"/>
                    </w:rPr>
                    <w:t>Office of Management and Budget</w:t>
                  </w:r>
                </w:p>
                <w:p w:rsidR="00006DA7" w:rsidRPr="00D95B1F" w:rsidRDefault="00006DA7" w:rsidP="00494FCD">
                  <w:pPr>
                    <w:rPr>
                      <w:szCs w:val="19"/>
                    </w:rPr>
                  </w:pPr>
                  <w:r w:rsidRPr="00D95B1F">
                    <w:rPr>
                      <w:szCs w:val="19"/>
                    </w:rPr>
                    <w:t xml:space="preserve">                </w:t>
                  </w:r>
                  <w:r w:rsidR="00826AD9" w:rsidRPr="00D95B1F">
                    <w:rPr>
                      <w:szCs w:val="19"/>
                    </w:rPr>
                    <w:t xml:space="preserve">                           </w:t>
                  </w:r>
                  <w:r w:rsidRPr="00D95B1F">
                    <w:rPr>
                      <w:szCs w:val="19"/>
                    </w:rPr>
                    <w:t xml:space="preserve">                                               </w:t>
                  </w:r>
                </w:p>
                <w:p w:rsidR="00006DA7" w:rsidRPr="00D95B1F" w:rsidRDefault="00006DA7" w:rsidP="00D95B1F">
                  <w:r w:rsidRPr="00D95B1F">
                    <w:rPr>
                      <w:szCs w:val="19"/>
                    </w:rPr>
                    <w:t xml:space="preserve">   </w:t>
                  </w:r>
                  <w:r w:rsidR="00D95B1F">
                    <w:rPr>
                      <w:szCs w:val="19"/>
                    </w:rPr>
                    <w:t xml:space="preserve">                               </w:t>
                  </w:r>
                  <w:r w:rsidRPr="00D95B1F">
                    <w:rPr>
                      <w:szCs w:val="19"/>
                    </w:rPr>
                    <w:t xml:space="preserve">             </w:t>
                  </w:r>
                </w:p>
              </w:tc>
            </w:tr>
            <w:tr w:rsidR="00006DA7" w:rsidRPr="00583C8A">
              <w:trPr>
                <w:trHeight w:val="666"/>
                <w:jc w:val="center"/>
              </w:trPr>
              <w:tc>
                <w:tcPr>
                  <w:tcW w:w="11016" w:type="dxa"/>
                </w:tcPr>
                <w:p w:rsidR="00D95B1F" w:rsidRPr="00D95B1F" w:rsidRDefault="00006DA7" w:rsidP="00006DA7">
                  <w:r w:rsidRPr="00D95B1F">
                    <w:rPr>
                      <w:b/>
                      <w:bCs/>
                      <w:smallCaps/>
                    </w:rPr>
                    <w:t>Estimate Prepared By</w:t>
                  </w:r>
                  <w:r w:rsidR="00F17FB2" w:rsidRPr="00D95B1F">
                    <w:rPr>
                      <w:smallCaps/>
                    </w:rPr>
                    <w:t xml:space="preserve">:      </w:t>
                  </w:r>
                  <w:r w:rsidR="00F17FB2" w:rsidRPr="00D95B1F">
                    <w:t>Sarah Gastelum, Legislative Financial Analyst</w:t>
                  </w:r>
                </w:p>
                <w:p w:rsidR="00006DA7" w:rsidRPr="00D95B1F" w:rsidRDefault="00F17FB2" w:rsidP="00006DA7">
                  <w:r w:rsidRPr="00D95B1F">
                    <w:t xml:space="preserve"> </w:t>
                  </w:r>
                  <w:r w:rsidR="00D95B1F" w:rsidRPr="00D95B1F">
                    <w:t xml:space="preserve">                                       </w:t>
                  </w:r>
                  <w:r w:rsidR="00AB18C3">
                    <w:t xml:space="preserve">   </w:t>
                  </w:r>
                  <w:r w:rsidR="00D95B1F" w:rsidRPr="00D95B1F">
                    <w:t xml:space="preserve">   </w:t>
                  </w:r>
                  <w:r w:rsidR="00A931B9">
                    <w:t xml:space="preserve"> </w:t>
                  </w:r>
                  <w:r w:rsidR="00AB18C3">
                    <w:t xml:space="preserve"> </w:t>
                  </w:r>
                  <w:r w:rsidR="00D95B1F" w:rsidRPr="00D95B1F">
                    <w:t>Kate Seely-Kirk, Principal Legislative Financial Analyst</w:t>
                  </w:r>
                </w:p>
                <w:p w:rsidR="00F17FB2" w:rsidRPr="00D95B1F" w:rsidRDefault="00F17FB2" w:rsidP="00006DA7">
                  <w:r w:rsidRPr="00D95B1F">
                    <w:t xml:space="preserve">                                          </w:t>
                  </w:r>
                  <w:r w:rsidR="00AB18C3">
                    <w:t xml:space="preserve">    </w:t>
                  </w:r>
                  <w:r w:rsidR="00A931B9">
                    <w:t xml:space="preserve"> </w:t>
                  </w:r>
                  <w:r w:rsidRPr="00D95B1F">
                    <w:t xml:space="preserve"> Emre Edev, Principal Legislative Financial Analyst</w:t>
                  </w:r>
                </w:p>
                <w:p w:rsidR="00F17FB2" w:rsidRPr="00D95B1F" w:rsidRDefault="00F17FB2" w:rsidP="00F17FB2">
                  <w:pPr>
                    <w:ind w:left="3600" w:hanging="1440"/>
                  </w:pPr>
                  <w:r w:rsidRPr="00D95B1F">
                    <w:t xml:space="preserve">           </w:t>
                  </w:r>
                </w:p>
                <w:p w:rsidR="00F17FB2" w:rsidRDefault="00454CD6" w:rsidP="00006DA7">
                  <w:r w:rsidRPr="00D95B1F">
                    <w:rPr>
                      <w:b/>
                      <w:smallCaps/>
                      <w:sz w:val="22"/>
                      <w:szCs w:val="22"/>
                    </w:rPr>
                    <w:t>Estimate Reviewed By:</w:t>
                  </w:r>
                  <w:r w:rsidRPr="00D95B1F">
                    <w:t xml:space="preserve">   Rebecca Chasan, Assistant Counsel, New York City Council Finance Division</w:t>
                  </w:r>
                </w:p>
                <w:p w:rsidR="00506D1F" w:rsidRDefault="00506D1F" w:rsidP="00006DA7">
                  <w:r>
                    <w:t xml:space="preserve">         </w:t>
                  </w:r>
                  <w:r w:rsidR="00DB643C">
                    <w:t xml:space="preserve">                              </w:t>
                  </w:r>
                  <w:r>
                    <w:t>Tanisha Edwards, Chief Counsel, New York City Council Finance Division</w:t>
                  </w:r>
                </w:p>
                <w:p w:rsidR="00B436BB" w:rsidRPr="00D95B1F" w:rsidRDefault="00B436BB" w:rsidP="00006DA7">
                  <w:r>
                    <w:t xml:space="preserve">                           Ray Majewski, Chief Economist, Deputy Director, New York City Council Finance Division</w:t>
                  </w:r>
                </w:p>
                <w:p w:rsidR="00F17FB2" w:rsidRPr="00D95B1F" w:rsidRDefault="00F17FB2" w:rsidP="00006DA7">
                  <w:pPr>
                    <w:rPr>
                      <w:smallCaps/>
                    </w:rPr>
                  </w:pPr>
                </w:p>
              </w:tc>
            </w:tr>
            <w:tr w:rsidR="00006DA7" w:rsidRPr="00583C8A">
              <w:trPr>
                <w:trHeight w:val="1170"/>
                <w:jc w:val="center"/>
              </w:trPr>
              <w:tc>
                <w:tcPr>
                  <w:tcW w:w="11016" w:type="dxa"/>
                </w:tcPr>
                <w:p w:rsidR="00006DA7" w:rsidRPr="00D95B1F" w:rsidRDefault="00006DA7" w:rsidP="00506D1F">
                  <w:r w:rsidRPr="00D95B1F">
                    <w:rPr>
                      <w:b/>
                      <w:bCs/>
                      <w:smallCaps/>
                      <w:szCs w:val="19"/>
                    </w:rPr>
                    <w:t>History</w:t>
                  </w:r>
                  <w:r w:rsidRPr="00D95B1F">
                    <w:rPr>
                      <w:b/>
                      <w:bCs/>
                      <w:szCs w:val="19"/>
                    </w:rPr>
                    <w:t xml:space="preserve">:  </w:t>
                  </w:r>
                  <w:r w:rsidRPr="00D95B1F">
                    <w:rPr>
                      <w:bCs/>
                    </w:rPr>
                    <w:t>Intro</w:t>
                  </w:r>
                  <w:r w:rsidR="00506D1F">
                    <w:rPr>
                      <w:bCs/>
                    </w:rPr>
                    <w:t>. No. 612 was intro</w:t>
                  </w:r>
                  <w:r w:rsidRPr="00D95B1F">
                    <w:rPr>
                      <w:bCs/>
                    </w:rPr>
                    <w:t>duced by the Council and referred to t</w:t>
                  </w:r>
                  <w:r w:rsidR="00312C6E" w:rsidRPr="00D95B1F">
                    <w:rPr>
                      <w:bCs/>
                    </w:rPr>
                    <w:t>he Committee</w:t>
                  </w:r>
                  <w:r w:rsidR="00506D1F">
                    <w:rPr>
                      <w:bCs/>
                    </w:rPr>
                    <w:t xml:space="preserve"> on Finance</w:t>
                  </w:r>
                  <w:r w:rsidRPr="00D95B1F">
                    <w:rPr>
                      <w:bCs/>
                    </w:rPr>
                    <w:t xml:space="preserve"> on </w:t>
                  </w:r>
                  <w:r w:rsidR="00312C6E" w:rsidRPr="00D95B1F">
                    <w:rPr>
                      <w:bCs/>
                    </w:rPr>
                    <w:t>January 7, 2015</w:t>
                  </w:r>
                  <w:r w:rsidRPr="00D95B1F">
                    <w:rPr>
                      <w:bCs/>
                    </w:rPr>
                    <w:t xml:space="preserve">.  On </w:t>
                  </w:r>
                  <w:r w:rsidR="00312C6E" w:rsidRPr="00D95B1F">
                    <w:rPr>
                      <w:bCs/>
                    </w:rPr>
                    <w:t>January 8, 2015</w:t>
                  </w:r>
                  <w:r w:rsidR="00506D1F">
                    <w:rPr>
                      <w:bCs/>
                    </w:rPr>
                    <w:t>, the Committee considered</w:t>
                  </w:r>
                  <w:r w:rsidRPr="00D95B1F">
                    <w:rPr>
                      <w:bCs/>
                    </w:rPr>
                    <w:t xml:space="preserve"> </w:t>
                  </w:r>
                  <w:r w:rsidR="00312C6E" w:rsidRPr="00D95B1F">
                    <w:rPr>
                      <w:bCs/>
                    </w:rPr>
                    <w:t xml:space="preserve">Intro. </w:t>
                  </w:r>
                  <w:r w:rsidR="00506D1F">
                    <w:rPr>
                      <w:bCs/>
                    </w:rPr>
                    <w:t xml:space="preserve">No. </w:t>
                  </w:r>
                  <w:r w:rsidR="00312C6E" w:rsidRPr="00D95B1F">
                    <w:rPr>
                      <w:bCs/>
                    </w:rPr>
                    <w:t>612</w:t>
                  </w:r>
                  <w:r w:rsidRPr="00D95B1F">
                    <w:rPr>
                      <w:bCs/>
                    </w:rPr>
                    <w:t xml:space="preserve"> and the </w:t>
                  </w:r>
                  <w:r w:rsidR="00506D1F">
                    <w:rPr>
                      <w:bCs/>
                    </w:rPr>
                    <w:t>legislation</w:t>
                  </w:r>
                  <w:r w:rsidR="00506D1F" w:rsidRPr="00D95B1F">
                    <w:rPr>
                      <w:bCs/>
                    </w:rPr>
                    <w:t xml:space="preserve"> </w:t>
                  </w:r>
                  <w:proofErr w:type="gramStart"/>
                  <w:r w:rsidRPr="00D95B1F">
                    <w:rPr>
                      <w:bCs/>
                    </w:rPr>
                    <w:t>was</w:t>
                  </w:r>
                  <w:proofErr w:type="gramEnd"/>
                  <w:r w:rsidRPr="00D95B1F">
                    <w:rPr>
                      <w:bCs/>
                    </w:rPr>
                    <w:t xml:space="preserve"> laid over.</w:t>
                  </w:r>
                  <w:r w:rsidR="00506D1F">
                    <w:rPr>
                      <w:bCs/>
                    </w:rPr>
                    <w:t xml:space="preserve"> The legislation was subsequently amended and</w:t>
                  </w:r>
                  <w:r w:rsidRPr="00D95B1F">
                    <w:rPr>
                      <w:bCs/>
                    </w:rPr>
                    <w:t xml:space="preserve"> </w:t>
                  </w:r>
                  <w:r w:rsidR="00506D1F">
                    <w:rPr>
                      <w:bCs/>
                    </w:rPr>
                    <w:t>t</w:t>
                  </w:r>
                  <w:r w:rsidRPr="00D95B1F">
                    <w:rPr>
                      <w:bCs/>
                    </w:rPr>
                    <w:t xml:space="preserve">he amended legislation, Proposed </w:t>
                  </w:r>
                  <w:r w:rsidR="00312C6E" w:rsidRPr="00D95B1F">
                    <w:t xml:space="preserve">Intro. No. </w:t>
                  </w:r>
                  <w:r w:rsidRPr="00D95B1F">
                    <w:t>6</w:t>
                  </w:r>
                  <w:r w:rsidR="00312C6E" w:rsidRPr="00D95B1F">
                    <w:t>12</w:t>
                  </w:r>
                  <w:r w:rsidRPr="00D95B1F">
                    <w:t>-</w:t>
                  </w:r>
                  <w:proofErr w:type="gramStart"/>
                  <w:r w:rsidRPr="00D95B1F">
                    <w:t>A,</w:t>
                  </w:r>
                  <w:proofErr w:type="gramEnd"/>
                  <w:r w:rsidRPr="00D95B1F">
                    <w:t xml:space="preserve"> </w:t>
                  </w:r>
                  <w:r w:rsidR="00506D1F">
                    <w:t>will</w:t>
                  </w:r>
                  <w:r w:rsidRPr="00D95B1F">
                    <w:t xml:space="preserve"> be voted </w:t>
                  </w:r>
                  <w:r w:rsidR="00506D1F">
                    <w:t xml:space="preserve">on by the Committee </w:t>
                  </w:r>
                  <w:r w:rsidR="00312C6E" w:rsidRPr="00D95B1F">
                    <w:t xml:space="preserve">January </w:t>
                  </w:r>
                  <w:r w:rsidRPr="00D95B1F">
                    <w:t>2</w:t>
                  </w:r>
                  <w:r w:rsidR="00312C6E" w:rsidRPr="00D95B1F">
                    <w:t>1, 2015</w:t>
                  </w:r>
                  <w:r w:rsidR="00506D1F">
                    <w:t>. Upon successful vote by the Committee, Proposed Intro. No. 612-A will be voted on by the</w:t>
                  </w:r>
                  <w:r w:rsidRPr="00D95B1F">
                    <w:t xml:space="preserve"> </w:t>
                  </w:r>
                  <w:r w:rsidR="00506D1F">
                    <w:t>f</w:t>
                  </w:r>
                  <w:r w:rsidRPr="00D95B1F">
                    <w:t xml:space="preserve">ull Council on </w:t>
                  </w:r>
                  <w:r w:rsidR="00312C6E" w:rsidRPr="00D95B1F">
                    <w:t xml:space="preserve">January 22, 2015. </w:t>
                  </w:r>
                </w:p>
              </w:tc>
            </w:tr>
            <w:tr w:rsidR="00006DA7" w:rsidRPr="00583C8A">
              <w:trPr>
                <w:jc w:val="center"/>
              </w:trPr>
              <w:tc>
                <w:tcPr>
                  <w:tcW w:w="11016" w:type="dxa"/>
                </w:tcPr>
                <w:p w:rsidR="00006DA7" w:rsidRDefault="00006DA7" w:rsidP="00494FCD">
                  <w:pPr>
                    <w:rPr>
                      <w:b/>
                      <w:bCs/>
                      <w:smallCaps/>
                      <w:szCs w:val="19"/>
                    </w:rPr>
                  </w:pPr>
                </w:p>
                <w:p w:rsidR="00506D1F" w:rsidRPr="00583C8A" w:rsidRDefault="00506D1F" w:rsidP="00506D1F">
                  <w:pPr>
                    <w:rPr>
                      <w:b/>
                      <w:bCs/>
                      <w:smallCaps/>
                      <w:szCs w:val="19"/>
                    </w:rPr>
                  </w:pPr>
                  <w:r>
                    <w:rPr>
                      <w:b/>
                      <w:bCs/>
                      <w:smallCaps/>
                      <w:szCs w:val="19"/>
                    </w:rPr>
                    <w:t>Date Prepared:</w:t>
                  </w:r>
                  <w:r w:rsidRPr="00D95B1F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January 20, 2015</w:t>
                  </w:r>
                </w:p>
              </w:tc>
            </w:tr>
          </w:tbl>
          <w:p w:rsidR="00006DA7" w:rsidRDefault="00006DA7" w:rsidP="00494FCD"/>
        </w:tc>
      </w:tr>
    </w:tbl>
    <w:p w:rsidR="00006DA7" w:rsidRDefault="00006DA7" w:rsidP="00006DA7"/>
    <w:sectPr w:rsidR="00006DA7" w:rsidSect="00836EB5">
      <w:footerReference w:type="default" r:id="rId10"/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98" w:rsidRDefault="00630598">
      <w:r>
        <w:separator/>
      </w:r>
    </w:p>
  </w:endnote>
  <w:endnote w:type="continuationSeparator" w:id="0">
    <w:p w:rsidR="00630598" w:rsidRDefault="0063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7FB" w:rsidRPr="006D47FB" w:rsidRDefault="00826AD9" w:rsidP="006D47F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 w:rsidRPr="00826AD9">
      <w:rPr>
        <w:bCs/>
      </w:rPr>
      <w:t xml:space="preserve">Proposed </w:t>
    </w:r>
    <w:r>
      <w:rPr>
        <w:rFonts w:ascii="Cambria" w:hAnsi="Cambria"/>
      </w:rPr>
      <w:t xml:space="preserve">Intro </w:t>
    </w:r>
    <w:r w:rsidR="00006DA7">
      <w:rPr>
        <w:rFonts w:ascii="Cambria" w:hAnsi="Cambria"/>
      </w:rPr>
      <w:t>6</w:t>
    </w:r>
    <w:r>
      <w:rPr>
        <w:rFonts w:ascii="Cambria" w:hAnsi="Cambria"/>
      </w:rPr>
      <w:t>12</w:t>
    </w:r>
    <w:r w:rsidR="00006DA7">
      <w:rPr>
        <w:rFonts w:ascii="Cambria" w:hAnsi="Cambria"/>
      </w:rPr>
      <w:t>-A</w:t>
    </w:r>
    <w:r w:rsidR="00006DA7" w:rsidRPr="006D47FB">
      <w:rPr>
        <w:rFonts w:ascii="Cambria" w:hAnsi="Cambria"/>
      </w:rPr>
      <w:tab/>
      <w:t xml:space="preserve">Page </w:t>
    </w:r>
    <w:r w:rsidR="00AD464E">
      <w:fldChar w:fldCharType="begin"/>
    </w:r>
    <w:r w:rsidR="00AD464E">
      <w:instrText xml:space="preserve"> PAGE   \* MERGEFORMAT </w:instrText>
    </w:r>
    <w:r w:rsidR="00AD464E">
      <w:fldChar w:fldCharType="separate"/>
    </w:r>
    <w:r w:rsidR="009018E8" w:rsidRPr="009018E8">
      <w:rPr>
        <w:rFonts w:ascii="Cambria" w:hAnsi="Cambria"/>
        <w:noProof/>
      </w:rPr>
      <w:t>1</w:t>
    </w:r>
    <w:r w:rsidR="00AD464E">
      <w:rPr>
        <w:rFonts w:ascii="Cambria" w:hAnsi="Cambria"/>
        <w:noProof/>
      </w:rPr>
      <w:fldChar w:fldCharType="end"/>
    </w:r>
  </w:p>
  <w:p w:rsidR="006D47FB" w:rsidRDefault="00901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98" w:rsidRDefault="00630598">
      <w:r>
        <w:separator/>
      </w:r>
    </w:p>
  </w:footnote>
  <w:footnote w:type="continuationSeparator" w:id="0">
    <w:p w:rsidR="00630598" w:rsidRDefault="0063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FDA"/>
    <w:multiLevelType w:val="hybridMultilevel"/>
    <w:tmpl w:val="50DC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2E0A"/>
    <w:multiLevelType w:val="hybridMultilevel"/>
    <w:tmpl w:val="E79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085D"/>
    <w:multiLevelType w:val="hybridMultilevel"/>
    <w:tmpl w:val="5BA6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7EB2"/>
    <w:multiLevelType w:val="hybridMultilevel"/>
    <w:tmpl w:val="7882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E25B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93D39"/>
    <w:multiLevelType w:val="hybridMultilevel"/>
    <w:tmpl w:val="0BFA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70F65"/>
    <w:multiLevelType w:val="hybridMultilevel"/>
    <w:tmpl w:val="9E84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B1D44"/>
    <w:multiLevelType w:val="hybridMultilevel"/>
    <w:tmpl w:val="C936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D64B5"/>
    <w:multiLevelType w:val="hybridMultilevel"/>
    <w:tmpl w:val="7646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852ED"/>
    <w:multiLevelType w:val="hybridMultilevel"/>
    <w:tmpl w:val="D2DC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A7"/>
    <w:rsid w:val="00006DA7"/>
    <w:rsid w:val="00084FB8"/>
    <w:rsid w:val="000B2E97"/>
    <w:rsid w:val="001965BC"/>
    <w:rsid w:val="001B557D"/>
    <w:rsid w:val="00231012"/>
    <w:rsid w:val="0029383A"/>
    <w:rsid w:val="0030003F"/>
    <w:rsid w:val="00312C6E"/>
    <w:rsid w:val="003342ED"/>
    <w:rsid w:val="003631E9"/>
    <w:rsid w:val="00364A04"/>
    <w:rsid w:val="004027CA"/>
    <w:rsid w:val="00454CD6"/>
    <w:rsid w:val="00476622"/>
    <w:rsid w:val="004A26DD"/>
    <w:rsid w:val="004A625A"/>
    <w:rsid w:val="004E2CF0"/>
    <w:rsid w:val="00506D1F"/>
    <w:rsid w:val="0055270D"/>
    <w:rsid w:val="005B55D1"/>
    <w:rsid w:val="005D7B91"/>
    <w:rsid w:val="005E3F45"/>
    <w:rsid w:val="005E5505"/>
    <w:rsid w:val="00620B14"/>
    <w:rsid w:val="00630598"/>
    <w:rsid w:val="00647526"/>
    <w:rsid w:val="00685516"/>
    <w:rsid w:val="006E2ED6"/>
    <w:rsid w:val="007B25E2"/>
    <w:rsid w:val="007F08EF"/>
    <w:rsid w:val="007F4C51"/>
    <w:rsid w:val="00826AD9"/>
    <w:rsid w:val="00856360"/>
    <w:rsid w:val="008628A2"/>
    <w:rsid w:val="008F7C01"/>
    <w:rsid w:val="009018E8"/>
    <w:rsid w:val="009315FE"/>
    <w:rsid w:val="00941F03"/>
    <w:rsid w:val="00955109"/>
    <w:rsid w:val="009D3920"/>
    <w:rsid w:val="00A13CE2"/>
    <w:rsid w:val="00A30FE9"/>
    <w:rsid w:val="00A931B9"/>
    <w:rsid w:val="00AB18C3"/>
    <w:rsid w:val="00AC62F4"/>
    <w:rsid w:val="00AC784C"/>
    <w:rsid w:val="00AD464E"/>
    <w:rsid w:val="00AF3E9F"/>
    <w:rsid w:val="00B4045A"/>
    <w:rsid w:val="00B436BB"/>
    <w:rsid w:val="00B64BE9"/>
    <w:rsid w:val="00B81F3A"/>
    <w:rsid w:val="00BC4201"/>
    <w:rsid w:val="00C354EE"/>
    <w:rsid w:val="00C64B2A"/>
    <w:rsid w:val="00CC2154"/>
    <w:rsid w:val="00CF1E05"/>
    <w:rsid w:val="00D8484A"/>
    <w:rsid w:val="00D95B1F"/>
    <w:rsid w:val="00DB643C"/>
    <w:rsid w:val="00DF120F"/>
    <w:rsid w:val="00E1420A"/>
    <w:rsid w:val="00E40579"/>
    <w:rsid w:val="00E40E23"/>
    <w:rsid w:val="00E61589"/>
    <w:rsid w:val="00E87A8A"/>
    <w:rsid w:val="00EC02E3"/>
    <w:rsid w:val="00F17FB2"/>
    <w:rsid w:val="00F8124A"/>
    <w:rsid w:val="00FA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6DA7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DA7"/>
    <w:rPr>
      <w:rFonts w:ascii="Times New Roman" w:eastAsia="Times New Roman" w:hAnsi="Times New Roman" w:cs="Times New Roman"/>
      <w:b/>
      <w:bCs/>
      <w:sz w:val="24"/>
      <w:szCs w:val="19"/>
    </w:rPr>
  </w:style>
  <w:style w:type="paragraph" w:styleId="Header">
    <w:name w:val="header"/>
    <w:basedOn w:val="Normal"/>
    <w:link w:val="HeaderChar"/>
    <w:rsid w:val="00006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6D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6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A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DA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A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C02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7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84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8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62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6DA7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DA7"/>
    <w:rPr>
      <w:rFonts w:ascii="Times New Roman" w:eastAsia="Times New Roman" w:hAnsi="Times New Roman" w:cs="Times New Roman"/>
      <w:b/>
      <w:bCs/>
      <w:sz w:val="24"/>
      <w:szCs w:val="19"/>
    </w:rPr>
  </w:style>
  <w:style w:type="paragraph" w:styleId="Header">
    <w:name w:val="header"/>
    <w:basedOn w:val="Normal"/>
    <w:link w:val="HeaderChar"/>
    <w:rsid w:val="00006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6D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6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A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DA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A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C02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7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84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8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62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48EE-1D08-4BFF-A39C-84CAF5D5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Gastelum, Sarah</dc:creator>
  <cp:lastModifiedBy>New York City Council</cp:lastModifiedBy>
  <cp:revision>5</cp:revision>
  <cp:lastPrinted>2015-01-21T14:31:00Z</cp:lastPrinted>
  <dcterms:created xsi:type="dcterms:W3CDTF">2015-01-21T16:57:00Z</dcterms:created>
  <dcterms:modified xsi:type="dcterms:W3CDTF">2015-01-22T15:19:00Z</dcterms:modified>
</cp:coreProperties>
</file>