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4847"/>
        <w:gridCol w:w="4729"/>
      </w:tblGrid>
      <w:tr w:rsidR="00F03F9E" w:rsidTr="00DE5C41">
        <w:tblPrEx>
          <w:tblCellMar>
            <w:top w:w="0" w:type="dxa"/>
            <w:bottom w:w="0" w:type="dxa"/>
          </w:tblCellMar>
        </w:tblPrEx>
        <w:trPr>
          <w:jc w:val="center"/>
        </w:trPr>
        <w:tc>
          <w:tcPr>
            <w:tcW w:w="4847" w:type="dxa"/>
            <w:tcBorders>
              <w:bottom w:val="single" w:sz="6" w:space="0" w:color="auto"/>
            </w:tcBorders>
          </w:tcPr>
          <w:p w:rsidR="00F03F9E" w:rsidRDefault="00F03F9E" w:rsidP="00DE5C41">
            <w:pPr>
              <w:pBdr>
                <w:top w:val="single" w:sz="6" w:space="0" w:color="FFFFFF"/>
                <w:left w:val="single" w:sz="6" w:space="0" w:color="FFFFFF"/>
                <w:bottom w:val="single" w:sz="6" w:space="0" w:color="FFFFFF"/>
                <w:right w:val="single" w:sz="6" w:space="0" w:color="FFFFFF"/>
              </w:pBdr>
              <w:jc w:val="center"/>
              <w:rPr>
                <w:sz w:val="22"/>
              </w:rPr>
            </w:pPr>
            <w:r>
              <w:rPr>
                <w:noProof/>
                <w:sz w:val="22"/>
              </w:rPr>
              <w:drawing>
                <wp:inline distT="0" distB="0" distL="0" distR="0">
                  <wp:extent cx="1365885" cy="13773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5885" cy="1377315"/>
                          </a:xfrm>
                          <a:prstGeom prst="rect">
                            <a:avLst/>
                          </a:prstGeom>
                          <a:noFill/>
                          <a:ln>
                            <a:noFill/>
                          </a:ln>
                        </pic:spPr>
                      </pic:pic>
                    </a:graphicData>
                  </a:graphic>
                </wp:inline>
              </w:drawing>
            </w:r>
          </w:p>
          <w:p w:rsidR="00F03F9E" w:rsidRDefault="00F03F9E" w:rsidP="00DE5C41">
            <w:pPr>
              <w:rPr>
                <w:sz w:val="22"/>
              </w:rPr>
            </w:pPr>
          </w:p>
        </w:tc>
        <w:tc>
          <w:tcPr>
            <w:tcW w:w="4729" w:type="dxa"/>
            <w:tcBorders>
              <w:bottom w:val="single" w:sz="6" w:space="0" w:color="auto"/>
            </w:tcBorders>
          </w:tcPr>
          <w:p w:rsidR="00F03F9E" w:rsidRDefault="00F03F9E" w:rsidP="00DE5C41">
            <w:pPr>
              <w:rPr>
                <w:b/>
                <w:bCs/>
                <w:smallCaps/>
                <w:sz w:val="22"/>
              </w:rPr>
            </w:pPr>
            <w:r>
              <w:rPr>
                <w:b/>
                <w:bCs/>
                <w:smallCaps/>
                <w:sz w:val="22"/>
              </w:rPr>
              <w:t>The Council of the City of New York</w:t>
            </w:r>
          </w:p>
          <w:p w:rsidR="00F03F9E" w:rsidRDefault="00F03F9E" w:rsidP="00DE5C41">
            <w:pPr>
              <w:rPr>
                <w:b/>
                <w:bCs/>
                <w:smallCaps/>
                <w:sz w:val="22"/>
              </w:rPr>
            </w:pPr>
            <w:r>
              <w:rPr>
                <w:b/>
                <w:bCs/>
                <w:smallCaps/>
                <w:sz w:val="22"/>
              </w:rPr>
              <w:t>Finance Division</w:t>
            </w:r>
          </w:p>
          <w:p w:rsidR="00F03F9E" w:rsidRDefault="00764B0C" w:rsidP="00DE5C41">
            <w:pPr>
              <w:rPr>
                <w:b/>
                <w:bCs/>
                <w:smallCaps/>
                <w:sz w:val="22"/>
              </w:rPr>
            </w:pPr>
            <w:r>
              <w:rPr>
                <w:b/>
                <w:bCs/>
                <w:smallCaps/>
                <w:sz w:val="22"/>
              </w:rPr>
              <w:t>LATONIA MCKINNEY</w:t>
            </w:r>
            <w:r w:rsidR="00F03F9E">
              <w:rPr>
                <w:b/>
                <w:bCs/>
                <w:smallCaps/>
                <w:sz w:val="22"/>
              </w:rPr>
              <w:t>, Director</w:t>
            </w:r>
          </w:p>
          <w:p w:rsidR="00F03F9E" w:rsidRDefault="00F03F9E" w:rsidP="00DE5C41">
            <w:pPr>
              <w:rPr>
                <w:b/>
                <w:bCs/>
                <w:smallCaps/>
                <w:sz w:val="22"/>
              </w:rPr>
            </w:pPr>
          </w:p>
          <w:p w:rsidR="00F03F9E" w:rsidRDefault="00F03F9E" w:rsidP="00DE5C41">
            <w:pPr>
              <w:rPr>
                <w:sz w:val="22"/>
              </w:rPr>
            </w:pPr>
            <w:r>
              <w:rPr>
                <w:b/>
                <w:bCs/>
                <w:smallCaps/>
                <w:sz w:val="22"/>
              </w:rPr>
              <w:t>Fiscal Impact Statement</w:t>
            </w:r>
          </w:p>
          <w:p w:rsidR="00F03F9E" w:rsidRDefault="00F03F9E" w:rsidP="00DE5C41">
            <w:pPr>
              <w:rPr>
                <w:b/>
                <w:bCs/>
                <w:sz w:val="22"/>
              </w:rPr>
            </w:pPr>
          </w:p>
          <w:p w:rsidR="00F03F9E" w:rsidRDefault="00F03F9E" w:rsidP="00DE5C41">
            <w:pPr>
              <w:rPr>
                <w:sz w:val="22"/>
              </w:rPr>
            </w:pPr>
            <w:proofErr w:type="spellStart"/>
            <w:r>
              <w:rPr>
                <w:b/>
                <w:bCs/>
                <w:smallCaps/>
                <w:sz w:val="22"/>
              </w:rPr>
              <w:t>Preconsidered</w:t>
            </w:r>
            <w:proofErr w:type="spellEnd"/>
            <w:r>
              <w:rPr>
                <w:b/>
                <w:bCs/>
                <w:smallCaps/>
                <w:sz w:val="22"/>
              </w:rPr>
              <w:t xml:space="preserve"> Int. </w:t>
            </w:r>
            <w:r w:rsidR="001B222D">
              <w:rPr>
                <w:b/>
                <w:bCs/>
                <w:smallCaps/>
                <w:sz w:val="22"/>
              </w:rPr>
              <w:t>No.</w:t>
            </w:r>
          </w:p>
          <w:p w:rsidR="00F03F9E" w:rsidRDefault="00F03F9E" w:rsidP="00DE5C41">
            <w:pPr>
              <w:rPr>
                <w:sz w:val="22"/>
              </w:rPr>
            </w:pPr>
          </w:p>
          <w:p w:rsidR="00F03F9E" w:rsidRDefault="00F03F9E" w:rsidP="00DE5C41">
            <w:pPr>
              <w:tabs>
                <w:tab w:val="left" w:pos="-1440"/>
              </w:tabs>
              <w:ind w:left="1440" w:hanging="1440"/>
              <w:rPr>
                <w:sz w:val="22"/>
              </w:rPr>
            </w:pPr>
            <w:r>
              <w:rPr>
                <w:b/>
                <w:bCs/>
                <w:smallCaps/>
                <w:sz w:val="22"/>
              </w:rPr>
              <w:t>Committee</w:t>
            </w:r>
            <w:r>
              <w:rPr>
                <w:b/>
                <w:bCs/>
                <w:sz w:val="22"/>
              </w:rPr>
              <w:t>:</w:t>
            </w:r>
            <w:r>
              <w:rPr>
                <w:sz w:val="22"/>
              </w:rPr>
              <w:tab/>
              <w:t>Finance</w:t>
            </w:r>
          </w:p>
          <w:p w:rsidR="00F03F9E" w:rsidRDefault="00F03F9E" w:rsidP="00DE5C41">
            <w:pPr>
              <w:rPr>
                <w:sz w:val="22"/>
              </w:rPr>
            </w:pPr>
          </w:p>
        </w:tc>
      </w:tr>
      <w:tr w:rsidR="00F03F9E" w:rsidTr="00DE5C41">
        <w:tblPrEx>
          <w:tblCellMar>
            <w:top w:w="0" w:type="dxa"/>
            <w:bottom w:w="0" w:type="dxa"/>
          </w:tblCellMar>
        </w:tblPrEx>
        <w:trPr>
          <w:jc w:val="center"/>
        </w:trPr>
        <w:tc>
          <w:tcPr>
            <w:tcW w:w="4847" w:type="dxa"/>
            <w:tcBorders>
              <w:top w:val="single" w:sz="6" w:space="0" w:color="auto"/>
            </w:tcBorders>
          </w:tcPr>
          <w:p w:rsidR="00F03F9E" w:rsidRDefault="00F03F9E" w:rsidP="00DE5C41">
            <w:pPr>
              <w:rPr>
                <w:b/>
                <w:bCs/>
                <w:smallCaps/>
                <w:sz w:val="22"/>
              </w:rPr>
            </w:pPr>
          </w:p>
          <w:p w:rsidR="00764B0C" w:rsidRDefault="00F03F9E" w:rsidP="008115E1">
            <w:pPr>
              <w:ind w:left="3600" w:hanging="3600"/>
            </w:pPr>
            <w:r>
              <w:rPr>
                <w:b/>
                <w:bCs/>
                <w:smallCaps/>
                <w:sz w:val="22"/>
              </w:rPr>
              <w:t>Title</w:t>
            </w:r>
            <w:r>
              <w:rPr>
                <w:b/>
                <w:bCs/>
                <w:sz w:val="22"/>
              </w:rPr>
              <w:t>:</w:t>
            </w:r>
            <w:r>
              <w:rPr>
                <w:sz w:val="22"/>
              </w:rPr>
              <w:t xml:space="preserve"> </w:t>
            </w:r>
            <w:r w:rsidR="008115E1">
              <w:rPr>
                <w:snapToGrid w:val="0"/>
              </w:rPr>
              <w:t xml:space="preserve">A Local law </w:t>
            </w:r>
            <w:r w:rsidR="008115E1">
              <w:t>In relation to the date o</w:t>
            </w:r>
          </w:p>
          <w:p w:rsidR="00764B0C" w:rsidRDefault="008115E1" w:rsidP="008115E1">
            <w:pPr>
              <w:ind w:left="3600" w:hanging="3600"/>
            </w:pPr>
            <w:r>
              <w:t>f submissio</w:t>
            </w:r>
            <w:r w:rsidR="00764B0C">
              <w:t>n by the mayor of a submission</w:t>
            </w:r>
          </w:p>
          <w:p w:rsidR="00764B0C" w:rsidRDefault="008115E1" w:rsidP="008115E1">
            <w:pPr>
              <w:ind w:left="3600" w:hanging="3600"/>
            </w:pPr>
            <w:r>
              <w:t>management rep</w:t>
            </w:r>
            <w:r w:rsidR="00764B0C">
              <w:t>ort and the date prior to which</w:t>
            </w:r>
          </w:p>
          <w:p w:rsidR="008115E1" w:rsidRDefault="008115E1" w:rsidP="00764B0C">
            <w:r>
              <w:t xml:space="preserve">the council shall conduct public hearings and the date by which the council shall submit a report or reports pertaining thereto, the date of submission by the director of management and budget and the director of city planning of a draft ten-year capital strategy, the date of submission by the city planning commission of a report on the draft ten-year capital strategy, the date of submission by the mayor of the preliminary certificate regarding debt and reserves and appropriations and expenditures for capital projects, the date of submission by the mayor of the preliminary budget, the date of publication by the director of the independent budget office of a report on revenues and expenditures, the date of submission by the community boards of statements in regard to the preliminary budget, the date of submission by the commissioner of finance of an estimate of the assessed valuation of real property and statement of real property taxes due, expected to be received, and uncollected, the date of submission by the mayor of a tax benefit report, the date of submission by the borough boards of statements on budget priorities, the date of submission by the council of estimates of the financial needs of the council, the date of submission by the borough presidents of proposed modifications of the preliminary budget, the date of publication by the director of the independent budget office of a report analyzing the preliminary budget, the date by which the council shall hold hearings and </w:t>
            </w:r>
            <w:r>
              <w:lastRenderedPageBreak/>
              <w:t>submit recommendations in regard to the preliminary budget, and the date of submission by the campaign finance board of estimates of the financial needs of the campaign finance board, relating to the fiscal year two thousand sixteen.</w:t>
            </w:r>
          </w:p>
          <w:p w:rsidR="00F03F9E" w:rsidRDefault="00F03F9E" w:rsidP="00DE5C41">
            <w:pPr>
              <w:pStyle w:val="BlockNarrow"/>
              <w:tabs>
                <w:tab w:val="left" w:pos="8370"/>
              </w:tabs>
              <w:ind w:left="0" w:right="0"/>
            </w:pPr>
          </w:p>
          <w:p w:rsidR="00F03F9E" w:rsidRDefault="00F03F9E" w:rsidP="00DE5C41">
            <w:pPr>
              <w:rPr>
                <w:sz w:val="22"/>
              </w:rPr>
            </w:pPr>
          </w:p>
        </w:tc>
        <w:tc>
          <w:tcPr>
            <w:tcW w:w="4729" w:type="dxa"/>
            <w:tcBorders>
              <w:top w:val="single" w:sz="6" w:space="0" w:color="auto"/>
            </w:tcBorders>
          </w:tcPr>
          <w:p w:rsidR="00F03F9E" w:rsidRDefault="00F03F9E" w:rsidP="00DE5C41">
            <w:pPr>
              <w:tabs>
                <w:tab w:val="left" w:pos="-1440"/>
              </w:tabs>
              <w:ind w:left="1440" w:hanging="1440"/>
              <w:rPr>
                <w:b/>
                <w:bCs/>
                <w:smallCaps/>
                <w:sz w:val="22"/>
              </w:rPr>
            </w:pPr>
          </w:p>
          <w:p w:rsidR="00F03F9E" w:rsidRDefault="00F03F9E" w:rsidP="00DE5C41">
            <w:pPr>
              <w:tabs>
                <w:tab w:val="left" w:pos="-1440"/>
              </w:tabs>
              <w:ind w:left="1440" w:hanging="1440"/>
              <w:rPr>
                <w:sz w:val="22"/>
              </w:rPr>
            </w:pPr>
            <w:r>
              <w:rPr>
                <w:b/>
                <w:bCs/>
                <w:smallCaps/>
                <w:sz w:val="22"/>
              </w:rPr>
              <w:t>Sponsors</w:t>
            </w:r>
            <w:r>
              <w:rPr>
                <w:b/>
                <w:bCs/>
                <w:sz w:val="22"/>
              </w:rPr>
              <w:t>:</w:t>
            </w:r>
            <w:r>
              <w:rPr>
                <w:sz w:val="22"/>
              </w:rPr>
              <w:tab/>
              <w:t xml:space="preserve">Council Member </w:t>
            </w:r>
            <w:r w:rsidR="00764B0C">
              <w:rPr>
                <w:sz w:val="22"/>
              </w:rPr>
              <w:t>Ferreras</w:t>
            </w:r>
            <w:r>
              <w:rPr>
                <w:sz w:val="22"/>
              </w:rPr>
              <w:t xml:space="preserve"> (by request of the Mayor)</w:t>
            </w:r>
          </w:p>
          <w:p w:rsidR="00F03F9E" w:rsidRDefault="00F03F9E" w:rsidP="00DE5C41">
            <w:pPr>
              <w:rPr>
                <w:sz w:val="22"/>
              </w:rPr>
            </w:pPr>
          </w:p>
        </w:tc>
      </w:tr>
      <w:tr w:rsidR="00F03F9E" w:rsidTr="00DE5C41">
        <w:tblPrEx>
          <w:tblCellMar>
            <w:top w:w="0" w:type="dxa"/>
            <w:bottom w:w="0" w:type="dxa"/>
          </w:tblCellMar>
        </w:tblPrEx>
        <w:trPr>
          <w:cantSplit/>
          <w:trHeight w:val="554"/>
          <w:jc w:val="center"/>
        </w:trPr>
        <w:tc>
          <w:tcPr>
            <w:tcW w:w="9576" w:type="dxa"/>
            <w:gridSpan w:val="2"/>
          </w:tcPr>
          <w:p w:rsidR="00F03F9E" w:rsidRDefault="00F03F9E" w:rsidP="00DE5C41">
            <w:pPr>
              <w:rPr>
                <w:sz w:val="22"/>
              </w:rPr>
            </w:pPr>
            <w:r>
              <w:rPr>
                <w:b/>
                <w:bCs/>
                <w:smallCaps/>
                <w:sz w:val="22"/>
              </w:rPr>
              <w:lastRenderedPageBreak/>
              <w:t>Summary of Legislation:</w:t>
            </w:r>
            <w:r>
              <w:rPr>
                <w:sz w:val="22"/>
              </w:rPr>
              <w:t xml:space="preserve"> This legislation would change the charter-mandated deadline dates for the following: </w:t>
            </w:r>
          </w:p>
          <w:p w:rsidR="00F03F9E" w:rsidRDefault="00F03F9E" w:rsidP="00DE5C41">
            <w:pPr>
              <w:rPr>
                <w:sz w:val="22"/>
              </w:rPr>
            </w:pPr>
          </w:p>
          <w:p w:rsidR="00F03F9E" w:rsidRDefault="00F03F9E" w:rsidP="00DE5C41">
            <w:pPr>
              <w:numPr>
                <w:ilvl w:val="0"/>
                <w:numId w:val="1"/>
              </w:numPr>
              <w:rPr>
                <w:sz w:val="22"/>
              </w:rPr>
            </w:pPr>
            <w:r>
              <w:rPr>
                <w:sz w:val="22"/>
              </w:rPr>
              <w:t>Mayor’s submission of the preliminary management report no later than February 2</w:t>
            </w:r>
            <w:r w:rsidR="00761649">
              <w:rPr>
                <w:sz w:val="22"/>
              </w:rPr>
              <w:t>4</w:t>
            </w:r>
            <w:r>
              <w:rPr>
                <w:sz w:val="22"/>
              </w:rPr>
              <w:t xml:space="preserve">, </w:t>
            </w:r>
            <w:r w:rsidR="00761649">
              <w:rPr>
                <w:sz w:val="22"/>
              </w:rPr>
              <w:t>2015</w:t>
            </w:r>
            <w:r>
              <w:rPr>
                <w:sz w:val="22"/>
              </w:rPr>
              <w:t>.</w:t>
            </w:r>
          </w:p>
          <w:p w:rsidR="00F03F9E" w:rsidRDefault="00F03F9E" w:rsidP="00DE5C41">
            <w:pPr>
              <w:numPr>
                <w:ilvl w:val="0"/>
                <w:numId w:val="1"/>
              </w:numPr>
              <w:rPr>
                <w:sz w:val="22"/>
              </w:rPr>
            </w:pPr>
            <w:r>
              <w:rPr>
                <w:sz w:val="22"/>
              </w:rPr>
              <w:t xml:space="preserve">Completion of the City Council’s public hearings on the preliminary management report and submission of recommendations no later than </w:t>
            </w:r>
            <w:r w:rsidR="00761649">
              <w:rPr>
                <w:sz w:val="22"/>
              </w:rPr>
              <w:t>May 4, 2015</w:t>
            </w:r>
            <w:r>
              <w:rPr>
                <w:sz w:val="22"/>
              </w:rPr>
              <w:t>.</w:t>
            </w:r>
          </w:p>
          <w:p w:rsidR="00F03F9E" w:rsidRDefault="00F03F9E" w:rsidP="00DE5C41">
            <w:pPr>
              <w:numPr>
                <w:ilvl w:val="0"/>
                <w:numId w:val="1"/>
              </w:numPr>
              <w:rPr>
                <w:sz w:val="22"/>
              </w:rPr>
            </w:pPr>
            <w:r>
              <w:rPr>
                <w:sz w:val="22"/>
              </w:rPr>
              <w:t xml:space="preserve">Office of Management and Budget Office’s and City Planning Commission’s (CPC) submission of draft ten-year capital strategy no later than </w:t>
            </w:r>
            <w:r w:rsidR="00761649">
              <w:rPr>
                <w:sz w:val="22"/>
              </w:rPr>
              <w:t xml:space="preserve">February </w:t>
            </w:r>
            <w:r>
              <w:rPr>
                <w:sz w:val="22"/>
              </w:rPr>
              <w:t xml:space="preserve">9, </w:t>
            </w:r>
            <w:r w:rsidR="00761649">
              <w:rPr>
                <w:sz w:val="22"/>
              </w:rPr>
              <w:t>2015</w:t>
            </w:r>
            <w:r>
              <w:rPr>
                <w:sz w:val="22"/>
              </w:rPr>
              <w:t xml:space="preserve">. </w:t>
            </w:r>
          </w:p>
          <w:p w:rsidR="00F03F9E" w:rsidRPr="00C4504D" w:rsidRDefault="00F03F9E" w:rsidP="00DE5C41">
            <w:pPr>
              <w:numPr>
                <w:ilvl w:val="0"/>
                <w:numId w:val="1"/>
              </w:numPr>
            </w:pPr>
            <w:r>
              <w:rPr>
                <w:sz w:val="22"/>
              </w:rPr>
              <w:t>CPC’s submis</w:t>
            </w:r>
            <w:r w:rsidRPr="00C4504D">
              <w:t>sion of the report on the draft ten-year capital str</w:t>
            </w:r>
            <w:r w:rsidR="00761649">
              <w:t>ategy no later than March 12</w:t>
            </w:r>
            <w:r>
              <w:t xml:space="preserve">, </w:t>
            </w:r>
            <w:r w:rsidR="00761649">
              <w:t>2015</w:t>
            </w:r>
            <w:r w:rsidRPr="00C4504D">
              <w:t xml:space="preserve">.   </w:t>
            </w:r>
          </w:p>
          <w:p w:rsidR="00F03F9E" w:rsidRPr="00C4504D" w:rsidRDefault="00F03F9E" w:rsidP="00DE5C41">
            <w:pPr>
              <w:numPr>
                <w:ilvl w:val="0"/>
                <w:numId w:val="1"/>
              </w:numPr>
            </w:pPr>
            <w:r w:rsidRPr="00C4504D">
              <w:t>Mayor’s submission of the preliminary certificate regarding debt and reserves and appropriations and expenditures for capital pr</w:t>
            </w:r>
            <w:r>
              <w:t xml:space="preserve">ojects no later than </w:t>
            </w:r>
            <w:r w:rsidR="00761649">
              <w:t xml:space="preserve">February </w:t>
            </w:r>
            <w:r w:rsidR="00761649">
              <w:rPr>
                <w:sz w:val="22"/>
              </w:rPr>
              <w:t>9, 2015</w:t>
            </w:r>
            <w:r w:rsidRPr="00C4504D">
              <w:t>.</w:t>
            </w:r>
          </w:p>
          <w:p w:rsidR="00F03F9E" w:rsidRDefault="00F03F9E" w:rsidP="00DE5C41">
            <w:pPr>
              <w:numPr>
                <w:ilvl w:val="0"/>
                <w:numId w:val="1"/>
              </w:numPr>
              <w:rPr>
                <w:sz w:val="22"/>
              </w:rPr>
            </w:pPr>
            <w:r>
              <w:rPr>
                <w:sz w:val="22"/>
              </w:rPr>
              <w:t xml:space="preserve">Mayor’s submission of the preliminary budget no later than </w:t>
            </w:r>
            <w:r w:rsidR="00761649">
              <w:rPr>
                <w:sz w:val="22"/>
              </w:rPr>
              <w:t>February 9, 2015</w:t>
            </w:r>
            <w:r>
              <w:rPr>
                <w:sz w:val="22"/>
              </w:rPr>
              <w:t>.</w:t>
            </w:r>
          </w:p>
          <w:p w:rsidR="00F03F9E" w:rsidRDefault="00F03F9E" w:rsidP="00DE5C41">
            <w:pPr>
              <w:numPr>
                <w:ilvl w:val="0"/>
                <w:numId w:val="1"/>
              </w:numPr>
              <w:rPr>
                <w:sz w:val="22"/>
              </w:rPr>
            </w:pPr>
            <w:r>
              <w:rPr>
                <w:sz w:val="22"/>
              </w:rPr>
              <w:t>Independent Budget Office’s submission of report on revenues and expenditures no later than February</w:t>
            </w:r>
            <w:r w:rsidR="00761649">
              <w:rPr>
                <w:sz w:val="22"/>
              </w:rPr>
              <w:t xml:space="preserve"> 24</w:t>
            </w:r>
            <w:r>
              <w:rPr>
                <w:sz w:val="22"/>
              </w:rPr>
              <w:t xml:space="preserve">, </w:t>
            </w:r>
            <w:r w:rsidR="00761649">
              <w:rPr>
                <w:sz w:val="22"/>
              </w:rPr>
              <w:t>2015</w:t>
            </w:r>
            <w:r>
              <w:rPr>
                <w:sz w:val="22"/>
              </w:rPr>
              <w:t>.</w:t>
            </w:r>
          </w:p>
          <w:p w:rsidR="00F03F9E" w:rsidRDefault="00F03F9E" w:rsidP="00DE5C41">
            <w:pPr>
              <w:numPr>
                <w:ilvl w:val="0"/>
                <w:numId w:val="1"/>
              </w:numPr>
              <w:rPr>
                <w:sz w:val="22"/>
              </w:rPr>
            </w:pPr>
            <w:r w:rsidRPr="008F1E6A">
              <w:rPr>
                <w:sz w:val="22"/>
              </w:rPr>
              <w:t xml:space="preserve">Community Boards’ submission of assessment of the preliminary budget no later than </w:t>
            </w:r>
            <w:r w:rsidR="001B222D">
              <w:rPr>
                <w:sz w:val="22"/>
              </w:rPr>
              <w:t>M</w:t>
            </w:r>
            <w:bookmarkStart w:id="0" w:name="_GoBack"/>
            <w:bookmarkEnd w:id="0"/>
            <w:r w:rsidR="00761649">
              <w:rPr>
                <w:sz w:val="22"/>
              </w:rPr>
              <w:t>arch 12, 2015</w:t>
            </w:r>
          </w:p>
          <w:p w:rsidR="00F03F9E" w:rsidRPr="008F1E6A" w:rsidRDefault="00F03F9E" w:rsidP="00DE5C41">
            <w:pPr>
              <w:numPr>
                <w:ilvl w:val="0"/>
                <w:numId w:val="1"/>
              </w:numPr>
              <w:rPr>
                <w:sz w:val="22"/>
              </w:rPr>
            </w:pPr>
            <w:r w:rsidRPr="008F1E6A">
              <w:rPr>
                <w:sz w:val="22"/>
              </w:rPr>
              <w:t xml:space="preserve">Commissioner of Finance’s submission on estimates of the assessed valuation of real property and a certified statement of all real property taxes due no later than </w:t>
            </w:r>
            <w:r w:rsidR="00761649">
              <w:rPr>
                <w:sz w:val="22"/>
              </w:rPr>
              <w:t>March 12, 2015</w:t>
            </w:r>
            <w:r>
              <w:rPr>
                <w:sz w:val="22"/>
              </w:rPr>
              <w:t>.</w:t>
            </w:r>
          </w:p>
          <w:p w:rsidR="00F03F9E" w:rsidRDefault="00F03F9E" w:rsidP="00DE5C41">
            <w:pPr>
              <w:numPr>
                <w:ilvl w:val="0"/>
                <w:numId w:val="1"/>
              </w:numPr>
              <w:rPr>
                <w:sz w:val="22"/>
              </w:rPr>
            </w:pPr>
            <w:r>
              <w:rPr>
                <w:sz w:val="22"/>
              </w:rPr>
              <w:t xml:space="preserve">Mayor’s submission of tax benefit report no later than </w:t>
            </w:r>
            <w:r w:rsidR="00761649">
              <w:rPr>
                <w:sz w:val="22"/>
              </w:rPr>
              <w:t>March 12, 2015</w:t>
            </w:r>
          </w:p>
          <w:p w:rsidR="00F03F9E" w:rsidRDefault="00F03F9E" w:rsidP="00DE5C41">
            <w:pPr>
              <w:numPr>
                <w:ilvl w:val="0"/>
                <w:numId w:val="1"/>
              </w:numPr>
              <w:rPr>
                <w:sz w:val="22"/>
              </w:rPr>
            </w:pPr>
            <w:r>
              <w:rPr>
                <w:sz w:val="22"/>
              </w:rPr>
              <w:t xml:space="preserve">Borough Boards’ submission of budget priorities no later than March </w:t>
            </w:r>
            <w:r w:rsidR="00761649">
              <w:rPr>
                <w:sz w:val="22"/>
              </w:rPr>
              <w:t>23</w:t>
            </w:r>
            <w:r>
              <w:rPr>
                <w:sz w:val="22"/>
              </w:rPr>
              <w:t xml:space="preserve">, </w:t>
            </w:r>
            <w:r w:rsidR="00761649">
              <w:rPr>
                <w:sz w:val="22"/>
              </w:rPr>
              <w:t>2015</w:t>
            </w:r>
            <w:r>
              <w:rPr>
                <w:sz w:val="22"/>
              </w:rPr>
              <w:t>.</w:t>
            </w:r>
          </w:p>
          <w:p w:rsidR="00F03F9E" w:rsidRDefault="00F03F9E" w:rsidP="00DE5C41">
            <w:pPr>
              <w:numPr>
                <w:ilvl w:val="0"/>
                <w:numId w:val="1"/>
              </w:numPr>
              <w:rPr>
                <w:sz w:val="22"/>
              </w:rPr>
            </w:pPr>
            <w:r>
              <w:rPr>
                <w:sz w:val="22"/>
              </w:rPr>
              <w:t xml:space="preserve">City Council’s submission of its operating budget no later than </w:t>
            </w:r>
            <w:r w:rsidR="00761649">
              <w:rPr>
                <w:sz w:val="22"/>
              </w:rPr>
              <w:t>April 7, 2015</w:t>
            </w:r>
            <w:r>
              <w:rPr>
                <w:sz w:val="22"/>
              </w:rPr>
              <w:t>.</w:t>
            </w:r>
          </w:p>
          <w:p w:rsidR="00F03F9E" w:rsidRDefault="00F03F9E" w:rsidP="00DE5C41">
            <w:pPr>
              <w:numPr>
                <w:ilvl w:val="0"/>
                <w:numId w:val="1"/>
              </w:numPr>
              <w:rPr>
                <w:sz w:val="22"/>
              </w:rPr>
            </w:pPr>
            <w:r>
              <w:rPr>
                <w:sz w:val="22"/>
              </w:rPr>
              <w:t>Borough President’s submission of any proposed modifications to the prelimina</w:t>
            </w:r>
            <w:r w:rsidR="00761649">
              <w:rPr>
                <w:sz w:val="22"/>
              </w:rPr>
              <w:t>ry budget no later than April 7</w:t>
            </w:r>
            <w:r>
              <w:rPr>
                <w:sz w:val="22"/>
              </w:rPr>
              <w:t xml:space="preserve">, </w:t>
            </w:r>
            <w:r w:rsidR="00761649">
              <w:rPr>
                <w:sz w:val="22"/>
              </w:rPr>
              <w:t>2015</w:t>
            </w:r>
            <w:r>
              <w:rPr>
                <w:sz w:val="22"/>
              </w:rPr>
              <w:t>.</w:t>
            </w:r>
          </w:p>
          <w:p w:rsidR="00F03F9E" w:rsidRDefault="00F03F9E" w:rsidP="00DE5C41">
            <w:pPr>
              <w:numPr>
                <w:ilvl w:val="0"/>
                <w:numId w:val="1"/>
              </w:numPr>
              <w:rPr>
                <w:sz w:val="22"/>
              </w:rPr>
            </w:pPr>
            <w:r>
              <w:rPr>
                <w:sz w:val="22"/>
              </w:rPr>
              <w:t>Independent Budget Office’s submission of report analyzing the prelimina</w:t>
            </w:r>
            <w:r w:rsidR="00761649">
              <w:rPr>
                <w:sz w:val="22"/>
              </w:rPr>
              <w:t>ry budget no later than April 9</w:t>
            </w:r>
            <w:r>
              <w:rPr>
                <w:sz w:val="22"/>
              </w:rPr>
              <w:t xml:space="preserve">, </w:t>
            </w:r>
            <w:r w:rsidR="00761649">
              <w:rPr>
                <w:sz w:val="22"/>
              </w:rPr>
              <w:t>2015</w:t>
            </w:r>
            <w:r>
              <w:rPr>
                <w:sz w:val="22"/>
              </w:rPr>
              <w:t>.</w:t>
            </w:r>
          </w:p>
          <w:p w:rsidR="00F03F9E" w:rsidRDefault="00F03F9E" w:rsidP="00DE5C41">
            <w:pPr>
              <w:numPr>
                <w:ilvl w:val="0"/>
                <w:numId w:val="1"/>
              </w:numPr>
              <w:rPr>
                <w:sz w:val="22"/>
              </w:rPr>
            </w:pPr>
            <w:r>
              <w:rPr>
                <w:sz w:val="22"/>
              </w:rPr>
              <w:t>Completion of City Council’s preliminary budget hearings and submission of recomm</w:t>
            </w:r>
            <w:r w:rsidR="00761649">
              <w:rPr>
                <w:sz w:val="22"/>
              </w:rPr>
              <w:t>endations no later than April 20</w:t>
            </w:r>
            <w:r>
              <w:rPr>
                <w:sz w:val="22"/>
              </w:rPr>
              <w:t xml:space="preserve">, </w:t>
            </w:r>
            <w:r w:rsidR="00761649">
              <w:rPr>
                <w:sz w:val="22"/>
              </w:rPr>
              <w:t>2015</w:t>
            </w:r>
            <w:r>
              <w:rPr>
                <w:sz w:val="22"/>
              </w:rPr>
              <w:t>.</w:t>
            </w:r>
          </w:p>
          <w:p w:rsidR="00F03F9E" w:rsidRDefault="00F03F9E" w:rsidP="00DE5C41">
            <w:pPr>
              <w:numPr>
                <w:ilvl w:val="0"/>
                <w:numId w:val="1"/>
              </w:numPr>
              <w:rPr>
                <w:sz w:val="22"/>
              </w:rPr>
            </w:pPr>
            <w:r>
              <w:rPr>
                <w:sz w:val="22"/>
              </w:rPr>
              <w:t>Campaign Finance Board’s submission of the financial needs of the campaign fina</w:t>
            </w:r>
            <w:r w:rsidR="00761649">
              <w:rPr>
                <w:sz w:val="22"/>
              </w:rPr>
              <w:t>nce board no later than April 7</w:t>
            </w:r>
            <w:r>
              <w:rPr>
                <w:sz w:val="22"/>
              </w:rPr>
              <w:t xml:space="preserve">, </w:t>
            </w:r>
            <w:r w:rsidR="00761649">
              <w:rPr>
                <w:sz w:val="22"/>
              </w:rPr>
              <w:t>2015</w:t>
            </w:r>
            <w:r>
              <w:rPr>
                <w:sz w:val="22"/>
              </w:rPr>
              <w:t>.</w:t>
            </w:r>
          </w:p>
          <w:p w:rsidR="00F03F9E" w:rsidRDefault="00F03F9E" w:rsidP="00DE5C41">
            <w:pPr>
              <w:ind w:left="360"/>
              <w:rPr>
                <w:sz w:val="22"/>
              </w:rPr>
            </w:pPr>
          </w:p>
        </w:tc>
      </w:tr>
      <w:tr w:rsidR="00F03F9E" w:rsidTr="00DE5C41">
        <w:tblPrEx>
          <w:tblCellMar>
            <w:top w:w="0" w:type="dxa"/>
            <w:bottom w:w="0" w:type="dxa"/>
          </w:tblCellMar>
        </w:tblPrEx>
        <w:trPr>
          <w:cantSplit/>
          <w:trHeight w:val="553"/>
          <w:jc w:val="center"/>
        </w:trPr>
        <w:tc>
          <w:tcPr>
            <w:tcW w:w="9576" w:type="dxa"/>
            <w:gridSpan w:val="2"/>
          </w:tcPr>
          <w:p w:rsidR="00F03F9E" w:rsidRDefault="00F03F9E" w:rsidP="00DE5C41">
            <w:pPr>
              <w:rPr>
                <w:sz w:val="22"/>
              </w:rPr>
            </w:pPr>
            <w:r>
              <w:rPr>
                <w:b/>
                <w:bCs/>
                <w:smallCaps/>
                <w:sz w:val="22"/>
              </w:rPr>
              <w:t xml:space="preserve">Effective Date: </w:t>
            </w:r>
            <w:r>
              <w:rPr>
                <w:sz w:val="22"/>
              </w:rPr>
              <w:t>This local law would take effect immediately and would be retroactive to and deemed to have been in full force a</w:t>
            </w:r>
            <w:r w:rsidR="008115E1">
              <w:rPr>
                <w:sz w:val="22"/>
              </w:rPr>
              <w:t>nd effect as of November 1, 2014</w:t>
            </w:r>
            <w:r>
              <w:rPr>
                <w:sz w:val="22"/>
              </w:rPr>
              <w:t xml:space="preserve">. </w:t>
            </w:r>
          </w:p>
          <w:p w:rsidR="00F03F9E" w:rsidRDefault="00F03F9E" w:rsidP="00DE5C41">
            <w:pPr>
              <w:rPr>
                <w:b/>
                <w:bCs/>
                <w:smallCaps/>
                <w:sz w:val="22"/>
              </w:rPr>
            </w:pPr>
          </w:p>
        </w:tc>
      </w:tr>
      <w:tr w:rsidR="00F03F9E" w:rsidTr="00DE5C41">
        <w:tblPrEx>
          <w:tblCellMar>
            <w:top w:w="0" w:type="dxa"/>
            <w:bottom w:w="0" w:type="dxa"/>
          </w:tblCellMar>
        </w:tblPrEx>
        <w:trPr>
          <w:cantSplit/>
          <w:trHeight w:val="553"/>
          <w:jc w:val="center"/>
        </w:trPr>
        <w:tc>
          <w:tcPr>
            <w:tcW w:w="9576" w:type="dxa"/>
            <w:gridSpan w:val="2"/>
            <w:tcBorders>
              <w:bottom w:val="single" w:sz="6" w:space="0" w:color="auto"/>
            </w:tcBorders>
          </w:tcPr>
          <w:p w:rsidR="00F03F9E" w:rsidRDefault="00F03F9E" w:rsidP="00DE5C41">
            <w:pPr>
              <w:rPr>
                <w:sz w:val="22"/>
              </w:rPr>
            </w:pPr>
            <w:r>
              <w:rPr>
                <w:b/>
                <w:bCs/>
                <w:smallCaps/>
                <w:sz w:val="22"/>
              </w:rPr>
              <w:t>Fiscal Year In Which Full Fiscal Impact Anticipated:</w:t>
            </w:r>
            <w:r w:rsidR="008115E1">
              <w:rPr>
                <w:sz w:val="22"/>
              </w:rPr>
              <w:t xml:space="preserve"> Fiscal 2015</w:t>
            </w:r>
          </w:p>
          <w:p w:rsidR="00F03F9E" w:rsidRDefault="00F03F9E" w:rsidP="00DE5C41">
            <w:pPr>
              <w:rPr>
                <w:b/>
                <w:bCs/>
                <w:smallCaps/>
                <w:sz w:val="22"/>
              </w:rPr>
            </w:pPr>
          </w:p>
        </w:tc>
      </w:tr>
      <w:tr w:rsidR="00F03F9E" w:rsidTr="00DE5C41">
        <w:tblPrEx>
          <w:tblCellMar>
            <w:top w:w="0" w:type="dxa"/>
            <w:bottom w:w="0" w:type="dxa"/>
          </w:tblCellMar>
        </w:tblPrEx>
        <w:trPr>
          <w:cantSplit/>
          <w:jc w:val="center"/>
        </w:trPr>
        <w:tc>
          <w:tcPr>
            <w:tcW w:w="9576" w:type="dxa"/>
            <w:gridSpan w:val="2"/>
            <w:tcBorders>
              <w:top w:val="single" w:sz="6" w:space="0" w:color="auto"/>
            </w:tcBorders>
          </w:tcPr>
          <w:p w:rsidR="00F03F9E" w:rsidRDefault="00F03F9E" w:rsidP="00DE5C41">
            <w:pPr>
              <w:rPr>
                <w:b/>
                <w:bCs/>
                <w:smallCaps/>
                <w:sz w:val="22"/>
              </w:rPr>
            </w:pPr>
            <w:r>
              <w:rPr>
                <w:b/>
                <w:bCs/>
                <w:smallCaps/>
                <w:sz w:val="22"/>
              </w:rPr>
              <w:lastRenderedPageBreak/>
              <w:t>Fiscal Impact Statement:</w:t>
            </w:r>
          </w:p>
          <w:p w:rsidR="00F03F9E" w:rsidRDefault="00F03F9E" w:rsidP="00DE5C41">
            <w:pPr>
              <w:rPr>
                <w:sz w:val="22"/>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425"/>
              <w:gridCol w:w="2083"/>
              <w:gridCol w:w="1754"/>
            </w:tblGrid>
            <w:tr w:rsidR="00F03F9E" w:rsidTr="00DE5C41">
              <w:tblPrEx>
                <w:tblCellMar>
                  <w:top w:w="0" w:type="dxa"/>
                  <w:bottom w:w="0" w:type="dxa"/>
                </w:tblCellMar>
              </w:tblPrEx>
              <w:trPr>
                <w:jc w:val="center"/>
              </w:trPr>
              <w:tc>
                <w:tcPr>
                  <w:tcW w:w="1692" w:type="dxa"/>
                  <w:tcBorders>
                    <w:top w:val="double" w:sz="7" w:space="0" w:color="000000"/>
                    <w:left w:val="double" w:sz="7" w:space="0" w:color="000000"/>
                    <w:bottom w:val="single" w:sz="6" w:space="0" w:color="FFFFFF"/>
                    <w:right w:val="single" w:sz="6" w:space="0" w:color="FFFFFF"/>
                  </w:tcBorders>
                </w:tcPr>
                <w:p w:rsidR="00F03F9E" w:rsidRDefault="00F03F9E" w:rsidP="00DE5C41">
                  <w:pPr>
                    <w:spacing w:line="201" w:lineRule="exact"/>
                    <w:jc w:val="center"/>
                    <w:rPr>
                      <w:sz w:val="16"/>
                    </w:rPr>
                  </w:pPr>
                </w:p>
                <w:p w:rsidR="00F03F9E" w:rsidRDefault="00F03F9E" w:rsidP="00DE5C41">
                  <w:pPr>
                    <w:jc w:val="center"/>
                    <w:rPr>
                      <w:b/>
                      <w:bCs/>
                      <w:sz w:val="16"/>
                      <w:szCs w:val="19"/>
                    </w:rPr>
                  </w:pPr>
                </w:p>
              </w:tc>
              <w:tc>
                <w:tcPr>
                  <w:tcW w:w="1425" w:type="dxa"/>
                  <w:tcBorders>
                    <w:top w:val="double" w:sz="7" w:space="0" w:color="000000"/>
                    <w:left w:val="single" w:sz="7" w:space="0" w:color="000000"/>
                    <w:bottom w:val="single" w:sz="6" w:space="0" w:color="FFFFFF"/>
                    <w:right w:val="single" w:sz="6" w:space="0" w:color="FFFFFF"/>
                  </w:tcBorders>
                </w:tcPr>
                <w:p w:rsidR="00F03F9E" w:rsidRDefault="008115E1" w:rsidP="00DE5C41">
                  <w:pPr>
                    <w:jc w:val="center"/>
                    <w:rPr>
                      <w:b/>
                      <w:bCs/>
                      <w:sz w:val="16"/>
                      <w:szCs w:val="19"/>
                    </w:rPr>
                  </w:pPr>
                  <w:r>
                    <w:rPr>
                      <w:b/>
                      <w:bCs/>
                      <w:sz w:val="16"/>
                      <w:szCs w:val="19"/>
                    </w:rPr>
                    <w:t>Effective FY15</w:t>
                  </w:r>
                </w:p>
              </w:tc>
              <w:tc>
                <w:tcPr>
                  <w:tcW w:w="2083" w:type="dxa"/>
                  <w:tcBorders>
                    <w:top w:val="double" w:sz="7" w:space="0" w:color="000000"/>
                    <w:left w:val="single" w:sz="7" w:space="0" w:color="000000"/>
                    <w:bottom w:val="single" w:sz="6" w:space="0" w:color="FFFFFF"/>
                    <w:right w:val="single" w:sz="6" w:space="0" w:color="FFFFFF"/>
                  </w:tcBorders>
                </w:tcPr>
                <w:p w:rsidR="00F03F9E" w:rsidRDefault="00F03F9E" w:rsidP="00DE5C41">
                  <w:pPr>
                    <w:jc w:val="center"/>
                    <w:rPr>
                      <w:b/>
                      <w:bCs/>
                      <w:sz w:val="16"/>
                      <w:szCs w:val="19"/>
                    </w:rPr>
                  </w:pPr>
                  <w:r>
                    <w:rPr>
                      <w:b/>
                      <w:bCs/>
                      <w:sz w:val="16"/>
                      <w:szCs w:val="19"/>
                    </w:rPr>
                    <w:t>FY Succeeding</w:t>
                  </w:r>
                </w:p>
                <w:p w:rsidR="00F03F9E" w:rsidRDefault="008115E1" w:rsidP="00DE5C41">
                  <w:pPr>
                    <w:jc w:val="center"/>
                    <w:rPr>
                      <w:b/>
                      <w:bCs/>
                      <w:sz w:val="16"/>
                      <w:szCs w:val="19"/>
                    </w:rPr>
                  </w:pPr>
                  <w:r>
                    <w:rPr>
                      <w:b/>
                      <w:bCs/>
                      <w:sz w:val="16"/>
                      <w:szCs w:val="19"/>
                    </w:rPr>
                    <w:t>Effective FY16</w:t>
                  </w:r>
                </w:p>
              </w:tc>
              <w:tc>
                <w:tcPr>
                  <w:tcW w:w="1754" w:type="dxa"/>
                  <w:tcBorders>
                    <w:top w:val="double" w:sz="7" w:space="0" w:color="000000"/>
                    <w:left w:val="single" w:sz="7" w:space="0" w:color="000000"/>
                    <w:bottom w:val="single" w:sz="6" w:space="0" w:color="FFFFFF"/>
                    <w:right w:val="double" w:sz="7" w:space="0" w:color="000000"/>
                  </w:tcBorders>
                </w:tcPr>
                <w:p w:rsidR="00F03F9E" w:rsidRDefault="00F03F9E" w:rsidP="00DE5C41">
                  <w:pPr>
                    <w:jc w:val="center"/>
                    <w:rPr>
                      <w:b/>
                      <w:bCs/>
                      <w:sz w:val="16"/>
                      <w:szCs w:val="19"/>
                    </w:rPr>
                  </w:pPr>
                  <w:r>
                    <w:rPr>
                      <w:b/>
                      <w:bCs/>
                      <w:sz w:val="16"/>
                      <w:szCs w:val="19"/>
                    </w:rPr>
                    <w:t>Full Fiscal</w:t>
                  </w:r>
                </w:p>
                <w:p w:rsidR="00F03F9E" w:rsidRPr="000D6DDA" w:rsidRDefault="00F03F9E" w:rsidP="00DE5C41">
                  <w:pPr>
                    <w:pStyle w:val="Heading1"/>
                    <w:rPr>
                      <w:sz w:val="16"/>
                      <w:lang w:val="en-US" w:eastAsia="en-US"/>
                    </w:rPr>
                  </w:pPr>
                  <w:r w:rsidRPr="000D6DDA">
                    <w:rPr>
                      <w:sz w:val="16"/>
                      <w:lang w:val="en-US" w:eastAsia="en-US"/>
                    </w:rPr>
                    <w:t>Impact FY1</w:t>
                  </w:r>
                  <w:r w:rsidR="008115E1">
                    <w:rPr>
                      <w:sz w:val="16"/>
                      <w:lang w:val="en-US" w:eastAsia="en-US"/>
                    </w:rPr>
                    <w:t>6</w:t>
                  </w:r>
                </w:p>
              </w:tc>
            </w:tr>
            <w:tr w:rsidR="00F03F9E" w:rsidTr="00DE5C41">
              <w:tblPrEx>
                <w:tblCellMar>
                  <w:top w:w="0" w:type="dxa"/>
                  <w:bottom w:w="0" w:type="dxa"/>
                </w:tblCellMar>
              </w:tblPrEx>
              <w:trPr>
                <w:jc w:val="center"/>
              </w:trPr>
              <w:tc>
                <w:tcPr>
                  <w:tcW w:w="1692" w:type="dxa"/>
                  <w:tcBorders>
                    <w:top w:val="single" w:sz="7" w:space="0" w:color="000000"/>
                    <w:left w:val="double" w:sz="7" w:space="0" w:color="000000"/>
                    <w:bottom w:val="single" w:sz="6" w:space="0" w:color="FFFFFF"/>
                    <w:right w:val="single" w:sz="6" w:space="0" w:color="FFFFFF"/>
                  </w:tcBorders>
                </w:tcPr>
                <w:p w:rsidR="00F03F9E" w:rsidRDefault="00F03F9E" w:rsidP="00DE5C41">
                  <w:pPr>
                    <w:spacing w:line="163" w:lineRule="exact"/>
                    <w:jc w:val="center"/>
                    <w:rPr>
                      <w:b/>
                      <w:bCs/>
                      <w:sz w:val="16"/>
                      <w:szCs w:val="19"/>
                    </w:rPr>
                  </w:pPr>
                </w:p>
                <w:p w:rsidR="00F03F9E" w:rsidRDefault="00F03F9E" w:rsidP="00DE5C41">
                  <w:pPr>
                    <w:jc w:val="center"/>
                    <w:rPr>
                      <w:b/>
                      <w:bCs/>
                      <w:sz w:val="16"/>
                      <w:szCs w:val="19"/>
                    </w:rPr>
                  </w:pPr>
                  <w:r>
                    <w:rPr>
                      <w:b/>
                      <w:bCs/>
                      <w:sz w:val="16"/>
                      <w:szCs w:val="19"/>
                    </w:rPr>
                    <w:t xml:space="preserve">Revenues </w:t>
                  </w:r>
                </w:p>
              </w:tc>
              <w:tc>
                <w:tcPr>
                  <w:tcW w:w="1425" w:type="dxa"/>
                  <w:tcBorders>
                    <w:top w:val="single" w:sz="7" w:space="0" w:color="000000"/>
                    <w:left w:val="single" w:sz="7" w:space="0" w:color="000000"/>
                    <w:bottom w:val="single" w:sz="6" w:space="0" w:color="FFFFFF"/>
                    <w:right w:val="single" w:sz="6" w:space="0" w:color="FFFFFF"/>
                  </w:tcBorders>
                </w:tcPr>
                <w:p w:rsidR="00F03F9E" w:rsidRDefault="00F03F9E" w:rsidP="00DE5C41">
                  <w:pPr>
                    <w:spacing w:line="163" w:lineRule="exact"/>
                    <w:jc w:val="center"/>
                    <w:rPr>
                      <w:b/>
                      <w:bCs/>
                      <w:sz w:val="16"/>
                      <w:szCs w:val="19"/>
                    </w:rPr>
                  </w:pPr>
                </w:p>
                <w:p w:rsidR="00F03F9E" w:rsidRDefault="00F03F9E" w:rsidP="00DE5C41">
                  <w:pPr>
                    <w:jc w:val="center"/>
                    <w:rPr>
                      <w:b/>
                      <w:bCs/>
                      <w:sz w:val="16"/>
                      <w:szCs w:val="19"/>
                    </w:rPr>
                  </w:pPr>
                  <w:r>
                    <w:rPr>
                      <w:b/>
                      <w:bCs/>
                      <w:sz w:val="16"/>
                      <w:szCs w:val="19"/>
                    </w:rPr>
                    <w:t>$0</w:t>
                  </w:r>
                </w:p>
              </w:tc>
              <w:tc>
                <w:tcPr>
                  <w:tcW w:w="2083" w:type="dxa"/>
                  <w:tcBorders>
                    <w:top w:val="single" w:sz="7" w:space="0" w:color="000000"/>
                    <w:left w:val="single" w:sz="7" w:space="0" w:color="000000"/>
                    <w:bottom w:val="single" w:sz="6" w:space="0" w:color="FFFFFF"/>
                    <w:right w:val="single" w:sz="6" w:space="0" w:color="FFFFFF"/>
                  </w:tcBorders>
                </w:tcPr>
                <w:p w:rsidR="00F03F9E" w:rsidRDefault="00F03F9E" w:rsidP="00DE5C41">
                  <w:pPr>
                    <w:spacing w:line="163" w:lineRule="exact"/>
                    <w:jc w:val="center"/>
                    <w:rPr>
                      <w:b/>
                      <w:bCs/>
                      <w:sz w:val="16"/>
                      <w:szCs w:val="19"/>
                    </w:rPr>
                  </w:pPr>
                </w:p>
                <w:p w:rsidR="00F03F9E" w:rsidRDefault="00F03F9E" w:rsidP="00DE5C41">
                  <w:pPr>
                    <w:jc w:val="center"/>
                    <w:rPr>
                      <w:b/>
                      <w:bCs/>
                      <w:sz w:val="16"/>
                      <w:szCs w:val="19"/>
                    </w:rPr>
                  </w:pPr>
                  <w:r>
                    <w:rPr>
                      <w:b/>
                      <w:bCs/>
                      <w:sz w:val="16"/>
                      <w:szCs w:val="19"/>
                    </w:rPr>
                    <w:t>$0</w:t>
                  </w:r>
                </w:p>
              </w:tc>
              <w:tc>
                <w:tcPr>
                  <w:tcW w:w="1754" w:type="dxa"/>
                  <w:tcBorders>
                    <w:top w:val="single" w:sz="7" w:space="0" w:color="000000"/>
                    <w:left w:val="single" w:sz="7" w:space="0" w:color="000000"/>
                    <w:bottom w:val="single" w:sz="6" w:space="0" w:color="FFFFFF"/>
                    <w:right w:val="double" w:sz="7" w:space="0" w:color="000000"/>
                  </w:tcBorders>
                </w:tcPr>
                <w:p w:rsidR="00F03F9E" w:rsidRDefault="00F03F9E" w:rsidP="00DE5C41">
                  <w:pPr>
                    <w:spacing w:line="163" w:lineRule="exact"/>
                    <w:rPr>
                      <w:b/>
                      <w:bCs/>
                      <w:sz w:val="16"/>
                      <w:szCs w:val="19"/>
                    </w:rPr>
                  </w:pPr>
                </w:p>
                <w:p w:rsidR="00F03F9E" w:rsidRDefault="00F03F9E" w:rsidP="00DE5C41">
                  <w:pPr>
                    <w:jc w:val="center"/>
                    <w:rPr>
                      <w:b/>
                      <w:bCs/>
                      <w:sz w:val="16"/>
                      <w:szCs w:val="19"/>
                    </w:rPr>
                  </w:pPr>
                  <w:r>
                    <w:rPr>
                      <w:b/>
                      <w:bCs/>
                      <w:sz w:val="16"/>
                      <w:szCs w:val="19"/>
                    </w:rPr>
                    <w:t>$0</w:t>
                  </w:r>
                </w:p>
              </w:tc>
            </w:tr>
            <w:tr w:rsidR="00F03F9E" w:rsidTr="00DE5C41">
              <w:tblPrEx>
                <w:tblCellMar>
                  <w:top w:w="0" w:type="dxa"/>
                  <w:bottom w:w="0" w:type="dxa"/>
                </w:tblCellMar>
              </w:tblPrEx>
              <w:trPr>
                <w:jc w:val="center"/>
              </w:trPr>
              <w:tc>
                <w:tcPr>
                  <w:tcW w:w="1692" w:type="dxa"/>
                  <w:tcBorders>
                    <w:top w:val="single" w:sz="7" w:space="0" w:color="000000"/>
                    <w:left w:val="double" w:sz="7" w:space="0" w:color="000000"/>
                    <w:bottom w:val="single" w:sz="6" w:space="0" w:color="FFFFFF"/>
                    <w:right w:val="single" w:sz="6" w:space="0" w:color="FFFFFF"/>
                  </w:tcBorders>
                </w:tcPr>
                <w:p w:rsidR="00F03F9E" w:rsidRDefault="00F03F9E" w:rsidP="00DE5C41">
                  <w:pPr>
                    <w:spacing w:line="163" w:lineRule="exact"/>
                    <w:jc w:val="center"/>
                    <w:rPr>
                      <w:b/>
                      <w:bCs/>
                      <w:sz w:val="16"/>
                      <w:szCs w:val="19"/>
                    </w:rPr>
                  </w:pPr>
                </w:p>
                <w:p w:rsidR="00F03F9E" w:rsidRDefault="00F03F9E" w:rsidP="00DE5C41">
                  <w:pPr>
                    <w:jc w:val="center"/>
                    <w:rPr>
                      <w:b/>
                      <w:bCs/>
                      <w:sz w:val="16"/>
                      <w:szCs w:val="19"/>
                    </w:rPr>
                  </w:pPr>
                  <w:r>
                    <w:rPr>
                      <w:b/>
                      <w:bCs/>
                      <w:sz w:val="16"/>
                      <w:szCs w:val="19"/>
                    </w:rPr>
                    <w:t xml:space="preserve">Expenditures </w:t>
                  </w:r>
                </w:p>
              </w:tc>
              <w:tc>
                <w:tcPr>
                  <w:tcW w:w="1425" w:type="dxa"/>
                  <w:tcBorders>
                    <w:top w:val="single" w:sz="7" w:space="0" w:color="000000"/>
                    <w:left w:val="single" w:sz="7" w:space="0" w:color="000000"/>
                    <w:bottom w:val="single" w:sz="6" w:space="0" w:color="FFFFFF"/>
                    <w:right w:val="single" w:sz="6" w:space="0" w:color="FFFFFF"/>
                  </w:tcBorders>
                </w:tcPr>
                <w:p w:rsidR="00F03F9E" w:rsidRDefault="00F03F9E" w:rsidP="00DE5C41">
                  <w:pPr>
                    <w:spacing w:line="163" w:lineRule="exact"/>
                    <w:jc w:val="center"/>
                    <w:rPr>
                      <w:b/>
                      <w:bCs/>
                      <w:sz w:val="16"/>
                      <w:szCs w:val="19"/>
                    </w:rPr>
                  </w:pPr>
                </w:p>
                <w:p w:rsidR="00F03F9E" w:rsidRDefault="00F03F9E" w:rsidP="00DE5C41">
                  <w:pPr>
                    <w:jc w:val="center"/>
                    <w:rPr>
                      <w:b/>
                      <w:bCs/>
                      <w:sz w:val="16"/>
                      <w:szCs w:val="19"/>
                    </w:rPr>
                  </w:pPr>
                  <w:r>
                    <w:rPr>
                      <w:b/>
                      <w:bCs/>
                      <w:sz w:val="16"/>
                      <w:szCs w:val="19"/>
                    </w:rPr>
                    <w:t>$0</w:t>
                  </w:r>
                </w:p>
              </w:tc>
              <w:tc>
                <w:tcPr>
                  <w:tcW w:w="2083" w:type="dxa"/>
                  <w:tcBorders>
                    <w:top w:val="single" w:sz="7" w:space="0" w:color="000000"/>
                    <w:left w:val="single" w:sz="7" w:space="0" w:color="000000"/>
                    <w:bottom w:val="single" w:sz="6" w:space="0" w:color="FFFFFF"/>
                    <w:right w:val="single" w:sz="6" w:space="0" w:color="FFFFFF"/>
                  </w:tcBorders>
                </w:tcPr>
                <w:p w:rsidR="00F03F9E" w:rsidRDefault="00F03F9E" w:rsidP="00DE5C41">
                  <w:pPr>
                    <w:spacing w:line="163" w:lineRule="exact"/>
                    <w:jc w:val="center"/>
                    <w:rPr>
                      <w:b/>
                      <w:bCs/>
                      <w:sz w:val="16"/>
                      <w:szCs w:val="19"/>
                    </w:rPr>
                  </w:pPr>
                </w:p>
                <w:p w:rsidR="00F03F9E" w:rsidRDefault="00F03F9E" w:rsidP="00DE5C41">
                  <w:pPr>
                    <w:jc w:val="center"/>
                    <w:rPr>
                      <w:b/>
                      <w:bCs/>
                      <w:sz w:val="16"/>
                      <w:szCs w:val="19"/>
                    </w:rPr>
                  </w:pPr>
                  <w:r>
                    <w:rPr>
                      <w:b/>
                      <w:bCs/>
                      <w:sz w:val="16"/>
                      <w:szCs w:val="19"/>
                    </w:rPr>
                    <w:t>$0</w:t>
                  </w:r>
                </w:p>
              </w:tc>
              <w:tc>
                <w:tcPr>
                  <w:tcW w:w="1754" w:type="dxa"/>
                  <w:tcBorders>
                    <w:top w:val="single" w:sz="7" w:space="0" w:color="000000"/>
                    <w:left w:val="single" w:sz="7" w:space="0" w:color="000000"/>
                    <w:bottom w:val="single" w:sz="6" w:space="0" w:color="FFFFFF"/>
                    <w:right w:val="double" w:sz="7" w:space="0" w:color="000000"/>
                  </w:tcBorders>
                </w:tcPr>
                <w:p w:rsidR="00F03F9E" w:rsidRDefault="00F03F9E" w:rsidP="00DE5C41">
                  <w:pPr>
                    <w:spacing w:line="163" w:lineRule="exact"/>
                    <w:jc w:val="center"/>
                    <w:rPr>
                      <w:b/>
                      <w:bCs/>
                      <w:sz w:val="16"/>
                      <w:szCs w:val="19"/>
                    </w:rPr>
                  </w:pPr>
                </w:p>
                <w:p w:rsidR="00F03F9E" w:rsidRDefault="00F03F9E" w:rsidP="00DE5C41">
                  <w:pPr>
                    <w:jc w:val="center"/>
                    <w:rPr>
                      <w:b/>
                      <w:bCs/>
                      <w:sz w:val="16"/>
                      <w:szCs w:val="19"/>
                    </w:rPr>
                  </w:pPr>
                  <w:r>
                    <w:rPr>
                      <w:b/>
                      <w:bCs/>
                      <w:sz w:val="16"/>
                      <w:szCs w:val="19"/>
                    </w:rPr>
                    <w:t>$0</w:t>
                  </w:r>
                </w:p>
              </w:tc>
            </w:tr>
            <w:tr w:rsidR="00F03F9E" w:rsidTr="00DE5C41">
              <w:tblPrEx>
                <w:tblCellMar>
                  <w:top w:w="0" w:type="dxa"/>
                  <w:bottom w:w="0" w:type="dxa"/>
                </w:tblCellMar>
              </w:tblPrEx>
              <w:trPr>
                <w:jc w:val="center"/>
              </w:trPr>
              <w:tc>
                <w:tcPr>
                  <w:tcW w:w="1692" w:type="dxa"/>
                  <w:tcBorders>
                    <w:top w:val="single" w:sz="7" w:space="0" w:color="000000"/>
                    <w:left w:val="double" w:sz="7" w:space="0" w:color="000000"/>
                    <w:bottom w:val="single" w:sz="7" w:space="0" w:color="000000"/>
                    <w:right w:val="single" w:sz="6" w:space="0" w:color="FFFFFF"/>
                  </w:tcBorders>
                </w:tcPr>
                <w:p w:rsidR="00F03F9E" w:rsidRDefault="00F03F9E" w:rsidP="00DE5C41">
                  <w:pPr>
                    <w:spacing w:line="163" w:lineRule="exact"/>
                    <w:jc w:val="center"/>
                    <w:rPr>
                      <w:b/>
                      <w:bCs/>
                      <w:sz w:val="16"/>
                      <w:szCs w:val="19"/>
                    </w:rPr>
                  </w:pPr>
                </w:p>
                <w:p w:rsidR="00F03F9E" w:rsidRDefault="00F03F9E" w:rsidP="00DE5C41">
                  <w:pPr>
                    <w:spacing w:after="58"/>
                    <w:jc w:val="center"/>
                    <w:rPr>
                      <w:b/>
                      <w:bCs/>
                      <w:sz w:val="16"/>
                      <w:szCs w:val="19"/>
                    </w:rPr>
                  </w:pPr>
                  <w:r>
                    <w:rPr>
                      <w:b/>
                      <w:bCs/>
                      <w:sz w:val="16"/>
                      <w:szCs w:val="19"/>
                    </w:rPr>
                    <w:t>Net</w:t>
                  </w:r>
                </w:p>
              </w:tc>
              <w:tc>
                <w:tcPr>
                  <w:tcW w:w="1425" w:type="dxa"/>
                  <w:tcBorders>
                    <w:top w:val="single" w:sz="7" w:space="0" w:color="000000"/>
                    <w:left w:val="single" w:sz="7" w:space="0" w:color="000000"/>
                    <w:bottom w:val="single" w:sz="7" w:space="0" w:color="000000"/>
                    <w:right w:val="single" w:sz="6" w:space="0" w:color="FFFFFF"/>
                  </w:tcBorders>
                </w:tcPr>
                <w:p w:rsidR="00F03F9E" w:rsidRDefault="00F03F9E" w:rsidP="00DE5C41">
                  <w:pPr>
                    <w:spacing w:line="163" w:lineRule="exact"/>
                    <w:jc w:val="center"/>
                    <w:rPr>
                      <w:b/>
                      <w:bCs/>
                      <w:sz w:val="16"/>
                      <w:szCs w:val="19"/>
                    </w:rPr>
                  </w:pPr>
                </w:p>
                <w:p w:rsidR="00F03F9E" w:rsidRDefault="00F03F9E" w:rsidP="00DE5C41">
                  <w:pPr>
                    <w:spacing w:after="58"/>
                    <w:jc w:val="center"/>
                    <w:rPr>
                      <w:b/>
                      <w:bCs/>
                      <w:sz w:val="16"/>
                      <w:szCs w:val="19"/>
                    </w:rPr>
                  </w:pPr>
                  <w:r>
                    <w:rPr>
                      <w:b/>
                      <w:bCs/>
                      <w:sz w:val="16"/>
                      <w:szCs w:val="19"/>
                    </w:rPr>
                    <w:t>$0</w:t>
                  </w:r>
                </w:p>
              </w:tc>
              <w:tc>
                <w:tcPr>
                  <w:tcW w:w="2083" w:type="dxa"/>
                  <w:tcBorders>
                    <w:top w:val="single" w:sz="7" w:space="0" w:color="000000"/>
                    <w:left w:val="single" w:sz="7" w:space="0" w:color="000000"/>
                    <w:bottom w:val="single" w:sz="7" w:space="0" w:color="000000"/>
                    <w:right w:val="single" w:sz="6" w:space="0" w:color="FFFFFF"/>
                  </w:tcBorders>
                </w:tcPr>
                <w:p w:rsidR="00F03F9E" w:rsidRDefault="00F03F9E" w:rsidP="00DE5C41">
                  <w:pPr>
                    <w:spacing w:line="163" w:lineRule="exact"/>
                    <w:jc w:val="center"/>
                    <w:rPr>
                      <w:b/>
                      <w:bCs/>
                      <w:sz w:val="16"/>
                      <w:szCs w:val="19"/>
                    </w:rPr>
                  </w:pPr>
                </w:p>
                <w:p w:rsidR="00F03F9E" w:rsidRDefault="00F03F9E" w:rsidP="00DE5C41">
                  <w:pPr>
                    <w:spacing w:after="58"/>
                    <w:jc w:val="center"/>
                    <w:rPr>
                      <w:b/>
                      <w:bCs/>
                      <w:sz w:val="16"/>
                      <w:szCs w:val="19"/>
                    </w:rPr>
                  </w:pPr>
                  <w:r>
                    <w:rPr>
                      <w:b/>
                      <w:bCs/>
                      <w:sz w:val="16"/>
                      <w:szCs w:val="19"/>
                    </w:rPr>
                    <w:t>$0</w:t>
                  </w:r>
                </w:p>
              </w:tc>
              <w:tc>
                <w:tcPr>
                  <w:tcW w:w="1754" w:type="dxa"/>
                  <w:tcBorders>
                    <w:top w:val="single" w:sz="7" w:space="0" w:color="000000"/>
                    <w:left w:val="single" w:sz="7" w:space="0" w:color="000000"/>
                    <w:bottom w:val="single" w:sz="7" w:space="0" w:color="000000"/>
                    <w:right w:val="double" w:sz="7" w:space="0" w:color="000000"/>
                  </w:tcBorders>
                </w:tcPr>
                <w:p w:rsidR="00F03F9E" w:rsidRDefault="00F03F9E" w:rsidP="00DE5C41">
                  <w:pPr>
                    <w:spacing w:line="163" w:lineRule="exact"/>
                    <w:jc w:val="center"/>
                    <w:rPr>
                      <w:b/>
                      <w:bCs/>
                      <w:sz w:val="16"/>
                      <w:szCs w:val="19"/>
                    </w:rPr>
                  </w:pPr>
                </w:p>
                <w:p w:rsidR="00F03F9E" w:rsidRDefault="00F03F9E" w:rsidP="00DE5C41">
                  <w:pPr>
                    <w:spacing w:after="58"/>
                    <w:jc w:val="center"/>
                    <w:rPr>
                      <w:b/>
                      <w:bCs/>
                      <w:sz w:val="16"/>
                      <w:szCs w:val="19"/>
                    </w:rPr>
                  </w:pPr>
                  <w:r>
                    <w:rPr>
                      <w:b/>
                      <w:bCs/>
                      <w:sz w:val="16"/>
                      <w:szCs w:val="19"/>
                    </w:rPr>
                    <w:t>$0</w:t>
                  </w:r>
                </w:p>
              </w:tc>
            </w:tr>
            <w:tr w:rsidR="00F03F9E" w:rsidTr="00DE5C41">
              <w:tblPrEx>
                <w:tblCellMar>
                  <w:top w:w="0" w:type="dxa"/>
                  <w:bottom w:w="0" w:type="dxa"/>
                </w:tblCellMar>
              </w:tblPrEx>
              <w:trPr>
                <w:jc w:val="center"/>
              </w:trPr>
              <w:tc>
                <w:tcPr>
                  <w:tcW w:w="1692" w:type="dxa"/>
                  <w:tcBorders>
                    <w:top w:val="single" w:sz="7" w:space="0" w:color="000000"/>
                    <w:left w:val="double" w:sz="7" w:space="0" w:color="000000"/>
                    <w:bottom w:val="double" w:sz="7" w:space="0" w:color="000000"/>
                    <w:right w:val="single" w:sz="6" w:space="0" w:color="FFFFFF"/>
                  </w:tcBorders>
                </w:tcPr>
                <w:p w:rsidR="00F03F9E" w:rsidRDefault="00F03F9E" w:rsidP="00DE5C41">
                  <w:pPr>
                    <w:spacing w:line="163" w:lineRule="exact"/>
                    <w:rPr>
                      <w:b/>
                      <w:bCs/>
                      <w:sz w:val="16"/>
                      <w:szCs w:val="19"/>
                    </w:rPr>
                  </w:pPr>
                </w:p>
              </w:tc>
              <w:tc>
                <w:tcPr>
                  <w:tcW w:w="1425" w:type="dxa"/>
                  <w:tcBorders>
                    <w:top w:val="single" w:sz="7" w:space="0" w:color="000000"/>
                    <w:left w:val="single" w:sz="7" w:space="0" w:color="000000"/>
                    <w:bottom w:val="double" w:sz="7" w:space="0" w:color="000000"/>
                    <w:right w:val="single" w:sz="6" w:space="0" w:color="FFFFFF"/>
                  </w:tcBorders>
                </w:tcPr>
                <w:p w:rsidR="00F03F9E" w:rsidRDefault="00F03F9E" w:rsidP="00DE5C41">
                  <w:pPr>
                    <w:spacing w:line="163" w:lineRule="exact"/>
                    <w:rPr>
                      <w:b/>
                      <w:bCs/>
                      <w:sz w:val="16"/>
                      <w:szCs w:val="19"/>
                    </w:rPr>
                  </w:pPr>
                </w:p>
              </w:tc>
              <w:tc>
                <w:tcPr>
                  <w:tcW w:w="2083" w:type="dxa"/>
                  <w:tcBorders>
                    <w:top w:val="single" w:sz="7" w:space="0" w:color="000000"/>
                    <w:left w:val="single" w:sz="7" w:space="0" w:color="000000"/>
                    <w:bottom w:val="double" w:sz="7" w:space="0" w:color="000000"/>
                    <w:right w:val="single" w:sz="6" w:space="0" w:color="FFFFFF"/>
                  </w:tcBorders>
                </w:tcPr>
                <w:p w:rsidR="00F03F9E" w:rsidRDefault="00F03F9E" w:rsidP="00DE5C41">
                  <w:pPr>
                    <w:spacing w:line="163" w:lineRule="exact"/>
                    <w:rPr>
                      <w:b/>
                      <w:bCs/>
                      <w:sz w:val="16"/>
                      <w:szCs w:val="19"/>
                    </w:rPr>
                  </w:pPr>
                </w:p>
              </w:tc>
              <w:tc>
                <w:tcPr>
                  <w:tcW w:w="1754" w:type="dxa"/>
                  <w:tcBorders>
                    <w:top w:val="single" w:sz="7" w:space="0" w:color="000000"/>
                    <w:left w:val="single" w:sz="7" w:space="0" w:color="000000"/>
                    <w:bottom w:val="double" w:sz="7" w:space="0" w:color="000000"/>
                    <w:right w:val="double" w:sz="7" w:space="0" w:color="000000"/>
                  </w:tcBorders>
                </w:tcPr>
                <w:p w:rsidR="00F03F9E" w:rsidRDefault="00F03F9E" w:rsidP="00DE5C41">
                  <w:pPr>
                    <w:spacing w:line="163" w:lineRule="exact"/>
                    <w:rPr>
                      <w:b/>
                      <w:bCs/>
                      <w:sz w:val="16"/>
                      <w:szCs w:val="19"/>
                    </w:rPr>
                  </w:pPr>
                </w:p>
              </w:tc>
            </w:tr>
          </w:tbl>
          <w:p w:rsidR="00F03F9E" w:rsidRDefault="00F03F9E" w:rsidP="00DE5C41">
            <w:pPr>
              <w:rPr>
                <w:sz w:val="22"/>
              </w:rPr>
            </w:pPr>
          </w:p>
        </w:tc>
      </w:tr>
      <w:tr w:rsidR="00F03F9E" w:rsidTr="00DE5C41">
        <w:tblPrEx>
          <w:tblCellMar>
            <w:top w:w="0" w:type="dxa"/>
            <w:bottom w:w="0" w:type="dxa"/>
          </w:tblCellMar>
        </w:tblPrEx>
        <w:trPr>
          <w:jc w:val="center"/>
        </w:trPr>
        <w:tc>
          <w:tcPr>
            <w:tcW w:w="9576" w:type="dxa"/>
            <w:gridSpan w:val="2"/>
          </w:tcPr>
          <w:p w:rsidR="00F03F9E" w:rsidRDefault="00F03F9E" w:rsidP="00DE5C41">
            <w:pPr>
              <w:rPr>
                <w:b/>
                <w:bCs/>
                <w:smallCaps/>
                <w:sz w:val="22"/>
                <w:szCs w:val="19"/>
              </w:rPr>
            </w:pPr>
          </w:p>
          <w:p w:rsidR="00F03F9E" w:rsidRDefault="00F03F9E" w:rsidP="00DE5C41">
            <w:pPr>
              <w:rPr>
                <w:sz w:val="22"/>
                <w:szCs w:val="19"/>
              </w:rPr>
            </w:pPr>
            <w:r>
              <w:rPr>
                <w:b/>
                <w:bCs/>
                <w:smallCaps/>
                <w:sz w:val="22"/>
                <w:szCs w:val="19"/>
              </w:rPr>
              <w:t>Impact on Revenues</w:t>
            </w:r>
            <w:r>
              <w:rPr>
                <w:b/>
                <w:bCs/>
                <w:sz w:val="22"/>
                <w:szCs w:val="19"/>
              </w:rPr>
              <w:t>:</w:t>
            </w:r>
            <w:r>
              <w:rPr>
                <w:sz w:val="22"/>
                <w:szCs w:val="19"/>
              </w:rPr>
              <w:t xml:space="preserve">  There would no impact on revenues resulting from the enactment of this legislation.</w:t>
            </w:r>
          </w:p>
          <w:p w:rsidR="00F03F9E" w:rsidRDefault="00F03F9E" w:rsidP="00DE5C41">
            <w:pPr>
              <w:rPr>
                <w:sz w:val="22"/>
              </w:rPr>
            </w:pPr>
          </w:p>
        </w:tc>
      </w:tr>
      <w:tr w:rsidR="00F03F9E" w:rsidTr="00DE5C41">
        <w:tblPrEx>
          <w:tblCellMar>
            <w:top w:w="0" w:type="dxa"/>
            <w:bottom w:w="0" w:type="dxa"/>
          </w:tblCellMar>
        </w:tblPrEx>
        <w:trPr>
          <w:jc w:val="center"/>
        </w:trPr>
        <w:tc>
          <w:tcPr>
            <w:tcW w:w="9576" w:type="dxa"/>
            <w:gridSpan w:val="2"/>
          </w:tcPr>
          <w:p w:rsidR="00F03F9E" w:rsidRDefault="00F03F9E" w:rsidP="00DE5C41">
            <w:pPr>
              <w:rPr>
                <w:sz w:val="22"/>
              </w:rPr>
            </w:pPr>
            <w:r>
              <w:rPr>
                <w:b/>
                <w:bCs/>
                <w:smallCaps/>
                <w:sz w:val="22"/>
              </w:rPr>
              <w:t>Impact on Expenditures</w:t>
            </w:r>
            <w:r>
              <w:rPr>
                <w:b/>
                <w:bCs/>
                <w:sz w:val="22"/>
              </w:rPr>
              <w:t>:</w:t>
            </w:r>
            <w:r>
              <w:rPr>
                <w:sz w:val="22"/>
              </w:rPr>
              <w:t xml:space="preserve">  There would be no impact on expenditures resulting from the enactment of this legislation.</w:t>
            </w:r>
          </w:p>
          <w:p w:rsidR="00F03F9E" w:rsidRDefault="00F03F9E" w:rsidP="00DE5C41">
            <w:pPr>
              <w:rPr>
                <w:sz w:val="22"/>
              </w:rPr>
            </w:pPr>
          </w:p>
        </w:tc>
      </w:tr>
      <w:tr w:rsidR="00F03F9E" w:rsidTr="00DE5C41">
        <w:tblPrEx>
          <w:tblCellMar>
            <w:top w:w="0" w:type="dxa"/>
            <w:bottom w:w="0" w:type="dxa"/>
          </w:tblCellMar>
        </w:tblPrEx>
        <w:trPr>
          <w:jc w:val="center"/>
        </w:trPr>
        <w:tc>
          <w:tcPr>
            <w:tcW w:w="9576" w:type="dxa"/>
            <w:gridSpan w:val="2"/>
          </w:tcPr>
          <w:p w:rsidR="00F03F9E" w:rsidRDefault="00F03F9E" w:rsidP="00DE5C41">
            <w:pPr>
              <w:rPr>
                <w:sz w:val="22"/>
                <w:szCs w:val="19"/>
              </w:rPr>
            </w:pPr>
            <w:r>
              <w:rPr>
                <w:b/>
                <w:bCs/>
                <w:smallCaps/>
                <w:sz w:val="22"/>
                <w:szCs w:val="19"/>
              </w:rPr>
              <w:t>Source of Funds To Cover Estimated Costs</w:t>
            </w:r>
            <w:r>
              <w:rPr>
                <w:b/>
                <w:bCs/>
                <w:sz w:val="22"/>
                <w:szCs w:val="19"/>
              </w:rPr>
              <w:t>:</w:t>
            </w:r>
            <w:r>
              <w:rPr>
                <w:sz w:val="22"/>
                <w:szCs w:val="19"/>
              </w:rPr>
              <w:tab/>
              <w:t xml:space="preserve">  Not applicable</w:t>
            </w:r>
          </w:p>
          <w:p w:rsidR="00F03F9E" w:rsidRDefault="00F03F9E" w:rsidP="00DE5C41">
            <w:pPr>
              <w:rPr>
                <w:sz w:val="22"/>
              </w:rPr>
            </w:pPr>
          </w:p>
        </w:tc>
      </w:tr>
      <w:tr w:rsidR="00F03F9E" w:rsidTr="00DE5C41">
        <w:tblPrEx>
          <w:tblCellMar>
            <w:top w:w="0" w:type="dxa"/>
            <w:bottom w:w="0" w:type="dxa"/>
          </w:tblCellMar>
        </w:tblPrEx>
        <w:trPr>
          <w:jc w:val="center"/>
        </w:trPr>
        <w:tc>
          <w:tcPr>
            <w:tcW w:w="9576" w:type="dxa"/>
            <w:gridSpan w:val="2"/>
          </w:tcPr>
          <w:p w:rsidR="00F03F9E" w:rsidRDefault="00F03F9E" w:rsidP="00DE5C41">
            <w:pPr>
              <w:rPr>
                <w:sz w:val="22"/>
                <w:szCs w:val="19"/>
              </w:rPr>
            </w:pPr>
            <w:r>
              <w:rPr>
                <w:b/>
                <w:bCs/>
                <w:smallCaps/>
                <w:sz w:val="22"/>
                <w:szCs w:val="19"/>
              </w:rPr>
              <w:t>Source of Information</w:t>
            </w:r>
            <w:r>
              <w:rPr>
                <w:b/>
                <w:bCs/>
                <w:sz w:val="22"/>
                <w:szCs w:val="19"/>
              </w:rPr>
              <w:t>:</w:t>
            </w:r>
            <w:r>
              <w:rPr>
                <w:sz w:val="22"/>
                <w:szCs w:val="19"/>
              </w:rPr>
              <w:tab/>
              <w:t xml:space="preserve">City Council Finance Division </w:t>
            </w:r>
          </w:p>
          <w:p w:rsidR="00F03F9E" w:rsidRDefault="00F03F9E" w:rsidP="00DE5C41">
            <w:pPr>
              <w:rPr>
                <w:sz w:val="22"/>
              </w:rPr>
            </w:pPr>
            <w:r>
              <w:rPr>
                <w:sz w:val="22"/>
                <w:szCs w:val="19"/>
              </w:rPr>
              <w:t xml:space="preserve">                                                </w:t>
            </w:r>
          </w:p>
        </w:tc>
      </w:tr>
      <w:tr w:rsidR="00F03F9E" w:rsidTr="00DE5C41">
        <w:tblPrEx>
          <w:tblCellMar>
            <w:top w:w="0" w:type="dxa"/>
            <w:bottom w:w="0" w:type="dxa"/>
          </w:tblCellMar>
        </w:tblPrEx>
        <w:trPr>
          <w:jc w:val="center"/>
        </w:trPr>
        <w:tc>
          <w:tcPr>
            <w:tcW w:w="9576" w:type="dxa"/>
            <w:gridSpan w:val="2"/>
          </w:tcPr>
          <w:p w:rsidR="00F03F9E" w:rsidRDefault="00F03F9E" w:rsidP="002F432A">
            <w:pPr>
              <w:rPr>
                <w:sz w:val="22"/>
              </w:rPr>
            </w:pPr>
            <w:r>
              <w:rPr>
                <w:b/>
                <w:bCs/>
                <w:smallCaps/>
                <w:sz w:val="22"/>
              </w:rPr>
              <w:t>Estimate Prepared By</w:t>
            </w:r>
            <w:r>
              <w:rPr>
                <w:smallCaps/>
                <w:sz w:val="22"/>
              </w:rPr>
              <w:t xml:space="preserve">:     </w:t>
            </w:r>
            <w:r>
              <w:rPr>
                <w:sz w:val="22"/>
              </w:rPr>
              <w:t xml:space="preserve">   Tanisha Edwards, </w:t>
            </w:r>
            <w:r w:rsidR="007A29CF">
              <w:rPr>
                <w:sz w:val="22"/>
              </w:rPr>
              <w:t xml:space="preserve">Chief </w:t>
            </w:r>
            <w:r>
              <w:rPr>
                <w:sz w:val="22"/>
              </w:rPr>
              <w:t>Counsel</w:t>
            </w:r>
            <w:r w:rsidR="002F432A">
              <w:rPr>
                <w:sz w:val="22"/>
              </w:rPr>
              <w:t xml:space="preserve">, </w:t>
            </w:r>
            <w:r>
              <w:rPr>
                <w:sz w:val="22"/>
              </w:rPr>
              <w:t>Finance Division</w:t>
            </w:r>
          </w:p>
          <w:p w:rsidR="002F432A" w:rsidRDefault="002F432A" w:rsidP="002F432A">
            <w:pPr>
              <w:rPr>
                <w:sz w:val="22"/>
              </w:rPr>
            </w:pPr>
          </w:p>
        </w:tc>
      </w:tr>
      <w:tr w:rsidR="00F03F9E" w:rsidTr="00DE5C41">
        <w:tblPrEx>
          <w:tblCellMar>
            <w:top w:w="0" w:type="dxa"/>
            <w:bottom w:w="0" w:type="dxa"/>
          </w:tblCellMar>
        </w:tblPrEx>
        <w:trPr>
          <w:jc w:val="center"/>
        </w:trPr>
        <w:tc>
          <w:tcPr>
            <w:tcW w:w="9576" w:type="dxa"/>
            <w:gridSpan w:val="2"/>
          </w:tcPr>
          <w:p w:rsidR="00F03F9E" w:rsidRDefault="002F432A" w:rsidP="002F432A">
            <w:pPr>
              <w:rPr>
                <w:sz w:val="22"/>
              </w:rPr>
            </w:pPr>
            <w:r>
              <w:rPr>
                <w:b/>
                <w:bCs/>
                <w:smallCaps/>
                <w:sz w:val="22"/>
                <w:szCs w:val="19"/>
              </w:rPr>
              <w:t xml:space="preserve">Legislative </w:t>
            </w:r>
            <w:r w:rsidR="00F03F9E">
              <w:rPr>
                <w:b/>
                <w:bCs/>
                <w:smallCaps/>
                <w:sz w:val="22"/>
                <w:szCs w:val="19"/>
              </w:rPr>
              <w:t>History</w:t>
            </w:r>
            <w:r w:rsidR="00F03F9E">
              <w:rPr>
                <w:b/>
                <w:bCs/>
                <w:sz w:val="22"/>
                <w:szCs w:val="19"/>
              </w:rPr>
              <w:t>:</w:t>
            </w:r>
            <w:r>
              <w:rPr>
                <w:sz w:val="22"/>
                <w:szCs w:val="19"/>
              </w:rPr>
              <w:tab/>
            </w:r>
            <w:r w:rsidRPr="00CD61D8">
              <w:rPr>
                <w:sz w:val="22"/>
                <w:szCs w:val="22"/>
              </w:rPr>
              <w:t xml:space="preserve">This bill will be voted out of </w:t>
            </w:r>
            <w:r w:rsidR="000C4897">
              <w:rPr>
                <w:sz w:val="22"/>
                <w:szCs w:val="22"/>
              </w:rPr>
              <w:t xml:space="preserve">the </w:t>
            </w:r>
            <w:r>
              <w:rPr>
                <w:sz w:val="22"/>
                <w:szCs w:val="22"/>
              </w:rPr>
              <w:t>Finance</w:t>
            </w:r>
            <w:r w:rsidRPr="00CD61D8">
              <w:rPr>
                <w:sz w:val="22"/>
                <w:szCs w:val="22"/>
              </w:rPr>
              <w:t xml:space="preserve"> Committee as a </w:t>
            </w:r>
            <w:proofErr w:type="spellStart"/>
            <w:r w:rsidRPr="00CD61D8">
              <w:rPr>
                <w:sz w:val="22"/>
                <w:szCs w:val="22"/>
              </w:rPr>
              <w:t>Preconsidered</w:t>
            </w:r>
            <w:proofErr w:type="spellEnd"/>
            <w:r w:rsidRPr="00CD61D8">
              <w:rPr>
                <w:sz w:val="22"/>
                <w:szCs w:val="22"/>
              </w:rPr>
              <w:t xml:space="preserve"> </w:t>
            </w:r>
            <w:r>
              <w:rPr>
                <w:sz w:val="22"/>
                <w:szCs w:val="22"/>
              </w:rPr>
              <w:t>Int.</w:t>
            </w:r>
            <w:r w:rsidRPr="00CD61D8">
              <w:rPr>
                <w:sz w:val="22"/>
                <w:szCs w:val="22"/>
              </w:rPr>
              <w:t xml:space="preserve"> on </w:t>
            </w:r>
            <w:r>
              <w:rPr>
                <w:sz w:val="22"/>
                <w:szCs w:val="22"/>
              </w:rPr>
              <w:t xml:space="preserve">December 17, </w:t>
            </w:r>
            <w:r w:rsidRPr="00CD61D8">
              <w:rPr>
                <w:sz w:val="22"/>
                <w:szCs w:val="22"/>
              </w:rPr>
              <w:t xml:space="preserve">2014. Following a successful </w:t>
            </w:r>
            <w:r>
              <w:rPr>
                <w:sz w:val="22"/>
                <w:szCs w:val="22"/>
              </w:rPr>
              <w:t xml:space="preserve">committee </w:t>
            </w:r>
            <w:r w:rsidRPr="00CD61D8">
              <w:rPr>
                <w:sz w:val="22"/>
                <w:szCs w:val="22"/>
              </w:rPr>
              <w:t xml:space="preserve">vote, the </w:t>
            </w:r>
            <w:proofErr w:type="spellStart"/>
            <w:r w:rsidRPr="00CD61D8">
              <w:rPr>
                <w:sz w:val="22"/>
                <w:szCs w:val="22"/>
              </w:rPr>
              <w:t>Preconsidered</w:t>
            </w:r>
            <w:proofErr w:type="spellEnd"/>
            <w:r w:rsidRPr="00CD61D8">
              <w:rPr>
                <w:sz w:val="22"/>
                <w:szCs w:val="22"/>
              </w:rPr>
              <w:t xml:space="preserve"> </w:t>
            </w:r>
            <w:r>
              <w:rPr>
                <w:sz w:val="22"/>
                <w:szCs w:val="22"/>
              </w:rPr>
              <w:t>Int.</w:t>
            </w:r>
            <w:r w:rsidRPr="00CD61D8">
              <w:rPr>
                <w:sz w:val="22"/>
                <w:szCs w:val="22"/>
              </w:rPr>
              <w:t xml:space="preserve"> will be introduced and voted on by the Full Council </w:t>
            </w:r>
            <w:r>
              <w:rPr>
                <w:sz w:val="22"/>
                <w:szCs w:val="22"/>
              </w:rPr>
              <w:t xml:space="preserve">at the Stated Meeting on </w:t>
            </w:r>
            <w:r w:rsidR="000C4897">
              <w:rPr>
                <w:sz w:val="22"/>
                <w:szCs w:val="22"/>
              </w:rPr>
              <w:t xml:space="preserve">December 17, 2014. </w:t>
            </w:r>
            <w:r w:rsidR="00F03F9E">
              <w:rPr>
                <w:sz w:val="22"/>
                <w:szCs w:val="19"/>
              </w:rPr>
              <w:t xml:space="preserve"> </w:t>
            </w:r>
          </w:p>
        </w:tc>
      </w:tr>
    </w:tbl>
    <w:p w:rsidR="00F03F9E" w:rsidRPr="002F432A" w:rsidRDefault="00F03F9E" w:rsidP="00F03F9E">
      <w:pPr>
        <w:rPr>
          <w:b/>
          <w:smallCaps/>
          <w:sz w:val="22"/>
        </w:rPr>
      </w:pPr>
    </w:p>
    <w:p w:rsidR="002F432A" w:rsidRDefault="002F432A" w:rsidP="00F03F9E">
      <w:pPr>
        <w:rPr>
          <w:sz w:val="22"/>
        </w:rPr>
      </w:pPr>
      <w:r w:rsidRPr="002F432A">
        <w:rPr>
          <w:b/>
          <w:smallCaps/>
          <w:sz w:val="22"/>
        </w:rPr>
        <w:t>Date Prepared</w:t>
      </w:r>
      <w:r>
        <w:rPr>
          <w:sz w:val="22"/>
        </w:rPr>
        <w:t>: December 16, 2014</w:t>
      </w:r>
    </w:p>
    <w:p w:rsidR="0028490E" w:rsidRDefault="0028490E"/>
    <w:sectPr w:rsidR="00284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65632"/>
    <w:multiLevelType w:val="hybridMultilevel"/>
    <w:tmpl w:val="571AD3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9E"/>
    <w:rsid w:val="000C4897"/>
    <w:rsid w:val="001B222D"/>
    <w:rsid w:val="0028490E"/>
    <w:rsid w:val="002F432A"/>
    <w:rsid w:val="00761649"/>
    <w:rsid w:val="00764B0C"/>
    <w:rsid w:val="007A29CF"/>
    <w:rsid w:val="008115E1"/>
    <w:rsid w:val="00F0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9E"/>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F9E"/>
    <w:pPr>
      <w:keepNext/>
      <w:jc w:val="center"/>
      <w:outlineLvl w:val="0"/>
    </w:pPr>
    <w:rPr>
      <w:b/>
      <w:bCs/>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F9E"/>
    <w:rPr>
      <w:rFonts w:ascii="Times New Roman" w:eastAsia="Times New Roman" w:hAnsi="Times New Roman" w:cs="Times New Roman"/>
      <w:b/>
      <w:bCs/>
      <w:sz w:val="24"/>
      <w:szCs w:val="19"/>
      <w:lang w:val="x-none" w:eastAsia="x-none"/>
    </w:rPr>
  </w:style>
  <w:style w:type="paragraph" w:customStyle="1" w:styleId="BlockNarrow">
    <w:name w:val="Block Narrow"/>
    <w:aliases w:val="BN"/>
    <w:basedOn w:val="Normal"/>
    <w:next w:val="Normal"/>
    <w:rsid w:val="00F03F9E"/>
    <w:pPr>
      <w:suppressAutoHyphens/>
      <w:spacing w:after="240"/>
      <w:ind w:left="2160" w:right="2160"/>
      <w:outlineLvl w:val="2"/>
    </w:pPr>
    <w:rPr>
      <w:szCs w:val="20"/>
    </w:rPr>
  </w:style>
  <w:style w:type="paragraph" w:styleId="BalloonText">
    <w:name w:val="Balloon Text"/>
    <w:basedOn w:val="Normal"/>
    <w:link w:val="BalloonTextChar"/>
    <w:uiPriority w:val="99"/>
    <w:semiHidden/>
    <w:unhideWhenUsed/>
    <w:rsid w:val="00F03F9E"/>
    <w:rPr>
      <w:rFonts w:ascii="Tahoma" w:hAnsi="Tahoma" w:cs="Tahoma"/>
      <w:sz w:val="16"/>
      <w:szCs w:val="16"/>
    </w:rPr>
  </w:style>
  <w:style w:type="character" w:customStyle="1" w:styleId="BalloonTextChar">
    <w:name w:val="Balloon Text Char"/>
    <w:basedOn w:val="DefaultParagraphFont"/>
    <w:link w:val="BalloonText"/>
    <w:uiPriority w:val="99"/>
    <w:semiHidden/>
    <w:rsid w:val="00F03F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9E"/>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F9E"/>
    <w:pPr>
      <w:keepNext/>
      <w:jc w:val="center"/>
      <w:outlineLvl w:val="0"/>
    </w:pPr>
    <w:rPr>
      <w:b/>
      <w:bCs/>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F9E"/>
    <w:rPr>
      <w:rFonts w:ascii="Times New Roman" w:eastAsia="Times New Roman" w:hAnsi="Times New Roman" w:cs="Times New Roman"/>
      <w:b/>
      <w:bCs/>
      <w:sz w:val="24"/>
      <w:szCs w:val="19"/>
      <w:lang w:val="x-none" w:eastAsia="x-none"/>
    </w:rPr>
  </w:style>
  <w:style w:type="paragraph" w:customStyle="1" w:styleId="BlockNarrow">
    <w:name w:val="Block Narrow"/>
    <w:aliases w:val="BN"/>
    <w:basedOn w:val="Normal"/>
    <w:next w:val="Normal"/>
    <w:rsid w:val="00F03F9E"/>
    <w:pPr>
      <w:suppressAutoHyphens/>
      <w:spacing w:after="240"/>
      <w:ind w:left="2160" w:right="2160"/>
      <w:outlineLvl w:val="2"/>
    </w:pPr>
    <w:rPr>
      <w:szCs w:val="20"/>
    </w:rPr>
  </w:style>
  <w:style w:type="paragraph" w:styleId="BalloonText">
    <w:name w:val="Balloon Text"/>
    <w:basedOn w:val="Normal"/>
    <w:link w:val="BalloonTextChar"/>
    <w:uiPriority w:val="99"/>
    <w:semiHidden/>
    <w:unhideWhenUsed/>
    <w:rsid w:val="00F03F9E"/>
    <w:rPr>
      <w:rFonts w:ascii="Tahoma" w:hAnsi="Tahoma" w:cs="Tahoma"/>
      <w:sz w:val="16"/>
      <w:szCs w:val="16"/>
    </w:rPr>
  </w:style>
  <w:style w:type="character" w:customStyle="1" w:styleId="BalloonTextChar">
    <w:name w:val="Balloon Text Char"/>
    <w:basedOn w:val="DefaultParagraphFont"/>
    <w:link w:val="BalloonText"/>
    <w:uiPriority w:val="99"/>
    <w:semiHidden/>
    <w:rsid w:val="00F03F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Tanisha</dc:creator>
  <cp:lastModifiedBy>Edwards, Tanisha</cp:lastModifiedBy>
  <cp:revision>2</cp:revision>
  <cp:lastPrinted>2014-12-16T17:57:00Z</cp:lastPrinted>
  <dcterms:created xsi:type="dcterms:W3CDTF">2014-12-16T18:37:00Z</dcterms:created>
  <dcterms:modified xsi:type="dcterms:W3CDTF">2014-12-16T18:37:00Z</dcterms:modified>
</cp:coreProperties>
</file>