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D1234D" w:rsidTr="00D65EA9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D1234D" w:rsidRDefault="00D1234D" w:rsidP="00D65EA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6B9E82C6" wp14:editId="3B0BCAA2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34D" w:rsidRDefault="00D1234D" w:rsidP="00D65EA9"/>
        </w:tc>
        <w:tc>
          <w:tcPr>
            <w:tcW w:w="4869" w:type="dxa"/>
            <w:tcBorders>
              <w:bottom w:val="single" w:sz="4" w:space="0" w:color="auto"/>
            </w:tcBorders>
          </w:tcPr>
          <w:p w:rsidR="00D1234D" w:rsidRDefault="00D1234D" w:rsidP="00D65EA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D1234D" w:rsidRDefault="00D1234D" w:rsidP="00D65EA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D1234D" w:rsidRDefault="00D1234D" w:rsidP="00D65EA9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D1234D" w:rsidRDefault="00D1234D" w:rsidP="00D65EA9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D1234D" w:rsidRPr="00ED74D9" w:rsidRDefault="00D1234D" w:rsidP="00D65EA9">
            <w:pPr>
              <w:rPr>
                <w:b/>
                <w:bCs/>
                <w:sz w:val="16"/>
                <w:szCs w:val="16"/>
              </w:rPr>
            </w:pPr>
          </w:p>
          <w:p w:rsidR="00D1234D" w:rsidRDefault="00D1234D" w:rsidP="00D65EA9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</w:t>
            </w:r>
            <w:r w:rsidRPr="00581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348-A</w:t>
            </w:r>
          </w:p>
          <w:p w:rsidR="00D1234D" w:rsidRPr="00750463" w:rsidRDefault="00D1234D" w:rsidP="00D65EA9">
            <w:pPr>
              <w:rPr>
                <w:color w:val="FF0000"/>
                <w:sz w:val="16"/>
                <w:szCs w:val="16"/>
              </w:rPr>
            </w:pPr>
          </w:p>
          <w:p w:rsidR="00D1234D" w:rsidRPr="00A267C7" w:rsidRDefault="00D1234D" w:rsidP="00D65EA9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D1234D" w:rsidRPr="00126707" w:rsidTr="00D65EA9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A8651F" w:rsidRDefault="00D1234D" w:rsidP="00A8651F">
            <w:pPr>
              <w:pStyle w:val="NoSpacing"/>
            </w:pPr>
            <w:r w:rsidRPr="00126707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Pr="00126707">
              <w:rPr>
                <w:bCs/>
                <w:smallCaps/>
                <w:sz w:val="22"/>
                <w:szCs w:val="22"/>
              </w:rPr>
              <w:t xml:space="preserve"> </w:t>
            </w:r>
            <w:r w:rsidRPr="00126707">
              <w:rPr>
                <w:rFonts w:eastAsia="Calibri"/>
              </w:rPr>
              <w:t xml:space="preserve">A Local Law </w:t>
            </w:r>
            <w:r w:rsidRPr="00126707">
              <w:t>t</w:t>
            </w:r>
            <w:r w:rsidRPr="00126707">
              <w:rPr>
                <w:vanish/>
              </w:rPr>
              <w:t>T</w:t>
            </w:r>
            <w:r w:rsidRPr="00126707">
              <w:t xml:space="preserve">o </w:t>
            </w:r>
            <w:proofErr w:type="gramStart"/>
            <w:r w:rsidR="00A8651F">
              <w:t>amend</w:t>
            </w:r>
            <w:proofErr w:type="gramEnd"/>
            <w:r w:rsidR="00A8651F">
              <w:t xml:space="preserve"> the administrative code of the city of New York, in relation to inspection fees for certain recurring violations of the housing maintenance code.</w:t>
            </w:r>
          </w:p>
          <w:p w:rsidR="00D1234D" w:rsidRPr="00126707" w:rsidRDefault="00D1234D" w:rsidP="00A8651F"/>
        </w:tc>
        <w:tc>
          <w:tcPr>
            <w:tcW w:w="4869" w:type="dxa"/>
            <w:tcBorders>
              <w:top w:val="single" w:sz="4" w:space="0" w:color="auto"/>
            </w:tcBorders>
          </w:tcPr>
          <w:p w:rsidR="00A8651F" w:rsidRDefault="00D1234D" w:rsidP="00A8651F">
            <w:pPr>
              <w:pStyle w:val="NoSpacing"/>
              <w:jc w:val="left"/>
            </w:pPr>
            <w:r w:rsidRPr="00126707">
              <w:rPr>
                <w:b/>
                <w:bCs/>
                <w:smallCaps/>
                <w:sz w:val="22"/>
                <w:szCs w:val="22"/>
              </w:rPr>
              <w:t>Sponsor(S)</w:t>
            </w:r>
            <w:r w:rsidRPr="00126707">
              <w:rPr>
                <w:b/>
                <w:bCs/>
                <w:sz w:val="22"/>
                <w:szCs w:val="22"/>
              </w:rPr>
              <w:t xml:space="preserve">: </w:t>
            </w:r>
            <w:r w:rsidRPr="00126707">
              <w:rPr>
                <w:spacing w:val="-3"/>
              </w:rPr>
              <w:t xml:space="preserve">Council Members </w:t>
            </w:r>
            <w:r w:rsidR="00A8651F">
              <w:t>Torres, Reynoso, Chin, Johnson, Levin, Levine, Mendez, Rosenthal, Garodnick, Constantinides, Palma, Kallos, Rodriguez, Dromm, Richards, Cornegy, Gentile, Miller, Lander and Cohen</w:t>
            </w:r>
          </w:p>
          <w:p w:rsidR="00D1234D" w:rsidRPr="00126707" w:rsidRDefault="00D1234D" w:rsidP="00A8651F">
            <w:pPr>
              <w:pStyle w:val="NoSpacing"/>
              <w:jc w:val="left"/>
              <w:rPr>
                <w:b/>
              </w:rPr>
            </w:pPr>
          </w:p>
        </w:tc>
      </w:tr>
    </w:tbl>
    <w:p w:rsidR="00680F22" w:rsidRDefault="00D1234D" w:rsidP="00305F59">
      <w:pPr>
        <w:pPrChange w:id="0" w:author="New York City Council" w:date="2014-11-13T10:22:00Z">
          <w:pPr>
            <w:pBdr>
              <w:top w:val="single" w:sz="4" w:space="1" w:color="auto"/>
            </w:pBdr>
          </w:pPr>
        </w:pPrChange>
      </w:pPr>
      <w:r w:rsidRPr="00126707">
        <w:rPr>
          <w:b/>
          <w:smallCaps/>
          <w:sz w:val="22"/>
          <w:szCs w:val="22"/>
        </w:rPr>
        <w:t xml:space="preserve">Summary of Legislation: </w:t>
      </w:r>
      <w:r w:rsidRPr="00126707">
        <w:t xml:space="preserve">This legislation would </w:t>
      </w:r>
      <w:r w:rsidR="003810DF">
        <w:t>allow</w:t>
      </w:r>
      <w:r w:rsidRPr="003810DF">
        <w:t xml:space="preserve"> the Department of Housing Preservation and Development (HPD) to </w:t>
      </w:r>
      <w:r w:rsidR="003810DF" w:rsidRPr="003810DF">
        <w:t xml:space="preserve">impose an inspection fee of </w:t>
      </w:r>
      <w:r w:rsidR="00DB4F74">
        <w:t>$20</w:t>
      </w:r>
      <w:r w:rsidR="003810DF" w:rsidRPr="003810DF">
        <w:t>0 for the third</w:t>
      </w:r>
      <w:r w:rsidR="00680F22">
        <w:t>,</w:t>
      </w:r>
      <w:r w:rsidR="003810DF" w:rsidRPr="003810DF">
        <w:t xml:space="preserve"> and for each subsequent</w:t>
      </w:r>
      <w:r w:rsidR="00680F22">
        <w:t>,</w:t>
      </w:r>
      <w:r w:rsidR="003810DF" w:rsidRPr="003810DF">
        <w:t xml:space="preserve"> complaint-based inspection that it performs in a</w:t>
      </w:r>
      <w:r w:rsidR="003810DF">
        <w:t xml:space="preserve"> dwelling unit within</w:t>
      </w:r>
      <w:r w:rsidR="003810DF" w:rsidRPr="003810DF">
        <w:t xml:space="preserve"> a 12</w:t>
      </w:r>
      <w:r w:rsidR="00680F22">
        <w:t>-</w:t>
      </w:r>
      <w:r w:rsidR="003810DF" w:rsidRPr="003810DF">
        <w:t>month period</w:t>
      </w:r>
      <w:r w:rsidR="00680F22">
        <w:t xml:space="preserve"> provided that the prior 2 inspections</w:t>
      </w:r>
      <w:r w:rsidR="00DB4F74">
        <w:t xml:space="preserve"> </w:t>
      </w:r>
      <w:r w:rsidR="003810DF" w:rsidRPr="003810DF">
        <w:t>result</w:t>
      </w:r>
      <w:r w:rsidR="00680F22">
        <w:t>ed</w:t>
      </w:r>
      <w:r w:rsidR="003810DF" w:rsidRPr="003810DF">
        <w:t xml:space="preserve"> in the issuance of a hazardous or immediately hazardous violation</w:t>
      </w:r>
      <w:r w:rsidR="00680F22">
        <w:t xml:space="preserve"> that have not all been certified as corrected</w:t>
      </w:r>
      <w:r w:rsidR="003810DF" w:rsidRPr="003810DF">
        <w:t>.</w:t>
      </w:r>
      <w:r w:rsidR="00680F22">
        <w:t xml:space="preserve"> </w:t>
      </w:r>
      <w:r w:rsidRPr="00287FBF">
        <w:t xml:space="preserve">The legislation </w:t>
      </w:r>
      <w:r w:rsidR="00680F22">
        <w:t>would</w:t>
      </w:r>
      <w:r w:rsidR="00680F22" w:rsidRPr="00287FBF">
        <w:t xml:space="preserve"> </w:t>
      </w:r>
      <w:r w:rsidRPr="00287FBF">
        <w:t xml:space="preserve">grant HPD </w:t>
      </w:r>
      <w:r w:rsidR="00DB4F74" w:rsidRPr="00287FBF">
        <w:t xml:space="preserve">the authority, </w:t>
      </w:r>
      <w:r w:rsidRPr="00287FBF">
        <w:t xml:space="preserve">by rule, </w:t>
      </w:r>
      <w:r w:rsidR="00DB4F74" w:rsidRPr="00287FBF">
        <w:t>to increase th</w:t>
      </w:r>
      <w:r w:rsidR="00680F22">
        <w:t>is</w:t>
      </w:r>
      <w:r w:rsidR="00DB4F74" w:rsidRPr="00287FBF">
        <w:t xml:space="preserve"> fee for inspections performed </w:t>
      </w:r>
      <w:r w:rsidR="00680F22">
        <w:t>between</w:t>
      </w:r>
      <w:r w:rsidR="00DB4F74" w:rsidRPr="00287FBF">
        <w:t xml:space="preserve"> October 1</w:t>
      </w:r>
      <w:r w:rsidR="00DB4F74" w:rsidRPr="003502D6">
        <w:rPr>
          <w:vertAlign w:val="superscript"/>
        </w:rPr>
        <w:t>st</w:t>
      </w:r>
      <w:r w:rsidR="00680F22">
        <w:t xml:space="preserve"> and</w:t>
      </w:r>
      <w:r w:rsidR="00DB4F74" w:rsidRPr="00287FBF">
        <w:t xml:space="preserve"> May 31</w:t>
      </w:r>
      <w:r w:rsidR="00DB4F74" w:rsidRPr="00287FBF">
        <w:rPr>
          <w:vertAlign w:val="superscript"/>
        </w:rPr>
        <w:t>st</w:t>
      </w:r>
      <w:r w:rsidR="00DB4F74" w:rsidRPr="00287FBF">
        <w:t>.</w:t>
      </w:r>
      <w:r w:rsidR="00F05534" w:rsidRPr="00287FBF">
        <w:t xml:space="preserve"> </w:t>
      </w:r>
    </w:p>
    <w:p w:rsidR="00680F22" w:rsidRDefault="00680F22" w:rsidP="00305F59">
      <w:pPr>
        <w:pPrChange w:id="1" w:author="New York City Council" w:date="2014-11-13T10:22:00Z">
          <w:pPr>
            <w:pBdr>
              <w:top w:val="single" w:sz="4" w:space="1" w:color="auto"/>
            </w:pBdr>
          </w:pPr>
        </w:pPrChange>
      </w:pPr>
    </w:p>
    <w:p w:rsidR="00287FBF" w:rsidRDefault="00680F22" w:rsidP="00305F59">
      <w:pPr>
        <w:rPr>
          <w:u w:val="single"/>
        </w:rPr>
        <w:pPrChange w:id="2" w:author="New York City Council" w:date="2014-11-13T10:22:00Z">
          <w:pPr>
            <w:pBdr>
              <w:top w:val="single" w:sz="4" w:space="1" w:color="auto"/>
            </w:pBdr>
          </w:pPr>
        </w:pPrChange>
      </w:pPr>
      <w:r>
        <w:t>The fee would not be imposed on certain buildings, including a</w:t>
      </w:r>
      <w:r w:rsidR="00DB4F74" w:rsidRPr="00287FBF">
        <w:t xml:space="preserve"> multiple dwelling that is active</w:t>
      </w:r>
      <w:r w:rsidR="00F05534" w:rsidRPr="00287FBF">
        <w:t xml:space="preserve"> in HPD’s </w:t>
      </w:r>
      <w:r w:rsidR="00DB4F74" w:rsidRPr="00287FBF">
        <w:t>alternative enforcement program</w:t>
      </w:r>
      <w:r>
        <w:t xml:space="preserve"> or</w:t>
      </w:r>
      <w:r w:rsidR="00287FBF" w:rsidRPr="00287FBF">
        <w:t xml:space="preserve"> Article 7-A program, or </w:t>
      </w:r>
      <w:r>
        <w:t xml:space="preserve">if the inspection results exclusively in </w:t>
      </w:r>
      <w:r w:rsidR="00287FBF" w:rsidRPr="00287FBF">
        <w:t xml:space="preserve">hazardous or immediately hazardous violations for inoperable smoke detectors, carbon monoxide detectors, double cylinder locks on entry doors of dwelling units, illegal window gates, </w:t>
      </w:r>
      <w:r>
        <w:t xml:space="preserve">or </w:t>
      </w:r>
      <w:r w:rsidR="00287FBF" w:rsidRPr="00287FBF">
        <w:t>absence of window guards.</w:t>
      </w:r>
      <w:r w:rsidR="00287FBF">
        <w:rPr>
          <w:u w:val="single"/>
        </w:rPr>
        <w:t xml:space="preserve"> </w:t>
      </w:r>
    </w:p>
    <w:p w:rsidR="00680F22" w:rsidRDefault="00680F22" w:rsidP="00305F59">
      <w:pPr>
        <w:rPr>
          <w:u w:val="single"/>
        </w:rPr>
        <w:pPrChange w:id="3" w:author="New York City Council" w:date="2014-11-13T10:22:00Z">
          <w:pPr>
            <w:pBdr>
              <w:top w:val="single" w:sz="4" w:space="1" w:color="auto"/>
            </w:pBdr>
          </w:pPr>
        </w:pPrChange>
      </w:pPr>
      <w:bookmarkStart w:id="4" w:name="_GoBack"/>
      <w:bookmarkEnd w:id="4"/>
    </w:p>
    <w:p w:rsidR="00680F22" w:rsidRDefault="00680F22" w:rsidP="00305F59">
      <w:pPr>
        <w:rPr>
          <w:u w:val="single"/>
        </w:rPr>
        <w:pPrChange w:id="5" w:author="New York City Council" w:date="2014-11-13T10:22:00Z">
          <w:pPr>
            <w:pBdr>
              <w:top w:val="single" w:sz="4" w:space="1" w:color="auto"/>
            </w:pBdr>
          </w:pPr>
        </w:pPrChange>
      </w:pPr>
      <w:r w:rsidRPr="00287FBF">
        <w:t>All fees that remain unpaid shall constitute a debt recoverable from the owner and a lien can be placed upon the property.</w:t>
      </w:r>
    </w:p>
    <w:p w:rsidR="00D1234D" w:rsidRPr="00126707" w:rsidRDefault="00D1234D" w:rsidP="00D1234D">
      <w:pPr>
        <w:spacing w:before="120"/>
        <w:rPr>
          <w:b/>
          <w:smallCaps/>
          <w:sz w:val="22"/>
          <w:szCs w:val="22"/>
        </w:rPr>
      </w:pPr>
    </w:p>
    <w:p w:rsidR="00D1234D" w:rsidRPr="00126707" w:rsidRDefault="00D1234D" w:rsidP="00D1234D">
      <w:pPr>
        <w:spacing w:before="240"/>
        <w:contextualSpacing/>
      </w:pPr>
      <w:r w:rsidRPr="00126707">
        <w:rPr>
          <w:b/>
          <w:smallCaps/>
          <w:sz w:val="22"/>
          <w:szCs w:val="22"/>
        </w:rPr>
        <w:t xml:space="preserve">Effective Date: </w:t>
      </w:r>
      <w:r w:rsidRPr="00126707">
        <w:t>This local law would take effect 180 days after its enactment, except that the Commissioner of HPD may</w:t>
      </w:r>
      <w:r w:rsidR="00680F22">
        <w:t xml:space="preserve"> take measures to implement the legislation, including the</w:t>
      </w:r>
      <w:r w:rsidRPr="00126707">
        <w:t xml:space="preserve"> promulgat</w:t>
      </w:r>
      <w:r w:rsidR="00680F22">
        <w:t>ion of</w:t>
      </w:r>
      <w:r w:rsidRPr="00126707">
        <w:t xml:space="preserve"> rules</w:t>
      </w:r>
      <w:r w:rsidR="00680F22">
        <w:t>,</w:t>
      </w:r>
      <w:r w:rsidRPr="00126707">
        <w:t xml:space="preserve"> prior to the effective date. </w:t>
      </w:r>
    </w:p>
    <w:p w:rsidR="00D1234D" w:rsidRPr="00126707" w:rsidRDefault="00D1234D" w:rsidP="00D1234D">
      <w:pPr>
        <w:spacing w:before="240"/>
        <w:rPr>
          <w:b/>
          <w:sz w:val="22"/>
          <w:szCs w:val="22"/>
        </w:rPr>
      </w:pPr>
      <w:r w:rsidRPr="00126707">
        <w:rPr>
          <w:b/>
          <w:smallCaps/>
          <w:sz w:val="22"/>
          <w:szCs w:val="22"/>
        </w:rPr>
        <w:t xml:space="preserve">Fiscal Year In Which Full Fiscal Impact Anticipated: </w:t>
      </w:r>
      <w:r w:rsidRPr="00126707">
        <w:t>Fiscal 2015</w:t>
      </w:r>
    </w:p>
    <w:p w:rsidR="00D1234D" w:rsidRDefault="00D1234D" w:rsidP="00D1234D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:rsidR="00D1234D" w:rsidRDefault="00D1234D" w:rsidP="00D1234D">
      <w:pPr>
        <w:pStyle w:val="NoSpacing"/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1234D" w:rsidRPr="00706E47" w:rsidTr="00D65EA9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1234D" w:rsidRPr="00706E47" w:rsidRDefault="00D1234D" w:rsidP="00D65EA9">
            <w:pPr>
              <w:spacing w:line="201" w:lineRule="exact"/>
              <w:jc w:val="center"/>
              <w:rPr>
                <w:sz w:val="18"/>
                <w:szCs w:val="18"/>
              </w:rPr>
            </w:pP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1234D" w:rsidRPr="00706E47" w:rsidRDefault="00D1234D" w:rsidP="00D65EA9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Effective FY15</w:t>
            </w: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1234D" w:rsidRPr="00706E47" w:rsidRDefault="00D1234D" w:rsidP="00D65EA9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FY Succeeding</w:t>
            </w: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Effective FY1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1234D" w:rsidRPr="00706E47" w:rsidRDefault="00D1234D" w:rsidP="00D65EA9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Full Fiscal</w:t>
            </w: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Impact FY15</w:t>
            </w:r>
          </w:p>
          <w:p w:rsidR="00D1234D" w:rsidRPr="00706E47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393" w:rsidRPr="00484393" w:rsidTr="00D65EA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1234D" w:rsidRPr="00484393" w:rsidRDefault="00D1234D" w:rsidP="00D65EA9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1234D" w:rsidRPr="00484393" w:rsidRDefault="00D1234D" w:rsidP="00D65EA9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287FBF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</w:t>
            </w:r>
            <w:r w:rsidR="003C3D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C3D5A" w:rsidRDefault="003C3D5A" w:rsidP="00D65E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3C3D5A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C3D5A" w:rsidRDefault="003C3D5A" w:rsidP="00D65E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3C3D5A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84393" w:rsidRPr="00484393" w:rsidTr="00D65EA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1234D" w:rsidRPr="00484393" w:rsidRDefault="00D1234D" w:rsidP="00D65EA9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D1234D" w:rsidRPr="00484393" w:rsidRDefault="00D1234D" w:rsidP="00A8651F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</w:t>
            </w:r>
            <w:r w:rsidR="00A8651F" w:rsidRPr="0048439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D1234D" w:rsidRPr="00484393" w:rsidRDefault="00D1234D" w:rsidP="00A8651F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</w:t>
            </w:r>
            <w:r w:rsidR="00A8651F" w:rsidRPr="0048439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D1234D" w:rsidRPr="00484393" w:rsidRDefault="00D1234D" w:rsidP="00A8651F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</w:t>
            </w:r>
            <w:r w:rsidR="00A8651F" w:rsidRPr="0048439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84393" w:rsidRPr="00484393" w:rsidTr="00D65EA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D1234D" w:rsidRPr="00484393" w:rsidRDefault="00D1234D" w:rsidP="00D65EA9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D1234D" w:rsidP="00D65EA9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1234D" w:rsidRPr="00484393" w:rsidRDefault="00D1234D" w:rsidP="00D65EA9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1234D" w:rsidRPr="00484393" w:rsidRDefault="00D1234D" w:rsidP="00D65EA9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1234D" w:rsidRPr="00484393" w:rsidRDefault="00D1234D" w:rsidP="00D65EA9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234D" w:rsidRPr="00484393" w:rsidRDefault="00D1234D" w:rsidP="00D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393">
              <w:rPr>
                <w:b/>
                <w:bCs/>
                <w:sz w:val="18"/>
                <w:szCs w:val="18"/>
              </w:rPr>
              <w:t>$0</w:t>
            </w:r>
          </w:p>
        </w:tc>
      </w:tr>
    </w:tbl>
    <w:p w:rsidR="00D1234D" w:rsidRPr="00484393" w:rsidRDefault="00D1234D" w:rsidP="00D1234D">
      <w:pPr>
        <w:rPr>
          <w:b/>
          <w:smallCaps/>
          <w:sz w:val="22"/>
          <w:szCs w:val="22"/>
        </w:rPr>
      </w:pPr>
    </w:p>
    <w:p w:rsidR="003C3D5A" w:rsidRPr="003C3D5A" w:rsidRDefault="00D1234D" w:rsidP="001218E6">
      <w:pPr>
        <w:rPr>
          <w:smallCaps/>
        </w:rPr>
      </w:pPr>
      <w:r w:rsidRPr="00484393">
        <w:rPr>
          <w:b/>
          <w:smallCaps/>
        </w:rPr>
        <w:t>Impact on Revenues</w:t>
      </w:r>
      <w:r w:rsidRPr="00484393">
        <w:rPr>
          <w:smallCaps/>
        </w:rPr>
        <w:t xml:space="preserve">: </w:t>
      </w:r>
      <w:r w:rsidR="001218E6" w:rsidRPr="00484393">
        <w:t>It is estimated that there would be</w:t>
      </w:r>
      <w:r w:rsidR="003C3D5A">
        <w:t xml:space="preserve"> minimal to no impact on revenues as a result of this legislation because </w:t>
      </w:r>
      <w:r w:rsidR="009044B8">
        <w:t>full compliance</w:t>
      </w:r>
      <w:r w:rsidR="00FF460A">
        <w:t xml:space="preserve"> with the legislation</w:t>
      </w:r>
      <w:r w:rsidR="009044B8">
        <w:t xml:space="preserve"> is anticipated.  </w:t>
      </w:r>
    </w:p>
    <w:p w:rsidR="00176AE8" w:rsidRPr="00E9016B" w:rsidRDefault="00176AE8" w:rsidP="00D1234D">
      <w:pPr>
        <w:rPr>
          <w:sz w:val="22"/>
          <w:szCs w:val="22"/>
        </w:rPr>
      </w:pPr>
    </w:p>
    <w:p w:rsidR="00176AE8" w:rsidRDefault="00D1234D" w:rsidP="00D1234D">
      <w:pPr>
        <w:pStyle w:val="NoSpacing"/>
      </w:pPr>
      <w:r>
        <w:rPr>
          <w:b/>
          <w:smallCaps/>
          <w:sz w:val="22"/>
          <w:szCs w:val="22"/>
        </w:rPr>
        <w:lastRenderedPageBreak/>
        <w:t xml:space="preserve">Impact on Expenditures: </w:t>
      </w:r>
      <w:r w:rsidR="00680F22">
        <w:t>It is estimated that t</w:t>
      </w:r>
      <w:r w:rsidR="00176AE8">
        <w:t>here will be no impact on expenditures as a result of this legislation.</w:t>
      </w:r>
    </w:p>
    <w:p w:rsidR="003C3D5A" w:rsidRPr="003C3D5A" w:rsidRDefault="003C3D5A" w:rsidP="00D1234D">
      <w:pPr>
        <w:pStyle w:val="NoSpacing"/>
      </w:pPr>
    </w:p>
    <w:p w:rsidR="00D1234D" w:rsidRPr="00ED3C85" w:rsidRDefault="00D1234D" w:rsidP="00D1234D">
      <w:pPr>
        <w:pStyle w:val="NoSpacing"/>
      </w:pPr>
      <w:r>
        <w:rPr>
          <w:b/>
          <w:smallCaps/>
          <w:sz w:val="22"/>
          <w:szCs w:val="22"/>
        </w:rPr>
        <w:t xml:space="preserve">Source of Funds To Cover Estimated Costs: </w:t>
      </w:r>
      <w:r>
        <w:t xml:space="preserve">New York City Department of Housing Preservation and Development </w:t>
      </w:r>
    </w:p>
    <w:p w:rsidR="00D1234D" w:rsidRDefault="00D1234D" w:rsidP="00D1234D">
      <w:pPr>
        <w:pStyle w:val="NoSpacing"/>
        <w:rPr>
          <w:b/>
          <w:smallCaps/>
          <w:sz w:val="22"/>
          <w:szCs w:val="22"/>
        </w:rPr>
      </w:pPr>
    </w:p>
    <w:p w:rsidR="00D1234D" w:rsidRDefault="00D1234D" w:rsidP="00D1234D">
      <w:pPr>
        <w:pStyle w:val="NoSpacing"/>
      </w:pPr>
      <w:r>
        <w:rPr>
          <w:b/>
          <w:smallCaps/>
          <w:sz w:val="22"/>
          <w:szCs w:val="22"/>
        </w:rPr>
        <w:t xml:space="preserve">Source of Information:  </w:t>
      </w:r>
      <w:r>
        <w:t>New York City Council, Finance Division</w:t>
      </w:r>
    </w:p>
    <w:p w:rsidR="00680F22" w:rsidRDefault="00D1234D" w:rsidP="003502D6">
      <w:pPr>
        <w:pStyle w:val="NoSpacing"/>
        <w:rPr>
          <w:b/>
          <w:smallCaps/>
        </w:rPr>
      </w:pPr>
      <w:r>
        <w:tab/>
      </w:r>
      <w:r>
        <w:tab/>
      </w:r>
      <w:r>
        <w:tab/>
        <w:t xml:space="preserve">     </w:t>
      </w:r>
    </w:p>
    <w:p w:rsidR="00D1234D" w:rsidRPr="00012730" w:rsidRDefault="00D1234D" w:rsidP="003502D6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Legislative Financial Analyst </w:t>
      </w:r>
    </w:p>
    <w:p w:rsidR="00D1234D" w:rsidRPr="00012730" w:rsidRDefault="00D1234D" w:rsidP="00D1234D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D1234D" w:rsidRDefault="00D1234D" w:rsidP="00D1234D">
      <w:pPr>
        <w:rPr>
          <w:b/>
          <w:smallCaps/>
        </w:rPr>
      </w:pPr>
      <w:r w:rsidRPr="00012730">
        <w:rPr>
          <w:b/>
          <w:smallCaps/>
        </w:rPr>
        <w:t xml:space="preserve">Estimate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Rebecca Chasan</w:t>
      </w:r>
      <w:r w:rsidRPr="00012730">
        <w:t xml:space="preserve">, </w:t>
      </w:r>
      <w:r>
        <w:t xml:space="preserve">Assistant Finance </w:t>
      </w:r>
      <w:r w:rsidRPr="00012730">
        <w:t>Counsel</w:t>
      </w:r>
      <w:r w:rsidRPr="00012730">
        <w:rPr>
          <w:b/>
          <w:smallCaps/>
        </w:rPr>
        <w:t xml:space="preserve"> </w:t>
      </w:r>
    </w:p>
    <w:p w:rsidR="00D1234D" w:rsidRDefault="00D1234D" w:rsidP="00D1234D">
      <w:pPr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t>Nathan Toth</w:t>
      </w:r>
      <w:r w:rsidRPr="00012730">
        <w:t xml:space="preserve">, </w:t>
      </w:r>
      <w:r>
        <w:t>Deputy Director, New York City Council, Finance Division</w:t>
      </w:r>
    </w:p>
    <w:p w:rsidR="00D1234D" w:rsidRDefault="00D1234D" w:rsidP="00D1234D">
      <w:pPr>
        <w:rPr>
          <w:b/>
          <w:smallCaps/>
        </w:rPr>
      </w:pPr>
    </w:p>
    <w:p w:rsidR="00D1234D" w:rsidRPr="00484393" w:rsidRDefault="00D1234D" w:rsidP="00D1234D">
      <w:r w:rsidRPr="00484393">
        <w:rPr>
          <w:b/>
          <w:smallCaps/>
        </w:rPr>
        <w:t>Legislative History:</w:t>
      </w:r>
      <w:r w:rsidRPr="00484393">
        <w:t xml:space="preserve"> This legislation was introduced to the full council on May 14, 2014 as Intro. No. </w:t>
      </w:r>
      <w:r w:rsidR="00484393" w:rsidRPr="00484393">
        <w:t xml:space="preserve">348 </w:t>
      </w:r>
      <w:r w:rsidRPr="00484393">
        <w:t xml:space="preserve">and was referred to the Committee on Housing and Buildings.  On October 1, 2014, the Committee on Housing and Buildings held a hearing to consider the legislation. The legislation was subsequently amended, and the amended version, Proposed Intro. No. </w:t>
      </w:r>
      <w:r w:rsidR="00484393" w:rsidRPr="00484393">
        <w:t>348</w:t>
      </w:r>
      <w:r w:rsidRPr="00484393">
        <w:t xml:space="preserve">-A will be considered by the Committee on Housing and Buildings on November 13, 2014. </w:t>
      </w:r>
      <w:proofErr w:type="gramStart"/>
      <w:r w:rsidRPr="00484393">
        <w:t>Following a successful vote by the Committee, Proposed Intro.</w:t>
      </w:r>
      <w:proofErr w:type="gramEnd"/>
      <w:r w:rsidRPr="00484393">
        <w:t xml:space="preserve"> No.</w:t>
      </w:r>
      <w:r w:rsidR="00484393" w:rsidRPr="00484393">
        <w:t xml:space="preserve"> 348</w:t>
      </w:r>
      <w:r w:rsidRPr="00484393">
        <w:t xml:space="preserve">-A will be submitted to the full Council for a vote on November 13, 2014. </w:t>
      </w:r>
    </w:p>
    <w:p w:rsidR="00D1234D" w:rsidRDefault="00D1234D" w:rsidP="00D1234D"/>
    <w:p w:rsidR="00D1234D" w:rsidRDefault="00D1234D" w:rsidP="00D1234D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>November 12</w:t>
      </w:r>
      <w:r w:rsidRPr="00CE66C1">
        <w:t>, 2014</w:t>
      </w:r>
    </w:p>
    <w:p w:rsidR="00D1234D" w:rsidRDefault="00D1234D" w:rsidP="00D1234D"/>
    <w:p w:rsidR="009D6A69" w:rsidRDefault="009D6A69"/>
    <w:sectPr w:rsidR="009D6A69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74" w:rsidRDefault="00DB4F74" w:rsidP="00DB4F74">
      <w:r>
        <w:separator/>
      </w:r>
    </w:p>
  </w:endnote>
  <w:endnote w:type="continuationSeparator" w:id="0">
    <w:p w:rsidR="00DB4F74" w:rsidRDefault="00DB4F74" w:rsidP="00DB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FF46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Intro</w:t>
    </w:r>
    <w:r w:rsidR="00680F22">
      <w:rPr>
        <w:rFonts w:asciiTheme="majorHAnsi" w:eastAsiaTheme="majorEastAsia" w:hAnsiTheme="majorHAnsi" w:cstheme="majorBidi"/>
      </w:rPr>
      <w:t>. No.</w:t>
    </w:r>
    <w:r>
      <w:rPr>
        <w:rFonts w:asciiTheme="majorHAnsi" w:eastAsiaTheme="majorEastAsia" w:hAnsiTheme="majorHAnsi" w:cstheme="majorBidi"/>
      </w:rPr>
      <w:t xml:space="preserve"> </w:t>
    </w:r>
    <w:r w:rsidR="00DB4F74">
      <w:rPr>
        <w:rFonts w:asciiTheme="majorHAnsi" w:eastAsiaTheme="majorEastAsia" w:hAnsiTheme="majorHAnsi" w:cstheme="majorBidi"/>
      </w:rPr>
      <w:t>348</w:t>
    </w:r>
    <w:r>
      <w:rPr>
        <w:rFonts w:asciiTheme="majorHAnsi" w:eastAsiaTheme="majorEastAsia" w:hAnsiTheme="majorHAnsi" w:cstheme="majorBidi"/>
      </w:rP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05F59" w:rsidRPr="00305F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74" w:rsidRDefault="00DB4F74" w:rsidP="00DB4F74">
      <w:r>
        <w:separator/>
      </w:r>
    </w:p>
  </w:footnote>
  <w:footnote w:type="continuationSeparator" w:id="0">
    <w:p w:rsidR="00DB4F74" w:rsidRDefault="00DB4F74" w:rsidP="00DB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4D"/>
    <w:rsid w:val="001218E6"/>
    <w:rsid w:val="00176AE8"/>
    <w:rsid w:val="001B3766"/>
    <w:rsid w:val="00287FBF"/>
    <w:rsid w:val="00305F59"/>
    <w:rsid w:val="003502D6"/>
    <w:rsid w:val="003810DF"/>
    <w:rsid w:val="003C3D5A"/>
    <w:rsid w:val="00484393"/>
    <w:rsid w:val="00680F22"/>
    <w:rsid w:val="009044B8"/>
    <w:rsid w:val="009D6A69"/>
    <w:rsid w:val="00A8651F"/>
    <w:rsid w:val="00D1234D"/>
    <w:rsid w:val="00DB4F74"/>
    <w:rsid w:val="00F05534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3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D12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F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3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D12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F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DD2-0CCF-4691-8916-06DF9CC1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Sarah</dc:creator>
  <cp:lastModifiedBy>New York City Council</cp:lastModifiedBy>
  <cp:revision>3</cp:revision>
  <cp:lastPrinted>2014-11-13T00:05:00Z</cp:lastPrinted>
  <dcterms:created xsi:type="dcterms:W3CDTF">2014-11-13T00:05:00Z</dcterms:created>
  <dcterms:modified xsi:type="dcterms:W3CDTF">2014-11-13T15:23:00Z</dcterms:modified>
</cp:coreProperties>
</file>