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1991D53" wp14:editId="0A06BAD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Default="00902A93" w:rsidP="002A7A0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902A93" w:rsidRDefault="00902A93" w:rsidP="002A7A0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902A93" w:rsidRDefault="00902A93" w:rsidP="002A7A09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Preston </w:t>
            </w:r>
            <w:proofErr w:type="spellStart"/>
            <w:r>
              <w:rPr>
                <w:b/>
                <w:bCs/>
                <w:smallCaps/>
              </w:rPr>
              <w:t>niblack</w:t>
            </w:r>
            <w:proofErr w:type="spellEnd"/>
            <w:r>
              <w:rPr>
                <w:b/>
                <w:bCs/>
                <w:smallCaps/>
              </w:rPr>
              <w:t>, Director</w:t>
            </w:r>
          </w:p>
          <w:p w:rsidR="00902A93" w:rsidRDefault="00902A93" w:rsidP="002A7A09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jeffrey</w:t>
            </w:r>
            <w:proofErr w:type="spellEnd"/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rodus</w:t>
            </w:r>
            <w:proofErr w:type="spellEnd"/>
            <w:r>
              <w:rPr>
                <w:b/>
                <w:bCs/>
                <w:smallCaps/>
              </w:rPr>
              <w:t>, first deputy director</w:t>
            </w:r>
          </w:p>
          <w:p w:rsidR="00902A93" w:rsidRDefault="00902A93" w:rsidP="002A7A09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902A93" w:rsidRPr="00ED74D9" w:rsidRDefault="00902A93" w:rsidP="002A7A09">
            <w:pPr>
              <w:rPr>
                <w:b/>
                <w:bCs/>
                <w:sz w:val="16"/>
                <w:szCs w:val="16"/>
              </w:rPr>
            </w:pPr>
          </w:p>
          <w:p w:rsidR="00902A93" w:rsidRPr="00A267C7" w:rsidRDefault="00902A93" w:rsidP="002A7A0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="00A267C7">
              <w:rPr>
                <w:b/>
                <w:bCs/>
              </w:rPr>
              <w:t xml:space="preserve"> </w:t>
            </w:r>
            <w:r w:rsidR="0063673C" w:rsidRPr="0063673C">
              <w:rPr>
                <w:b/>
                <w:bCs/>
              </w:rPr>
              <w:t>1011</w:t>
            </w:r>
          </w:p>
          <w:p w:rsidR="00902A93" w:rsidRPr="00A267C7" w:rsidRDefault="00902A93" w:rsidP="001E30D7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A267C7">
              <w:rPr>
                <w:b/>
                <w:bCs/>
              </w:rPr>
              <w:t xml:space="preserve"> </w:t>
            </w:r>
            <w:r w:rsidR="001E30D7">
              <w:rPr>
                <w:b/>
                <w:bCs/>
              </w:rPr>
              <w:t>Parks</w:t>
            </w:r>
            <w:bookmarkStart w:id="0" w:name="_GoBack"/>
            <w:bookmarkEnd w:id="0"/>
          </w:p>
        </w:tc>
      </w:tr>
      <w:tr w:rsidR="00902A93" w:rsidRPr="00ED74D9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63673C" w:rsidRPr="0046007A" w:rsidRDefault="00902A93" w:rsidP="0063673C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="0063673C" w:rsidRPr="0046007A">
              <w:rPr>
                <w:sz w:val="22"/>
                <w:szCs w:val="22"/>
              </w:rPr>
              <w:t>A Local Law in relation to renaming one thoroughfare in the Borough of Queens, Tuskegee Airmen Way, and to amend the official map of the city of New York accordingly.</w:t>
            </w:r>
          </w:p>
          <w:p w:rsidR="00902A93" w:rsidRPr="00A267C7" w:rsidRDefault="00902A93" w:rsidP="002A7A0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02A93" w:rsidRPr="00ED74D9" w:rsidRDefault="00902A93" w:rsidP="002A7A09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902A93" w:rsidRPr="00706E47" w:rsidRDefault="00902A93" w:rsidP="00636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4"/>
              <w:rPr>
                <w:b/>
              </w:rPr>
            </w:pPr>
            <w:r w:rsidRPr="005E650C">
              <w:rPr>
                <w:b/>
                <w:bCs/>
                <w:smallCaps/>
                <w:sz w:val="22"/>
                <w:szCs w:val="22"/>
              </w:rPr>
              <w:t>Sponsor(S)</w:t>
            </w:r>
            <w:r w:rsidRPr="005E650C">
              <w:rPr>
                <w:b/>
                <w:bCs/>
                <w:sz w:val="22"/>
                <w:szCs w:val="22"/>
              </w:rPr>
              <w:t xml:space="preserve">: </w:t>
            </w:r>
            <w:r w:rsidR="0063673C" w:rsidRPr="0046007A">
              <w:rPr>
                <w:color w:val="000000"/>
                <w:sz w:val="22"/>
                <w:szCs w:val="22"/>
              </w:rPr>
              <w:t xml:space="preserve">By </w:t>
            </w:r>
            <w:r w:rsidR="0063673C" w:rsidRPr="0046007A">
              <w:rPr>
                <w:sz w:val="22"/>
                <w:szCs w:val="22"/>
              </w:rPr>
              <w:t>Council Members Wills, Chin, Comrie, Dickens, Eugene, James, Koppell, Lander, Mealy, Mendez, Nelson, Palma, Williams, Rodriguez</w:t>
            </w:r>
            <w:r w:rsidR="0063673C">
              <w:rPr>
                <w:sz w:val="22"/>
                <w:szCs w:val="22"/>
              </w:rPr>
              <w:t>, Mark-Viverito, Vacca</w:t>
            </w:r>
            <w:r w:rsidR="0063673C" w:rsidRPr="0046007A">
              <w:rPr>
                <w:sz w:val="22"/>
                <w:szCs w:val="22"/>
              </w:rPr>
              <w:t xml:space="preserve"> and Halloran</w:t>
            </w:r>
            <w:r w:rsidR="0063673C" w:rsidRPr="0046007A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</w:tbl>
    <w:p w:rsidR="0063673C" w:rsidRDefault="0063673C" w:rsidP="00A267C7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p w:rsidR="0063673C" w:rsidRPr="00403A56" w:rsidRDefault="0063673C" w:rsidP="0063673C">
      <w:pPr>
        <w:rPr>
          <w:sz w:val="22"/>
          <w:szCs w:val="22"/>
        </w:rPr>
      </w:pPr>
      <w:r w:rsidRPr="00403A56">
        <w:rPr>
          <w:sz w:val="22"/>
          <w:szCs w:val="22"/>
        </w:rPr>
        <w:t xml:space="preserve">In relation to </w:t>
      </w:r>
      <w:r w:rsidRPr="0046007A">
        <w:rPr>
          <w:sz w:val="22"/>
          <w:szCs w:val="22"/>
        </w:rPr>
        <w:t xml:space="preserve">the </w:t>
      </w:r>
      <w:r w:rsidRPr="00403A56">
        <w:rPr>
          <w:sz w:val="22"/>
          <w:szCs w:val="22"/>
        </w:rPr>
        <w:t xml:space="preserve">renaming </w:t>
      </w:r>
      <w:r w:rsidRPr="0046007A">
        <w:rPr>
          <w:sz w:val="22"/>
          <w:szCs w:val="22"/>
        </w:rPr>
        <w:t xml:space="preserve">of </w:t>
      </w:r>
      <w:r w:rsidRPr="00403A56">
        <w:rPr>
          <w:sz w:val="22"/>
          <w:szCs w:val="22"/>
        </w:rPr>
        <w:t>one thoroughfare in the Borough of Queens Tuskegee Airmen Way, and to amend the official map of the city of New York accordingly.</w:t>
      </w:r>
    </w:p>
    <w:p w:rsidR="0063673C" w:rsidRDefault="0063673C" w:rsidP="0063673C">
      <w:pPr>
        <w:rPr>
          <w:b/>
          <w:smallCaps/>
          <w:sz w:val="22"/>
          <w:szCs w:val="22"/>
        </w:rPr>
      </w:pPr>
    </w:p>
    <w:p w:rsidR="00A267C7" w:rsidRDefault="00902A93" w:rsidP="0063673C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Summary of Legislation: </w:t>
      </w:r>
      <w:r w:rsidR="00A267C7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>The proposed law would add, through the posting of additional signs, the following name:</w:t>
      </w:r>
    </w:p>
    <w:p w:rsidR="0063673C" w:rsidRPr="00A267C7" w:rsidRDefault="0063673C" w:rsidP="0063673C">
      <w:pPr>
        <w:rPr>
          <w:b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690"/>
      </w:tblGrid>
      <w:tr w:rsidR="0063673C" w:rsidRPr="0046007A" w:rsidTr="005F6736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46007A" w:rsidRDefault="0063673C" w:rsidP="005F6736">
            <w:pPr>
              <w:spacing w:line="120" w:lineRule="exact"/>
              <w:rPr>
                <w:b/>
                <w:sz w:val="22"/>
                <w:szCs w:val="22"/>
              </w:rPr>
            </w:pPr>
          </w:p>
          <w:p w:rsidR="0063673C" w:rsidRPr="0046007A" w:rsidRDefault="0063673C" w:rsidP="005F6736">
            <w:pPr>
              <w:spacing w:after="58"/>
              <w:rPr>
                <w:b/>
                <w:sz w:val="22"/>
                <w:szCs w:val="22"/>
              </w:rPr>
            </w:pPr>
            <w:r w:rsidRPr="0046007A">
              <w:rPr>
                <w:b/>
                <w:sz w:val="22"/>
                <w:szCs w:val="22"/>
              </w:rPr>
              <w:t>New Name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46007A" w:rsidRDefault="0063673C" w:rsidP="005F6736">
            <w:pPr>
              <w:spacing w:line="120" w:lineRule="exact"/>
              <w:rPr>
                <w:b/>
                <w:sz w:val="22"/>
                <w:szCs w:val="22"/>
              </w:rPr>
            </w:pPr>
          </w:p>
          <w:p w:rsidR="0063673C" w:rsidRPr="0046007A" w:rsidRDefault="0063673C" w:rsidP="005F6736">
            <w:pPr>
              <w:spacing w:after="58"/>
              <w:rPr>
                <w:b/>
                <w:sz w:val="22"/>
                <w:szCs w:val="22"/>
              </w:rPr>
            </w:pPr>
            <w:r w:rsidRPr="0046007A">
              <w:rPr>
                <w:b/>
                <w:sz w:val="22"/>
                <w:szCs w:val="22"/>
              </w:rPr>
              <w:t>Present Name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46007A" w:rsidRDefault="0063673C" w:rsidP="005F6736">
            <w:pPr>
              <w:spacing w:line="120" w:lineRule="exact"/>
              <w:rPr>
                <w:b/>
                <w:sz w:val="22"/>
                <w:szCs w:val="22"/>
              </w:rPr>
            </w:pPr>
          </w:p>
          <w:p w:rsidR="0063673C" w:rsidRPr="0046007A" w:rsidRDefault="0063673C" w:rsidP="005F6736">
            <w:pPr>
              <w:spacing w:after="58"/>
              <w:rPr>
                <w:b/>
                <w:sz w:val="22"/>
                <w:szCs w:val="22"/>
              </w:rPr>
            </w:pPr>
            <w:r w:rsidRPr="0046007A">
              <w:rPr>
                <w:b/>
                <w:sz w:val="22"/>
                <w:szCs w:val="22"/>
              </w:rPr>
              <w:t>Limits</w:t>
            </w:r>
          </w:p>
        </w:tc>
      </w:tr>
      <w:tr w:rsidR="0063673C" w:rsidRPr="0046007A" w:rsidTr="005F6736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46007A" w:rsidRDefault="0063673C" w:rsidP="005F6736">
            <w:pPr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Tuskegee Airmen Way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46007A" w:rsidRDefault="0063673C" w:rsidP="005F6736">
            <w:pPr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South Road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46007A" w:rsidRDefault="0063673C" w:rsidP="005F6736">
            <w:pPr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Between Merrick Boulevard and Remington Street</w:t>
            </w:r>
          </w:p>
        </w:tc>
      </w:tr>
    </w:tbl>
    <w:p w:rsidR="00AA52B6" w:rsidRDefault="00AA52B6" w:rsidP="006E1466">
      <w:pPr>
        <w:spacing w:before="120"/>
        <w:rPr>
          <w:b/>
          <w:smallCaps/>
          <w:sz w:val="22"/>
          <w:szCs w:val="22"/>
        </w:rPr>
      </w:pPr>
    </w:p>
    <w:p w:rsidR="00902A93" w:rsidRPr="00A267C7" w:rsidRDefault="00902A93" w:rsidP="00A267C7">
      <w:pPr>
        <w:spacing w:before="240"/>
        <w:contextualSpacing/>
        <w:rPr>
          <w:sz w:val="22"/>
          <w:szCs w:val="22"/>
        </w:rPr>
      </w:pPr>
      <w:r>
        <w:rPr>
          <w:b/>
          <w:smallCaps/>
          <w:sz w:val="22"/>
          <w:szCs w:val="22"/>
        </w:rPr>
        <w:t>Effective Date:</w:t>
      </w:r>
      <w:r w:rsidR="00A267C7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>This local law would take effect immediately upon its enactment into law.</w:t>
      </w:r>
    </w:p>
    <w:p w:rsidR="00902A93" w:rsidRPr="00A267C7" w:rsidRDefault="00902A93" w:rsidP="006E1466">
      <w:pPr>
        <w:spacing w:before="24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Fiscal Year In Which Full Fiscal Impact Anticipated:</w:t>
      </w:r>
      <w:r w:rsidR="00706E47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>Fiscal 2014</w:t>
      </w:r>
    </w:p>
    <w:p w:rsidR="00902A93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:rsidR="00706E47" w:rsidRDefault="00706E47" w:rsidP="006E1466">
      <w:pPr>
        <w:pBdr>
          <w:top w:val="single" w:sz="4" w:space="1" w:color="auto"/>
        </w:pBdr>
        <w:spacing w:before="120"/>
        <w:rPr>
          <w:b/>
          <w:smallCaps/>
          <w:sz w:val="22"/>
          <w:szCs w:val="22"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2057"/>
      </w:tblGrid>
      <w:tr w:rsidR="0063673C" w:rsidRPr="00706E47" w:rsidTr="0063673C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5F6736">
            <w:pPr>
              <w:rPr>
                <w:sz w:val="22"/>
                <w:szCs w:val="22"/>
              </w:rPr>
            </w:pPr>
          </w:p>
          <w:p w:rsidR="0063673C" w:rsidRPr="0046007A" w:rsidRDefault="0063673C" w:rsidP="005F6736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Effective FY14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FY Succeeding</w:t>
            </w: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Effective FY15</w:t>
            </w:r>
          </w:p>
        </w:tc>
        <w:tc>
          <w:tcPr>
            <w:tcW w:w="205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Full Fiscal</w:t>
            </w:r>
          </w:p>
          <w:p w:rsidR="0063673C" w:rsidRPr="0063673C" w:rsidRDefault="0063673C" w:rsidP="0063673C">
            <w:pPr>
              <w:jc w:val="center"/>
              <w:rPr>
                <w:b/>
                <w:sz w:val="22"/>
                <w:szCs w:val="22"/>
              </w:rPr>
            </w:pPr>
            <w:r w:rsidRPr="0063673C">
              <w:rPr>
                <w:b/>
                <w:sz w:val="22"/>
                <w:szCs w:val="22"/>
              </w:rPr>
              <w:t>Impact FY14</w:t>
            </w:r>
          </w:p>
        </w:tc>
      </w:tr>
      <w:tr w:rsidR="0063673C" w:rsidRPr="00706E47" w:rsidTr="0063673C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5F6736">
            <w:pPr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5F6736">
            <w:pPr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$0</w:t>
            </w:r>
          </w:p>
        </w:tc>
      </w:tr>
      <w:tr w:rsidR="0063673C" w:rsidRPr="00706E47" w:rsidTr="0063673C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5F6736">
            <w:pPr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5F6736">
            <w:pPr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$3,600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$3,600</w:t>
            </w:r>
          </w:p>
        </w:tc>
      </w:tr>
      <w:tr w:rsidR="0063673C" w:rsidRPr="00706E47" w:rsidTr="0063673C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46007A" w:rsidRDefault="0063673C" w:rsidP="005F6736">
            <w:pPr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5F6736">
            <w:pPr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$3,600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46007A" w:rsidRDefault="0063673C" w:rsidP="0063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$3,600</w:t>
            </w:r>
          </w:p>
        </w:tc>
      </w:tr>
    </w:tbl>
    <w:p w:rsidR="000A5804" w:rsidRPr="000A5804" w:rsidRDefault="000A5804" w:rsidP="00706E47">
      <w:pPr>
        <w:spacing w:before="120"/>
      </w:pPr>
    </w:p>
    <w:p w:rsidR="0063673C" w:rsidRPr="0046007A" w:rsidRDefault="000A5804" w:rsidP="0063673C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Impact on Revenues:</w:t>
      </w:r>
      <w:r w:rsidR="00706E47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>There would be no impact on revenues resulting from the enactment of this legislation.</w:t>
      </w:r>
    </w:p>
    <w:p w:rsidR="0063673C" w:rsidRPr="0046007A" w:rsidRDefault="0063673C" w:rsidP="0063673C">
      <w:pPr>
        <w:rPr>
          <w:sz w:val="22"/>
          <w:szCs w:val="22"/>
        </w:rPr>
      </w:pPr>
    </w:p>
    <w:p w:rsidR="000A5804" w:rsidRPr="00A267C7" w:rsidRDefault="000A5804" w:rsidP="006E1466">
      <w:pPr>
        <w:spacing w:before="24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Impact on Expenditures:</w:t>
      </w:r>
      <w:r w:rsidR="00706E47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>This legislation would require approximately 56 signs at $37.50 each and an additional $1,500 for the installation of these signs. The total cost of enacting this legislation would be approximately $3,600</w:t>
      </w:r>
      <w:r w:rsidR="0063673C">
        <w:rPr>
          <w:sz w:val="22"/>
          <w:szCs w:val="22"/>
        </w:rPr>
        <w:t>.</w:t>
      </w:r>
    </w:p>
    <w:p w:rsidR="000A5804" w:rsidRPr="00A267C7" w:rsidRDefault="000A5804" w:rsidP="006E1466">
      <w:pPr>
        <w:spacing w:before="24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Source of Funds To Cover Estimated Costs:</w:t>
      </w:r>
      <w:r w:rsidR="00706E47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>General Fund</w:t>
      </w:r>
    </w:p>
    <w:p w:rsidR="000A5804" w:rsidRDefault="000A5804" w:rsidP="006E1466">
      <w:pP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Source of Information:</w:t>
      </w:r>
      <w:r w:rsidR="00706E47">
        <w:rPr>
          <w:b/>
          <w:smallCaps/>
          <w:sz w:val="22"/>
          <w:szCs w:val="22"/>
        </w:rPr>
        <w:t xml:space="preserve">  </w:t>
      </w:r>
      <w:r w:rsidR="00A267C7">
        <w:rPr>
          <w:b/>
          <w:smallCaps/>
          <w:sz w:val="22"/>
          <w:szCs w:val="22"/>
        </w:rPr>
        <w:tab/>
      </w:r>
      <w:r w:rsidR="00A267C7">
        <w:rPr>
          <w:b/>
          <w:smallCaps/>
          <w:sz w:val="22"/>
          <w:szCs w:val="22"/>
        </w:rPr>
        <w:tab/>
      </w:r>
      <w:r w:rsidR="0063673C" w:rsidRPr="0046007A">
        <w:rPr>
          <w:sz w:val="22"/>
          <w:szCs w:val="22"/>
        </w:rPr>
        <w:t>City Council Finance Division</w:t>
      </w:r>
    </w:p>
    <w:p w:rsidR="0063673C" w:rsidRDefault="000A5804" w:rsidP="0063673C">
      <w:pPr>
        <w:spacing w:before="240"/>
      </w:pPr>
      <w:r>
        <w:rPr>
          <w:b/>
          <w:smallCaps/>
          <w:sz w:val="22"/>
          <w:szCs w:val="22"/>
        </w:rPr>
        <w:t>Estimate Prepared By: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63673C" w:rsidRPr="0046007A">
        <w:t>Chima Obichere, Unit Head</w:t>
      </w:r>
    </w:p>
    <w:p w:rsidR="006E1466" w:rsidRPr="006E1466" w:rsidRDefault="006E1466" w:rsidP="0063673C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:rsidR="006E1466" w:rsidRPr="006E1466" w:rsidRDefault="000A5804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Estimated Reviewed By: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63673C" w:rsidRPr="0046007A">
        <w:t>Nathan Toth, Deputy Director</w:t>
      </w:r>
    </w:p>
    <w:p w:rsidR="000A5804" w:rsidRPr="006E1466" w:rsidRDefault="000A5804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6E1466">
        <w:rPr>
          <w:sz w:val="22"/>
          <w:szCs w:val="22"/>
        </w:rPr>
        <w:t>Tanisha E</w:t>
      </w:r>
      <w:r w:rsidRPr="006E1466">
        <w:rPr>
          <w:sz w:val="22"/>
          <w:szCs w:val="22"/>
        </w:rPr>
        <w:t>dwards, Finance Counsel</w:t>
      </w:r>
    </w:p>
    <w:p w:rsidR="000B7EB0" w:rsidRDefault="000B7EB0" w:rsidP="006E1466">
      <w:pPr>
        <w:spacing w:before="240"/>
        <w:rPr>
          <w:sz w:val="22"/>
          <w:szCs w:val="22"/>
        </w:rPr>
      </w:pPr>
      <w:r w:rsidRPr="000B7EB0">
        <w:rPr>
          <w:b/>
          <w:smallCaps/>
          <w:sz w:val="22"/>
          <w:szCs w:val="22"/>
        </w:rPr>
        <w:t>Legislative History:</w:t>
      </w:r>
      <w:r w:rsidR="006E1466">
        <w:rPr>
          <w:b/>
          <w:smallCaps/>
          <w:sz w:val="22"/>
          <w:szCs w:val="22"/>
        </w:rPr>
        <w:t xml:space="preserve"> </w:t>
      </w:r>
      <w:r w:rsidR="0063673C" w:rsidRPr="0046007A">
        <w:rPr>
          <w:sz w:val="22"/>
          <w:szCs w:val="22"/>
        </w:rPr>
        <w:t xml:space="preserve">This legislation was introduced </w:t>
      </w:r>
      <w:r w:rsidR="0063673C">
        <w:rPr>
          <w:sz w:val="22"/>
          <w:szCs w:val="22"/>
        </w:rPr>
        <w:t xml:space="preserve">as intro. 1011 </w:t>
      </w:r>
      <w:r w:rsidR="0063673C" w:rsidRPr="0046007A">
        <w:rPr>
          <w:sz w:val="22"/>
          <w:szCs w:val="22"/>
        </w:rPr>
        <w:t xml:space="preserve">by Council and referred to the Committee on Parks and Recreation on </w:t>
      </w:r>
      <w:r w:rsidR="0063673C">
        <w:rPr>
          <w:sz w:val="22"/>
          <w:szCs w:val="22"/>
        </w:rPr>
        <w:t>February</w:t>
      </w:r>
      <w:r w:rsidR="0063673C" w:rsidRPr="0046007A">
        <w:rPr>
          <w:sz w:val="22"/>
          <w:szCs w:val="22"/>
        </w:rPr>
        <w:t xml:space="preserve"> 2</w:t>
      </w:r>
      <w:r w:rsidR="0063673C">
        <w:rPr>
          <w:sz w:val="22"/>
          <w:szCs w:val="22"/>
        </w:rPr>
        <w:t>7</w:t>
      </w:r>
      <w:r w:rsidR="0063673C" w:rsidRPr="0046007A">
        <w:rPr>
          <w:sz w:val="22"/>
          <w:szCs w:val="22"/>
        </w:rPr>
        <w:t>, 201</w:t>
      </w:r>
      <w:r w:rsidR="0063673C">
        <w:rPr>
          <w:sz w:val="22"/>
          <w:szCs w:val="22"/>
        </w:rPr>
        <w:t>3</w:t>
      </w:r>
      <w:r w:rsidR="0063673C" w:rsidRPr="0046007A">
        <w:rPr>
          <w:sz w:val="22"/>
          <w:szCs w:val="22"/>
        </w:rPr>
        <w:t>. Hearing w</w:t>
      </w:r>
      <w:r w:rsidR="0063673C">
        <w:rPr>
          <w:sz w:val="22"/>
          <w:szCs w:val="22"/>
        </w:rPr>
        <w:t>as</w:t>
      </w:r>
      <w:r w:rsidR="0063673C" w:rsidRPr="0046007A">
        <w:rPr>
          <w:sz w:val="22"/>
          <w:szCs w:val="22"/>
        </w:rPr>
        <w:t xml:space="preserve"> held and the legislation laid over by the Committee on </w:t>
      </w:r>
      <w:r w:rsidR="0063673C">
        <w:rPr>
          <w:sz w:val="22"/>
          <w:szCs w:val="22"/>
        </w:rPr>
        <w:t>October</w:t>
      </w:r>
      <w:r w:rsidR="0063673C" w:rsidRPr="0046007A">
        <w:rPr>
          <w:sz w:val="22"/>
          <w:szCs w:val="22"/>
        </w:rPr>
        <w:t xml:space="preserve"> </w:t>
      </w:r>
      <w:r w:rsidR="0063673C">
        <w:rPr>
          <w:sz w:val="22"/>
          <w:szCs w:val="22"/>
        </w:rPr>
        <w:t>3</w:t>
      </w:r>
      <w:r w:rsidR="0063673C" w:rsidRPr="0046007A">
        <w:rPr>
          <w:sz w:val="22"/>
          <w:szCs w:val="22"/>
        </w:rPr>
        <w:t>, 201</w:t>
      </w:r>
      <w:r w:rsidR="0063673C">
        <w:rPr>
          <w:sz w:val="22"/>
          <w:szCs w:val="22"/>
        </w:rPr>
        <w:t>3</w:t>
      </w:r>
      <w:r w:rsidR="0063673C" w:rsidRPr="0046007A">
        <w:rPr>
          <w:sz w:val="22"/>
          <w:szCs w:val="22"/>
        </w:rPr>
        <w:t xml:space="preserve">. Int. </w:t>
      </w:r>
      <w:r w:rsidR="0063673C">
        <w:rPr>
          <w:sz w:val="22"/>
          <w:szCs w:val="22"/>
        </w:rPr>
        <w:t>1011</w:t>
      </w:r>
      <w:r w:rsidR="0063673C" w:rsidRPr="0046007A">
        <w:rPr>
          <w:sz w:val="22"/>
          <w:szCs w:val="22"/>
        </w:rPr>
        <w:t xml:space="preserve"> will be </w:t>
      </w:r>
      <w:r w:rsidR="0063673C">
        <w:rPr>
          <w:sz w:val="22"/>
          <w:szCs w:val="22"/>
        </w:rPr>
        <w:t>re-</w:t>
      </w:r>
      <w:r w:rsidR="0063673C" w:rsidRPr="0046007A">
        <w:rPr>
          <w:sz w:val="22"/>
          <w:szCs w:val="22"/>
        </w:rPr>
        <w:t>consider</w:t>
      </w:r>
      <w:r w:rsidR="0063673C">
        <w:rPr>
          <w:sz w:val="22"/>
          <w:szCs w:val="22"/>
        </w:rPr>
        <w:t>ed</w:t>
      </w:r>
      <w:r w:rsidR="0063673C" w:rsidRPr="0046007A">
        <w:rPr>
          <w:sz w:val="22"/>
          <w:szCs w:val="22"/>
        </w:rPr>
        <w:t xml:space="preserve"> by the Committee on </w:t>
      </w:r>
      <w:r w:rsidR="0063673C">
        <w:rPr>
          <w:sz w:val="22"/>
          <w:szCs w:val="22"/>
        </w:rPr>
        <w:t>November</w:t>
      </w:r>
      <w:r w:rsidR="0063673C" w:rsidRPr="0046007A">
        <w:rPr>
          <w:sz w:val="22"/>
          <w:szCs w:val="22"/>
        </w:rPr>
        <w:t xml:space="preserve"> 1</w:t>
      </w:r>
      <w:r w:rsidR="0063673C">
        <w:rPr>
          <w:sz w:val="22"/>
          <w:szCs w:val="22"/>
        </w:rPr>
        <w:t>3</w:t>
      </w:r>
      <w:r w:rsidR="0063673C" w:rsidRPr="0046007A">
        <w:rPr>
          <w:sz w:val="22"/>
          <w:szCs w:val="22"/>
        </w:rPr>
        <w:t>, 201</w:t>
      </w:r>
      <w:r w:rsidR="0063673C">
        <w:rPr>
          <w:sz w:val="22"/>
          <w:szCs w:val="22"/>
        </w:rPr>
        <w:t>3</w:t>
      </w:r>
      <w:r w:rsidR="0063673C" w:rsidRPr="00AD104E">
        <w:t xml:space="preserve"> </w:t>
      </w:r>
      <w:r w:rsidR="0063673C" w:rsidRPr="00AD104E">
        <w:rPr>
          <w:sz w:val="22"/>
          <w:szCs w:val="22"/>
        </w:rPr>
        <w:t xml:space="preserve">and upon </w:t>
      </w:r>
      <w:r w:rsidR="0063673C">
        <w:rPr>
          <w:sz w:val="22"/>
          <w:szCs w:val="22"/>
        </w:rPr>
        <w:t xml:space="preserve">a </w:t>
      </w:r>
      <w:r w:rsidR="0063673C" w:rsidRPr="00AD104E">
        <w:rPr>
          <w:sz w:val="22"/>
          <w:szCs w:val="22"/>
        </w:rPr>
        <w:t xml:space="preserve">successful vote, the bill would be submitted to the full Council for a vote.              </w:t>
      </w:r>
    </w:p>
    <w:p w:rsidR="0063673C" w:rsidRPr="0046007A" w:rsidRDefault="0063673C" w:rsidP="0063673C">
      <w:pPr>
        <w:pStyle w:val="Heading3"/>
        <w:rPr>
          <w:sz w:val="22"/>
          <w:szCs w:val="22"/>
        </w:rPr>
      </w:pPr>
      <w:r w:rsidRPr="0046007A">
        <w:rPr>
          <w:sz w:val="22"/>
          <w:szCs w:val="22"/>
        </w:rPr>
        <w:t>Fiscal Impact Schedule</w:t>
      </w:r>
    </w:p>
    <w:p w:rsidR="0063673C" w:rsidRPr="0046007A" w:rsidRDefault="0063673C" w:rsidP="0063673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2070"/>
        <w:gridCol w:w="1530"/>
        <w:gridCol w:w="1979"/>
        <w:gridCol w:w="1620"/>
      </w:tblGrid>
      <w:tr w:rsidR="0063673C" w:rsidRPr="00F57338" w:rsidTr="005F6736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</w:p>
          <w:p w:rsidR="0063673C" w:rsidRPr="00F57338" w:rsidRDefault="0063673C" w:rsidP="005F6736">
            <w:pPr>
              <w:jc w:val="center"/>
              <w:rPr>
                <w:b/>
                <w:bCs/>
                <w:sz w:val="22"/>
                <w:szCs w:val="22"/>
              </w:rPr>
            </w:pPr>
            <w:r w:rsidRPr="00F57338">
              <w:rPr>
                <w:b/>
                <w:bCs/>
                <w:sz w:val="22"/>
                <w:szCs w:val="22"/>
              </w:rPr>
              <w:t>New Name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F57338" w:rsidRDefault="0063673C" w:rsidP="005F67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  <w:r w:rsidRPr="00F57338">
              <w:rPr>
                <w:b/>
                <w:sz w:val="22"/>
                <w:szCs w:val="22"/>
              </w:rPr>
              <w:t>Number of Signs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</w:p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  <w:r w:rsidRPr="00F57338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</w:p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  <w:r w:rsidRPr="00F57338">
              <w:rPr>
                <w:b/>
                <w:sz w:val="22"/>
                <w:szCs w:val="22"/>
              </w:rPr>
              <w:t>Installation (street signs only)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</w:p>
          <w:p w:rsidR="0063673C" w:rsidRPr="00F57338" w:rsidRDefault="0063673C" w:rsidP="005F6736">
            <w:pPr>
              <w:jc w:val="center"/>
              <w:rPr>
                <w:b/>
                <w:sz w:val="22"/>
                <w:szCs w:val="22"/>
              </w:rPr>
            </w:pPr>
            <w:r w:rsidRPr="00F57338">
              <w:rPr>
                <w:b/>
                <w:sz w:val="22"/>
                <w:szCs w:val="22"/>
              </w:rPr>
              <w:t>Total Cost</w:t>
            </w:r>
          </w:p>
        </w:tc>
      </w:tr>
      <w:tr w:rsidR="0063673C" w:rsidRPr="0046007A" w:rsidTr="005F6736">
        <w:trPr>
          <w:trHeight w:val="389"/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jc w:val="center"/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Prospect Avenue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56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2,100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1,500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sz w:val="22"/>
                <w:szCs w:val="22"/>
              </w:rPr>
            </w:pPr>
            <w:r w:rsidRPr="0046007A">
              <w:rPr>
                <w:sz w:val="22"/>
                <w:szCs w:val="22"/>
              </w:rPr>
              <w:t>3,600</w:t>
            </w:r>
          </w:p>
        </w:tc>
      </w:tr>
      <w:tr w:rsidR="0063673C" w:rsidRPr="0046007A" w:rsidTr="005F6736">
        <w:trPr>
          <w:trHeight w:val="389"/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line="120" w:lineRule="exact"/>
              <w:jc w:val="center"/>
              <w:rPr>
                <w:sz w:val="22"/>
                <w:szCs w:val="22"/>
              </w:rPr>
            </w:pPr>
          </w:p>
          <w:p w:rsidR="0063673C" w:rsidRPr="0046007A" w:rsidRDefault="0063673C" w:rsidP="005F6736">
            <w:pPr>
              <w:spacing w:after="58"/>
              <w:jc w:val="center"/>
              <w:rPr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line="120" w:lineRule="exact"/>
              <w:jc w:val="center"/>
              <w:rPr>
                <w:sz w:val="22"/>
                <w:szCs w:val="22"/>
              </w:rPr>
            </w:pPr>
          </w:p>
          <w:p w:rsidR="0063673C" w:rsidRPr="0046007A" w:rsidRDefault="0063673C" w:rsidP="005F6736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6007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$1,</w:t>
            </w: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3673C" w:rsidRPr="0046007A" w:rsidRDefault="0063673C" w:rsidP="005F6736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46007A">
              <w:rPr>
                <w:b/>
                <w:bCs/>
                <w:sz w:val="22"/>
                <w:szCs w:val="22"/>
              </w:rPr>
              <w:t>$3,600</w:t>
            </w:r>
          </w:p>
        </w:tc>
      </w:tr>
    </w:tbl>
    <w:p w:rsidR="0063673C" w:rsidRDefault="0063673C" w:rsidP="006E1466">
      <w:pPr>
        <w:spacing w:before="240"/>
        <w:rPr>
          <w:szCs w:val="22"/>
        </w:rPr>
      </w:pPr>
    </w:p>
    <w:sectPr w:rsidR="0063673C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0" w:rsidRDefault="000B7EB0" w:rsidP="000B7EB0">
      <w:r>
        <w:separator/>
      </w:r>
    </w:p>
  </w:endnote>
  <w:endnote w:type="continuationSeparator" w:id="0">
    <w:p w:rsidR="000B7EB0" w:rsidRDefault="000B7EB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6E14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Intro </w:t>
    </w:r>
    <w:r w:rsidR="0063673C">
      <w:rPr>
        <w:rFonts w:asciiTheme="majorHAnsi" w:eastAsiaTheme="majorEastAsia" w:hAnsiTheme="majorHAnsi" w:cstheme="majorBidi"/>
      </w:rPr>
      <w:t>1011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1E30D7" w:rsidRPr="001E30D7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0" w:rsidRDefault="000B7EB0" w:rsidP="000B7EB0">
      <w:r>
        <w:separator/>
      </w:r>
    </w:p>
  </w:footnote>
  <w:footnote w:type="continuationSeparator" w:id="0">
    <w:p w:rsidR="000B7EB0" w:rsidRDefault="000B7EB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0D7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73C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8679-55F6-4529-983C-E1E8B0D5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New York City Council</cp:lastModifiedBy>
  <cp:revision>3</cp:revision>
  <cp:lastPrinted>2013-02-26T20:30:00Z</cp:lastPrinted>
  <dcterms:created xsi:type="dcterms:W3CDTF">2013-11-14T15:40:00Z</dcterms:created>
  <dcterms:modified xsi:type="dcterms:W3CDTF">2013-11-14T15:47:00Z</dcterms:modified>
</cp:coreProperties>
</file>