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rsidTr="00527E8F">
        <w:trPr>
          <w:jc w:val="center"/>
        </w:trPr>
        <w:tc>
          <w:tcPr>
            <w:tcW w:w="6006" w:type="dxa"/>
            <w:tcBorders>
              <w:bottom w:val="single" w:sz="4" w:space="0" w:color="auto"/>
            </w:tcBorders>
          </w:tcPr>
          <w:p w:rsidR="00902A93" w:rsidRDefault="00902A93" w:rsidP="007462D3">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14DB7176" wp14:editId="419C6752">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Default="00902A93" w:rsidP="007462D3"/>
        </w:tc>
        <w:tc>
          <w:tcPr>
            <w:tcW w:w="4869" w:type="dxa"/>
            <w:tcBorders>
              <w:bottom w:val="single" w:sz="4" w:space="0" w:color="auto"/>
            </w:tcBorders>
          </w:tcPr>
          <w:p w:rsidR="00902A93" w:rsidRDefault="00902A93" w:rsidP="007462D3">
            <w:pPr>
              <w:rPr>
                <w:b/>
                <w:bCs/>
                <w:smallCaps/>
              </w:rPr>
            </w:pPr>
            <w:r>
              <w:rPr>
                <w:b/>
                <w:bCs/>
                <w:smallCaps/>
              </w:rPr>
              <w:t>The Council of the City of New York</w:t>
            </w:r>
          </w:p>
          <w:p w:rsidR="00902A93" w:rsidRDefault="00902A93" w:rsidP="007462D3">
            <w:pPr>
              <w:rPr>
                <w:b/>
                <w:bCs/>
                <w:smallCaps/>
              </w:rPr>
            </w:pPr>
            <w:r>
              <w:rPr>
                <w:b/>
                <w:bCs/>
                <w:smallCaps/>
              </w:rPr>
              <w:t>Finance Division</w:t>
            </w:r>
          </w:p>
          <w:p w:rsidR="00902A93" w:rsidRDefault="00902A93" w:rsidP="007462D3">
            <w:pPr>
              <w:spacing w:before="120"/>
              <w:rPr>
                <w:b/>
                <w:bCs/>
                <w:smallCaps/>
              </w:rPr>
            </w:pPr>
            <w:r>
              <w:rPr>
                <w:b/>
                <w:bCs/>
                <w:smallCaps/>
              </w:rPr>
              <w:t>Preston niblack, Director</w:t>
            </w:r>
          </w:p>
          <w:p w:rsidR="00902A93" w:rsidRDefault="00902A93" w:rsidP="007462D3">
            <w:pPr>
              <w:rPr>
                <w:b/>
                <w:bCs/>
                <w:smallCaps/>
              </w:rPr>
            </w:pPr>
            <w:r>
              <w:rPr>
                <w:b/>
                <w:bCs/>
                <w:smallCaps/>
              </w:rPr>
              <w:t>jeffrey rodus, first deputy director</w:t>
            </w:r>
          </w:p>
          <w:p w:rsidR="00902A93" w:rsidRDefault="00902A93" w:rsidP="007462D3">
            <w:pPr>
              <w:spacing w:before="120"/>
            </w:pPr>
            <w:r>
              <w:rPr>
                <w:b/>
                <w:bCs/>
                <w:smallCaps/>
              </w:rPr>
              <w:t>Fiscal Impact Statement</w:t>
            </w:r>
          </w:p>
          <w:p w:rsidR="00902A93" w:rsidRPr="00ED74D9" w:rsidRDefault="00902A93" w:rsidP="007462D3">
            <w:pPr>
              <w:rPr>
                <w:b/>
                <w:bCs/>
                <w:sz w:val="16"/>
                <w:szCs w:val="16"/>
              </w:rPr>
            </w:pPr>
          </w:p>
          <w:p w:rsidR="00902A93" w:rsidRPr="00A267C7" w:rsidRDefault="001716B9" w:rsidP="007462D3">
            <w:pPr>
              <w:rPr>
                <w:color w:val="FF0000"/>
                <w:sz w:val="16"/>
                <w:szCs w:val="16"/>
              </w:rPr>
            </w:pPr>
            <w:r>
              <w:rPr>
                <w:b/>
                <w:bCs/>
                <w:smallCaps/>
              </w:rPr>
              <w:t xml:space="preserve">Proposed </w:t>
            </w:r>
            <w:r w:rsidR="00902A93">
              <w:rPr>
                <w:b/>
                <w:bCs/>
                <w:smallCaps/>
              </w:rPr>
              <w:t xml:space="preserve">Intro. </w:t>
            </w:r>
            <w:r w:rsidR="00902A93" w:rsidRPr="00D24628">
              <w:rPr>
                <w:b/>
                <w:bCs/>
                <w:smallCaps/>
              </w:rPr>
              <w:t>No</w:t>
            </w:r>
            <w:r w:rsidR="00902A93" w:rsidRPr="00D24628">
              <w:rPr>
                <w:b/>
                <w:bCs/>
              </w:rPr>
              <w:t xml:space="preserve">: </w:t>
            </w:r>
            <w:r w:rsidR="00A267C7" w:rsidRPr="00D24628">
              <w:rPr>
                <w:b/>
                <w:bCs/>
              </w:rPr>
              <w:t xml:space="preserve"> </w:t>
            </w:r>
            <w:r w:rsidR="0070588F">
              <w:rPr>
                <w:b/>
                <w:bCs/>
              </w:rPr>
              <w:t>1096</w:t>
            </w:r>
            <w:r w:rsidR="00F26FCD">
              <w:rPr>
                <w:b/>
                <w:bCs/>
              </w:rPr>
              <w:t>-A</w:t>
            </w:r>
          </w:p>
          <w:p w:rsidR="00902A93" w:rsidRPr="00A267C7" w:rsidRDefault="00902A93" w:rsidP="008C4B9E">
            <w:pPr>
              <w:tabs>
                <w:tab w:val="left" w:pos="-1440"/>
              </w:tabs>
              <w:ind w:left="1440" w:hanging="1440"/>
              <w:jc w:val="left"/>
              <w:rPr>
                <w:color w:val="FF0000"/>
              </w:rPr>
            </w:pPr>
            <w:r>
              <w:rPr>
                <w:b/>
                <w:bCs/>
                <w:smallCaps/>
              </w:rPr>
              <w:t>Committee</w:t>
            </w:r>
            <w:r>
              <w:rPr>
                <w:b/>
                <w:bCs/>
              </w:rPr>
              <w:t xml:space="preserve">: </w:t>
            </w:r>
            <w:r w:rsidR="00A267C7">
              <w:rPr>
                <w:b/>
                <w:bCs/>
              </w:rPr>
              <w:t xml:space="preserve"> </w:t>
            </w:r>
            <w:r w:rsidR="008C4B9E">
              <w:rPr>
                <w:b/>
                <w:bCs/>
              </w:rPr>
              <w:t>H</w:t>
            </w:r>
            <w:r w:rsidR="00F26FCD">
              <w:rPr>
                <w:b/>
                <w:bCs/>
              </w:rPr>
              <w:t>ousing and Buildings</w:t>
            </w:r>
          </w:p>
        </w:tc>
      </w:tr>
      <w:tr w:rsidR="00902A93" w:rsidRPr="00ED74D9" w:rsidTr="00527E8F">
        <w:trPr>
          <w:jc w:val="center"/>
        </w:trPr>
        <w:tc>
          <w:tcPr>
            <w:tcW w:w="6006" w:type="dxa"/>
            <w:tcBorders>
              <w:top w:val="single" w:sz="4" w:space="0" w:color="auto"/>
            </w:tcBorders>
          </w:tcPr>
          <w:p w:rsidR="00902A93" w:rsidRPr="003F2F40" w:rsidRDefault="00902A93" w:rsidP="0070588F">
            <w:pPr>
              <w:autoSpaceDE w:val="0"/>
              <w:autoSpaceDN w:val="0"/>
              <w:adjustRightInd w:val="0"/>
            </w:pPr>
            <w:r w:rsidRPr="00ED74D9">
              <w:rPr>
                <w:b/>
                <w:bCs/>
                <w:smallCaps/>
                <w:sz w:val="22"/>
                <w:szCs w:val="22"/>
              </w:rPr>
              <w:t xml:space="preserve">Title: </w:t>
            </w:r>
            <w:r w:rsidR="0070588F" w:rsidRPr="003B519B">
              <w:t>A Local Law to amend the New York city building code, the New York city mechanical code and the New York city fire code, in relation to relocating and protecting building systems in flood-prone areas.</w:t>
            </w:r>
          </w:p>
        </w:tc>
        <w:tc>
          <w:tcPr>
            <w:tcW w:w="4869" w:type="dxa"/>
            <w:tcBorders>
              <w:top w:val="single" w:sz="4" w:space="0" w:color="auto"/>
            </w:tcBorders>
          </w:tcPr>
          <w:p w:rsidR="00902A93" w:rsidRPr="00706E47" w:rsidRDefault="00902A93" w:rsidP="00F26FCD">
            <w:pPr>
              <w:widowControl w:val="0"/>
              <w:autoSpaceDE w:val="0"/>
              <w:autoSpaceDN w:val="0"/>
              <w:adjustRightInd w:val="0"/>
              <w:rPr>
                <w:b/>
              </w:rPr>
            </w:pPr>
            <w:r w:rsidRPr="005E650C">
              <w:rPr>
                <w:b/>
                <w:bCs/>
                <w:smallCaps/>
                <w:sz w:val="22"/>
                <w:szCs w:val="22"/>
              </w:rPr>
              <w:t>Sponsor(S)</w:t>
            </w:r>
            <w:r w:rsidRPr="005E650C">
              <w:rPr>
                <w:b/>
                <w:bCs/>
                <w:sz w:val="22"/>
                <w:szCs w:val="22"/>
              </w:rPr>
              <w:t xml:space="preserve">: </w:t>
            </w:r>
            <w:r w:rsidR="0070588F" w:rsidRPr="003B519B">
              <w:t>Oddo, Chin, Comrie, Dickens, Fidler, James, Koo, Lander, Mendez, Recchia, Richards, Rose and Gennaro</w:t>
            </w:r>
          </w:p>
        </w:tc>
      </w:tr>
    </w:tbl>
    <w:p w:rsidR="00EF18FA" w:rsidRDefault="00EF18FA" w:rsidP="00EF18FA">
      <w:pPr>
        <w:pBdr>
          <w:top w:val="single" w:sz="4" w:space="1" w:color="auto"/>
        </w:pBdr>
        <w:rPr>
          <w:b/>
          <w:smallCaps/>
        </w:rPr>
      </w:pPr>
    </w:p>
    <w:p w:rsidR="00C76217" w:rsidRDefault="00902A93" w:rsidP="00EF18FA">
      <w:pPr>
        <w:pBdr>
          <w:top w:val="single" w:sz="4" w:space="1" w:color="auto"/>
        </w:pBdr>
      </w:pPr>
      <w:bookmarkStart w:id="0" w:name="_GoBack"/>
      <w:bookmarkEnd w:id="0"/>
      <w:r w:rsidRPr="0087667E">
        <w:rPr>
          <w:b/>
          <w:smallCaps/>
        </w:rPr>
        <w:t xml:space="preserve">Summary of Legislation: </w:t>
      </w:r>
      <w:r w:rsidR="00A267C7" w:rsidRPr="0087667E">
        <w:rPr>
          <w:b/>
          <w:smallCaps/>
        </w:rPr>
        <w:t xml:space="preserve"> </w:t>
      </w:r>
      <w:r w:rsidR="00C76217" w:rsidRPr="003B519B">
        <w:t xml:space="preserve">Proposed Int. No. 1096-A would require that new or substantially improved buildings in flood-prone areas elevate certain building systems, including certain fire protection systems and equipment, fire alarm system components, fuel-oil piping system components, and plumbing system components. </w:t>
      </w:r>
    </w:p>
    <w:p w:rsidR="00C76217" w:rsidRDefault="00C76217" w:rsidP="00C76217"/>
    <w:p w:rsidR="00C76217" w:rsidRDefault="00C76217" w:rsidP="005D448C">
      <w:r w:rsidRPr="003B519B">
        <w:t>The bill would also require that new or substantially improved hospitals in 500-year flood plain (i.e. shaded X-Zones) comply with flood construction requirements. This local law would take effect on the same date that Int. No. 1056, a local law relating to bringing the city’s Construction Codes up to date with international codes, takes effect.</w:t>
      </w:r>
    </w:p>
    <w:p w:rsidR="00C76217" w:rsidRPr="000F4E90" w:rsidRDefault="00C76217" w:rsidP="005D448C">
      <w:pPr>
        <w:rPr>
          <w:rFonts w:eastAsia="Calibri"/>
        </w:rPr>
      </w:pPr>
    </w:p>
    <w:p w:rsidR="00902A93" w:rsidRPr="0087667E" w:rsidRDefault="00902A93" w:rsidP="00C76217">
      <w:pPr>
        <w:shd w:val="clear" w:color="auto" w:fill="FFFFFF"/>
      </w:pPr>
      <w:r w:rsidRPr="0087667E">
        <w:rPr>
          <w:b/>
          <w:smallCaps/>
        </w:rPr>
        <w:t>Effective Date:</w:t>
      </w:r>
      <w:r w:rsidR="00A267C7" w:rsidRPr="0087667E">
        <w:rPr>
          <w:b/>
          <w:smallCaps/>
        </w:rPr>
        <w:t xml:space="preserve"> </w:t>
      </w:r>
      <w:r w:rsidR="00A8620D" w:rsidRPr="0087667E">
        <w:t xml:space="preserve">This legislation </w:t>
      </w:r>
      <w:r w:rsidR="006F4D04">
        <w:t xml:space="preserve">shall take effect </w:t>
      </w:r>
      <w:r w:rsidR="00C76217" w:rsidRPr="00D45265">
        <w:t xml:space="preserve">on the same date </w:t>
      </w:r>
      <w:r w:rsidR="00C76217">
        <w:t>that</w:t>
      </w:r>
      <w:r w:rsidR="00C76217" w:rsidRPr="00D45265">
        <w:t xml:space="preserve"> a local law of the city of New York for the year 2013 amending the administrative code of the city of New York, the New York city plumbing code, the New York city building code, the New York city mechanical code and the New York city fuel gas code, relating to bringing such codes up to date with the 2009 editions of the international building, mechanical, fuel gas and plumbing codes, as proposed in </w:t>
      </w:r>
      <w:r w:rsidR="00C76217">
        <w:t>introduction number</w:t>
      </w:r>
      <w:r w:rsidR="00C76217" w:rsidRPr="00D45265">
        <w:t xml:space="preserve"> 1056, takes effect.</w:t>
      </w:r>
    </w:p>
    <w:p w:rsidR="00F95CC0" w:rsidRPr="00C76217" w:rsidRDefault="00902A93" w:rsidP="00F62C17">
      <w:pPr>
        <w:spacing w:before="240"/>
      </w:pPr>
      <w:r w:rsidRPr="0087667E">
        <w:rPr>
          <w:b/>
          <w:smallCaps/>
        </w:rPr>
        <w:t>Fiscal Year In Which Full Fiscal Impact Anticipated:</w:t>
      </w:r>
      <w:r w:rsidR="00706E47" w:rsidRPr="0087667E">
        <w:rPr>
          <w:b/>
          <w:smallCaps/>
        </w:rPr>
        <w:t xml:space="preserve"> </w:t>
      </w:r>
      <w:r w:rsidR="00D50276" w:rsidRPr="0087667E">
        <w:t>F</w:t>
      </w:r>
      <w:r w:rsidR="00064D5A">
        <w:t>iscal 2014</w:t>
      </w:r>
    </w:p>
    <w:p w:rsidR="00902A93" w:rsidRDefault="00902A93" w:rsidP="006E1466">
      <w:pPr>
        <w:pBdr>
          <w:top w:val="single" w:sz="4" w:space="1" w:color="auto"/>
        </w:pBdr>
        <w:spacing w:before="240"/>
        <w:rPr>
          <w:b/>
          <w:smallCaps/>
          <w:sz w:val="22"/>
          <w:szCs w:val="22"/>
        </w:rPr>
      </w:pPr>
      <w:r>
        <w:rPr>
          <w:b/>
          <w:smallCaps/>
          <w:sz w:val="22"/>
          <w:szCs w:val="22"/>
        </w:rPr>
        <w:t>Fiscal Impact Statement:</w:t>
      </w:r>
    </w:p>
    <w:p w:rsidR="00C13D0C" w:rsidRDefault="00C13D0C" w:rsidP="006E1466">
      <w:pPr>
        <w:pBdr>
          <w:top w:val="single" w:sz="4" w:space="1" w:color="auto"/>
        </w:pBdr>
        <w:spacing w:before="120"/>
        <w:rPr>
          <w:b/>
          <w:smallCaps/>
          <w:sz w:val="22"/>
          <w:szCs w:val="22"/>
        </w:rPr>
      </w:pPr>
    </w:p>
    <w:tbl>
      <w:tblPr>
        <w:tblStyle w:val="TableGrid1"/>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590"/>
        <w:gridCol w:w="1743"/>
        <w:gridCol w:w="1743"/>
        <w:gridCol w:w="1570"/>
      </w:tblGrid>
      <w:tr w:rsidR="001A43E4" w:rsidRPr="007742A3" w:rsidTr="00DA1189">
        <w:trPr>
          <w:trHeight w:val="323"/>
          <w:jc w:val="center"/>
        </w:trPr>
        <w:tc>
          <w:tcPr>
            <w:tcW w:w="0" w:type="auto"/>
            <w:vAlign w:val="center"/>
          </w:tcPr>
          <w:p w:rsidR="001A43E4" w:rsidRPr="007742A3" w:rsidRDefault="001A43E4" w:rsidP="00DA1189">
            <w:pPr>
              <w:jc w:val="center"/>
              <w:rPr>
                <w:b/>
                <w:sz w:val="24"/>
                <w:szCs w:val="20"/>
              </w:rPr>
            </w:pPr>
          </w:p>
        </w:tc>
        <w:tc>
          <w:tcPr>
            <w:tcW w:w="0" w:type="auto"/>
            <w:vAlign w:val="center"/>
          </w:tcPr>
          <w:p w:rsidR="001A43E4" w:rsidRPr="007742A3" w:rsidRDefault="001A43E4" w:rsidP="00DA1189">
            <w:pPr>
              <w:jc w:val="center"/>
              <w:rPr>
                <w:b/>
                <w:sz w:val="24"/>
                <w:szCs w:val="20"/>
              </w:rPr>
            </w:pPr>
            <w:r w:rsidRPr="007742A3">
              <w:rPr>
                <w:b/>
                <w:sz w:val="24"/>
                <w:szCs w:val="20"/>
              </w:rPr>
              <w:t>Effective FY1</w:t>
            </w:r>
            <w:r w:rsidR="00064D5A">
              <w:rPr>
                <w:b/>
                <w:sz w:val="24"/>
                <w:szCs w:val="20"/>
              </w:rPr>
              <w:t>4</w:t>
            </w:r>
          </w:p>
        </w:tc>
        <w:tc>
          <w:tcPr>
            <w:tcW w:w="0" w:type="auto"/>
            <w:vAlign w:val="center"/>
          </w:tcPr>
          <w:p w:rsidR="001A43E4" w:rsidRPr="007742A3" w:rsidRDefault="001A43E4" w:rsidP="00DA1189">
            <w:pPr>
              <w:jc w:val="center"/>
              <w:rPr>
                <w:b/>
                <w:sz w:val="24"/>
                <w:szCs w:val="20"/>
              </w:rPr>
            </w:pPr>
            <w:r w:rsidRPr="007742A3">
              <w:rPr>
                <w:b/>
                <w:sz w:val="24"/>
                <w:szCs w:val="20"/>
              </w:rPr>
              <w:t>FY Succeeding</w:t>
            </w:r>
          </w:p>
          <w:p w:rsidR="001A43E4" w:rsidRPr="007742A3" w:rsidRDefault="00064D5A" w:rsidP="00DA1189">
            <w:pPr>
              <w:jc w:val="center"/>
              <w:rPr>
                <w:b/>
                <w:sz w:val="24"/>
                <w:szCs w:val="20"/>
              </w:rPr>
            </w:pPr>
            <w:r>
              <w:rPr>
                <w:b/>
                <w:sz w:val="24"/>
                <w:szCs w:val="20"/>
              </w:rPr>
              <w:t>Effective FY</w:t>
            </w:r>
            <w:r w:rsidR="001A43E4" w:rsidRPr="007742A3">
              <w:rPr>
                <w:b/>
                <w:sz w:val="24"/>
                <w:szCs w:val="20"/>
              </w:rPr>
              <w:t>1</w:t>
            </w:r>
            <w:r>
              <w:rPr>
                <w:b/>
                <w:sz w:val="24"/>
                <w:szCs w:val="20"/>
              </w:rPr>
              <w:t>5</w:t>
            </w:r>
          </w:p>
        </w:tc>
        <w:tc>
          <w:tcPr>
            <w:tcW w:w="0" w:type="auto"/>
            <w:vAlign w:val="center"/>
          </w:tcPr>
          <w:p w:rsidR="001A43E4" w:rsidRPr="007742A3" w:rsidRDefault="001A43E4" w:rsidP="00DA1189">
            <w:pPr>
              <w:jc w:val="center"/>
              <w:rPr>
                <w:b/>
                <w:sz w:val="24"/>
                <w:szCs w:val="20"/>
              </w:rPr>
            </w:pPr>
            <w:r w:rsidRPr="007742A3">
              <w:rPr>
                <w:b/>
                <w:sz w:val="24"/>
                <w:szCs w:val="20"/>
              </w:rPr>
              <w:t>Full Fiscal</w:t>
            </w:r>
          </w:p>
          <w:p w:rsidR="001A43E4" w:rsidRPr="007742A3" w:rsidRDefault="001A43E4" w:rsidP="00DA1189">
            <w:pPr>
              <w:jc w:val="center"/>
              <w:rPr>
                <w:b/>
                <w:sz w:val="24"/>
                <w:szCs w:val="20"/>
              </w:rPr>
            </w:pPr>
            <w:r w:rsidRPr="007742A3">
              <w:rPr>
                <w:b/>
                <w:sz w:val="24"/>
                <w:szCs w:val="20"/>
              </w:rPr>
              <w:t>Impact FY15</w:t>
            </w:r>
          </w:p>
        </w:tc>
      </w:tr>
      <w:tr w:rsidR="001A43E4" w:rsidRPr="007742A3" w:rsidTr="00DA1189">
        <w:trPr>
          <w:trHeight w:val="68"/>
          <w:jc w:val="center"/>
        </w:trPr>
        <w:tc>
          <w:tcPr>
            <w:tcW w:w="0" w:type="auto"/>
            <w:vAlign w:val="center"/>
          </w:tcPr>
          <w:p w:rsidR="001A43E4" w:rsidRPr="007742A3" w:rsidRDefault="001A43E4" w:rsidP="00DA1189">
            <w:pPr>
              <w:jc w:val="center"/>
              <w:rPr>
                <w:b/>
                <w:sz w:val="24"/>
                <w:szCs w:val="20"/>
              </w:rPr>
            </w:pPr>
            <w:r w:rsidRPr="007742A3">
              <w:rPr>
                <w:b/>
                <w:sz w:val="24"/>
                <w:szCs w:val="20"/>
              </w:rPr>
              <w:t>Revenues</w:t>
            </w:r>
          </w:p>
        </w:tc>
        <w:tc>
          <w:tcPr>
            <w:tcW w:w="0" w:type="auto"/>
            <w:vAlign w:val="center"/>
          </w:tcPr>
          <w:p w:rsidR="001A43E4" w:rsidRPr="007742A3" w:rsidRDefault="00DD366C" w:rsidP="00DA1189">
            <w:pPr>
              <w:jc w:val="center"/>
              <w:rPr>
                <w:sz w:val="24"/>
                <w:szCs w:val="20"/>
              </w:rPr>
            </w:pPr>
            <w:r>
              <w:rPr>
                <w:sz w:val="24"/>
                <w:szCs w:val="20"/>
              </w:rPr>
              <w:t>$</w:t>
            </w:r>
            <w:r w:rsidR="00064D5A">
              <w:rPr>
                <w:sz w:val="24"/>
                <w:szCs w:val="20"/>
              </w:rPr>
              <w:t>0</w:t>
            </w:r>
            <w:r w:rsidR="00984E80">
              <w:rPr>
                <w:sz w:val="24"/>
                <w:szCs w:val="20"/>
              </w:rPr>
              <w:t>*</w:t>
            </w:r>
          </w:p>
        </w:tc>
        <w:tc>
          <w:tcPr>
            <w:tcW w:w="0" w:type="auto"/>
            <w:vAlign w:val="center"/>
          </w:tcPr>
          <w:p w:rsidR="001A43E4" w:rsidRPr="007742A3" w:rsidRDefault="00DD366C" w:rsidP="00064D5A">
            <w:pPr>
              <w:jc w:val="center"/>
              <w:rPr>
                <w:sz w:val="24"/>
                <w:szCs w:val="20"/>
              </w:rPr>
            </w:pPr>
            <w:r>
              <w:rPr>
                <w:sz w:val="24"/>
                <w:szCs w:val="20"/>
              </w:rPr>
              <w:t>$</w:t>
            </w:r>
            <w:r w:rsidR="00064D5A">
              <w:rPr>
                <w:sz w:val="24"/>
                <w:szCs w:val="20"/>
              </w:rPr>
              <w:t>0</w:t>
            </w:r>
            <w:r w:rsidR="00984E80">
              <w:rPr>
                <w:sz w:val="24"/>
                <w:szCs w:val="20"/>
              </w:rPr>
              <w:t>*</w:t>
            </w:r>
          </w:p>
        </w:tc>
        <w:tc>
          <w:tcPr>
            <w:tcW w:w="0" w:type="auto"/>
            <w:vAlign w:val="center"/>
          </w:tcPr>
          <w:p w:rsidR="001A43E4" w:rsidRPr="007742A3" w:rsidRDefault="00DD366C" w:rsidP="00DA1189">
            <w:pPr>
              <w:jc w:val="center"/>
              <w:rPr>
                <w:sz w:val="24"/>
                <w:szCs w:val="20"/>
              </w:rPr>
            </w:pPr>
            <w:r>
              <w:rPr>
                <w:sz w:val="24"/>
                <w:szCs w:val="20"/>
              </w:rPr>
              <w:t>$</w:t>
            </w:r>
            <w:r w:rsidR="00064D5A">
              <w:rPr>
                <w:sz w:val="24"/>
                <w:szCs w:val="20"/>
              </w:rPr>
              <w:t>0</w:t>
            </w:r>
            <w:r w:rsidR="00984E80">
              <w:rPr>
                <w:sz w:val="24"/>
                <w:szCs w:val="20"/>
              </w:rPr>
              <w:t>*</w:t>
            </w:r>
          </w:p>
        </w:tc>
      </w:tr>
      <w:tr w:rsidR="001A43E4" w:rsidRPr="007742A3" w:rsidTr="00DA1189">
        <w:trPr>
          <w:trHeight w:val="237"/>
          <w:jc w:val="center"/>
        </w:trPr>
        <w:tc>
          <w:tcPr>
            <w:tcW w:w="0" w:type="auto"/>
            <w:vAlign w:val="center"/>
          </w:tcPr>
          <w:p w:rsidR="001A43E4" w:rsidRPr="007742A3" w:rsidRDefault="001A43E4" w:rsidP="00DA1189">
            <w:pPr>
              <w:jc w:val="center"/>
              <w:rPr>
                <w:b/>
                <w:sz w:val="24"/>
                <w:szCs w:val="20"/>
              </w:rPr>
            </w:pPr>
            <w:r w:rsidRPr="007742A3">
              <w:rPr>
                <w:b/>
                <w:sz w:val="24"/>
                <w:szCs w:val="20"/>
              </w:rPr>
              <w:t>Expenditures</w:t>
            </w:r>
          </w:p>
        </w:tc>
        <w:tc>
          <w:tcPr>
            <w:tcW w:w="0" w:type="auto"/>
            <w:vAlign w:val="center"/>
          </w:tcPr>
          <w:p w:rsidR="001A43E4" w:rsidRPr="007742A3" w:rsidRDefault="00DD366C" w:rsidP="00DA1189">
            <w:pPr>
              <w:jc w:val="center"/>
              <w:rPr>
                <w:sz w:val="24"/>
                <w:szCs w:val="20"/>
              </w:rPr>
            </w:pPr>
            <w:r>
              <w:rPr>
                <w:sz w:val="24"/>
                <w:szCs w:val="20"/>
              </w:rPr>
              <w:t>$0</w:t>
            </w:r>
            <w:r w:rsidR="00984E80">
              <w:rPr>
                <w:sz w:val="24"/>
                <w:szCs w:val="20"/>
              </w:rPr>
              <w:t>*</w:t>
            </w:r>
          </w:p>
        </w:tc>
        <w:tc>
          <w:tcPr>
            <w:tcW w:w="0" w:type="auto"/>
            <w:vAlign w:val="center"/>
          </w:tcPr>
          <w:p w:rsidR="001A43E4" w:rsidRPr="007742A3" w:rsidRDefault="001A43E4" w:rsidP="00DA1189">
            <w:pPr>
              <w:jc w:val="center"/>
              <w:rPr>
                <w:sz w:val="24"/>
                <w:szCs w:val="20"/>
              </w:rPr>
            </w:pPr>
            <w:r w:rsidRPr="007742A3">
              <w:rPr>
                <w:sz w:val="24"/>
                <w:szCs w:val="20"/>
              </w:rPr>
              <w:t>$</w:t>
            </w:r>
            <w:r w:rsidR="00DD366C">
              <w:rPr>
                <w:sz w:val="24"/>
                <w:szCs w:val="20"/>
              </w:rPr>
              <w:t>0</w:t>
            </w:r>
            <w:r w:rsidR="00984E80">
              <w:rPr>
                <w:sz w:val="24"/>
                <w:szCs w:val="20"/>
              </w:rPr>
              <w:t>*</w:t>
            </w:r>
          </w:p>
        </w:tc>
        <w:tc>
          <w:tcPr>
            <w:tcW w:w="0" w:type="auto"/>
            <w:vAlign w:val="center"/>
          </w:tcPr>
          <w:p w:rsidR="001A43E4" w:rsidRPr="007742A3" w:rsidRDefault="001A43E4" w:rsidP="00DA1189">
            <w:pPr>
              <w:jc w:val="center"/>
              <w:rPr>
                <w:sz w:val="24"/>
                <w:szCs w:val="20"/>
              </w:rPr>
            </w:pPr>
            <w:r w:rsidRPr="007742A3">
              <w:rPr>
                <w:sz w:val="24"/>
                <w:szCs w:val="20"/>
              </w:rPr>
              <w:t>$</w:t>
            </w:r>
            <w:r w:rsidR="00DD366C">
              <w:rPr>
                <w:sz w:val="24"/>
                <w:szCs w:val="20"/>
              </w:rPr>
              <w:t>0</w:t>
            </w:r>
            <w:r w:rsidR="00984E80">
              <w:rPr>
                <w:sz w:val="24"/>
                <w:szCs w:val="20"/>
              </w:rPr>
              <w:t>*</w:t>
            </w:r>
          </w:p>
        </w:tc>
      </w:tr>
      <w:tr w:rsidR="00DD366C" w:rsidRPr="007742A3" w:rsidTr="00DA1189">
        <w:trPr>
          <w:trHeight w:val="251"/>
          <w:jc w:val="center"/>
        </w:trPr>
        <w:tc>
          <w:tcPr>
            <w:tcW w:w="0" w:type="auto"/>
            <w:vAlign w:val="center"/>
          </w:tcPr>
          <w:p w:rsidR="00DD366C" w:rsidRPr="007742A3" w:rsidRDefault="00DD366C" w:rsidP="00DA1189">
            <w:pPr>
              <w:jc w:val="center"/>
              <w:rPr>
                <w:b/>
                <w:sz w:val="24"/>
                <w:szCs w:val="20"/>
              </w:rPr>
            </w:pPr>
            <w:r w:rsidRPr="007742A3">
              <w:rPr>
                <w:b/>
                <w:sz w:val="24"/>
                <w:szCs w:val="20"/>
              </w:rPr>
              <w:t xml:space="preserve">Net </w:t>
            </w:r>
          </w:p>
        </w:tc>
        <w:tc>
          <w:tcPr>
            <w:tcW w:w="0" w:type="auto"/>
            <w:vAlign w:val="center"/>
          </w:tcPr>
          <w:p w:rsidR="00DD366C" w:rsidRPr="007742A3" w:rsidRDefault="00DD366C" w:rsidP="00064D5A">
            <w:pPr>
              <w:jc w:val="center"/>
              <w:rPr>
                <w:sz w:val="24"/>
                <w:szCs w:val="20"/>
              </w:rPr>
            </w:pPr>
            <w:r>
              <w:rPr>
                <w:sz w:val="24"/>
                <w:szCs w:val="20"/>
              </w:rPr>
              <w:t>$</w:t>
            </w:r>
            <w:r w:rsidR="00064D5A">
              <w:rPr>
                <w:sz w:val="24"/>
                <w:szCs w:val="20"/>
              </w:rPr>
              <w:t>0</w:t>
            </w:r>
            <w:r w:rsidR="00984E80">
              <w:rPr>
                <w:sz w:val="24"/>
                <w:szCs w:val="20"/>
              </w:rPr>
              <w:t>*</w:t>
            </w:r>
          </w:p>
        </w:tc>
        <w:tc>
          <w:tcPr>
            <w:tcW w:w="0" w:type="auto"/>
            <w:vAlign w:val="center"/>
          </w:tcPr>
          <w:p w:rsidR="00DD366C" w:rsidRPr="007742A3" w:rsidRDefault="00064D5A" w:rsidP="00DA1189">
            <w:pPr>
              <w:jc w:val="center"/>
              <w:rPr>
                <w:sz w:val="24"/>
                <w:szCs w:val="20"/>
              </w:rPr>
            </w:pPr>
            <w:r>
              <w:rPr>
                <w:sz w:val="24"/>
                <w:szCs w:val="20"/>
              </w:rPr>
              <w:t>$0</w:t>
            </w:r>
            <w:r w:rsidR="00984E80">
              <w:rPr>
                <w:sz w:val="24"/>
                <w:szCs w:val="20"/>
              </w:rPr>
              <w:t>*</w:t>
            </w:r>
          </w:p>
        </w:tc>
        <w:tc>
          <w:tcPr>
            <w:tcW w:w="0" w:type="auto"/>
            <w:vAlign w:val="center"/>
          </w:tcPr>
          <w:p w:rsidR="00DD366C" w:rsidRPr="007742A3" w:rsidRDefault="00064D5A" w:rsidP="00DA1189">
            <w:pPr>
              <w:jc w:val="center"/>
              <w:rPr>
                <w:sz w:val="24"/>
                <w:szCs w:val="20"/>
              </w:rPr>
            </w:pPr>
            <w:r>
              <w:rPr>
                <w:sz w:val="24"/>
                <w:szCs w:val="20"/>
              </w:rPr>
              <w:t>$0</w:t>
            </w:r>
            <w:r w:rsidR="00984E80">
              <w:rPr>
                <w:sz w:val="24"/>
                <w:szCs w:val="20"/>
              </w:rPr>
              <w:t>*</w:t>
            </w:r>
          </w:p>
        </w:tc>
      </w:tr>
    </w:tbl>
    <w:p w:rsidR="000A5804" w:rsidRPr="000A5804" w:rsidRDefault="000A5804" w:rsidP="00706E47">
      <w:pPr>
        <w:spacing w:before="120"/>
      </w:pPr>
    </w:p>
    <w:p w:rsidR="000A5804" w:rsidRPr="0087667E" w:rsidRDefault="000A5804" w:rsidP="00150787">
      <w:pPr>
        <w:rPr>
          <w:b/>
        </w:rPr>
      </w:pPr>
      <w:r w:rsidRPr="0087667E">
        <w:rPr>
          <w:b/>
          <w:smallCaps/>
        </w:rPr>
        <w:t>Impact on Revenues:</w:t>
      </w:r>
      <w:r w:rsidR="00706E47" w:rsidRPr="0087667E">
        <w:rPr>
          <w:b/>
          <w:smallCaps/>
        </w:rPr>
        <w:t xml:space="preserve"> </w:t>
      </w:r>
      <w:r w:rsidR="00F15F49">
        <w:rPr>
          <w:b/>
          <w:smallCaps/>
        </w:rPr>
        <w:t xml:space="preserve"> </w:t>
      </w:r>
      <w:r w:rsidR="00064D5A">
        <w:rPr>
          <w:sz w:val="22"/>
          <w:szCs w:val="22"/>
        </w:rPr>
        <w:t>The legislation would have no impact on revenues.</w:t>
      </w:r>
    </w:p>
    <w:p w:rsidR="001716B9" w:rsidRPr="00F15F49" w:rsidRDefault="000A5804" w:rsidP="006E1466">
      <w:pPr>
        <w:spacing w:before="240"/>
      </w:pPr>
      <w:r w:rsidRPr="0087667E">
        <w:rPr>
          <w:b/>
          <w:smallCaps/>
        </w:rPr>
        <w:t>Impact on Expenditures:</w:t>
      </w:r>
      <w:r w:rsidR="00E27CF6">
        <w:rPr>
          <w:b/>
          <w:smallCaps/>
        </w:rPr>
        <w:t xml:space="preserve"> </w:t>
      </w:r>
      <w:r w:rsidR="00C76217">
        <w:rPr>
          <w:sz w:val="22"/>
          <w:szCs w:val="22"/>
        </w:rPr>
        <w:t xml:space="preserve">The legislation would have no impact on expenditures for the City. If any expenses are incurred due to the proposed requirements they will be </w:t>
      </w:r>
      <w:r w:rsidR="0043547A">
        <w:rPr>
          <w:sz w:val="22"/>
          <w:szCs w:val="22"/>
        </w:rPr>
        <w:t>borne</w:t>
      </w:r>
      <w:r w:rsidR="00C76217">
        <w:rPr>
          <w:sz w:val="22"/>
          <w:szCs w:val="22"/>
        </w:rPr>
        <w:t xml:space="preserve"> by the building owner.</w:t>
      </w:r>
      <w:r w:rsidR="00984E80">
        <w:rPr>
          <w:sz w:val="22"/>
          <w:szCs w:val="22"/>
        </w:rPr>
        <w:t xml:space="preserve"> At the time of this fiscal impact statement any expenditures that might be incurred by City-owned hospitals has not been accessed by these entities so the impact is unknown.</w:t>
      </w:r>
    </w:p>
    <w:p w:rsidR="000A5804" w:rsidRPr="0087667E" w:rsidRDefault="000A5804" w:rsidP="006E1466">
      <w:pPr>
        <w:spacing w:before="240"/>
        <w:rPr>
          <w:b/>
        </w:rPr>
      </w:pPr>
      <w:r w:rsidRPr="0087667E">
        <w:rPr>
          <w:b/>
          <w:smallCaps/>
        </w:rPr>
        <w:t>Source of Funds To Cover Estimated Costs</w:t>
      </w:r>
      <w:r w:rsidRPr="00F15F49">
        <w:t>:</w:t>
      </w:r>
      <w:r w:rsidR="00706E47" w:rsidRPr="00F15F49">
        <w:t xml:space="preserve"> </w:t>
      </w:r>
      <w:r w:rsidR="00F15F49" w:rsidRPr="00F15F49">
        <w:t xml:space="preserve"> N/A</w:t>
      </w:r>
    </w:p>
    <w:p w:rsidR="00945747" w:rsidRDefault="000A5804" w:rsidP="006E1466">
      <w:pPr>
        <w:spacing w:before="240"/>
      </w:pPr>
      <w:r w:rsidRPr="0087667E">
        <w:rPr>
          <w:b/>
          <w:smallCaps/>
        </w:rPr>
        <w:t>Source of Information:</w:t>
      </w:r>
      <w:r w:rsidR="00706E47" w:rsidRPr="0087667E">
        <w:rPr>
          <w:b/>
          <w:smallCaps/>
        </w:rPr>
        <w:t xml:space="preserve">  </w:t>
      </w:r>
      <w:r w:rsidR="00A267C7" w:rsidRPr="0087667E">
        <w:rPr>
          <w:b/>
          <w:smallCaps/>
        </w:rPr>
        <w:tab/>
      </w:r>
      <w:r w:rsidR="00A267C7" w:rsidRPr="0087667E">
        <w:rPr>
          <w:b/>
          <w:smallCaps/>
        </w:rPr>
        <w:tab/>
      </w:r>
      <w:r w:rsidR="00984E80">
        <w:t>New York City Council Finance Division</w:t>
      </w:r>
    </w:p>
    <w:p w:rsidR="00E27CF6" w:rsidRDefault="00F15F49" w:rsidP="00F15F49">
      <w:r>
        <w:lastRenderedPageBreak/>
        <w:tab/>
      </w:r>
      <w:r>
        <w:tab/>
      </w:r>
      <w:r>
        <w:tab/>
      </w:r>
      <w:r>
        <w:tab/>
      </w:r>
      <w:r>
        <w:tab/>
      </w:r>
      <w:r w:rsidR="002A0283">
        <w:tab/>
      </w:r>
      <w:r w:rsidR="002A0283">
        <w:tab/>
      </w:r>
      <w:r w:rsidR="002A0283">
        <w:tab/>
      </w:r>
      <w:r w:rsidR="002A0283">
        <w:tab/>
      </w:r>
      <w:r w:rsidR="002A0283">
        <w:tab/>
      </w:r>
    </w:p>
    <w:p w:rsidR="000A5804" w:rsidRPr="0087667E" w:rsidRDefault="000A5804" w:rsidP="006E1466">
      <w:pPr>
        <w:spacing w:before="240"/>
      </w:pPr>
      <w:r w:rsidRPr="0087667E">
        <w:rPr>
          <w:b/>
          <w:smallCaps/>
        </w:rPr>
        <w:t>Estimate Prepared By:</w:t>
      </w:r>
      <w:r w:rsidRPr="0087667E">
        <w:rPr>
          <w:b/>
          <w:smallCaps/>
        </w:rPr>
        <w:tab/>
      </w:r>
      <w:r w:rsidRPr="0087667E">
        <w:rPr>
          <w:b/>
          <w:smallCaps/>
        </w:rPr>
        <w:tab/>
      </w:r>
      <w:r w:rsidR="00064D5A">
        <w:t>Amy Stokes</w:t>
      </w:r>
      <w:r w:rsidR="005645C0" w:rsidRPr="0087667E">
        <w:t>, Legislative Financial Analyst</w:t>
      </w:r>
    </w:p>
    <w:p w:rsidR="006E1466" w:rsidRPr="0087667E" w:rsidRDefault="006E1466" w:rsidP="006E1466">
      <w:r w:rsidRPr="0087667E">
        <w:rPr>
          <w:b/>
          <w:smallCaps/>
        </w:rPr>
        <w:tab/>
      </w:r>
      <w:r w:rsidRPr="0087667E">
        <w:rPr>
          <w:b/>
          <w:smallCaps/>
        </w:rPr>
        <w:tab/>
      </w:r>
      <w:r w:rsidRPr="0087667E">
        <w:rPr>
          <w:b/>
          <w:smallCaps/>
        </w:rPr>
        <w:tab/>
      </w:r>
      <w:r w:rsidRPr="0087667E">
        <w:rPr>
          <w:b/>
          <w:smallCaps/>
        </w:rPr>
        <w:tab/>
      </w:r>
      <w:r w:rsidRPr="0087667E">
        <w:rPr>
          <w:b/>
          <w:smallCaps/>
        </w:rPr>
        <w:tab/>
      </w:r>
    </w:p>
    <w:p w:rsidR="006E1466" w:rsidRPr="0087667E" w:rsidRDefault="000A5804" w:rsidP="006E1466">
      <w:r w:rsidRPr="0087667E">
        <w:rPr>
          <w:b/>
          <w:smallCaps/>
        </w:rPr>
        <w:t>Estimated Reviewed By:</w:t>
      </w:r>
      <w:r w:rsidRPr="0087667E">
        <w:rPr>
          <w:b/>
          <w:smallCaps/>
        </w:rPr>
        <w:tab/>
      </w:r>
      <w:r w:rsidRPr="0087667E">
        <w:rPr>
          <w:b/>
          <w:smallCaps/>
        </w:rPr>
        <w:tab/>
      </w:r>
      <w:r w:rsidR="00064D5A">
        <w:t>Nathan Toth</w:t>
      </w:r>
      <w:r w:rsidR="006E1466" w:rsidRPr="0087667E">
        <w:t>, Deputy Director</w:t>
      </w:r>
    </w:p>
    <w:p w:rsidR="000A5804" w:rsidRPr="0087667E" w:rsidRDefault="000A5804" w:rsidP="006E1466">
      <w:r w:rsidRPr="0087667E">
        <w:rPr>
          <w:b/>
          <w:smallCaps/>
        </w:rPr>
        <w:tab/>
      </w:r>
      <w:r w:rsidRPr="0087667E">
        <w:rPr>
          <w:b/>
          <w:smallCaps/>
        </w:rPr>
        <w:tab/>
      </w:r>
      <w:r w:rsidRPr="0087667E">
        <w:rPr>
          <w:b/>
          <w:smallCaps/>
        </w:rPr>
        <w:tab/>
      </w:r>
      <w:r w:rsidRPr="0087667E">
        <w:rPr>
          <w:b/>
          <w:smallCaps/>
        </w:rPr>
        <w:tab/>
      </w:r>
      <w:r w:rsidRPr="0087667E">
        <w:rPr>
          <w:b/>
          <w:smallCaps/>
        </w:rPr>
        <w:tab/>
      </w:r>
      <w:r w:rsidR="006E1466" w:rsidRPr="0087667E">
        <w:t>Tanisha E</w:t>
      </w:r>
      <w:r w:rsidRPr="0087667E">
        <w:t>dwards, Finance Counsel</w:t>
      </w:r>
    </w:p>
    <w:p w:rsidR="00775BF3" w:rsidRPr="003F142B" w:rsidRDefault="00775BF3" w:rsidP="00775BF3">
      <w:pPr>
        <w:spacing w:before="240" w:after="240"/>
      </w:pPr>
      <w:r w:rsidRPr="000B7EB0">
        <w:rPr>
          <w:b/>
          <w:smallCaps/>
          <w:sz w:val="22"/>
          <w:szCs w:val="22"/>
        </w:rPr>
        <w:t>Legislative History:</w:t>
      </w:r>
      <w:r>
        <w:rPr>
          <w:b/>
          <w:smallCaps/>
          <w:sz w:val="22"/>
          <w:szCs w:val="22"/>
        </w:rPr>
        <w:t xml:space="preserve">  </w:t>
      </w:r>
      <w:r w:rsidRPr="0087667E">
        <w:t>This legislation was introduced to the full Council</w:t>
      </w:r>
      <w:r>
        <w:t xml:space="preserve"> on June 24, 2013 as Proposed Intro. 1096 and was referred to the Committees on Housing and Buildings. A joint hearing was held by the Committees on Housing and Buildings, Environmental Protection, Parks and Recreation, Transportation, and Waterfronts on June 27, 2013 and the bill was laid over. The legislation was amended, and the amended version, Proposed Intro. 1096-A will be heard by the Committee on Housing and Buildings on October 30, 2013. </w:t>
      </w:r>
      <w:r w:rsidRPr="003D76D3">
        <w:t>Following</w:t>
      </w:r>
      <w:r>
        <w:t xml:space="preserve"> a successful Committee vote, the Full Council will vote on Proposed Int. 1096-A on October 30, 2013.  </w:t>
      </w:r>
    </w:p>
    <w:p w:rsidR="006E1466" w:rsidRPr="00945747" w:rsidRDefault="006E1466" w:rsidP="006E1466">
      <w:pPr>
        <w:spacing w:before="120"/>
        <w:rPr>
          <w:sz w:val="22"/>
          <w:szCs w:val="22"/>
        </w:rPr>
      </w:pPr>
    </w:p>
    <w:sectPr w:rsidR="006E1466" w:rsidRPr="00945747" w:rsidSect="00C9234A">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82" w:rsidRDefault="001F7482" w:rsidP="000B7EB0">
      <w:r>
        <w:separator/>
      </w:r>
    </w:p>
  </w:endnote>
  <w:endnote w:type="continuationSeparator" w:id="0">
    <w:p w:rsidR="001F7482" w:rsidRDefault="001F7482"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6E146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w:t>
    </w:r>
    <w:r w:rsidR="00C76217">
      <w:rPr>
        <w:rFonts w:asciiTheme="majorHAnsi" w:eastAsiaTheme="majorEastAsia" w:hAnsiTheme="majorHAnsi" w:cstheme="majorBidi"/>
      </w:rPr>
      <w:t>ntro 1096</w:t>
    </w:r>
    <w:r>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EF18FA" w:rsidRPr="00EF18FA">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82" w:rsidRDefault="001F7482" w:rsidP="000B7EB0">
      <w:r>
        <w:separator/>
      </w:r>
    </w:p>
  </w:footnote>
  <w:footnote w:type="continuationSeparator" w:id="0">
    <w:p w:rsidR="001F7482" w:rsidRDefault="001F7482"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6C5"/>
    <w:multiLevelType w:val="hybridMultilevel"/>
    <w:tmpl w:val="944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95FD2"/>
    <w:multiLevelType w:val="hybridMultilevel"/>
    <w:tmpl w:val="A87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01785"/>
    <w:multiLevelType w:val="hybridMultilevel"/>
    <w:tmpl w:val="E2765AF6"/>
    <w:lvl w:ilvl="0" w:tplc="7338A03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466C75"/>
    <w:multiLevelType w:val="hybridMultilevel"/>
    <w:tmpl w:val="E550EED2"/>
    <w:lvl w:ilvl="0" w:tplc="BA307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F3468"/>
    <w:multiLevelType w:val="hybridMultilevel"/>
    <w:tmpl w:val="5AD4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940F0"/>
    <w:multiLevelType w:val="hybridMultilevel"/>
    <w:tmpl w:val="F826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1263F"/>
    <w:multiLevelType w:val="hybridMultilevel"/>
    <w:tmpl w:val="0192BC46"/>
    <w:lvl w:ilvl="0" w:tplc="FD9A917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306429"/>
    <w:multiLevelType w:val="hybridMultilevel"/>
    <w:tmpl w:val="D77E8FDA"/>
    <w:lvl w:ilvl="0" w:tplc="7338A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A810FE"/>
    <w:multiLevelType w:val="hybridMultilevel"/>
    <w:tmpl w:val="072A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E1CBB"/>
    <w:multiLevelType w:val="hybridMultilevel"/>
    <w:tmpl w:val="AE301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0"/>
  </w:num>
  <w:num w:numId="6">
    <w:abstractNumId w:val="5"/>
  </w:num>
  <w:num w:numId="7">
    <w:abstractNumId w:val="9"/>
  </w:num>
  <w:num w:numId="8">
    <w:abstractNumId w:val="8"/>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2700"/>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1EA"/>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4D5A"/>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4E90"/>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3950"/>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2A9"/>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6B9"/>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3E4"/>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482"/>
    <w:rsid w:val="001F7A42"/>
    <w:rsid w:val="00200F97"/>
    <w:rsid w:val="00201B89"/>
    <w:rsid w:val="00201F4E"/>
    <w:rsid w:val="00202D35"/>
    <w:rsid w:val="00202DDD"/>
    <w:rsid w:val="00203123"/>
    <w:rsid w:val="002035BA"/>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276BA"/>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6F4C"/>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283"/>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9A1"/>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09E"/>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2"/>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D8"/>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1CD3"/>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3B3"/>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689"/>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42B"/>
    <w:rsid w:val="003F1D8E"/>
    <w:rsid w:val="003F21D7"/>
    <w:rsid w:val="003F2289"/>
    <w:rsid w:val="003F292B"/>
    <w:rsid w:val="003F2E0D"/>
    <w:rsid w:val="003F2F40"/>
    <w:rsid w:val="003F30A6"/>
    <w:rsid w:val="003F316F"/>
    <w:rsid w:val="003F341D"/>
    <w:rsid w:val="003F3B0A"/>
    <w:rsid w:val="003F4984"/>
    <w:rsid w:val="003F58DB"/>
    <w:rsid w:val="003F59CD"/>
    <w:rsid w:val="003F5B96"/>
    <w:rsid w:val="003F6125"/>
    <w:rsid w:val="003F6CD2"/>
    <w:rsid w:val="003F6F92"/>
    <w:rsid w:val="003F736D"/>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547A"/>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47"/>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4F8"/>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911"/>
    <w:rsid w:val="004A4F5F"/>
    <w:rsid w:val="004A4F80"/>
    <w:rsid w:val="004A516F"/>
    <w:rsid w:val="004A59FC"/>
    <w:rsid w:val="004A5ACA"/>
    <w:rsid w:val="004A5E46"/>
    <w:rsid w:val="004A6643"/>
    <w:rsid w:val="004A6830"/>
    <w:rsid w:val="004A6976"/>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1512"/>
    <w:rsid w:val="00542512"/>
    <w:rsid w:val="00542694"/>
    <w:rsid w:val="00542E3B"/>
    <w:rsid w:val="00542FE2"/>
    <w:rsid w:val="00543BB8"/>
    <w:rsid w:val="00543D00"/>
    <w:rsid w:val="0054418B"/>
    <w:rsid w:val="00544268"/>
    <w:rsid w:val="00544802"/>
    <w:rsid w:val="00544A3A"/>
    <w:rsid w:val="00544EE5"/>
    <w:rsid w:val="00545042"/>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5C0"/>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1BD"/>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42A"/>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48C"/>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336"/>
    <w:rsid w:val="005F74B9"/>
    <w:rsid w:val="005F794D"/>
    <w:rsid w:val="005F7E70"/>
    <w:rsid w:val="00600D69"/>
    <w:rsid w:val="006013CC"/>
    <w:rsid w:val="00601454"/>
    <w:rsid w:val="00601576"/>
    <w:rsid w:val="0060161A"/>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58D"/>
    <w:rsid w:val="00625749"/>
    <w:rsid w:val="006260C4"/>
    <w:rsid w:val="0062699F"/>
    <w:rsid w:val="00626BB0"/>
    <w:rsid w:val="00627852"/>
    <w:rsid w:val="0062787B"/>
    <w:rsid w:val="006278B2"/>
    <w:rsid w:val="00627FC7"/>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7FB"/>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0FEF"/>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6FFE"/>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0BBE"/>
    <w:rsid w:val="006F134D"/>
    <w:rsid w:val="006F17DC"/>
    <w:rsid w:val="006F2130"/>
    <w:rsid w:val="006F254C"/>
    <w:rsid w:val="006F2611"/>
    <w:rsid w:val="006F2F28"/>
    <w:rsid w:val="006F337E"/>
    <w:rsid w:val="006F3710"/>
    <w:rsid w:val="006F3F21"/>
    <w:rsid w:val="006F43D1"/>
    <w:rsid w:val="006F43DF"/>
    <w:rsid w:val="006F46BA"/>
    <w:rsid w:val="006F4D04"/>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88F"/>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6E2A"/>
    <w:rsid w:val="00727612"/>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2D3"/>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658B"/>
    <w:rsid w:val="0076729B"/>
    <w:rsid w:val="00767E50"/>
    <w:rsid w:val="007701C5"/>
    <w:rsid w:val="007702CB"/>
    <w:rsid w:val="007703B5"/>
    <w:rsid w:val="0077047E"/>
    <w:rsid w:val="00770D22"/>
    <w:rsid w:val="0077171A"/>
    <w:rsid w:val="00772032"/>
    <w:rsid w:val="00772379"/>
    <w:rsid w:val="007724C6"/>
    <w:rsid w:val="007732A7"/>
    <w:rsid w:val="0077359C"/>
    <w:rsid w:val="00773D0F"/>
    <w:rsid w:val="007744F8"/>
    <w:rsid w:val="00774854"/>
    <w:rsid w:val="00775419"/>
    <w:rsid w:val="00775669"/>
    <w:rsid w:val="00775746"/>
    <w:rsid w:val="00775BF3"/>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112"/>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293D"/>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078"/>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9A6"/>
    <w:rsid w:val="007D1B3E"/>
    <w:rsid w:val="007D1C63"/>
    <w:rsid w:val="007D1CA5"/>
    <w:rsid w:val="007D1E9A"/>
    <w:rsid w:val="007D2118"/>
    <w:rsid w:val="007D2177"/>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4F"/>
    <w:rsid w:val="00821B73"/>
    <w:rsid w:val="008228A1"/>
    <w:rsid w:val="0082298B"/>
    <w:rsid w:val="00822AB9"/>
    <w:rsid w:val="00823108"/>
    <w:rsid w:val="00824078"/>
    <w:rsid w:val="0082630E"/>
    <w:rsid w:val="00826576"/>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67E"/>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B9E"/>
    <w:rsid w:val="008C4DAA"/>
    <w:rsid w:val="008C4DB9"/>
    <w:rsid w:val="008C5C06"/>
    <w:rsid w:val="008C5F50"/>
    <w:rsid w:val="008C6019"/>
    <w:rsid w:val="008C61AB"/>
    <w:rsid w:val="008C6F59"/>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588"/>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C7F"/>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47"/>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28"/>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4E80"/>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400E"/>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4F4"/>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6F7B"/>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E77"/>
    <w:rsid w:val="00A53FD1"/>
    <w:rsid w:val="00A54202"/>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3A62"/>
    <w:rsid w:val="00A845FD"/>
    <w:rsid w:val="00A84E6D"/>
    <w:rsid w:val="00A850E3"/>
    <w:rsid w:val="00A8580E"/>
    <w:rsid w:val="00A85817"/>
    <w:rsid w:val="00A85AF2"/>
    <w:rsid w:val="00A8620D"/>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341"/>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08C"/>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020"/>
    <w:rsid w:val="00B808AD"/>
    <w:rsid w:val="00B80D2C"/>
    <w:rsid w:val="00B82280"/>
    <w:rsid w:val="00B82430"/>
    <w:rsid w:val="00B836E2"/>
    <w:rsid w:val="00B84DB7"/>
    <w:rsid w:val="00B84DEB"/>
    <w:rsid w:val="00B85545"/>
    <w:rsid w:val="00B858F9"/>
    <w:rsid w:val="00B85C18"/>
    <w:rsid w:val="00B868F2"/>
    <w:rsid w:val="00B86E2A"/>
    <w:rsid w:val="00B86F9C"/>
    <w:rsid w:val="00B87603"/>
    <w:rsid w:val="00B87A4D"/>
    <w:rsid w:val="00B90F1F"/>
    <w:rsid w:val="00B91096"/>
    <w:rsid w:val="00B918DF"/>
    <w:rsid w:val="00B91938"/>
    <w:rsid w:val="00B91DCE"/>
    <w:rsid w:val="00B92857"/>
    <w:rsid w:val="00B93110"/>
    <w:rsid w:val="00B93626"/>
    <w:rsid w:val="00B941F4"/>
    <w:rsid w:val="00B945BE"/>
    <w:rsid w:val="00B94753"/>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31C"/>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5A59"/>
    <w:rsid w:val="00C063DA"/>
    <w:rsid w:val="00C06B81"/>
    <w:rsid w:val="00C06CA0"/>
    <w:rsid w:val="00C076B3"/>
    <w:rsid w:val="00C0788C"/>
    <w:rsid w:val="00C07897"/>
    <w:rsid w:val="00C103CE"/>
    <w:rsid w:val="00C10E51"/>
    <w:rsid w:val="00C110B6"/>
    <w:rsid w:val="00C11437"/>
    <w:rsid w:val="00C115DE"/>
    <w:rsid w:val="00C116EC"/>
    <w:rsid w:val="00C13D0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662"/>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6E8"/>
    <w:rsid w:val="00C60783"/>
    <w:rsid w:val="00C6083C"/>
    <w:rsid w:val="00C60B76"/>
    <w:rsid w:val="00C614BB"/>
    <w:rsid w:val="00C61D66"/>
    <w:rsid w:val="00C62693"/>
    <w:rsid w:val="00C62708"/>
    <w:rsid w:val="00C6298D"/>
    <w:rsid w:val="00C62B91"/>
    <w:rsid w:val="00C635B3"/>
    <w:rsid w:val="00C63F24"/>
    <w:rsid w:val="00C643A0"/>
    <w:rsid w:val="00C64563"/>
    <w:rsid w:val="00C646B1"/>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17"/>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234A"/>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0B6A"/>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4556"/>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29C8"/>
    <w:rsid w:val="00CE330D"/>
    <w:rsid w:val="00CE3B91"/>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E7F52"/>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28"/>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189"/>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76"/>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01A5"/>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4B79"/>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5D38"/>
    <w:rsid w:val="00DC6663"/>
    <w:rsid w:val="00DC6A02"/>
    <w:rsid w:val="00DC6A76"/>
    <w:rsid w:val="00DC6BA4"/>
    <w:rsid w:val="00DC6C54"/>
    <w:rsid w:val="00DC6FCF"/>
    <w:rsid w:val="00DC743E"/>
    <w:rsid w:val="00DC79E1"/>
    <w:rsid w:val="00DC7AE2"/>
    <w:rsid w:val="00DC7F08"/>
    <w:rsid w:val="00DD0F12"/>
    <w:rsid w:val="00DD107C"/>
    <w:rsid w:val="00DD269D"/>
    <w:rsid w:val="00DD366C"/>
    <w:rsid w:val="00DD387D"/>
    <w:rsid w:val="00DD392F"/>
    <w:rsid w:val="00DD396F"/>
    <w:rsid w:val="00DD3D13"/>
    <w:rsid w:val="00DD3EDE"/>
    <w:rsid w:val="00DD3FA5"/>
    <w:rsid w:val="00DD4796"/>
    <w:rsid w:val="00DD4D39"/>
    <w:rsid w:val="00DD4EBF"/>
    <w:rsid w:val="00DD4FA4"/>
    <w:rsid w:val="00DD506F"/>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9FA"/>
    <w:rsid w:val="00E23D85"/>
    <w:rsid w:val="00E23EDD"/>
    <w:rsid w:val="00E2415D"/>
    <w:rsid w:val="00E24932"/>
    <w:rsid w:val="00E249C5"/>
    <w:rsid w:val="00E25579"/>
    <w:rsid w:val="00E255C0"/>
    <w:rsid w:val="00E256B2"/>
    <w:rsid w:val="00E25728"/>
    <w:rsid w:val="00E25B95"/>
    <w:rsid w:val="00E25EC3"/>
    <w:rsid w:val="00E26938"/>
    <w:rsid w:val="00E26AF3"/>
    <w:rsid w:val="00E27B8C"/>
    <w:rsid w:val="00E27CF6"/>
    <w:rsid w:val="00E27ED2"/>
    <w:rsid w:val="00E303A6"/>
    <w:rsid w:val="00E304D8"/>
    <w:rsid w:val="00E309F3"/>
    <w:rsid w:val="00E30F6E"/>
    <w:rsid w:val="00E311A7"/>
    <w:rsid w:val="00E31234"/>
    <w:rsid w:val="00E31B96"/>
    <w:rsid w:val="00E323E5"/>
    <w:rsid w:val="00E32969"/>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5D77"/>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18FA"/>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5F49"/>
    <w:rsid w:val="00F166A0"/>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6FCD"/>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C17"/>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CC0"/>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934"/>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5C9E"/>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table" w:styleId="TableGrid">
    <w:name w:val="Table Grid"/>
    <w:basedOn w:val="TableNormal"/>
    <w:uiPriority w:val="59"/>
    <w:rsid w:val="003C1C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43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A0112"/>
    <w:rPr>
      <w:rFonts w:ascii="Times New Roman" w:hAnsi="Times New Roman" w:cs="Times New Roman"/>
      <w:szCs w:val="24"/>
    </w:rPr>
  </w:style>
  <w:style w:type="paragraph" w:styleId="FootnoteText">
    <w:name w:val="footnote text"/>
    <w:aliases w:val="FT"/>
    <w:basedOn w:val="Normal"/>
    <w:link w:val="FootnoteTextChar"/>
    <w:unhideWhenUsed/>
    <w:rsid w:val="00F26FCD"/>
    <w:pPr>
      <w:jc w:val="left"/>
    </w:pPr>
    <w:rPr>
      <w:sz w:val="20"/>
      <w:szCs w:val="20"/>
    </w:rPr>
  </w:style>
  <w:style w:type="character" w:customStyle="1" w:styleId="FootnoteTextChar">
    <w:name w:val="Footnote Text Char"/>
    <w:aliases w:val="FT Char"/>
    <w:basedOn w:val="DefaultParagraphFont"/>
    <w:link w:val="FootnoteText"/>
    <w:rsid w:val="00F26FCD"/>
    <w:rPr>
      <w:rFonts w:ascii="Times New Roman" w:hAnsi="Times New Roman" w:cs="Times New Roman"/>
      <w:sz w:val="20"/>
    </w:rPr>
  </w:style>
  <w:style w:type="character" w:styleId="FootnoteReference">
    <w:name w:val="footnote reference"/>
    <w:basedOn w:val="DefaultParagraphFont"/>
    <w:unhideWhenUsed/>
    <w:rsid w:val="00F26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table" w:styleId="TableGrid">
    <w:name w:val="Table Grid"/>
    <w:basedOn w:val="TableNormal"/>
    <w:uiPriority w:val="59"/>
    <w:rsid w:val="003C1C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43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A0112"/>
    <w:rPr>
      <w:rFonts w:ascii="Times New Roman" w:hAnsi="Times New Roman" w:cs="Times New Roman"/>
      <w:szCs w:val="24"/>
    </w:rPr>
  </w:style>
  <w:style w:type="paragraph" w:styleId="FootnoteText">
    <w:name w:val="footnote text"/>
    <w:aliases w:val="FT"/>
    <w:basedOn w:val="Normal"/>
    <w:link w:val="FootnoteTextChar"/>
    <w:unhideWhenUsed/>
    <w:rsid w:val="00F26FCD"/>
    <w:pPr>
      <w:jc w:val="left"/>
    </w:pPr>
    <w:rPr>
      <w:sz w:val="20"/>
      <w:szCs w:val="20"/>
    </w:rPr>
  </w:style>
  <w:style w:type="character" w:customStyle="1" w:styleId="FootnoteTextChar">
    <w:name w:val="Footnote Text Char"/>
    <w:aliases w:val="FT Char"/>
    <w:basedOn w:val="DefaultParagraphFont"/>
    <w:link w:val="FootnoteText"/>
    <w:rsid w:val="00F26FCD"/>
    <w:rPr>
      <w:rFonts w:ascii="Times New Roman" w:hAnsi="Times New Roman" w:cs="Times New Roman"/>
      <w:sz w:val="20"/>
    </w:rPr>
  </w:style>
  <w:style w:type="character" w:styleId="FootnoteReference">
    <w:name w:val="footnote reference"/>
    <w:basedOn w:val="DefaultParagraphFont"/>
    <w:unhideWhenUsed/>
    <w:rsid w:val="00F26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1903">
      <w:bodyDiv w:val="1"/>
      <w:marLeft w:val="0"/>
      <w:marRight w:val="0"/>
      <w:marTop w:val="0"/>
      <w:marBottom w:val="0"/>
      <w:divBdr>
        <w:top w:val="none" w:sz="0" w:space="0" w:color="auto"/>
        <w:left w:val="none" w:sz="0" w:space="0" w:color="auto"/>
        <w:bottom w:val="none" w:sz="0" w:space="0" w:color="auto"/>
        <w:right w:val="none" w:sz="0" w:space="0" w:color="auto"/>
      </w:divBdr>
      <w:divsChild>
        <w:div w:id="263264698">
          <w:marLeft w:val="0"/>
          <w:marRight w:val="0"/>
          <w:marTop w:val="0"/>
          <w:marBottom w:val="0"/>
          <w:divBdr>
            <w:top w:val="none" w:sz="0" w:space="0" w:color="auto"/>
            <w:left w:val="none" w:sz="0" w:space="0" w:color="auto"/>
            <w:bottom w:val="none" w:sz="0" w:space="0" w:color="auto"/>
            <w:right w:val="none" w:sz="0" w:space="0" w:color="auto"/>
          </w:divBdr>
          <w:divsChild>
            <w:div w:id="385449493">
              <w:marLeft w:val="0"/>
              <w:marRight w:val="0"/>
              <w:marTop w:val="0"/>
              <w:marBottom w:val="0"/>
              <w:divBdr>
                <w:top w:val="none" w:sz="0" w:space="0" w:color="auto"/>
                <w:left w:val="none" w:sz="0" w:space="0" w:color="auto"/>
                <w:bottom w:val="none" w:sz="0" w:space="0" w:color="auto"/>
                <w:right w:val="none" w:sz="0" w:space="0" w:color="auto"/>
              </w:divBdr>
              <w:divsChild>
                <w:div w:id="433868499">
                  <w:marLeft w:val="0"/>
                  <w:marRight w:val="0"/>
                  <w:marTop w:val="0"/>
                  <w:marBottom w:val="0"/>
                  <w:divBdr>
                    <w:top w:val="none" w:sz="0" w:space="0" w:color="auto"/>
                    <w:left w:val="none" w:sz="0" w:space="0" w:color="auto"/>
                    <w:bottom w:val="none" w:sz="0" w:space="0" w:color="auto"/>
                    <w:right w:val="none" w:sz="0" w:space="0" w:color="auto"/>
                  </w:divBdr>
                  <w:divsChild>
                    <w:div w:id="1485929491">
                      <w:marLeft w:val="0"/>
                      <w:marRight w:val="0"/>
                      <w:marTop w:val="0"/>
                      <w:marBottom w:val="0"/>
                      <w:divBdr>
                        <w:top w:val="none" w:sz="0" w:space="0" w:color="auto"/>
                        <w:left w:val="none" w:sz="0" w:space="0" w:color="auto"/>
                        <w:bottom w:val="none" w:sz="0" w:space="0" w:color="auto"/>
                        <w:right w:val="none" w:sz="0" w:space="0" w:color="auto"/>
                      </w:divBdr>
                      <w:divsChild>
                        <w:div w:id="1822885698">
                          <w:marLeft w:val="0"/>
                          <w:marRight w:val="0"/>
                          <w:marTop w:val="0"/>
                          <w:marBottom w:val="0"/>
                          <w:divBdr>
                            <w:top w:val="none" w:sz="0" w:space="0" w:color="auto"/>
                            <w:left w:val="none" w:sz="0" w:space="0" w:color="auto"/>
                            <w:bottom w:val="none" w:sz="0" w:space="0" w:color="auto"/>
                            <w:right w:val="none" w:sz="0" w:space="0" w:color="auto"/>
                          </w:divBdr>
                          <w:divsChild>
                            <w:div w:id="4387221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7718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5AA7-43F0-47EF-BC52-E80F3B48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511</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Crilhien</dc:creator>
  <cp:lastModifiedBy>New York City Council</cp:lastModifiedBy>
  <cp:revision>7</cp:revision>
  <cp:lastPrinted>2013-10-30T13:36:00Z</cp:lastPrinted>
  <dcterms:created xsi:type="dcterms:W3CDTF">2013-10-29T17:12:00Z</dcterms:created>
  <dcterms:modified xsi:type="dcterms:W3CDTF">2013-10-30T13:36:00Z</dcterms:modified>
</cp:coreProperties>
</file>