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98" w:type="dxa"/>
        <w:tblLook w:val="0000" w:firstRow="0" w:lastRow="0" w:firstColumn="0" w:lastColumn="0" w:noHBand="0" w:noVBand="0"/>
      </w:tblPr>
      <w:tblGrid>
        <w:gridCol w:w="5310"/>
        <w:gridCol w:w="5499"/>
      </w:tblGrid>
      <w:tr w:rsidR="00EE112D" w:rsidTr="00BA6E86">
        <w:trPr>
          <w:jc w:val="center"/>
        </w:trPr>
        <w:tc>
          <w:tcPr>
            <w:tcW w:w="5310" w:type="dxa"/>
            <w:tcBorders>
              <w:bottom w:val="single" w:sz="6" w:space="0" w:color="auto"/>
            </w:tcBorders>
          </w:tcPr>
          <w:p w:rsidR="00EE112D" w:rsidRDefault="00EE112D" w:rsidP="009F3577">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1EF0BE90" wp14:editId="14CB4D7E">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rsidR="00EE112D" w:rsidRDefault="00EE112D" w:rsidP="009F3577"/>
        </w:tc>
        <w:tc>
          <w:tcPr>
            <w:tcW w:w="5499" w:type="dxa"/>
            <w:tcBorders>
              <w:bottom w:val="single" w:sz="6" w:space="0" w:color="auto"/>
            </w:tcBorders>
          </w:tcPr>
          <w:p w:rsidR="00EE112D" w:rsidRDefault="00EE112D" w:rsidP="009F3577">
            <w:pPr>
              <w:rPr>
                <w:b/>
                <w:bCs/>
                <w:smallCaps/>
              </w:rPr>
            </w:pPr>
            <w:r>
              <w:rPr>
                <w:b/>
                <w:bCs/>
                <w:smallCaps/>
              </w:rPr>
              <w:t xml:space="preserve">The Council of the City of </w:t>
            </w:r>
            <w:smartTag w:uri="urn:schemas-microsoft-com:office:smarttags" w:element="City">
              <w:smartTag w:uri="urn:schemas-microsoft-com:office:smarttags" w:element="place">
                <w:r>
                  <w:rPr>
                    <w:b/>
                    <w:bCs/>
                    <w:smallCaps/>
                  </w:rPr>
                  <w:t>New York</w:t>
                </w:r>
              </w:smartTag>
            </w:smartTag>
          </w:p>
          <w:p w:rsidR="00EE112D" w:rsidRDefault="00EE112D" w:rsidP="009F3577">
            <w:pPr>
              <w:rPr>
                <w:b/>
                <w:bCs/>
                <w:smallCaps/>
              </w:rPr>
            </w:pPr>
            <w:r>
              <w:rPr>
                <w:b/>
                <w:bCs/>
                <w:smallCaps/>
              </w:rPr>
              <w:t>Finance Division</w:t>
            </w:r>
          </w:p>
          <w:p w:rsidR="00EE112D" w:rsidRDefault="00EE112D" w:rsidP="009F3577">
            <w:pPr>
              <w:rPr>
                <w:b/>
                <w:bCs/>
                <w:smallCaps/>
              </w:rPr>
            </w:pPr>
            <w:smartTag w:uri="urn:schemas-microsoft-com:office:smarttags" w:element="place">
              <w:r>
                <w:rPr>
                  <w:b/>
                  <w:bCs/>
                  <w:smallCaps/>
                </w:rPr>
                <w:t>Preston</w:t>
              </w:r>
            </w:smartTag>
            <w:r>
              <w:rPr>
                <w:b/>
                <w:bCs/>
                <w:smallCaps/>
              </w:rPr>
              <w:t xml:space="preserve"> </w:t>
            </w:r>
            <w:proofErr w:type="spellStart"/>
            <w:r>
              <w:rPr>
                <w:b/>
                <w:bCs/>
                <w:smallCaps/>
              </w:rPr>
              <w:t>niblack</w:t>
            </w:r>
            <w:proofErr w:type="spellEnd"/>
            <w:r>
              <w:rPr>
                <w:b/>
                <w:bCs/>
                <w:smallCaps/>
              </w:rPr>
              <w:t>, Director</w:t>
            </w:r>
          </w:p>
          <w:p w:rsidR="009543F4" w:rsidRDefault="009543F4" w:rsidP="009F3577">
            <w:pPr>
              <w:rPr>
                <w:b/>
                <w:bCs/>
                <w:smallCaps/>
              </w:rPr>
            </w:pPr>
            <w:proofErr w:type="spellStart"/>
            <w:r>
              <w:rPr>
                <w:b/>
                <w:bCs/>
                <w:smallCaps/>
              </w:rPr>
              <w:t>jeffrey</w:t>
            </w:r>
            <w:proofErr w:type="spellEnd"/>
            <w:r>
              <w:rPr>
                <w:b/>
                <w:bCs/>
                <w:smallCaps/>
              </w:rPr>
              <w:t xml:space="preserve"> </w:t>
            </w:r>
            <w:proofErr w:type="spellStart"/>
            <w:r>
              <w:rPr>
                <w:b/>
                <w:bCs/>
                <w:smallCaps/>
              </w:rPr>
              <w:t>rodus</w:t>
            </w:r>
            <w:proofErr w:type="spellEnd"/>
            <w:r>
              <w:rPr>
                <w:b/>
                <w:bCs/>
                <w:smallCaps/>
              </w:rPr>
              <w:t>, first deputy director</w:t>
            </w:r>
          </w:p>
          <w:p w:rsidR="00EE112D" w:rsidRDefault="00EE112D" w:rsidP="009F3577">
            <w:r>
              <w:rPr>
                <w:b/>
                <w:bCs/>
                <w:smallCaps/>
              </w:rPr>
              <w:t>Fiscal Impact Statement</w:t>
            </w:r>
          </w:p>
          <w:p w:rsidR="00EE112D" w:rsidRPr="00ED74D9" w:rsidRDefault="00EE112D" w:rsidP="009F3577">
            <w:pPr>
              <w:rPr>
                <w:b/>
                <w:bCs/>
                <w:sz w:val="16"/>
                <w:szCs w:val="16"/>
              </w:rPr>
            </w:pPr>
          </w:p>
          <w:p w:rsidR="00EE112D" w:rsidRPr="00ED74D9" w:rsidRDefault="00EE112D" w:rsidP="009F3577">
            <w:pPr>
              <w:rPr>
                <w:sz w:val="16"/>
                <w:szCs w:val="16"/>
              </w:rPr>
            </w:pPr>
            <w:r>
              <w:rPr>
                <w:b/>
                <w:bCs/>
                <w:smallCaps/>
              </w:rPr>
              <w:t>proposed Int. No</w:t>
            </w:r>
            <w:r w:rsidR="00463079">
              <w:rPr>
                <w:b/>
                <w:bCs/>
              </w:rPr>
              <w:t>: 1007-A</w:t>
            </w:r>
          </w:p>
          <w:p w:rsidR="00EE112D" w:rsidRDefault="00EE112D" w:rsidP="009F3577">
            <w:pPr>
              <w:tabs>
                <w:tab w:val="left" w:pos="-1440"/>
              </w:tabs>
              <w:ind w:left="1440" w:hanging="1440"/>
              <w:jc w:val="left"/>
              <w:rPr>
                <w:b/>
                <w:bCs/>
                <w:smallCaps/>
              </w:rPr>
            </w:pPr>
          </w:p>
          <w:p w:rsidR="00EE112D" w:rsidRPr="00523AE1" w:rsidRDefault="00EE112D" w:rsidP="009F3577">
            <w:pPr>
              <w:tabs>
                <w:tab w:val="left" w:pos="-1440"/>
              </w:tabs>
              <w:ind w:left="1440" w:hanging="1440"/>
              <w:jc w:val="left"/>
            </w:pPr>
            <w:r>
              <w:rPr>
                <w:b/>
                <w:bCs/>
                <w:smallCaps/>
              </w:rPr>
              <w:t>Committee</w:t>
            </w:r>
            <w:r>
              <w:rPr>
                <w:b/>
                <w:bCs/>
              </w:rPr>
              <w:t xml:space="preserve">: </w:t>
            </w:r>
            <w:r w:rsidR="00463079">
              <w:rPr>
                <w:b/>
                <w:bCs/>
              </w:rPr>
              <w:t>Housing &amp; Buildings</w:t>
            </w:r>
          </w:p>
          <w:p w:rsidR="00EE112D" w:rsidRDefault="00EE112D" w:rsidP="009F3577"/>
        </w:tc>
      </w:tr>
      <w:tr w:rsidR="00EE112D" w:rsidTr="00BA6E86">
        <w:trPr>
          <w:jc w:val="center"/>
        </w:trPr>
        <w:tc>
          <w:tcPr>
            <w:tcW w:w="5310" w:type="dxa"/>
            <w:tcBorders>
              <w:top w:val="single" w:sz="6" w:space="0" w:color="auto"/>
            </w:tcBorders>
          </w:tcPr>
          <w:p w:rsidR="00EE112D" w:rsidRDefault="00EE112D" w:rsidP="009F3577">
            <w:pPr>
              <w:contextualSpacing/>
            </w:pPr>
            <w:r w:rsidRPr="00ED74D9">
              <w:rPr>
                <w:b/>
                <w:bCs/>
                <w:smallCaps/>
                <w:sz w:val="22"/>
                <w:szCs w:val="22"/>
              </w:rPr>
              <w:t>Title:</w:t>
            </w:r>
            <w:r>
              <w:t xml:space="preserve"> </w:t>
            </w:r>
            <w:r w:rsidR="00F64E3A">
              <w:t>A Local Law to amend the administrative code o</w:t>
            </w:r>
            <w:r w:rsidR="00463079">
              <w:t xml:space="preserve">f the City of New York and the New York city building code, in relation to the raising and moving of a building. </w:t>
            </w:r>
          </w:p>
          <w:p w:rsidR="00EE112D" w:rsidRPr="00ED74D9" w:rsidRDefault="00EE112D" w:rsidP="009F3577">
            <w:pPr>
              <w:rPr>
                <w:sz w:val="22"/>
                <w:szCs w:val="22"/>
              </w:rPr>
            </w:pPr>
            <w:r w:rsidRPr="00ED74D9">
              <w:rPr>
                <w:b/>
                <w:bCs/>
                <w:smallCaps/>
                <w:sz w:val="22"/>
                <w:szCs w:val="22"/>
              </w:rPr>
              <w:t xml:space="preserve"> </w:t>
            </w:r>
            <w:r w:rsidRPr="00ED74D9">
              <w:rPr>
                <w:bCs/>
                <w:smallCaps/>
                <w:sz w:val="22"/>
                <w:szCs w:val="22"/>
              </w:rPr>
              <w:t xml:space="preserve"> </w:t>
            </w:r>
          </w:p>
        </w:tc>
        <w:tc>
          <w:tcPr>
            <w:tcW w:w="5499" w:type="dxa"/>
            <w:tcBorders>
              <w:top w:val="single" w:sz="6" w:space="0" w:color="auto"/>
            </w:tcBorders>
          </w:tcPr>
          <w:p w:rsidR="00EE112D" w:rsidRPr="00ED74D9" w:rsidRDefault="00EE112D" w:rsidP="00463079">
            <w:pPr>
              <w:pStyle w:val="Heading1"/>
              <w:jc w:val="both"/>
              <w:rPr>
                <w:sz w:val="22"/>
                <w:szCs w:val="22"/>
              </w:rPr>
            </w:pPr>
            <w:r w:rsidRPr="00ED74D9">
              <w:rPr>
                <w:bCs w:val="0"/>
                <w:smallCaps/>
                <w:sz w:val="22"/>
                <w:szCs w:val="22"/>
              </w:rPr>
              <w:t>Sponsor</w:t>
            </w:r>
            <w:r>
              <w:rPr>
                <w:bCs w:val="0"/>
                <w:smallCaps/>
                <w:sz w:val="22"/>
                <w:szCs w:val="22"/>
              </w:rPr>
              <w:t>s</w:t>
            </w:r>
            <w:r w:rsidRPr="00ED74D9">
              <w:rPr>
                <w:b w:val="0"/>
                <w:bCs w:val="0"/>
                <w:sz w:val="22"/>
                <w:szCs w:val="22"/>
              </w:rPr>
              <w:t>:</w:t>
            </w:r>
            <w:r w:rsidRPr="00547562">
              <w:rPr>
                <w:b w:val="0"/>
                <w:szCs w:val="24"/>
              </w:rPr>
              <w:t xml:space="preserve"> </w:t>
            </w:r>
            <w:r w:rsidR="00463079">
              <w:rPr>
                <w:b w:val="0"/>
                <w:szCs w:val="24"/>
              </w:rPr>
              <w:t xml:space="preserve">Ignizio, Oddo, the Speaker (Council Member Quinn), </w:t>
            </w:r>
            <w:proofErr w:type="spellStart"/>
            <w:r w:rsidR="00463079">
              <w:rPr>
                <w:b w:val="0"/>
                <w:szCs w:val="24"/>
              </w:rPr>
              <w:t>Comrie</w:t>
            </w:r>
            <w:proofErr w:type="spellEnd"/>
            <w:r w:rsidR="00463079">
              <w:rPr>
                <w:b w:val="0"/>
                <w:szCs w:val="24"/>
              </w:rPr>
              <w:t>, James, Koo, Williams, Wills and Halloran</w:t>
            </w:r>
          </w:p>
        </w:tc>
      </w:tr>
      <w:tr w:rsidR="00EE112D" w:rsidTr="00BA6E86">
        <w:trPr>
          <w:cantSplit/>
          <w:trHeight w:val="554"/>
          <w:jc w:val="center"/>
        </w:trPr>
        <w:tc>
          <w:tcPr>
            <w:tcW w:w="10809" w:type="dxa"/>
            <w:gridSpan w:val="2"/>
          </w:tcPr>
          <w:p w:rsidR="0071661D" w:rsidRDefault="00EE112D" w:rsidP="002C33A2">
            <w:r w:rsidRPr="00ED74D9">
              <w:rPr>
                <w:b/>
                <w:bCs/>
                <w:smallCaps/>
                <w:sz w:val="22"/>
                <w:szCs w:val="22"/>
              </w:rPr>
              <w:t xml:space="preserve">Summary of Legislation: </w:t>
            </w:r>
            <w:r w:rsidR="002C33A2">
              <w:t>This legislation</w:t>
            </w:r>
            <w:r w:rsidR="00F64E3A">
              <w:t xml:space="preserve"> would </w:t>
            </w:r>
            <w:r w:rsidR="0071661D">
              <w:t xml:space="preserve">amend the </w:t>
            </w:r>
            <w:r w:rsidR="00586F3A">
              <w:t xml:space="preserve">Administrative Code </w:t>
            </w:r>
            <w:r w:rsidR="0071661D">
              <w:t xml:space="preserve">to </w:t>
            </w:r>
            <w:r w:rsidR="006D6E16">
              <w:t xml:space="preserve">require </w:t>
            </w:r>
            <w:r w:rsidR="00463079">
              <w:t>the Depar</w:t>
            </w:r>
            <w:r w:rsidR="00D4208B">
              <w:t xml:space="preserve">tment of Consumer Affairs </w:t>
            </w:r>
            <w:r w:rsidR="00463079">
              <w:t>to instruct and conduct public education on the consumer protection provisions</w:t>
            </w:r>
            <w:r w:rsidR="00586F3A">
              <w:t xml:space="preserve"> related to home improvement work</w:t>
            </w:r>
            <w:r w:rsidR="00463079">
              <w:t xml:space="preserve"> and the necessary licenses and permits that home improvement contractors must obtain to perform certain types of home improvement work, including but not limited to plumbing work, electrical work and the raising, lifting, elevating or moving of a home or building. Such instruction and public education shall be provided to home improvement contractors, homeowners and members of the public at least semiannually. </w:t>
            </w:r>
          </w:p>
          <w:p w:rsidR="00D4208B" w:rsidRDefault="00D4208B" w:rsidP="002C33A2"/>
          <w:p w:rsidR="002C33A2" w:rsidRDefault="0071661D" w:rsidP="002C33A2">
            <w:r>
              <w:t>Additionally, if the lowest above-grade floor or the lowest subgrade floor of a building is to be raised, lifted, elevated or moved, the title sheet of the construction documents</w:t>
            </w:r>
            <w:r w:rsidR="00586F3A">
              <w:t xml:space="preserve"> submitted to the Department of Buildings</w:t>
            </w:r>
            <w:r>
              <w:t xml:space="preserve"> </w:t>
            </w:r>
            <w:r w:rsidR="00586F3A">
              <w:t xml:space="preserve">must list such work and note that the work will </w:t>
            </w:r>
            <w:r w:rsidR="006B5AE6">
              <w:t>be</w:t>
            </w:r>
            <w:r w:rsidR="00B05352">
              <w:t xml:space="preserve"> </w:t>
            </w:r>
            <w:r>
              <w:t xml:space="preserve">subject to special inspection. </w:t>
            </w:r>
            <w:r w:rsidR="0095579E">
              <w:t>T</w:t>
            </w:r>
            <w:r>
              <w:t>he</w:t>
            </w:r>
            <w:r w:rsidR="00CB631C">
              <w:t xml:space="preserve"> permit holder must </w:t>
            </w:r>
            <w:r w:rsidR="0095579E">
              <w:t xml:space="preserve">also </w:t>
            </w:r>
            <w:r w:rsidR="00CB631C">
              <w:t>notify the D</w:t>
            </w:r>
            <w:r>
              <w:t>epartment</w:t>
            </w:r>
            <w:r w:rsidR="00CB631C">
              <w:t xml:space="preserve"> of Buildings</w:t>
            </w:r>
            <w:r>
              <w:t xml:space="preserve"> in writing at least 48 hours before commencement of such work. </w:t>
            </w:r>
          </w:p>
          <w:p w:rsidR="00656FD9" w:rsidRDefault="00656FD9" w:rsidP="002C33A2"/>
          <w:p w:rsidR="00656FD9" w:rsidRDefault="00656FD9" w:rsidP="002C33A2">
            <w:r>
              <w:t xml:space="preserve">This legislation also </w:t>
            </w:r>
            <w:r w:rsidR="009C3BF1">
              <w:t xml:space="preserve">amends the </w:t>
            </w:r>
            <w:r w:rsidR="00586F3A">
              <w:t xml:space="preserve">Building Code </w:t>
            </w:r>
            <w:r w:rsidR="0095579E">
              <w:t xml:space="preserve">to </w:t>
            </w:r>
            <w:r w:rsidR="00B92C1D">
              <w:t xml:space="preserve">require a periodic special inspection where the lowest above-grade floor or the lowest subgrade floor of a building is to be raised, lifted, elevated, or moved. </w:t>
            </w:r>
          </w:p>
          <w:p w:rsidR="00EE112D" w:rsidRPr="00911161" w:rsidRDefault="00911161" w:rsidP="00DF5AE6">
            <w:r>
              <w:t xml:space="preserve"> </w:t>
            </w:r>
          </w:p>
        </w:tc>
      </w:tr>
      <w:tr w:rsidR="00EE112D" w:rsidTr="00BA6E86">
        <w:trPr>
          <w:cantSplit/>
          <w:trHeight w:val="553"/>
          <w:jc w:val="center"/>
        </w:trPr>
        <w:tc>
          <w:tcPr>
            <w:tcW w:w="10809" w:type="dxa"/>
            <w:gridSpan w:val="2"/>
          </w:tcPr>
          <w:p w:rsidR="00EE112D" w:rsidRDefault="00EE112D" w:rsidP="009F3577">
            <w:pPr>
              <w:rPr>
                <w:b/>
                <w:bCs/>
                <w:smallCaps/>
                <w:sz w:val="22"/>
                <w:szCs w:val="22"/>
              </w:rPr>
            </w:pPr>
          </w:p>
          <w:p w:rsidR="00EE112D" w:rsidRPr="00ED74D9" w:rsidRDefault="00EE112D" w:rsidP="00B92C1D">
            <w:pPr>
              <w:rPr>
                <w:bCs/>
                <w:sz w:val="22"/>
                <w:szCs w:val="22"/>
              </w:rPr>
            </w:pPr>
            <w:r w:rsidRPr="002F72EF">
              <w:rPr>
                <w:b/>
                <w:bCs/>
                <w:smallCaps/>
                <w:sz w:val="22"/>
                <w:szCs w:val="22"/>
              </w:rPr>
              <w:t xml:space="preserve">Effective Date:  </w:t>
            </w:r>
            <w:r w:rsidR="00955EFC" w:rsidRPr="002F72EF">
              <w:t xml:space="preserve">This law would take effect </w:t>
            </w:r>
            <w:r w:rsidR="00B92C1D">
              <w:t xml:space="preserve">immediately. </w:t>
            </w:r>
            <w:r w:rsidR="001307E1">
              <w:t xml:space="preserve"> </w:t>
            </w:r>
            <w:r w:rsidR="002F72EF">
              <w:t xml:space="preserve"> </w:t>
            </w:r>
          </w:p>
        </w:tc>
      </w:tr>
      <w:tr w:rsidR="00EE112D" w:rsidTr="00BA6E86">
        <w:trPr>
          <w:cantSplit/>
          <w:trHeight w:val="553"/>
          <w:jc w:val="center"/>
        </w:trPr>
        <w:tc>
          <w:tcPr>
            <w:tcW w:w="10809" w:type="dxa"/>
            <w:gridSpan w:val="2"/>
            <w:tcBorders>
              <w:bottom w:val="single" w:sz="6" w:space="0" w:color="auto"/>
            </w:tcBorders>
          </w:tcPr>
          <w:p w:rsidR="00EE112D" w:rsidRDefault="00EE112D" w:rsidP="009F3577">
            <w:pPr>
              <w:rPr>
                <w:b/>
                <w:bCs/>
                <w:smallCaps/>
                <w:sz w:val="22"/>
                <w:szCs w:val="22"/>
              </w:rPr>
            </w:pPr>
          </w:p>
          <w:p w:rsidR="00EE112D" w:rsidRPr="00ED74D9" w:rsidRDefault="00EE112D" w:rsidP="009F3577">
            <w:pPr>
              <w:rPr>
                <w:bCs/>
                <w:sz w:val="22"/>
                <w:szCs w:val="22"/>
              </w:rPr>
            </w:pPr>
            <w:r w:rsidRPr="00ED74D9">
              <w:rPr>
                <w:b/>
                <w:bCs/>
                <w:smallCaps/>
                <w:sz w:val="22"/>
                <w:szCs w:val="22"/>
              </w:rPr>
              <w:t xml:space="preserve">Fiscal Year In Which Full Fiscal Impact Anticipated: </w:t>
            </w:r>
            <w:r>
              <w:rPr>
                <w:b/>
                <w:bCs/>
                <w:smallCaps/>
                <w:sz w:val="22"/>
                <w:szCs w:val="22"/>
              </w:rPr>
              <w:t xml:space="preserve"> </w:t>
            </w:r>
            <w:r w:rsidR="00955EFC">
              <w:t>Fiscal 2014</w:t>
            </w:r>
          </w:p>
        </w:tc>
      </w:tr>
      <w:tr w:rsidR="00EE112D" w:rsidTr="00BA6E86">
        <w:trPr>
          <w:cantSplit/>
          <w:jc w:val="center"/>
        </w:trPr>
        <w:tc>
          <w:tcPr>
            <w:tcW w:w="10809" w:type="dxa"/>
            <w:gridSpan w:val="2"/>
            <w:tcBorders>
              <w:top w:val="single" w:sz="6" w:space="0" w:color="auto"/>
            </w:tcBorders>
          </w:tcPr>
          <w:p w:rsidR="00EE112D" w:rsidRDefault="00EE112D" w:rsidP="009F3577">
            <w:r>
              <w:rPr>
                <w:b/>
                <w:bCs/>
                <w:smallCaps/>
              </w:rPr>
              <w:t xml:space="preserve">Fiscal Impact Statement: </w:t>
            </w:r>
          </w:p>
          <w:tbl>
            <w:tblPr>
              <w:tblW w:w="0" w:type="auto"/>
              <w:jc w:val="center"/>
              <w:tblCellMar>
                <w:left w:w="141" w:type="dxa"/>
                <w:right w:w="141" w:type="dxa"/>
              </w:tblCellMar>
              <w:tblLook w:val="0000" w:firstRow="0" w:lastRow="0" w:firstColumn="0" w:lastColumn="0" w:noHBand="0" w:noVBand="0"/>
            </w:tblPr>
            <w:tblGrid>
              <w:gridCol w:w="1995"/>
              <w:gridCol w:w="1425"/>
              <w:gridCol w:w="2083"/>
              <w:gridCol w:w="1754"/>
            </w:tblGrid>
            <w:tr w:rsidR="00EE112D" w:rsidTr="009F3577">
              <w:trPr>
                <w:jc w:val="center"/>
              </w:trPr>
              <w:tc>
                <w:tcPr>
                  <w:tcW w:w="1995" w:type="dxa"/>
                  <w:tcBorders>
                    <w:top w:val="double" w:sz="7" w:space="0" w:color="000000"/>
                    <w:left w:val="double" w:sz="7" w:space="0" w:color="000000"/>
                    <w:bottom w:val="single" w:sz="6" w:space="0" w:color="FFFFFF"/>
                    <w:right w:val="single" w:sz="6" w:space="0" w:color="FFFFFF"/>
                  </w:tcBorders>
                </w:tcPr>
                <w:p w:rsidR="00EE112D" w:rsidRPr="00542556" w:rsidRDefault="00EE112D" w:rsidP="009F3577">
                  <w:pPr>
                    <w:spacing w:line="201" w:lineRule="exact"/>
                    <w:jc w:val="center"/>
                    <w:rPr>
                      <w:sz w:val="18"/>
                      <w:szCs w:val="18"/>
                    </w:rPr>
                  </w:pPr>
                </w:p>
                <w:p w:rsidR="00EE112D" w:rsidRPr="00542556" w:rsidRDefault="00EE112D" w:rsidP="009F3577">
                  <w:pPr>
                    <w:jc w:val="center"/>
                    <w:rPr>
                      <w:b/>
                      <w:bCs/>
                      <w:sz w:val="18"/>
                      <w:szCs w:val="18"/>
                    </w:rPr>
                  </w:pPr>
                </w:p>
              </w:tc>
              <w:tc>
                <w:tcPr>
                  <w:tcW w:w="1425" w:type="dxa"/>
                  <w:tcBorders>
                    <w:top w:val="double" w:sz="7" w:space="0" w:color="000000"/>
                    <w:left w:val="single" w:sz="7" w:space="0" w:color="000000"/>
                    <w:bottom w:val="single" w:sz="6" w:space="0" w:color="FFFFFF"/>
                    <w:right w:val="single" w:sz="6" w:space="0" w:color="FFFFFF"/>
                  </w:tcBorders>
                </w:tcPr>
                <w:p w:rsidR="00EE112D" w:rsidRPr="00542556" w:rsidRDefault="00EE112D" w:rsidP="009F3577">
                  <w:pPr>
                    <w:jc w:val="center"/>
                    <w:rPr>
                      <w:b/>
                      <w:bCs/>
                      <w:sz w:val="18"/>
                      <w:szCs w:val="18"/>
                    </w:rPr>
                  </w:pPr>
                  <w:r w:rsidRPr="00542556">
                    <w:rPr>
                      <w:b/>
                      <w:bCs/>
                      <w:sz w:val="18"/>
                      <w:szCs w:val="18"/>
                    </w:rPr>
                    <w:t>Effective FY1</w:t>
                  </w:r>
                  <w:r w:rsidR="006D6E16">
                    <w:rPr>
                      <w:b/>
                      <w:bCs/>
                      <w:sz w:val="18"/>
                      <w:szCs w:val="18"/>
                    </w:rPr>
                    <w:t>3</w:t>
                  </w:r>
                </w:p>
              </w:tc>
              <w:tc>
                <w:tcPr>
                  <w:tcW w:w="2083" w:type="dxa"/>
                  <w:tcBorders>
                    <w:top w:val="double" w:sz="7" w:space="0" w:color="000000"/>
                    <w:left w:val="single" w:sz="7" w:space="0" w:color="000000"/>
                    <w:bottom w:val="single" w:sz="6" w:space="0" w:color="FFFFFF"/>
                    <w:right w:val="single" w:sz="6" w:space="0" w:color="FFFFFF"/>
                  </w:tcBorders>
                </w:tcPr>
                <w:p w:rsidR="00EE112D" w:rsidRPr="00542556" w:rsidRDefault="00EE112D" w:rsidP="009F3577">
                  <w:pPr>
                    <w:jc w:val="center"/>
                    <w:rPr>
                      <w:b/>
                      <w:bCs/>
                      <w:sz w:val="18"/>
                      <w:szCs w:val="18"/>
                    </w:rPr>
                  </w:pPr>
                  <w:r w:rsidRPr="00542556">
                    <w:rPr>
                      <w:b/>
                      <w:bCs/>
                      <w:sz w:val="18"/>
                      <w:szCs w:val="18"/>
                    </w:rPr>
                    <w:t>FY Succeeding</w:t>
                  </w:r>
                </w:p>
                <w:p w:rsidR="00EE112D" w:rsidRPr="00542556" w:rsidRDefault="00EE112D" w:rsidP="009F3577">
                  <w:pPr>
                    <w:jc w:val="center"/>
                    <w:rPr>
                      <w:b/>
                      <w:bCs/>
                      <w:sz w:val="18"/>
                      <w:szCs w:val="18"/>
                    </w:rPr>
                  </w:pPr>
                  <w:r w:rsidRPr="00542556">
                    <w:rPr>
                      <w:b/>
                      <w:bCs/>
                      <w:sz w:val="18"/>
                      <w:szCs w:val="18"/>
                    </w:rPr>
                    <w:t>Effective FY1</w:t>
                  </w:r>
                  <w:r w:rsidR="006D6E16">
                    <w:rPr>
                      <w:b/>
                      <w:bCs/>
                      <w:sz w:val="18"/>
                      <w:szCs w:val="18"/>
                    </w:rPr>
                    <w:t>4</w:t>
                  </w:r>
                </w:p>
              </w:tc>
              <w:tc>
                <w:tcPr>
                  <w:tcW w:w="1754" w:type="dxa"/>
                  <w:tcBorders>
                    <w:top w:val="double" w:sz="7" w:space="0" w:color="000000"/>
                    <w:left w:val="single" w:sz="7" w:space="0" w:color="000000"/>
                    <w:bottom w:val="single" w:sz="6" w:space="0" w:color="FFFFFF"/>
                    <w:right w:val="double" w:sz="7" w:space="0" w:color="000000"/>
                  </w:tcBorders>
                </w:tcPr>
                <w:p w:rsidR="00EE112D" w:rsidRPr="00542556" w:rsidRDefault="00EE112D" w:rsidP="009F3577">
                  <w:pPr>
                    <w:jc w:val="center"/>
                    <w:rPr>
                      <w:b/>
                      <w:bCs/>
                      <w:sz w:val="18"/>
                      <w:szCs w:val="18"/>
                    </w:rPr>
                  </w:pPr>
                  <w:r w:rsidRPr="00542556">
                    <w:rPr>
                      <w:b/>
                      <w:bCs/>
                      <w:sz w:val="18"/>
                      <w:szCs w:val="18"/>
                    </w:rPr>
                    <w:t>Full Fiscal</w:t>
                  </w:r>
                </w:p>
                <w:p w:rsidR="00EE112D" w:rsidRPr="00542556" w:rsidRDefault="00EE112D" w:rsidP="009F3577">
                  <w:pPr>
                    <w:pStyle w:val="Heading1"/>
                    <w:rPr>
                      <w:sz w:val="18"/>
                      <w:szCs w:val="18"/>
                    </w:rPr>
                  </w:pPr>
                  <w:r w:rsidRPr="00542556">
                    <w:rPr>
                      <w:sz w:val="18"/>
                      <w:szCs w:val="18"/>
                    </w:rPr>
                    <w:t>Impact FY1</w:t>
                  </w:r>
                  <w:r w:rsidR="00955EFC">
                    <w:rPr>
                      <w:sz w:val="18"/>
                      <w:szCs w:val="18"/>
                    </w:rPr>
                    <w:t>4</w:t>
                  </w:r>
                </w:p>
              </w:tc>
            </w:tr>
            <w:tr w:rsidR="00EE112D" w:rsidTr="009F3577">
              <w:trPr>
                <w:jc w:val="center"/>
              </w:trPr>
              <w:tc>
                <w:tcPr>
                  <w:tcW w:w="1995" w:type="dxa"/>
                  <w:tcBorders>
                    <w:top w:val="single" w:sz="7" w:space="0" w:color="000000"/>
                    <w:left w:val="double" w:sz="7" w:space="0" w:color="000000"/>
                    <w:bottom w:val="single" w:sz="6" w:space="0" w:color="FFFFFF"/>
                    <w:right w:val="single" w:sz="6" w:space="0" w:color="FFFFFF"/>
                  </w:tcBorders>
                </w:tcPr>
                <w:p w:rsidR="00EE112D" w:rsidRPr="00542556" w:rsidRDefault="00EE112D" w:rsidP="009F3577">
                  <w:pPr>
                    <w:spacing w:line="163" w:lineRule="exact"/>
                    <w:jc w:val="center"/>
                    <w:rPr>
                      <w:b/>
                      <w:bCs/>
                      <w:sz w:val="18"/>
                      <w:szCs w:val="18"/>
                    </w:rPr>
                  </w:pPr>
                </w:p>
                <w:p w:rsidR="00EE112D" w:rsidRPr="00542556" w:rsidRDefault="00EE112D" w:rsidP="009F3577">
                  <w:pPr>
                    <w:jc w:val="center"/>
                    <w:rPr>
                      <w:b/>
                      <w:bCs/>
                      <w:sz w:val="18"/>
                      <w:szCs w:val="18"/>
                    </w:rPr>
                  </w:pPr>
                  <w:r w:rsidRPr="00542556">
                    <w:rPr>
                      <w:b/>
                      <w:bCs/>
                      <w:sz w:val="18"/>
                      <w:szCs w:val="18"/>
                    </w:rPr>
                    <w:t>Revenues (+)</w:t>
                  </w:r>
                </w:p>
              </w:tc>
              <w:tc>
                <w:tcPr>
                  <w:tcW w:w="1425" w:type="dxa"/>
                  <w:tcBorders>
                    <w:top w:val="single" w:sz="7" w:space="0" w:color="000000"/>
                    <w:left w:val="single" w:sz="7" w:space="0" w:color="000000"/>
                    <w:bottom w:val="single" w:sz="6" w:space="0" w:color="FFFFFF"/>
                    <w:right w:val="single" w:sz="6" w:space="0" w:color="FFFFFF"/>
                  </w:tcBorders>
                  <w:vAlign w:val="center"/>
                </w:tcPr>
                <w:p w:rsidR="00EE112D" w:rsidRPr="00542556" w:rsidRDefault="00955EFC" w:rsidP="009F3577">
                  <w:pPr>
                    <w:jc w:val="center"/>
                    <w:rPr>
                      <w:b/>
                      <w:bCs/>
                      <w:sz w:val="18"/>
                      <w:szCs w:val="18"/>
                    </w:rPr>
                  </w:pPr>
                  <w:r>
                    <w:rPr>
                      <w:b/>
                      <w:bCs/>
                      <w:sz w:val="18"/>
                      <w:szCs w:val="18"/>
                    </w:rPr>
                    <w:t>$0</w:t>
                  </w:r>
                </w:p>
              </w:tc>
              <w:tc>
                <w:tcPr>
                  <w:tcW w:w="2083" w:type="dxa"/>
                  <w:tcBorders>
                    <w:top w:val="single" w:sz="7" w:space="0" w:color="000000"/>
                    <w:left w:val="single" w:sz="7" w:space="0" w:color="000000"/>
                    <w:bottom w:val="single" w:sz="6" w:space="0" w:color="FFFFFF"/>
                    <w:right w:val="single" w:sz="6" w:space="0" w:color="FFFFFF"/>
                  </w:tcBorders>
                  <w:vAlign w:val="center"/>
                </w:tcPr>
                <w:p w:rsidR="00EE112D" w:rsidRDefault="00955EFC" w:rsidP="009F3577">
                  <w:pPr>
                    <w:jc w:val="center"/>
                  </w:pPr>
                  <w:r>
                    <w:rPr>
                      <w:b/>
                      <w:bCs/>
                      <w:sz w:val="18"/>
                      <w:szCs w:val="18"/>
                    </w:rPr>
                    <w:t>$0</w:t>
                  </w:r>
                </w:p>
              </w:tc>
              <w:tc>
                <w:tcPr>
                  <w:tcW w:w="1754" w:type="dxa"/>
                  <w:tcBorders>
                    <w:top w:val="single" w:sz="7" w:space="0" w:color="000000"/>
                    <w:left w:val="single" w:sz="7" w:space="0" w:color="000000"/>
                    <w:bottom w:val="single" w:sz="6" w:space="0" w:color="FFFFFF"/>
                    <w:right w:val="double" w:sz="7" w:space="0" w:color="000000"/>
                  </w:tcBorders>
                  <w:vAlign w:val="center"/>
                </w:tcPr>
                <w:p w:rsidR="00EE112D" w:rsidRDefault="00955EFC" w:rsidP="009F3577">
                  <w:pPr>
                    <w:jc w:val="center"/>
                  </w:pPr>
                  <w:r>
                    <w:rPr>
                      <w:b/>
                      <w:bCs/>
                      <w:sz w:val="18"/>
                      <w:szCs w:val="18"/>
                    </w:rPr>
                    <w:t>$0</w:t>
                  </w:r>
                </w:p>
              </w:tc>
            </w:tr>
            <w:tr w:rsidR="00EE112D" w:rsidTr="009F3577">
              <w:trPr>
                <w:jc w:val="center"/>
              </w:trPr>
              <w:tc>
                <w:tcPr>
                  <w:tcW w:w="1995" w:type="dxa"/>
                  <w:tcBorders>
                    <w:top w:val="single" w:sz="7" w:space="0" w:color="000000"/>
                    <w:left w:val="double" w:sz="7" w:space="0" w:color="000000"/>
                    <w:bottom w:val="single" w:sz="6" w:space="0" w:color="FFFFFF"/>
                    <w:right w:val="single" w:sz="6" w:space="0" w:color="FFFFFF"/>
                  </w:tcBorders>
                </w:tcPr>
                <w:p w:rsidR="00EE112D" w:rsidRPr="00542556" w:rsidRDefault="00EE112D" w:rsidP="009F3577">
                  <w:pPr>
                    <w:spacing w:line="163" w:lineRule="exact"/>
                    <w:jc w:val="center"/>
                    <w:rPr>
                      <w:b/>
                      <w:bCs/>
                      <w:sz w:val="18"/>
                      <w:szCs w:val="18"/>
                    </w:rPr>
                  </w:pPr>
                </w:p>
                <w:p w:rsidR="00EE112D" w:rsidRPr="00542556" w:rsidRDefault="00EE112D" w:rsidP="009F3577">
                  <w:pPr>
                    <w:jc w:val="center"/>
                    <w:rPr>
                      <w:b/>
                      <w:bCs/>
                      <w:sz w:val="18"/>
                      <w:szCs w:val="18"/>
                    </w:rPr>
                  </w:pPr>
                  <w:r w:rsidRPr="00542556">
                    <w:rPr>
                      <w:b/>
                      <w:bCs/>
                      <w:sz w:val="18"/>
                      <w:szCs w:val="18"/>
                    </w:rPr>
                    <w:t xml:space="preserve">Expenditures (-) </w:t>
                  </w:r>
                </w:p>
              </w:tc>
              <w:tc>
                <w:tcPr>
                  <w:tcW w:w="1425" w:type="dxa"/>
                  <w:tcBorders>
                    <w:top w:val="single" w:sz="7" w:space="0" w:color="000000"/>
                    <w:left w:val="single" w:sz="7" w:space="0" w:color="000000"/>
                    <w:bottom w:val="single" w:sz="6" w:space="0" w:color="FFFFFF"/>
                    <w:right w:val="single" w:sz="6" w:space="0" w:color="FFFFFF"/>
                  </w:tcBorders>
                  <w:vAlign w:val="center"/>
                </w:tcPr>
                <w:p w:rsidR="00EE112D" w:rsidRDefault="00955EFC" w:rsidP="009F3577">
                  <w:pPr>
                    <w:jc w:val="center"/>
                  </w:pPr>
                  <w:r>
                    <w:rPr>
                      <w:b/>
                      <w:bCs/>
                      <w:sz w:val="18"/>
                      <w:szCs w:val="18"/>
                    </w:rPr>
                    <w:t>$0</w:t>
                  </w:r>
                </w:p>
              </w:tc>
              <w:tc>
                <w:tcPr>
                  <w:tcW w:w="2083" w:type="dxa"/>
                  <w:tcBorders>
                    <w:top w:val="single" w:sz="7" w:space="0" w:color="000000"/>
                    <w:left w:val="single" w:sz="7" w:space="0" w:color="000000"/>
                    <w:bottom w:val="single" w:sz="6" w:space="0" w:color="FFFFFF"/>
                    <w:right w:val="single" w:sz="6" w:space="0" w:color="FFFFFF"/>
                  </w:tcBorders>
                  <w:vAlign w:val="center"/>
                </w:tcPr>
                <w:p w:rsidR="00EE112D" w:rsidRDefault="00955EFC" w:rsidP="009F3577">
                  <w:pPr>
                    <w:jc w:val="center"/>
                  </w:pPr>
                  <w:r>
                    <w:rPr>
                      <w:b/>
                      <w:bCs/>
                      <w:sz w:val="18"/>
                      <w:szCs w:val="18"/>
                    </w:rPr>
                    <w:t>$0</w:t>
                  </w:r>
                </w:p>
              </w:tc>
              <w:tc>
                <w:tcPr>
                  <w:tcW w:w="1754" w:type="dxa"/>
                  <w:tcBorders>
                    <w:top w:val="single" w:sz="7" w:space="0" w:color="000000"/>
                    <w:left w:val="single" w:sz="7" w:space="0" w:color="000000"/>
                    <w:bottom w:val="single" w:sz="6" w:space="0" w:color="FFFFFF"/>
                    <w:right w:val="double" w:sz="7" w:space="0" w:color="000000"/>
                  </w:tcBorders>
                  <w:vAlign w:val="center"/>
                </w:tcPr>
                <w:p w:rsidR="00EE112D" w:rsidRDefault="00955EFC" w:rsidP="009F3577">
                  <w:pPr>
                    <w:jc w:val="center"/>
                  </w:pPr>
                  <w:r>
                    <w:rPr>
                      <w:b/>
                      <w:bCs/>
                      <w:sz w:val="18"/>
                      <w:szCs w:val="18"/>
                    </w:rPr>
                    <w:t>$0</w:t>
                  </w:r>
                </w:p>
              </w:tc>
            </w:tr>
            <w:tr w:rsidR="00EE112D" w:rsidTr="009F3577">
              <w:trPr>
                <w:jc w:val="center"/>
              </w:trPr>
              <w:tc>
                <w:tcPr>
                  <w:tcW w:w="1995" w:type="dxa"/>
                  <w:tcBorders>
                    <w:top w:val="single" w:sz="7" w:space="0" w:color="000000"/>
                    <w:left w:val="double" w:sz="7" w:space="0" w:color="000000"/>
                    <w:bottom w:val="single" w:sz="7" w:space="0" w:color="000000"/>
                    <w:right w:val="single" w:sz="6" w:space="0" w:color="FFFFFF"/>
                  </w:tcBorders>
                </w:tcPr>
                <w:p w:rsidR="00EE112D" w:rsidRPr="00542556" w:rsidRDefault="00EE112D" w:rsidP="009F3577">
                  <w:pPr>
                    <w:spacing w:line="163" w:lineRule="exact"/>
                    <w:jc w:val="center"/>
                    <w:rPr>
                      <w:b/>
                      <w:bCs/>
                      <w:sz w:val="18"/>
                      <w:szCs w:val="18"/>
                    </w:rPr>
                  </w:pPr>
                </w:p>
                <w:p w:rsidR="00EE112D" w:rsidRPr="00542556" w:rsidRDefault="00EE112D" w:rsidP="009F3577">
                  <w:pPr>
                    <w:spacing w:after="58"/>
                    <w:jc w:val="center"/>
                    <w:rPr>
                      <w:b/>
                      <w:bCs/>
                      <w:sz w:val="18"/>
                      <w:szCs w:val="18"/>
                    </w:rPr>
                  </w:pPr>
                  <w:r w:rsidRPr="00542556">
                    <w:rPr>
                      <w:b/>
                      <w:bCs/>
                      <w:sz w:val="18"/>
                      <w:szCs w:val="18"/>
                    </w:rPr>
                    <w:t>Net</w:t>
                  </w:r>
                </w:p>
              </w:tc>
              <w:tc>
                <w:tcPr>
                  <w:tcW w:w="1425" w:type="dxa"/>
                  <w:tcBorders>
                    <w:top w:val="single" w:sz="7" w:space="0" w:color="000000"/>
                    <w:left w:val="single" w:sz="7" w:space="0" w:color="000000"/>
                    <w:bottom w:val="single" w:sz="7" w:space="0" w:color="000000"/>
                    <w:right w:val="single" w:sz="6" w:space="0" w:color="FFFFFF"/>
                  </w:tcBorders>
                  <w:vAlign w:val="center"/>
                </w:tcPr>
                <w:p w:rsidR="00EE112D" w:rsidRDefault="00955EFC" w:rsidP="009F3577">
                  <w:pPr>
                    <w:jc w:val="center"/>
                  </w:pPr>
                  <w:r>
                    <w:rPr>
                      <w:b/>
                      <w:bCs/>
                      <w:sz w:val="18"/>
                      <w:szCs w:val="18"/>
                    </w:rPr>
                    <w:t>$0</w:t>
                  </w:r>
                </w:p>
              </w:tc>
              <w:tc>
                <w:tcPr>
                  <w:tcW w:w="2083" w:type="dxa"/>
                  <w:tcBorders>
                    <w:top w:val="single" w:sz="7" w:space="0" w:color="000000"/>
                    <w:left w:val="single" w:sz="7" w:space="0" w:color="000000"/>
                    <w:bottom w:val="single" w:sz="7" w:space="0" w:color="000000"/>
                    <w:right w:val="single" w:sz="6" w:space="0" w:color="FFFFFF"/>
                  </w:tcBorders>
                  <w:vAlign w:val="center"/>
                </w:tcPr>
                <w:p w:rsidR="00EE112D" w:rsidRDefault="00955EFC" w:rsidP="009F3577">
                  <w:pPr>
                    <w:jc w:val="center"/>
                  </w:pPr>
                  <w:r>
                    <w:rPr>
                      <w:b/>
                      <w:bCs/>
                      <w:sz w:val="18"/>
                      <w:szCs w:val="18"/>
                    </w:rPr>
                    <w:t>$0</w:t>
                  </w:r>
                </w:p>
              </w:tc>
              <w:tc>
                <w:tcPr>
                  <w:tcW w:w="1754" w:type="dxa"/>
                  <w:tcBorders>
                    <w:top w:val="single" w:sz="7" w:space="0" w:color="000000"/>
                    <w:left w:val="single" w:sz="7" w:space="0" w:color="000000"/>
                    <w:bottom w:val="single" w:sz="7" w:space="0" w:color="000000"/>
                    <w:right w:val="double" w:sz="7" w:space="0" w:color="000000"/>
                  </w:tcBorders>
                  <w:vAlign w:val="center"/>
                </w:tcPr>
                <w:p w:rsidR="00EE112D" w:rsidRDefault="00955EFC" w:rsidP="009F3577">
                  <w:pPr>
                    <w:jc w:val="center"/>
                  </w:pPr>
                  <w:r>
                    <w:rPr>
                      <w:b/>
                      <w:bCs/>
                      <w:sz w:val="18"/>
                      <w:szCs w:val="18"/>
                    </w:rPr>
                    <w:t>$0</w:t>
                  </w:r>
                </w:p>
              </w:tc>
            </w:tr>
          </w:tbl>
          <w:p w:rsidR="00EE112D" w:rsidRDefault="00EE112D" w:rsidP="009F3577"/>
        </w:tc>
      </w:tr>
      <w:tr w:rsidR="00EE112D" w:rsidTr="00BA6E86">
        <w:trPr>
          <w:jc w:val="center"/>
        </w:trPr>
        <w:tc>
          <w:tcPr>
            <w:tcW w:w="10809" w:type="dxa"/>
            <w:gridSpan w:val="2"/>
          </w:tcPr>
          <w:p w:rsidR="00EE112D" w:rsidRPr="00ED74D9" w:rsidRDefault="00EE112D" w:rsidP="009F3577">
            <w:pPr>
              <w:rPr>
                <w:b/>
                <w:bCs/>
                <w:smallCaps/>
                <w:sz w:val="22"/>
                <w:szCs w:val="22"/>
              </w:rPr>
            </w:pPr>
          </w:p>
          <w:p w:rsidR="00EE112D" w:rsidRPr="00ED74D9" w:rsidRDefault="00EE112D" w:rsidP="009F3577">
            <w:pPr>
              <w:rPr>
                <w:sz w:val="22"/>
                <w:szCs w:val="22"/>
              </w:rPr>
            </w:pPr>
            <w:r w:rsidRPr="00ED74D9">
              <w:rPr>
                <w:b/>
                <w:bCs/>
                <w:smallCaps/>
                <w:sz w:val="22"/>
                <w:szCs w:val="22"/>
              </w:rPr>
              <w:t>Impact on Revenues</w:t>
            </w:r>
            <w:r w:rsidRPr="00ED74D9">
              <w:rPr>
                <w:b/>
                <w:bCs/>
                <w:sz w:val="22"/>
                <w:szCs w:val="22"/>
              </w:rPr>
              <w:t>:</w:t>
            </w:r>
            <w:r w:rsidRPr="00ED74D9">
              <w:rPr>
                <w:sz w:val="22"/>
                <w:szCs w:val="22"/>
              </w:rPr>
              <w:t xml:space="preserve">  </w:t>
            </w:r>
            <w:r w:rsidR="00B51B8E">
              <w:rPr>
                <w:sz w:val="22"/>
                <w:szCs w:val="22"/>
              </w:rPr>
              <w:t>There will be no impact on revenues by the enactment of this legislation.</w:t>
            </w:r>
          </w:p>
          <w:p w:rsidR="00EE112D" w:rsidRPr="00ED74D9" w:rsidRDefault="00EE112D" w:rsidP="009F3577">
            <w:pPr>
              <w:rPr>
                <w:sz w:val="22"/>
                <w:szCs w:val="22"/>
              </w:rPr>
            </w:pPr>
          </w:p>
        </w:tc>
      </w:tr>
      <w:tr w:rsidR="00EE112D" w:rsidTr="00BA6E86">
        <w:trPr>
          <w:jc w:val="center"/>
        </w:trPr>
        <w:tc>
          <w:tcPr>
            <w:tcW w:w="10809" w:type="dxa"/>
            <w:gridSpan w:val="2"/>
          </w:tcPr>
          <w:p w:rsidR="00EE112D" w:rsidRPr="00ED74D9" w:rsidRDefault="00EE112D" w:rsidP="009F3577">
            <w:pPr>
              <w:rPr>
                <w:sz w:val="22"/>
                <w:szCs w:val="22"/>
              </w:rPr>
            </w:pPr>
            <w:r w:rsidRPr="00ED74D9">
              <w:rPr>
                <w:b/>
                <w:bCs/>
                <w:smallCaps/>
                <w:sz w:val="22"/>
                <w:szCs w:val="22"/>
              </w:rPr>
              <w:t>Impact on Expenditures</w:t>
            </w:r>
            <w:r w:rsidRPr="00ED74D9">
              <w:rPr>
                <w:b/>
                <w:bCs/>
                <w:sz w:val="22"/>
                <w:szCs w:val="22"/>
              </w:rPr>
              <w:t>:</w:t>
            </w:r>
            <w:r>
              <w:rPr>
                <w:sz w:val="22"/>
                <w:szCs w:val="22"/>
              </w:rPr>
              <w:t xml:space="preserve"> </w:t>
            </w:r>
            <w:r w:rsidRPr="00955EFC">
              <w:rPr>
                <w:sz w:val="22"/>
                <w:szCs w:val="22"/>
              </w:rPr>
              <w:t>There will be no impact on expenditures by the enactment of this legislation.</w:t>
            </w:r>
            <w:r w:rsidR="006D6E16">
              <w:rPr>
                <w:sz w:val="22"/>
                <w:szCs w:val="22"/>
              </w:rPr>
              <w:t xml:space="preserve"> </w:t>
            </w:r>
            <w:r w:rsidR="00E501E1">
              <w:rPr>
                <w:sz w:val="22"/>
                <w:szCs w:val="22"/>
              </w:rPr>
              <w:t>Education and outreach</w:t>
            </w:r>
            <w:r w:rsidR="006D6E16">
              <w:rPr>
                <w:sz w:val="22"/>
                <w:szCs w:val="22"/>
              </w:rPr>
              <w:t xml:space="preserve"> will be conducted by existing staff using existing resources.</w:t>
            </w:r>
            <w:r>
              <w:rPr>
                <w:sz w:val="22"/>
                <w:szCs w:val="22"/>
              </w:rPr>
              <w:t xml:space="preserve">  </w:t>
            </w:r>
          </w:p>
          <w:p w:rsidR="00EE112D" w:rsidRPr="00ED74D9" w:rsidRDefault="00EE112D" w:rsidP="009F3577">
            <w:pPr>
              <w:rPr>
                <w:sz w:val="22"/>
                <w:szCs w:val="22"/>
              </w:rPr>
            </w:pPr>
          </w:p>
        </w:tc>
      </w:tr>
      <w:tr w:rsidR="00EE112D" w:rsidTr="00BA6E86">
        <w:trPr>
          <w:jc w:val="center"/>
        </w:trPr>
        <w:tc>
          <w:tcPr>
            <w:tcW w:w="10809" w:type="dxa"/>
            <w:gridSpan w:val="2"/>
          </w:tcPr>
          <w:p w:rsidR="00EE112D" w:rsidRPr="00ED74D9" w:rsidRDefault="00EE112D" w:rsidP="009F3577">
            <w:pPr>
              <w:rPr>
                <w:sz w:val="22"/>
                <w:szCs w:val="22"/>
              </w:rPr>
            </w:pPr>
            <w:r w:rsidRPr="00ED74D9">
              <w:rPr>
                <w:b/>
                <w:bCs/>
                <w:smallCaps/>
                <w:sz w:val="22"/>
                <w:szCs w:val="22"/>
              </w:rPr>
              <w:t>Source of Funds To Cover Estimated Costs</w:t>
            </w:r>
            <w:r>
              <w:rPr>
                <w:b/>
                <w:bCs/>
                <w:sz w:val="22"/>
                <w:szCs w:val="22"/>
              </w:rPr>
              <w:t xml:space="preserve">: </w:t>
            </w:r>
            <w:r w:rsidRPr="00955EFC">
              <w:rPr>
                <w:bCs/>
                <w:sz w:val="22"/>
                <w:szCs w:val="22"/>
              </w:rPr>
              <w:t>N/A</w:t>
            </w:r>
          </w:p>
          <w:p w:rsidR="00EE112D" w:rsidRPr="00ED74D9" w:rsidRDefault="00EE112D" w:rsidP="009F3577">
            <w:pPr>
              <w:rPr>
                <w:sz w:val="22"/>
                <w:szCs w:val="22"/>
              </w:rPr>
            </w:pPr>
          </w:p>
        </w:tc>
      </w:tr>
      <w:tr w:rsidR="00EE112D" w:rsidTr="00BA6E86">
        <w:trPr>
          <w:trHeight w:val="693"/>
          <w:jc w:val="center"/>
        </w:trPr>
        <w:tc>
          <w:tcPr>
            <w:tcW w:w="10809" w:type="dxa"/>
            <w:gridSpan w:val="2"/>
          </w:tcPr>
          <w:p w:rsidR="00EE112D" w:rsidRPr="00ED74D9" w:rsidRDefault="00EE112D" w:rsidP="00DC69A2">
            <w:pPr>
              <w:rPr>
                <w:sz w:val="22"/>
                <w:szCs w:val="22"/>
              </w:rPr>
            </w:pPr>
            <w:r w:rsidRPr="00ED74D9">
              <w:rPr>
                <w:b/>
                <w:bCs/>
                <w:smallCaps/>
                <w:sz w:val="22"/>
                <w:szCs w:val="22"/>
              </w:rPr>
              <w:lastRenderedPageBreak/>
              <w:t>Source of Information</w:t>
            </w:r>
            <w:r w:rsidRPr="00ED74D9">
              <w:rPr>
                <w:b/>
                <w:bCs/>
                <w:sz w:val="22"/>
                <w:szCs w:val="22"/>
              </w:rPr>
              <w:t>:</w:t>
            </w:r>
            <w:r w:rsidR="000220F8">
              <w:rPr>
                <w:sz w:val="22"/>
                <w:szCs w:val="22"/>
              </w:rPr>
              <w:t xml:space="preserve"> </w:t>
            </w:r>
            <w:r w:rsidR="00DC69A2">
              <w:rPr>
                <w:sz w:val="22"/>
                <w:szCs w:val="22"/>
              </w:rPr>
              <w:t xml:space="preserve">Department of Consumer Affairs, Department of Buildings </w:t>
            </w:r>
          </w:p>
        </w:tc>
      </w:tr>
      <w:tr w:rsidR="00EE112D" w:rsidTr="00BA6E86">
        <w:trPr>
          <w:jc w:val="center"/>
        </w:trPr>
        <w:tc>
          <w:tcPr>
            <w:tcW w:w="10809" w:type="dxa"/>
            <w:gridSpan w:val="2"/>
          </w:tcPr>
          <w:p w:rsidR="009543F4" w:rsidRDefault="009543F4" w:rsidP="009543F4">
            <w:pPr>
              <w:rPr>
                <w:smallCaps/>
                <w:sz w:val="22"/>
                <w:szCs w:val="22"/>
              </w:rPr>
            </w:pPr>
            <w:r w:rsidRPr="00ED74D9">
              <w:rPr>
                <w:b/>
                <w:bCs/>
                <w:smallCaps/>
                <w:sz w:val="22"/>
                <w:szCs w:val="22"/>
              </w:rPr>
              <w:t>Estimate Prepared By</w:t>
            </w:r>
            <w:r w:rsidRPr="00ED74D9">
              <w:rPr>
                <w:smallCaps/>
                <w:sz w:val="22"/>
                <w:szCs w:val="22"/>
              </w:rPr>
              <w:t>:</w:t>
            </w:r>
            <w:r>
              <w:rPr>
                <w:smallCaps/>
                <w:sz w:val="22"/>
                <w:szCs w:val="22"/>
              </w:rPr>
              <w:t xml:space="preserve"> Amy Stokes, Legislative Financial Analyst</w:t>
            </w:r>
          </w:p>
          <w:p w:rsidR="009543F4" w:rsidRDefault="009543F4" w:rsidP="009543F4">
            <w:pPr>
              <w:rPr>
                <w:smallCaps/>
                <w:sz w:val="22"/>
                <w:szCs w:val="22"/>
              </w:rPr>
            </w:pPr>
          </w:p>
          <w:p w:rsidR="00ED79BE" w:rsidRDefault="009543F4" w:rsidP="009543F4">
            <w:pPr>
              <w:rPr>
                <w:smallCaps/>
                <w:sz w:val="22"/>
                <w:szCs w:val="22"/>
              </w:rPr>
            </w:pPr>
            <w:r>
              <w:rPr>
                <w:b/>
                <w:smallCaps/>
                <w:sz w:val="22"/>
                <w:szCs w:val="22"/>
              </w:rPr>
              <w:t>Estimate Reviewed By:</w:t>
            </w:r>
            <w:r>
              <w:rPr>
                <w:smallCaps/>
                <w:sz w:val="22"/>
                <w:szCs w:val="22"/>
              </w:rPr>
              <w:t xml:space="preserve">  Nathan Toth, Deputy Director and Tanisha Edwards, Finance Counsel</w:t>
            </w:r>
          </w:p>
          <w:p w:rsidR="009543F4" w:rsidRPr="00ED74D9" w:rsidRDefault="009543F4" w:rsidP="009543F4">
            <w:pPr>
              <w:rPr>
                <w:sz w:val="22"/>
                <w:szCs w:val="22"/>
              </w:rPr>
            </w:pPr>
          </w:p>
        </w:tc>
      </w:tr>
      <w:tr w:rsidR="00EE112D" w:rsidTr="00BA6E86">
        <w:trPr>
          <w:jc w:val="center"/>
        </w:trPr>
        <w:tc>
          <w:tcPr>
            <w:tcW w:w="10809" w:type="dxa"/>
            <w:gridSpan w:val="2"/>
          </w:tcPr>
          <w:p w:rsidR="0091002A" w:rsidRDefault="00EE112D" w:rsidP="0091002A">
            <w:pPr>
              <w:spacing w:before="120"/>
              <w:rPr>
                <w:b/>
                <w:smallCaps/>
                <w:sz w:val="22"/>
                <w:szCs w:val="22"/>
              </w:rPr>
            </w:pPr>
            <w:bookmarkStart w:id="0" w:name="_GoBack"/>
            <w:bookmarkEnd w:id="0"/>
            <w:r w:rsidRPr="001307E1">
              <w:rPr>
                <w:b/>
                <w:bCs/>
                <w:smallCaps/>
                <w:sz w:val="22"/>
                <w:szCs w:val="22"/>
              </w:rPr>
              <w:t>History</w:t>
            </w:r>
            <w:r w:rsidRPr="001307E1">
              <w:rPr>
                <w:b/>
                <w:bCs/>
                <w:sz w:val="22"/>
                <w:szCs w:val="22"/>
              </w:rPr>
              <w:t>:</w:t>
            </w:r>
            <w:r w:rsidRPr="001307E1">
              <w:rPr>
                <w:sz w:val="22"/>
                <w:szCs w:val="22"/>
              </w:rPr>
              <w:t xml:space="preserve">  </w:t>
            </w:r>
            <w:r w:rsidR="00B51B8E" w:rsidRPr="001307E1">
              <w:rPr>
                <w:sz w:val="22"/>
                <w:szCs w:val="22"/>
              </w:rPr>
              <w:t>Int</w:t>
            </w:r>
            <w:r w:rsidR="006158D5">
              <w:rPr>
                <w:sz w:val="22"/>
                <w:szCs w:val="22"/>
              </w:rPr>
              <w:t>.</w:t>
            </w:r>
            <w:r w:rsidR="0095579E">
              <w:rPr>
                <w:sz w:val="22"/>
                <w:szCs w:val="22"/>
              </w:rPr>
              <w:t xml:space="preserve"> No.</w:t>
            </w:r>
            <w:r w:rsidR="006158D5">
              <w:rPr>
                <w:sz w:val="22"/>
                <w:szCs w:val="22"/>
              </w:rPr>
              <w:t xml:space="preserve"> 1007</w:t>
            </w:r>
            <w:r w:rsidRPr="001307E1">
              <w:rPr>
                <w:sz w:val="22"/>
                <w:szCs w:val="22"/>
              </w:rPr>
              <w:t xml:space="preserve"> was introduced to the City Council and referred to the </w:t>
            </w:r>
            <w:r w:rsidR="00B51B8E" w:rsidRPr="001307E1">
              <w:rPr>
                <w:sz w:val="22"/>
                <w:szCs w:val="22"/>
              </w:rPr>
              <w:t>Committee o</w:t>
            </w:r>
            <w:r w:rsidR="00ED79BE" w:rsidRPr="001307E1">
              <w:rPr>
                <w:sz w:val="22"/>
                <w:szCs w:val="22"/>
              </w:rPr>
              <w:t>n</w:t>
            </w:r>
            <w:r w:rsidR="006158D5">
              <w:rPr>
                <w:sz w:val="22"/>
                <w:szCs w:val="22"/>
              </w:rPr>
              <w:t xml:space="preserve"> Housing and Buildings on February 27, 2013</w:t>
            </w:r>
            <w:r w:rsidRPr="001307E1">
              <w:rPr>
                <w:sz w:val="22"/>
                <w:szCs w:val="22"/>
              </w:rPr>
              <w:t xml:space="preserve">. </w:t>
            </w:r>
            <w:r w:rsidR="009543F4">
              <w:rPr>
                <w:sz w:val="22"/>
                <w:szCs w:val="22"/>
              </w:rPr>
              <w:t xml:space="preserve">The </w:t>
            </w:r>
            <w:r w:rsidR="006158D5">
              <w:rPr>
                <w:sz w:val="22"/>
                <w:szCs w:val="22"/>
              </w:rPr>
              <w:t xml:space="preserve">legislation has been amended and </w:t>
            </w:r>
            <w:r w:rsidR="00E501E1">
              <w:rPr>
                <w:sz w:val="22"/>
                <w:szCs w:val="22"/>
              </w:rPr>
              <w:t xml:space="preserve">was heard by the Committee on March 11, 2013. </w:t>
            </w:r>
            <w:r w:rsidR="006158D5">
              <w:rPr>
                <w:sz w:val="22"/>
                <w:szCs w:val="22"/>
              </w:rPr>
              <w:t>Proposed Int.</w:t>
            </w:r>
            <w:r w:rsidR="0095579E">
              <w:rPr>
                <w:sz w:val="22"/>
                <w:szCs w:val="22"/>
              </w:rPr>
              <w:t xml:space="preserve"> No.</w:t>
            </w:r>
            <w:r w:rsidR="006158D5">
              <w:rPr>
                <w:sz w:val="22"/>
                <w:szCs w:val="22"/>
              </w:rPr>
              <w:t xml:space="preserve"> 1007</w:t>
            </w:r>
            <w:r w:rsidR="009543F4">
              <w:rPr>
                <w:sz w:val="22"/>
                <w:szCs w:val="22"/>
              </w:rPr>
              <w:t xml:space="preserve">-A will be voted out of Committee on </w:t>
            </w:r>
            <w:r w:rsidR="006158D5">
              <w:rPr>
                <w:sz w:val="22"/>
                <w:szCs w:val="22"/>
              </w:rPr>
              <w:t>March 1</w:t>
            </w:r>
            <w:r w:rsidR="0095579E">
              <w:rPr>
                <w:sz w:val="22"/>
                <w:szCs w:val="22"/>
              </w:rPr>
              <w:t>3</w:t>
            </w:r>
            <w:r w:rsidR="006158D5">
              <w:rPr>
                <w:sz w:val="22"/>
                <w:szCs w:val="22"/>
              </w:rPr>
              <w:t xml:space="preserve">, 2013. </w:t>
            </w:r>
            <w:r w:rsidR="009543F4">
              <w:rPr>
                <w:sz w:val="22"/>
                <w:szCs w:val="22"/>
              </w:rPr>
              <w:t xml:space="preserve"> </w:t>
            </w:r>
          </w:p>
          <w:p w:rsidR="00EE112D" w:rsidRPr="0091002A" w:rsidRDefault="0091002A" w:rsidP="006158D5">
            <w:pPr>
              <w:spacing w:before="120"/>
              <w:rPr>
                <w:sz w:val="22"/>
                <w:szCs w:val="22"/>
              </w:rPr>
            </w:pPr>
            <w:r>
              <w:rPr>
                <w:b/>
                <w:smallCaps/>
                <w:sz w:val="22"/>
                <w:szCs w:val="22"/>
              </w:rPr>
              <w:t xml:space="preserve">Date Submitted to Council: </w:t>
            </w:r>
            <w:r w:rsidR="006158D5">
              <w:rPr>
                <w:sz w:val="22"/>
                <w:szCs w:val="22"/>
              </w:rPr>
              <w:t>February 27, 2013</w:t>
            </w:r>
          </w:p>
        </w:tc>
      </w:tr>
    </w:tbl>
    <w:p w:rsidR="00764A11" w:rsidRDefault="00F24ACE"/>
    <w:sectPr w:rsidR="00764A11" w:rsidSect="00121B3F">
      <w:footerReference w:type="default" r:id="rId9"/>
      <w:pgSz w:w="12240" w:h="15840"/>
      <w:pgMar w:top="576"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EC2" w:rsidRDefault="00955EFC">
      <w:r>
        <w:separator/>
      </w:r>
    </w:p>
  </w:endnote>
  <w:endnote w:type="continuationSeparator" w:id="0">
    <w:p w:rsidR="001D4EC2" w:rsidRDefault="0095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890" w:rsidRDefault="0095579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Proposed </w:t>
    </w:r>
    <w:r w:rsidR="006158D5">
      <w:rPr>
        <w:rFonts w:asciiTheme="majorHAnsi" w:eastAsiaTheme="majorEastAsia" w:hAnsiTheme="majorHAnsi" w:cstheme="majorBidi"/>
      </w:rPr>
      <w:t>Int.</w:t>
    </w:r>
    <w:r>
      <w:rPr>
        <w:rFonts w:asciiTheme="majorHAnsi" w:eastAsiaTheme="majorEastAsia" w:hAnsiTheme="majorHAnsi" w:cstheme="majorBidi"/>
      </w:rPr>
      <w:t xml:space="preserve"> No.</w:t>
    </w:r>
    <w:r w:rsidR="006158D5">
      <w:rPr>
        <w:rFonts w:asciiTheme="majorHAnsi" w:eastAsiaTheme="majorEastAsia" w:hAnsiTheme="majorHAnsi" w:cstheme="majorBidi"/>
      </w:rPr>
      <w:t xml:space="preserve"> 1007</w:t>
    </w:r>
    <w:r w:rsidR="00D93890">
      <w:rPr>
        <w:rFonts w:asciiTheme="majorHAnsi" w:eastAsiaTheme="majorEastAsia" w:hAnsiTheme="majorHAnsi" w:cstheme="majorBidi"/>
      </w:rPr>
      <w:t>-A</w:t>
    </w:r>
    <w:r w:rsidR="00D93890">
      <w:rPr>
        <w:rFonts w:asciiTheme="majorHAnsi" w:eastAsiaTheme="majorEastAsia" w:hAnsiTheme="majorHAnsi" w:cstheme="majorBidi"/>
      </w:rPr>
      <w:ptab w:relativeTo="margin" w:alignment="right" w:leader="none"/>
    </w:r>
    <w:r w:rsidR="00D93890">
      <w:rPr>
        <w:rFonts w:asciiTheme="majorHAnsi" w:eastAsiaTheme="majorEastAsia" w:hAnsiTheme="majorHAnsi" w:cstheme="majorBidi"/>
      </w:rPr>
      <w:t xml:space="preserve">Page </w:t>
    </w:r>
    <w:r w:rsidR="00D93890">
      <w:rPr>
        <w:rFonts w:asciiTheme="minorHAnsi" w:eastAsiaTheme="minorEastAsia" w:hAnsiTheme="minorHAnsi" w:cstheme="minorBidi"/>
      </w:rPr>
      <w:fldChar w:fldCharType="begin"/>
    </w:r>
    <w:r w:rsidR="00D93890">
      <w:instrText xml:space="preserve"> PAGE   \* MERGEFORMAT </w:instrText>
    </w:r>
    <w:r w:rsidR="00D93890">
      <w:rPr>
        <w:rFonts w:asciiTheme="minorHAnsi" w:eastAsiaTheme="minorEastAsia" w:hAnsiTheme="minorHAnsi" w:cstheme="minorBidi"/>
      </w:rPr>
      <w:fldChar w:fldCharType="separate"/>
    </w:r>
    <w:r w:rsidR="00F24ACE" w:rsidRPr="00F24ACE">
      <w:rPr>
        <w:rFonts w:asciiTheme="majorHAnsi" w:eastAsiaTheme="majorEastAsia" w:hAnsiTheme="majorHAnsi" w:cstheme="majorBidi"/>
        <w:noProof/>
      </w:rPr>
      <w:t>1</w:t>
    </w:r>
    <w:r w:rsidR="00D93890">
      <w:rPr>
        <w:rFonts w:asciiTheme="majorHAnsi" w:eastAsiaTheme="majorEastAsia" w:hAnsiTheme="majorHAnsi" w:cstheme="majorBidi"/>
        <w:noProof/>
      </w:rPr>
      <w:fldChar w:fldCharType="end"/>
    </w:r>
  </w:p>
  <w:p w:rsidR="006A4092" w:rsidRDefault="00F24ACE" w:rsidP="00D93890">
    <w:pPr>
      <w:pStyle w:val="Footer"/>
      <w:tabs>
        <w:tab w:val="left" w:pos="8520"/>
        <w:tab w:val="right" w:pos="10800"/>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EC2" w:rsidRDefault="00955EFC">
      <w:r>
        <w:separator/>
      </w:r>
    </w:p>
  </w:footnote>
  <w:footnote w:type="continuationSeparator" w:id="0">
    <w:p w:rsidR="001D4EC2" w:rsidRDefault="00955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12D"/>
    <w:rsid w:val="000220F8"/>
    <w:rsid w:val="000625B6"/>
    <w:rsid w:val="000826EE"/>
    <w:rsid w:val="001307E1"/>
    <w:rsid w:val="00190B55"/>
    <w:rsid w:val="001D4EC2"/>
    <w:rsid w:val="002347E7"/>
    <w:rsid w:val="002C33A2"/>
    <w:rsid w:val="002F72EF"/>
    <w:rsid w:val="00304565"/>
    <w:rsid w:val="00304FEB"/>
    <w:rsid w:val="0039138E"/>
    <w:rsid w:val="003A4FC8"/>
    <w:rsid w:val="003D5973"/>
    <w:rsid w:val="003E2F43"/>
    <w:rsid w:val="0044216B"/>
    <w:rsid w:val="00463079"/>
    <w:rsid w:val="00484388"/>
    <w:rsid w:val="004A3140"/>
    <w:rsid w:val="004B7672"/>
    <w:rsid w:val="0052456A"/>
    <w:rsid w:val="00572CA0"/>
    <w:rsid w:val="00586F3A"/>
    <w:rsid w:val="005B27B8"/>
    <w:rsid w:val="005C097B"/>
    <w:rsid w:val="006158D5"/>
    <w:rsid w:val="0063611D"/>
    <w:rsid w:val="00656FD9"/>
    <w:rsid w:val="006973E8"/>
    <w:rsid w:val="006B2639"/>
    <w:rsid w:val="006B5AE6"/>
    <w:rsid w:val="006D6E16"/>
    <w:rsid w:val="0071661D"/>
    <w:rsid w:val="007757E5"/>
    <w:rsid w:val="0091002A"/>
    <w:rsid w:val="00911161"/>
    <w:rsid w:val="009543F4"/>
    <w:rsid w:val="0095579E"/>
    <w:rsid w:val="00955EFC"/>
    <w:rsid w:val="009C3BF1"/>
    <w:rsid w:val="00A05055"/>
    <w:rsid w:val="00A07BCE"/>
    <w:rsid w:val="00A5312E"/>
    <w:rsid w:val="00A86C7A"/>
    <w:rsid w:val="00A93FFB"/>
    <w:rsid w:val="00AB1D28"/>
    <w:rsid w:val="00AE0F5A"/>
    <w:rsid w:val="00AE35CD"/>
    <w:rsid w:val="00B05352"/>
    <w:rsid w:val="00B20680"/>
    <w:rsid w:val="00B51B8E"/>
    <w:rsid w:val="00B64FDC"/>
    <w:rsid w:val="00B8485F"/>
    <w:rsid w:val="00B92C1D"/>
    <w:rsid w:val="00BA51A2"/>
    <w:rsid w:val="00BA6E86"/>
    <w:rsid w:val="00BE352D"/>
    <w:rsid w:val="00BF7540"/>
    <w:rsid w:val="00C73FBC"/>
    <w:rsid w:val="00CA049C"/>
    <w:rsid w:val="00CB631C"/>
    <w:rsid w:val="00D109EB"/>
    <w:rsid w:val="00D4208B"/>
    <w:rsid w:val="00D739DA"/>
    <w:rsid w:val="00D93890"/>
    <w:rsid w:val="00D939EC"/>
    <w:rsid w:val="00DC69A2"/>
    <w:rsid w:val="00DF5AE6"/>
    <w:rsid w:val="00E501E1"/>
    <w:rsid w:val="00E7115A"/>
    <w:rsid w:val="00E942CF"/>
    <w:rsid w:val="00ED79BE"/>
    <w:rsid w:val="00EE112D"/>
    <w:rsid w:val="00F24ACE"/>
    <w:rsid w:val="00F52FAD"/>
    <w:rsid w:val="00F64E3A"/>
    <w:rsid w:val="00F71872"/>
    <w:rsid w:val="00FC0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12D"/>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E112D"/>
    <w:pPr>
      <w:keepNext/>
      <w:jc w:val="center"/>
      <w:outlineLvl w:val="0"/>
    </w:pPr>
    <w:rPr>
      <w:b/>
      <w:bCs/>
      <w:szCs w:val="19"/>
    </w:rPr>
  </w:style>
  <w:style w:type="paragraph" w:styleId="Heading2">
    <w:name w:val="heading 2"/>
    <w:basedOn w:val="Normal"/>
    <w:next w:val="Normal"/>
    <w:link w:val="Heading2Char"/>
    <w:qFormat/>
    <w:rsid w:val="00EE112D"/>
    <w:pPr>
      <w:keepNext/>
      <w:outlineLvl w:val="1"/>
    </w:pPr>
    <w:rPr>
      <w:b/>
      <w:bCs/>
      <w:smallCap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112D"/>
    <w:rPr>
      <w:rFonts w:ascii="Times New Roman" w:eastAsia="Times New Roman" w:hAnsi="Times New Roman" w:cs="Times New Roman"/>
      <w:b/>
      <w:bCs/>
      <w:sz w:val="24"/>
      <w:szCs w:val="19"/>
    </w:rPr>
  </w:style>
  <w:style w:type="character" w:customStyle="1" w:styleId="Heading2Char">
    <w:name w:val="Heading 2 Char"/>
    <w:basedOn w:val="DefaultParagraphFont"/>
    <w:link w:val="Heading2"/>
    <w:rsid w:val="00EE112D"/>
    <w:rPr>
      <w:rFonts w:ascii="Times New Roman" w:eastAsia="Times New Roman" w:hAnsi="Times New Roman" w:cs="Times New Roman"/>
      <w:b/>
      <w:bCs/>
      <w:smallCaps/>
      <w:sz w:val="24"/>
      <w:szCs w:val="19"/>
    </w:rPr>
  </w:style>
  <w:style w:type="paragraph" w:styleId="Footer">
    <w:name w:val="footer"/>
    <w:basedOn w:val="Normal"/>
    <w:link w:val="FooterChar"/>
    <w:uiPriority w:val="99"/>
    <w:rsid w:val="00EE112D"/>
    <w:pPr>
      <w:tabs>
        <w:tab w:val="center" w:pos="4680"/>
        <w:tab w:val="right" w:pos="9360"/>
      </w:tabs>
    </w:pPr>
  </w:style>
  <w:style w:type="character" w:customStyle="1" w:styleId="FooterChar">
    <w:name w:val="Footer Char"/>
    <w:basedOn w:val="DefaultParagraphFont"/>
    <w:link w:val="Footer"/>
    <w:uiPriority w:val="99"/>
    <w:rsid w:val="00EE112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112D"/>
    <w:rPr>
      <w:rFonts w:ascii="Tahoma" w:hAnsi="Tahoma" w:cs="Tahoma"/>
      <w:sz w:val="16"/>
      <w:szCs w:val="16"/>
    </w:rPr>
  </w:style>
  <w:style w:type="character" w:customStyle="1" w:styleId="BalloonTextChar">
    <w:name w:val="Balloon Text Char"/>
    <w:basedOn w:val="DefaultParagraphFont"/>
    <w:link w:val="BalloonText"/>
    <w:uiPriority w:val="99"/>
    <w:semiHidden/>
    <w:rsid w:val="00EE112D"/>
    <w:rPr>
      <w:rFonts w:ascii="Tahoma" w:eastAsia="Times New Roman" w:hAnsi="Tahoma" w:cs="Tahoma"/>
      <w:sz w:val="16"/>
      <w:szCs w:val="16"/>
    </w:rPr>
  </w:style>
  <w:style w:type="paragraph" w:styleId="Header">
    <w:name w:val="header"/>
    <w:basedOn w:val="Normal"/>
    <w:link w:val="HeaderChar"/>
    <w:uiPriority w:val="99"/>
    <w:unhideWhenUsed/>
    <w:rsid w:val="00D93890"/>
    <w:pPr>
      <w:tabs>
        <w:tab w:val="center" w:pos="4680"/>
        <w:tab w:val="right" w:pos="9360"/>
      </w:tabs>
    </w:pPr>
  </w:style>
  <w:style w:type="character" w:customStyle="1" w:styleId="HeaderChar">
    <w:name w:val="Header Char"/>
    <w:basedOn w:val="DefaultParagraphFont"/>
    <w:link w:val="Header"/>
    <w:uiPriority w:val="99"/>
    <w:rsid w:val="00D9389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12D"/>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E112D"/>
    <w:pPr>
      <w:keepNext/>
      <w:jc w:val="center"/>
      <w:outlineLvl w:val="0"/>
    </w:pPr>
    <w:rPr>
      <w:b/>
      <w:bCs/>
      <w:szCs w:val="19"/>
    </w:rPr>
  </w:style>
  <w:style w:type="paragraph" w:styleId="Heading2">
    <w:name w:val="heading 2"/>
    <w:basedOn w:val="Normal"/>
    <w:next w:val="Normal"/>
    <w:link w:val="Heading2Char"/>
    <w:qFormat/>
    <w:rsid w:val="00EE112D"/>
    <w:pPr>
      <w:keepNext/>
      <w:outlineLvl w:val="1"/>
    </w:pPr>
    <w:rPr>
      <w:b/>
      <w:bCs/>
      <w:smallCap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112D"/>
    <w:rPr>
      <w:rFonts w:ascii="Times New Roman" w:eastAsia="Times New Roman" w:hAnsi="Times New Roman" w:cs="Times New Roman"/>
      <w:b/>
      <w:bCs/>
      <w:sz w:val="24"/>
      <w:szCs w:val="19"/>
    </w:rPr>
  </w:style>
  <w:style w:type="character" w:customStyle="1" w:styleId="Heading2Char">
    <w:name w:val="Heading 2 Char"/>
    <w:basedOn w:val="DefaultParagraphFont"/>
    <w:link w:val="Heading2"/>
    <w:rsid w:val="00EE112D"/>
    <w:rPr>
      <w:rFonts w:ascii="Times New Roman" w:eastAsia="Times New Roman" w:hAnsi="Times New Roman" w:cs="Times New Roman"/>
      <w:b/>
      <w:bCs/>
      <w:smallCaps/>
      <w:sz w:val="24"/>
      <w:szCs w:val="19"/>
    </w:rPr>
  </w:style>
  <w:style w:type="paragraph" w:styleId="Footer">
    <w:name w:val="footer"/>
    <w:basedOn w:val="Normal"/>
    <w:link w:val="FooterChar"/>
    <w:uiPriority w:val="99"/>
    <w:rsid w:val="00EE112D"/>
    <w:pPr>
      <w:tabs>
        <w:tab w:val="center" w:pos="4680"/>
        <w:tab w:val="right" w:pos="9360"/>
      </w:tabs>
    </w:pPr>
  </w:style>
  <w:style w:type="character" w:customStyle="1" w:styleId="FooterChar">
    <w:name w:val="Footer Char"/>
    <w:basedOn w:val="DefaultParagraphFont"/>
    <w:link w:val="Footer"/>
    <w:uiPriority w:val="99"/>
    <w:rsid w:val="00EE112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112D"/>
    <w:rPr>
      <w:rFonts w:ascii="Tahoma" w:hAnsi="Tahoma" w:cs="Tahoma"/>
      <w:sz w:val="16"/>
      <w:szCs w:val="16"/>
    </w:rPr>
  </w:style>
  <w:style w:type="character" w:customStyle="1" w:styleId="BalloonTextChar">
    <w:name w:val="Balloon Text Char"/>
    <w:basedOn w:val="DefaultParagraphFont"/>
    <w:link w:val="BalloonText"/>
    <w:uiPriority w:val="99"/>
    <w:semiHidden/>
    <w:rsid w:val="00EE112D"/>
    <w:rPr>
      <w:rFonts w:ascii="Tahoma" w:eastAsia="Times New Roman" w:hAnsi="Tahoma" w:cs="Tahoma"/>
      <w:sz w:val="16"/>
      <w:szCs w:val="16"/>
    </w:rPr>
  </w:style>
  <w:style w:type="paragraph" w:styleId="Header">
    <w:name w:val="header"/>
    <w:basedOn w:val="Normal"/>
    <w:link w:val="HeaderChar"/>
    <w:uiPriority w:val="99"/>
    <w:unhideWhenUsed/>
    <w:rsid w:val="00D93890"/>
    <w:pPr>
      <w:tabs>
        <w:tab w:val="center" w:pos="4680"/>
        <w:tab w:val="right" w:pos="9360"/>
      </w:tabs>
    </w:pPr>
  </w:style>
  <w:style w:type="character" w:customStyle="1" w:styleId="HeaderChar">
    <w:name w:val="Header Char"/>
    <w:basedOn w:val="DefaultParagraphFont"/>
    <w:link w:val="Header"/>
    <w:uiPriority w:val="99"/>
    <w:rsid w:val="00D9389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14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745D4-4C15-43BF-A5DA-45973786C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Stokes, Amy</dc:creator>
  <cp:lastModifiedBy>Stokes, Amy</cp:lastModifiedBy>
  <cp:revision>2</cp:revision>
  <dcterms:created xsi:type="dcterms:W3CDTF">2013-03-11T15:59:00Z</dcterms:created>
  <dcterms:modified xsi:type="dcterms:W3CDTF">2013-03-11T15:59:00Z</dcterms:modified>
</cp:coreProperties>
</file>