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F34C" w14:textId="77777777" w:rsidR="00D9685D" w:rsidRPr="009D17E5" w:rsidRDefault="00D9685D" w:rsidP="00D9685D">
      <w:pPr>
        <w:suppressLineNumbers/>
        <w:tabs>
          <w:tab w:val="left" w:pos="4680"/>
        </w:tabs>
        <w:jc w:val="right"/>
        <w:rPr>
          <w:sz w:val="20"/>
          <w:szCs w:val="20"/>
          <w:u w:val="single"/>
        </w:rPr>
      </w:pPr>
      <w:bookmarkStart w:id="0" w:name="_GoBack"/>
      <w:bookmarkEnd w:id="0"/>
      <w:r w:rsidRPr="009D17E5">
        <w:rPr>
          <w:sz w:val="20"/>
          <w:szCs w:val="20"/>
          <w:u w:val="single"/>
        </w:rPr>
        <w:t>Civil Service &amp; Labor</w:t>
      </w:r>
      <w:r>
        <w:rPr>
          <w:sz w:val="20"/>
          <w:szCs w:val="20"/>
          <w:u w:val="single"/>
        </w:rPr>
        <w:t xml:space="preserve"> Committee Staff</w:t>
      </w:r>
    </w:p>
    <w:p w14:paraId="758DD8EB" w14:textId="05D85AC7" w:rsidR="000C306F" w:rsidRPr="00E82B8C" w:rsidRDefault="000C306F" w:rsidP="00D9685D">
      <w:pPr>
        <w:tabs>
          <w:tab w:val="left" w:pos="0"/>
        </w:tabs>
        <w:jc w:val="right"/>
        <w:rPr>
          <w:i/>
          <w:iCs/>
          <w:sz w:val="20"/>
          <w:szCs w:val="20"/>
        </w:rPr>
      </w:pPr>
      <w:r>
        <w:rPr>
          <w:sz w:val="20"/>
          <w:szCs w:val="20"/>
        </w:rPr>
        <w:t xml:space="preserve">Rie Ogasawara, </w:t>
      </w:r>
      <w:r w:rsidRPr="00E82B8C">
        <w:rPr>
          <w:i/>
          <w:iCs/>
          <w:sz w:val="20"/>
          <w:szCs w:val="20"/>
        </w:rPr>
        <w:t xml:space="preserve">Legislative </w:t>
      </w:r>
      <w:r w:rsidR="0095115E">
        <w:rPr>
          <w:i/>
          <w:iCs/>
          <w:sz w:val="20"/>
          <w:szCs w:val="20"/>
        </w:rPr>
        <w:t>Policy Analyst</w:t>
      </w:r>
    </w:p>
    <w:p w14:paraId="26DF0377" w14:textId="5837F3B9" w:rsidR="00D9685D" w:rsidRPr="0035139F" w:rsidRDefault="00D9685D" w:rsidP="00D9685D">
      <w:pPr>
        <w:tabs>
          <w:tab w:val="left" w:pos="0"/>
        </w:tabs>
        <w:jc w:val="right"/>
        <w:rPr>
          <w:sz w:val="20"/>
          <w:szCs w:val="20"/>
        </w:rPr>
      </w:pPr>
      <w:r w:rsidRPr="009D17E5">
        <w:rPr>
          <w:sz w:val="20"/>
          <w:szCs w:val="20"/>
        </w:rPr>
        <w:t xml:space="preserve">Elizabeth Arzt, </w:t>
      </w:r>
      <w:r w:rsidRPr="009D17E5">
        <w:rPr>
          <w:i/>
          <w:color w:val="000000"/>
          <w:sz w:val="20"/>
          <w:szCs w:val="20"/>
        </w:rPr>
        <w:t>Legislative Policy Analyst</w:t>
      </w:r>
      <w:r>
        <w:rPr>
          <w:noProof/>
        </w:rPr>
        <w:drawing>
          <wp:anchor distT="0" distB="0" distL="114300" distR="114300" simplePos="0" relativeHeight="251659264" behindDoc="0" locked="0" layoutInCell="1" allowOverlap="1" wp14:anchorId="3F46EDA8" wp14:editId="1F180FEA">
            <wp:simplePos x="0" y="0"/>
            <wp:positionH relativeFrom="column">
              <wp:posOffset>2336800</wp:posOffset>
            </wp:positionH>
            <wp:positionV relativeFrom="paragraph">
              <wp:posOffset>288290</wp:posOffset>
            </wp:positionV>
            <wp:extent cx="1346835" cy="1384935"/>
            <wp:effectExtent l="0" t="0" r="571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46835" cy="1384935"/>
                    </a:xfrm>
                    <a:prstGeom prst="rect">
                      <a:avLst/>
                    </a:prstGeom>
                    <a:noFill/>
                  </pic:spPr>
                </pic:pic>
              </a:graphicData>
            </a:graphic>
            <wp14:sizeRelH relativeFrom="page">
              <wp14:pctWidth>0</wp14:pctWidth>
            </wp14:sizeRelH>
            <wp14:sizeRelV relativeFrom="page">
              <wp14:pctHeight>0</wp14:pctHeight>
            </wp14:sizeRelV>
          </wp:anchor>
        </w:drawing>
      </w:r>
    </w:p>
    <w:p w14:paraId="5494A8EC" w14:textId="77777777" w:rsidR="00D9685D" w:rsidRDefault="00D9685D" w:rsidP="00D9685D">
      <w:pPr>
        <w:jc w:val="right"/>
        <w:rPr>
          <w:i/>
          <w:iCs/>
        </w:rPr>
      </w:pPr>
    </w:p>
    <w:p w14:paraId="66214484" w14:textId="77777777" w:rsidR="00D9685D" w:rsidRPr="009F19E0" w:rsidRDefault="00D9685D" w:rsidP="00D9685D">
      <w:pPr>
        <w:suppressLineNumbers/>
        <w:tabs>
          <w:tab w:val="left" w:pos="4680"/>
        </w:tabs>
        <w:rPr>
          <w:b/>
          <w:sz w:val="10"/>
          <w:szCs w:val="10"/>
        </w:rPr>
      </w:pPr>
      <w:r w:rsidRPr="00BD243A">
        <w:rPr>
          <w:lang w:eastAsia="zh-CN"/>
        </w:rPr>
        <w:t xml:space="preserve">                                                                </w:t>
      </w:r>
      <w:r w:rsidRPr="00BD243A">
        <w:rPr>
          <w:noProof/>
        </w:rPr>
        <w:br w:type="textWrapping" w:clear="all"/>
      </w:r>
    </w:p>
    <w:p w14:paraId="254E738A" w14:textId="45C03E79" w:rsidR="00D9685D" w:rsidRDefault="00D9685D" w:rsidP="00D9685D">
      <w:pPr>
        <w:suppressLineNumbers/>
        <w:jc w:val="center"/>
        <w:rPr>
          <w:b/>
        </w:rPr>
      </w:pPr>
      <w:r w:rsidRPr="00025002">
        <w:rPr>
          <w:b/>
        </w:rPr>
        <w:t xml:space="preserve">THE COUNCIL OF THE </w:t>
      </w:r>
      <w:r w:rsidR="00811AA9">
        <w:rPr>
          <w:b/>
        </w:rPr>
        <w:t>CITY</w:t>
      </w:r>
      <w:r w:rsidRPr="00025002">
        <w:rPr>
          <w:b/>
        </w:rPr>
        <w:t xml:space="preserve"> OF NEW YORK</w:t>
      </w:r>
    </w:p>
    <w:p w14:paraId="4DB34B13" w14:textId="77777777" w:rsidR="00D9685D" w:rsidRPr="009D17E5" w:rsidRDefault="00D9685D" w:rsidP="00D9685D">
      <w:pPr>
        <w:suppressLineNumbers/>
        <w:jc w:val="center"/>
        <w:rPr>
          <w:b/>
          <w:sz w:val="12"/>
          <w:szCs w:val="12"/>
        </w:rPr>
      </w:pPr>
    </w:p>
    <w:p w14:paraId="422E0C30" w14:textId="77777777" w:rsidR="000C306F" w:rsidRDefault="000C306F" w:rsidP="00D9685D">
      <w:pPr>
        <w:pStyle w:val="Heading5"/>
        <w:suppressLineNumbers/>
        <w:spacing w:before="0" w:after="0"/>
        <w:jc w:val="center"/>
        <w:rPr>
          <w:rFonts w:ascii="Times New Roman" w:hAnsi="Times New Roman"/>
          <w:i w:val="0"/>
          <w:iCs w:val="0"/>
          <w:sz w:val="22"/>
          <w:szCs w:val="22"/>
          <w:u w:val="single"/>
        </w:rPr>
      </w:pPr>
    </w:p>
    <w:p w14:paraId="7253FEDA" w14:textId="4B6D7BAA" w:rsidR="00D9685D" w:rsidRPr="000C306F" w:rsidRDefault="00D9685D" w:rsidP="00D9685D">
      <w:pPr>
        <w:pStyle w:val="Heading5"/>
        <w:suppressLineNumbers/>
        <w:spacing w:before="0" w:after="0"/>
        <w:jc w:val="center"/>
        <w:rPr>
          <w:rFonts w:ascii="Times New Roman" w:hAnsi="Times New Roman"/>
          <w:i w:val="0"/>
          <w:iCs w:val="0"/>
          <w:sz w:val="22"/>
          <w:szCs w:val="22"/>
          <w:u w:val="single"/>
        </w:rPr>
      </w:pPr>
      <w:r w:rsidRPr="000C306F">
        <w:rPr>
          <w:rFonts w:ascii="Times New Roman" w:hAnsi="Times New Roman"/>
          <w:i w:val="0"/>
          <w:iCs w:val="0"/>
          <w:sz w:val="22"/>
          <w:szCs w:val="22"/>
          <w:u w:val="single"/>
        </w:rPr>
        <w:t>BRIEFING PAPER AND COMMITTEE REPORT OF THE HUMAN SERVICES DIVISION</w:t>
      </w:r>
    </w:p>
    <w:p w14:paraId="1B64E111" w14:textId="77777777" w:rsidR="00D9685D" w:rsidRDefault="00D9685D" w:rsidP="00D9685D">
      <w:pPr>
        <w:tabs>
          <w:tab w:val="center" w:pos="4680"/>
        </w:tabs>
        <w:suppressAutoHyphens/>
        <w:jc w:val="center"/>
        <w:rPr>
          <w:bCs/>
          <w:i/>
          <w:iCs/>
        </w:rPr>
      </w:pPr>
      <w:r w:rsidRPr="000C7809">
        <w:rPr>
          <w:spacing w:val="-3"/>
        </w:rPr>
        <w:t xml:space="preserve">Andrea Vazquez, </w:t>
      </w:r>
      <w:r w:rsidRPr="00025002">
        <w:rPr>
          <w:bCs/>
          <w:i/>
          <w:iCs/>
        </w:rPr>
        <w:t>Legislative Director</w:t>
      </w:r>
    </w:p>
    <w:p w14:paraId="081B0400" w14:textId="77777777" w:rsidR="00D9685D" w:rsidRPr="0035139F" w:rsidRDefault="00D9685D" w:rsidP="00D9685D">
      <w:pPr>
        <w:tabs>
          <w:tab w:val="center" w:pos="4680"/>
        </w:tabs>
        <w:jc w:val="center"/>
        <w:rPr>
          <w:i/>
        </w:rPr>
      </w:pPr>
      <w:r w:rsidRPr="00C423B6">
        <w:t>Smita Deshmukh</w:t>
      </w:r>
      <w:r>
        <w:rPr>
          <w:i/>
          <w:iCs/>
        </w:rPr>
        <w:t xml:space="preserve">, </w:t>
      </w:r>
      <w:r w:rsidRPr="007E450A">
        <w:rPr>
          <w:i/>
        </w:rPr>
        <w:t>Deputy Director, Human Services</w:t>
      </w:r>
    </w:p>
    <w:p w14:paraId="0F7517AB" w14:textId="77777777" w:rsidR="00D9685D" w:rsidRPr="009D17E5" w:rsidRDefault="00D9685D" w:rsidP="00D9685D">
      <w:pPr>
        <w:suppressLineNumbers/>
        <w:tabs>
          <w:tab w:val="center" w:pos="4680"/>
        </w:tabs>
        <w:jc w:val="center"/>
        <w:rPr>
          <w:sz w:val="20"/>
          <w:szCs w:val="20"/>
        </w:rPr>
      </w:pPr>
    </w:p>
    <w:p w14:paraId="57C10F94" w14:textId="77777777" w:rsidR="000C306F" w:rsidRDefault="000C306F" w:rsidP="00D9685D">
      <w:pPr>
        <w:pStyle w:val="FootnoteText"/>
        <w:spacing w:after="0" w:line="240" w:lineRule="auto"/>
        <w:jc w:val="center"/>
        <w:rPr>
          <w:b/>
          <w:bCs/>
          <w:sz w:val="24"/>
          <w:szCs w:val="24"/>
          <w:u w:val="single"/>
        </w:rPr>
      </w:pPr>
    </w:p>
    <w:p w14:paraId="1A19C048" w14:textId="7D0F8728" w:rsidR="00D9685D" w:rsidRPr="00DE61E8" w:rsidRDefault="00D9685D" w:rsidP="00D9685D">
      <w:pPr>
        <w:pStyle w:val="FootnoteText"/>
        <w:spacing w:after="0" w:line="240" w:lineRule="auto"/>
        <w:jc w:val="center"/>
        <w:rPr>
          <w:b/>
          <w:bCs/>
          <w:sz w:val="24"/>
          <w:szCs w:val="24"/>
          <w:u w:val="single"/>
        </w:rPr>
      </w:pPr>
      <w:r w:rsidRPr="00DE61E8">
        <w:rPr>
          <w:b/>
          <w:bCs/>
          <w:sz w:val="24"/>
          <w:szCs w:val="24"/>
          <w:u w:val="single"/>
        </w:rPr>
        <w:t xml:space="preserve">COMMITTEE ON </w:t>
      </w:r>
      <w:r>
        <w:rPr>
          <w:b/>
          <w:bCs/>
          <w:sz w:val="24"/>
          <w:szCs w:val="24"/>
          <w:u w:val="single"/>
        </w:rPr>
        <w:t>CIVIL SERVICE &amp; LABOR</w:t>
      </w:r>
    </w:p>
    <w:p w14:paraId="68F256BB" w14:textId="77777777" w:rsidR="00D9685D" w:rsidRDefault="00D9685D" w:rsidP="00D9685D">
      <w:pPr>
        <w:jc w:val="center"/>
      </w:pPr>
      <w:r w:rsidRPr="009F19E0">
        <w:t xml:space="preserve">Hon. Carmen De La Rosa, </w:t>
      </w:r>
      <w:r w:rsidRPr="009F19E0">
        <w:rPr>
          <w:i/>
          <w:iCs/>
        </w:rPr>
        <w:t>Chair</w:t>
      </w:r>
    </w:p>
    <w:p w14:paraId="33F63633" w14:textId="77777777" w:rsidR="00D9685D" w:rsidRDefault="00D9685D" w:rsidP="00D9685D">
      <w:pPr>
        <w:jc w:val="center"/>
      </w:pPr>
    </w:p>
    <w:p w14:paraId="078A1C72" w14:textId="0B3F0921" w:rsidR="00D9685D" w:rsidRDefault="00D9685D" w:rsidP="00D9685D">
      <w:pPr>
        <w:suppressLineNumbers/>
        <w:tabs>
          <w:tab w:val="center" w:pos="4680"/>
        </w:tabs>
        <w:jc w:val="center"/>
        <w:rPr>
          <w:b/>
        </w:rPr>
      </w:pPr>
      <w:r>
        <w:rPr>
          <w:b/>
        </w:rPr>
        <w:t>May 31</w:t>
      </w:r>
      <w:r w:rsidRPr="0088323F">
        <w:rPr>
          <w:b/>
        </w:rPr>
        <w:t>, 202</w:t>
      </w:r>
      <w:r>
        <w:rPr>
          <w:b/>
        </w:rPr>
        <w:t>3</w:t>
      </w:r>
    </w:p>
    <w:p w14:paraId="0C4DF063" w14:textId="28C5CF75" w:rsidR="004E0915" w:rsidRDefault="004E0915" w:rsidP="00590805">
      <w:pPr>
        <w:suppressLineNumbers/>
        <w:tabs>
          <w:tab w:val="center" w:pos="4680"/>
        </w:tabs>
        <w:jc w:val="both"/>
        <w:rPr>
          <w:b/>
        </w:rPr>
      </w:pPr>
    </w:p>
    <w:p w14:paraId="47B47C64" w14:textId="77777777" w:rsidR="000C306F" w:rsidRDefault="000C306F" w:rsidP="00590805">
      <w:pPr>
        <w:suppressLineNumbers/>
        <w:tabs>
          <w:tab w:val="center" w:pos="4680"/>
        </w:tabs>
        <w:jc w:val="both"/>
        <w:rPr>
          <w:b/>
        </w:rPr>
      </w:pPr>
    </w:p>
    <w:p w14:paraId="5136EFE9" w14:textId="4F85EEE4" w:rsidR="00590805" w:rsidRDefault="00590805" w:rsidP="00590805">
      <w:pPr>
        <w:ind w:left="2880" w:hanging="2880"/>
        <w:jc w:val="both"/>
      </w:pPr>
      <w:r w:rsidRPr="00AD3CE5">
        <w:rPr>
          <w:b/>
          <w:bCs/>
          <w:u w:val="single"/>
        </w:rPr>
        <w:t>Int. No. 877</w:t>
      </w:r>
      <w:r w:rsidR="000C306F">
        <w:rPr>
          <w:b/>
          <w:bCs/>
          <w:u w:val="single"/>
        </w:rPr>
        <w:t>-A</w:t>
      </w:r>
      <w:r w:rsidRPr="00AD3CE5">
        <w:rPr>
          <w:b/>
          <w:bCs/>
          <w:u w:val="single"/>
        </w:rPr>
        <w:t>-2023</w:t>
      </w:r>
      <w:r>
        <w:rPr>
          <w:b/>
          <w:bCs/>
        </w:rPr>
        <w:t xml:space="preserve"> </w:t>
      </w:r>
      <w:r>
        <w:rPr>
          <w:b/>
          <w:bCs/>
        </w:rPr>
        <w:tab/>
      </w:r>
      <w:r>
        <w:rPr>
          <w:color w:val="000000"/>
          <w:shd w:val="clear" w:color="auto" w:fill="FFFFFF"/>
        </w:rPr>
        <w:t>By Council Members Abreu, De La Rosa, Menin, Louis, Stevens, Hanif, Ung and Richardson Jordan</w:t>
      </w:r>
    </w:p>
    <w:p w14:paraId="439EA126" w14:textId="77777777" w:rsidR="00590805" w:rsidRDefault="00590805" w:rsidP="00590805">
      <w:pPr>
        <w:jc w:val="both"/>
        <w:rPr>
          <w:b/>
          <w:bCs/>
        </w:rPr>
      </w:pPr>
    </w:p>
    <w:p w14:paraId="462D8600" w14:textId="7FD5DE44" w:rsidR="00590805" w:rsidRPr="00590805" w:rsidRDefault="00590805" w:rsidP="00590805">
      <w:pPr>
        <w:ind w:left="2880" w:hanging="2880"/>
        <w:jc w:val="both"/>
      </w:pPr>
      <w:r w:rsidRPr="00AD3CE5">
        <w:rPr>
          <w:b/>
          <w:bCs/>
          <w:u w:val="single"/>
        </w:rPr>
        <w:t>Title:</w:t>
      </w:r>
      <w:r>
        <w:rPr>
          <w:b/>
          <w:bCs/>
        </w:rPr>
        <w:tab/>
      </w:r>
      <w:r w:rsidRPr="00AD3CE5">
        <w:t xml:space="preserve">A Local Law to amend the administrative code of the </w:t>
      </w:r>
      <w:r w:rsidR="00811AA9">
        <w:t>City</w:t>
      </w:r>
      <w:r w:rsidRPr="00AD3CE5">
        <w:t xml:space="preserve"> of New York, in relation to requiring an exit interview for departing and retiring municipal employees</w:t>
      </w:r>
    </w:p>
    <w:p w14:paraId="15758051" w14:textId="77777777" w:rsidR="00590805" w:rsidRDefault="00590805" w:rsidP="00590805">
      <w:pPr>
        <w:ind w:left="2880" w:hanging="2880"/>
        <w:jc w:val="both"/>
        <w:rPr>
          <w:b/>
          <w:u w:val="single"/>
        </w:rPr>
      </w:pPr>
    </w:p>
    <w:p w14:paraId="1A72F19A" w14:textId="56805CD0" w:rsidR="004E0915" w:rsidRDefault="004E0915" w:rsidP="00590805">
      <w:pPr>
        <w:ind w:left="2880" w:hanging="2880"/>
        <w:jc w:val="both"/>
      </w:pPr>
      <w:r>
        <w:rPr>
          <w:b/>
          <w:u w:val="single"/>
        </w:rPr>
        <w:t>Res</w:t>
      </w:r>
      <w:r w:rsidR="00D9685D" w:rsidRPr="0035139F">
        <w:rPr>
          <w:b/>
          <w:u w:val="single"/>
        </w:rPr>
        <w:t xml:space="preserve">. No. </w:t>
      </w:r>
      <w:r w:rsidR="002E748D">
        <w:rPr>
          <w:b/>
          <w:u w:val="single"/>
        </w:rPr>
        <w:t>27</w:t>
      </w:r>
      <w:r w:rsidR="00D9685D" w:rsidRPr="0035139F">
        <w:rPr>
          <w:b/>
          <w:u w:val="single"/>
        </w:rPr>
        <w:t>-2022:</w:t>
      </w:r>
      <w:r w:rsidR="00D9685D">
        <w:rPr>
          <w:b/>
        </w:rPr>
        <w:tab/>
      </w:r>
      <w:r w:rsidR="00D9685D" w:rsidRPr="00E320D0">
        <w:t xml:space="preserve">By </w:t>
      </w:r>
      <w:r>
        <w:rPr>
          <w:color w:val="000000"/>
          <w:shd w:val="clear" w:color="auto" w:fill="FFFFFF"/>
        </w:rPr>
        <w:t>Public Advocate (Mr. Williams) and Council Members Hanif, Cabán and Louis</w:t>
      </w:r>
    </w:p>
    <w:p w14:paraId="6AE020CF" w14:textId="46AB5A44" w:rsidR="00D9685D" w:rsidRDefault="00D9685D" w:rsidP="00590805">
      <w:pPr>
        <w:ind w:left="2880" w:hanging="2880"/>
        <w:jc w:val="both"/>
        <w:rPr>
          <w:b/>
        </w:rPr>
      </w:pPr>
    </w:p>
    <w:p w14:paraId="369A2EB7" w14:textId="4B83269A" w:rsidR="004E0915" w:rsidRPr="004E0915" w:rsidRDefault="00D9685D" w:rsidP="00590805">
      <w:pPr>
        <w:ind w:left="2880" w:hanging="2880"/>
        <w:jc w:val="both"/>
      </w:pPr>
      <w:r w:rsidRPr="0035139F">
        <w:rPr>
          <w:b/>
          <w:u w:val="single"/>
        </w:rPr>
        <w:t>Title:</w:t>
      </w:r>
      <w:r>
        <w:rPr>
          <w:b/>
        </w:rPr>
        <w:tab/>
      </w:r>
      <w:r w:rsidR="004E0915" w:rsidRPr="004E0915">
        <w:rPr>
          <w:color w:val="000000"/>
          <w:shd w:val="clear" w:color="auto" w:fill="FFFFFF"/>
        </w:rPr>
        <w:t>Resolution calling on the New York State Legislature to pass, and the New York State Governor to sign, S. 1828 /A. 3103, which would eliminate the subminimum wage for employees based on their disability or age</w:t>
      </w:r>
    </w:p>
    <w:p w14:paraId="335782F0" w14:textId="53FF011D" w:rsidR="00D9685D" w:rsidRPr="00397E86" w:rsidRDefault="00D9685D" w:rsidP="00590805">
      <w:pPr>
        <w:ind w:left="2880" w:hanging="2880"/>
        <w:jc w:val="both"/>
      </w:pPr>
      <w:r w:rsidRPr="004E0915">
        <w:rPr>
          <w:b/>
        </w:rPr>
        <w:tab/>
      </w:r>
      <w:r w:rsidRPr="004E0915">
        <w:rPr>
          <w:b/>
        </w:rPr>
        <w:tab/>
      </w:r>
      <w:r w:rsidRPr="004E0915">
        <w:rPr>
          <w:b/>
        </w:rPr>
        <w:tab/>
      </w:r>
      <w:r w:rsidRPr="0035139F">
        <w:rPr>
          <w:b/>
        </w:rPr>
        <w:tab/>
      </w:r>
    </w:p>
    <w:p w14:paraId="4D29EA11" w14:textId="0F0ED75D" w:rsidR="004E0915" w:rsidRDefault="004E0915" w:rsidP="00590805">
      <w:pPr>
        <w:ind w:left="2880" w:hanging="2880"/>
        <w:jc w:val="both"/>
      </w:pPr>
      <w:r w:rsidRPr="004E0915">
        <w:rPr>
          <w:b/>
          <w:bCs/>
          <w:u w:val="single"/>
        </w:rPr>
        <w:t>Res. No. 393-2022:</w:t>
      </w:r>
      <w:r>
        <w:rPr>
          <w:b/>
          <w:bCs/>
        </w:rPr>
        <w:tab/>
      </w:r>
      <w:r w:rsidR="00AD3CE5" w:rsidRPr="00AD3CE5">
        <w:t xml:space="preserve">By </w:t>
      </w:r>
      <w:r w:rsidRPr="00AD3CE5">
        <w:rPr>
          <w:color w:val="000000"/>
          <w:shd w:val="clear" w:color="auto" w:fill="FFFFFF"/>
        </w:rPr>
        <w:t>Council</w:t>
      </w:r>
      <w:r>
        <w:rPr>
          <w:color w:val="000000"/>
          <w:shd w:val="clear" w:color="auto" w:fill="FFFFFF"/>
        </w:rPr>
        <w:t xml:space="preserve"> Members De La Rosa, Hanif, Restler, Hudson, Farías and Brewer</w:t>
      </w:r>
    </w:p>
    <w:p w14:paraId="663F23DB" w14:textId="77777777" w:rsidR="004E0915" w:rsidRDefault="004E0915" w:rsidP="00590805">
      <w:pPr>
        <w:jc w:val="both"/>
        <w:rPr>
          <w:b/>
          <w:bCs/>
        </w:rPr>
      </w:pPr>
    </w:p>
    <w:p w14:paraId="1823F0E5" w14:textId="016CC6E1" w:rsidR="009553B7" w:rsidRPr="000C306F" w:rsidRDefault="004E0915" w:rsidP="000C306F">
      <w:pPr>
        <w:ind w:left="2880" w:hanging="2880"/>
        <w:jc w:val="both"/>
      </w:pPr>
      <w:r w:rsidRPr="004E0915">
        <w:rPr>
          <w:b/>
          <w:bCs/>
          <w:u w:val="single"/>
        </w:rPr>
        <w:lastRenderedPageBreak/>
        <w:t>Title:</w:t>
      </w:r>
      <w:r>
        <w:rPr>
          <w:b/>
          <w:bCs/>
        </w:rPr>
        <w:t xml:space="preserve"> </w:t>
      </w:r>
      <w:r>
        <w:rPr>
          <w:b/>
          <w:bCs/>
        </w:rPr>
        <w:tab/>
      </w:r>
      <w:r w:rsidRPr="004E0915">
        <w:rPr>
          <w:color w:val="000000"/>
          <w:shd w:val="clear" w:color="auto" w:fill="FFFFFF"/>
        </w:rPr>
        <w:t>Resolution calling on the New York State Legislature to pass, and the Governor to sign, A.9398/S.8166, to establish the Nail Salon Minimum Standards Act</w:t>
      </w:r>
    </w:p>
    <w:p w14:paraId="53373605" w14:textId="626C15B0" w:rsidR="004E0915" w:rsidRDefault="004E0915" w:rsidP="00590805">
      <w:pPr>
        <w:jc w:val="both"/>
        <w:rPr>
          <w:b/>
          <w:bCs/>
        </w:rPr>
      </w:pPr>
    </w:p>
    <w:p w14:paraId="75982F39" w14:textId="2FD2C433" w:rsidR="000C306F" w:rsidRDefault="00590805" w:rsidP="00590805">
      <w:pPr>
        <w:ind w:left="2880" w:hanging="2880"/>
        <w:jc w:val="both"/>
        <w:rPr>
          <w:color w:val="000000"/>
          <w:shd w:val="clear" w:color="auto" w:fill="FFFFFF"/>
        </w:rPr>
      </w:pPr>
      <w:r>
        <w:rPr>
          <w:b/>
          <w:u w:val="single"/>
        </w:rPr>
        <w:t>Res. No. 0547</w:t>
      </w:r>
      <w:r w:rsidR="000C306F">
        <w:rPr>
          <w:b/>
          <w:u w:val="single"/>
        </w:rPr>
        <w:t>-2023</w:t>
      </w:r>
      <w:r>
        <w:rPr>
          <w:b/>
        </w:rPr>
        <w:tab/>
      </w:r>
      <w:r>
        <w:rPr>
          <w:color w:val="000000"/>
          <w:shd w:val="clear" w:color="auto" w:fill="FFFFFF"/>
        </w:rPr>
        <w:t>By Council Members De La Rosa, Ung, Krishnan</w:t>
      </w:r>
      <w:r>
        <w:rPr>
          <w:rFonts w:ascii="Calibri" w:hAnsi="Calibri" w:cs="Calibri"/>
          <w:color w:val="000000"/>
          <w:shd w:val="clear" w:color="auto" w:fill="FFFFFF"/>
        </w:rPr>
        <w:t>,</w:t>
      </w:r>
      <w:r>
        <w:rPr>
          <w:color w:val="000000"/>
          <w:shd w:val="clear" w:color="auto" w:fill="FFFFFF"/>
        </w:rPr>
        <w:t> Gennaro, Farías</w:t>
      </w:r>
      <w:r>
        <w:rPr>
          <w:rFonts w:ascii="Calibri" w:hAnsi="Calibri" w:cs="Calibri"/>
          <w:color w:val="000000"/>
          <w:shd w:val="clear" w:color="auto" w:fill="FFFFFF"/>
        </w:rPr>
        <w:t>,</w:t>
      </w:r>
      <w:r>
        <w:rPr>
          <w:color w:val="000000"/>
          <w:shd w:val="clear" w:color="auto" w:fill="FFFFFF"/>
        </w:rPr>
        <w:t> Won</w:t>
      </w:r>
      <w:r>
        <w:rPr>
          <w:rFonts w:ascii="Calibri" w:hAnsi="Calibri" w:cs="Calibri"/>
          <w:color w:val="000000"/>
          <w:shd w:val="clear" w:color="auto" w:fill="FFFFFF"/>
        </w:rPr>
        <w:t>,</w:t>
      </w:r>
      <w:r>
        <w:rPr>
          <w:color w:val="000000"/>
          <w:shd w:val="clear" w:color="auto" w:fill="FFFFFF"/>
        </w:rPr>
        <w:t> Brewer</w:t>
      </w:r>
      <w:r>
        <w:rPr>
          <w:rFonts w:ascii="Calibri" w:hAnsi="Calibri" w:cs="Calibri"/>
          <w:color w:val="000000"/>
          <w:shd w:val="clear" w:color="auto" w:fill="FFFFFF"/>
        </w:rPr>
        <w:t>,</w:t>
      </w:r>
      <w:r>
        <w:rPr>
          <w:color w:val="000000"/>
          <w:shd w:val="clear" w:color="auto" w:fill="FFFFFF"/>
        </w:rPr>
        <w:t> Powers</w:t>
      </w:r>
      <w:r>
        <w:rPr>
          <w:rFonts w:ascii="Calibri" w:hAnsi="Calibri" w:cs="Calibri"/>
          <w:color w:val="000000"/>
          <w:shd w:val="clear" w:color="auto" w:fill="FFFFFF"/>
        </w:rPr>
        <w:t>,</w:t>
      </w:r>
      <w:r>
        <w:rPr>
          <w:color w:val="000000"/>
          <w:shd w:val="clear" w:color="auto" w:fill="FFFFFF"/>
        </w:rPr>
        <w:t> Narcisse</w:t>
      </w:r>
      <w:r>
        <w:rPr>
          <w:rFonts w:ascii="Calibri" w:hAnsi="Calibri" w:cs="Calibri"/>
          <w:color w:val="000000"/>
          <w:shd w:val="clear" w:color="auto" w:fill="FFFFFF"/>
        </w:rPr>
        <w:t>,</w:t>
      </w:r>
      <w:r>
        <w:rPr>
          <w:color w:val="000000"/>
          <w:shd w:val="clear" w:color="auto" w:fill="FFFFFF"/>
        </w:rPr>
        <w:t> Ossé</w:t>
      </w:r>
      <w:r>
        <w:rPr>
          <w:rFonts w:ascii="Calibri" w:hAnsi="Calibri" w:cs="Calibri"/>
          <w:color w:val="000000"/>
          <w:shd w:val="clear" w:color="auto" w:fill="FFFFFF"/>
        </w:rPr>
        <w:t>,</w:t>
      </w:r>
      <w:r>
        <w:rPr>
          <w:color w:val="000000"/>
          <w:shd w:val="clear" w:color="auto" w:fill="FFFFFF"/>
        </w:rPr>
        <w:t> Bottcher</w:t>
      </w:r>
      <w:r>
        <w:rPr>
          <w:rFonts w:ascii="Calibri" w:hAnsi="Calibri" w:cs="Calibri"/>
          <w:color w:val="000000"/>
          <w:shd w:val="clear" w:color="auto" w:fill="FFFFFF"/>
        </w:rPr>
        <w:t>,</w:t>
      </w:r>
      <w:r>
        <w:rPr>
          <w:color w:val="000000"/>
          <w:shd w:val="clear" w:color="auto" w:fill="FFFFFF"/>
        </w:rPr>
        <w:t> Abreu</w:t>
      </w:r>
      <w:r>
        <w:rPr>
          <w:rFonts w:ascii="Calibri" w:hAnsi="Calibri" w:cs="Calibri"/>
          <w:color w:val="000000"/>
          <w:shd w:val="clear" w:color="auto" w:fill="FFFFFF"/>
        </w:rPr>
        <w:t>,</w:t>
      </w:r>
      <w:r>
        <w:rPr>
          <w:color w:val="000000"/>
          <w:shd w:val="clear" w:color="auto" w:fill="FFFFFF"/>
        </w:rPr>
        <w:t> </w:t>
      </w:r>
    </w:p>
    <w:p w14:paraId="7A4C030B" w14:textId="3B20D500" w:rsidR="000C306F" w:rsidRDefault="00590805" w:rsidP="000C306F">
      <w:pPr>
        <w:ind w:left="2880"/>
        <w:jc w:val="both"/>
        <w:rPr>
          <w:color w:val="000000"/>
          <w:shd w:val="clear" w:color="auto" w:fill="FFFFFF"/>
        </w:rPr>
      </w:pPr>
      <w:r>
        <w:rPr>
          <w:color w:val="000000"/>
          <w:shd w:val="clear" w:color="auto" w:fill="FFFFFF"/>
        </w:rPr>
        <w:t>Holden</w:t>
      </w:r>
      <w:r>
        <w:rPr>
          <w:rFonts w:ascii="Calibri" w:hAnsi="Calibri" w:cs="Calibri"/>
          <w:color w:val="000000"/>
          <w:shd w:val="clear" w:color="auto" w:fill="FFFFFF"/>
        </w:rPr>
        <w:t>,</w:t>
      </w:r>
      <w:r>
        <w:rPr>
          <w:color w:val="000000"/>
          <w:shd w:val="clear" w:color="auto" w:fill="FFFFFF"/>
        </w:rPr>
        <w:t> Schulman</w:t>
      </w:r>
      <w:r>
        <w:rPr>
          <w:rFonts w:ascii="Calibri" w:hAnsi="Calibri" w:cs="Calibri"/>
          <w:color w:val="000000"/>
          <w:shd w:val="clear" w:color="auto" w:fill="FFFFFF"/>
        </w:rPr>
        <w:t>,</w:t>
      </w:r>
      <w:r>
        <w:rPr>
          <w:color w:val="000000"/>
          <w:shd w:val="clear" w:color="auto" w:fill="FFFFFF"/>
        </w:rPr>
        <w:t> Marte</w:t>
      </w:r>
      <w:r>
        <w:rPr>
          <w:rFonts w:ascii="Calibri" w:hAnsi="Calibri" w:cs="Calibri"/>
          <w:color w:val="000000"/>
          <w:shd w:val="clear" w:color="auto" w:fill="FFFFFF"/>
        </w:rPr>
        <w:t>,</w:t>
      </w:r>
      <w:r>
        <w:rPr>
          <w:color w:val="000000"/>
          <w:shd w:val="clear" w:color="auto" w:fill="FFFFFF"/>
        </w:rPr>
        <w:t> Moya</w:t>
      </w:r>
      <w:r>
        <w:rPr>
          <w:rFonts w:ascii="Calibri" w:hAnsi="Calibri" w:cs="Calibri"/>
          <w:color w:val="000000"/>
          <w:shd w:val="clear" w:color="auto" w:fill="FFFFFF"/>
        </w:rPr>
        <w:t>,</w:t>
      </w:r>
      <w:r>
        <w:rPr>
          <w:color w:val="000000"/>
          <w:shd w:val="clear" w:color="auto" w:fill="FFFFFF"/>
        </w:rPr>
        <w:t> Hudson</w:t>
      </w:r>
      <w:r>
        <w:rPr>
          <w:rFonts w:ascii="Calibri" w:hAnsi="Calibri" w:cs="Calibri"/>
          <w:color w:val="000000"/>
          <w:shd w:val="clear" w:color="auto" w:fill="FFFFFF"/>
        </w:rPr>
        <w:t>,</w:t>
      </w:r>
      <w:r>
        <w:rPr>
          <w:color w:val="000000"/>
          <w:shd w:val="clear" w:color="auto" w:fill="FFFFFF"/>
        </w:rPr>
        <w:t> Brannan</w:t>
      </w:r>
      <w:r>
        <w:rPr>
          <w:rFonts w:ascii="Calibri" w:hAnsi="Calibri" w:cs="Calibri"/>
          <w:color w:val="000000"/>
          <w:shd w:val="clear" w:color="auto" w:fill="FFFFFF"/>
        </w:rPr>
        <w:t>,</w:t>
      </w:r>
      <w:r>
        <w:rPr>
          <w:color w:val="000000"/>
          <w:shd w:val="clear" w:color="auto" w:fill="FFFFFF"/>
        </w:rPr>
        <w:t> Ayala</w:t>
      </w:r>
      <w:r>
        <w:rPr>
          <w:rFonts w:ascii="Calibri" w:hAnsi="Calibri" w:cs="Calibri"/>
          <w:color w:val="000000"/>
          <w:shd w:val="clear" w:color="auto" w:fill="FFFFFF"/>
        </w:rPr>
        <w:t>,</w:t>
      </w:r>
      <w:r>
        <w:rPr>
          <w:color w:val="000000"/>
          <w:shd w:val="clear" w:color="auto" w:fill="FFFFFF"/>
        </w:rPr>
        <w:t> Riley</w:t>
      </w:r>
      <w:r>
        <w:rPr>
          <w:rFonts w:ascii="Calibri" w:hAnsi="Calibri" w:cs="Calibri"/>
          <w:color w:val="000000"/>
          <w:shd w:val="clear" w:color="auto" w:fill="FFFFFF"/>
        </w:rPr>
        <w:t>,</w:t>
      </w:r>
      <w:r>
        <w:rPr>
          <w:color w:val="000000"/>
          <w:shd w:val="clear" w:color="auto" w:fill="FFFFFF"/>
        </w:rPr>
        <w:t> </w:t>
      </w:r>
    </w:p>
    <w:p w14:paraId="767C1DA8" w14:textId="17502FF2" w:rsidR="00590805" w:rsidRPr="00590805" w:rsidRDefault="000C306F" w:rsidP="000C306F">
      <w:pPr>
        <w:ind w:left="2880"/>
        <w:jc w:val="both"/>
        <w:rPr>
          <w:color w:val="000000"/>
          <w:shd w:val="clear" w:color="auto" w:fill="FFFFFF"/>
        </w:rPr>
      </w:pPr>
      <w:r>
        <w:rPr>
          <w:color w:val="000000"/>
          <w:shd w:val="clear" w:color="auto" w:fill="FFFFFF"/>
        </w:rPr>
        <w:t>Ha</w:t>
      </w:r>
      <w:r w:rsidR="00590805">
        <w:rPr>
          <w:color w:val="000000"/>
          <w:shd w:val="clear" w:color="auto" w:fill="FFFFFF"/>
        </w:rPr>
        <w:t>nks</w:t>
      </w:r>
      <w:r w:rsidR="00590805">
        <w:rPr>
          <w:rFonts w:ascii="Calibri" w:hAnsi="Calibri" w:cs="Calibri"/>
          <w:color w:val="000000"/>
          <w:shd w:val="clear" w:color="auto" w:fill="FFFFFF"/>
        </w:rPr>
        <w:t>,</w:t>
      </w:r>
      <w:r w:rsidR="00590805">
        <w:rPr>
          <w:color w:val="000000"/>
          <w:shd w:val="clear" w:color="auto" w:fill="FFFFFF"/>
        </w:rPr>
        <w:t> Menin and Hanif</w:t>
      </w:r>
    </w:p>
    <w:p w14:paraId="0374AD04" w14:textId="77777777" w:rsidR="00590805" w:rsidRDefault="00590805" w:rsidP="00590805">
      <w:pPr>
        <w:ind w:left="2880" w:hanging="2880"/>
        <w:jc w:val="both"/>
        <w:rPr>
          <w:b/>
          <w:u w:val="single"/>
        </w:rPr>
      </w:pPr>
    </w:p>
    <w:p w14:paraId="2C147E42" w14:textId="45164C8D" w:rsidR="00AD3CE5" w:rsidRDefault="00590805" w:rsidP="00590805">
      <w:pPr>
        <w:ind w:left="2880" w:hanging="2880"/>
        <w:jc w:val="both"/>
        <w:rPr>
          <w:color w:val="000000"/>
          <w:shd w:val="clear" w:color="auto" w:fill="FFFFFF"/>
        </w:rPr>
      </w:pPr>
      <w:r w:rsidRPr="00590805">
        <w:rPr>
          <w:b/>
          <w:u w:val="single"/>
        </w:rPr>
        <w:t>Title:</w:t>
      </w:r>
      <w:r>
        <w:rPr>
          <w:b/>
        </w:rPr>
        <w:tab/>
      </w:r>
      <w:r w:rsidRPr="00590805">
        <w:rPr>
          <w:color w:val="000000"/>
          <w:shd w:val="clear" w:color="auto" w:fill="FFFFFF"/>
        </w:rPr>
        <w:t xml:space="preserve">Resolution calling upon the New York </w:t>
      </w:r>
      <w:r w:rsidR="00811AA9">
        <w:rPr>
          <w:color w:val="000000"/>
          <w:shd w:val="clear" w:color="auto" w:fill="FFFFFF"/>
        </w:rPr>
        <w:t>City</w:t>
      </w:r>
      <w:r w:rsidRPr="00590805">
        <w:rPr>
          <w:color w:val="000000"/>
          <w:shd w:val="clear" w:color="auto" w:fill="FFFFFF"/>
        </w:rPr>
        <w:t xml:space="preserve"> School Construction Authority (SCA) and the New York </w:t>
      </w:r>
      <w:r w:rsidR="00811AA9">
        <w:rPr>
          <w:color w:val="000000"/>
          <w:shd w:val="clear" w:color="auto" w:fill="FFFFFF"/>
        </w:rPr>
        <w:t>City</w:t>
      </w:r>
      <w:r w:rsidRPr="00590805">
        <w:rPr>
          <w:color w:val="000000"/>
          <w:shd w:val="clear" w:color="auto" w:fill="FFFFFF"/>
        </w:rPr>
        <w:t xml:space="preserve"> Department of Design and Construction (DDC) to reconsider their decision to substitute precast concrete wall panels in place of traditional handset brick and block walls in public projects in New York </w:t>
      </w:r>
      <w:r w:rsidR="00811AA9">
        <w:rPr>
          <w:color w:val="000000"/>
          <w:shd w:val="clear" w:color="auto" w:fill="FFFFFF"/>
        </w:rPr>
        <w:t>City</w:t>
      </w:r>
    </w:p>
    <w:p w14:paraId="3A8706E0" w14:textId="3F84F848" w:rsidR="000C306F" w:rsidRDefault="000C306F" w:rsidP="00305ABE">
      <w:pPr>
        <w:jc w:val="both"/>
      </w:pPr>
    </w:p>
    <w:p w14:paraId="42554A66" w14:textId="77777777" w:rsidR="000C306F" w:rsidRPr="00BD243A" w:rsidRDefault="000C306F" w:rsidP="000C306F">
      <w:pPr>
        <w:rPr>
          <w:b/>
        </w:rPr>
      </w:pPr>
    </w:p>
    <w:p w14:paraId="5D13F7EE" w14:textId="77777777" w:rsidR="000C306F" w:rsidRPr="009E3476" w:rsidRDefault="000C306F" w:rsidP="000C306F">
      <w:pPr>
        <w:pStyle w:val="ColorfulList-Accent11"/>
        <w:numPr>
          <w:ilvl w:val="0"/>
          <w:numId w:val="1"/>
        </w:numPr>
        <w:spacing w:line="480" w:lineRule="auto"/>
        <w:jc w:val="both"/>
        <w:rPr>
          <w:u w:val="single"/>
        </w:rPr>
      </w:pPr>
      <w:r w:rsidRPr="000C7809">
        <w:rPr>
          <w:rFonts w:ascii="Times New Roman" w:hAnsi="Times New Roman"/>
          <w:b/>
          <w:smallCaps/>
        </w:rPr>
        <w:t>Introduction</w:t>
      </w:r>
    </w:p>
    <w:p w14:paraId="0F5645F1" w14:textId="3711CAE6" w:rsidR="006E3B84" w:rsidRDefault="000C306F" w:rsidP="006B6B9D">
      <w:pPr>
        <w:spacing w:line="480" w:lineRule="auto"/>
        <w:ind w:firstLine="720"/>
        <w:jc w:val="both"/>
      </w:pPr>
      <w:r w:rsidRPr="00437DD1">
        <w:t xml:space="preserve">On May 31, 2023, the Committee on Civil Service and Labor, chaired by Council Member Carmen De La Rosa, will hear </w:t>
      </w:r>
      <w:r w:rsidR="0033554A" w:rsidRPr="00437DD1">
        <w:t xml:space="preserve">the following bill and resolutions: </w:t>
      </w:r>
      <w:r w:rsidRPr="00437DD1">
        <w:t>Introduction Number 877-A (Int. 877</w:t>
      </w:r>
      <w:r w:rsidR="00DC342A" w:rsidRPr="00437DD1">
        <w:t>-</w:t>
      </w:r>
      <w:r w:rsidRPr="00437DD1">
        <w:t xml:space="preserve">A), in relation to exit surveys for resigning and retiring employees of </w:t>
      </w:r>
      <w:r w:rsidR="004F2B6B">
        <w:t xml:space="preserve">New York </w:t>
      </w:r>
      <w:r w:rsidR="00811AA9" w:rsidRPr="00437DD1">
        <w:t>City</w:t>
      </w:r>
      <w:r w:rsidRPr="00437DD1">
        <w:t xml:space="preserve"> agencies</w:t>
      </w:r>
      <w:r w:rsidR="00B0252A" w:rsidRPr="00437DD1">
        <w:t>; Resolution Number 27 (Res. 27)</w:t>
      </w:r>
      <w:r w:rsidR="00437DD1">
        <w:t>,</w:t>
      </w:r>
      <w:r w:rsidR="00B0252A" w:rsidRPr="00437DD1">
        <w:t xml:space="preserve"> </w:t>
      </w:r>
      <w:r w:rsidR="00437DD1" w:rsidRPr="00437DD1">
        <w:rPr>
          <w:color w:val="000000"/>
          <w:shd w:val="clear" w:color="auto" w:fill="FFFFFF"/>
        </w:rPr>
        <w:t>calling on the New York State Legislature to pass, and the New York State Governor to sign, S. 1828 /A. 3103, which would eliminate the subminimum wage for employees based on their disability or age</w:t>
      </w:r>
      <w:r w:rsidR="0033554A" w:rsidRPr="00437DD1">
        <w:t xml:space="preserve">; </w:t>
      </w:r>
      <w:r w:rsidR="006E3B84" w:rsidRPr="00437DD1">
        <w:t>Res</w:t>
      </w:r>
      <w:r w:rsidR="006E3B84">
        <w:t>.</w:t>
      </w:r>
      <w:r w:rsidR="006E3B84" w:rsidRPr="00437DD1">
        <w:t xml:space="preserve"> </w:t>
      </w:r>
      <w:r w:rsidR="0033554A" w:rsidRPr="00437DD1">
        <w:t>393 (Res.393)</w:t>
      </w:r>
      <w:r w:rsidR="00437DD1">
        <w:t>,</w:t>
      </w:r>
      <w:r w:rsidR="0033554A" w:rsidRPr="00437DD1">
        <w:t xml:space="preserve"> calling on the New York State Legislature to pass, and the Governor to sign, A.9398/S.8166, to establish the Nail Salon Minimum Standards Act;  </w:t>
      </w:r>
      <w:r w:rsidR="006E3B84">
        <w:t xml:space="preserve">and </w:t>
      </w:r>
      <w:r w:rsidR="0033554A" w:rsidRPr="00437DD1">
        <w:t>Res</w:t>
      </w:r>
      <w:r w:rsidR="006E3B84">
        <w:t>.</w:t>
      </w:r>
      <w:r w:rsidR="0033554A" w:rsidRPr="00437DD1">
        <w:t xml:space="preserve"> 547 (Res. 547)</w:t>
      </w:r>
      <w:r w:rsidR="00437DD1">
        <w:t>,</w:t>
      </w:r>
      <w:r w:rsidR="0033554A" w:rsidRPr="00437DD1">
        <w:t xml:space="preserve"> calling upon the New York </w:t>
      </w:r>
      <w:r w:rsidR="00811AA9" w:rsidRPr="00437DD1">
        <w:t>City</w:t>
      </w:r>
      <w:r w:rsidR="0033554A" w:rsidRPr="00437DD1">
        <w:t xml:space="preserve"> School Construction Authority (SCA) and the New York </w:t>
      </w:r>
      <w:r w:rsidR="00811AA9" w:rsidRPr="00437DD1">
        <w:t>City</w:t>
      </w:r>
      <w:r w:rsidR="0033554A" w:rsidRPr="00437DD1">
        <w:t xml:space="preserve"> Department of Design and Construction (DDC) to reconsider their decision to substitute precast concrete wall panels in place of traditional handset brick and block walls in public projects in New York </w:t>
      </w:r>
      <w:r w:rsidR="00811AA9" w:rsidRPr="00437DD1">
        <w:t>City</w:t>
      </w:r>
      <w:r w:rsidR="0033554A" w:rsidRPr="00437DD1">
        <w:t>.</w:t>
      </w:r>
      <w:r w:rsidR="0033554A" w:rsidRPr="00437DD1">
        <w:rPr>
          <w:color w:val="000000"/>
          <w:shd w:val="clear" w:color="auto" w:fill="FFFFFF"/>
        </w:rPr>
        <w:t xml:space="preserve"> </w:t>
      </w:r>
      <w:r w:rsidRPr="00437DD1">
        <w:t xml:space="preserve">Witnesses invited to testify include representatives from the New York </w:t>
      </w:r>
      <w:r w:rsidR="00811AA9" w:rsidRPr="00437DD1">
        <w:t>City</w:t>
      </w:r>
      <w:r w:rsidRPr="00437DD1">
        <w:t xml:space="preserve"> Department of </w:t>
      </w:r>
      <w:r w:rsidR="00811AA9" w:rsidRPr="00437DD1">
        <w:t>City</w:t>
      </w:r>
      <w:r w:rsidR="00B0252A" w:rsidRPr="00437DD1">
        <w:t>wide Administrative Services</w:t>
      </w:r>
      <w:r w:rsidR="00305ABE" w:rsidRPr="00437DD1">
        <w:t xml:space="preserve"> (DCAS)</w:t>
      </w:r>
      <w:r w:rsidRPr="00437DD1">
        <w:t xml:space="preserve">, </w:t>
      </w:r>
      <w:r w:rsidR="00B0252A" w:rsidRPr="00437DD1">
        <w:t xml:space="preserve">municipal </w:t>
      </w:r>
      <w:r w:rsidRPr="00437DD1">
        <w:t>labor unions</w:t>
      </w:r>
      <w:r w:rsidR="006E3B84">
        <w:t>,</w:t>
      </w:r>
      <w:r w:rsidRPr="00437DD1">
        <w:t xml:space="preserve"> </w:t>
      </w:r>
      <w:r w:rsidR="00B0252A" w:rsidRPr="00437DD1">
        <w:t xml:space="preserve">and </w:t>
      </w:r>
      <w:r w:rsidRPr="00437DD1">
        <w:t>other interested stakeholders and members of the public.</w:t>
      </w:r>
    </w:p>
    <w:p w14:paraId="07ED02B5" w14:textId="5EB63684" w:rsidR="000C306F" w:rsidRPr="00437DD1" w:rsidRDefault="00B0252A" w:rsidP="00437DD1">
      <w:pPr>
        <w:spacing w:line="480" w:lineRule="auto"/>
        <w:ind w:firstLine="360"/>
        <w:jc w:val="both"/>
      </w:pPr>
      <w:r w:rsidRPr="00437DD1">
        <w:t xml:space="preserve"> </w:t>
      </w:r>
    </w:p>
    <w:p w14:paraId="5BF51766" w14:textId="77777777" w:rsidR="00305ABE" w:rsidRPr="00305ABE" w:rsidRDefault="00305ABE" w:rsidP="00305ABE">
      <w:pPr>
        <w:pStyle w:val="ColorfulList-Accent11"/>
        <w:numPr>
          <w:ilvl w:val="0"/>
          <w:numId w:val="1"/>
        </w:numPr>
        <w:spacing w:line="480" w:lineRule="auto"/>
        <w:jc w:val="both"/>
        <w:rPr>
          <w:rFonts w:ascii="Times New Roman" w:hAnsi="Times New Roman"/>
          <w:b/>
          <w:smallCaps/>
        </w:rPr>
      </w:pPr>
      <w:r w:rsidRPr="00305ABE">
        <w:rPr>
          <w:rFonts w:ascii="Times New Roman" w:hAnsi="Times New Roman"/>
          <w:b/>
          <w:smallCaps/>
        </w:rPr>
        <w:t xml:space="preserve">Background </w:t>
      </w:r>
    </w:p>
    <w:p w14:paraId="648F9904" w14:textId="4567BD6B" w:rsidR="00305ABE" w:rsidRPr="00102324" w:rsidRDefault="00305ABE" w:rsidP="00102324">
      <w:pPr>
        <w:pStyle w:val="ListParagraph"/>
        <w:numPr>
          <w:ilvl w:val="1"/>
          <w:numId w:val="1"/>
        </w:numPr>
        <w:rPr>
          <w:b/>
          <w:bCs/>
          <w:i/>
          <w:iCs/>
        </w:rPr>
      </w:pPr>
      <w:r w:rsidRPr="00102324">
        <w:rPr>
          <w:b/>
          <w:bCs/>
          <w:i/>
          <w:iCs/>
        </w:rPr>
        <w:t xml:space="preserve">Department of </w:t>
      </w:r>
      <w:r w:rsidR="00811AA9">
        <w:rPr>
          <w:b/>
          <w:bCs/>
          <w:i/>
          <w:iCs/>
        </w:rPr>
        <w:t>City</w:t>
      </w:r>
      <w:r w:rsidRPr="00102324">
        <w:rPr>
          <w:b/>
          <w:bCs/>
          <w:i/>
          <w:iCs/>
        </w:rPr>
        <w:t xml:space="preserve">wide Administrative Services </w:t>
      </w:r>
    </w:p>
    <w:p w14:paraId="67FEA383" w14:textId="3B5A429E" w:rsidR="00305ABE" w:rsidRPr="00305ABE" w:rsidRDefault="00305ABE" w:rsidP="00305ABE"/>
    <w:p w14:paraId="70AA20AB" w14:textId="040CB4C3" w:rsidR="00102324" w:rsidRPr="00437DD1" w:rsidRDefault="00305ABE" w:rsidP="00437DD1">
      <w:pPr>
        <w:spacing w:line="480" w:lineRule="auto"/>
        <w:ind w:firstLine="720"/>
        <w:jc w:val="both"/>
      </w:pPr>
      <w:r>
        <w:t xml:space="preserve">DCAS provides agencies throughout </w:t>
      </w:r>
      <w:r w:rsidR="004F2B6B">
        <w:t xml:space="preserve">New York </w:t>
      </w:r>
      <w:r w:rsidR="00811AA9">
        <w:t>City</w:t>
      </w:r>
      <w:r>
        <w:t xml:space="preserve"> government </w:t>
      </w:r>
      <w:r w:rsidR="004F2B6B">
        <w:t xml:space="preserve">(City) </w:t>
      </w:r>
      <w:r>
        <w:t>with various forms of administrative support.</w:t>
      </w:r>
      <w:r>
        <w:rPr>
          <w:rStyle w:val="FootnoteReference"/>
        </w:rPr>
        <w:footnoteReference w:id="1"/>
      </w:r>
      <w:r>
        <w:t xml:space="preserve"> The DCAS Human Capital team is responsible for providing </w:t>
      </w:r>
      <w:r w:rsidR="004F2B6B">
        <w:t xml:space="preserve">City </w:t>
      </w:r>
      <w:r>
        <w:t>agencies with personnel-related services.</w:t>
      </w:r>
      <w:r>
        <w:rPr>
          <w:rStyle w:val="FootnoteReference"/>
        </w:rPr>
        <w:footnoteReference w:id="2"/>
      </w:r>
      <w:r>
        <w:t xml:space="preserve"> The primary functions of the Human Capital team include: (i) recruiting candidates for </w:t>
      </w:r>
      <w:r w:rsidR="004F2B6B">
        <w:t xml:space="preserve">City </w:t>
      </w:r>
      <w:r>
        <w:t>employment;</w:t>
      </w:r>
      <w:r>
        <w:rPr>
          <w:rStyle w:val="FootnoteReference"/>
        </w:rPr>
        <w:footnoteReference w:id="3"/>
      </w:r>
      <w:r>
        <w:t xml:space="preserve"> (ii) helping </w:t>
      </w:r>
      <w:r w:rsidR="004F2B6B">
        <w:t xml:space="preserve">City </w:t>
      </w:r>
      <w:r>
        <w:t>agencies meet their hiring needs in a manner consistent with local, state, and federal law;</w:t>
      </w:r>
      <w:r>
        <w:rPr>
          <w:rStyle w:val="FootnoteReference"/>
        </w:rPr>
        <w:footnoteReference w:id="4"/>
      </w:r>
      <w:r>
        <w:t xml:space="preserve"> (iii) overseeing background investigations of </w:t>
      </w:r>
      <w:r w:rsidR="004F2B6B">
        <w:t xml:space="preserve">City </w:t>
      </w:r>
      <w:r>
        <w:t>employees;</w:t>
      </w:r>
      <w:r>
        <w:rPr>
          <w:rStyle w:val="FootnoteReference"/>
        </w:rPr>
        <w:footnoteReference w:id="5"/>
      </w:r>
      <w:r>
        <w:t xml:space="preserve"> (iv) administering civil service exams;</w:t>
      </w:r>
      <w:r>
        <w:rPr>
          <w:rStyle w:val="FootnoteReference"/>
        </w:rPr>
        <w:footnoteReference w:id="6"/>
      </w:r>
      <w:r>
        <w:t xml:space="preserve"> (v) developing and interpreting </w:t>
      </w:r>
      <w:r w:rsidR="004F2B6B">
        <w:t xml:space="preserve">Citywide </w:t>
      </w:r>
      <w:r>
        <w:t>personnel policies;</w:t>
      </w:r>
      <w:r>
        <w:rPr>
          <w:rStyle w:val="FootnoteReference"/>
        </w:rPr>
        <w:footnoteReference w:id="7"/>
      </w:r>
      <w:r>
        <w:t xml:space="preserve"> (vi) conducting professional development and employee training programs;</w:t>
      </w:r>
      <w:r>
        <w:rPr>
          <w:rStyle w:val="FootnoteReference"/>
        </w:rPr>
        <w:footnoteReference w:id="8"/>
      </w:r>
      <w:r>
        <w:t xml:space="preserve"> and (vii) performing other personnel-related functions.</w:t>
      </w:r>
      <w:r>
        <w:rPr>
          <w:rStyle w:val="FootnoteReference"/>
        </w:rPr>
        <w:footnoteReference w:id="9"/>
      </w:r>
      <w:r w:rsidR="00102324">
        <w:t xml:space="preserve">  </w:t>
      </w:r>
    </w:p>
    <w:p w14:paraId="319A7C24" w14:textId="71F0CC37" w:rsidR="0033554A" w:rsidRPr="00102324" w:rsidRDefault="0033554A" w:rsidP="00102324">
      <w:pPr>
        <w:pStyle w:val="ListParagraph"/>
        <w:numPr>
          <w:ilvl w:val="1"/>
          <w:numId w:val="1"/>
        </w:numPr>
        <w:rPr>
          <w:b/>
        </w:rPr>
      </w:pPr>
      <w:r w:rsidRPr="00102324">
        <w:rPr>
          <w:b/>
          <w:bCs/>
          <w:i/>
          <w:iCs/>
        </w:rPr>
        <w:t>Vacancies Across the Municipal Workforce</w:t>
      </w:r>
    </w:p>
    <w:p w14:paraId="7FF06ACD" w14:textId="77777777" w:rsidR="0033554A" w:rsidRPr="0033554A" w:rsidRDefault="0033554A" w:rsidP="0033554A">
      <w:pPr>
        <w:pStyle w:val="ListParagraph"/>
        <w:ind w:left="1080"/>
        <w:jc w:val="both"/>
        <w:rPr>
          <w:b/>
        </w:rPr>
      </w:pPr>
    </w:p>
    <w:p w14:paraId="0E993A5D" w14:textId="767F4C1E" w:rsidR="0033554A" w:rsidRDefault="004F2B6B" w:rsidP="0033554A">
      <w:pPr>
        <w:spacing w:line="480" w:lineRule="auto"/>
        <w:ind w:firstLine="720"/>
        <w:jc w:val="both"/>
      </w:pPr>
      <w:r>
        <w:t>The</w:t>
      </w:r>
      <w:r w:rsidR="0033554A">
        <w:t xml:space="preserve"> </w:t>
      </w:r>
      <w:r w:rsidR="00811AA9">
        <w:t>City</w:t>
      </w:r>
      <w:r w:rsidR="0033554A">
        <w:t xml:space="preserve"> faced numerous</w:t>
      </w:r>
      <w:r w:rsidR="0033554A" w:rsidRPr="00331A6C">
        <w:t xml:space="preserve"> challenges after the COVID-19 pandemic </w:t>
      </w:r>
      <w:r w:rsidR="00D87AE2">
        <w:t>outbreak</w:t>
      </w:r>
      <w:r w:rsidR="0033554A" w:rsidRPr="00331A6C">
        <w:t xml:space="preserve"> in March 2020, including a decline in anticipated resources and a substantial change in the demand for certain municipal services.</w:t>
      </w:r>
      <w:r w:rsidR="0033554A">
        <w:rPr>
          <w:rStyle w:val="FootnoteReference"/>
        </w:rPr>
        <w:footnoteReference w:id="10"/>
      </w:r>
      <w:r w:rsidR="0033554A">
        <w:t xml:space="preserve"> </w:t>
      </w:r>
      <w:r w:rsidR="0033554A" w:rsidRPr="00FE3DB3">
        <w:t xml:space="preserve">In response to budgetary issues created by the pandemic, the </w:t>
      </w:r>
      <w:r>
        <w:t>City</w:t>
      </w:r>
      <w:r w:rsidRPr="00FE3DB3">
        <w:t xml:space="preserve"> </w:t>
      </w:r>
      <w:r w:rsidR="0033554A" w:rsidRPr="00FE3DB3">
        <w:t xml:space="preserve">implemented a hiring freeze </w:t>
      </w:r>
      <w:r w:rsidR="0033554A">
        <w:t xml:space="preserve">that was in effect between March 2020 and April 2021 </w:t>
      </w:r>
      <w:r w:rsidR="0033554A" w:rsidRPr="00FE3DB3">
        <w:t>on nonessential, nonrevenue-generating positions to help close its budget gaps, resulting in a net employment decline.</w:t>
      </w:r>
      <w:r w:rsidR="0033554A">
        <w:rPr>
          <w:rStyle w:val="FootnoteReference"/>
        </w:rPr>
        <w:footnoteReference w:id="11"/>
      </w:r>
      <w:r w:rsidR="0033554A" w:rsidRPr="00FE3DB3">
        <w:t xml:space="preserve"> </w:t>
      </w:r>
      <w:r w:rsidR="0033554A" w:rsidRPr="006B2CF3">
        <w:t>The pace of hiring has picked up since April 2021, but not fast enough to offset attrition.</w:t>
      </w:r>
      <w:r w:rsidR="0033554A">
        <w:rPr>
          <w:rStyle w:val="FootnoteReference"/>
        </w:rPr>
        <w:footnoteReference w:id="12"/>
      </w:r>
    </w:p>
    <w:p w14:paraId="2760A7A0" w14:textId="63804991" w:rsidR="0033554A" w:rsidRPr="00132E9B" w:rsidRDefault="008048C5" w:rsidP="0033554A">
      <w:pPr>
        <w:spacing w:line="480" w:lineRule="auto"/>
        <w:ind w:firstLine="720"/>
        <w:jc w:val="both"/>
      </w:pPr>
      <w:r>
        <w:t>As of</w:t>
      </w:r>
      <w:r w:rsidR="00D87AE2">
        <w:t xml:space="preserve"> April 2023, </w:t>
      </w:r>
      <w:r w:rsidR="00D87AE2" w:rsidRPr="0015693C">
        <w:t xml:space="preserve">the </w:t>
      </w:r>
      <w:r w:rsidR="004F2B6B">
        <w:t>City</w:t>
      </w:r>
      <w:r w:rsidR="004F2B6B" w:rsidRPr="0015693C">
        <w:t xml:space="preserve"> </w:t>
      </w:r>
      <w:r w:rsidR="00D87AE2" w:rsidRPr="0015693C">
        <w:t xml:space="preserve">had </w:t>
      </w:r>
      <w:r w:rsidR="006B6B9D">
        <w:t>22,964</w:t>
      </w:r>
      <w:r w:rsidR="00D87AE2" w:rsidRPr="0015693C">
        <w:t xml:space="preserve"> vacant full-time positions, resulting in an overall vacancy rate of </w:t>
      </w:r>
      <w:r w:rsidR="006B6B9D">
        <w:t>7</w:t>
      </w:r>
      <w:r w:rsidR="00D87AE2" w:rsidRPr="0015693C">
        <w:t>.</w:t>
      </w:r>
      <w:r w:rsidR="006B6B9D">
        <w:t>9</w:t>
      </w:r>
      <w:r w:rsidR="00D87AE2" w:rsidRPr="0015693C">
        <w:t>%</w:t>
      </w:r>
      <w:r w:rsidR="00D87AE2">
        <w:t xml:space="preserve"> b</w:t>
      </w:r>
      <w:r w:rsidR="0033554A" w:rsidRPr="00A02F4E">
        <w:t xml:space="preserve">ased </w:t>
      </w:r>
      <w:r w:rsidR="0033554A" w:rsidRPr="0015693C">
        <w:t xml:space="preserve">on actual staffing levels as of </w:t>
      </w:r>
      <w:r w:rsidR="001D4C7F" w:rsidRPr="0015693C">
        <w:t>April</w:t>
      </w:r>
      <w:r w:rsidR="0033554A" w:rsidRPr="0015693C">
        <w:t xml:space="preserve"> 202</w:t>
      </w:r>
      <w:r w:rsidR="001D4C7F" w:rsidRPr="0015693C">
        <w:t>3</w:t>
      </w:r>
      <w:r w:rsidR="0033554A" w:rsidRPr="0015693C">
        <w:t xml:space="preserve"> and the FY 202</w:t>
      </w:r>
      <w:r w:rsidR="001D4C7F" w:rsidRPr="0015693C">
        <w:t>3</w:t>
      </w:r>
      <w:r w:rsidR="0033554A" w:rsidRPr="0015693C">
        <w:t xml:space="preserve"> authorized staffing levels</w:t>
      </w:r>
      <w:r w:rsidR="00D87AE2">
        <w:t>.</w:t>
      </w:r>
      <w:r w:rsidR="0033554A" w:rsidRPr="0015693C">
        <w:rPr>
          <w:rStyle w:val="FootnoteReference"/>
        </w:rPr>
        <w:footnoteReference w:id="13"/>
      </w:r>
      <w:r w:rsidR="0033554A" w:rsidRPr="0015693C">
        <w:t xml:space="preserve"> </w:t>
      </w:r>
      <w:r w:rsidR="005A5C35" w:rsidRPr="0015693C">
        <w:t>Th</w:t>
      </w:r>
      <w:r w:rsidR="004F2B6B">
        <w:t>i</w:t>
      </w:r>
      <w:r w:rsidR="005A5C35" w:rsidRPr="0015693C">
        <w:t xml:space="preserve">s </w:t>
      </w:r>
      <w:r w:rsidR="0033554A" w:rsidRPr="0015693C">
        <w:t xml:space="preserve">is more than </w:t>
      </w:r>
      <w:r w:rsidR="006B6B9D">
        <w:t>five</w:t>
      </w:r>
      <w:r w:rsidR="004A748D">
        <w:t xml:space="preserve"> </w:t>
      </w:r>
      <w:r w:rsidR="005A5C35" w:rsidRPr="0015693C">
        <w:t>time</w:t>
      </w:r>
      <w:r w:rsidR="004F2B6B">
        <w:t>s</w:t>
      </w:r>
      <w:r w:rsidR="0033554A" w:rsidRPr="0015693C">
        <w:t xml:space="preserve"> higher than</w:t>
      </w:r>
      <w:r w:rsidR="004F2B6B">
        <w:t xml:space="preserve"> the</w:t>
      </w:r>
      <w:r w:rsidR="0033554A" w:rsidRPr="0015693C">
        <w:t xml:space="preserve"> 1.5% rate the </w:t>
      </w:r>
      <w:r w:rsidR="004F2B6B">
        <w:t>City</w:t>
      </w:r>
      <w:r w:rsidR="004F2B6B" w:rsidRPr="0015693C">
        <w:t xml:space="preserve"> </w:t>
      </w:r>
      <w:r w:rsidR="0033554A" w:rsidRPr="0015693C">
        <w:t>saw in March 2020 and March 2019.</w:t>
      </w:r>
      <w:r w:rsidR="0033554A" w:rsidRPr="0015693C">
        <w:rPr>
          <w:rStyle w:val="FootnoteReference"/>
        </w:rPr>
        <w:footnoteReference w:id="14"/>
      </w:r>
      <w:r w:rsidR="0033554A" w:rsidRPr="0015693C">
        <w:t xml:space="preserve">  While vacancy rates vary widely, most agencies had vacancy rates exceeding 5% as of </w:t>
      </w:r>
      <w:r w:rsidR="001D4C7F" w:rsidRPr="0015693C">
        <w:t>April</w:t>
      </w:r>
      <w:r w:rsidR="0033554A">
        <w:t xml:space="preserve"> 202</w:t>
      </w:r>
      <w:r w:rsidR="001D4C7F">
        <w:t>3</w:t>
      </w:r>
      <w:r w:rsidR="0033554A">
        <w:t>.</w:t>
      </w:r>
      <w:r w:rsidR="0033554A">
        <w:rPr>
          <w:rStyle w:val="FootnoteReference"/>
        </w:rPr>
        <w:footnoteReference w:id="15"/>
      </w:r>
      <w:r w:rsidR="0033554A">
        <w:t xml:space="preserve"> A</w:t>
      </w:r>
      <w:r w:rsidR="0033554A" w:rsidRPr="00533660">
        <w:t xml:space="preserve">mong agencies with over 100 full-time staff, the vacancy rate </w:t>
      </w:r>
      <w:r w:rsidR="0033554A">
        <w:t>was</w:t>
      </w:r>
      <w:r w:rsidR="0033554A" w:rsidRPr="00533660">
        <w:t xml:space="preserve"> highest at the Department of </w:t>
      </w:r>
      <w:r w:rsidR="009727FF">
        <w:t>Small Business Services</w:t>
      </w:r>
      <w:r w:rsidR="0033554A" w:rsidRPr="00533660">
        <w:t xml:space="preserve"> (</w:t>
      </w:r>
      <w:r w:rsidR="004A748D">
        <w:t>26%</w:t>
      </w:r>
      <w:r w:rsidR="0033554A">
        <w:t>%</w:t>
      </w:r>
      <w:r w:rsidR="0033554A" w:rsidRPr="00533660">
        <w:t xml:space="preserve">, </w:t>
      </w:r>
      <w:r w:rsidR="0033554A">
        <w:t xml:space="preserve">with </w:t>
      </w:r>
      <w:r w:rsidR="004A748D">
        <w:t>83</w:t>
      </w:r>
      <w:r w:rsidR="004A748D" w:rsidRPr="00533660">
        <w:t xml:space="preserve"> </w:t>
      </w:r>
      <w:r w:rsidR="0033554A">
        <w:t xml:space="preserve">vacant </w:t>
      </w:r>
      <w:r w:rsidR="0033554A" w:rsidRPr="00533660">
        <w:t xml:space="preserve">positions) and the </w:t>
      </w:r>
      <w:r w:rsidR="004A748D">
        <w:t>Department of Buildings</w:t>
      </w:r>
      <w:r w:rsidR="0033554A" w:rsidRPr="00533660">
        <w:t xml:space="preserve"> (</w:t>
      </w:r>
      <w:r w:rsidR="004A748D">
        <w:t>18</w:t>
      </w:r>
      <w:r w:rsidR="0033554A">
        <w:t>%</w:t>
      </w:r>
      <w:r w:rsidR="0033554A" w:rsidRPr="00533660">
        <w:t xml:space="preserve">, </w:t>
      </w:r>
      <w:r w:rsidR="0033554A">
        <w:t xml:space="preserve">with </w:t>
      </w:r>
      <w:r w:rsidR="004A748D">
        <w:t>336</w:t>
      </w:r>
      <w:r w:rsidR="004A748D" w:rsidRPr="00533660">
        <w:t xml:space="preserve"> </w:t>
      </w:r>
      <w:r w:rsidR="0033554A">
        <w:t xml:space="preserve">vacant </w:t>
      </w:r>
      <w:r w:rsidR="009727FF">
        <w:t>positions</w:t>
      </w:r>
      <w:r w:rsidR="004F2B6B">
        <w:t>)</w:t>
      </w:r>
      <w:r w:rsidR="0033554A" w:rsidRPr="00301E77">
        <w:t>.</w:t>
      </w:r>
      <w:r w:rsidR="0033554A" w:rsidRPr="00301E77">
        <w:rPr>
          <w:rStyle w:val="FootnoteReference"/>
        </w:rPr>
        <w:footnoteReference w:id="16"/>
      </w:r>
      <w:r w:rsidR="0033554A" w:rsidRPr="00301E77">
        <w:t xml:space="preserve"> </w:t>
      </w:r>
      <w:r w:rsidR="004F2B6B">
        <w:t>Forty</w:t>
      </w:r>
      <w:r w:rsidR="0033554A" w:rsidRPr="0015693C">
        <w:t xml:space="preserve"> agencies had vacancy rates of more than 5%, and </w:t>
      </w:r>
      <w:r w:rsidR="004A748D">
        <w:t>26</w:t>
      </w:r>
      <w:r w:rsidR="004A748D" w:rsidRPr="0015693C">
        <w:t xml:space="preserve"> </w:t>
      </w:r>
      <w:r w:rsidR="0033554A" w:rsidRPr="0015693C">
        <w:t>agencies had rates above 10%.</w:t>
      </w:r>
      <w:r w:rsidR="0033554A" w:rsidRPr="0015693C">
        <w:rPr>
          <w:rStyle w:val="FootnoteReference"/>
        </w:rPr>
        <w:footnoteReference w:id="17"/>
      </w:r>
      <w:r w:rsidR="0033554A" w:rsidRPr="00533660">
        <w:t xml:space="preserve"> </w:t>
      </w:r>
    </w:p>
    <w:p w14:paraId="420B748D" w14:textId="4B932EF2" w:rsidR="0033554A" w:rsidRPr="00132E9B" w:rsidRDefault="0033554A" w:rsidP="0033554A">
      <w:pPr>
        <w:spacing w:line="480" w:lineRule="auto"/>
        <w:ind w:firstLine="720"/>
        <w:jc w:val="both"/>
        <w:rPr>
          <w:iCs/>
        </w:rPr>
      </w:pPr>
      <w:r>
        <w:rPr>
          <w:iCs/>
        </w:rPr>
        <w:t>The fo</w:t>
      </w:r>
      <w:r w:rsidR="008F32EC">
        <w:rPr>
          <w:iCs/>
        </w:rPr>
        <w:t>llowing table shows the highest</w:t>
      </w:r>
      <w:r>
        <w:rPr>
          <w:iCs/>
        </w:rPr>
        <w:t xml:space="preserve"> vacancy rates </w:t>
      </w:r>
      <w:r w:rsidR="001D4C7F">
        <w:rPr>
          <w:iCs/>
        </w:rPr>
        <w:t xml:space="preserve">as of April 2023 </w:t>
      </w:r>
      <w:r>
        <w:rPr>
          <w:iCs/>
        </w:rPr>
        <w:t>among mayoral agencies with at least 100 authorized full-time positions</w:t>
      </w:r>
      <w:r w:rsidR="004F2B6B">
        <w:rPr>
          <w:iCs/>
        </w:rPr>
        <w:t>.</w:t>
      </w:r>
      <w:r w:rsidR="00EA4036">
        <w:rPr>
          <w:rStyle w:val="FootnoteReference"/>
          <w:iCs/>
        </w:rPr>
        <w:footnoteReference w:id="18"/>
      </w:r>
    </w:p>
    <w:p w14:paraId="4BD1076E" w14:textId="48955B40" w:rsidR="008F32EC" w:rsidRDefault="008F32EC" w:rsidP="0095115E">
      <w:pPr>
        <w:pStyle w:val="ListParagraph"/>
        <w:ind w:left="1440"/>
        <w:jc w:val="center"/>
        <w:rPr>
          <w:b/>
          <w:noProof/>
        </w:rPr>
      </w:pPr>
    </w:p>
    <w:p w14:paraId="24DA8D6E" w14:textId="43C82F30" w:rsidR="0095115E" w:rsidRDefault="0095115E" w:rsidP="0095115E">
      <w:pPr>
        <w:pStyle w:val="ListParagraph"/>
        <w:ind w:left="1440"/>
        <w:jc w:val="center"/>
        <w:rPr>
          <w:b/>
          <w:noProof/>
        </w:rPr>
      </w:pPr>
    </w:p>
    <w:p w14:paraId="71C7155B" w14:textId="0EDB4AA9" w:rsidR="0095115E" w:rsidRDefault="0095115E" w:rsidP="0095115E">
      <w:pPr>
        <w:pStyle w:val="ListParagraph"/>
        <w:ind w:left="1440"/>
        <w:jc w:val="center"/>
        <w:rPr>
          <w:b/>
          <w:noProof/>
        </w:rPr>
      </w:pPr>
    </w:p>
    <w:p w14:paraId="0DCBE833" w14:textId="6EC65497" w:rsidR="0095115E" w:rsidRDefault="0095115E" w:rsidP="0095115E">
      <w:pPr>
        <w:pStyle w:val="ListParagraph"/>
        <w:ind w:left="1440"/>
        <w:jc w:val="center"/>
        <w:rPr>
          <w:b/>
          <w:noProof/>
        </w:rPr>
      </w:pPr>
    </w:p>
    <w:p w14:paraId="49A823DC" w14:textId="0C9A75CA" w:rsidR="0095115E" w:rsidRDefault="0095115E" w:rsidP="0095115E">
      <w:pPr>
        <w:pStyle w:val="ListParagraph"/>
        <w:ind w:left="1440"/>
        <w:jc w:val="center"/>
        <w:rPr>
          <w:b/>
          <w:noProof/>
        </w:rPr>
      </w:pPr>
    </w:p>
    <w:p w14:paraId="1CA58985" w14:textId="77777777" w:rsidR="0095115E" w:rsidRDefault="0095115E" w:rsidP="0095115E">
      <w:pPr>
        <w:pStyle w:val="ListParagraph"/>
        <w:ind w:left="1440"/>
        <w:jc w:val="center"/>
        <w:rPr>
          <w:b/>
          <w:bCs/>
          <w:i/>
          <w:iCs/>
        </w:rPr>
      </w:pPr>
    </w:p>
    <w:p w14:paraId="4148FDF6" w14:textId="7FDF3899" w:rsidR="008F32EC" w:rsidRDefault="008F32EC" w:rsidP="008F32EC">
      <w:pPr>
        <w:pStyle w:val="ListParagraph"/>
        <w:ind w:left="1440"/>
        <w:rPr>
          <w:b/>
          <w:bCs/>
          <w:i/>
          <w:iCs/>
        </w:rPr>
      </w:pPr>
    </w:p>
    <w:p w14:paraId="318B3574" w14:textId="744C091B" w:rsidR="008F32EC" w:rsidRDefault="008F32EC" w:rsidP="008F32EC">
      <w:pPr>
        <w:pStyle w:val="ListParagraph"/>
        <w:ind w:left="1440"/>
        <w:rPr>
          <w:b/>
          <w:bCs/>
          <w:i/>
          <w:iCs/>
        </w:rPr>
      </w:pPr>
    </w:p>
    <w:p w14:paraId="24064B2B" w14:textId="694A0131" w:rsidR="008F32EC" w:rsidRDefault="008F32EC" w:rsidP="008F32EC">
      <w:pPr>
        <w:pStyle w:val="ListParagraph"/>
        <w:ind w:left="1440"/>
        <w:rPr>
          <w:b/>
          <w:bCs/>
          <w:i/>
          <w:iCs/>
        </w:rPr>
      </w:pPr>
    </w:p>
    <w:p w14:paraId="571CA26B" w14:textId="6948AFCC" w:rsidR="008F32EC" w:rsidRDefault="008F32EC" w:rsidP="008F32EC">
      <w:pPr>
        <w:pStyle w:val="ListParagraph"/>
        <w:ind w:left="1440"/>
        <w:rPr>
          <w:b/>
          <w:bCs/>
          <w:i/>
          <w:iCs/>
        </w:rPr>
      </w:pPr>
    </w:p>
    <w:p w14:paraId="248D1A26" w14:textId="3F81AE49" w:rsidR="008F32EC" w:rsidRDefault="008F32EC" w:rsidP="008F32EC">
      <w:pPr>
        <w:pStyle w:val="ListParagraph"/>
        <w:ind w:left="1440"/>
        <w:rPr>
          <w:b/>
          <w:bCs/>
          <w:i/>
          <w:iCs/>
        </w:rPr>
      </w:pPr>
    </w:p>
    <w:p w14:paraId="6D07EF59" w14:textId="3E29D360" w:rsidR="0095115E" w:rsidRDefault="0095115E" w:rsidP="008F32EC">
      <w:pPr>
        <w:pStyle w:val="ListParagraph"/>
        <w:ind w:left="1440"/>
        <w:rPr>
          <w:b/>
          <w:bCs/>
          <w:i/>
          <w:iCs/>
        </w:rPr>
      </w:pPr>
    </w:p>
    <w:p w14:paraId="659EE417" w14:textId="77777777" w:rsidR="0095115E" w:rsidRDefault="0095115E" w:rsidP="008F32EC">
      <w:pPr>
        <w:pStyle w:val="ListParagraph"/>
        <w:ind w:left="1440"/>
        <w:rPr>
          <w:b/>
          <w:bCs/>
          <w:i/>
          <w:iCs/>
        </w:rPr>
      </w:pPr>
    </w:p>
    <w:p w14:paraId="7E8FCEB0" w14:textId="77777777" w:rsidR="008F32EC" w:rsidRDefault="008F32EC" w:rsidP="008F32EC">
      <w:pPr>
        <w:pStyle w:val="ListParagraph"/>
        <w:ind w:left="1440"/>
        <w:rPr>
          <w:b/>
          <w:bCs/>
          <w:i/>
          <w:iCs/>
        </w:rPr>
      </w:pPr>
    </w:p>
    <w:p w14:paraId="36BA286D" w14:textId="0EA39D8A" w:rsidR="0095115E" w:rsidRDefault="0095115E" w:rsidP="0095115E">
      <w:pPr>
        <w:pStyle w:val="ListParagraph"/>
        <w:ind w:left="0"/>
        <w:jc w:val="center"/>
        <w:rPr>
          <w:b/>
          <w:bCs/>
          <w:i/>
          <w:iCs/>
        </w:rPr>
      </w:pPr>
      <w:r w:rsidRPr="008F32EC">
        <w:rPr>
          <w:b/>
          <w:noProof/>
        </w:rPr>
        <w:drawing>
          <wp:inline distT="0" distB="0" distL="0" distR="0" wp14:anchorId="35DF7B2B" wp14:editId="5F33BEB2">
            <wp:extent cx="5340272" cy="7489825"/>
            <wp:effectExtent l="0" t="0" r="0" b="0"/>
            <wp:docPr id="3" name="Picture 3" descr="C:\Users\EArzt\Downloads\MicrosoftTeam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zt\Downloads\MicrosoftTeams-imag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814" cy="7621019"/>
                    </a:xfrm>
                    <a:prstGeom prst="rect">
                      <a:avLst/>
                    </a:prstGeom>
                    <a:noFill/>
                    <a:ln>
                      <a:noFill/>
                    </a:ln>
                  </pic:spPr>
                </pic:pic>
              </a:graphicData>
            </a:graphic>
          </wp:inline>
        </w:drawing>
      </w:r>
    </w:p>
    <w:p w14:paraId="6A7B2151" w14:textId="77777777" w:rsidR="0095115E" w:rsidRDefault="0095115E" w:rsidP="0095115E">
      <w:pPr>
        <w:pStyle w:val="ListParagraph"/>
        <w:ind w:left="1440"/>
        <w:rPr>
          <w:b/>
          <w:bCs/>
          <w:i/>
          <w:iCs/>
        </w:rPr>
      </w:pPr>
    </w:p>
    <w:p w14:paraId="62FA47DD" w14:textId="77777777" w:rsidR="0095115E" w:rsidRDefault="0095115E" w:rsidP="0095115E">
      <w:pPr>
        <w:pStyle w:val="ListParagraph"/>
        <w:ind w:left="1440"/>
        <w:rPr>
          <w:b/>
          <w:bCs/>
          <w:i/>
          <w:iCs/>
        </w:rPr>
      </w:pPr>
    </w:p>
    <w:p w14:paraId="66767074" w14:textId="77777777" w:rsidR="0095115E" w:rsidRDefault="0095115E" w:rsidP="0095115E">
      <w:pPr>
        <w:pStyle w:val="ListParagraph"/>
        <w:ind w:left="1440"/>
        <w:rPr>
          <w:b/>
          <w:bCs/>
          <w:i/>
          <w:iCs/>
        </w:rPr>
      </w:pPr>
    </w:p>
    <w:p w14:paraId="55E7F60C" w14:textId="77777777" w:rsidR="0095115E" w:rsidRDefault="0095115E" w:rsidP="0095115E">
      <w:pPr>
        <w:pStyle w:val="ListParagraph"/>
        <w:ind w:left="1440"/>
        <w:rPr>
          <w:b/>
          <w:bCs/>
          <w:i/>
          <w:iCs/>
        </w:rPr>
      </w:pPr>
    </w:p>
    <w:p w14:paraId="591142DD" w14:textId="713924D9" w:rsidR="009727FF" w:rsidRDefault="008F32EC" w:rsidP="0095115E">
      <w:pPr>
        <w:pStyle w:val="ListParagraph"/>
        <w:numPr>
          <w:ilvl w:val="1"/>
          <w:numId w:val="1"/>
        </w:numPr>
        <w:rPr>
          <w:b/>
          <w:bCs/>
          <w:i/>
          <w:iCs/>
        </w:rPr>
      </w:pPr>
      <w:r>
        <w:rPr>
          <w:b/>
          <w:bCs/>
          <w:i/>
          <w:iCs/>
        </w:rPr>
        <w:t>I</w:t>
      </w:r>
      <w:r w:rsidR="009727FF" w:rsidRPr="00102324">
        <w:rPr>
          <w:b/>
          <w:bCs/>
          <w:i/>
          <w:iCs/>
        </w:rPr>
        <w:t xml:space="preserve">mpact on Service Delivery </w:t>
      </w:r>
    </w:p>
    <w:p w14:paraId="10A6FDF7" w14:textId="77777777" w:rsidR="00102324" w:rsidRPr="00102324" w:rsidRDefault="00102324" w:rsidP="00102324">
      <w:pPr>
        <w:pStyle w:val="ListParagraph"/>
        <w:ind w:left="1440"/>
        <w:rPr>
          <w:b/>
          <w:bCs/>
          <w:i/>
          <w:iCs/>
        </w:rPr>
      </w:pPr>
    </w:p>
    <w:p w14:paraId="09298FE5" w14:textId="2309752C" w:rsidR="00305ABE" w:rsidRDefault="004F2B6B" w:rsidP="008F32EC">
      <w:pPr>
        <w:spacing w:line="480" w:lineRule="auto"/>
        <w:ind w:firstLine="720"/>
        <w:jc w:val="both"/>
      </w:pPr>
      <w:r>
        <w:t>City</w:t>
      </w:r>
      <w:r w:rsidRPr="00B66D5D">
        <w:t xml:space="preserve"> </w:t>
      </w:r>
      <w:r w:rsidR="00305ABE" w:rsidRPr="00B66D5D">
        <w:t xml:space="preserve">agencies provide </w:t>
      </w:r>
      <w:r w:rsidR="00305ABE">
        <w:t>vital</w:t>
      </w:r>
      <w:r w:rsidR="00305ABE" w:rsidRPr="00B66D5D">
        <w:t xml:space="preserve"> social safety net services, enforce administrative rules, and keep technological infrastructure running.</w:t>
      </w:r>
      <w:r w:rsidR="00305ABE">
        <w:rPr>
          <w:rStyle w:val="FootnoteReference"/>
        </w:rPr>
        <w:footnoteReference w:id="19"/>
      </w:r>
      <w:r w:rsidR="00305ABE">
        <w:t xml:space="preserve"> </w:t>
      </w:r>
      <w:r w:rsidR="00663935" w:rsidRPr="00663935">
        <w:t>The Department of Buildings is responsible for reviewing plans, issuing permits and inspecting critical infrastructur</w:t>
      </w:r>
      <w:r w:rsidR="00663935">
        <w:t>e for over a million structures</w:t>
      </w:r>
      <w:r>
        <w:t>,</w:t>
      </w:r>
      <w:r w:rsidR="00663935">
        <w:t xml:space="preserve"> and currently </w:t>
      </w:r>
      <w:r w:rsidR="008D0089">
        <w:t xml:space="preserve">has </w:t>
      </w:r>
      <w:r w:rsidR="008D0089" w:rsidRPr="00663935">
        <w:t>a</w:t>
      </w:r>
      <w:r w:rsidR="0095115E">
        <w:t>n</w:t>
      </w:r>
      <w:r w:rsidR="00663935" w:rsidRPr="00663935">
        <w:t xml:space="preserve"> </w:t>
      </w:r>
      <w:r w:rsidR="00663935">
        <w:t>1</w:t>
      </w:r>
      <w:r w:rsidR="008F32EC">
        <w:t>8</w:t>
      </w:r>
      <w:r>
        <w:t>%</w:t>
      </w:r>
      <w:r w:rsidR="00663935">
        <w:t xml:space="preserve"> vacancy rate.</w:t>
      </w:r>
      <w:r w:rsidR="00B83DD6">
        <w:rPr>
          <w:rStyle w:val="FootnoteReference"/>
        </w:rPr>
        <w:footnoteReference w:id="20"/>
      </w:r>
      <w:r w:rsidR="00663935">
        <w:t xml:space="preserve"> </w:t>
      </w:r>
      <w:r w:rsidR="00663935" w:rsidRPr="00663935">
        <w:t xml:space="preserve">Similarly, the Department of Housing Preservation &amp; Development (HPD), </w:t>
      </w:r>
      <w:r w:rsidR="00933041" w:rsidRPr="00933041">
        <w:t xml:space="preserve">which provides financing for both affordable new construction and existing multifamily properties, has an overall vacancy rate of </w:t>
      </w:r>
      <w:r w:rsidR="00933041">
        <w:t>1</w:t>
      </w:r>
      <w:r w:rsidR="0095115E">
        <w:t>4</w:t>
      </w:r>
      <w:r>
        <w:t>%</w:t>
      </w:r>
      <w:r w:rsidR="00933041">
        <w:rPr>
          <w:rFonts w:ascii="Helvetica" w:hAnsi="Helvetica"/>
          <w:color w:val="212529"/>
          <w:shd w:val="clear" w:color="auto" w:fill="FFFFFF"/>
        </w:rPr>
        <w:t>.</w:t>
      </w:r>
      <w:r w:rsidR="00B83DD6">
        <w:rPr>
          <w:rStyle w:val="FootnoteReference"/>
        </w:rPr>
        <w:footnoteReference w:id="21"/>
      </w:r>
      <w:r w:rsidR="00B83DD6">
        <w:rPr>
          <w:rFonts w:ascii="Helvetica" w:hAnsi="Helvetica"/>
          <w:color w:val="212529"/>
          <w:shd w:val="clear" w:color="auto" w:fill="FFFFFF"/>
        </w:rPr>
        <w:t xml:space="preserve"> </w:t>
      </w:r>
      <w:r w:rsidR="00663935" w:rsidRPr="00663935">
        <w:t>The Department of Social Services</w:t>
      </w:r>
      <w:r w:rsidR="008D0089">
        <w:t>,</w:t>
      </w:r>
      <w:r w:rsidR="00663935" w:rsidRPr="00663935">
        <w:t xml:space="preserve"> which has numerous mandated functions to support children and families, and to administer cash benefits and public assistance to New Yorkers, </w:t>
      </w:r>
      <w:r w:rsidR="00C05DE4">
        <w:t xml:space="preserve">has </w:t>
      </w:r>
      <w:r w:rsidR="008D0089">
        <w:t xml:space="preserve">a </w:t>
      </w:r>
      <w:r w:rsidR="0015693C">
        <w:t xml:space="preserve">vacancy rate of </w:t>
      </w:r>
      <w:r w:rsidR="00C05DE4">
        <w:t>17</w:t>
      </w:r>
      <w:r>
        <w:t>%</w:t>
      </w:r>
      <w:r w:rsidR="00C05DE4">
        <w:t>.</w:t>
      </w:r>
      <w:r w:rsidR="00B83DD6">
        <w:rPr>
          <w:rStyle w:val="FootnoteReference"/>
        </w:rPr>
        <w:footnoteReference w:id="22"/>
      </w:r>
      <w:r w:rsidR="00C05DE4">
        <w:t xml:space="preserve"> </w:t>
      </w:r>
      <w:r>
        <w:t>R</w:t>
      </w:r>
      <w:r w:rsidR="00305ABE">
        <w:t xml:space="preserve">ampant vacancies have hindered the </w:t>
      </w:r>
      <w:r>
        <w:t xml:space="preserve">City’s </w:t>
      </w:r>
      <w:r w:rsidR="00305ABE">
        <w:t xml:space="preserve">ability to deliver mission critical services to </w:t>
      </w:r>
      <w:r w:rsidR="00AD7EF7">
        <w:t xml:space="preserve">New York City (city) </w:t>
      </w:r>
      <w:r w:rsidR="00305ABE">
        <w:t>residents.</w:t>
      </w:r>
      <w:r w:rsidR="00305ABE">
        <w:rPr>
          <w:rStyle w:val="FootnoteReference"/>
        </w:rPr>
        <w:footnoteReference w:id="23"/>
      </w:r>
      <w:r w:rsidR="00305ABE">
        <w:t xml:space="preserve"> According to a March 2023 report by the </w:t>
      </w:r>
      <w:r w:rsidR="00AD7EF7">
        <w:t xml:space="preserve">City </w:t>
      </w:r>
      <w:r w:rsidR="00305ABE">
        <w:t>Comptroller’s office, o</w:t>
      </w:r>
      <w:r w:rsidR="00305ABE" w:rsidRPr="00BA06BA">
        <w:t>f the 15 agencies with the highest employee vacancy rates, nine have failed to meet immediate</w:t>
      </w:r>
      <w:r w:rsidR="00AD7EF7">
        <w:t>,</w:t>
      </w:r>
      <w:r w:rsidR="00305ABE" w:rsidRPr="00BA06BA">
        <w:t xml:space="preserve"> short-</w:t>
      </w:r>
      <w:r w:rsidR="00AD7EF7">
        <w:t xml:space="preserve">term, </w:t>
      </w:r>
      <w:r w:rsidR="00305ABE" w:rsidRPr="00BA06BA">
        <w:t>and long-term performance targets, leading to difficulty in delivering key services</w:t>
      </w:r>
      <w:r w:rsidR="00305ABE">
        <w:t>.</w:t>
      </w:r>
      <w:r w:rsidR="00305ABE">
        <w:rPr>
          <w:rStyle w:val="FootnoteReference"/>
        </w:rPr>
        <w:footnoteReference w:id="24"/>
      </w:r>
      <w:r w:rsidR="00305ABE">
        <w:t xml:space="preserve"> </w:t>
      </w:r>
    </w:p>
    <w:p w14:paraId="6F645A3D" w14:textId="04AE7251" w:rsidR="00284D89" w:rsidRDefault="00B66D5D" w:rsidP="00305ABE">
      <w:pPr>
        <w:spacing w:line="480" w:lineRule="auto"/>
        <w:ind w:firstLine="720"/>
        <w:jc w:val="both"/>
      </w:pPr>
      <w:r>
        <w:t>While</w:t>
      </w:r>
      <w:r w:rsidRPr="00B66D5D">
        <w:t xml:space="preserve"> </w:t>
      </w:r>
      <w:r>
        <w:t>s</w:t>
      </w:r>
      <w:r w:rsidR="004215EF">
        <w:t xml:space="preserve">ome agencies </w:t>
      </w:r>
      <w:r>
        <w:t xml:space="preserve">may </w:t>
      </w:r>
      <w:r w:rsidR="004215EF">
        <w:t xml:space="preserve">have lost staff </w:t>
      </w:r>
      <w:r w:rsidR="00A23C55">
        <w:t>due to</w:t>
      </w:r>
      <w:r w:rsidR="004215EF">
        <w:t xml:space="preserve"> unique circumstances</w:t>
      </w:r>
      <w:r>
        <w:t>,</w:t>
      </w:r>
      <w:r w:rsidR="004215EF">
        <w:t xml:space="preserve"> </w:t>
      </w:r>
      <w:r>
        <w:t>others</w:t>
      </w:r>
      <w:r w:rsidR="004215EF">
        <w:t xml:space="preserve"> face a common set of </w:t>
      </w:r>
      <w:r w:rsidR="00AD7EF7">
        <w:t xml:space="preserve">challenges caused by </w:t>
      </w:r>
      <w:r w:rsidR="004215EF">
        <w:t xml:space="preserve">systemic economic and policy factors </w:t>
      </w:r>
      <w:r w:rsidR="00AD7EF7">
        <w:t xml:space="preserve">that </w:t>
      </w:r>
      <w:r w:rsidR="004215EF">
        <w:t>includ</w:t>
      </w:r>
      <w:r w:rsidR="00AD7EF7">
        <w:t>e</w:t>
      </w:r>
      <w:r w:rsidR="004215EF">
        <w:t xml:space="preserve"> salary competition from the private sector,</w:t>
      </w:r>
      <w:r w:rsidR="004215EF" w:rsidRPr="004215EF">
        <w:t xml:space="preserve"> </w:t>
      </w:r>
      <w:r w:rsidR="00AD7EF7">
        <w:t>the c</w:t>
      </w:r>
      <w:r w:rsidR="00811AA9">
        <w:t>ity</w:t>
      </w:r>
      <w:r w:rsidR="004215EF">
        <w:t>’s high cost of living, headcount reduction efforts as part of the Mayor’s Program to Eliminate the Gap, and the Adams Administration’s resistance to hybrid work schedules.</w:t>
      </w:r>
      <w:r w:rsidR="00B83DD6">
        <w:rPr>
          <w:rStyle w:val="FootnoteReference"/>
        </w:rPr>
        <w:footnoteReference w:id="25"/>
      </w:r>
      <w:r>
        <w:t xml:space="preserve"> </w:t>
      </w:r>
      <w:r w:rsidR="00811AA9">
        <w:t>City</w:t>
      </w:r>
      <w:r w:rsidR="00C05DE4">
        <w:t xml:space="preserve"> officials have stressed that the </w:t>
      </w:r>
      <w:r w:rsidR="00AD7EF7">
        <w:t xml:space="preserve">City </w:t>
      </w:r>
      <w:r w:rsidR="00C05DE4">
        <w:t>must identify</w:t>
      </w:r>
      <w:r w:rsidR="00B81803">
        <w:t xml:space="preserve"> and address</w:t>
      </w:r>
      <w:r w:rsidR="00C05DE4">
        <w:t xml:space="preserve"> the </w:t>
      </w:r>
      <w:r w:rsidR="00EA4036">
        <w:t xml:space="preserve">various </w:t>
      </w:r>
      <w:r w:rsidR="00284D89">
        <w:t xml:space="preserve">reasons </w:t>
      </w:r>
      <w:r w:rsidR="00C05DE4">
        <w:t xml:space="preserve">municipal employees are leaving </w:t>
      </w:r>
      <w:r w:rsidR="00305ABE">
        <w:t>the public sector</w:t>
      </w:r>
      <w:r w:rsidR="00C05DE4">
        <w:t xml:space="preserve"> </w:t>
      </w:r>
      <w:r w:rsidR="00EA4036">
        <w:t xml:space="preserve">in order </w:t>
      </w:r>
      <w:r w:rsidR="00C05DE4">
        <w:t xml:space="preserve">to </w:t>
      </w:r>
      <w:r w:rsidR="00284D89">
        <w:t xml:space="preserve">remedy the vacancy crisis and ensure the timely delivery of services. </w:t>
      </w:r>
      <w:r w:rsidR="00B83DD6">
        <w:rPr>
          <w:rStyle w:val="FootnoteReference"/>
        </w:rPr>
        <w:footnoteReference w:id="26"/>
      </w:r>
    </w:p>
    <w:p w14:paraId="26F1E3C7" w14:textId="333842F9" w:rsidR="009727FF" w:rsidRPr="00102324" w:rsidRDefault="002245B8" w:rsidP="00102324">
      <w:pPr>
        <w:pStyle w:val="ListParagraph"/>
        <w:keepNext/>
        <w:numPr>
          <w:ilvl w:val="0"/>
          <w:numId w:val="1"/>
        </w:numPr>
        <w:spacing w:line="480" w:lineRule="auto"/>
        <w:jc w:val="both"/>
        <w:rPr>
          <w:rFonts w:ascii="Times New Roman Bold" w:hAnsi="Times New Roman Bold"/>
          <w:b/>
          <w:smallCaps/>
          <w:u w:val="single"/>
        </w:rPr>
      </w:pPr>
      <w:r w:rsidRPr="00102324">
        <w:rPr>
          <w:rFonts w:ascii="Times New Roman Bold" w:hAnsi="Times New Roman Bold"/>
          <w:b/>
          <w:smallCaps/>
          <w:u w:val="single"/>
        </w:rPr>
        <w:t>Legislative Analysis</w:t>
      </w:r>
      <w:r w:rsidR="00AD7EF7">
        <w:rPr>
          <w:rFonts w:ascii="Times New Roman Bold" w:hAnsi="Times New Roman Bold"/>
          <w:b/>
          <w:smallCaps/>
          <w:u w:val="single"/>
        </w:rPr>
        <w:t>- Int. 877-A</w:t>
      </w:r>
      <w:r w:rsidRPr="00102324">
        <w:rPr>
          <w:rFonts w:ascii="Times New Roman Bold" w:hAnsi="Times New Roman Bold"/>
          <w:b/>
          <w:smallCaps/>
          <w:u w:val="single"/>
        </w:rPr>
        <w:t xml:space="preserve"> </w:t>
      </w:r>
    </w:p>
    <w:p w14:paraId="7616C99B" w14:textId="19934054" w:rsidR="003F39A7" w:rsidRDefault="003F39A7" w:rsidP="0095115E">
      <w:pPr>
        <w:spacing w:line="480" w:lineRule="auto"/>
        <w:ind w:firstLine="720"/>
        <w:jc w:val="both"/>
      </w:pPr>
      <w:r>
        <w:t xml:space="preserve">Int. 877-A would require the Commissioner of the Department of </w:t>
      </w:r>
      <w:r w:rsidR="00811AA9">
        <w:t>City</w:t>
      </w:r>
      <w:r>
        <w:t xml:space="preserve">wide Administrative Services (DCAS) to create an exit survey for resigning and retiring employees designed to gather feedback from such employees on the quality of their work experience in the </w:t>
      </w:r>
      <w:r w:rsidR="00811AA9">
        <w:t>City</w:t>
      </w:r>
      <w:r>
        <w:t xml:space="preserve">’s civil service. Int. 877-A would require all </w:t>
      </w:r>
      <w:r w:rsidR="00811AA9">
        <w:t>City</w:t>
      </w:r>
      <w:r>
        <w:t xml:space="preserve"> agencies to submit their then-current exit surveys or policies to DCAS by January 1, 2024, for the Commissioner’s consideration when creating an exit survey. </w:t>
      </w:r>
    </w:p>
    <w:p w14:paraId="634128E1" w14:textId="77777777" w:rsidR="003F39A7" w:rsidRDefault="003F39A7" w:rsidP="0095115E">
      <w:pPr>
        <w:spacing w:line="480" w:lineRule="auto"/>
        <w:ind w:firstLine="720"/>
        <w:jc w:val="both"/>
      </w:pPr>
      <w:r>
        <w:t xml:space="preserve">Int. 877-A would require agencies to administer the exit survey created by the Commissioner to resigning or retiring employees. The number of people employed by an agency would determine the number of resigning or retiring employees to whom the exit surveys would be administered: agencies with 100,000 employees or more would be required to administer the survey, at random, to 20% of resigning or retiring employees; agencies with 50,000 to 99,999 employees would be required to administer the survey, at random, to 40% of resigning or retiring employees; and agencies with fewer than 49,999 employees would be required to administer the survey to all resigning or retiring employees. Int. 877-A would require that all exit surveys be administered on or before the last day of employment. </w:t>
      </w:r>
    </w:p>
    <w:p w14:paraId="55CA3D64" w14:textId="77777777" w:rsidR="003F39A7" w:rsidRDefault="003F39A7" w:rsidP="0095115E">
      <w:pPr>
        <w:spacing w:line="480" w:lineRule="auto"/>
        <w:ind w:firstLine="720"/>
        <w:jc w:val="both"/>
      </w:pPr>
      <w:r>
        <w:t xml:space="preserve">Int. 877-A would require all agencies to provide DCAS with data from administered exit surveys by September 15, 2024, and annually on or before September 15 every following year. </w:t>
      </w:r>
    </w:p>
    <w:p w14:paraId="4AA2169F" w14:textId="4BD41F3D" w:rsidR="003F39A7" w:rsidRDefault="003F39A7" w:rsidP="0095115E">
      <w:pPr>
        <w:spacing w:line="480" w:lineRule="auto"/>
        <w:ind w:firstLine="720"/>
        <w:jc w:val="both"/>
      </w:pPr>
      <w:r>
        <w:t xml:space="preserve">Int. 877-A would require DCAS to submit a report on exit surveys completed by resigning and retiring employees to the New York </w:t>
      </w:r>
      <w:r w:rsidR="00811AA9">
        <w:t>City</w:t>
      </w:r>
      <w:r>
        <w:t xml:space="preserve"> Commission on Human Rights and to the Speaker by March 30, 2025, and annually on or before March 30 every following year. Such report would include, but not be limited to, the following information: the number of resigning and retiring employees; the number of exit surveys administered; employee history with </w:t>
      </w:r>
      <w:r w:rsidR="00811AA9">
        <w:t>City</w:t>
      </w:r>
      <w:r>
        <w:t xml:space="preserve"> agencies; reasons for resignation or retirement; reports of discrimination experienced in the workplace; and other indicated challenges in relation to working conditions. </w:t>
      </w:r>
    </w:p>
    <w:p w14:paraId="474A9DD0" w14:textId="77777777" w:rsidR="003F39A7" w:rsidRDefault="003F39A7" w:rsidP="0095115E">
      <w:pPr>
        <w:spacing w:line="480" w:lineRule="auto"/>
        <w:ind w:firstLine="720"/>
        <w:jc w:val="both"/>
      </w:pPr>
      <w:r>
        <w:t>Int. 877-A would take effect immediately.</w:t>
      </w:r>
    </w:p>
    <w:p w14:paraId="78C69D61" w14:textId="3A1D6609" w:rsidR="002245B8" w:rsidRDefault="002245B8" w:rsidP="00102324">
      <w:pPr>
        <w:pStyle w:val="ListParagraph"/>
        <w:keepNext/>
        <w:numPr>
          <w:ilvl w:val="0"/>
          <w:numId w:val="1"/>
        </w:numPr>
        <w:spacing w:line="480" w:lineRule="auto"/>
        <w:jc w:val="both"/>
        <w:rPr>
          <w:rFonts w:ascii="Times New Roman Bold" w:hAnsi="Times New Roman Bold"/>
          <w:b/>
          <w:smallCaps/>
          <w:u w:val="single"/>
        </w:rPr>
      </w:pPr>
      <w:r>
        <w:rPr>
          <w:rFonts w:ascii="Times New Roman Bold" w:hAnsi="Times New Roman Bold"/>
          <w:b/>
          <w:smallCaps/>
          <w:u w:val="single"/>
        </w:rPr>
        <w:t>Conclusion</w:t>
      </w:r>
    </w:p>
    <w:p w14:paraId="21F3BF15" w14:textId="3364313E" w:rsidR="00305ABE" w:rsidRPr="00305ABE" w:rsidRDefault="00AD7EF7" w:rsidP="0095115E">
      <w:pPr>
        <w:spacing w:line="480" w:lineRule="auto"/>
        <w:ind w:firstLine="720"/>
        <w:jc w:val="both"/>
        <w:rPr>
          <w:rFonts w:ascii="Times New Roman Bold" w:hAnsi="Times New Roman Bold"/>
          <w:b/>
          <w:smallCaps/>
          <w:u w:val="single"/>
        </w:rPr>
      </w:pPr>
      <w:r>
        <w:t>The City’s</w:t>
      </w:r>
      <w:r w:rsidR="00DB6B77">
        <w:t xml:space="preserve"> vacancy crisis </w:t>
      </w:r>
      <w:r>
        <w:t>highlights the</w:t>
      </w:r>
      <w:r w:rsidR="00DB6B77">
        <w:t xml:space="preserve"> </w:t>
      </w:r>
      <w:r>
        <w:t>C</w:t>
      </w:r>
      <w:r w:rsidR="00811AA9">
        <w:t>ity</w:t>
      </w:r>
      <w:r w:rsidR="00DB6B77">
        <w:t>’s challenges recruiting and retaining qualified employees</w:t>
      </w:r>
      <w:r w:rsidR="00492720">
        <w:t>.</w:t>
      </w:r>
      <w:r w:rsidR="00305ABE">
        <w:t xml:space="preserve"> </w:t>
      </w:r>
      <w:r>
        <w:t>The municipal</w:t>
      </w:r>
      <w:r w:rsidRPr="00854368">
        <w:t xml:space="preserve"> </w:t>
      </w:r>
      <w:r w:rsidR="00305ABE" w:rsidRPr="00854368">
        <w:t xml:space="preserve">labor shortfall has led to concerns about agencies’ ability to efficiently deliver critical services </w:t>
      </w:r>
      <w:r w:rsidR="00DB6B77">
        <w:t>during the</w:t>
      </w:r>
      <w:r w:rsidR="00305ABE" w:rsidRPr="00854368">
        <w:t xml:space="preserve"> </w:t>
      </w:r>
      <w:r>
        <w:t>Ci</w:t>
      </w:r>
      <w:r w:rsidR="00811AA9">
        <w:t>ty</w:t>
      </w:r>
      <w:r w:rsidR="00305ABE" w:rsidRPr="00854368">
        <w:t>’s recovery from the COVID-19 pandemic. The Committee look</w:t>
      </w:r>
      <w:r w:rsidR="00305ABE">
        <w:t>s</w:t>
      </w:r>
      <w:r w:rsidR="00305ABE" w:rsidRPr="00854368">
        <w:t xml:space="preserve"> forward to hearing </w:t>
      </w:r>
      <w:r w:rsidR="00305ABE">
        <w:t>feedback from the Administration</w:t>
      </w:r>
      <w:r w:rsidR="00305ABE" w:rsidRPr="00854368">
        <w:t>, municipal unions, and interested stakeholders</w:t>
      </w:r>
      <w:r>
        <w:t xml:space="preserve"> on the effect that Int. 877-A could have in supporting the City’s recruitment and retention of civil servants</w:t>
      </w:r>
      <w:r w:rsidR="00305ABE" w:rsidRPr="00854368">
        <w:t>.</w:t>
      </w:r>
    </w:p>
    <w:p w14:paraId="313D6787" w14:textId="77777777" w:rsidR="00102324" w:rsidRDefault="00102324" w:rsidP="00102324">
      <w:pPr>
        <w:pStyle w:val="NormalWeb"/>
        <w:shd w:val="clear" w:color="auto" w:fill="FFFFFF"/>
        <w:spacing w:before="0" w:beforeAutospacing="0" w:after="0" w:afterAutospacing="0"/>
        <w:jc w:val="center"/>
        <w:rPr>
          <w:color w:val="000000"/>
        </w:rPr>
      </w:pPr>
    </w:p>
    <w:p w14:paraId="3626D5E1" w14:textId="77777777" w:rsidR="00102324" w:rsidRDefault="00102324" w:rsidP="00102324">
      <w:pPr>
        <w:pStyle w:val="NormalWeb"/>
        <w:shd w:val="clear" w:color="auto" w:fill="FFFFFF"/>
        <w:spacing w:before="0" w:beforeAutospacing="0" w:after="0" w:afterAutospacing="0"/>
        <w:jc w:val="center"/>
        <w:rPr>
          <w:color w:val="000000"/>
        </w:rPr>
      </w:pPr>
    </w:p>
    <w:p w14:paraId="7CD3C625" w14:textId="77777777" w:rsidR="00102324" w:rsidRDefault="00102324" w:rsidP="00102324">
      <w:pPr>
        <w:pStyle w:val="NormalWeb"/>
        <w:shd w:val="clear" w:color="auto" w:fill="FFFFFF"/>
        <w:spacing w:before="0" w:beforeAutospacing="0" w:after="0" w:afterAutospacing="0"/>
        <w:jc w:val="center"/>
        <w:rPr>
          <w:color w:val="000000"/>
        </w:rPr>
      </w:pPr>
    </w:p>
    <w:p w14:paraId="46070B8D" w14:textId="77777777" w:rsidR="00102324" w:rsidRDefault="00102324" w:rsidP="00102324">
      <w:pPr>
        <w:pStyle w:val="NormalWeb"/>
        <w:shd w:val="clear" w:color="auto" w:fill="FFFFFF"/>
        <w:spacing w:before="0" w:beforeAutospacing="0" w:after="0" w:afterAutospacing="0"/>
        <w:jc w:val="center"/>
        <w:rPr>
          <w:color w:val="000000"/>
        </w:rPr>
      </w:pPr>
    </w:p>
    <w:p w14:paraId="666C9CAE" w14:textId="77777777" w:rsidR="00102324" w:rsidRDefault="00102324" w:rsidP="00102324">
      <w:pPr>
        <w:pStyle w:val="NormalWeb"/>
        <w:shd w:val="clear" w:color="auto" w:fill="FFFFFF"/>
        <w:spacing w:before="0" w:beforeAutospacing="0" w:after="0" w:afterAutospacing="0"/>
        <w:jc w:val="center"/>
        <w:rPr>
          <w:color w:val="000000"/>
        </w:rPr>
      </w:pPr>
    </w:p>
    <w:p w14:paraId="3FDBA1FD" w14:textId="77777777" w:rsidR="00102324" w:rsidRDefault="00102324" w:rsidP="00102324">
      <w:pPr>
        <w:pStyle w:val="NormalWeb"/>
        <w:shd w:val="clear" w:color="auto" w:fill="FFFFFF"/>
        <w:spacing w:before="0" w:beforeAutospacing="0" w:after="0" w:afterAutospacing="0"/>
        <w:jc w:val="center"/>
        <w:rPr>
          <w:color w:val="000000"/>
        </w:rPr>
      </w:pPr>
    </w:p>
    <w:p w14:paraId="6B3FF56C" w14:textId="77777777" w:rsidR="00102324" w:rsidRDefault="00102324" w:rsidP="00102324">
      <w:pPr>
        <w:pStyle w:val="NormalWeb"/>
        <w:shd w:val="clear" w:color="auto" w:fill="FFFFFF"/>
        <w:spacing w:before="0" w:beforeAutospacing="0" w:after="0" w:afterAutospacing="0"/>
        <w:jc w:val="center"/>
        <w:rPr>
          <w:color w:val="000000"/>
        </w:rPr>
      </w:pPr>
    </w:p>
    <w:p w14:paraId="0145D063" w14:textId="77777777" w:rsidR="00102324" w:rsidRDefault="00102324" w:rsidP="00102324">
      <w:pPr>
        <w:pStyle w:val="NormalWeb"/>
        <w:shd w:val="clear" w:color="auto" w:fill="FFFFFF"/>
        <w:spacing w:before="0" w:beforeAutospacing="0" w:after="0" w:afterAutospacing="0"/>
        <w:jc w:val="center"/>
        <w:rPr>
          <w:color w:val="000000"/>
        </w:rPr>
      </w:pPr>
    </w:p>
    <w:p w14:paraId="4578AE5A" w14:textId="77777777" w:rsidR="00102324" w:rsidRDefault="00102324" w:rsidP="00102324">
      <w:pPr>
        <w:pStyle w:val="NormalWeb"/>
        <w:shd w:val="clear" w:color="auto" w:fill="FFFFFF"/>
        <w:spacing w:before="0" w:beforeAutospacing="0" w:after="0" w:afterAutospacing="0"/>
        <w:jc w:val="center"/>
        <w:rPr>
          <w:color w:val="000000"/>
        </w:rPr>
      </w:pPr>
    </w:p>
    <w:p w14:paraId="53A46A52" w14:textId="77777777" w:rsidR="00102324" w:rsidRDefault="00102324" w:rsidP="00102324">
      <w:pPr>
        <w:pStyle w:val="NormalWeb"/>
        <w:shd w:val="clear" w:color="auto" w:fill="FFFFFF"/>
        <w:spacing w:before="0" w:beforeAutospacing="0" w:after="0" w:afterAutospacing="0"/>
        <w:jc w:val="center"/>
        <w:rPr>
          <w:color w:val="000000"/>
        </w:rPr>
      </w:pPr>
    </w:p>
    <w:p w14:paraId="5161F3B7" w14:textId="77777777" w:rsidR="00102324" w:rsidRDefault="00102324" w:rsidP="00102324">
      <w:pPr>
        <w:pStyle w:val="NormalWeb"/>
        <w:shd w:val="clear" w:color="auto" w:fill="FFFFFF"/>
        <w:spacing w:before="0" w:beforeAutospacing="0" w:after="0" w:afterAutospacing="0"/>
        <w:jc w:val="center"/>
        <w:rPr>
          <w:color w:val="000000"/>
        </w:rPr>
      </w:pPr>
    </w:p>
    <w:p w14:paraId="74EC25CA" w14:textId="77777777" w:rsidR="00102324" w:rsidRDefault="00102324" w:rsidP="00102324">
      <w:pPr>
        <w:pStyle w:val="NormalWeb"/>
        <w:shd w:val="clear" w:color="auto" w:fill="FFFFFF"/>
        <w:spacing w:before="0" w:beforeAutospacing="0" w:after="0" w:afterAutospacing="0"/>
        <w:jc w:val="center"/>
        <w:rPr>
          <w:color w:val="000000"/>
        </w:rPr>
      </w:pPr>
    </w:p>
    <w:p w14:paraId="2247131C" w14:textId="77777777" w:rsidR="00102324" w:rsidRDefault="00102324" w:rsidP="00102324">
      <w:pPr>
        <w:pStyle w:val="NormalWeb"/>
        <w:shd w:val="clear" w:color="auto" w:fill="FFFFFF"/>
        <w:spacing w:before="0" w:beforeAutospacing="0" w:after="0" w:afterAutospacing="0"/>
        <w:jc w:val="center"/>
        <w:rPr>
          <w:color w:val="000000"/>
        </w:rPr>
      </w:pPr>
    </w:p>
    <w:p w14:paraId="02C5665A" w14:textId="77777777" w:rsidR="00102324" w:rsidRDefault="00102324" w:rsidP="00102324">
      <w:pPr>
        <w:pStyle w:val="NormalWeb"/>
        <w:shd w:val="clear" w:color="auto" w:fill="FFFFFF"/>
        <w:spacing w:before="0" w:beforeAutospacing="0" w:after="0" w:afterAutospacing="0"/>
        <w:jc w:val="center"/>
        <w:rPr>
          <w:color w:val="000000"/>
        </w:rPr>
      </w:pPr>
    </w:p>
    <w:p w14:paraId="57FF66CF" w14:textId="77777777" w:rsidR="00102324" w:rsidRDefault="00102324" w:rsidP="00102324">
      <w:pPr>
        <w:pStyle w:val="NormalWeb"/>
        <w:shd w:val="clear" w:color="auto" w:fill="FFFFFF"/>
        <w:spacing w:before="0" w:beforeAutospacing="0" w:after="0" w:afterAutospacing="0"/>
        <w:jc w:val="center"/>
        <w:rPr>
          <w:color w:val="000000"/>
        </w:rPr>
      </w:pPr>
    </w:p>
    <w:p w14:paraId="3BDF3676" w14:textId="77777777" w:rsidR="00102324" w:rsidRDefault="00102324" w:rsidP="00102324">
      <w:pPr>
        <w:pStyle w:val="NormalWeb"/>
        <w:shd w:val="clear" w:color="auto" w:fill="FFFFFF"/>
        <w:spacing w:before="0" w:beforeAutospacing="0" w:after="0" w:afterAutospacing="0"/>
        <w:jc w:val="center"/>
        <w:rPr>
          <w:color w:val="000000"/>
        </w:rPr>
      </w:pPr>
    </w:p>
    <w:p w14:paraId="150D39BD" w14:textId="77777777" w:rsidR="00102324" w:rsidRDefault="00102324" w:rsidP="00102324">
      <w:pPr>
        <w:pStyle w:val="NormalWeb"/>
        <w:shd w:val="clear" w:color="auto" w:fill="FFFFFF"/>
        <w:spacing w:before="0" w:beforeAutospacing="0" w:after="0" w:afterAutospacing="0"/>
        <w:jc w:val="center"/>
        <w:rPr>
          <w:color w:val="000000"/>
        </w:rPr>
      </w:pPr>
    </w:p>
    <w:p w14:paraId="62DAEDCC" w14:textId="77777777" w:rsidR="00102324" w:rsidRDefault="00102324" w:rsidP="00102324">
      <w:pPr>
        <w:pStyle w:val="NormalWeb"/>
        <w:shd w:val="clear" w:color="auto" w:fill="FFFFFF"/>
        <w:spacing w:before="0" w:beforeAutospacing="0" w:after="0" w:afterAutospacing="0"/>
        <w:jc w:val="center"/>
        <w:rPr>
          <w:color w:val="000000"/>
        </w:rPr>
      </w:pPr>
    </w:p>
    <w:p w14:paraId="10CEE97A" w14:textId="77777777" w:rsidR="00AD7EF7" w:rsidRDefault="00AD7EF7" w:rsidP="00102324">
      <w:pPr>
        <w:jc w:val="center"/>
      </w:pPr>
    </w:p>
    <w:p w14:paraId="5D8FFB38" w14:textId="77777777" w:rsidR="00AD7EF7" w:rsidRDefault="00AD7EF7" w:rsidP="00102324">
      <w:pPr>
        <w:jc w:val="center"/>
      </w:pPr>
    </w:p>
    <w:p w14:paraId="21F0E956" w14:textId="4038C951" w:rsidR="00102324" w:rsidRPr="00102324" w:rsidRDefault="00102324" w:rsidP="00102324">
      <w:pPr>
        <w:jc w:val="center"/>
      </w:pPr>
      <w:r>
        <w:t>Proposed Int. No. 877-A</w:t>
      </w:r>
    </w:p>
    <w:p w14:paraId="32344563" w14:textId="77777777" w:rsidR="00102324" w:rsidRDefault="00102324" w:rsidP="00102324">
      <w:pPr>
        <w:pStyle w:val="NormalWeb"/>
        <w:shd w:val="clear" w:color="auto" w:fill="FFFFFF"/>
        <w:spacing w:before="0" w:beforeAutospacing="0" w:after="0" w:afterAutospacing="0"/>
        <w:jc w:val="center"/>
        <w:rPr>
          <w:rFonts w:ascii="Times" w:hAnsi="Times"/>
          <w:color w:val="000000"/>
          <w:sz w:val="27"/>
          <w:szCs w:val="27"/>
        </w:rPr>
      </w:pPr>
      <w:r>
        <w:rPr>
          <w:color w:val="000000"/>
        </w:rPr>
        <w:t> </w:t>
      </w:r>
    </w:p>
    <w:p w14:paraId="1A56A2D6"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rPr>
        <w:t>By Council Members Abreu, De La Rosa, Menin, Louis, Stevens, Hanif, Ung and Richardson Jordan</w:t>
      </w:r>
    </w:p>
    <w:p w14:paraId="08B1A43E"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21F6905A" w14:textId="3F4044B2"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rPr>
        <w:t xml:space="preserve">A Local Law to amend the administrative code of the </w:t>
      </w:r>
      <w:r w:rsidR="00811AA9">
        <w:rPr>
          <w:color w:val="000000"/>
        </w:rPr>
        <w:t>City</w:t>
      </w:r>
      <w:r>
        <w:rPr>
          <w:color w:val="000000"/>
        </w:rPr>
        <w:t xml:space="preserve"> of New York, in relation to exit surveys for resigning and retiring employees of </w:t>
      </w:r>
      <w:r w:rsidR="00811AA9">
        <w:rPr>
          <w:color w:val="000000"/>
        </w:rPr>
        <w:t>City</w:t>
      </w:r>
      <w:r>
        <w:rPr>
          <w:color w:val="000000"/>
        </w:rPr>
        <w:t xml:space="preserve"> agencies</w:t>
      </w:r>
    </w:p>
    <w:p w14:paraId="0B0C9E85"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rPr>
        <w:t> </w:t>
      </w:r>
    </w:p>
    <w:p w14:paraId="7E2A1547"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u w:val="single"/>
        </w:rPr>
        <w:t>Be it enacted by the Council as follows:</w:t>
      </w:r>
    </w:p>
    <w:p w14:paraId="2F7F3124" w14:textId="77777777" w:rsidR="00102324" w:rsidRDefault="00102324" w:rsidP="00102324">
      <w:pPr>
        <w:pStyle w:val="NormalWeb"/>
        <w:shd w:val="clear" w:color="auto" w:fill="FFFFFF"/>
        <w:spacing w:before="0" w:beforeAutospacing="0" w:after="0" w:afterAutospacing="0"/>
        <w:ind w:firstLine="720"/>
        <w:jc w:val="both"/>
        <w:rPr>
          <w:rFonts w:ascii="Times" w:hAnsi="Times"/>
          <w:color w:val="000000"/>
          <w:sz w:val="27"/>
          <w:szCs w:val="27"/>
        </w:rPr>
      </w:pPr>
      <w:r>
        <w:rPr>
          <w:color w:val="000000"/>
        </w:rPr>
        <w:t> </w:t>
      </w:r>
    </w:p>
    <w:p w14:paraId="1E08E9EE" w14:textId="77777777" w:rsidR="00AD7EF7" w:rsidRDefault="00AD7EF7" w:rsidP="00102324">
      <w:pPr>
        <w:pStyle w:val="NormalWeb"/>
        <w:shd w:val="clear" w:color="auto" w:fill="FFFFFF"/>
        <w:spacing w:before="0" w:beforeAutospacing="0" w:after="0" w:afterAutospacing="0" w:line="480" w:lineRule="auto"/>
        <w:ind w:firstLine="720"/>
        <w:jc w:val="both"/>
        <w:rPr>
          <w:color w:val="000000"/>
        </w:rPr>
        <w:sectPr w:rsidR="00AD7EF7" w:rsidSect="00D87AE2">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D8CFEBB" w14:textId="0A5C9D3D"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xml:space="preserve">Section 1. Chapter 2 of title 12 of the administrative code of the </w:t>
      </w:r>
      <w:r w:rsidR="00811AA9">
        <w:rPr>
          <w:color w:val="000000"/>
        </w:rPr>
        <w:t>City</w:t>
      </w:r>
      <w:r>
        <w:rPr>
          <w:color w:val="000000"/>
        </w:rPr>
        <w:t xml:space="preserve"> of New York is amended by adding a new section 12-214 to read as follows:</w:t>
      </w:r>
    </w:p>
    <w:p w14:paraId="65151ECD"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12-214 Exit surveys. a. Definitions. For purposes of this section, the following terms have the following meanings:</w:t>
      </w:r>
    </w:p>
    <w:p w14:paraId="764B9AA0" w14:textId="29057914"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Commissioner. The term “commissioner” means the commissioner of </w:t>
      </w:r>
      <w:r w:rsidR="00811AA9">
        <w:rPr>
          <w:color w:val="000000"/>
          <w:u w:val="single"/>
        </w:rPr>
        <w:t>City</w:t>
      </w:r>
      <w:r>
        <w:rPr>
          <w:color w:val="000000"/>
          <w:u w:val="single"/>
        </w:rPr>
        <w:t>wide administrative services.</w:t>
      </w:r>
    </w:p>
    <w:p w14:paraId="4D77EB81" w14:textId="50423823"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Department. The term “department” means the department of </w:t>
      </w:r>
      <w:r w:rsidR="00811AA9">
        <w:rPr>
          <w:color w:val="000000"/>
          <w:u w:val="single"/>
        </w:rPr>
        <w:t>City</w:t>
      </w:r>
      <w:r>
        <w:rPr>
          <w:color w:val="000000"/>
          <w:u w:val="single"/>
        </w:rPr>
        <w:t>wide administrative services.</w:t>
      </w:r>
    </w:p>
    <w:p w14:paraId="0C92859D" w14:textId="4EC612D4"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Resigning employee. The term “resigning employee” means an agency employee who has provided notice of resignation from </w:t>
      </w:r>
      <w:r w:rsidR="00811AA9">
        <w:rPr>
          <w:color w:val="000000"/>
          <w:u w:val="single"/>
        </w:rPr>
        <w:t>City</w:t>
      </w:r>
      <w:r>
        <w:rPr>
          <w:color w:val="000000"/>
          <w:u w:val="single"/>
        </w:rPr>
        <w:t xml:space="preserve"> civil service, but does not include a retiring employee.</w:t>
      </w:r>
    </w:p>
    <w:p w14:paraId="6C1C9207" w14:textId="1C492F5F"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Retiring employee. The term “retiring employee” means an agency employee who has provided notice of resignation from </w:t>
      </w:r>
      <w:r w:rsidR="00811AA9">
        <w:rPr>
          <w:color w:val="000000"/>
          <w:u w:val="single"/>
        </w:rPr>
        <w:t>City</w:t>
      </w:r>
      <w:r>
        <w:rPr>
          <w:color w:val="000000"/>
          <w:u w:val="single"/>
        </w:rPr>
        <w:t xml:space="preserve"> civil service and will retire upon such resignation.</w:t>
      </w:r>
    </w:p>
    <w:p w14:paraId="1F1B0703"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No later than January 1, 2024, each agency shall provide to the department any exit surveys or policies that such agency administers in relation to resigning or retiring employees.</w:t>
      </w:r>
    </w:p>
    <w:p w14:paraId="6AE8CA4A" w14:textId="63EA7ED4"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c. The commissioner, in consultation with the New York </w:t>
      </w:r>
      <w:r w:rsidR="00811AA9">
        <w:rPr>
          <w:color w:val="000000"/>
          <w:u w:val="single"/>
        </w:rPr>
        <w:t>City</w:t>
      </w:r>
      <w:r>
        <w:rPr>
          <w:color w:val="000000"/>
          <w:u w:val="single"/>
        </w:rPr>
        <w:t xml:space="preserve"> commission on human rights, and based on any exit surveys or policies received from agencies pursuant to subdivision b of this section, shall create a comprehensive exit survey for resigning and retiring employees. Such survey shall include, but not be limited to, questions designed to elicit the information required pursuant to subdivision f of this section, including details regarding the quality of the employee’s experience during their employment in the </w:t>
      </w:r>
      <w:r w:rsidR="00811AA9">
        <w:rPr>
          <w:color w:val="000000"/>
          <w:u w:val="single"/>
        </w:rPr>
        <w:t>City</w:t>
      </w:r>
      <w:r>
        <w:rPr>
          <w:color w:val="000000"/>
          <w:u w:val="single"/>
        </w:rPr>
        <w:t xml:space="preserve"> civil service and the employee’s reasons for resigning or retiring from </w:t>
      </w:r>
      <w:r w:rsidR="00811AA9">
        <w:rPr>
          <w:color w:val="000000"/>
          <w:u w:val="single"/>
        </w:rPr>
        <w:t>City</w:t>
      </w:r>
      <w:r>
        <w:rPr>
          <w:color w:val="000000"/>
          <w:u w:val="single"/>
        </w:rPr>
        <w:t xml:space="preserve"> civil service. </w:t>
      </w:r>
    </w:p>
    <w:p w14:paraId="7FA56EAB"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1. Agencies shall make best efforts to administer the exit survey created pursuant to subdivision c to as many resigning and retiring employees as practicable, and in accordance with the following:</w:t>
      </w:r>
    </w:p>
    <w:p w14:paraId="089384A5"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Each agency with 100,000 employees or more shall administer such survey to no fewer than 20 percent of such employees;</w:t>
      </w:r>
    </w:p>
    <w:p w14:paraId="1E545E6C"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Each agency with no fewer than 50,000 employees and no more than 99,999 employees shall administer such survey to no fewer than 40 percent of such employees; and</w:t>
      </w:r>
    </w:p>
    <w:p w14:paraId="25B71CB8"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Each agency with fewer than 49,999 employees shall administer such survey to all such employees.</w:t>
      </w:r>
    </w:p>
    <w:p w14:paraId="7CD57D41"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Agencies not required to administer exit surveys to all resigning and retiring employees shall administer exit surveys on an ongoing basis at random.</w:t>
      </w:r>
    </w:p>
    <w:p w14:paraId="25333295"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3. An exit survey shall be administered on or before the last day of employment of the subject employee.</w:t>
      </w:r>
    </w:p>
    <w:p w14:paraId="38283D4B"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No later than September 15, 2024, and on or before September 15 annually thereafter, each agency shall provide to the department data from the exit surveys administered pursuant to subdivision d of this section in a form and manner determined by the commissioner.</w:t>
      </w:r>
    </w:p>
    <w:p w14:paraId="7AC444CD" w14:textId="32BCC066"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f. No later than March 30, 2025, and by March 30 annually thereafter, the department shall submit to the New York </w:t>
      </w:r>
      <w:r w:rsidR="00811AA9">
        <w:rPr>
          <w:color w:val="000000"/>
          <w:u w:val="single"/>
        </w:rPr>
        <w:t>City</w:t>
      </w:r>
      <w:r>
        <w:rPr>
          <w:color w:val="000000"/>
          <w:u w:val="single"/>
        </w:rPr>
        <w:t xml:space="preserve"> commission on human rights and to the speaker of the council a report regarding employee resignations and retirements, and responses from exit surveys administered pursuant to this section. Such report shall include, but not necessarily be limited to:</w:t>
      </w:r>
    </w:p>
    <w:p w14:paraId="56907584"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1. The following information on resigning and retiring employees for the prior calendar year, disaggregated by agency, position, and status as resigning or retiring:</w:t>
      </w:r>
    </w:p>
    <w:p w14:paraId="7EF92B55"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The number of such employees;</w:t>
      </w:r>
    </w:p>
    <w:p w14:paraId="380048AD"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number of such employees who were asked to complete an exit survey;</w:t>
      </w:r>
    </w:p>
    <w:p w14:paraId="7DF0E4CB"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number of such employees who completed an exit survey;</w:t>
      </w:r>
    </w:p>
    <w:p w14:paraId="1D8638AF" w14:textId="0E3021DB"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(d) The number of such employees who were employed by multiple agencies during their </w:t>
      </w:r>
      <w:r w:rsidR="00811AA9">
        <w:rPr>
          <w:color w:val="000000"/>
          <w:u w:val="single"/>
        </w:rPr>
        <w:t>City</w:t>
      </w:r>
      <w:r>
        <w:rPr>
          <w:color w:val="000000"/>
          <w:u w:val="single"/>
        </w:rPr>
        <w:t xml:space="preserve"> civil service career;</w:t>
      </w:r>
    </w:p>
    <w:p w14:paraId="41394BA5" w14:textId="05D2F816"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(e) The number of such employees who were promoted during their </w:t>
      </w:r>
      <w:r w:rsidR="00811AA9">
        <w:rPr>
          <w:color w:val="000000"/>
          <w:u w:val="single"/>
        </w:rPr>
        <w:t>City</w:t>
      </w:r>
      <w:r>
        <w:rPr>
          <w:color w:val="000000"/>
          <w:u w:val="single"/>
        </w:rPr>
        <w:t xml:space="preserve"> civil service career;</w:t>
      </w:r>
    </w:p>
    <w:p w14:paraId="4E17CA03" w14:textId="2ADE6FC5"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(f) The number of such employees who applied for, but did not receive a promotion during their </w:t>
      </w:r>
      <w:r w:rsidR="00811AA9">
        <w:rPr>
          <w:color w:val="000000"/>
          <w:u w:val="single"/>
        </w:rPr>
        <w:t>City</w:t>
      </w:r>
      <w:r>
        <w:rPr>
          <w:color w:val="000000"/>
          <w:u w:val="single"/>
        </w:rPr>
        <w:t xml:space="preserve"> civil service career;</w:t>
      </w:r>
    </w:p>
    <w:p w14:paraId="01ADC377" w14:textId="70B5452E"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(g) The number of such employees who were demoted, transferred, or experienced any other changes in personnel status other than a promotion during their </w:t>
      </w:r>
      <w:r w:rsidR="00811AA9">
        <w:rPr>
          <w:color w:val="000000"/>
          <w:u w:val="single"/>
        </w:rPr>
        <w:t>City</w:t>
      </w:r>
      <w:r>
        <w:rPr>
          <w:color w:val="000000"/>
          <w:u w:val="single"/>
        </w:rPr>
        <w:t xml:space="preserve"> civil service career.  </w:t>
      </w:r>
    </w:p>
    <w:p w14:paraId="02304EB4"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2. The following information obtained from exit surveys administered to agency employees in the prior calendar year, disaggregated by agency, position, and status as resigning or retiring:</w:t>
      </w:r>
    </w:p>
    <w:p w14:paraId="1247F1CA"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(a) The reasons for resignation or retirement given by surveyed employees, and the number of such employees who reported each such reason;</w:t>
      </w:r>
    </w:p>
    <w:p w14:paraId="6D1384CD"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(b) The number of such employees who indicated being the subject of discrimination, disaggregated by the type of discrimination indicated;</w:t>
      </w:r>
    </w:p>
    <w:p w14:paraId="20DAAE6B"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(c) The number of such employees who indicated being the subject of multiple types of discrimination, disaggregated by the number of such employees who indicated each combination of discrimination types;</w:t>
      </w:r>
    </w:p>
    <w:p w14:paraId="00620F93"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(d) The number of such employees who indicated their resignation or retirement was due to circumstances outside their control;</w:t>
      </w:r>
    </w:p>
    <w:p w14:paraId="4CFC1F91"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(e) The number of such employees whose resignation or retirement was planned;</w:t>
      </w:r>
    </w:p>
    <w:p w14:paraId="7F53DB1C"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(f) The number of such employees whose resignation or retirement was unexpected;</w:t>
      </w:r>
    </w:p>
    <w:p w14:paraId="4F09BCCE"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(g) The number of such employees who transferred their job knowledge and experiences to other employees before their resignation or retirement; and</w:t>
      </w:r>
    </w:p>
    <w:p w14:paraId="439CF996" w14:textId="3246A69A"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u w:val="single"/>
        </w:rPr>
        <w:t xml:space="preserve">(h) A list of all indicated challenges in relation to working conditions other than discrimination, including, but not limited to, remote work policies; leave policies; caregiving responsibilities; wages and other compensation; conflict with management; unsafe working conditions; workload; loss of </w:t>
      </w:r>
      <w:r w:rsidR="00811AA9">
        <w:rPr>
          <w:color w:val="000000"/>
          <w:u w:val="single"/>
        </w:rPr>
        <w:t>City</w:t>
      </w:r>
      <w:r>
        <w:rPr>
          <w:color w:val="000000"/>
          <w:u w:val="single"/>
        </w:rPr>
        <w:t xml:space="preserve"> residency; and commute time, and for each type of challenge identified, the number of such employees who indicated such challenge.</w:t>
      </w:r>
    </w:p>
    <w:p w14:paraId="781FC5A8" w14:textId="77777777" w:rsidR="00102324" w:rsidRDefault="00102324" w:rsidP="00102324">
      <w:pPr>
        <w:pStyle w:val="NormalWeb"/>
        <w:shd w:val="clear" w:color="auto" w:fill="FFFFFF"/>
        <w:spacing w:before="0" w:beforeAutospacing="0" w:after="0" w:afterAutospacing="0" w:line="480" w:lineRule="auto"/>
        <w:ind w:firstLine="720"/>
        <w:jc w:val="both"/>
        <w:rPr>
          <w:rFonts w:ascii="Times" w:hAnsi="Times"/>
          <w:color w:val="000000"/>
          <w:sz w:val="27"/>
          <w:szCs w:val="27"/>
        </w:rPr>
      </w:pPr>
      <w:r>
        <w:rPr>
          <w:color w:val="000000"/>
        </w:rPr>
        <w:t>§ 2. This local law takes effect immediately.</w:t>
      </w:r>
    </w:p>
    <w:p w14:paraId="36FF1653" w14:textId="25C1EA9F" w:rsidR="00AD7EF7" w:rsidRDefault="00AD7EF7" w:rsidP="00102324">
      <w:pPr>
        <w:pStyle w:val="NormalWeb"/>
        <w:shd w:val="clear" w:color="auto" w:fill="FFFFFF"/>
        <w:spacing w:before="0" w:beforeAutospacing="0" w:after="0" w:afterAutospacing="0"/>
        <w:jc w:val="both"/>
        <w:rPr>
          <w:color w:val="000000"/>
          <w:sz w:val="20"/>
          <w:szCs w:val="20"/>
        </w:rPr>
        <w:sectPr w:rsidR="00AD7EF7" w:rsidSect="0095115E">
          <w:type w:val="continuous"/>
          <w:pgSz w:w="12240" w:h="15840"/>
          <w:pgMar w:top="1440" w:right="1440" w:bottom="1440" w:left="1440" w:header="720" w:footer="720" w:gutter="0"/>
          <w:lnNumType w:countBy="1"/>
          <w:cols w:space="720"/>
          <w:docGrid w:linePitch="360"/>
        </w:sectPr>
      </w:pPr>
    </w:p>
    <w:p w14:paraId="75EEB9E2" w14:textId="65DEFF90"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p>
    <w:p w14:paraId="625E1D0B"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4F8D1845"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12</w:t>
      </w:r>
    </w:p>
    <w:p w14:paraId="72E8F0C5"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XC/NC</w:t>
      </w:r>
    </w:p>
    <w:p w14:paraId="6D69B05F"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LS 8504</w:t>
      </w:r>
    </w:p>
    <w:p w14:paraId="0AA021A1"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5/16/2022</w:t>
      </w:r>
    </w:p>
    <w:p w14:paraId="3C36CD5E"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 </w:t>
      </w:r>
    </w:p>
    <w:p w14:paraId="1D716B9D"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u w:val="single"/>
        </w:rPr>
        <w:t>Session 11</w:t>
      </w:r>
    </w:p>
    <w:p w14:paraId="233A1F0F" w14:textId="77777777" w:rsidR="00102324" w:rsidRDefault="00102324" w:rsidP="00102324">
      <w:pPr>
        <w:pStyle w:val="NormalWeb"/>
        <w:shd w:val="clear" w:color="auto" w:fill="FFFFFF"/>
        <w:spacing w:before="0" w:beforeAutospacing="0" w:after="0" w:afterAutospacing="0"/>
        <w:jc w:val="both"/>
        <w:rPr>
          <w:rFonts w:ascii="Times" w:hAnsi="Times"/>
          <w:color w:val="000000"/>
          <w:sz w:val="27"/>
          <w:szCs w:val="27"/>
        </w:rPr>
      </w:pPr>
      <w:r>
        <w:rPr>
          <w:color w:val="000000"/>
          <w:sz w:val="20"/>
          <w:szCs w:val="20"/>
        </w:rPr>
        <w:t>NJC</w:t>
      </w:r>
    </w:p>
    <w:p w14:paraId="07C63EB2" w14:textId="77777777" w:rsidR="00102324" w:rsidRDefault="00102324" w:rsidP="00102324">
      <w:pPr>
        <w:pStyle w:val="NormalWeb"/>
        <w:shd w:val="clear" w:color="auto" w:fill="FFFFFF"/>
        <w:spacing w:before="0" w:beforeAutospacing="0" w:after="0" w:afterAutospacing="0"/>
        <w:rPr>
          <w:rFonts w:ascii="Times" w:hAnsi="Times"/>
          <w:color w:val="000000"/>
          <w:sz w:val="27"/>
          <w:szCs w:val="27"/>
        </w:rPr>
      </w:pPr>
      <w:r>
        <w:rPr>
          <w:color w:val="000000"/>
          <w:sz w:val="20"/>
          <w:szCs w:val="20"/>
        </w:rPr>
        <w:t>LS 14118</w:t>
      </w:r>
    </w:p>
    <w:p w14:paraId="5B5FE7A3" w14:textId="77777777" w:rsidR="00102324" w:rsidRDefault="00102324" w:rsidP="00102324">
      <w:pPr>
        <w:pStyle w:val="NormalWeb"/>
        <w:shd w:val="clear" w:color="auto" w:fill="FFFFFF"/>
        <w:spacing w:before="0" w:beforeAutospacing="0" w:after="0" w:afterAutospacing="0"/>
        <w:rPr>
          <w:rFonts w:ascii="Times" w:hAnsi="Times"/>
          <w:color w:val="000000"/>
          <w:sz w:val="27"/>
          <w:szCs w:val="27"/>
        </w:rPr>
      </w:pPr>
      <w:r>
        <w:rPr>
          <w:color w:val="000000"/>
          <w:sz w:val="20"/>
          <w:szCs w:val="20"/>
        </w:rPr>
        <w:t>9/14/2020</w:t>
      </w:r>
    </w:p>
    <w:p w14:paraId="0946422B" w14:textId="77777777" w:rsidR="00102324" w:rsidRDefault="00102324" w:rsidP="00102324">
      <w:pPr>
        <w:pStyle w:val="NormalWeb"/>
        <w:shd w:val="clear" w:color="auto" w:fill="FFFFFF"/>
        <w:spacing w:before="0" w:beforeAutospacing="0" w:after="0" w:afterAutospacing="0"/>
        <w:rPr>
          <w:rFonts w:ascii="Times" w:hAnsi="Times"/>
          <w:color w:val="000000"/>
          <w:sz w:val="27"/>
          <w:szCs w:val="27"/>
        </w:rPr>
      </w:pPr>
      <w:r>
        <w:rPr>
          <w:color w:val="000000"/>
        </w:rPr>
        <w:t> </w:t>
      </w:r>
    </w:p>
    <w:p w14:paraId="676518F3" w14:textId="77777777" w:rsidR="00102324" w:rsidRDefault="00102324" w:rsidP="00102324">
      <w:pPr>
        <w:pStyle w:val="NormalWeb"/>
        <w:shd w:val="clear" w:color="auto" w:fill="FFFFFF"/>
        <w:spacing w:before="0" w:beforeAutospacing="0" w:after="0" w:afterAutospacing="0"/>
        <w:rPr>
          <w:rFonts w:ascii="Times" w:hAnsi="Times"/>
          <w:color w:val="000000"/>
          <w:sz w:val="27"/>
          <w:szCs w:val="27"/>
        </w:rPr>
      </w:pPr>
      <w:r>
        <w:rPr>
          <w:color w:val="000000"/>
        </w:rPr>
        <w:t> </w:t>
      </w:r>
    </w:p>
    <w:p w14:paraId="29344285" w14:textId="54E8B8B7" w:rsidR="00102324" w:rsidRDefault="00102324" w:rsidP="002245B8">
      <w:pPr>
        <w:pStyle w:val="ListParagraph"/>
        <w:keepNext/>
        <w:spacing w:line="480" w:lineRule="auto"/>
        <w:ind w:left="1080"/>
        <w:jc w:val="both"/>
        <w:rPr>
          <w:rFonts w:ascii="Times New Roman Bold" w:hAnsi="Times New Roman Bold"/>
          <w:b/>
          <w:smallCaps/>
          <w:u w:val="single"/>
        </w:rPr>
      </w:pPr>
    </w:p>
    <w:p w14:paraId="7F031A7F" w14:textId="351C680F" w:rsidR="00102324" w:rsidRDefault="00102324" w:rsidP="002245B8">
      <w:pPr>
        <w:pStyle w:val="ListParagraph"/>
        <w:keepNext/>
        <w:spacing w:line="480" w:lineRule="auto"/>
        <w:ind w:left="1080"/>
        <w:jc w:val="both"/>
        <w:rPr>
          <w:rFonts w:ascii="Times New Roman Bold" w:hAnsi="Times New Roman Bold"/>
          <w:b/>
          <w:smallCaps/>
          <w:u w:val="single"/>
        </w:rPr>
      </w:pPr>
    </w:p>
    <w:p w14:paraId="528E8FB7" w14:textId="422C3AF8" w:rsidR="00102324" w:rsidRDefault="00102324" w:rsidP="002245B8">
      <w:pPr>
        <w:pStyle w:val="ListParagraph"/>
        <w:keepNext/>
        <w:spacing w:line="480" w:lineRule="auto"/>
        <w:ind w:left="1080"/>
        <w:jc w:val="both"/>
        <w:rPr>
          <w:rFonts w:ascii="Times New Roman Bold" w:hAnsi="Times New Roman Bold"/>
          <w:b/>
          <w:smallCaps/>
          <w:u w:val="single"/>
        </w:rPr>
      </w:pPr>
    </w:p>
    <w:p w14:paraId="35DF0D9E" w14:textId="491A31DA" w:rsidR="00102324" w:rsidRDefault="00102324" w:rsidP="002245B8">
      <w:pPr>
        <w:pStyle w:val="ListParagraph"/>
        <w:keepNext/>
        <w:spacing w:line="480" w:lineRule="auto"/>
        <w:ind w:left="1080"/>
        <w:jc w:val="both"/>
        <w:rPr>
          <w:rFonts w:ascii="Times New Roman Bold" w:hAnsi="Times New Roman Bold"/>
          <w:b/>
          <w:smallCaps/>
          <w:u w:val="single"/>
        </w:rPr>
      </w:pPr>
    </w:p>
    <w:p w14:paraId="0CF74EAA" w14:textId="06919AC4" w:rsidR="00102324" w:rsidRDefault="00102324" w:rsidP="002245B8">
      <w:pPr>
        <w:pStyle w:val="ListParagraph"/>
        <w:keepNext/>
        <w:spacing w:line="480" w:lineRule="auto"/>
        <w:ind w:left="1080"/>
        <w:jc w:val="both"/>
        <w:rPr>
          <w:rFonts w:ascii="Times New Roman Bold" w:hAnsi="Times New Roman Bold"/>
          <w:b/>
          <w:smallCaps/>
          <w:u w:val="single"/>
        </w:rPr>
      </w:pPr>
    </w:p>
    <w:p w14:paraId="1AEAFDDD" w14:textId="77777777" w:rsidR="00102324" w:rsidRPr="002245B8" w:rsidRDefault="00102324" w:rsidP="002245B8">
      <w:pPr>
        <w:pStyle w:val="ListParagraph"/>
        <w:keepNext/>
        <w:spacing w:line="480" w:lineRule="auto"/>
        <w:ind w:left="1080"/>
        <w:jc w:val="both"/>
        <w:rPr>
          <w:rFonts w:ascii="Times New Roman Bold" w:hAnsi="Times New Roman Bold"/>
          <w:b/>
          <w:smallCaps/>
          <w:u w:val="single"/>
        </w:rPr>
      </w:pPr>
    </w:p>
    <w:sectPr w:rsidR="00102324" w:rsidRPr="002245B8" w:rsidSect="00AD7E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F47F" w14:textId="77777777" w:rsidR="00E27C23" w:rsidRDefault="00E27C23">
      <w:r>
        <w:separator/>
      </w:r>
    </w:p>
  </w:endnote>
  <w:endnote w:type="continuationSeparator" w:id="0">
    <w:p w14:paraId="56A951E1" w14:textId="77777777" w:rsidR="00E27C23" w:rsidRDefault="00E2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ヒラギノ角ゴ Pro W3">
    <w:altName w:val="Malgun Gothic Semilight"/>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0B49" w14:textId="77777777" w:rsidR="000C066A" w:rsidRDefault="006248B1"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F79C1A" w14:textId="77777777" w:rsidR="000C066A" w:rsidRDefault="00AD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01396122"/>
      <w:docPartObj>
        <w:docPartGallery w:val="Page Numbers (Bottom of Page)"/>
        <w:docPartUnique/>
      </w:docPartObj>
    </w:sdtPr>
    <w:sdtEndPr>
      <w:rPr>
        <w:rStyle w:val="PageNumber"/>
      </w:rPr>
    </w:sdtEndPr>
    <w:sdtContent>
      <w:p w14:paraId="368CBC26" w14:textId="72EC75D5" w:rsidR="000C066A" w:rsidRDefault="006248B1" w:rsidP="004827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D0537">
          <w:rPr>
            <w:rStyle w:val="PageNumber"/>
            <w:noProof/>
          </w:rPr>
          <w:t>1</w:t>
        </w:r>
        <w:r>
          <w:rPr>
            <w:rStyle w:val="PageNumber"/>
          </w:rPr>
          <w:fldChar w:fldCharType="end"/>
        </w:r>
      </w:p>
    </w:sdtContent>
  </w:sdt>
  <w:p w14:paraId="501ACFED" w14:textId="77777777" w:rsidR="000C066A" w:rsidRDefault="00AD0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35777585" w14:textId="77777777" w:rsidTr="4DB7431B">
      <w:tc>
        <w:tcPr>
          <w:tcW w:w="3120" w:type="dxa"/>
        </w:tcPr>
        <w:p w14:paraId="1ADC2605" w14:textId="77777777" w:rsidR="000C066A" w:rsidRDefault="00AD0537" w:rsidP="4DB7431B">
          <w:pPr>
            <w:pStyle w:val="Header"/>
            <w:ind w:left="-115"/>
          </w:pPr>
        </w:p>
      </w:tc>
      <w:tc>
        <w:tcPr>
          <w:tcW w:w="3120" w:type="dxa"/>
        </w:tcPr>
        <w:p w14:paraId="0AAB5347" w14:textId="77777777" w:rsidR="000C066A" w:rsidRDefault="00AD0537" w:rsidP="4DB7431B">
          <w:pPr>
            <w:pStyle w:val="Header"/>
            <w:jc w:val="center"/>
          </w:pPr>
        </w:p>
      </w:tc>
      <w:tc>
        <w:tcPr>
          <w:tcW w:w="3120" w:type="dxa"/>
        </w:tcPr>
        <w:p w14:paraId="69A68CE1" w14:textId="77777777" w:rsidR="000C066A" w:rsidRDefault="00AD0537" w:rsidP="4DB7431B">
          <w:pPr>
            <w:pStyle w:val="Header"/>
            <w:ind w:right="-115"/>
            <w:jc w:val="right"/>
          </w:pPr>
        </w:p>
      </w:tc>
    </w:tr>
  </w:tbl>
  <w:p w14:paraId="42E44ABB" w14:textId="77777777" w:rsidR="000C066A" w:rsidRDefault="00AD0537" w:rsidP="4DB7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0981" w14:textId="77777777" w:rsidR="00E27C23" w:rsidRDefault="00E27C23">
      <w:r>
        <w:separator/>
      </w:r>
    </w:p>
  </w:footnote>
  <w:footnote w:type="continuationSeparator" w:id="0">
    <w:p w14:paraId="16BA2C73" w14:textId="77777777" w:rsidR="00E27C23" w:rsidRDefault="00E27C23">
      <w:r>
        <w:continuationSeparator/>
      </w:r>
    </w:p>
  </w:footnote>
  <w:footnote w:id="1">
    <w:p w14:paraId="0D289857" w14:textId="5D74D201" w:rsidR="00305ABE" w:rsidRDefault="00305ABE" w:rsidP="00305ABE">
      <w:pPr>
        <w:pStyle w:val="FootnoteText"/>
        <w:spacing w:after="0"/>
      </w:pPr>
      <w:r>
        <w:rPr>
          <w:rStyle w:val="FootnoteReference"/>
        </w:rPr>
        <w:footnoteRef/>
      </w:r>
      <w:r>
        <w:t xml:space="preserve"> </w:t>
      </w:r>
      <w:r>
        <w:rPr>
          <w:i/>
        </w:rPr>
        <w:t xml:space="preserve">See </w:t>
      </w:r>
      <w:r>
        <w:t xml:space="preserve">Who We Are – Department of </w:t>
      </w:r>
      <w:r w:rsidR="00811AA9">
        <w:t>City</w:t>
      </w:r>
      <w:r>
        <w:t xml:space="preserve">wide Administrative Services, </w:t>
      </w:r>
      <w:hyperlink r:id="rId1" w:history="1">
        <w:r w:rsidRPr="00E51B18">
          <w:rPr>
            <w:rStyle w:val="Hyperlink"/>
          </w:rPr>
          <w:t>https://www1.nyc.gov/site/dcas/about/who-we-are.page</w:t>
        </w:r>
      </w:hyperlink>
      <w:r>
        <w:t xml:space="preserve"> (last visited August 31, 2022).</w:t>
      </w:r>
    </w:p>
  </w:footnote>
  <w:footnote w:id="2">
    <w:p w14:paraId="6968F4C7" w14:textId="2E8CF0A7" w:rsidR="00305ABE" w:rsidRPr="00B25C94" w:rsidRDefault="00305ABE" w:rsidP="00305ABE">
      <w:pPr>
        <w:pStyle w:val="FootnoteText"/>
        <w:spacing w:after="0"/>
      </w:pPr>
      <w:r>
        <w:rPr>
          <w:rStyle w:val="FootnoteReference"/>
        </w:rPr>
        <w:footnoteRef/>
      </w:r>
      <w:r>
        <w:t xml:space="preserve"> </w:t>
      </w:r>
      <w:r>
        <w:rPr>
          <w:i/>
        </w:rPr>
        <w:t xml:space="preserve">See </w:t>
      </w:r>
      <w:r>
        <w:t xml:space="preserve">Human Capital – Department of </w:t>
      </w:r>
      <w:r w:rsidR="00811AA9">
        <w:t>City</w:t>
      </w:r>
      <w:r>
        <w:t xml:space="preserve">wide Administrative Services, </w:t>
      </w:r>
      <w:hyperlink r:id="rId2" w:history="1">
        <w:r w:rsidRPr="00E51B18">
          <w:rPr>
            <w:rStyle w:val="Hyperlink"/>
          </w:rPr>
          <w:t>https://www1.nyc.gov/site/dcas/agencies/human-capital.page</w:t>
        </w:r>
      </w:hyperlink>
      <w:r>
        <w:t xml:space="preserve"> (last visited August 31, 2022).</w:t>
      </w:r>
    </w:p>
  </w:footnote>
  <w:footnote w:id="3">
    <w:p w14:paraId="7A8378D1" w14:textId="40238699" w:rsidR="00305ABE" w:rsidRPr="00E035DB" w:rsidRDefault="00305ABE" w:rsidP="00305ABE">
      <w:pPr>
        <w:pStyle w:val="FootnoteText"/>
        <w:spacing w:after="0"/>
      </w:pPr>
      <w:r>
        <w:rPr>
          <w:rStyle w:val="FootnoteReference"/>
        </w:rPr>
        <w:footnoteRef/>
      </w:r>
      <w:r>
        <w:t xml:space="preserve"> </w:t>
      </w:r>
      <w:r>
        <w:rPr>
          <w:i/>
        </w:rPr>
        <w:t xml:space="preserve">See </w:t>
      </w:r>
      <w:r>
        <w:t xml:space="preserve">Executive Team – Department of </w:t>
      </w:r>
      <w:r w:rsidR="00811AA9">
        <w:t>City</w:t>
      </w:r>
      <w:r>
        <w:t xml:space="preserve">wide Administrative Services, </w:t>
      </w:r>
      <w:hyperlink r:id="rId3" w:history="1">
        <w:r w:rsidRPr="00E51B18">
          <w:rPr>
            <w:rStyle w:val="Hyperlink"/>
          </w:rPr>
          <w:t>https://www1.nyc.gov/site/dcas/about/agency-executive-team.page</w:t>
        </w:r>
      </w:hyperlink>
      <w:r>
        <w:t xml:space="preserve"> (last visited August 31, 2022).</w:t>
      </w:r>
    </w:p>
  </w:footnote>
  <w:footnote w:id="4">
    <w:p w14:paraId="20BED3CD" w14:textId="77777777" w:rsidR="00305ABE" w:rsidRPr="00E035DB" w:rsidRDefault="00305ABE" w:rsidP="00305ABE">
      <w:pPr>
        <w:pStyle w:val="FootnoteText"/>
        <w:spacing w:after="0"/>
      </w:pPr>
      <w:r>
        <w:rPr>
          <w:rStyle w:val="FootnoteReference"/>
        </w:rPr>
        <w:footnoteRef/>
      </w:r>
      <w:r>
        <w:t xml:space="preserve"> </w:t>
      </w:r>
      <w:r>
        <w:rPr>
          <w:i/>
        </w:rPr>
        <w:t>See id.</w:t>
      </w:r>
    </w:p>
  </w:footnote>
  <w:footnote w:id="5">
    <w:p w14:paraId="53D02C46" w14:textId="56BD7ECD" w:rsidR="00305ABE" w:rsidRPr="00E035DB" w:rsidRDefault="00305ABE" w:rsidP="00305ABE">
      <w:pPr>
        <w:pStyle w:val="FootnoteText"/>
        <w:spacing w:after="0"/>
      </w:pPr>
      <w:r>
        <w:rPr>
          <w:rStyle w:val="FootnoteReference"/>
        </w:rPr>
        <w:footnoteRef/>
      </w:r>
      <w:r>
        <w:t xml:space="preserve"> </w:t>
      </w:r>
      <w:r>
        <w:rPr>
          <w:i/>
        </w:rPr>
        <w:t xml:space="preserve">See </w:t>
      </w:r>
      <w:r>
        <w:t xml:space="preserve">Who We Are – Department of </w:t>
      </w:r>
      <w:r w:rsidR="00811AA9">
        <w:t>City</w:t>
      </w:r>
      <w:r>
        <w:t xml:space="preserve">wide Administrative Services (under “Human Capital” tab) </w:t>
      </w:r>
      <w:hyperlink r:id="rId4" w:history="1">
        <w:r w:rsidRPr="00E51B18">
          <w:rPr>
            <w:rStyle w:val="Hyperlink"/>
          </w:rPr>
          <w:t>https://www1.nyc.gov/site/dcas/about/who-we-are.page</w:t>
        </w:r>
      </w:hyperlink>
      <w:r>
        <w:t xml:space="preserve"> (last visited August 31, 2022).</w:t>
      </w:r>
    </w:p>
  </w:footnote>
  <w:footnote w:id="6">
    <w:p w14:paraId="743F5A3C" w14:textId="77777777" w:rsidR="00305ABE" w:rsidRPr="00E035DB" w:rsidRDefault="00305ABE" w:rsidP="00305ABE">
      <w:pPr>
        <w:pStyle w:val="FootnoteText"/>
        <w:spacing w:after="0"/>
      </w:pPr>
      <w:r>
        <w:rPr>
          <w:rStyle w:val="FootnoteReference"/>
        </w:rPr>
        <w:footnoteRef/>
      </w:r>
      <w:r>
        <w:t xml:space="preserve"> </w:t>
      </w:r>
      <w:r>
        <w:rPr>
          <w:i/>
        </w:rPr>
        <w:t>See id.</w:t>
      </w:r>
    </w:p>
  </w:footnote>
  <w:footnote w:id="7">
    <w:p w14:paraId="3D75A3B6" w14:textId="76C26B93" w:rsidR="00305ABE" w:rsidRPr="009D0CF0" w:rsidRDefault="00305ABE" w:rsidP="00305ABE">
      <w:pPr>
        <w:pStyle w:val="FootnoteText"/>
        <w:spacing w:after="0"/>
      </w:pPr>
      <w:r>
        <w:rPr>
          <w:rStyle w:val="FootnoteReference"/>
        </w:rPr>
        <w:footnoteRef/>
      </w:r>
      <w:r>
        <w:t xml:space="preserve"> </w:t>
      </w:r>
      <w:r>
        <w:rPr>
          <w:i/>
        </w:rPr>
        <w:t xml:space="preserve">See </w:t>
      </w:r>
      <w:r>
        <w:t xml:space="preserve">Executive Team – Department of </w:t>
      </w:r>
      <w:r w:rsidR="00811AA9">
        <w:t>City</w:t>
      </w:r>
      <w:r>
        <w:t xml:space="preserve">wide Administrative Services, </w:t>
      </w:r>
      <w:hyperlink r:id="rId5" w:history="1">
        <w:r w:rsidRPr="00E51B18">
          <w:rPr>
            <w:rStyle w:val="Hyperlink"/>
          </w:rPr>
          <w:t>https://www1.nyc.gov/site/dcas/about/agency-executive-team.page</w:t>
        </w:r>
      </w:hyperlink>
      <w:r>
        <w:t xml:space="preserve"> (last visited August 31, 2022).</w:t>
      </w:r>
    </w:p>
  </w:footnote>
  <w:footnote w:id="8">
    <w:p w14:paraId="651656F4" w14:textId="77777777" w:rsidR="00305ABE" w:rsidRPr="009D0CF0" w:rsidRDefault="00305ABE" w:rsidP="00305ABE">
      <w:pPr>
        <w:pStyle w:val="FootnoteText"/>
        <w:spacing w:after="0"/>
      </w:pPr>
      <w:r>
        <w:rPr>
          <w:rStyle w:val="FootnoteReference"/>
        </w:rPr>
        <w:footnoteRef/>
      </w:r>
      <w:r>
        <w:t xml:space="preserve"> </w:t>
      </w:r>
      <w:r>
        <w:rPr>
          <w:i/>
        </w:rPr>
        <w:t>See id.</w:t>
      </w:r>
    </w:p>
  </w:footnote>
  <w:footnote w:id="9">
    <w:p w14:paraId="2512C6AD" w14:textId="77777777" w:rsidR="00305ABE" w:rsidRPr="009D0CF0" w:rsidRDefault="00305ABE" w:rsidP="00305ABE">
      <w:pPr>
        <w:pStyle w:val="FootnoteText"/>
        <w:spacing w:after="0"/>
      </w:pPr>
      <w:r>
        <w:rPr>
          <w:rStyle w:val="FootnoteReference"/>
        </w:rPr>
        <w:footnoteRef/>
      </w:r>
      <w:r>
        <w:t xml:space="preserve"> </w:t>
      </w:r>
      <w:r>
        <w:rPr>
          <w:i/>
        </w:rPr>
        <w:t>See id.</w:t>
      </w:r>
    </w:p>
  </w:footnote>
  <w:footnote w:id="10">
    <w:p w14:paraId="4C830D61" w14:textId="43453FD2" w:rsidR="0033554A" w:rsidRPr="00177694" w:rsidRDefault="0033554A" w:rsidP="00305ABE">
      <w:r w:rsidRPr="00177694">
        <w:rPr>
          <w:rStyle w:val="FootnoteReference"/>
          <w:sz w:val="20"/>
          <w:szCs w:val="20"/>
        </w:rPr>
        <w:footnoteRef/>
      </w:r>
      <w:r w:rsidRPr="00177694">
        <w:rPr>
          <w:sz w:val="20"/>
          <w:szCs w:val="20"/>
        </w:rPr>
        <w:t xml:space="preserve"> Office of the New York State Comptroller, </w:t>
      </w:r>
      <w:r w:rsidRPr="002305CD">
        <w:rPr>
          <w:i/>
          <w:sz w:val="20"/>
          <w:szCs w:val="20"/>
        </w:rPr>
        <w:t xml:space="preserve">Impact of the Pandemic on New York </w:t>
      </w:r>
      <w:r w:rsidR="00811AA9">
        <w:rPr>
          <w:i/>
          <w:sz w:val="20"/>
          <w:szCs w:val="20"/>
        </w:rPr>
        <w:t>City</w:t>
      </w:r>
      <w:r w:rsidRPr="002305CD">
        <w:rPr>
          <w:i/>
          <w:sz w:val="20"/>
          <w:szCs w:val="20"/>
        </w:rPr>
        <w:t>’s Municipal Workforce</w:t>
      </w:r>
      <w:r>
        <w:rPr>
          <w:sz w:val="20"/>
          <w:szCs w:val="20"/>
        </w:rPr>
        <w:t xml:space="preserve"> (</w:t>
      </w:r>
      <w:r w:rsidRPr="00177694">
        <w:rPr>
          <w:sz w:val="20"/>
          <w:szCs w:val="20"/>
        </w:rPr>
        <w:t>February 2022</w:t>
      </w:r>
      <w:r>
        <w:rPr>
          <w:sz w:val="20"/>
          <w:szCs w:val="20"/>
        </w:rPr>
        <w:t xml:space="preserve">), </w:t>
      </w:r>
      <w:r>
        <w:rPr>
          <w:i/>
          <w:sz w:val="20"/>
          <w:szCs w:val="20"/>
        </w:rPr>
        <w:t xml:space="preserve">available at </w:t>
      </w:r>
      <w:r>
        <w:rPr>
          <w:sz w:val="20"/>
          <w:szCs w:val="20"/>
        </w:rPr>
        <w:t xml:space="preserve"> </w:t>
      </w:r>
      <w:hyperlink r:id="rId6" w:history="1">
        <w:r w:rsidRPr="00177694">
          <w:rPr>
            <w:rStyle w:val="Hyperlink"/>
            <w:sz w:val="20"/>
            <w:szCs w:val="20"/>
          </w:rPr>
          <w:t>https://www.osc.state.ny.us/files/reports/osdc/pdf/report-18-2022.pdf</w:t>
        </w:r>
      </w:hyperlink>
      <w:r>
        <w:t>.</w:t>
      </w:r>
    </w:p>
  </w:footnote>
  <w:footnote w:id="11">
    <w:p w14:paraId="5AA51901" w14:textId="77777777" w:rsidR="0033554A" w:rsidRPr="00676895" w:rsidRDefault="0033554A" w:rsidP="0015693C">
      <w:pPr>
        <w:pStyle w:val="FootnoteText"/>
        <w:spacing w:after="0" w:line="240" w:lineRule="auto"/>
      </w:pPr>
      <w:r w:rsidRPr="00676895">
        <w:rPr>
          <w:rStyle w:val="FootnoteReference"/>
        </w:rPr>
        <w:footnoteRef/>
      </w:r>
      <w:r w:rsidRPr="00676895">
        <w:t xml:space="preserve"> </w:t>
      </w:r>
      <w:r w:rsidRPr="00676895">
        <w:rPr>
          <w:i/>
          <w:iCs/>
        </w:rPr>
        <w:t>Id.</w:t>
      </w:r>
    </w:p>
  </w:footnote>
  <w:footnote w:id="12">
    <w:p w14:paraId="0ABD223E" w14:textId="77777777" w:rsidR="0033554A" w:rsidRPr="00676895" w:rsidRDefault="0033554A" w:rsidP="0015693C">
      <w:pPr>
        <w:pStyle w:val="FootnoteText"/>
        <w:spacing w:after="0" w:line="240" w:lineRule="auto"/>
      </w:pPr>
      <w:r w:rsidRPr="00676895">
        <w:rPr>
          <w:rStyle w:val="FootnoteReference"/>
        </w:rPr>
        <w:footnoteRef/>
      </w:r>
      <w:r w:rsidRPr="00676895">
        <w:t xml:space="preserve"> </w:t>
      </w:r>
      <w:r w:rsidRPr="00676895">
        <w:rPr>
          <w:i/>
          <w:iCs/>
        </w:rPr>
        <w:t>Id.</w:t>
      </w:r>
    </w:p>
  </w:footnote>
  <w:footnote w:id="13">
    <w:p w14:paraId="14D76710" w14:textId="7D8FC34F" w:rsidR="0033554A" w:rsidRPr="009F3D49" w:rsidRDefault="0033554A" w:rsidP="0015693C">
      <w:pPr>
        <w:pStyle w:val="FootnoteText"/>
        <w:spacing w:after="0" w:line="240" w:lineRule="auto"/>
        <w:rPr>
          <w:highlight w:val="yellow"/>
        </w:rPr>
      </w:pPr>
      <w:r w:rsidRPr="00A0492A">
        <w:rPr>
          <w:rStyle w:val="FootnoteReference"/>
        </w:rPr>
        <w:footnoteRef/>
      </w:r>
      <w:r w:rsidRPr="00A0492A">
        <w:t xml:space="preserve"> </w:t>
      </w:r>
      <w:r>
        <w:t xml:space="preserve">Data provided by </w:t>
      </w:r>
      <w:r w:rsidR="00811AA9">
        <w:t>City</w:t>
      </w:r>
      <w:r w:rsidRPr="00A0492A">
        <w:t xml:space="preserve"> Council Finance Division</w:t>
      </w:r>
      <w:r>
        <w:t xml:space="preserve"> and Mayor’s Office of Management and Budget.</w:t>
      </w:r>
    </w:p>
  </w:footnote>
  <w:footnote w:id="14">
    <w:p w14:paraId="26998FAE" w14:textId="55A2CD30" w:rsidR="0033554A" w:rsidRPr="00A0492A" w:rsidRDefault="0033554A" w:rsidP="0015693C">
      <w:pPr>
        <w:pStyle w:val="FootnoteText"/>
        <w:spacing w:after="0" w:line="240" w:lineRule="auto"/>
      </w:pPr>
      <w:r w:rsidRPr="00A0492A">
        <w:rPr>
          <w:rStyle w:val="FootnoteReference"/>
        </w:rPr>
        <w:footnoteRef/>
      </w:r>
      <w:r w:rsidRPr="00A0492A">
        <w:t xml:space="preserve"> </w:t>
      </w:r>
      <w:r>
        <w:t xml:space="preserve">Dana Rubenstein and Emma Fitzsimmons, </w:t>
      </w:r>
      <w:r w:rsidRPr="002305CD">
        <w:rPr>
          <w:i/>
        </w:rPr>
        <w:t xml:space="preserve">Why </w:t>
      </w:r>
      <w:r w:rsidR="00811AA9">
        <w:rPr>
          <w:i/>
        </w:rPr>
        <w:t>City</w:t>
      </w:r>
      <w:r w:rsidRPr="002305CD">
        <w:rPr>
          <w:i/>
        </w:rPr>
        <w:t xml:space="preserve"> Workers in New York are Quitting in Droves</w:t>
      </w:r>
      <w:r w:rsidRPr="001F59FA">
        <w:t>, New York Times</w:t>
      </w:r>
      <w:r>
        <w:t xml:space="preserve"> (July 13, 2022), </w:t>
      </w:r>
      <w:r>
        <w:rPr>
          <w:i/>
        </w:rPr>
        <w:t xml:space="preserve">available at </w:t>
      </w:r>
      <w:r>
        <w:t xml:space="preserve"> </w:t>
      </w:r>
      <w:hyperlink r:id="rId7" w:history="1">
        <w:r w:rsidRPr="006C133E">
          <w:rPr>
            <w:rStyle w:val="Hyperlink"/>
          </w:rPr>
          <w:t>https://www.nytimes.com/2022/07/13/nyregion/labor-shortage-nyc-jobs.html</w:t>
        </w:r>
      </w:hyperlink>
      <w:r>
        <w:t>.</w:t>
      </w:r>
    </w:p>
  </w:footnote>
  <w:footnote w:id="15">
    <w:p w14:paraId="6C29C8E5" w14:textId="4E696FBA" w:rsidR="0033554A" w:rsidRPr="00A0492A" w:rsidRDefault="0033554A" w:rsidP="0015693C">
      <w:pPr>
        <w:pStyle w:val="FootnoteText"/>
        <w:spacing w:after="0" w:line="240" w:lineRule="auto"/>
      </w:pPr>
      <w:r w:rsidRPr="00A0492A">
        <w:rPr>
          <w:rStyle w:val="FootnoteReference"/>
        </w:rPr>
        <w:footnoteRef/>
      </w:r>
      <w:r w:rsidRPr="00A0492A">
        <w:t xml:space="preserve"> </w:t>
      </w:r>
      <w:r>
        <w:t xml:space="preserve">Data provided by </w:t>
      </w:r>
      <w:r w:rsidR="00811AA9">
        <w:t>City</w:t>
      </w:r>
      <w:r w:rsidRPr="00A0492A">
        <w:t xml:space="preserve"> Council Finance Division</w:t>
      </w:r>
      <w:r>
        <w:t xml:space="preserve"> and Mayor’s Office of Management and </w:t>
      </w:r>
      <w:r w:rsidR="0015693C">
        <w:t>Budget.</w:t>
      </w:r>
    </w:p>
  </w:footnote>
  <w:footnote w:id="16">
    <w:p w14:paraId="1A0CEC5C" w14:textId="77777777" w:rsidR="0033554A" w:rsidRPr="002305CD" w:rsidRDefault="0033554A" w:rsidP="0015693C">
      <w:pPr>
        <w:pStyle w:val="FootnoteText"/>
        <w:spacing w:after="0" w:line="240" w:lineRule="auto"/>
        <w:rPr>
          <w:i/>
        </w:rPr>
      </w:pPr>
      <w:r w:rsidRPr="00A0492A">
        <w:rPr>
          <w:rStyle w:val="FootnoteReference"/>
        </w:rPr>
        <w:footnoteRef/>
      </w:r>
      <w:r w:rsidRPr="00A0492A">
        <w:t xml:space="preserve"> </w:t>
      </w:r>
      <w:r>
        <w:rPr>
          <w:i/>
          <w:iCs/>
        </w:rPr>
        <w:t>Id.</w:t>
      </w:r>
    </w:p>
  </w:footnote>
  <w:footnote w:id="17">
    <w:p w14:paraId="655D48D7" w14:textId="220226DA" w:rsidR="009727FF" w:rsidRPr="00305ABE" w:rsidRDefault="0033554A" w:rsidP="00305ABE">
      <w:pPr>
        <w:pStyle w:val="FootnoteText"/>
        <w:spacing w:after="0" w:line="240" w:lineRule="auto"/>
        <w:rPr>
          <w:i/>
          <w:iCs/>
        </w:rPr>
      </w:pPr>
      <w:r w:rsidRPr="00A0492A">
        <w:rPr>
          <w:rStyle w:val="FootnoteReference"/>
        </w:rPr>
        <w:footnoteRef/>
      </w:r>
      <w:r w:rsidRPr="00A0492A">
        <w:t xml:space="preserve"> </w:t>
      </w:r>
      <w:r>
        <w:rPr>
          <w:i/>
          <w:iCs/>
        </w:rPr>
        <w:t>Id.</w:t>
      </w:r>
    </w:p>
  </w:footnote>
  <w:footnote w:id="18">
    <w:p w14:paraId="43584839" w14:textId="097CF710" w:rsidR="00EA4036" w:rsidRDefault="00EA4036">
      <w:pPr>
        <w:pStyle w:val="FootnoteText"/>
      </w:pPr>
      <w:r>
        <w:rPr>
          <w:rStyle w:val="FootnoteReference"/>
        </w:rPr>
        <w:footnoteRef/>
      </w:r>
      <w:r>
        <w:t xml:space="preserve"> </w:t>
      </w:r>
      <w:r w:rsidRPr="00EA4036">
        <w:rPr>
          <w:i/>
          <w:iCs/>
        </w:rPr>
        <w:t>Id.</w:t>
      </w:r>
    </w:p>
  </w:footnote>
  <w:footnote w:id="19">
    <w:p w14:paraId="43C9333F" w14:textId="77777777" w:rsidR="00305ABE" w:rsidRPr="00EA4036" w:rsidRDefault="00305ABE" w:rsidP="00305ABE">
      <w:pPr>
        <w:pStyle w:val="FootnoteText"/>
        <w:spacing w:after="0"/>
      </w:pPr>
      <w:r>
        <w:rPr>
          <w:rStyle w:val="FootnoteReference"/>
        </w:rPr>
        <w:footnoteRef/>
      </w:r>
      <w:r>
        <w:t xml:space="preserve"> </w:t>
      </w:r>
      <w:r w:rsidRPr="00B83DD6">
        <w:rPr>
          <w:i/>
          <w:iCs/>
        </w:rPr>
        <w:t>Id.</w:t>
      </w:r>
    </w:p>
  </w:footnote>
  <w:footnote w:id="20">
    <w:p w14:paraId="1E49BF7C" w14:textId="219B25CE" w:rsidR="00B83DD6" w:rsidRDefault="00B83DD6" w:rsidP="00BA06BA">
      <w:pPr>
        <w:pStyle w:val="FootnoteText"/>
        <w:spacing w:after="0" w:line="240" w:lineRule="auto"/>
      </w:pPr>
      <w:r>
        <w:rPr>
          <w:rStyle w:val="FootnoteReference"/>
        </w:rPr>
        <w:footnoteRef/>
      </w:r>
      <w:r>
        <w:t xml:space="preserve"> Office of the NYC Comptroller, </w:t>
      </w:r>
      <w:r w:rsidRPr="00EA4036">
        <w:rPr>
          <w:i/>
          <w:iCs/>
        </w:rPr>
        <w:t>Title Vacant: Addressing Critical Vacancies in NYC government Agencies</w:t>
      </w:r>
      <w:r>
        <w:t xml:space="preserve"> (Dec.6, 2022) </w:t>
      </w:r>
      <w:hyperlink r:id="rId8" w:history="1">
        <w:r w:rsidRPr="008E4F8C">
          <w:rPr>
            <w:rStyle w:val="Hyperlink"/>
          </w:rPr>
          <w:t>https://comptroller.nyc.gov/reports/title-vacant/</w:t>
        </w:r>
      </w:hyperlink>
    </w:p>
  </w:footnote>
  <w:footnote w:id="21">
    <w:p w14:paraId="5CB907B9" w14:textId="15154950" w:rsidR="00B83DD6" w:rsidRDefault="00B83DD6" w:rsidP="00E82B8C">
      <w:pPr>
        <w:pStyle w:val="FootnoteText"/>
        <w:spacing w:after="0"/>
      </w:pPr>
      <w:r>
        <w:rPr>
          <w:rStyle w:val="FootnoteReference"/>
        </w:rPr>
        <w:footnoteRef/>
      </w:r>
      <w:r>
        <w:t xml:space="preserve"> </w:t>
      </w:r>
      <w:r w:rsidRPr="00B83DD6">
        <w:rPr>
          <w:i/>
          <w:iCs/>
        </w:rPr>
        <w:t>Id.</w:t>
      </w:r>
    </w:p>
  </w:footnote>
  <w:footnote w:id="22">
    <w:p w14:paraId="7D535FC7" w14:textId="7A6BEA33" w:rsidR="00B83DD6" w:rsidRDefault="00B83DD6" w:rsidP="00E82B8C">
      <w:pPr>
        <w:pStyle w:val="FootnoteText"/>
        <w:spacing w:after="0"/>
      </w:pPr>
      <w:r>
        <w:rPr>
          <w:rStyle w:val="FootnoteReference"/>
        </w:rPr>
        <w:footnoteRef/>
      </w:r>
      <w:r>
        <w:t xml:space="preserve"> </w:t>
      </w:r>
      <w:r w:rsidRPr="00B83DD6">
        <w:rPr>
          <w:i/>
          <w:iCs/>
        </w:rPr>
        <w:t>Id.</w:t>
      </w:r>
    </w:p>
  </w:footnote>
  <w:footnote w:id="23">
    <w:p w14:paraId="5E93FAAA" w14:textId="77777777" w:rsidR="00305ABE" w:rsidRPr="00EA4036" w:rsidRDefault="00305ABE" w:rsidP="00305ABE">
      <w:pPr>
        <w:pStyle w:val="FootnoteText"/>
        <w:spacing w:after="0" w:line="240" w:lineRule="auto"/>
      </w:pPr>
      <w:r>
        <w:rPr>
          <w:rStyle w:val="FootnoteReference"/>
        </w:rPr>
        <w:footnoteRef/>
      </w:r>
      <w:r>
        <w:t xml:space="preserve"> Office of the NYC Comptroller, </w:t>
      </w:r>
      <w:r w:rsidRPr="00EA4036">
        <w:rPr>
          <w:i/>
          <w:iCs/>
        </w:rPr>
        <w:t>Understaffed and Underserved</w:t>
      </w:r>
      <w:r>
        <w:rPr>
          <w:i/>
          <w:iCs/>
        </w:rPr>
        <w:t xml:space="preserve"> </w:t>
      </w:r>
      <w:r>
        <w:t xml:space="preserve">(March 2023) available at: </w:t>
      </w:r>
      <w:hyperlink r:id="rId9" w:history="1">
        <w:r w:rsidRPr="008E4F8C">
          <w:rPr>
            <w:rStyle w:val="Hyperlink"/>
          </w:rPr>
          <w:t>https://comptroller.nyc.gov/reports/understaffed-underserved/</w:t>
        </w:r>
      </w:hyperlink>
      <w:r>
        <w:t xml:space="preserve"> </w:t>
      </w:r>
    </w:p>
  </w:footnote>
  <w:footnote w:id="24">
    <w:p w14:paraId="6E042AD7" w14:textId="409CA156" w:rsidR="00305ABE" w:rsidRPr="00BA06BA" w:rsidRDefault="00305ABE" w:rsidP="00305ABE">
      <w:pPr>
        <w:pStyle w:val="FootnoteText"/>
        <w:spacing w:after="0" w:line="240" w:lineRule="auto"/>
      </w:pPr>
      <w:r>
        <w:rPr>
          <w:rStyle w:val="FootnoteReference"/>
        </w:rPr>
        <w:footnoteRef/>
      </w:r>
      <w:r>
        <w:t xml:space="preserve"> Mays, Jeff, New York Times, </w:t>
      </w:r>
      <w:r w:rsidRPr="00BA06BA">
        <w:rPr>
          <w:i/>
          <w:iCs/>
        </w:rPr>
        <w:t xml:space="preserve">New York’s Difficulty in Filling Job Vacancies has Hurt </w:t>
      </w:r>
      <w:r w:rsidR="00811AA9">
        <w:rPr>
          <w:i/>
          <w:iCs/>
        </w:rPr>
        <w:t>City</w:t>
      </w:r>
      <w:r w:rsidRPr="00BA06BA">
        <w:rPr>
          <w:i/>
          <w:iCs/>
        </w:rPr>
        <w:t xml:space="preserve"> Services</w:t>
      </w:r>
      <w:r>
        <w:t xml:space="preserve"> (March 6, 2023) available at: </w:t>
      </w:r>
      <w:hyperlink r:id="rId10" w:history="1">
        <w:r w:rsidRPr="008E4F8C">
          <w:rPr>
            <w:rStyle w:val="Hyperlink"/>
          </w:rPr>
          <w:t>https://www.nytimes.com/2023/03/06/nyregion/nyc-workers-hiring-vacancies.html</w:t>
        </w:r>
      </w:hyperlink>
      <w:r>
        <w:t xml:space="preserve"> </w:t>
      </w:r>
    </w:p>
  </w:footnote>
  <w:footnote w:id="25">
    <w:p w14:paraId="78978BD4" w14:textId="1ABF6F33" w:rsidR="00B83DD6" w:rsidRPr="00B83DD6" w:rsidRDefault="00B83DD6" w:rsidP="00E82B8C">
      <w:pPr>
        <w:pStyle w:val="FootnoteText"/>
        <w:spacing w:after="0"/>
      </w:pPr>
      <w:r>
        <w:rPr>
          <w:rStyle w:val="FootnoteReference"/>
        </w:rPr>
        <w:footnoteRef/>
      </w:r>
      <w:r>
        <w:t xml:space="preserve"> Rubenstein, Fitzsimmons, </w:t>
      </w:r>
      <w:r w:rsidRPr="00B83DD6">
        <w:rPr>
          <w:i/>
          <w:iCs/>
        </w:rPr>
        <w:t xml:space="preserve">supra </w:t>
      </w:r>
      <w:r>
        <w:t>note 5</w:t>
      </w:r>
    </w:p>
  </w:footnote>
  <w:footnote w:id="26">
    <w:p w14:paraId="1CF8B495" w14:textId="4E22E5D2" w:rsidR="00B83DD6" w:rsidRPr="00E82B8C" w:rsidRDefault="00B83DD6" w:rsidP="00E82B8C">
      <w:pPr>
        <w:pStyle w:val="FootnoteText"/>
        <w:spacing w:after="0"/>
      </w:pPr>
      <w:r>
        <w:rPr>
          <w:rStyle w:val="FootnoteReference"/>
        </w:rPr>
        <w:footnoteRef/>
      </w:r>
      <w:r>
        <w:t xml:space="preserve"> </w:t>
      </w:r>
      <w:r w:rsidR="00E82B8C">
        <w:t xml:space="preserve">Gonen, Yoav, The </w:t>
      </w:r>
      <w:r w:rsidR="00811AA9">
        <w:t>City</w:t>
      </w:r>
      <w:r w:rsidR="00E82B8C">
        <w:t xml:space="preserve">, </w:t>
      </w:r>
      <w:r w:rsidR="00E82B8C" w:rsidRPr="00E82B8C">
        <w:rPr>
          <w:i/>
          <w:iCs/>
        </w:rPr>
        <w:t xml:space="preserve">One in Five Jobs Unfilled at Health and Buildings Departments, </w:t>
      </w:r>
      <w:r w:rsidR="00811AA9">
        <w:rPr>
          <w:i/>
          <w:iCs/>
        </w:rPr>
        <w:t>City</w:t>
      </w:r>
      <w:r w:rsidR="00E82B8C" w:rsidRPr="00E82B8C">
        <w:rPr>
          <w:i/>
          <w:iCs/>
        </w:rPr>
        <w:t xml:space="preserve"> Council Finds</w:t>
      </w:r>
      <w:r w:rsidR="00E82B8C">
        <w:t xml:space="preserve"> (Sept 6, 2022) available at: </w:t>
      </w:r>
      <w:hyperlink r:id="rId11" w:history="1">
        <w:r w:rsidR="00E82B8C" w:rsidRPr="008E4F8C">
          <w:rPr>
            <w:rStyle w:val="Hyperlink"/>
          </w:rPr>
          <w:t>https://www.the</w:t>
        </w:r>
        <w:r w:rsidR="00811AA9">
          <w:rPr>
            <w:rStyle w:val="Hyperlink"/>
          </w:rPr>
          <w:t>City</w:t>
        </w:r>
        <w:r w:rsidR="00E82B8C" w:rsidRPr="008E4F8C">
          <w:rPr>
            <w:rStyle w:val="Hyperlink"/>
          </w:rPr>
          <w:t>.nyc/2022/9/6/23340069/health-housing-buildings-public-sector-unemployment-rate-high</w:t>
        </w:r>
      </w:hyperlink>
      <w:r w:rsidR="00E82B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0765DB3D" w14:textId="77777777" w:rsidTr="4DB7431B">
      <w:tc>
        <w:tcPr>
          <w:tcW w:w="3120" w:type="dxa"/>
        </w:tcPr>
        <w:p w14:paraId="79273B3A" w14:textId="77777777" w:rsidR="000C066A" w:rsidRDefault="00AD0537" w:rsidP="4DB7431B">
          <w:pPr>
            <w:pStyle w:val="Header"/>
            <w:ind w:left="-115"/>
          </w:pPr>
        </w:p>
      </w:tc>
      <w:tc>
        <w:tcPr>
          <w:tcW w:w="3120" w:type="dxa"/>
        </w:tcPr>
        <w:p w14:paraId="71181B40" w14:textId="77777777" w:rsidR="000C066A" w:rsidRDefault="00AD0537" w:rsidP="4DB7431B">
          <w:pPr>
            <w:pStyle w:val="Header"/>
            <w:jc w:val="center"/>
          </w:pPr>
        </w:p>
      </w:tc>
      <w:tc>
        <w:tcPr>
          <w:tcW w:w="3120" w:type="dxa"/>
        </w:tcPr>
        <w:p w14:paraId="44DA57C4" w14:textId="77777777" w:rsidR="000C066A" w:rsidRDefault="00AD0537" w:rsidP="4DB7431B">
          <w:pPr>
            <w:pStyle w:val="Header"/>
            <w:ind w:right="-115"/>
            <w:jc w:val="right"/>
          </w:pPr>
        </w:p>
      </w:tc>
    </w:tr>
  </w:tbl>
  <w:p w14:paraId="69986F40" w14:textId="77777777" w:rsidR="000C066A" w:rsidRDefault="00AD0537" w:rsidP="4DB7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C066A" w14:paraId="1293D966" w14:textId="77777777" w:rsidTr="4DB7431B">
      <w:tc>
        <w:tcPr>
          <w:tcW w:w="3120" w:type="dxa"/>
        </w:tcPr>
        <w:p w14:paraId="4AE313B0" w14:textId="77777777" w:rsidR="000C066A" w:rsidRDefault="00AD0537" w:rsidP="4DB7431B">
          <w:pPr>
            <w:pStyle w:val="Header"/>
            <w:ind w:left="-115"/>
          </w:pPr>
        </w:p>
      </w:tc>
      <w:tc>
        <w:tcPr>
          <w:tcW w:w="3120" w:type="dxa"/>
        </w:tcPr>
        <w:p w14:paraId="047714F1" w14:textId="77777777" w:rsidR="000C066A" w:rsidRDefault="00AD0537" w:rsidP="4DB7431B">
          <w:pPr>
            <w:pStyle w:val="Header"/>
            <w:jc w:val="center"/>
          </w:pPr>
        </w:p>
      </w:tc>
      <w:tc>
        <w:tcPr>
          <w:tcW w:w="3120" w:type="dxa"/>
        </w:tcPr>
        <w:p w14:paraId="676B1865" w14:textId="77777777" w:rsidR="000C066A" w:rsidRDefault="00AD0537" w:rsidP="4DB7431B">
          <w:pPr>
            <w:pStyle w:val="Header"/>
            <w:ind w:right="-115"/>
            <w:jc w:val="right"/>
          </w:pPr>
        </w:p>
      </w:tc>
    </w:tr>
  </w:tbl>
  <w:p w14:paraId="4D07D773" w14:textId="77777777" w:rsidR="000C066A" w:rsidRDefault="00AD0537" w:rsidP="4DB7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1EB2"/>
    <w:multiLevelType w:val="hybridMultilevel"/>
    <w:tmpl w:val="70DE8E64"/>
    <w:lvl w:ilvl="0" w:tplc="252439D6">
      <w:start w:val="1"/>
      <w:numFmt w:val="upperRoman"/>
      <w:lvlText w:val="%1."/>
      <w:lvlJc w:val="left"/>
      <w:pPr>
        <w:ind w:left="1080" w:hanging="720"/>
      </w:pPr>
      <w:rPr>
        <w:rFonts w:ascii="Times New Roman" w:hAnsi="Times New Roman" w:hint="default"/>
        <w:b/>
        <w:u w:val="none"/>
      </w:rPr>
    </w:lvl>
    <w:lvl w:ilvl="1" w:tplc="3D823162">
      <w:start w:val="1"/>
      <w:numFmt w:val="lowerLetter"/>
      <w:lvlText w:val="%2."/>
      <w:lvlJc w:val="left"/>
      <w:pPr>
        <w:ind w:left="1440" w:hanging="360"/>
      </w:pPr>
      <w:rPr>
        <w:i/>
        <w:iCs/>
      </w:rPr>
    </w:lvl>
    <w:lvl w:ilvl="2" w:tplc="AA1A3CAE">
      <w:start w:val="2"/>
      <w:numFmt w:val="upperLetter"/>
      <w:lvlText w:val="%3."/>
      <w:lvlJc w:val="left"/>
      <w:pPr>
        <w:ind w:left="2340" w:hanging="360"/>
      </w:pPr>
      <w:rPr>
        <w:rFonts w:ascii="Times New Roman Bold" w:hAnsi="Times New Roman Bold"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E051B"/>
    <w:multiLevelType w:val="hybridMultilevel"/>
    <w:tmpl w:val="EA60EF6A"/>
    <w:lvl w:ilvl="0" w:tplc="7B1A3068">
      <w:start w:val="100"/>
      <w:numFmt w:val="upperRoman"/>
      <w:lvlText w:val="%1."/>
      <w:lvlJc w:val="left"/>
      <w:pPr>
        <w:ind w:left="1080" w:hanging="720"/>
      </w:pPr>
      <w:rPr>
        <w:rFonts w:ascii="Times New Roman Bold" w:hAnsi="Times New Roman Bold" w:hint="default"/>
        <w:b/>
        <w:i/>
        <w:i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B0FBE"/>
    <w:multiLevelType w:val="hybridMultilevel"/>
    <w:tmpl w:val="56CC2126"/>
    <w:lvl w:ilvl="0" w:tplc="2AB819BA">
      <w:start w:val="1"/>
      <w:numFmt w:val="upperRoman"/>
      <w:lvlText w:val="%1."/>
      <w:lvlJc w:val="left"/>
      <w:pPr>
        <w:ind w:left="1080" w:hanging="720"/>
      </w:pPr>
      <w:rPr>
        <w:rFonts w:hint="default"/>
        <w:b/>
      </w:rPr>
    </w:lvl>
    <w:lvl w:ilvl="1" w:tplc="6068D75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D"/>
    <w:rsid w:val="000C306F"/>
    <w:rsid w:val="00102324"/>
    <w:rsid w:val="001469D0"/>
    <w:rsid w:val="0015693C"/>
    <w:rsid w:val="00180188"/>
    <w:rsid w:val="001D4C7F"/>
    <w:rsid w:val="002245B8"/>
    <w:rsid w:val="00284D89"/>
    <w:rsid w:val="002D7BCE"/>
    <w:rsid w:val="002E3271"/>
    <w:rsid w:val="002E748D"/>
    <w:rsid w:val="00305ABE"/>
    <w:rsid w:val="0033554A"/>
    <w:rsid w:val="003F39A7"/>
    <w:rsid w:val="004215EF"/>
    <w:rsid w:val="00437DD1"/>
    <w:rsid w:val="00450481"/>
    <w:rsid w:val="00492720"/>
    <w:rsid w:val="004A748D"/>
    <w:rsid w:val="004E0915"/>
    <w:rsid w:val="004F2B6B"/>
    <w:rsid w:val="00590805"/>
    <w:rsid w:val="005A5C35"/>
    <w:rsid w:val="005E11AF"/>
    <w:rsid w:val="006248B1"/>
    <w:rsid w:val="0063714D"/>
    <w:rsid w:val="00663935"/>
    <w:rsid w:val="006B6B9D"/>
    <w:rsid w:val="006E3B84"/>
    <w:rsid w:val="007B3A3A"/>
    <w:rsid w:val="007F4D28"/>
    <w:rsid w:val="008048C5"/>
    <w:rsid w:val="00811AA9"/>
    <w:rsid w:val="008D0089"/>
    <w:rsid w:val="008E2107"/>
    <w:rsid w:val="008F32EC"/>
    <w:rsid w:val="00933041"/>
    <w:rsid w:val="0095082D"/>
    <w:rsid w:val="0095115E"/>
    <w:rsid w:val="009727FF"/>
    <w:rsid w:val="00995F0B"/>
    <w:rsid w:val="00A23C55"/>
    <w:rsid w:val="00A80AB0"/>
    <w:rsid w:val="00AD0537"/>
    <w:rsid w:val="00AD3CE5"/>
    <w:rsid w:val="00AD7EF7"/>
    <w:rsid w:val="00B0252A"/>
    <w:rsid w:val="00B027BD"/>
    <w:rsid w:val="00B20AF5"/>
    <w:rsid w:val="00B36111"/>
    <w:rsid w:val="00B66D5D"/>
    <w:rsid w:val="00B81803"/>
    <w:rsid w:val="00B83DD6"/>
    <w:rsid w:val="00BA06BA"/>
    <w:rsid w:val="00C05DE4"/>
    <w:rsid w:val="00C85E27"/>
    <w:rsid w:val="00CD07A3"/>
    <w:rsid w:val="00CE5F70"/>
    <w:rsid w:val="00D81258"/>
    <w:rsid w:val="00D87AE2"/>
    <w:rsid w:val="00D9685D"/>
    <w:rsid w:val="00DA0267"/>
    <w:rsid w:val="00DB6B77"/>
    <w:rsid w:val="00DB75A9"/>
    <w:rsid w:val="00DC342A"/>
    <w:rsid w:val="00E12D5C"/>
    <w:rsid w:val="00E27C23"/>
    <w:rsid w:val="00E82B8C"/>
    <w:rsid w:val="00EA4036"/>
    <w:rsid w:val="00F325B7"/>
    <w:rsid w:val="00FD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8AAD"/>
  <w14:defaultImageDpi w14:val="32767"/>
  <w15:chartTrackingRefBased/>
  <w15:docId w15:val="{EFE58554-54F3-6745-BDDE-1079D7F4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5D"/>
    <w:rPr>
      <w:rFonts w:ascii="Times New Roman" w:eastAsia="Times New Roman" w:hAnsi="Times New Roman" w:cs="Times New Roman"/>
    </w:rPr>
  </w:style>
  <w:style w:type="paragraph" w:styleId="Heading1">
    <w:name w:val="heading 1"/>
    <w:basedOn w:val="Normal"/>
    <w:next w:val="Normal"/>
    <w:link w:val="Heading1Char"/>
    <w:uiPriority w:val="9"/>
    <w:qFormat/>
    <w:rsid w:val="00305A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D968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9685D"/>
    <w:rPr>
      <w:rFonts w:ascii="Calibri" w:eastAsia="Times New Roman" w:hAnsi="Calibri" w:cs="Times New Roman"/>
      <w:b/>
      <w:bCs/>
      <w:i/>
      <w:iCs/>
      <w:sz w:val="26"/>
      <w:szCs w:val="26"/>
    </w:rPr>
  </w:style>
  <w:style w:type="paragraph" w:styleId="FootnoteText">
    <w:name w:val="footnote text"/>
    <w:aliases w:val="FT"/>
    <w:basedOn w:val="Normal"/>
    <w:link w:val="FootnoteTextChar"/>
    <w:uiPriority w:val="99"/>
    <w:unhideWhenUsed/>
    <w:qFormat/>
    <w:rsid w:val="00D9685D"/>
    <w:pPr>
      <w:spacing w:after="100" w:line="211" w:lineRule="auto"/>
    </w:pPr>
    <w:rPr>
      <w:rFonts w:eastAsia="MS Mincho"/>
      <w:sz w:val="20"/>
      <w:szCs w:val="20"/>
    </w:rPr>
  </w:style>
  <w:style w:type="character" w:customStyle="1" w:styleId="FootnoteTextChar">
    <w:name w:val="Footnote Text Char"/>
    <w:aliases w:val="FT Char"/>
    <w:basedOn w:val="DefaultParagraphFont"/>
    <w:link w:val="FootnoteText"/>
    <w:uiPriority w:val="99"/>
    <w:rsid w:val="00D9685D"/>
    <w:rPr>
      <w:rFonts w:ascii="Times New Roman" w:eastAsia="MS Mincho" w:hAnsi="Times New Roman" w:cs="Times New Roman"/>
      <w:sz w:val="20"/>
      <w:szCs w:val="20"/>
    </w:rPr>
  </w:style>
  <w:style w:type="paragraph" w:styleId="Header">
    <w:name w:val="header"/>
    <w:basedOn w:val="Normal"/>
    <w:link w:val="HeaderChar"/>
    <w:uiPriority w:val="99"/>
    <w:rsid w:val="00D9685D"/>
    <w:pPr>
      <w:tabs>
        <w:tab w:val="center" w:pos="4680"/>
        <w:tab w:val="right" w:pos="9360"/>
      </w:tabs>
    </w:pPr>
  </w:style>
  <w:style w:type="character" w:customStyle="1" w:styleId="HeaderChar">
    <w:name w:val="Header Char"/>
    <w:basedOn w:val="DefaultParagraphFont"/>
    <w:link w:val="Header"/>
    <w:uiPriority w:val="99"/>
    <w:rsid w:val="00D9685D"/>
    <w:rPr>
      <w:rFonts w:ascii="Times New Roman" w:eastAsia="Times New Roman" w:hAnsi="Times New Roman" w:cs="Times New Roman"/>
    </w:rPr>
  </w:style>
  <w:style w:type="paragraph" w:styleId="Footer">
    <w:name w:val="footer"/>
    <w:basedOn w:val="Normal"/>
    <w:link w:val="FooterChar"/>
    <w:uiPriority w:val="99"/>
    <w:rsid w:val="00D9685D"/>
    <w:pPr>
      <w:tabs>
        <w:tab w:val="center" w:pos="4320"/>
        <w:tab w:val="right" w:pos="8640"/>
      </w:tabs>
      <w:ind w:firstLine="720"/>
    </w:pPr>
  </w:style>
  <w:style w:type="character" w:customStyle="1" w:styleId="FooterChar">
    <w:name w:val="Footer Char"/>
    <w:basedOn w:val="DefaultParagraphFont"/>
    <w:link w:val="Footer"/>
    <w:uiPriority w:val="99"/>
    <w:rsid w:val="00D9685D"/>
    <w:rPr>
      <w:rFonts w:ascii="Times New Roman" w:eastAsia="Times New Roman" w:hAnsi="Times New Roman" w:cs="Times New Roman"/>
    </w:rPr>
  </w:style>
  <w:style w:type="character" w:styleId="PageNumber">
    <w:name w:val="page number"/>
    <w:basedOn w:val="DefaultParagraphFont"/>
    <w:uiPriority w:val="99"/>
    <w:unhideWhenUsed/>
    <w:rsid w:val="00D9685D"/>
  </w:style>
  <w:style w:type="paragraph" w:customStyle="1" w:styleId="ColorfulList-Accent11">
    <w:name w:val="Colorful List - Accent 11"/>
    <w:qFormat/>
    <w:rsid w:val="000C306F"/>
    <w:pPr>
      <w:ind w:left="720"/>
    </w:pPr>
    <w:rPr>
      <w:rFonts w:ascii="Lucida Grande" w:eastAsia="ヒラギノ角ゴ Pro W3" w:hAnsi="Lucida Grande" w:cs="Times New Roman"/>
      <w:color w:val="000000"/>
      <w:szCs w:val="20"/>
    </w:rPr>
  </w:style>
  <w:style w:type="paragraph" w:styleId="ListParagraph">
    <w:name w:val="List Paragraph"/>
    <w:basedOn w:val="Normal"/>
    <w:uiPriority w:val="34"/>
    <w:qFormat/>
    <w:rsid w:val="000C306F"/>
    <w:pPr>
      <w:ind w:left="720"/>
      <w:contextualSpacing/>
    </w:pPr>
  </w:style>
  <w:style w:type="character" w:styleId="FootnoteReference">
    <w:name w:val="footnote reference"/>
    <w:basedOn w:val="DefaultParagraphFont"/>
    <w:uiPriority w:val="99"/>
    <w:unhideWhenUsed/>
    <w:rsid w:val="0033554A"/>
    <w:rPr>
      <w:vertAlign w:val="superscript"/>
    </w:rPr>
  </w:style>
  <w:style w:type="character" w:styleId="Hyperlink">
    <w:name w:val="Hyperlink"/>
    <w:basedOn w:val="DefaultParagraphFont"/>
    <w:uiPriority w:val="99"/>
    <w:unhideWhenUsed/>
    <w:rsid w:val="0033554A"/>
    <w:rPr>
      <w:color w:val="0563C1" w:themeColor="hyperlink"/>
      <w:u w:val="single"/>
    </w:rPr>
  </w:style>
  <w:style w:type="paragraph" w:styleId="NormalWeb">
    <w:name w:val="Normal (Web)"/>
    <w:basedOn w:val="Normal"/>
    <w:uiPriority w:val="99"/>
    <w:semiHidden/>
    <w:unhideWhenUsed/>
    <w:rsid w:val="00663935"/>
    <w:pPr>
      <w:spacing w:before="100" w:beforeAutospacing="1" w:after="100" w:afterAutospacing="1"/>
    </w:pPr>
  </w:style>
  <w:style w:type="character" w:styleId="FollowedHyperlink">
    <w:name w:val="FollowedHyperlink"/>
    <w:basedOn w:val="DefaultParagraphFont"/>
    <w:uiPriority w:val="99"/>
    <w:semiHidden/>
    <w:unhideWhenUsed/>
    <w:rsid w:val="0015693C"/>
    <w:rPr>
      <w:color w:val="954F72" w:themeColor="followedHyperlink"/>
      <w:u w:val="single"/>
    </w:rPr>
  </w:style>
  <w:style w:type="character" w:customStyle="1" w:styleId="UnresolvedMention">
    <w:name w:val="Unresolved Mention"/>
    <w:basedOn w:val="DefaultParagraphFont"/>
    <w:uiPriority w:val="99"/>
    <w:semiHidden/>
    <w:unhideWhenUsed/>
    <w:rsid w:val="00EA4036"/>
    <w:rPr>
      <w:color w:val="605E5C"/>
      <w:shd w:val="clear" w:color="auto" w:fill="E1DFDD"/>
    </w:rPr>
  </w:style>
  <w:style w:type="character" w:customStyle="1" w:styleId="Heading1Char">
    <w:name w:val="Heading 1 Char"/>
    <w:basedOn w:val="DefaultParagraphFont"/>
    <w:link w:val="Heading1"/>
    <w:uiPriority w:val="9"/>
    <w:rsid w:val="00305ABE"/>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D87AE2"/>
  </w:style>
  <w:style w:type="character" w:styleId="CommentReference">
    <w:name w:val="annotation reference"/>
    <w:basedOn w:val="DefaultParagraphFont"/>
    <w:uiPriority w:val="99"/>
    <w:semiHidden/>
    <w:unhideWhenUsed/>
    <w:rsid w:val="006E3B84"/>
    <w:rPr>
      <w:sz w:val="16"/>
      <w:szCs w:val="16"/>
    </w:rPr>
  </w:style>
  <w:style w:type="paragraph" w:styleId="CommentText">
    <w:name w:val="annotation text"/>
    <w:basedOn w:val="Normal"/>
    <w:link w:val="CommentTextChar"/>
    <w:uiPriority w:val="99"/>
    <w:semiHidden/>
    <w:unhideWhenUsed/>
    <w:rsid w:val="006E3B84"/>
    <w:rPr>
      <w:sz w:val="20"/>
      <w:szCs w:val="20"/>
    </w:rPr>
  </w:style>
  <w:style w:type="character" w:customStyle="1" w:styleId="CommentTextChar">
    <w:name w:val="Comment Text Char"/>
    <w:basedOn w:val="DefaultParagraphFont"/>
    <w:link w:val="CommentText"/>
    <w:uiPriority w:val="99"/>
    <w:semiHidden/>
    <w:rsid w:val="006E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B84"/>
    <w:rPr>
      <w:b/>
      <w:bCs/>
    </w:rPr>
  </w:style>
  <w:style w:type="character" w:customStyle="1" w:styleId="CommentSubjectChar">
    <w:name w:val="Comment Subject Char"/>
    <w:basedOn w:val="CommentTextChar"/>
    <w:link w:val="CommentSubject"/>
    <w:uiPriority w:val="99"/>
    <w:semiHidden/>
    <w:rsid w:val="006E3B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7702">
      <w:bodyDiv w:val="1"/>
      <w:marLeft w:val="0"/>
      <w:marRight w:val="0"/>
      <w:marTop w:val="0"/>
      <w:marBottom w:val="0"/>
      <w:divBdr>
        <w:top w:val="none" w:sz="0" w:space="0" w:color="auto"/>
        <w:left w:val="none" w:sz="0" w:space="0" w:color="auto"/>
        <w:bottom w:val="none" w:sz="0" w:space="0" w:color="auto"/>
        <w:right w:val="none" w:sz="0" w:space="0" w:color="auto"/>
      </w:divBdr>
    </w:div>
    <w:div w:id="271135054">
      <w:bodyDiv w:val="1"/>
      <w:marLeft w:val="0"/>
      <w:marRight w:val="0"/>
      <w:marTop w:val="0"/>
      <w:marBottom w:val="0"/>
      <w:divBdr>
        <w:top w:val="none" w:sz="0" w:space="0" w:color="auto"/>
        <w:left w:val="none" w:sz="0" w:space="0" w:color="auto"/>
        <w:bottom w:val="none" w:sz="0" w:space="0" w:color="auto"/>
        <w:right w:val="none" w:sz="0" w:space="0" w:color="auto"/>
      </w:divBdr>
    </w:div>
    <w:div w:id="353502812">
      <w:bodyDiv w:val="1"/>
      <w:marLeft w:val="0"/>
      <w:marRight w:val="0"/>
      <w:marTop w:val="0"/>
      <w:marBottom w:val="0"/>
      <w:divBdr>
        <w:top w:val="none" w:sz="0" w:space="0" w:color="auto"/>
        <w:left w:val="none" w:sz="0" w:space="0" w:color="auto"/>
        <w:bottom w:val="none" w:sz="0" w:space="0" w:color="auto"/>
        <w:right w:val="none" w:sz="0" w:space="0" w:color="auto"/>
      </w:divBdr>
    </w:div>
    <w:div w:id="417795461">
      <w:bodyDiv w:val="1"/>
      <w:marLeft w:val="0"/>
      <w:marRight w:val="0"/>
      <w:marTop w:val="0"/>
      <w:marBottom w:val="0"/>
      <w:divBdr>
        <w:top w:val="none" w:sz="0" w:space="0" w:color="auto"/>
        <w:left w:val="none" w:sz="0" w:space="0" w:color="auto"/>
        <w:bottom w:val="none" w:sz="0" w:space="0" w:color="auto"/>
        <w:right w:val="none" w:sz="0" w:space="0" w:color="auto"/>
      </w:divBdr>
    </w:div>
    <w:div w:id="496267886">
      <w:bodyDiv w:val="1"/>
      <w:marLeft w:val="0"/>
      <w:marRight w:val="0"/>
      <w:marTop w:val="0"/>
      <w:marBottom w:val="0"/>
      <w:divBdr>
        <w:top w:val="none" w:sz="0" w:space="0" w:color="auto"/>
        <w:left w:val="none" w:sz="0" w:space="0" w:color="auto"/>
        <w:bottom w:val="none" w:sz="0" w:space="0" w:color="auto"/>
        <w:right w:val="none" w:sz="0" w:space="0" w:color="auto"/>
      </w:divBdr>
    </w:div>
    <w:div w:id="714237399">
      <w:bodyDiv w:val="1"/>
      <w:marLeft w:val="0"/>
      <w:marRight w:val="0"/>
      <w:marTop w:val="0"/>
      <w:marBottom w:val="0"/>
      <w:divBdr>
        <w:top w:val="none" w:sz="0" w:space="0" w:color="auto"/>
        <w:left w:val="none" w:sz="0" w:space="0" w:color="auto"/>
        <w:bottom w:val="none" w:sz="0" w:space="0" w:color="auto"/>
        <w:right w:val="none" w:sz="0" w:space="0" w:color="auto"/>
      </w:divBdr>
    </w:div>
    <w:div w:id="826479783">
      <w:bodyDiv w:val="1"/>
      <w:marLeft w:val="0"/>
      <w:marRight w:val="0"/>
      <w:marTop w:val="0"/>
      <w:marBottom w:val="0"/>
      <w:divBdr>
        <w:top w:val="none" w:sz="0" w:space="0" w:color="auto"/>
        <w:left w:val="none" w:sz="0" w:space="0" w:color="auto"/>
        <w:bottom w:val="none" w:sz="0" w:space="0" w:color="auto"/>
        <w:right w:val="none" w:sz="0" w:space="0" w:color="auto"/>
      </w:divBdr>
    </w:div>
    <w:div w:id="1046951586">
      <w:bodyDiv w:val="1"/>
      <w:marLeft w:val="0"/>
      <w:marRight w:val="0"/>
      <w:marTop w:val="0"/>
      <w:marBottom w:val="0"/>
      <w:divBdr>
        <w:top w:val="none" w:sz="0" w:space="0" w:color="auto"/>
        <w:left w:val="none" w:sz="0" w:space="0" w:color="auto"/>
        <w:bottom w:val="none" w:sz="0" w:space="0" w:color="auto"/>
        <w:right w:val="none" w:sz="0" w:space="0" w:color="auto"/>
      </w:divBdr>
    </w:div>
    <w:div w:id="1266697033">
      <w:bodyDiv w:val="1"/>
      <w:marLeft w:val="0"/>
      <w:marRight w:val="0"/>
      <w:marTop w:val="0"/>
      <w:marBottom w:val="0"/>
      <w:divBdr>
        <w:top w:val="none" w:sz="0" w:space="0" w:color="auto"/>
        <w:left w:val="none" w:sz="0" w:space="0" w:color="auto"/>
        <w:bottom w:val="none" w:sz="0" w:space="0" w:color="auto"/>
        <w:right w:val="none" w:sz="0" w:space="0" w:color="auto"/>
      </w:divBdr>
    </w:div>
    <w:div w:id="1478377047">
      <w:bodyDiv w:val="1"/>
      <w:marLeft w:val="0"/>
      <w:marRight w:val="0"/>
      <w:marTop w:val="0"/>
      <w:marBottom w:val="0"/>
      <w:divBdr>
        <w:top w:val="none" w:sz="0" w:space="0" w:color="auto"/>
        <w:left w:val="none" w:sz="0" w:space="0" w:color="auto"/>
        <w:bottom w:val="none" w:sz="0" w:space="0" w:color="auto"/>
        <w:right w:val="none" w:sz="0" w:space="0" w:color="auto"/>
      </w:divBdr>
    </w:div>
    <w:div w:id="1589541192">
      <w:bodyDiv w:val="1"/>
      <w:marLeft w:val="0"/>
      <w:marRight w:val="0"/>
      <w:marTop w:val="0"/>
      <w:marBottom w:val="0"/>
      <w:divBdr>
        <w:top w:val="none" w:sz="0" w:space="0" w:color="auto"/>
        <w:left w:val="none" w:sz="0" w:space="0" w:color="auto"/>
        <w:bottom w:val="none" w:sz="0" w:space="0" w:color="auto"/>
        <w:right w:val="none" w:sz="0" w:space="0" w:color="auto"/>
      </w:divBdr>
    </w:div>
    <w:div w:id="1799906456">
      <w:bodyDiv w:val="1"/>
      <w:marLeft w:val="0"/>
      <w:marRight w:val="0"/>
      <w:marTop w:val="0"/>
      <w:marBottom w:val="0"/>
      <w:divBdr>
        <w:top w:val="none" w:sz="0" w:space="0" w:color="auto"/>
        <w:left w:val="none" w:sz="0" w:space="0" w:color="auto"/>
        <w:bottom w:val="none" w:sz="0" w:space="0" w:color="auto"/>
        <w:right w:val="none" w:sz="0" w:space="0" w:color="auto"/>
      </w:divBdr>
    </w:div>
    <w:div w:id="1880051720">
      <w:bodyDiv w:val="1"/>
      <w:marLeft w:val="0"/>
      <w:marRight w:val="0"/>
      <w:marTop w:val="0"/>
      <w:marBottom w:val="0"/>
      <w:divBdr>
        <w:top w:val="none" w:sz="0" w:space="0" w:color="auto"/>
        <w:left w:val="none" w:sz="0" w:space="0" w:color="auto"/>
        <w:bottom w:val="none" w:sz="0" w:space="0" w:color="auto"/>
        <w:right w:val="none" w:sz="0" w:space="0" w:color="auto"/>
      </w:divBdr>
    </w:div>
    <w:div w:id="1911302466">
      <w:bodyDiv w:val="1"/>
      <w:marLeft w:val="0"/>
      <w:marRight w:val="0"/>
      <w:marTop w:val="0"/>
      <w:marBottom w:val="0"/>
      <w:divBdr>
        <w:top w:val="none" w:sz="0" w:space="0" w:color="auto"/>
        <w:left w:val="none" w:sz="0" w:space="0" w:color="auto"/>
        <w:bottom w:val="none" w:sz="0" w:space="0" w:color="auto"/>
        <w:right w:val="none" w:sz="0" w:space="0" w:color="auto"/>
      </w:divBdr>
    </w:div>
    <w:div w:id="20961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comptroller.nyc.gov/reports/title-vacant/" TargetMode="External"/><Relationship Id="rId3" Type="http://schemas.openxmlformats.org/officeDocument/2006/relationships/hyperlink" Target="https://www1.nyc.gov/site/dcas/about/agency-executive-team.page" TargetMode="External"/><Relationship Id="rId7" Type="http://schemas.openxmlformats.org/officeDocument/2006/relationships/hyperlink" Target="https://www.nytimes.com/2022/07/13/nyregion/labor-shortage-nyc-jobs.html" TargetMode="External"/><Relationship Id="rId2" Type="http://schemas.openxmlformats.org/officeDocument/2006/relationships/hyperlink" Target="https://www1.nyc.gov/site/dcas/agencies/human-capital.page" TargetMode="External"/><Relationship Id="rId1" Type="http://schemas.openxmlformats.org/officeDocument/2006/relationships/hyperlink" Target="https://www1.nyc.gov/site/dcas/about/who-we-are.page" TargetMode="External"/><Relationship Id="rId6" Type="http://schemas.openxmlformats.org/officeDocument/2006/relationships/hyperlink" Target="https://www.osc.state.ny.us/files/reports/osdc/pdf/report-18-2022.pdf" TargetMode="External"/><Relationship Id="rId11" Type="http://schemas.openxmlformats.org/officeDocument/2006/relationships/hyperlink" Target="https://www.thecity.nyc/2022/9/6/23340069/health-housing-buildings-public-sector-unemployment-rate-high" TargetMode="External"/><Relationship Id="rId5" Type="http://schemas.openxmlformats.org/officeDocument/2006/relationships/hyperlink" Target="https://www1.nyc.gov/site/dcas/about/agency-executive-team.page" TargetMode="External"/><Relationship Id="rId10" Type="http://schemas.openxmlformats.org/officeDocument/2006/relationships/hyperlink" Target="https://www.nytimes.com/2023/03/06/nyregion/nyc-workers-hiring-vacancies.html" TargetMode="External"/><Relationship Id="rId4" Type="http://schemas.openxmlformats.org/officeDocument/2006/relationships/hyperlink" Target="https://www1.nyc.gov/site/dcas/about/who-we-are.page" TargetMode="External"/><Relationship Id="rId9" Type="http://schemas.openxmlformats.org/officeDocument/2006/relationships/hyperlink" Target="https://comptroller.nyc.gov/reports/understaffed-underser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C823-7D69-48B4-B1C6-F3B6903F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2350</Words>
  <Characters>13398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Arzt</dc:creator>
  <cp:keywords/>
  <dc:description/>
  <cp:lastModifiedBy>DelFranco, Ruthie</cp:lastModifiedBy>
  <cp:revision>2</cp:revision>
  <dcterms:created xsi:type="dcterms:W3CDTF">2023-05-25T18:42:00Z</dcterms:created>
  <dcterms:modified xsi:type="dcterms:W3CDTF">2023-05-25T18:42:00Z</dcterms:modified>
</cp:coreProperties>
</file>