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A5666" w14:textId="3BFCFFDD" w:rsidR="00754DBD" w:rsidRPr="00CE22C7" w:rsidRDefault="00EF370D" w:rsidP="00754DBD">
      <w:pPr>
        <w:suppressLineNumbers/>
        <w:tabs>
          <w:tab w:val="left" w:pos="2880"/>
          <w:tab w:val="left" w:pos="3960"/>
        </w:tabs>
        <w:rPr>
          <w:b/>
        </w:rPr>
      </w:pPr>
      <w:bookmarkStart w:id="0" w:name="_GoBack"/>
      <w:bookmarkEnd w:id="0"/>
      <w:r w:rsidRPr="00CE22C7">
        <w:tab/>
      </w:r>
      <w:r w:rsidR="005753E0" w:rsidRPr="00CE22C7">
        <w:t xml:space="preserve">  </w:t>
      </w:r>
      <w:r w:rsidR="009C29B1" w:rsidRPr="00CE22C7">
        <w:t>Staff:</w:t>
      </w:r>
      <w:r w:rsidR="00754DBD" w:rsidRPr="00CE22C7">
        <w:tab/>
      </w:r>
      <w:r w:rsidR="00114ED4" w:rsidRPr="00CE22C7">
        <w:rPr>
          <w:b/>
          <w:u w:val="single"/>
        </w:rPr>
        <w:t>Committee on Finance</w:t>
      </w:r>
    </w:p>
    <w:p w14:paraId="12494BA7" w14:textId="7A412EB1" w:rsidR="00754DBD" w:rsidRPr="00CE22C7" w:rsidRDefault="00754DBD" w:rsidP="00754DBD">
      <w:pPr>
        <w:suppressLineNumbers/>
        <w:tabs>
          <w:tab w:val="left" w:pos="2880"/>
          <w:tab w:val="left" w:pos="3960"/>
        </w:tabs>
        <w:rPr>
          <w:b/>
          <w:u w:val="single"/>
        </w:rPr>
      </w:pPr>
      <w:r w:rsidRPr="00CE22C7">
        <w:rPr>
          <w:b/>
        </w:rPr>
        <w:tab/>
      </w:r>
      <w:r w:rsidRPr="00CE22C7">
        <w:rPr>
          <w:b/>
        </w:rPr>
        <w:tab/>
      </w:r>
      <w:r w:rsidR="008B3FD1">
        <w:t>Kathleen Ahn,</w:t>
      </w:r>
      <w:r w:rsidR="00A54D47" w:rsidRPr="00CE22C7">
        <w:t xml:space="preserve"> Counsel</w:t>
      </w:r>
    </w:p>
    <w:p w14:paraId="40A5C1AE" w14:textId="0364EA0F" w:rsidR="00754DBD" w:rsidRPr="00CE22C7" w:rsidRDefault="00754DBD" w:rsidP="00754DBD">
      <w:pPr>
        <w:suppressLineNumbers/>
        <w:tabs>
          <w:tab w:val="left" w:pos="2880"/>
          <w:tab w:val="left" w:pos="3960"/>
        </w:tabs>
        <w:rPr>
          <w:b/>
          <w:u w:val="single"/>
        </w:rPr>
      </w:pPr>
      <w:r w:rsidRPr="00CE22C7">
        <w:rPr>
          <w:b/>
        </w:rPr>
        <w:tab/>
      </w:r>
      <w:r w:rsidRPr="00CE22C7">
        <w:rPr>
          <w:b/>
        </w:rPr>
        <w:tab/>
      </w:r>
      <w:r w:rsidR="008B3FD1">
        <w:t>Michael Twomey</w:t>
      </w:r>
      <w:r w:rsidR="007B28FB" w:rsidRPr="00CE22C7">
        <w:t>, Assistant Counsel</w:t>
      </w:r>
    </w:p>
    <w:p w14:paraId="54839EDD" w14:textId="6E777D7F" w:rsidR="00754DBD" w:rsidRPr="00CE22C7" w:rsidRDefault="00754DBD" w:rsidP="00754DBD">
      <w:pPr>
        <w:suppressLineNumbers/>
        <w:tabs>
          <w:tab w:val="left" w:pos="2880"/>
          <w:tab w:val="left" w:pos="3960"/>
        </w:tabs>
      </w:pPr>
      <w:r w:rsidRPr="00CE22C7">
        <w:rPr>
          <w:b/>
        </w:rPr>
        <w:tab/>
      </w:r>
      <w:r w:rsidRPr="00CE22C7">
        <w:rPr>
          <w:b/>
        </w:rPr>
        <w:tab/>
      </w:r>
      <w:r w:rsidRPr="00CE22C7">
        <w:t>Ray Majewski, Deputy Director &amp; Chief Economist</w:t>
      </w:r>
    </w:p>
    <w:p w14:paraId="680F0292" w14:textId="7DA2D87D" w:rsidR="008B3FD1" w:rsidRDefault="00754DBD" w:rsidP="00754DBD">
      <w:pPr>
        <w:suppressLineNumbers/>
        <w:tabs>
          <w:tab w:val="left" w:pos="2880"/>
          <w:tab w:val="left" w:pos="3960"/>
        </w:tabs>
      </w:pPr>
      <w:r w:rsidRPr="00CE22C7">
        <w:tab/>
      </w:r>
      <w:r w:rsidRPr="00CE22C7">
        <w:tab/>
      </w:r>
      <w:r w:rsidR="008B3FD1">
        <w:t>Emre Edev, Assistant Director</w:t>
      </w:r>
    </w:p>
    <w:p w14:paraId="3D5A059C" w14:textId="77777777" w:rsidR="00D33356" w:rsidRDefault="008B3FD1" w:rsidP="00754DBD">
      <w:pPr>
        <w:suppressLineNumbers/>
        <w:tabs>
          <w:tab w:val="left" w:pos="2880"/>
          <w:tab w:val="left" w:pos="3960"/>
        </w:tabs>
      </w:pPr>
      <w:r>
        <w:tab/>
      </w:r>
      <w:r>
        <w:tab/>
      </w:r>
      <w:r w:rsidR="00D33356" w:rsidRPr="00CE22C7">
        <w:t xml:space="preserve">Hector German, Economist   </w:t>
      </w:r>
    </w:p>
    <w:p w14:paraId="7916662C" w14:textId="3BD455FF" w:rsidR="00754DBD" w:rsidRPr="00CE22C7" w:rsidRDefault="00D33356" w:rsidP="00754DBD">
      <w:pPr>
        <w:suppressLineNumbers/>
        <w:tabs>
          <w:tab w:val="left" w:pos="2880"/>
          <w:tab w:val="left" w:pos="3960"/>
        </w:tabs>
      </w:pPr>
      <w:r>
        <w:tab/>
      </w:r>
      <w:r>
        <w:tab/>
      </w:r>
      <w:r w:rsidR="00754DBD" w:rsidRPr="00CE22C7">
        <w:t>Andrew Wilber, Economist</w:t>
      </w:r>
    </w:p>
    <w:p w14:paraId="3330DC1A" w14:textId="61452C2B" w:rsidR="00754DBD" w:rsidRPr="00CE22C7" w:rsidRDefault="00754DBD" w:rsidP="00754DBD">
      <w:pPr>
        <w:suppressLineNumbers/>
        <w:tabs>
          <w:tab w:val="left" w:pos="2880"/>
          <w:tab w:val="left" w:pos="3960"/>
        </w:tabs>
        <w:rPr>
          <w:b/>
          <w:u w:val="single"/>
        </w:rPr>
      </w:pPr>
      <w:r w:rsidRPr="00CE22C7">
        <w:tab/>
      </w:r>
      <w:r w:rsidRPr="00CE22C7">
        <w:tab/>
      </w:r>
      <w:r w:rsidR="005753E0" w:rsidRPr="00CE22C7">
        <w:t xml:space="preserve">   </w:t>
      </w:r>
      <w:r w:rsidR="00663DEC" w:rsidRPr="00CE22C7">
        <w:t xml:space="preserve"> </w:t>
      </w:r>
    </w:p>
    <w:p w14:paraId="60606D67" w14:textId="2A211F95" w:rsidR="00BD08B6" w:rsidRPr="00CE22C7" w:rsidRDefault="00FB1406" w:rsidP="00754DBD">
      <w:pPr>
        <w:suppressLineNumbers/>
        <w:tabs>
          <w:tab w:val="left" w:pos="3150"/>
          <w:tab w:val="left" w:pos="4500"/>
        </w:tabs>
      </w:pPr>
      <w:r w:rsidRPr="00CE22C7">
        <w:t xml:space="preserve"> </w:t>
      </w:r>
      <w:r w:rsidR="00663DEC" w:rsidRPr="00CE22C7">
        <w:tab/>
      </w:r>
      <w:r w:rsidR="00663DEC" w:rsidRPr="00CE22C7">
        <w:tab/>
      </w:r>
      <w:r w:rsidR="00663DEC" w:rsidRPr="00CE22C7">
        <w:tab/>
      </w:r>
      <w:r w:rsidR="00663DEC" w:rsidRPr="00CE22C7">
        <w:tab/>
      </w:r>
    </w:p>
    <w:p w14:paraId="589AF60A" w14:textId="77777777" w:rsidR="00BC7570" w:rsidRPr="00CE22C7" w:rsidRDefault="00E10A14" w:rsidP="00E914C0">
      <w:pPr>
        <w:framePr w:hSpace="180" w:wrap="auto" w:vAnchor="text" w:hAnchor="page" w:x="5473" w:y="229"/>
        <w:suppressLineNumbers/>
        <w:jc w:val="center"/>
      </w:pPr>
      <w:r w:rsidRPr="00CE22C7">
        <w:rPr>
          <w:noProof/>
        </w:rPr>
        <w:drawing>
          <wp:inline distT="0" distB="0" distL="0" distR="0" wp14:anchorId="3DF6F921" wp14:editId="6D7182DE">
            <wp:extent cx="86868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868680" cy="876300"/>
                    </a:xfrm>
                    <a:prstGeom prst="rect">
                      <a:avLst/>
                    </a:prstGeom>
                  </pic:spPr>
                </pic:pic>
              </a:graphicData>
            </a:graphic>
          </wp:inline>
        </w:drawing>
      </w:r>
    </w:p>
    <w:p w14:paraId="4BDDD30C" w14:textId="77777777" w:rsidR="00BC7570" w:rsidRPr="00CE22C7" w:rsidRDefault="00BC7570" w:rsidP="00E914C0">
      <w:pPr>
        <w:suppressLineNumbers/>
      </w:pPr>
    </w:p>
    <w:p w14:paraId="17F63F0A" w14:textId="77777777" w:rsidR="00C91C1D" w:rsidRPr="00CE22C7" w:rsidRDefault="00C91C1D" w:rsidP="00E914C0">
      <w:pPr>
        <w:suppressLineNumbers/>
      </w:pPr>
    </w:p>
    <w:p w14:paraId="5CDD27A4" w14:textId="77777777" w:rsidR="00BC7570" w:rsidRPr="00CE22C7" w:rsidRDefault="00BC7570" w:rsidP="00E914C0">
      <w:pPr>
        <w:suppressLineNumbers/>
      </w:pPr>
      <w:r w:rsidRPr="00CE22C7">
        <w:t> </w:t>
      </w:r>
    </w:p>
    <w:p w14:paraId="2B46A395" w14:textId="77777777" w:rsidR="00BC7570" w:rsidRPr="00CE22C7" w:rsidRDefault="00BC7570" w:rsidP="00E914C0">
      <w:pPr>
        <w:suppressLineNumbers/>
      </w:pPr>
      <w:r w:rsidRPr="00CE22C7">
        <w:t> </w:t>
      </w:r>
    </w:p>
    <w:p w14:paraId="4FFE5F46" w14:textId="77777777" w:rsidR="001E4758" w:rsidRPr="00CE22C7" w:rsidRDefault="001E4758" w:rsidP="00E914C0">
      <w:pPr>
        <w:suppressLineNumbers/>
      </w:pPr>
    </w:p>
    <w:p w14:paraId="6C99D998" w14:textId="77777777" w:rsidR="001E4758" w:rsidRPr="00CE22C7" w:rsidRDefault="001E4758" w:rsidP="00E914C0">
      <w:pPr>
        <w:suppressLineNumbers/>
      </w:pPr>
    </w:p>
    <w:p w14:paraId="653D7BE6" w14:textId="77777777" w:rsidR="00BC7570" w:rsidRPr="00CE22C7" w:rsidRDefault="00BC7570" w:rsidP="00DE3212">
      <w:pPr>
        <w:pStyle w:val="Heading6"/>
        <w:numPr>
          <w:ilvl w:val="0"/>
          <w:numId w:val="0"/>
        </w:numPr>
        <w:suppressLineNumbers/>
        <w:rPr>
          <w:b/>
          <w:szCs w:val="24"/>
          <w:u w:val="single"/>
        </w:rPr>
      </w:pPr>
      <w:r w:rsidRPr="00CE22C7">
        <w:rPr>
          <w:b/>
          <w:szCs w:val="24"/>
          <w:u w:val="single"/>
        </w:rPr>
        <w:t>THE NEW YORK CITY COUNCIL</w:t>
      </w:r>
    </w:p>
    <w:p w14:paraId="52EE9E81" w14:textId="4AD0F1F7" w:rsidR="008B3FD1" w:rsidRDefault="008B3FD1" w:rsidP="00DE3212">
      <w:pPr>
        <w:suppressLineNumbers/>
        <w:jc w:val="center"/>
        <w:rPr>
          <w:b/>
        </w:rPr>
      </w:pPr>
      <w:r>
        <w:rPr>
          <w:b/>
        </w:rPr>
        <w:t>TANISHA EDWARDS, ESQ., CHIEF FINANCIAL OFFICER AND DEPUTY CHIEF OF STAFF TO THE SPEAKER</w:t>
      </w:r>
    </w:p>
    <w:p w14:paraId="1089DFB5" w14:textId="77777777" w:rsidR="00E233BB" w:rsidRDefault="00E233BB" w:rsidP="00DE3212">
      <w:pPr>
        <w:suppressLineNumbers/>
        <w:jc w:val="center"/>
        <w:rPr>
          <w:b/>
        </w:rPr>
      </w:pPr>
    </w:p>
    <w:p w14:paraId="52993A68" w14:textId="6ADF3890" w:rsidR="00DE3212" w:rsidRPr="00CE22C7" w:rsidRDefault="008B3FD1" w:rsidP="00DE3212">
      <w:pPr>
        <w:suppressLineNumbers/>
        <w:jc w:val="center"/>
        <w:rPr>
          <w:b/>
        </w:rPr>
      </w:pPr>
      <w:r>
        <w:rPr>
          <w:b/>
        </w:rPr>
        <w:t>RICHARD LEE</w:t>
      </w:r>
      <w:r w:rsidR="00BC7570" w:rsidRPr="00CE22C7">
        <w:rPr>
          <w:b/>
        </w:rPr>
        <w:t>, DIRECTOR, FINANCE DIVISION</w:t>
      </w:r>
    </w:p>
    <w:p w14:paraId="2F452739" w14:textId="77777777" w:rsidR="00DE3212" w:rsidRPr="00CE22C7" w:rsidRDefault="00DE3212" w:rsidP="00DE3212">
      <w:pPr>
        <w:suppressLineNumbers/>
        <w:jc w:val="center"/>
        <w:rPr>
          <w:b/>
        </w:rPr>
      </w:pPr>
    </w:p>
    <w:p w14:paraId="68EF9AE4" w14:textId="77777777" w:rsidR="00DE3212" w:rsidRPr="00CE22C7" w:rsidRDefault="00BC7570" w:rsidP="00DE3212">
      <w:pPr>
        <w:suppressLineNumbers/>
        <w:jc w:val="center"/>
        <w:rPr>
          <w:b/>
          <w:caps/>
          <w:smallCaps/>
          <w:u w:val="single"/>
        </w:rPr>
      </w:pPr>
      <w:r w:rsidRPr="00CE22C7">
        <w:rPr>
          <w:b/>
          <w:caps/>
          <w:smallCaps/>
          <w:u w:val="single"/>
        </w:rPr>
        <w:t>COMMITTEE ON FINANCE</w:t>
      </w:r>
    </w:p>
    <w:p w14:paraId="7A7E0CF6" w14:textId="6FA3791A" w:rsidR="00DE3212" w:rsidRPr="00CE22C7" w:rsidRDefault="00372AB0" w:rsidP="00DE3212">
      <w:pPr>
        <w:suppressLineNumbers/>
        <w:jc w:val="center"/>
        <w:rPr>
          <w:b/>
          <w:caps/>
          <w:smallCaps/>
        </w:rPr>
      </w:pPr>
      <w:r w:rsidRPr="00CE22C7">
        <w:rPr>
          <w:b/>
          <w:caps/>
          <w:smallCaps/>
        </w:rPr>
        <w:t xml:space="preserve">HON. </w:t>
      </w:r>
      <w:r w:rsidR="008B3FD1">
        <w:rPr>
          <w:b/>
          <w:caps/>
          <w:smallCaps/>
        </w:rPr>
        <w:t>JUSTIN BRANNAN</w:t>
      </w:r>
      <w:r w:rsidR="00BC7570" w:rsidRPr="00CE22C7">
        <w:rPr>
          <w:b/>
          <w:caps/>
          <w:smallCaps/>
        </w:rPr>
        <w:t>, CHAIR</w:t>
      </w:r>
    </w:p>
    <w:p w14:paraId="4629573B" w14:textId="77777777" w:rsidR="00DE3212" w:rsidRPr="00CE22C7" w:rsidRDefault="00DE3212" w:rsidP="00DE3212">
      <w:pPr>
        <w:suppressLineNumbers/>
        <w:jc w:val="center"/>
        <w:rPr>
          <w:b/>
          <w:caps/>
          <w:smallCaps/>
        </w:rPr>
      </w:pPr>
    </w:p>
    <w:p w14:paraId="5B0859B7" w14:textId="2EB12FF3" w:rsidR="00754DBD" w:rsidRPr="00CE22C7" w:rsidRDefault="00754DBD" w:rsidP="00DE3212">
      <w:pPr>
        <w:suppressLineNumbers/>
        <w:jc w:val="center"/>
        <w:rPr>
          <w:b/>
          <w:bCs/>
          <w:caps/>
          <w:smallCaps/>
        </w:rPr>
      </w:pPr>
      <w:r w:rsidRPr="00CE22C7">
        <w:rPr>
          <w:b/>
          <w:bCs/>
        </w:rPr>
        <w:t>April</w:t>
      </w:r>
      <w:r w:rsidR="00372F44" w:rsidRPr="00CE22C7">
        <w:rPr>
          <w:b/>
          <w:bCs/>
        </w:rPr>
        <w:t xml:space="preserve"> </w:t>
      </w:r>
      <w:r w:rsidR="008B3FD1">
        <w:rPr>
          <w:b/>
          <w:bCs/>
        </w:rPr>
        <w:t>19</w:t>
      </w:r>
      <w:r w:rsidR="00372F44" w:rsidRPr="00CE22C7">
        <w:rPr>
          <w:b/>
          <w:bCs/>
        </w:rPr>
        <w:t>, 20</w:t>
      </w:r>
      <w:r w:rsidR="008B3FD1">
        <w:rPr>
          <w:b/>
          <w:bCs/>
        </w:rPr>
        <w:t>23</w:t>
      </w:r>
    </w:p>
    <w:p w14:paraId="5C491C0A" w14:textId="6E042E55" w:rsidR="002324ED" w:rsidRPr="00CE22C7" w:rsidRDefault="002324ED" w:rsidP="00E914C0">
      <w:pPr>
        <w:suppressLineNumbers/>
        <w:tabs>
          <w:tab w:val="left" w:pos="3600"/>
          <w:tab w:val="left" w:pos="4464"/>
          <w:tab w:val="left" w:pos="4752"/>
        </w:tabs>
        <w:jc w:val="both"/>
        <w:rPr>
          <w:b/>
          <w:snapToGrid w:val="0"/>
          <w:u w:val="single"/>
        </w:rPr>
      </w:pPr>
    </w:p>
    <w:p w14:paraId="4C79BA34" w14:textId="77777777" w:rsidR="0088698A" w:rsidRPr="00CE22C7" w:rsidRDefault="0088698A" w:rsidP="00E914C0">
      <w:pPr>
        <w:suppressLineNumbers/>
        <w:tabs>
          <w:tab w:val="left" w:pos="3600"/>
          <w:tab w:val="left" w:pos="4464"/>
          <w:tab w:val="left" w:pos="4752"/>
        </w:tabs>
        <w:ind w:left="3600" w:hanging="3600"/>
        <w:jc w:val="both"/>
        <w:rPr>
          <w:b/>
          <w:snapToGrid w:val="0"/>
          <w:u w:val="single"/>
        </w:rPr>
      </w:pPr>
    </w:p>
    <w:p w14:paraId="52E1B29C" w14:textId="1D38DD56" w:rsidR="00754DBD" w:rsidRPr="00CE22C7" w:rsidRDefault="00A7031A" w:rsidP="00E914C0">
      <w:pPr>
        <w:suppressLineNumbers/>
        <w:tabs>
          <w:tab w:val="left" w:pos="3600"/>
          <w:tab w:val="left" w:pos="4464"/>
          <w:tab w:val="left" w:pos="4752"/>
        </w:tabs>
        <w:ind w:left="3600" w:hanging="3600"/>
        <w:jc w:val="both"/>
        <w:rPr>
          <w:snapToGrid w:val="0"/>
        </w:rPr>
      </w:pPr>
      <w:r w:rsidRPr="00CE22C7">
        <w:rPr>
          <w:b/>
          <w:snapToGrid w:val="0"/>
          <w:u w:val="single"/>
        </w:rPr>
        <w:t xml:space="preserve">INT. NO. </w:t>
      </w:r>
      <w:r w:rsidR="00C73AED">
        <w:rPr>
          <w:b/>
          <w:snapToGrid w:val="0"/>
          <w:u w:val="single"/>
        </w:rPr>
        <w:t>498</w:t>
      </w:r>
      <w:r w:rsidR="00191C8B" w:rsidRPr="00CE22C7">
        <w:rPr>
          <w:b/>
          <w:snapToGrid w:val="0"/>
          <w:u w:val="single"/>
        </w:rPr>
        <w:t>:</w:t>
      </w:r>
      <w:r w:rsidR="007C363A" w:rsidRPr="00CE22C7">
        <w:rPr>
          <w:snapToGrid w:val="0"/>
        </w:rPr>
        <w:tab/>
        <w:t>By Council M</w:t>
      </w:r>
      <w:r w:rsidR="00A54D47" w:rsidRPr="00CE22C7">
        <w:rPr>
          <w:snapToGrid w:val="0"/>
        </w:rPr>
        <w:t>ember</w:t>
      </w:r>
      <w:r w:rsidR="00C91C1D" w:rsidRPr="00CE22C7">
        <w:rPr>
          <w:snapToGrid w:val="0"/>
        </w:rPr>
        <w:t>s</w:t>
      </w:r>
      <w:r w:rsidR="00A8126D" w:rsidRPr="00CE22C7">
        <w:rPr>
          <w:snapToGrid w:val="0"/>
        </w:rPr>
        <w:t xml:space="preserve"> </w:t>
      </w:r>
      <w:r w:rsidR="00C73AED">
        <w:rPr>
          <w:snapToGrid w:val="0"/>
        </w:rPr>
        <w:t xml:space="preserve">Powers, De La Rosa, Restler, Abreu, Yeger, Hanif, Brewer, Cabán, Nurse, Avilés, Won, Rivera, Gutiérrez, Krishnan, Louis, Marte, Schulman, Bottcher, Ossé, Sanchez, Velázquez, Brannan, Barron, Hudson, Ayala, </w:t>
      </w:r>
      <w:r w:rsidR="009717B0">
        <w:rPr>
          <w:snapToGrid w:val="0"/>
        </w:rPr>
        <w:t>Farías</w:t>
      </w:r>
      <w:r w:rsidR="00C73AED">
        <w:rPr>
          <w:snapToGrid w:val="0"/>
        </w:rPr>
        <w:t>, Riley, Joseph, Narcisse, Brooks-Powers, Williams, Ung, Menin, Stevens, and Richardson Jordan (in conjunction with the Brooklyn Borough President) (by request of the Manhattan Borough President)</w:t>
      </w:r>
    </w:p>
    <w:p w14:paraId="46B855FF" w14:textId="77777777" w:rsidR="00754DBD" w:rsidRPr="00CE22C7" w:rsidRDefault="00754DBD" w:rsidP="00E914C0">
      <w:pPr>
        <w:suppressLineNumbers/>
        <w:tabs>
          <w:tab w:val="left" w:pos="3600"/>
          <w:tab w:val="left" w:pos="4464"/>
          <w:tab w:val="left" w:pos="4752"/>
        </w:tabs>
        <w:ind w:left="3600" w:hanging="3600"/>
        <w:jc w:val="both"/>
        <w:rPr>
          <w:snapToGrid w:val="0"/>
        </w:rPr>
      </w:pPr>
    </w:p>
    <w:p w14:paraId="3B344E5D" w14:textId="7B31D7F8" w:rsidR="00BC7570" w:rsidRPr="00CE22C7" w:rsidRDefault="00191C8B" w:rsidP="00E914C0">
      <w:pPr>
        <w:suppressLineNumbers/>
        <w:tabs>
          <w:tab w:val="left" w:pos="3600"/>
          <w:tab w:val="left" w:pos="4464"/>
          <w:tab w:val="left" w:pos="4752"/>
        </w:tabs>
        <w:ind w:left="3600" w:hanging="3600"/>
        <w:jc w:val="both"/>
        <w:rPr>
          <w:color w:val="000000"/>
          <w:shd w:val="clear" w:color="auto" w:fill="FFFFFF"/>
        </w:rPr>
      </w:pPr>
      <w:r w:rsidRPr="00CE22C7">
        <w:rPr>
          <w:b/>
          <w:snapToGrid w:val="0"/>
          <w:u w:val="single"/>
        </w:rPr>
        <w:t>TITLE:</w:t>
      </w:r>
      <w:r w:rsidR="00BC7570" w:rsidRPr="00CE22C7">
        <w:rPr>
          <w:b/>
          <w:snapToGrid w:val="0"/>
        </w:rPr>
        <w:tab/>
      </w:r>
      <w:r w:rsidR="00754DBD" w:rsidRPr="00CE22C7">
        <w:rPr>
          <w:snapToGrid w:val="0"/>
        </w:rPr>
        <w:t>A Local Law to amend the New York city charter, in relation to reporting on moneys on deposit</w:t>
      </w:r>
    </w:p>
    <w:p w14:paraId="60AF0FAA" w14:textId="77777777" w:rsidR="002324ED" w:rsidRPr="00CE22C7" w:rsidRDefault="002324ED" w:rsidP="00E914C0">
      <w:pPr>
        <w:suppressLineNumbers/>
        <w:tabs>
          <w:tab w:val="left" w:pos="3600"/>
          <w:tab w:val="left" w:pos="4464"/>
          <w:tab w:val="left" w:pos="4752"/>
        </w:tabs>
        <w:ind w:left="3600" w:hanging="3600"/>
        <w:jc w:val="both"/>
      </w:pPr>
    </w:p>
    <w:p w14:paraId="36F8CA58" w14:textId="70AC7637" w:rsidR="002324ED" w:rsidRDefault="00754DBD" w:rsidP="00E914C0">
      <w:pPr>
        <w:suppressLineNumbers/>
        <w:tabs>
          <w:tab w:val="left" w:pos="3600"/>
          <w:tab w:val="left" w:pos="4464"/>
          <w:tab w:val="left" w:pos="4752"/>
        </w:tabs>
        <w:ind w:left="3600" w:hanging="3600"/>
        <w:jc w:val="both"/>
      </w:pPr>
      <w:r w:rsidRPr="00CE22C7">
        <w:rPr>
          <w:b/>
          <w:u w:val="single"/>
        </w:rPr>
        <w:t>CHARTER</w:t>
      </w:r>
      <w:r w:rsidR="002324ED" w:rsidRPr="00CE22C7">
        <w:rPr>
          <w:b/>
          <w:u w:val="single"/>
        </w:rPr>
        <w:t>:</w:t>
      </w:r>
      <w:r w:rsidR="004C3DB7" w:rsidRPr="00CE22C7">
        <w:tab/>
      </w:r>
      <w:r w:rsidRPr="00CE22C7">
        <w:t>Amends</w:t>
      </w:r>
      <w:r w:rsidR="00870CD9" w:rsidRPr="00CE22C7">
        <w:t xml:space="preserve"> §</w:t>
      </w:r>
      <w:r w:rsidRPr="00CE22C7">
        <w:t xml:space="preserve">1523 </w:t>
      </w:r>
      <w:r w:rsidR="003E4004" w:rsidRPr="00CE22C7">
        <w:t>of</w:t>
      </w:r>
      <w:r w:rsidR="002324ED" w:rsidRPr="00CE22C7">
        <w:t xml:space="preserve"> the </w:t>
      </w:r>
      <w:r w:rsidRPr="00CE22C7">
        <w:t>Charter</w:t>
      </w:r>
    </w:p>
    <w:p w14:paraId="23401D89" w14:textId="77777777" w:rsidR="006011CF" w:rsidRPr="00CE22C7" w:rsidRDefault="006011CF" w:rsidP="00E914C0">
      <w:pPr>
        <w:suppressLineNumbers/>
        <w:tabs>
          <w:tab w:val="left" w:pos="3600"/>
          <w:tab w:val="left" w:pos="4464"/>
          <w:tab w:val="left" w:pos="4752"/>
        </w:tabs>
        <w:ind w:left="3600" w:hanging="3600"/>
        <w:jc w:val="both"/>
      </w:pPr>
    </w:p>
    <w:p w14:paraId="3A5AE31A" w14:textId="3BF8C523" w:rsidR="00754DBD" w:rsidRPr="00CE22C7" w:rsidRDefault="005B2FA2" w:rsidP="00754DBD">
      <w:pPr>
        <w:suppressLineNumbers/>
        <w:tabs>
          <w:tab w:val="left" w:pos="3600"/>
          <w:tab w:val="left" w:pos="4464"/>
          <w:tab w:val="left" w:pos="4752"/>
        </w:tabs>
        <w:ind w:left="3600" w:hanging="3600"/>
        <w:jc w:val="both"/>
      </w:pPr>
      <w:r w:rsidRPr="00CE22C7">
        <w:rPr>
          <w:b/>
          <w:u w:val="single"/>
        </w:rPr>
        <w:t>INT.</w:t>
      </w:r>
      <w:r w:rsidR="00372F44" w:rsidRPr="00CE22C7">
        <w:rPr>
          <w:b/>
          <w:u w:val="single"/>
        </w:rPr>
        <w:t xml:space="preserve"> NO. </w:t>
      </w:r>
      <w:r w:rsidR="006011CF">
        <w:rPr>
          <w:b/>
          <w:u w:val="single"/>
        </w:rPr>
        <w:t>499</w:t>
      </w:r>
      <w:r w:rsidR="009F5A47">
        <w:rPr>
          <w:b/>
          <w:u w:val="single"/>
        </w:rPr>
        <w:t>-A</w:t>
      </w:r>
      <w:r w:rsidRPr="00CE22C7">
        <w:rPr>
          <w:b/>
          <w:u w:val="single"/>
        </w:rPr>
        <w:t>:</w:t>
      </w:r>
      <w:r w:rsidRPr="00CE22C7">
        <w:tab/>
        <w:t>By Council Member</w:t>
      </w:r>
      <w:r w:rsidR="00754DBD" w:rsidRPr="00CE22C7">
        <w:t xml:space="preserve">s </w:t>
      </w:r>
      <w:r w:rsidR="006011CF">
        <w:rPr>
          <w:snapToGrid w:val="0"/>
        </w:rPr>
        <w:t xml:space="preserve">Powers, Restler, De La Rosa, Abreu, Hanif, Brewer, Cabán, Nurse, Avilés, Won, Rivera, Gutiérrez, Krishnan, Louis, Marte, Schulman, Bottcher, Ossé, Sanchez, Velázquez, Brannan, Barron, Hudson, Ayala, </w:t>
      </w:r>
      <w:r w:rsidR="009717B0">
        <w:rPr>
          <w:snapToGrid w:val="0"/>
        </w:rPr>
        <w:t>Farías</w:t>
      </w:r>
      <w:r w:rsidR="006011CF">
        <w:rPr>
          <w:snapToGrid w:val="0"/>
        </w:rPr>
        <w:t xml:space="preserve">, Riley, Joseph, Narcisse, Brooks-Powers, </w:t>
      </w:r>
      <w:r w:rsidR="006011CF">
        <w:rPr>
          <w:snapToGrid w:val="0"/>
        </w:rPr>
        <w:lastRenderedPageBreak/>
        <w:t>Williams, Ung, Menin, Stevens, and Richardson Jordan (in conjunction with the Brooklyn Borough President) (by request of the Manhattan Borough President)</w:t>
      </w:r>
    </w:p>
    <w:p w14:paraId="45334EBA" w14:textId="77777777" w:rsidR="005B2FA2" w:rsidRPr="00CE22C7" w:rsidRDefault="005B2FA2" w:rsidP="00E914C0">
      <w:pPr>
        <w:suppressLineNumbers/>
        <w:tabs>
          <w:tab w:val="left" w:pos="3600"/>
          <w:tab w:val="left" w:pos="4464"/>
          <w:tab w:val="left" w:pos="4752"/>
        </w:tabs>
        <w:ind w:left="3600" w:hanging="3600"/>
        <w:jc w:val="both"/>
      </w:pPr>
    </w:p>
    <w:p w14:paraId="5C601C85" w14:textId="3584E774" w:rsidR="005B2FA2" w:rsidRPr="00CE22C7" w:rsidRDefault="005B2FA2" w:rsidP="00E914C0">
      <w:pPr>
        <w:suppressLineNumbers/>
        <w:tabs>
          <w:tab w:val="left" w:pos="3600"/>
          <w:tab w:val="left" w:pos="4464"/>
          <w:tab w:val="left" w:pos="4752"/>
        </w:tabs>
        <w:ind w:left="3600" w:hanging="3600"/>
        <w:jc w:val="both"/>
      </w:pPr>
      <w:r w:rsidRPr="00CE22C7">
        <w:rPr>
          <w:b/>
          <w:u w:val="single"/>
        </w:rPr>
        <w:t>TITLE:</w:t>
      </w:r>
      <w:r w:rsidR="00AB4023" w:rsidRPr="00CE22C7">
        <w:tab/>
      </w:r>
      <w:r w:rsidR="00754DBD" w:rsidRPr="00CE22C7">
        <w:t>A Local Law to amend the administrative code of the city of New York, in relation to the reporting on non-depository city financial services</w:t>
      </w:r>
    </w:p>
    <w:p w14:paraId="6E330A2F" w14:textId="77777777" w:rsidR="005B2FA2" w:rsidRPr="00CE22C7" w:rsidRDefault="005B2FA2" w:rsidP="00E914C0">
      <w:pPr>
        <w:suppressLineNumbers/>
        <w:tabs>
          <w:tab w:val="left" w:pos="3600"/>
          <w:tab w:val="left" w:pos="4464"/>
          <w:tab w:val="left" w:pos="4752"/>
        </w:tabs>
        <w:ind w:left="3600" w:hanging="3600"/>
        <w:jc w:val="both"/>
        <w:rPr>
          <w:b/>
          <w:u w:val="single"/>
        </w:rPr>
      </w:pPr>
    </w:p>
    <w:p w14:paraId="77631B7D" w14:textId="18F0B230" w:rsidR="00DE3212" w:rsidRPr="00CE22C7" w:rsidRDefault="005B2FA2" w:rsidP="00DE3212">
      <w:pPr>
        <w:suppressLineNumbers/>
        <w:tabs>
          <w:tab w:val="left" w:pos="3600"/>
          <w:tab w:val="left" w:pos="4464"/>
          <w:tab w:val="left" w:pos="4752"/>
        </w:tabs>
        <w:ind w:left="3600" w:hanging="3600"/>
        <w:jc w:val="both"/>
      </w:pPr>
      <w:r w:rsidRPr="00CE22C7">
        <w:rPr>
          <w:b/>
          <w:u w:val="single"/>
        </w:rPr>
        <w:t>ADMINISTRATIVE CODE:</w:t>
      </w:r>
      <w:r w:rsidR="00AB4023" w:rsidRPr="00CE22C7">
        <w:tab/>
      </w:r>
      <w:r w:rsidR="00754DBD" w:rsidRPr="00CE22C7">
        <w:t>A</w:t>
      </w:r>
      <w:r w:rsidR="002241BC" w:rsidRPr="00CE22C7">
        <w:t>dds §</w:t>
      </w:r>
      <w:r w:rsidR="00754DBD" w:rsidRPr="00CE22C7">
        <w:rPr>
          <w:color w:val="000000"/>
          <w:shd w:val="clear" w:color="auto" w:fill="FFFFFF"/>
        </w:rPr>
        <w:t>3-119.</w:t>
      </w:r>
      <w:r w:rsidR="006011CF">
        <w:rPr>
          <w:color w:val="000000"/>
          <w:shd w:val="clear" w:color="auto" w:fill="FFFFFF"/>
        </w:rPr>
        <w:t>6</w:t>
      </w:r>
      <w:r w:rsidR="00754DBD" w:rsidRPr="00CE22C7">
        <w:t xml:space="preserve"> to </w:t>
      </w:r>
      <w:r w:rsidR="002241BC" w:rsidRPr="00CE22C7">
        <w:t>the Administrative Code</w:t>
      </w:r>
      <w:r w:rsidR="00AB4023" w:rsidRPr="00CE22C7">
        <w:t xml:space="preserve"> </w:t>
      </w:r>
    </w:p>
    <w:p w14:paraId="73CA73D4" w14:textId="77777777" w:rsidR="00DE3212" w:rsidRPr="00CE22C7" w:rsidRDefault="00DE3212" w:rsidP="00DE3212">
      <w:pPr>
        <w:suppressLineNumbers/>
        <w:tabs>
          <w:tab w:val="left" w:pos="3600"/>
          <w:tab w:val="left" w:pos="4464"/>
          <w:tab w:val="left" w:pos="4752"/>
        </w:tabs>
        <w:ind w:left="3600" w:hanging="3600"/>
        <w:jc w:val="both"/>
      </w:pPr>
    </w:p>
    <w:p w14:paraId="344FA745" w14:textId="77777777" w:rsidR="00DE3212" w:rsidRPr="00CE22C7" w:rsidRDefault="00DE3212" w:rsidP="00754DBD">
      <w:pPr>
        <w:suppressLineNumbers/>
        <w:tabs>
          <w:tab w:val="left" w:pos="3600"/>
          <w:tab w:val="left" w:pos="4464"/>
          <w:tab w:val="left" w:pos="4752"/>
        </w:tabs>
        <w:ind w:left="3600" w:hanging="3600"/>
        <w:jc w:val="both"/>
      </w:pPr>
    </w:p>
    <w:p w14:paraId="18D9B956" w14:textId="04A55330" w:rsidR="00A3163E" w:rsidRPr="008B0720" w:rsidRDefault="00A3163E" w:rsidP="00A3163E">
      <w:pPr>
        <w:suppressLineNumbers/>
        <w:tabs>
          <w:tab w:val="left" w:pos="3600"/>
          <w:tab w:val="left" w:pos="4464"/>
          <w:tab w:val="left" w:pos="4752"/>
        </w:tabs>
        <w:ind w:left="3600" w:hanging="3600"/>
        <w:jc w:val="both"/>
      </w:pPr>
      <w:r>
        <w:rPr>
          <w:b/>
          <w:u w:val="single"/>
        </w:rPr>
        <w:t>INT. NO. 999:</w:t>
      </w:r>
      <w:r>
        <w:tab/>
        <w:t xml:space="preserve">By Council Members Powers, De La Rosa, Restler, </w:t>
      </w:r>
      <w:r w:rsidR="008B0720">
        <w:t xml:space="preserve">Abreu, </w:t>
      </w:r>
      <w:r w:rsidR="00D560D8">
        <w:t>Richardson Jordan, Far</w:t>
      </w:r>
      <w:r w:rsidR="008B0720">
        <w:t>ías, Marte, Hudson, Hanif, and Ossé</w:t>
      </w:r>
    </w:p>
    <w:p w14:paraId="73A7DA53" w14:textId="77777777" w:rsidR="00A3163E" w:rsidRDefault="00A3163E" w:rsidP="00A3163E">
      <w:pPr>
        <w:suppressLineNumbers/>
        <w:tabs>
          <w:tab w:val="left" w:pos="3600"/>
          <w:tab w:val="left" w:pos="4464"/>
          <w:tab w:val="left" w:pos="4752"/>
        </w:tabs>
        <w:ind w:left="3600" w:hanging="3600"/>
        <w:jc w:val="both"/>
      </w:pPr>
    </w:p>
    <w:p w14:paraId="096FAA4D" w14:textId="77777777" w:rsidR="00A3163E" w:rsidRDefault="00A3163E" w:rsidP="00A3163E">
      <w:pPr>
        <w:suppressLineNumbers/>
        <w:tabs>
          <w:tab w:val="left" w:pos="3600"/>
          <w:tab w:val="left" w:pos="4464"/>
          <w:tab w:val="left" w:pos="4752"/>
        </w:tabs>
        <w:ind w:left="3600" w:hanging="3600"/>
        <w:jc w:val="both"/>
        <w:rPr>
          <w:color w:val="000000"/>
          <w:shd w:val="clear" w:color="auto" w:fill="FFFFFF"/>
        </w:rPr>
      </w:pPr>
      <w:r>
        <w:rPr>
          <w:b/>
          <w:u w:val="single"/>
        </w:rPr>
        <w:t>TITLE:</w:t>
      </w:r>
      <w:r>
        <w:tab/>
      </w:r>
      <w:r>
        <w:rPr>
          <w:color w:val="000000"/>
          <w:shd w:val="clear" w:color="auto" w:fill="FFFFFF"/>
        </w:rPr>
        <w:t>A Local Law in relation to the establishment of a task force to study options and make recommendations for a plan to implement a municipal public bank</w:t>
      </w:r>
    </w:p>
    <w:p w14:paraId="336A290D" w14:textId="77777777" w:rsidR="00A3163E" w:rsidRDefault="00A3163E" w:rsidP="67D077BB">
      <w:pPr>
        <w:suppressLineNumbers/>
        <w:tabs>
          <w:tab w:val="left" w:pos="3600"/>
          <w:tab w:val="left" w:pos="4464"/>
          <w:tab w:val="left" w:pos="4752"/>
        </w:tabs>
        <w:ind w:left="3600" w:hanging="3600"/>
        <w:jc w:val="both"/>
        <w:rPr>
          <w:b/>
          <w:bCs/>
          <w:snapToGrid w:val="0"/>
          <w:u w:val="single"/>
        </w:rPr>
      </w:pPr>
    </w:p>
    <w:p w14:paraId="0B476402" w14:textId="77777777" w:rsidR="00A3163E" w:rsidRDefault="00A3163E" w:rsidP="67D077BB">
      <w:pPr>
        <w:suppressLineNumbers/>
        <w:tabs>
          <w:tab w:val="left" w:pos="3600"/>
          <w:tab w:val="left" w:pos="4464"/>
          <w:tab w:val="left" w:pos="4752"/>
        </w:tabs>
        <w:ind w:left="3600" w:hanging="3600"/>
        <w:jc w:val="both"/>
        <w:rPr>
          <w:b/>
          <w:bCs/>
          <w:snapToGrid w:val="0"/>
          <w:u w:val="single"/>
        </w:rPr>
      </w:pPr>
    </w:p>
    <w:p w14:paraId="5FF9787B" w14:textId="513221CC" w:rsidR="00372F44" w:rsidRPr="00CE22C7" w:rsidRDefault="00754DBD" w:rsidP="67D077BB">
      <w:pPr>
        <w:suppressLineNumbers/>
        <w:tabs>
          <w:tab w:val="left" w:pos="3600"/>
          <w:tab w:val="left" w:pos="4464"/>
          <w:tab w:val="left" w:pos="4752"/>
        </w:tabs>
        <w:ind w:left="3600" w:hanging="3600"/>
        <w:jc w:val="both"/>
        <w:rPr>
          <w:color w:val="000000"/>
          <w:shd w:val="clear" w:color="auto" w:fill="FFFFFF"/>
        </w:rPr>
      </w:pPr>
      <w:r w:rsidRPr="00CE22C7">
        <w:rPr>
          <w:b/>
          <w:bCs/>
          <w:snapToGrid w:val="0"/>
          <w:u w:val="single"/>
        </w:rPr>
        <w:t>RES</w:t>
      </w:r>
      <w:r w:rsidR="00372F44" w:rsidRPr="00CE22C7">
        <w:rPr>
          <w:b/>
          <w:bCs/>
          <w:snapToGrid w:val="0"/>
          <w:u w:val="single"/>
        </w:rPr>
        <w:t>. NO.</w:t>
      </w:r>
      <w:r w:rsidR="003632B4" w:rsidRPr="00CE22C7">
        <w:rPr>
          <w:b/>
          <w:bCs/>
          <w:snapToGrid w:val="0"/>
          <w:u w:val="single"/>
        </w:rPr>
        <w:t xml:space="preserve"> </w:t>
      </w:r>
      <w:r w:rsidR="009717B0">
        <w:rPr>
          <w:b/>
          <w:bCs/>
          <w:snapToGrid w:val="0"/>
          <w:u w:val="single"/>
        </w:rPr>
        <w:t>203</w:t>
      </w:r>
      <w:r w:rsidR="00277B4B">
        <w:rPr>
          <w:b/>
          <w:bCs/>
          <w:snapToGrid w:val="0"/>
          <w:u w:val="single"/>
        </w:rPr>
        <w:t>-A</w:t>
      </w:r>
      <w:r w:rsidR="00372F44" w:rsidRPr="00CE22C7">
        <w:rPr>
          <w:b/>
          <w:bCs/>
          <w:snapToGrid w:val="0"/>
          <w:u w:val="single"/>
        </w:rPr>
        <w:t>:</w:t>
      </w:r>
      <w:r w:rsidR="00372F44" w:rsidRPr="00CE22C7">
        <w:rPr>
          <w:snapToGrid w:val="0"/>
        </w:rPr>
        <w:tab/>
        <w:t xml:space="preserve">By Council Members </w:t>
      </w:r>
      <w:r w:rsidR="009717B0">
        <w:rPr>
          <w:snapToGrid w:val="0"/>
        </w:rPr>
        <w:t>Powers, Abreu, De La Rosa, Restler, Hudson, Cabán, Nurse, Avilés, Menin, Gutiérrez, Won, Riley, Rivera, Krishnan, Louis, Marte, Schulman, Bottcher, Williams, Ossé, Sanchez, Velázquez, Farías, Brannan, Ayala, Barron, Hanif, Joseph, Narcisse, Brewer, Brooks-Powers, Ung, Stevens, and Richardson Jordan (in conjunction with the Brooklyn Borough President) (by request of the Manhattan Borough President)</w:t>
      </w:r>
    </w:p>
    <w:p w14:paraId="009000D3" w14:textId="77777777" w:rsidR="00372F44" w:rsidRPr="00CE22C7" w:rsidRDefault="00372F44" w:rsidP="00E914C0">
      <w:pPr>
        <w:suppressLineNumbers/>
        <w:tabs>
          <w:tab w:val="left" w:pos="3600"/>
          <w:tab w:val="left" w:pos="4464"/>
          <w:tab w:val="left" w:pos="4752"/>
        </w:tabs>
        <w:ind w:left="3600" w:hanging="3600"/>
        <w:jc w:val="both"/>
        <w:rPr>
          <w:snapToGrid w:val="0"/>
        </w:rPr>
      </w:pPr>
    </w:p>
    <w:p w14:paraId="2F7C459E" w14:textId="578947E6" w:rsidR="00372F44" w:rsidRPr="00CE22C7" w:rsidRDefault="00372F44" w:rsidP="00E914C0">
      <w:pPr>
        <w:suppressLineNumbers/>
        <w:tabs>
          <w:tab w:val="left" w:pos="3600"/>
          <w:tab w:val="left" w:pos="4464"/>
          <w:tab w:val="left" w:pos="4752"/>
        </w:tabs>
        <w:ind w:left="3600" w:hanging="3600"/>
        <w:jc w:val="both"/>
        <w:rPr>
          <w:color w:val="000000"/>
          <w:shd w:val="clear" w:color="auto" w:fill="FFFFFF"/>
        </w:rPr>
      </w:pPr>
      <w:r w:rsidRPr="00CE22C7">
        <w:rPr>
          <w:b/>
          <w:snapToGrid w:val="0"/>
          <w:u w:val="single"/>
        </w:rPr>
        <w:t>TITLE:</w:t>
      </w:r>
      <w:r w:rsidRPr="00CE22C7">
        <w:rPr>
          <w:b/>
          <w:snapToGrid w:val="0"/>
        </w:rPr>
        <w:tab/>
      </w:r>
      <w:r w:rsidR="006C1E49" w:rsidRPr="00CE22C7">
        <w:rPr>
          <w:snapToGrid w:val="0"/>
        </w:rPr>
        <w:t>Resolution calling upon the State Legislature to pass, and the Governor to sign, A.</w:t>
      </w:r>
      <w:r w:rsidR="00277B4B">
        <w:rPr>
          <w:snapToGrid w:val="0"/>
        </w:rPr>
        <w:t>3352/S.1754</w:t>
      </w:r>
      <w:r w:rsidR="006C1E49" w:rsidRPr="00CE22C7">
        <w:rPr>
          <w:snapToGrid w:val="0"/>
        </w:rPr>
        <w:t>, which would establish the New York Public Banking Act</w:t>
      </w:r>
    </w:p>
    <w:p w14:paraId="1C1163C7" w14:textId="77777777" w:rsidR="00DE3212" w:rsidRPr="00CE22C7" w:rsidRDefault="00DE3212" w:rsidP="00DE3212">
      <w:pPr>
        <w:suppressLineNumbers/>
        <w:tabs>
          <w:tab w:val="left" w:pos="720"/>
          <w:tab w:val="left" w:pos="4500"/>
          <w:tab w:val="left" w:pos="4752"/>
        </w:tabs>
        <w:jc w:val="both"/>
        <w:rPr>
          <w:b/>
          <w:u w:val="single"/>
        </w:rPr>
      </w:pPr>
    </w:p>
    <w:p w14:paraId="6790B045" w14:textId="77777777" w:rsidR="007A79D4" w:rsidRPr="00CE22C7" w:rsidRDefault="007A79D4" w:rsidP="0088698A">
      <w:pPr>
        <w:suppressLineNumbers/>
        <w:tabs>
          <w:tab w:val="left" w:pos="720"/>
          <w:tab w:val="left" w:pos="4500"/>
          <w:tab w:val="left" w:pos="4752"/>
        </w:tabs>
        <w:ind w:left="1080"/>
        <w:jc w:val="both"/>
        <w:rPr>
          <w:b/>
          <w:u w:val="single"/>
        </w:rPr>
      </w:pPr>
    </w:p>
    <w:p w14:paraId="1B9B7670" w14:textId="6CF0B323" w:rsidR="00114ED4" w:rsidRPr="00CE22C7" w:rsidRDefault="00114ED4" w:rsidP="004A15EC">
      <w:pPr>
        <w:widowControl w:val="0"/>
        <w:numPr>
          <w:ilvl w:val="0"/>
          <w:numId w:val="1"/>
        </w:numPr>
        <w:suppressLineNumbers/>
        <w:tabs>
          <w:tab w:val="left" w:pos="720"/>
          <w:tab w:val="left" w:pos="4500"/>
          <w:tab w:val="left" w:pos="4752"/>
        </w:tabs>
        <w:spacing w:line="480" w:lineRule="auto"/>
        <w:jc w:val="both"/>
        <w:rPr>
          <w:b/>
          <w:u w:val="single"/>
        </w:rPr>
      </w:pPr>
      <w:r w:rsidRPr="00CE22C7">
        <w:rPr>
          <w:b/>
        </w:rPr>
        <w:t>Introduction</w:t>
      </w:r>
    </w:p>
    <w:p w14:paraId="5308674C" w14:textId="20D0E476" w:rsidR="00487CC8" w:rsidRPr="00CE22C7" w:rsidRDefault="008C3ABA" w:rsidP="00CE22C7">
      <w:pPr>
        <w:pStyle w:val="ColorfulShading-Accent31"/>
        <w:keepNext/>
        <w:suppressLineNumbers/>
        <w:spacing w:line="480" w:lineRule="auto"/>
        <w:ind w:left="0" w:firstLine="720"/>
        <w:jc w:val="both"/>
        <w:rPr>
          <w:color w:val="000000" w:themeColor="text1"/>
        </w:rPr>
      </w:pPr>
      <w:r w:rsidRPr="00CE22C7">
        <w:t xml:space="preserve">On </w:t>
      </w:r>
      <w:r w:rsidR="006C1E49" w:rsidRPr="00CE22C7">
        <w:t xml:space="preserve">April </w:t>
      </w:r>
      <w:r w:rsidR="00262CB2">
        <w:t>19</w:t>
      </w:r>
      <w:r w:rsidR="00BD08B6" w:rsidRPr="00CE22C7">
        <w:t>, 20</w:t>
      </w:r>
      <w:r w:rsidR="006C1E49" w:rsidRPr="00CE22C7">
        <w:t>2</w:t>
      </w:r>
      <w:r w:rsidR="00262CB2">
        <w:t>3</w:t>
      </w:r>
      <w:r w:rsidRPr="00CE22C7">
        <w:t xml:space="preserve">, the Committee on Finance, chaired by Council Member </w:t>
      </w:r>
      <w:r w:rsidR="00262CB2">
        <w:t>Justin Brannan</w:t>
      </w:r>
      <w:r w:rsidR="00217A40" w:rsidRPr="00CE22C7">
        <w:t>, will hold a hearing on</w:t>
      </w:r>
      <w:r w:rsidR="00922D17" w:rsidRPr="00CE22C7">
        <w:t xml:space="preserve"> </w:t>
      </w:r>
      <w:r w:rsidR="00BD08B6" w:rsidRPr="00CE22C7">
        <w:t xml:space="preserve">Int. </w:t>
      </w:r>
      <w:r w:rsidR="00DE3212" w:rsidRPr="00CE22C7">
        <w:t xml:space="preserve">No. </w:t>
      </w:r>
      <w:r w:rsidR="00262CB2">
        <w:t>498</w:t>
      </w:r>
      <w:r w:rsidR="006C1E49" w:rsidRPr="00CE22C7">
        <w:t xml:space="preserve">, Int. </w:t>
      </w:r>
      <w:r w:rsidR="00DE3212" w:rsidRPr="00CE22C7">
        <w:t xml:space="preserve">No. </w:t>
      </w:r>
      <w:r w:rsidR="00262CB2">
        <w:t>499</w:t>
      </w:r>
      <w:r w:rsidR="008B0720">
        <w:t>-A</w:t>
      </w:r>
      <w:r w:rsidR="006C1E49" w:rsidRPr="00CE22C7">
        <w:t xml:space="preserve">, </w:t>
      </w:r>
      <w:r w:rsidR="00A3163E">
        <w:t xml:space="preserve">Int. No. 999, </w:t>
      </w:r>
      <w:r w:rsidR="006C1E49" w:rsidRPr="00CE22C7">
        <w:t xml:space="preserve">and Res. No. </w:t>
      </w:r>
      <w:r w:rsidR="00262CB2">
        <w:t>203-A</w:t>
      </w:r>
      <w:r w:rsidR="006C1E49" w:rsidRPr="00CE22C7">
        <w:t xml:space="preserve">. These bills would </w:t>
      </w:r>
      <w:r w:rsidR="00E30DA9" w:rsidRPr="00CE22C7">
        <w:t>require</w:t>
      </w:r>
      <w:r w:rsidR="006C1E49" w:rsidRPr="00CE22C7">
        <w:t xml:space="preserve"> reporting on the </w:t>
      </w:r>
      <w:r w:rsidR="0088698A" w:rsidRPr="00CE22C7">
        <w:t>C</w:t>
      </w:r>
      <w:r w:rsidR="006C1E49" w:rsidRPr="00CE22C7">
        <w:t>ity’s use of depository and non-depository financial services</w:t>
      </w:r>
      <w:r w:rsidR="00262CB2">
        <w:t xml:space="preserve"> </w:t>
      </w:r>
      <w:r w:rsidR="0088698A" w:rsidRPr="00CE22C7">
        <w:rPr>
          <w:snapToGrid w:val="0"/>
        </w:rPr>
        <w:t xml:space="preserve">and support the passage of State legislation that would authorize the establishment of </w:t>
      </w:r>
      <w:r w:rsidR="00DD1F38">
        <w:rPr>
          <w:snapToGrid w:val="0"/>
        </w:rPr>
        <w:t xml:space="preserve">a </w:t>
      </w:r>
      <w:r w:rsidR="0088698A" w:rsidRPr="00CE22C7">
        <w:rPr>
          <w:snapToGrid w:val="0"/>
        </w:rPr>
        <w:t>public bank in New York</w:t>
      </w:r>
      <w:r w:rsidR="00DD1F38">
        <w:rPr>
          <w:snapToGrid w:val="0"/>
        </w:rPr>
        <w:t xml:space="preserve"> City</w:t>
      </w:r>
      <w:r w:rsidR="0088698A" w:rsidRPr="00CE22C7">
        <w:rPr>
          <w:snapToGrid w:val="0"/>
        </w:rPr>
        <w:t>.</w:t>
      </w:r>
      <w:r w:rsidR="00922D17" w:rsidRPr="00CE22C7">
        <w:t xml:space="preserve"> </w:t>
      </w:r>
      <w:r w:rsidR="00AA2175" w:rsidRPr="00CE22C7">
        <w:t xml:space="preserve">This is the first hearing on </w:t>
      </w:r>
      <w:r w:rsidR="00A3163E">
        <w:t>Int. No. 999, while Int. Nos. 498, 499</w:t>
      </w:r>
      <w:r w:rsidR="000B6670">
        <w:t>-A</w:t>
      </w:r>
      <w:r w:rsidR="00A3163E">
        <w:t>, and Res. No. 203-A were heard in the prior Council session</w:t>
      </w:r>
      <w:r w:rsidR="00AA2175" w:rsidRPr="00CE22C7">
        <w:t xml:space="preserve">. Those invited to testify include representatives from </w:t>
      </w:r>
      <w:r w:rsidR="0088698A" w:rsidRPr="00CE22C7">
        <w:t xml:space="preserve">the Department of Finance (DOF), the Office of Management and Budget (OMB), the Comptroller, and </w:t>
      </w:r>
      <w:r w:rsidR="005B2FA2" w:rsidRPr="00CE22C7">
        <w:t>members of the public</w:t>
      </w:r>
      <w:r w:rsidR="005B2FA2" w:rsidRPr="00CE22C7">
        <w:rPr>
          <w:color w:val="000000" w:themeColor="text1"/>
        </w:rPr>
        <w:t>.</w:t>
      </w:r>
    </w:p>
    <w:p w14:paraId="4168A284" w14:textId="77777777" w:rsidR="009B0F6C" w:rsidRPr="00CE22C7" w:rsidRDefault="67D077BB" w:rsidP="004A15EC">
      <w:pPr>
        <w:pStyle w:val="ListParagraph"/>
        <w:widowControl w:val="0"/>
        <w:numPr>
          <w:ilvl w:val="0"/>
          <w:numId w:val="1"/>
        </w:numPr>
        <w:spacing w:line="480" w:lineRule="auto"/>
        <w:ind w:left="360" w:firstLine="0"/>
        <w:jc w:val="both"/>
      </w:pPr>
      <w:r w:rsidRPr="00CE22C7">
        <w:rPr>
          <w:b/>
          <w:bCs/>
          <w:color w:val="000000" w:themeColor="text1"/>
        </w:rPr>
        <w:t>The City's Treasury Function</w:t>
      </w:r>
    </w:p>
    <w:p w14:paraId="0C7148C5" w14:textId="0D3C213A" w:rsidR="00691AF3" w:rsidRPr="00CE22C7" w:rsidRDefault="00BB6E01" w:rsidP="004A15EC">
      <w:pPr>
        <w:widowControl w:val="0"/>
        <w:spacing w:line="480" w:lineRule="auto"/>
        <w:ind w:firstLine="720"/>
        <w:jc w:val="both"/>
        <w:rPr>
          <w:i/>
          <w:iCs/>
          <w:color w:val="000000" w:themeColor="text1"/>
        </w:rPr>
      </w:pPr>
      <w:r>
        <w:t xml:space="preserve">New York City ended </w:t>
      </w:r>
      <w:r w:rsidR="00691AF3" w:rsidRPr="00CE22C7">
        <w:t xml:space="preserve">fiscal year </w:t>
      </w:r>
      <w:r w:rsidR="006917BD" w:rsidRPr="00CE22C7">
        <w:t>202</w:t>
      </w:r>
      <w:r w:rsidR="006917BD">
        <w:t>2</w:t>
      </w:r>
      <w:r w:rsidR="00ED47B9">
        <w:t xml:space="preserve"> </w:t>
      </w:r>
      <w:r>
        <w:t xml:space="preserve">with </w:t>
      </w:r>
      <w:r w:rsidR="001D4317">
        <w:t xml:space="preserve">cash and cash equivalent receipts </w:t>
      </w:r>
      <w:r w:rsidR="00691AF3" w:rsidRPr="00CE22C7">
        <w:t>total</w:t>
      </w:r>
      <w:r>
        <w:t>ing</w:t>
      </w:r>
      <w:r w:rsidR="00691AF3" w:rsidRPr="00CE22C7">
        <w:t xml:space="preserve"> more than $</w:t>
      </w:r>
      <w:r w:rsidR="00CD0FD6" w:rsidRPr="00CE22C7">
        <w:t>1</w:t>
      </w:r>
      <w:r w:rsidR="001D4317">
        <w:t>22</w:t>
      </w:r>
      <w:r w:rsidR="00CD0FD6" w:rsidRPr="00CE22C7">
        <w:t xml:space="preserve"> </w:t>
      </w:r>
      <w:r w:rsidR="00691AF3" w:rsidRPr="00CE22C7">
        <w:t>billion.</w:t>
      </w:r>
      <w:r w:rsidR="00691AF3" w:rsidRPr="00CE22C7">
        <w:rPr>
          <w:rStyle w:val="FootnoteReference"/>
        </w:rPr>
        <w:footnoteReference w:id="2"/>
      </w:r>
      <w:r w:rsidR="00691AF3" w:rsidRPr="00CE22C7">
        <w:t xml:space="preserve"> The City’s primary source of cash is the collection of local municipal taxes covering real property, real estate sales, mortgage activity, commercial real estate rental, business/corporate activity, and cigarette sales. Moreover, the State collects payments on behalf of the City for several other taxes – including on personal income, motor vehicle registration, beer and liquor, retail sales, and purchase of personal property – </w:t>
      </w:r>
      <w:r w:rsidR="00D3088A">
        <w:t xml:space="preserve">and then </w:t>
      </w:r>
      <w:r w:rsidR="00691AF3" w:rsidRPr="00CE22C7">
        <w:t xml:space="preserve">turns </w:t>
      </w:r>
      <w:r w:rsidR="00D3088A">
        <w:t xml:space="preserve">it </w:t>
      </w:r>
      <w:r w:rsidR="00691AF3" w:rsidRPr="00CE22C7">
        <w:t xml:space="preserve">over to the City once collected. The City also accrues cash in the form of federal and State aid, plus a system of fees for select City services, and fines from enforcement of local laws. Separate and apart from these revenue sources, the City </w:t>
      </w:r>
      <w:r w:rsidR="00D3088A">
        <w:t>has authority</w:t>
      </w:r>
      <w:r w:rsidR="00691AF3" w:rsidRPr="00CE22C7">
        <w:t xml:space="preserve"> to issue municipal bonds to finance its capital program</w:t>
      </w:r>
      <w:r w:rsidR="00D3088A">
        <w:t xml:space="preserve"> as well</w:t>
      </w:r>
      <w:r w:rsidR="00691AF3" w:rsidRPr="00CE22C7">
        <w:t>.</w:t>
      </w:r>
      <w:r w:rsidR="00691AF3" w:rsidRPr="00CE22C7">
        <w:rPr>
          <w:rStyle w:val="FootnoteReference"/>
        </w:rPr>
        <w:footnoteReference w:id="3"/>
      </w:r>
    </w:p>
    <w:p w14:paraId="451124E9" w14:textId="36A8D4FA" w:rsidR="696CF1A2" w:rsidRPr="00CE22C7" w:rsidRDefault="00170CB7" w:rsidP="004A15EC">
      <w:pPr>
        <w:pStyle w:val="ListParagraph"/>
        <w:widowControl w:val="0"/>
        <w:numPr>
          <w:ilvl w:val="0"/>
          <w:numId w:val="4"/>
        </w:numPr>
        <w:spacing w:line="480" w:lineRule="auto"/>
        <w:rPr>
          <w:i/>
          <w:iCs/>
          <w:color w:val="000000" w:themeColor="text1"/>
        </w:rPr>
      </w:pPr>
      <w:r w:rsidRPr="00CE22C7">
        <w:rPr>
          <w:i/>
          <w:iCs/>
          <w:color w:val="000000" w:themeColor="text1"/>
        </w:rPr>
        <w:t xml:space="preserve">Cash </w:t>
      </w:r>
      <w:r w:rsidR="001F5BF6" w:rsidRPr="00CE22C7">
        <w:rPr>
          <w:i/>
          <w:iCs/>
          <w:color w:val="000000" w:themeColor="text1"/>
        </w:rPr>
        <w:t xml:space="preserve">Management </w:t>
      </w:r>
    </w:p>
    <w:p w14:paraId="70AFEFA4" w14:textId="7A1409E3" w:rsidR="00C95661" w:rsidRPr="00CE22C7" w:rsidRDefault="00C95661" w:rsidP="004A15EC">
      <w:pPr>
        <w:widowControl w:val="0"/>
        <w:spacing w:line="480" w:lineRule="auto"/>
        <w:ind w:firstLine="720"/>
        <w:jc w:val="both"/>
        <w:rPr>
          <w:color w:val="000000" w:themeColor="text1"/>
        </w:rPr>
      </w:pPr>
      <w:r w:rsidRPr="00CE22C7">
        <w:t xml:space="preserve">The City’s cashflow progression begins at DOF, the City’s chief payment collection agency, which also houses the </w:t>
      </w:r>
      <w:r w:rsidR="3E93F51D" w:rsidRPr="00CE22C7">
        <w:t>Treasury Division</w:t>
      </w:r>
      <w:r w:rsidRPr="00CE22C7">
        <w:t>.</w:t>
      </w:r>
      <w:r w:rsidR="00F62500" w:rsidRPr="00CE22C7">
        <w:rPr>
          <w:rStyle w:val="FootnoteReference"/>
        </w:rPr>
        <w:footnoteReference w:id="4"/>
      </w:r>
      <w:r w:rsidRPr="00CE22C7">
        <w:rPr>
          <w:color w:val="666666"/>
        </w:rPr>
        <w:t xml:space="preserve"> </w:t>
      </w:r>
      <w:r w:rsidRPr="00CE22C7">
        <w:t>After collecting the various sources of the City’s cash, DOF makes deposits into a vast network of bank accounts</w:t>
      </w:r>
      <w:r w:rsidR="00987888" w:rsidRPr="00CE22C7">
        <w:t>, from</w:t>
      </w:r>
      <w:r w:rsidRPr="00CE22C7">
        <w:t xml:space="preserve"> which </w:t>
      </w:r>
      <w:r w:rsidR="000E52D6">
        <w:t xml:space="preserve">the City draws upon </w:t>
      </w:r>
      <w:r w:rsidRPr="00CE22C7">
        <w:rPr>
          <w:color w:val="000000" w:themeColor="text1"/>
        </w:rPr>
        <w:t xml:space="preserve">to cover operating expenses and interest payments on the City’s municipal bonds. </w:t>
      </w:r>
      <w:r w:rsidR="00C830B8" w:rsidRPr="00CE22C7">
        <w:rPr>
          <w:color w:val="000000" w:themeColor="text1"/>
        </w:rPr>
        <w:t xml:space="preserve">A portion of the cash </w:t>
      </w:r>
      <w:r w:rsidR="000E52D6">
        <w:rPr>
          <w:color w:val="000000" w:themeColor="text1"/>
        </w:rPr>
        <w:t>goes</w:t>
      </w:r>
      <w:r w:rsidR="00C830B8" w:rsidRPr="00CE22C7">
        <w:rPr>
          <w:color w:val="000000" w:themeColor="text1"/>
        </w:rPr>
        <w:t xml:space="preserve"> to the City’s cash reserve account</w:t>
      </w:r>
      <w:r w:rsidR="000E52D6">
        <w:rPr>
          <w:color w:val="000000" w:themeColor="text1"/>
        </w:rPr>
        <w:t>, allocated</w:t>
      </w:r>
      <w:r w:rsidR="00C830B8" w:rsidRPr="00CE22C7">
        <w:rPr>
          <w:color w:val="000000" w:themeColor="text1"/>
        </w:rPr>
        <w:t xml:space="preserve"> </w:t>
      </w:r>
      <w:r w:rsidR="00521D25" w:rsidRPr="00CE22C7">
        <w:rPr>
          <w:color w:val="000000" w:themeColor="text1"/>
        </w:rPr>
        <w:t xml:space="preserve">by the Comptroller </w:t>
      </w:r>
      <w:r w:rsidR="00C830B8" w:rsidRPr="00CE22C7">
        <w:rPr>
          <w:color w:val="000000" w:themeColor="text1"/>
        </w:rPr>
        <w:t>into non-depository investments until needed.</w:t>
      </w:r>
      <w:r w:rsidRPr="00CE22C7">
        <w:rPr>
          <w:color w:val="000000" w:themeColor="text1"/>
        </w:rPr>
        <w:t xml:space="preserve"> Proceeds from the City’s municipal bond offerings flow through OMB, which acts as an intermediary in dispersing cash to agencies for capital projects. As part of OMB’s mandate to create and negotiate a budget each year, the agency also tracks the City’s cash collections and reports on collection performance against goals in the Financial Plan.</w:t>
      </w:r>
    </w:p>
    <w:p w14:paraId="2407DAFF" w14:textId="3F7E6D22" w:rsidR="6450C052" w:rsidRPr="00CE22C7" w:rsidRDefault="3A5157AC" w:rsidP="004A15EC">
      <w:pPr>
        <w:widowControl w:val="0"/>
        <w:spacing w:line="480" w:lineRule="auto"/>
        <w:ind w:firstLine="720"/>
        <w:jc w:val="both"/>
        <w:rPr>
          <w:i/>
          <w:iCs/>
        </w:rPr>
      </w:pPr>
      <w:r w:rsidRPr="00CE22C7">
        <w:rPr>
          <w:color w:val="000000" w:themeColor="text1"/>
          <w:spacing w:val="-2"/>
        </w:rPr>
        <w:t xml:space="preserve">The City must pay for many of these services. </w:t>
      </w:r>
      <w:r w:rsidRPr="00CE22C7">
        <w:rPr>
          <w:spacing w:val="-2"/>
        </w:rPr>
        <w:t>From the point of cash collection to disbursement, the City expenses a pool of fees and charges for services related to digital payment infrastructure, cash deposits and clearing, funds transfers, and cash withdrawals. Additionally, expenses accrue for services related to the issuance of municipal debt, such as underwriting and brokerage fees.</w:t>
      </w:r>
      <w:r w:rsidR="007C34D6" w:rsidRPr="00CE22C7">
        <w:rPr>
          <w:spacing w:val="-2"/>
        </w:rPr>
        <w:t xml:space="preserve"> </w:t>
      </w:r>
      <w:r w:rsidR="00FC6E63" w:rsidRPr="00CE22C7">
        <w:rPr>
          <w:spacing w:val="-2"/>
        </w:rPr>
        <w:t xml:space="preserve">The City also pays for advice from </w:t>
      </w:r>
      <w:r w:rsidR="009D7775" w:rsidRPr="00CE22C7">
        <w:rPr>
          <w:spacing w:val="-2"/>
        </w:rPr>
        <w:t xml:space="preserve">parties not directly involved with the transactions </w:t>
      </w:r>
      <w:r w:rsidR="009D7775" w:rsidRPr="00CE22C7">
        <w:t xml:space="preserve">including </w:t>
      </w:r>
      <w:r w:rsidR="000903D0" w:rsidRPr="00CE22C7">
        <w:t>financial advisors and</w:t>
      </w:r>
      <w:r w:rsidR="009D7775" w:rsidRPr="00CE22C7">
        <w:t xml:space="preserve"> bond counsels.</w:t>
      </w:r>
      <w:r w:rsidR="007C34D6" w:rsidRPr="00CE22C7">
        <w:t xml:space="preserve"> </w:t>
      </w:r>
      <w:r w:rsidR="007709D8" w:rsidRPr="00CE22C7">
        <w:t xml:space="preserve">Conversely, the City earns interest on some </w:t>
      </w:r>
      <w:r w:rsidR="00C01F83" w:rsidRPr="00CE22C7">
        <w:t xml:space="preserve">of its cash and cash </w:t>
      </w:r>
      <w:r w:rsidR="00D07B85" w:rsidRPr="00CE22C7">
        <w:t xml:space="preserve">equivalent </w:t>
      </w:r>
      <w:r w:rsidR="0003290D" w:rsidRPr="00CE22C7">
        <w:t>holdings</w:t>
      </w:r>
      <w:r w:rsidR="00631232" w:rsidRPr="00CE22C7">
        <w:t xml:space="preserve">, such as </w:t>
      </w:r>
      <w:r w:rsidR="00EA22BB" w:rsidRPr="00CE22C7">
        <w:t xml:space="preserve">time deposits and </w:t>
      </w:r>
      <w:r w:rsidR="00631232" w:rsidRPr="00CE22C7">
        <w:t>short</w:t>
      </w:r>
      <w:r w:rsidR="00EE6575" w:rsidRPr="00CE22C7">
        <w:t>-</w:t>
      </w:r>
      <w:r w:rsidR="00631232" w:rsidRPr="00CE22C7">
        <w:t xml:space="preserve">term </w:t>
      </w:r>
      <w:r w:rsidR="00FB44E1" w:rsidRPr="00CE22C7">
        <w:t xml:space="preserve">US </w:t>
      </w:r>
      <w:r w:rsidR="00E5782C" w:rsidRPr="00CE22C7">
        <w:t>Treasury securities</w:t>
      </w:r>
      <w:r w:rsidR="00EA22BB" w:rsidRPr="00CE22C7">
        <w:t>.</w:t>
      </w:r>
    </w:p>
    <w:p w14:paraId="03028BAE" w14:textId="109C46B6" w:rsidR="008D4D94" w:rsidRPr="00CE22C7" w:rsidRDefault="008D4D94" w:rsidP="004A15EC">
      <w:pPr>
        <w:pStyle w:val="ListParagraph"/>
        <w:widowControl w:val="0"/>
        <w:numPr>
          <w:ilvl w:val="0"/>
          <w:numId w:val="4"/>
        </w:numPr>
        <w:spacing w:line="480" w:lineRule="auto"/>
        <w:rPr>
          <w:i/>
          <w:iCs/>
          <w:color w:val="000000" w:themeColor="text1"/>
        </w:rPr>
      </w:pPr>
      <w:r w:rsidRPr="00CE22C7">
        <w:rPr>
          <w:i/>
          <w:iCs/>
        </w:rPr>
        <w:t>Variability of Cash Balances</w:t>
      </w:r>
    </w:p>
    <w:p w14:paraId="6E9BBF71" w14:textId="0E29E2E0" w:rsidR="008D4D94" w:rsidRPr="00CE22C7" w:rsidRDefault="008D4D94" w:rsidP="004A15EC">
      <w:pPr>
        <w:widowControl w:val="0"/>
        <w:spacing w:line="480" w:lineRule="auto"/>
        <w:ind w:firstLine="720"/>
        <w:jc w:val="both"/>
      </w:pPr>
      <w:r w:rsidRPr="00CE22C7">
        <w:t xml:space="preserve">The City’s average daily cash balance fluctuates </w:t>
      </w:r>
      <w:r w:rsidR="00984370" w:rsidRPr="00CE22C7">
        <w:t xml:space="preserve">according to </w:t>
      </w:r>
      <w:r w:rsidRPr="00CE22C7">
        <w:t>the cyclical nature of tax due dates</w:t>
      </w:r>
      <w:r w:rsidR="00236A92" w:rsidRPr="00CE22C7">
        <w:t xml:space="preserve"> and the pattern of disbursement of State and Federal aid</w:t>
      </w:r>
      <w:r w:rsidRPr="00CE22C7" w:rsidDel="00236A92">
        <w:t>.</w:t>
      </w:r>
      <w:r w:rsidRPr="00CE22C7">
        <w:t xml:space="preserve"> The first and third quarters of the fiscal year tend to equate to higher cash balances for the City as these quarters host property tax payment deadlines for all the City’s properties, including the largest ones. As a pre-pandemic example, the average daily cash balance for the first and third quarters of Fiscal 2019 totaled $9</w:t>
      </w:r>
      <w:r w:rsidR="008C58D7" w:rsidRPr="00CE22C7">
        <w:t>.0</w:t>
      </w:r>
      <w:r w:rsidRPr="00CE22C7">
        <w:t xml:space="preserve"> billion and $8.2 billion respectively, compared with $5.1 billion in the second</w:t>
      </w:r>
      <w:r w:rsidR="00230F8A" w:rsidRPr="00CE22C7">
        <w:t xml:space="preserve"> quarter</w:t>
      </w:r>
      <w:r w:rsidR="00CF7EBE" w:rsidRPr="00CE22C7">
        <w:t xml:space="preserve"> and $7.9 billion in the fourth</w:t>
      </w:r>
      <w:r w:rsidRPr="00CE22C7">
        <w:t>.</w:t>
      </w:r>
      <w:r w:rsidRPr="00CE22C7">
        <w:rPr>
          <w:rStyle w:val="FootnoteReference"/>
        </w:rPr>
        <w:footnoteReference w:id="5"/>
      </w:r>
      <w:r w:rsidR="001321D1" w:rsidRPr="00CE22C7">
        <w:t xml:space="preserve"> </w:t>
      </w:r>
      <w:r w:rsidR="00BC4CEE" w:rsidRPr="00CE22C7">
        <w:t>The lowest daily balance in Fiscal 2019 was $2.12 billion on December 19, 2019</w:t>
      </w:r>
      <w:r w:rsidR="0066044B" w:rsidRPr="00CE22C7">
        <w:t xml:space="preserve"> and </w:t>
      </w:r>
      <w:r w:rsidR="67A11FDC" w:rsidRPr="00CE22C7">
        <w:t xml:space="preserve">the highest was $12.1 </w:t>
      </w:r>
      <w:r w:rsidR="008C58D7" w:rsidRPr="00CE22C7">
        <w:t xml:space="preserve">billion </w:t>
      </w:r>
      <w:r w:rsidR="67A11FDC" w:rsidRPr="00CE22C7">
        <w:t>on January 9, 2020.</w:t>
      </w:r>
      <w:r w:rsidRPr="00CE22C7">
        <w:rPr>
          <w:rStyle w:val="FootnoteReference"/>
        </w:rPr>
        <w:footnoteReference w:id="6"/>
      </w:r>
    </w:p>
    <w:p w14:paraId="6D9EDFF4" w14:textId="7321A712" w:rsidR="008D4D94" w:rsidRPr="00CE22C7" w:rsidRDefault="00984370" w:rsidP="004A15EC">
      <w:pPr>
        <w:widowControl w:val="0"/>
        <w:spacing w:line="480" w:lineRule="auto"/>
        <w:ind w:firstLine="720"/>
        <w:jc w:val="both"/>
      </w:pPr>
      <w:r w:rsidRPr="00CE22C7">
        <w:t>E</w:t>
      </w:r>
      <w:r w:rsidR="008D4D94" w:rsidRPr="00CE22C7">
        <w:t>conomic conditions</w:t>
      </w:r>
      <w:r w:rsidRPr="00CE22C7">
        <w:t xml:space="preserve"> also</w:t>
      </w:r>
      <w:r w:rsidR="008D4D94" w:rsidRPr="00CE22C7">
        <w:t xml:space="preserve"> </w:t>
      </w:r>
      <w:r w:rsidR="00954A12" w:rsidRPr="00CE22C7">
        <w:t>influence</w:t>
      </w:r>
      <w:r w:rsidR="008D4D94" w:rsidRPr="00CE22C7">
        <w:t xml:space="preserve"> cash balances. T</w:t>
      </w:r>
      <w:r w:rsidR="3EED58A9" w:rsidRPr="00CE22C7">
        <w:t>he daily cash balance averaged roughly $7.5 billion in both Fiscal 2019</w:t>
      </w:r>
      <w:r w:rsidR="00954A12">
        <w:t xml:space="preserve">, but </w:t>
      </w:r>
      <w:r w:rsidR="00954A12" w:rsidRPr="00CE22C7">
        <w:t xml:space="preserve">just $6.3 billion for the </w:t>
      </w:r>
      <w:r w:rsidR="00954A12">
        <w:t>Fiscal 2020</w:t>
      </w:r>
      <w:r w:rsidR="00954A12" w:rsidRPr="00CE22C7">
        <w:t>, the result of severe pandemic-induced financial impacts on taxpayers leading to poor tax collections.</w:t>
      </w:r>
      <w:r w:rsidRPr="00CE22C7">
        <w:rPr>
          <w:rStyle w:val="FootnoteReference"/>
        </w:rPr>
        <w:footnoteReference w:id="7"/>
      </w:r>
      <w:r w:rsidR="3EED58A9" w:rsidRPr="00CE22C7">
        <w:t xml:space="preserve"> </w:t>
      </w:r>
      <w:r w:rsidR="008D4D94" w:rsidRPr="00CE22C7">
        <w:t xml:space="preserve">So </w:t>
      </w:r>
      <w:r w:rsidR="00D36B45" w:rsidRPr="00CE22C7">
        <w:t>far,</w:t>
      </w:r>
      <w:r w:rsidR="008D4D94" w:rsidRPr="00CE22C7">
        <w:t xml:space="preserve"> in Fiscal </w:t>
      </w:r>
      <w:r w:rsidR="00954A12" w:rsidRPr="00CE22C7">
        <w:t>202</w:t>
      </w:r>
      <w:r w:rsidR="00954A12">
        <w:t>3</w:t>
      </w:r>
      <w:r w:rsidR="008D4D94" w:rsidRPr="00CE22C7">
        <w:t xml:space="preserve">, the daily cash balance averaged just </w:t>
      </w:r>
      <w:r w:rsidR="00954A12">
        <w:t>over</w:t>
      </w:r>
      <w:r w:rsidR="00954A12" w:rsidRPr="00CE22C7">
        <w:t xml:space="preserve"> </w:t>
      </w:r>
      <w:r w:rsidR="008D4D94" w:rsidRPr="00CE22C7">
        <w:t>$9</w:t>
      </w:r>
      <w:r w:rsidR="00954A12">
        <w:t>.5</w:t>
      </w:r>
      <w:r w:rsidR="008D4D94" w:rsidRPr="00CE22C7">
        <w:t xml:space="preserve"> billion in the first quarter, and $</w:t>
      </w:r>
      <w:r w:rsidR="00954A12">
        <w:t>6.5</w:t>
      </w:r>
      <w:r w:rsidR="008D4D94" w:rsidRPr="00CE22C7">
        <w:t xml:space="preserve"> billion in the second.</w:t>
      </w:r>
      <w:r w:rsidR="009169C6" w:rsidRPr="00CE22C7">
        <w:rPr>
          <w:rStyle w:val="FootnoteReference"/>
        </w:rPr>
        <w:footnoteReference w:id="8"/>
      </w:r>
    </w:p>
    <w:p w14:paraId="61E4B5DC" w14:textId="221D3C0B" w:rsidR="00F87537" w:rsidRPr="00CE22C7" w:rsidRDefault="00F87537" w:rsidP="004A15EC">
      <w:pPr>
        <w:pStyle w:val="ListParagraph"/>
        <w:widowControl w:val="0"/>
        <w:numPr>
          <w:ilvl w:val="0"/>
          <w:numId w:val="4"/>
        </w:numPr>
        <w:spacing w:line="480" w:lineRule="auto"/>
        <w:rPr>
          <w:i/>
          <w:iCs/>
          <w:color w:val="000000" w:themeColor="text1"/>
        </w:rPr>
      </w:pPr>
      <w:r w:rsidRPr="00CE22C7">
        <w:rPr>
          <w:i/>
          <w:iCs/>
          <w:color w:val="000000" w:themeColor="text1"/>
        </w:rPr>
        <w:t>Depository Banks</w:t>
      </w:r>
    </w:p>
    <w:p w14:paraId="0C77ACF1" w14:textId="1DFF1185" w:rsidR="00F87537" w:rsidRPr="00CE22C7" w:rsidRDefault="00F87537" w:rsidP="004A15EC">
      <w:pPr>
        <w:widowControl w:val="0"/>
        <w:spacing w:line="480" w:lineRule="auto"/>
        <w:ind w:firstLine="720"/>
        <w:jc w:val="both"/>
      </w:pPr>
      <w:r w:rsidRPr="00CE22C7">
        <w:t>State law provides that “[t]he governing board of every local government shall designate one or more banks or trust companies for the deposit of public funds, the disposition of which is not otherwise provided for by law.”</w:t>
      </w:r>
      <w:r w:rsidRPr="00CE22C7">
        <w:rPr>
          <w:rStyle w:val="FootnoteReference"/>
        </w:rPr>
        <w:footnoteReference w:id="9"/>
      </w:r>
      <w:r w:rsidRPr="00CE22C7">
        <w:t xml:space="preserve"> In New York City, that function is carried out by the Banking Commission. </w:t>
      </w:r>
    </w:p>
    <w:p w14:paraId="66325185" w14:textId="25982E11" w:rsidR="00F87537" w:rsidRPr="00CE22C7" w:rsidRDefault="00F87537" w:rsidP="004A15EC">
      <w:pPr>
        <w:widowControl w:val="0"/>
        <w:spacing w:line="480" w:lineRule="auto"/>
        <w:ind w:firstLine="720"/>
        <w:jc w:val="both"/>
      </w:pPr>
      <w:r w:rsidRPr="00CE22C7">
        <w:t xml:space="preserve">The Banking Commission consists of the Mayor, who serves as Chair, the Comptroller, and the </w:t>
      </w:r>
      <w:r w:rsidR="006345AB">
        <w:t xml:space="preserve">DOF </w:t>
      </w:r>
      <w:r w:rsidRPr="00CE22C7">
        <w:t>Commissioner.</w:t>
      </w:r>
      <w:r w:rsidRPr="00CE22C7">
        <w:rPr>
          <w:rStyle w:val="FootnoteReference"/>
          <w:rFonts w:eastAsia="Arial Unicode MS"/>
        </w:rPr>
        <w:footnoteReference w:id="10"/>
      </w:r>
      <w:r w:rsidRPr="00CE22C7">
        <w:t xml:space="preserve"> </w:t>
      </w:r>
      <w:r w:rsidR="006345AB">
        <w:t xml:space="preserve">DOF is responsible for performing the </w:t>
      </w:r>
      <w:r w:rsidRPr="00CE22C7">
        <w:t>administrative duties of the Banking Commission.</w:t>
      </w:r>
      <w:r w:rsidRPr="00CE22C7">
        <w:rPr>
          <w:rStyle w:val="FootnoteReference"/>
          <w:rFonts w:eastAsia="Arial Unicode MS"/>
        </w:rPr>
        <w:footnoteReference w:id="11"/>
      </w:r>
      <w:r w:rsidRPr="00CE22C7">
        <w:t xml:space="preserve"> The Banking Commission is </w:t>
      </w:r>
      <w:r w:rsidR="00E47AA6">
        <w:t xml:space="preserve">responsible for </w:t>
      </w:r>
      <w:r w:rsidRPr="00CE22C7">
        <w:t>determining the eligibility of banks applying for designation as City depository banks</w:t>
      </w:r>
      <w:r w:rsidR="00E47AA6">
        <w:t xml:space="preserve">, and </w:t>
      </w:r>
      <w:r w:rsidRPr="00CE22C7">
        <w:t>recommending to the City Council the interest rate to charge for delinquent property tax and water/sewer payments</w:t>
      </w:r>
      <w:r w:rsidR="00E47AA6">
        <w:t xml:space="preserve">, along with </w:t>
      </w:r>
      <w:r w:rsidRPr="00CE22C7">
        <w:t>the discount rate for early payment.</w:t>
      </w:r>
      <w:r w:rsidRPr="00CE22C7">
        <w:rPr>
          <w:rStyle w:val="FootnoteReference"/>
          <w:rFonts w:eastAsia="Arial Unicode MS"/>
        </w:rPr>
        <w:footnoteReference w:id="12"/>
      </w:r>
      <w:r w:rsidRPr="00CE22C7">
        <w:t xml:space="preserve"> The Banking Commission also administers the City's Banking Development District Program (“BDD”), which encourages and helps banks open branches in traditionally underserved neighborhoods. Many BDDs also serve as depositories for the City’s money.</w:t>
      </w:r>
      <w:r w:rsidRPr="00CE22C7">
        <w:rPr>
          <w:rStyle w:val="FootnoteReference"/>
          <w:rFonts w:eastAsia="Arial Unicode MS"/>
        </w:rPr>
        <w:footnoteReference w:id="13"/>
      </w:r>
      <w:r w:rsidRPr="00CE22C7">
        <w:t xml:space="preserve"> </w:t>
      </w:r>
    </w:p>
    <w:p w14:paraId="37FE00E7" w14:textId="216493F2" w:rsidR="00F87537" w:rsidRPr="00CE22C7" w:rsidRDefault="00F87537" w:rsidP="004A15EC">
      <w:pPr>
        <w:widowControl w:val="0"/>
        <w:spacing w:line="480" w:lineRule="auto"/>
        <w:ind w:firstLine="720"/>
        <w:jc w:val="both"/>
      </w:pPr>
      <w:r w:rsidRPr="00CE22C7">
        <w:t xml:space="preserve">In order to become a designated depository, </w:t>
      </w:r>
      <w:r w:rsidR="3EED58A9" w:rsidRPr="00CE22C7">
        <w:t>the C</w:t>
      </w:r>
      <w:r w:rsidRPr="00CE22C7">
        <w:t xml:space="preserve">harter requires a bank to </w:t>
      </w:r>
      <w:r w:rsidR="57D9F4CC" w:rsidRPr="00CE22C7">
        <w:t>p</w:t>
      </w:r>
      <w:r w:rsidRPr="00CE22C7">
        <w:t xml:space="preserve">ay the </w:t>
      </w:r>
      <w:r w:rsidR="3EED58A9" w:rsidRPr="00CE22C7">
        <w:t>C</w:t>
      </w:r>
      <w:r w:rsidRPr="00CE22C7">
        <w:t>ity an interest rate equivalent to that paid to private parties and</w:t>
      </w:r>
      <w:r w:rsidR="57D9F4CC" w:rsidRPr="00CE22C7">
        <w:t xml:space="preserve"> f</w:t>
      </w:r>
      <w:r w:rsidRPr="00CE22C7">
        <w:t>ile a certification with the Banking Commission and City Clerk that the bank’s Board of Directors has established and will adhere to a policy of equal opportunity employment, and anti-discrimination.</w:t>
      </w:r>
      <w:r w:rsidRPr="00CE22C7">
        <w:rPr>
          <w:rStyle w:val="FootnoteReference"/>
        </w:rPr>
        <w:footnoteReference w:id="14"/>
      </w:r>
    </w:p>
    <w:p w14:paraId="043816E0" w14:textId="5849F3A9" w:rsidR="00F87537" w:rsidRPr="00CE22C7" w:rsidRDefault="00F87537" w:rsidP="00CE22C7">
      <w:pPr>
        <w:keepNext/>
        <w:spacing w:line="480" w:lineRule="auto"/>
        <w:ind w:firstLine="720"/>
        <w:jc w:val="both"/>
      </w:pPr>
      <w:r w:rsidRPr="00CE22C7">
        <w:t xml:space="preserve">The rules of the Banking Commission provide that every bank in which City money is permitted to be deposited shall be designated by the </w:t>
      </w:r>
      <w:r w:rsidRPr="00CE22C7">
        <w:rPr>
          <w:rStyle w:val="term"/>
        </w:rPr>
        <w:t>Banking Commission</w:t>
      </w:r>
      <w:r w:rsidRPr="00CE22C7">
        <w:t xml:space="preserve"> by majority vote, by written notice to the Commissioner of Finance, and </w:t>
      </w:r>
      <w:r w:rsidR="00444D10">
        <w:t xml:space="preserve">that </w:t>
      </w:r>
      <w:r w:rsidRPr="00CE22C7">
        <w:t xml:space="preserve">such designation shall be </w:t>
      </w:r>
      <w:r w:rsidR="00444D10">
        <w:t xml:space="preserve">for </w:t>
      </w:r>
      <w:r w:rsidRPr="00CE22C7">
        <w:t>no longer than two years.</w:t>
      </w:r>
      <w:r w:rsidRPr="00CE22C7">
        <w:rPr>
          <w:rStyle w:val="FootnoteReference"/>
          <w:rFonts w:eastAsia="Arial Unicode MS"/>
        </w:rPr>
        <w:footnoteReference w:id="15"/>
      </w:r>
      <w:r w:rsidRPr="00CE22C7">
        <w:t xml:space="preserve"> The Banking Commission’s rules provide a framework to ensure that </w:t>
      </w:r>
      <w:r w:rsidR="00444D10">
        <w:t xml:space="preserve">handling of </w:t>
      </w:r>
      <w:r w:rsidRPr="00CE22C7">
        <w:t xml:space="preserve">the City’s money is </w:t>
      </w:r>
      <w:r w:rsidR="00444D10">
        <w:t>limited to</w:t>
      </w:r>
      <w:r w:rsidRPr="00CE22C7">
        <w:t xml:space="preserve"> financially responsible banks that can safeguard the City’s money and provide the City with the best available interest rate.</w:t>
      </w:r>
      <w:r w:rsidR="00675000" w:rsidRPr="00CE22C7">
        <w:rPr>
          <w:rStyle w:val="FootnoteReference"/>
        </w:rPr>
        <w:footnoteReference w:id="16"/>
      </w:r>
    </w:p>
    <w:p w14:paraId="11C85EA1" w14:textId="1841AB27" w:rsidR="00F87537" w:rsidRPr="00CE22C7" w:rsidRDefault="00444D10" w:rsidP="004A15EC">
      <w:pPr>
        <w:widowControl w:val="0"/>
        <w:spacing w:line="480" w:lineRule="auto"/>
        <w:ind w:firstLine="720"/>
        <w:jc w:val="both"/>
      </w:pPr>
      <w:r>
        <w:t>The Banking Commission may make e</w:t>
      </w:r>
      <w:r w:rsidR="00F87537" w:rsidRPr="00CE22C7">
        <w:t xml:space="preserve">xceptions to the designation criteria in cases where the deposit of City money in such bank is necessary to obtain essential services that are not reasonably obtainable elsewhere. Additionally, </w:t>
      </w:r>
      <w:r>
        <w:t xml:space="preserve">a bank </w:t>
      </w:r>
      <w:r w:rsidR="00F87537" w:rsidRPr="00CE22C7">
        <w:t xml:space="preserve">meeting all the requirements does not guarantee designation. </w:t>
      </w:r>
      <w:r>
        <w:t xml:space="preserve">At its discretion the </w:t>
      </w:r>
      <w:r w:rsidR="00F87537" w:rsidRPr="00CE22C7">
        <w:t>Banking Commission</w:t>
      </w:r>
      <w:r>
        <w:t xml:space="preserve"> </w:t>
      </w:r>
      <w:r w:rsidR="00F87537" w:rsidRPr="00CE22C7">
        <w:t xml:space="preserve">can </w:t>
      </w:r>
      <w:r w:rsidR="00435BB6">
        <w:t xml:space="preserve">choose to </w:t>
      </w:r>
      <w:r w:rsidR="00A26C13">
        <w:t xml:space="preserve">not </w:t>
      </w:r>
      <w:r w:rsidR="00F87537" w:rsidRPr="00CE22C7">
        <w:t xml:space="preserve">designate </w:t>
      </w:r>
      <w:r>
        <w:t xml:space="preserve">a </w:t>
      </w:r>
      <w:r w:rsidR="00F87537" w:rsidRPr="00CE22C7">
        <w:t xml:space="preserve">bank, </w:t>
      </w:r>
      <w:r w:rsidR="00A26C13">
        <w:t>despite meeting all other necessary criteria</w:t>
      </w:r>
      <w:r w:rsidR="00F87537" w:rsidRPr="00CE22C7">
        <w:t xml:space="preserve">, if </w:t>
      </w:r>
      <w:r>
        <w:t xml:space="preserve">the </w:t>
      </w:r>
      <w:r w:rsidR="00F87537" w:rsidRPr="00CE22C7">
        <w:t>bank</w:t>
      </w:r>
      <w:r w:rsidR="00A26C13">
        <w:t xml:space="preserve"> either</w:t>
      </w:r>
      <w:r w:rsidR="00435BB6">
        <w:t xml:space="preserve"> </w:t>
      </w:r>
      <w:r w:rsidR="00957AC5" w:rsidRPr="00CE22C7">
        <w:t>c</w:t>
      </w:r>
      <w:r w:rsidR="00F87537" w:rsidRPr="00CE22C7">
        <w:t>losed more branches than it opened in the prior calendar year or last three calendar years, and 26% to 66% of such closures were located in lower income neighborhoods</w:t>
      </w:r>
      <w:r w:rsidR="00435BB6">
        <w:t xml:space="preserve">, </w:t>
      </w:r>
      <w:r w:rsidR="00E97340" w:rsidRPr="00CE22C7">
        <w:t>or</w:t>
      </w:r>
      <w:r w:rsidR="00957AC5" w:rsidRPr="00CE22C7">
        <w:t xml:space="preserve"> </w:t>
      </w:r>
      <w:r w:rsidR="00435BB6">
        <w:t xml:space="preserve">it </w:t>
      </w:r>
      <w:r w:rsidR="00F87537" w:rsidRPr="00CE22C7">
        <w:t>opened more branches than it closed in the prior calendar year or last three years</w:t>
      </w:r>
      <w:r w:rsidR="00435BB6">
        <w:t>,</w:t>
      </w:r>
      <w:r w:rsidR="00F87537" w:rsidRPr="00CE22C7">
        <w:t xml:space="preserve"> and fewer than 25% of such openings were located in lower income areas</w:t>
      </w:r>
      <w:r w:rsidR="00957AC5" w:rsidRPr="00CE22C7">
        <w:t>.</w:t>
      </w:r>
      <w:r w:rsidR="00F87537" w:rsidRPr="00CE22C7">
        <w:rPr>
          <w:rStyle w:val="FootnoteReference"/>
          <w:rFonts w:eastAsia="Arial Unicode MS"/>
        </w:rPr>
        <w:footnoteReference w:id="17"/>
      </w:r>
    </w:p>
    <w:p w14:paraId="4EE2F9D0" w14:textId="67FA0E61" w:rsidR="00F87537" w:rsidRPr="00CE22C7" w:rsidRDefault="00CE56DD" w:rsidP="004A15EC">
      <w:pPr>
        <w:widowControl w:val="0"/>
        <w:spacing w:line="480" w:lineRule="auto"/>
        <w:ind w:firstLine="720"/>
        <w:jc w:val="both"/>
      </w:pPr>
      <w:r>
        <w:t>To maintain its designated status</w:t>
      </w:r>
      <w:r w:rsidR="00F87537" w:rsidRPr="00CE22C7">
        <w:t xml:space="preserve">, a bank must submit a new application to the Banking Commission in the second year following the year of its previous designation. Such </w:t>
      </w:r>
      <w:r>
        <w:t xml:space="preserve">a bank must submit this </w:t>
      </w:r>
      <w:r w:rsidR="00F87537" w:rsidRPr="00CE22C7">
        <w:t>new application by March 1, immediately preceding the Commission's annual designation meeting in May of such second year.</w:t>
      </w:r>
      <w:r w:rsidR="00A26C13">
        <w:rPr>
          <w:rStyle w:val="FootnoteReference"/>
        </w:rPr>
        <w:footnoteReference w:id="18"/>
      </w:r>
    </w:p>
    <w:p w14:paraId="78493D0C" w14:textId="6C0114F5" w:rsidR="00CA467B" w:rsidRPr="00CE22C7" w:rsidRDefault="00CA467B" w:rsidP="004A15EC">
      <w:pPr>
        <w:widowControl w:val="0"/>
        <w:spacing w:line="480" w:lineRule="auto"/>
        <w:ind w:firstLine="720"/>
        <w:jc w:val="both"/>
      </w:pPr>
      <w:r w:rsidRPr="00CE22C7">
        <w:t>The Banking Commission does not select the banks actually used by the City</w:t>
      </w:r>
      <w:r w:rsidR="007708C2">
        <w:t>;</w:t>
      </w:r>
      <w:r w:rsidRPr="00CE22C7">
        <w:t xml:space="preserve"> rather, </w:t>
      </w:r>
      <w:r w:rsidR="007708C2">
        <w:t>the</w:t>
      </w:r>
      <w:r w:rsidR="007708C2" w:rsidRPr="00CE22C7">
        <w:t xml:space="preserve"> </w:t>
      </w:r>
      <w:r w:rsidRPr="00CE22C7">
        <w:t xml:space="preserve">selection </w:t>
      </w:r>
      <w:r w:rsidR="007708C2">
        <w:t xml:space="preserve">happens </w:t>
      </w:r>
      <w:r w:rsidRPr="00CE22C7">
        <w:t xml:space="preserve">by City agencies. Once the Banking Commission approves a bank as a </w:t>
      </w:r>
      <w:r w:rsidR="007708C2">
        <w:t xml:space="preserve">designated </w:t>
      </w:r>
      <w:r w:rsidRPr="00CE22C7">
        <w:t xml:space="preserve">depository, individual City agencies must apply to the Banking Commission for approval to open an account at one of the designated banks. </w:t>
      </w:r>
    </w:p>
    <w:p w14:paraId="3F5541CA" w14:textId="1A745BE8" w:rsidR="3EED58A9" w:rsidRPr="00CE22C7" w:rsidRDefault="3EED58A9" w:rsidP="004A15EC">
      <w:pPr>
        <w:widowControl w:val="0"/>
        <w:spacing w:line="480" w:lineRule="auto"/>
        <w:ind w:firstLine="720"/>
        <w:jc w:val="both"/>
      </w:pPr>
      <w:r w:rsidRPr="00CE22C7">
        <w:t>As of the date of this writing, the Finance Committee is unable to obtain the criteria used by the Banking Commission in selecting the banks that currently hold City funds, nor is it able to determine the total number of designated depositories that actually hold City funds.</w:t>
      </w:r>
    </w:p>
    <w:p w14:paraId="2CB7E96D" w14:textId="65B9D33C" w:rsidR="00CA467B" w:rsidRPr="00CE22C7" w:rsidRDefault="00CA467B" w:rsidP="004A15EC">
      <w:pPr>
        <w:widowControl w:val="0"/>
        <w:spacing w:line="480" w:lineRule="auto"/>
        <w:ind w:firstLine="720"/>
        <w:jc w:val="both"/>
        <w:rPr>
          <w:shd w:val="clear" w:color="auto" w:fill="FFFFFF"/>
        </w:rPr>
      </w:pPr>
      <w:r w:rsidRPr="00CE22C7">
        <w:rPr>
          <w:shd w:val="clear" w:color="auto" w:fill="FFFFFF"/>
        </w:rPr>
        <w:t>The Banking Commission is subject to the State Open Meeting</w:t>
      </w:r>
      <w:r w:rsidR="007708C2">
        <w:rPr>
          <w:shd w:val="clear" w:color="auto" w:fill="FFFFFF"/>
        </w:rPr>
        <w:t>s</w:t>
      </w:r>
      <w:r w:rsidRPr="00CE22C7">
        <w:rPr>
          <w:shd w:val="clear" w:color="auto" w:fill="FFFFFF"/>
        </w:rPr>
        <w:t xml:space="preserve"> Law</w:t>
      </w:r>
      <w:r w:rsidR="00745153" w:rsidRPr="00CE22C7">
        <w:rPr>
          <w:shd w:val="clear" w:color="auto" w:fill="FFFFFF"/>
        </w:rPr>
        <w:t>, including the</w:t>
      </w:r>
      <w:r w:rsidRPr="00CE22C7">
        <w:rPr>
          <w:shd w:val="clear" w:color="auto" w:fill="FFFFFF"/>
        </w:rPr>
        <w:t xml:space="preserve"> requirement that the time and place of any meeting scheduled at least one week prior thereto must be given or electronically transmitted to the news media and be conspicuously posted in one or more designated public locations at least seventy-two hours before such meeting.</w:t>
      </w:r>
      <w:r w:rsidRPr="00CE22C7">
        <w:rPr>
          <w:rStyle w:val="FootnoteReference"/>
          <w:shd w:val="clear" w:color="auto" w:fill="FFFFFF"/>
        </w:rPr>
        <w:footnoteReference w:id="19"/>
      </w:r>
      <w:r w:rsidRPr="00CE22C7">
        <w:rPr>
          <w:shd w:val="clear" w:color="auto" w:fill="FFFFFF"/>
        </w:rPr>
        <w:t xml:space="preserve"> The Banking Commission must additionally notify the Council within 30 days of either receiving a bank’s application for designation or re</w:t>
      </w:r>
      <w:r w:rsidR="00BA4152" w:rsidRPr="00CE22C7">
        <w:rPr>
          <w:shd w:val="clear" w:color="auto" w:fill="FFFFFF"/>
        </w:rPr>
        <w:t>-</w:t>
      </w:r>
      <w:r w:rsidRPr="00CE22C7">
        <w:rPr>
          <w:shd w:val="clear" w:color="auto" w:fill="FFFFFF"/>
        </w:rPr>
        <w:t>designation or upon denying a request for designation.</w:t>
      </w:r>
      <w:r w:rsidRPr="00CE22C7">
        <w:rPr>
          <w:rStyle w:val="FootnoteReference"/>
          <w:shd w:val="clear" w:color="auto" w:fill="FFFFFF"/>
        </w:rPr>
        <w:footnoteReference w:id="20"/>
      </w:r>
    </w:p>
    <w:p w14:paraId="4874FB6E" w14:textId="2862372C" w:rsidR="0086427B" w:rsidRPr="00CE22C7" w:rsidRDefault="00623F6F" w:rsidP="004A15EC">
      <w:pPr>
        <w:widowControl w:val="0"/>
        <w:spacing w:line="480" w:lineRule="auto"/>
        <w:ind w:firstLine="720"/>
        <w:jc w:val="both"/>
        <w:rPr>
          <w:shd w:val="clear" w:color="auto" w:fill="FFFFFF"/>
        </w:rPr>
      </w:pPr>
      <w:r w:rsidRPr="00CE22C7">
        <w:t>T</w:t>
      </w:r>
      <w:r w:rsidR="67A11FDC" w:rsidRPr="00CE22C7">
        <w:t xml:space="preserve">o protect the City, banks are required to pledge collateral to the City in the form of certain </w:t>
      </w:r>
      <w:r w:rsidR="00E01176" w:rsidRPr="00CE22C7">
        <w:t>high-quality</w:t>
      </w:r>
      <w:r w:rsidR="67A11FDC" w:rsidRPr="00CE22C7">
        <w:t xml:space="preserve"> securities specified by the General Municipal Law and the Department of Finance. At the end of each day a bank must total up all the City’s deposits</w:t>
      </w:r>
      <w:r w:rsidR="007708C2">
        <w:t>,</w:t>
      </w:r>
      <w:r w:rsidR="67A11FDC" w:rsidRPr="00CE22C7">
        <w:t xml:space="preserve"> subtract from that total the Federal Deposit Insurance Corporation </w:t>
      </w:r>
      <w:r w:rsidR="00E14AEB" w:rsidRPr="00CE22C7">
        <w:t xml:space="preserve">(FDIC) </w:t>
      </w:r>
      <w:r w:rsidR="67A11FDC" w:rsidRPr="00CE22C7">
        <w:t>limit for municipal deposits</w:t>
      </w:r>
      <w:r w:rsidR="007708C2">
        <w:t>,</w:t>
      </w:r>
      <w:r w:rsidR="67A11FDC" w:rsidRPr="00CE22C7">
        <w:t xml:space="preserve"> and designate the assets pledged to cover uninsured portion of the City’s deposits.</w:t>
      </w:r>
      <w:r w:rsidR="00697163" w:rsidRPr="00CE22C7">
        <w:rPr>
          <w:rStyle w:val="FootnoteReference"/>
          <w:shd w:val="clear" w:color="auto" w:fill="FFFFFF"/>
        </w:rPr>
        <w:footnoteReference w:id="21"/>
      </w:r>
    </w:p>
    <w:p w14:paraId="35E697B9" w14:textId="68ACB6F4" w:rsidR="00230911" w:rsidRPr="00CE22C7" w:rsidRDefault="00F87537" w:rsidP="003A2F51">
      <w:pPr>
        <w:pStyle w:val="ListParagraph"/>
        <w:numPr>
          <w:ilvl w:val="0"/>
          <w:numId w:val="4"/>
        </w:numPr>
        <w:spacing w:line="480" w:lineRule="auto"/>
        <w:rPr>
          <w:i/>
          <w:iCs/>
          <w:color w:val="000000" w:themeColor="text1"/>
        </w:rPr>
      </w:pPr>
      <w:r w:rsidRPr="00CE22C7">
        <w:rPr>
          <w:i/>
          <w:iCs/>
          <w:color w:val="000000" w:themeColor="text1"/>
        </w:rPr>
        <w:t>Non-Depository Investments</w:t>
      </w:r>
    </w:p>
    <w:p w14:paraId="77B179C1" w14:textId="63C1356E" w:rsidR="00230911" w:rsidRPr="00CE22C7" w:rsidRDefault="00230911" w:rsidP="00230911">
      <w:pPr>
        <w:spacing w:line="480" w:lineRule="auto"/>
        <w:ind w:firstLine="720"/>
        <w:jc w:val="both"/>
      </w:pPr>
      <w:r w:rsidRPr="00CE22C7">
        <w:rPr>
          <w:color w:val="000000" w:themeColor="text1"/>
        </w:rPr>
        <w:t xml:space="preserve">State law authorizes the City’s Comptroller to “invest moneys not required for immediate expenditure” in certain types of </w:t>
      </w:r>
      <w:r w:rsidR="00D52216" w:rsidRPr="00CE22C7">
        <w:rPr>
          <w:color w:val="000000" w:themeColor="text1"/>
        </w:rPr>
        <w:t xml:space="preserve">largely </w:t>
      </w:r>
      <w:r w:rsidR="007D3BEE" w:rsidRPr="00CE22C7">
        <w:rPr>
          <w:color w:val="000000" w:themeColor="text1"/>
        </w:rPr>
        <w:t>short</w:t>
      </w:r>
      <w:r w:rsidR="00B4732D" w:rsidRPr="00CE22C7">
        <w:rPr>
          <w:color w:val="000000" w:themeColor="text1"/>
        </w:rPr>
        <w:t>-</w:t>
      </w:r>
      <w:r w:rsidR="007D3BEE" w:rsidRPr="00CE22C7">
        <w:rPr>
          <w:color w:val="000000" w:themeColor="text1"/>
        </w:rPr>
        <w:t xml:space="preserve">term, </w:t>
      </w:r>
      <w:r w:rsidRPr="00CE22C7">
        <w:rPr>
          <w:color w:val="000000" w:themeColor="text1"/>
        </w:rPr>
        <w:t xml:space="preserve">low-risk securities producing small but </w:t>
      </w:r>
      <w:r w:rsidRPr="00CE22C7">
        <w:t>consistent returns</w:t>
      </w:r>
      <w:r w:rsidR="008A5C3F" w:rsidRPr="00CE22C7">
        <w:t xml:space="preserve">, some </w:t>
      </w:r>
      <w:r w:rsidR="00F22084" w:rsidRPr="00CE22C7">
        <w:t xml:space="preserve">classes </w:t>
      </w:r>
      <w:r w:rsidR="002027C4" w:rsidRPr="00CE22C7">
        <w:t xml:space="preserve">of </w:t>
      </w:r>
      <w:r w:rsidR="008A5C3F" w:rsidRPr="00CE22C7">
        <w:t xml:space="preserve">which are subject to </w:t>
      </w:r>
      <w:r w:rsidR="002027C4" w:rsidRPr="00CE22C7">
        <w:t>restrictions</w:t>
      </w:r>
      <w:r w:rsidR="00634658" w:rsidRPr="00CE22C7">
        <w:t>.</w:t>
      </w:r>
      <w:r w:rsidRPr="00CE22C7">
        <w:rPr>
          <w:rStyle w:val="FootnoteReference"/>
        </w:rPr>
        <w:footnoteReference w:id="22"/>
      </w:r>
      <w:r w:rsidRPr="00CE22C7">
        <w:t xml:space="preserve"> The table below details the Comptroller’s </w:t>
      </w:r>
      <w:r w:rsidR="00816A37" w:rsidRPr="00CE22C7">
        <w:t xml:space="preserve">recent </w:t>
      </w:r>
      <w:r w:rsidRPr="00CE22C7">
        <w:t>proprietary investment allocation:</w:t>
      </w:r>
    </w:p>
    <w:tbl>
      <w:tblPr>
        <w:tblStyle w:val="TableGrid"/>
        <w:tblW w:w="7905" w:type="dxa"/>
        <w:tblInd w:w="720" w:type="dxa"/>
        <w:tblLayout w:type="fixed"/>
        <w:tblLook w:val="06A0" w:firstRow="1" w:lastRow="0" w:firstColumn="1" w:lastColumn="0" w:noHBand="1" w:noVBand="1"/>
      </w:tblPr>
      <w:tblGrid>
        <w:gridCol w:w="4545"/>
        <w:gridCol w:w="345"/>
        <w:gridCol w:w="1755"/>
        <w:gridCol w:w="1260"/>
      </w:tblGrid>
      <w:tr w:rsidR="28DD4CE9" w:rsidRPr="00CE22C7" w14:paraId="6264C719" w14:textId="77777777" w:rsidTr="1B5ED597">
        <w:trPr>
          <w:trHeight w:val="255"/>
        </w:trPr>
        <w:tc>
          <w:tcPr>
            <w:tcW w:w="4545" w:type="dxa"/>
            <w:tcBorders>
              <w:top w:val="nil"/>
              <w:left w:val="nil"/>
              <w:bottom w:val="nil"/>
              <w:right w:val="nil"/>
            </w:tcBorders>
          </w:tcPr>
          <w:p w14:paraId="7211D8C8" w14:textId="50C97EC1" w:rsidR="28DD4CE9" w:rsidRPr="00CE22C7" w:rsidRDefault="00A44F77" w:rsidP="00A44F77">
            <w:r w:rsidRPr="00CE22C7">
              <w:rPr>
                <w:rFonts w:eastAsia="Arial"/>
                <w:b/>
                <w:bCs/>
                <w:color w:val="000000" w:themeColor="text1"/>
                <w:sz w:val="20"/>
                <w:szCs w:val="20"/>
              </w:rPr>
              <w:t>FY</w:t>
            </w:r>
            <w:r>
              <w:rPr>
                <w:rFonts w:eastAsia="Arial"/>
                <w:b/>
                <w:bCs/>
                <w:color w:val="000000" w:themeColor="text1"/>
                <w:sz w:val="20"/>
                <w:szCs w:val="20"/>
              </w:rPr>
              <w:t>22</w:t>
            </w:r>
            <w:r w:rsidRPr="00CE22C7">
              <w:rPr>
                <w:rFonts w:eastAsia="Arial"/>
                <w:b/>
                <w:bCs/>
                <w:color w:val="000000" w:themeColor="text1"/>
                <w:sz w:val="20"/>
                <w:szCs w:val="20"/>
              </w:rPr>
              <w:t xml:space="preserve"> </w:t>
            </w:r>
            <w:r w:rsidR="1B5ED597" w:rsidRPr="00CE22C7">
              <w:rPr>
                <w:rFonts w:eastAsia="Arial"/>
                <w:b/>
                <w:bCs/>
                <w:color w:val="000000" w:themeColor="text1"/>
                <w:sz w:val="20"/>
                <w:szCs w:val="20"/>
              </w:rPr>
              <w:t>Cash and Cash Equivalents</w:t>
            </w:r>
          </w:p>
        </w:tc>
        <w:tc>
          <w:tcPr>
            <w:tcW w:w="345" w:type="dxa"/>
            <w:tcBorders>
              <w:top w:val="nil"/>
              <w:left w:val="nil"/>
              <w:bottom w:val="nil"/>
              <w:right w:val="nil"/>
            </w:tcBorders>
          </w:tcPr>
          <w:p w14:paraId="0BF36EB2" w14:textId="0BE7A2B7" w:rsidR="28DD4CE9" w:rsidRPr="00CE22C7" w:rsidRDefault="28DD4CE9"/>
        </w:tc>
        <w:tc>
          <w:tcPr>
            <w:tcW w:w="1755" w:type="dxa"/>
            <w:tcBorders>
              <w:top w:val="nil"/>
              <w:left w:val="nil"/>
              <w:bottom w:val="nil"/>
              <w:right w:val="nil"/>
            </w:tcBorders>
          </w:tcPr>
          <w:p w14:paraId="3FF5C087" w14:textId="5C30CC29" w:rsidR="28DD4CE9" w:rsidRPr="00CE22C7" w:rsidRDefault="28DD4CE9"/>
        </w:tc>
        <w:tc>
          <w:tcPr>
            <w:tcW w:w="1260" w:type="dxa"/>
            <w:tcBorders>
              <w:top w:val="nil"/>
              <w:left w:val="nil"/>
              <w:bottom w:val="nil"/>
              <w:right w:val="nil"/>
            </w:tcBorders>
          </w:tcPr>
          <w:p w14:paraId="6E069476" w14:textId="68A13820" w:rsidR="28DD4CE9" w:rsidRPr="00CE22C7" w:rsidRDefault="28DD4CE9"/>
        </w:tc>
      </w:tr>
      <w:tr w:rsidR="28DD4CE9" w:rsidRPr="00CE22C7" w14:paraId="6D4A5FBF" w14:textId="77777777" w:rsidTr="1B5ED597">
        <w:trPr>
          <w:trHeight w:val="255"/>
        </w:trPr>
        <w:tc>
          <w:tcPr>
            <w:tcW w:w="4545" w:type="dxa"/>
            <w:tcBorders>
              <w:top w:val="nil"/>
              <w:left w:val="nil"/>
              <w:bottom w:val="nil"/>
              <w:right w:val="nil"/>
            </w:tcBorders>
          </w:tcPr>
          <w:p w14:paraId="5BB3CC7B" w14:textId="65A7BB1F" w:rsidR="28DD4CE9" w:rsidRPr="00CE22C7" w:rsidRDefault="1B5ED597" w:rsidP="00A44F77">
            <w:r w:rsidRPr="00CE22C7">
              <w:rPr>
                <w:rFonts w:eastAsia="Arial"/>
                <w:i/>
                <w:iCs/>
                <w:color w:val="000000" w:themeColor="text1"/>
                <w:sz w:val="18"/>
                <w:szCs w:val="18"/>
              </w:rPr>
              <w:t xml:space="preserve">(Dollars in </w:t>
            </w:r>
            <w:r w:rsidR="00A44F77">
              <w:rPr>
                <w:rFonts w:eastAsia="Arial"/>
                <w:i/>
                <w:iCs/>
                <w:color w:val="000000" w:themeColor="text1"/>
                <w:sz w:val="18"/>
                <w:szCs w:val="18"/>
              </w:rPr>
              <w:t>Thousands</w:t>
            </w:r>
            <w:r w:rsidRPr="00CE22C7">
              <w:rPr>
                <w:rFonts w:eastAsia="Arial"/>
                <w:i/>
                <w:iCs/>
                <w:color w:val="000000" w:themeColor="text1"/>
                <w:sz w:val="18"/>
                <w:szCs w:val="18"/>
              </w:rPr>
              <w:t>)</w:t>
            </w:r>
          </w:p>
        </w:tc>
        <w:tc>
          <w:tcPr>
            <w:tcW w:w="345" w:type="dxa"/>
            <w:tcBorders>
              <w:top w:val="nil"/>
              <w:left w:val="nil"/>
              <w:bottom w:val="nil"/>
              <w:right w:val="nil"/>
            </w:tcBorders>
          </w:tcPr>
          <w:p w14:paraId="47E8D199" w14:textId="232FC197" w:rsidR="28DD4CE9" w:rsidRPr="00CE22C7" w:rsidRDefault="28DD4CE9"/>
        </w:tc>
        <w:tc>
          <w:tcPr>
            <w:tcW w:w="3015" w:type="dxa"/>
            <w:gridSpan w:val="2"/>
            <w:tcBorders>
              <w:top w:val="nil"/>
              <w:left w:val="nil"/>
              <w:bottom w:val="single" w:sz="4" w:space="0" w:color="auto"/>
              <w:right w:val="nil"/>
            </w:tcBorders>
          </w:tcPr>
          <w:p w14:paraId="3E45D28C" w14:textId="4D1961DF" w:rsidR="28DD4CE9" w:rsidRPr="00CE22C7" w:rsidRDefault="1B5ED597" w:rsidP="00E031A4">
            <w:pPr>
              <w:jc w:val="center"/>
              <w:rPr>
                <w:rFonts w:eastAsia="Arial"/>
                <w:color w:val="000000" w:themeColor="text1"/>
                <w:sz w:val="20"/>
                <w:szCs w:val="20"/>
              </w:rPr>
            </w:pPr>
            <w:r w:rsidRPr="00CE22C7">
              <w:rPr>
                <w:rFonts w:eastAsia="Arial"/>
                <w:color w:val="000000" w:themeColor="text1"/>
                <w:sz w:val="20"/>
                <w:szCs w:val="20"/>
              </w:rPr>
              <w:t>Activity Type</w:t>
            </w:r>
          </w:p>
        </w:tc>
      </w:tr>
      <w:tr w:rsidR="28DD4CE9" w:rsidRPr="00CE22C7" w14:paraId="73CA6EF9" w14:textId="77777777" w:rsidTr="1B5ED597">
        <w:trPr>
          <w:trHeight w:val="255"/>
        </w:trPr>
        <w:tc>
          <w:tcPr>
            <w:tcW w:w="4545" w:type="dxa"/>
            <w:tcBorders>
              <w:top w:val="nil"/>
              <w:left w:val="nil"/>
              <w:bottom w:val="nil"/>
              <w:right w:val="nil"/>
            </w:tcBorders>
          </w:tcPr>
          <w:p w14:paraId="7BD8BF96" w14:textId="6212080F" w:rsidR="28DD4CE9" w:rsidRPr="00CE22C7" w:rsidRDefault="28DD4CE9"/>
        </w:tc>
        <w:tc>
          <w:tcPr>
            <w:tcW w:w="345" w:type="dxa"/>
            <w:tcBorders>
              <w:top w:val="nil"/>
              <w:left w:val="nil"/>
              <w:bottom w:val="nil"/>
              <w:right w:val="nil"/>
            </w:tcBorders>
          </w:tcPr>
          <w:p w14:paraId="016EA40C" w14:textId="014F7FCE" w:rsidR="28DD4CE9" w:rsidRPr="00CE22C7" w:rsidRDefault="28DD4CE9"/>
        </w:tc>
        <w:tc>
          <w:tcPr>
            <w:tcW w:w="1755" w:type="dxa"/>
            <w:tcBorders>
              <w:top w:val="single" w:sz="4" w:space="0" w:color="auto"/>
              <w:left w:val="nil"/>
              <w:bottom w:val="nil"/>
              <w:right w:val="nil"/>
            </w:tcBorders>
          </w:tcPr>
          <w:p w14:paraId="37E48C18" w14:textId="67DBC7FE" w:rsidR="28DD4CE9" w:rsidRPr="00CE22C7" w:rsidRDefault="1B5ED597" w:rsidP="00E031A4">
            <w:pPr>
              <w:jc w:val="right"/>
              <w:rPr>
                <w:rFonts w:eastAsia="Arial"/>
                <w:color w:val="000000" w:themeColor="text1"/>
                <w:sz w:val="20"/>
                <w:szCs w:val="20"/>
                <w:u w:val="single"/>
              </w:rPr>
            </w:pPr>
            <w:r w:rsidRPr="00CE22C7">
              <w:rPr>
                <w:rFonts w:eastAsia="Arial"/>
                <w:color w:val="000000" w:themeColor="text1"/>
                <w:sz w:val="20"/>
                <w:szCs w:val="20"/>
                <w:u w:val="single"/>
              </w:rPr>
              <w:t>Governmental</w:t>
            </w:r>
          </w:p>
        </w:tc>
        <w:tc>
          <w:tcPr>
            <w:tcW w:w="1260" w:type="dxa"/>
            <w:tcBorders>
              <w:top w:val="nil"/>
              <w:left w:val="nil"/>
              <w:bottom w:val="nil"/>
              <w:right w:val="nil"/>
            </w:tcBorders>
          </w:tcPr>
          <w:p w14:paraId="77104376" w14:textId="6F7A5CBE" w:rsidR="28DD4CE9" w:rsidRPr="00CE22C7" w:rsidRDefault="1B5ED597" w:rsidP="00E031A4">
            <w:pPr>
              <w:jc w:val="right"/>
              <w:rPr>
                <w:rFonts w:eastAsia="Arial"/>
                <w:color w:val="000000" w:themeColor="text1"/>
                <w:sz w:val="20"/>
                <w:szCs w:val="20"/>
                <w:u w:val="single"/>
              </w:rPr>
            </w:pPr>
            <w:r w:rsidRPr="00CE22C7">
              <w:rPr>
                <w:rFonts w:eastAsia="Arial"/>
                <w:color w:val="000000" w:themeColor="text1"/>
                <w:sz w:val="20"/>
                <w:szCs w:val="20"/>
                <w:u w:val="single"/>
              </w:rPr>
              <w:t>Business</w:t>
            </w:r>
          </w:p>
        </w:tc>
      </w:tr>
      <w:tr w:rsidR="28DD4CE9" w:rsidRPr="00CE22C7" w14:paraId="574ABB93" w14:textId="77777777" w:rsidTr="1B5ED597">
        <w:trPr>
          <w:trHeight w:val="255"/>
        </w:trPr>
        <w:tc>
          <w:tcPr>
            <w:tcW w:w="4545" w:type="dxa"/>
            <w:tcBorders>
              <w:top w:val="nil"/>
              <w:left w:val="nil"/>
              <w:bottom w:val="nil"/>
              <w:right w:val="nil"/>
            </w:tcBorders>
          </w:tcPr>
          <w:p w14:paraId="7850B562" w14:textId="125CB6CD" w:rsidR="28DD4CE9" w:rsidRPr="00CE22C7" w:rsidRDefault="1B5ED597">
            <w:r w:rsidRPr="00CE22C7">
              <w:rPr>
                <w:rFonts w:eastAsia="Arial"/>
                <w:b/>
                <w:bCs/>
                <w:color w:val="000000" w:themeColor="text1"/>
                <w:sz w:val="20"/>
                <w:szCs w:val="20"/>
              </w:rPr>
              <w:t>Restricted cash and equivalents:</w:t>
            </w:r>
          </w:p>
        </w:tc>
        <w:tc>
          <w:tcPr>
            <w:tcW w:w="345" w:type="dxa"/>
            <w:tcBorders>
              <w:top w:val="nil"/>
              <w:left w:val="nil"/>
              <w:bottom w:val="nil"/>
              <w:right w:val="nil"/>
            </w:tcBorders>
          </w:tcPr>
          <w:p w14:paraId="3C5CB2A5" w14:textId="5A6A5A58" w:rsidR="28DD4CE9" w:rsidRPr="00CE22C7" w:rsidRDefault="28DD4CE9"/>
        </w:tc>
        <w:tc>
          <w:tcPr>
            <w:tcW w:w="1755" w:type="dxa"/>
            <w:tcBorders>
              <w:top w:val="nil"/>
              <w:left w:val="nil"/>
              <w:bottom w:val="nil"/>
              <w:right w:val="nil"/>
            </w:tcBorders>
          </w:tcPr>
          <w:p w14:paraId="509598CC" w14:textId="105CF060" w:rsidR="28DD4CE9" w:rsidRPr="00CE22C7" w:rsidRDefault="28DD4CE9" w:rsidP="67A11FDC">
            <w:pPr>
              <w:jc w:val="right"/>
            </w:pPr>
          </w:p>
        </w:tc>
        <w:tc>
          <w:tcPr>
            <w:tcW w:w="1260" w:type="dxa"/>
            <w:tcBorders>
              <w:top w:val="nil"/>
              <w:left w:val="nil"/>
              <w:bottom w:val="nil"/>
              <w:right w:val="nil"/>
            </w:tcBorders>
          </w:tcPr>
          <w:p w14:paraId="30ACAE80" w14:textId="5733F6F1" w:rsidR="28DD4CE9" w:rsidRPr="00CE22C7" w:rsidRDefault="28DD4CE9" w:rsidP="67A11FDC">
            <w:pPr>
              <w:jc w:val="right"/>
            </w:pPr>
          </w:p>
        </w:tc>
      </w:tr>
      <w:tr w:rsidR="28DD4CE9" w:rsidRPr="00CE22C7" w14:paraId="52CDEBEC" w14:textId="77777777" w:rsidTr="1B5ED597">
        <w:trPr>
          <w:trHeight w:val="255"/>
        </w:trPr>
        <w:tc>
          <w:tcPr>
            <w:tcW w:w="4545" w:type="dxa"/>
            <w:tcBorders>
              <w:top w:val="nil"/>
              <w:left w:val="nil"/>
              <w:bottom w:val="nil"/>
              <w:right w:val="nil"/>
            </w:tcBorders>
          </w:tcPr>
          <w:p w14:paraId="3CB58B51" w14:textId="67E815CB" w:rsidR="28DD4CE9" w:rsidRPr="00CE22C7" w:rsidRDefault="67A11FDC" w:rsidP="28DD4CE9">
            <w:r w:rsidRPr="00CE22C7">
              <w:rPr>
                <w:rFonts w:eastAsia="Arial"/>
                <w:color w:val="000000" w:themeColor="text1"/>
                <w:sz w:val="20"/>
                <w:szCs w:val="20"/>
              </w:rPr>
              <w:t>Cash</w:t>
            </w:r>
          </w:p>
        </w:tc>
        <w:tc>
          <w:tcPr>
            <w:tcW w:w="345" w:type="dxa"/>
            <w:tcBorders>
              <w:top w:val="nil"/>
              <w:left w:val="nil"/>
              <w:bottom w:val="nil"/>
              <w:right w:val="nil"/>
            </w:tcBorders>
          </w:tcPr>
          <w:p w14:paraId="3AC63A3E" w14:textId="583FDBBA" w:rsidR="28DD4CE9" w:rsidRPr="00CE22C7" w:rsidRDefault="28DD4CE9"/>
        </w:tc>
        <w:tc>
          <w:tcPr>
            <w:tcW w:w="1755" w:type="dxa"/>
            <w:tcBorders>
              <w:top w:val="nil"/>
              <w:left w:val="nil"/>
              <w:bottom w:val="nil"/>
              <w:right w:val="nil"/>
            </w:tcBorders>
          </w:tcPr>
          <w:p w14:paraId="332D2379" w14:textId="14685E4B" w:rsidR="28DD4CE9" w:rsidRPr="00CE22C7" w:rsidRDefault="00A44F77" w:rsidP="67A11FDC">
            <w:pPr>
              <w:jc w:val="right"/>
            </w:pPr>
            <w:r>
              <w:rPr>
                <w:rFonts w:eastAsia="Arial"/>
                <w:color w:val="000000" w:themeColor="text1"/>
                <w:sz w:val="20"/>
                <w:szCs w:val="20"/>
              </w:rPr>
              <w:t>18,617</w:t>
            </w:r>
            <w:r w:rsidR="1B5ED597" w:rsidRPr="00CE22C7">
              <w:rPr>
                <w:rFonts w:eastAsia="Arial"/>
                <w:color w:val="000000" w:themeColor="text1"/>
                <w:sz w:val="20"/>
                <w:szCs w:val="20"/>
              </w:rPr>
              <w:t xml:space="preserve"> </w:t>
            </w:r>
          </w:p>
        </w:tc>
        <w:tc>
          <w:tcPr>
            <w:tcW w:w="1260" w:type="dxa"/>
            <w:tcBorders>
              <w:top w:val="nil"/>
              <w:left w:val="nil"/>
              <w:bottom w:val="nil"/>
              <w:right w:val="nil"/>
            </w:tcBorders>
          </w:tcPr>
          <w:p w14:paraId="0EFA5AE1" w14:textId="4C024A65" w:rsidR="28DD4CE9" w:rsidRPr="00CE22C7" w:rsidRDefault="00A44F77" w:rsidP="67A11FDC">
            <w:pPr>
              <w:jc w:val="right"/>
            </w:pPr>
            <w:r>
              <w:rPr>
                <w:rFonts w:eastAsia="Arial"/>
                <w:color w:val="000000" w:themeColor="text1"/>
                <w:sz w:val="20"/>
                <w:szCs w:val="20"/>
              </w:rPr>
              <w:t>17,629</w:t>
            </w:r>
            <w:r w:rsidR="1B5ED597" w:rsidRPr="00CE22C7">
              <w:rPr>
                <w:rFonts w:eastAsia="Arial"/>
                <w:color w:val="000000" w:themeColor="text1"/>
                <w:sz w:val="20"/>
                <w:szCs w:val="20"/>
              </w:rPr>
              <w:t xml:space="preserve"> </w:t>
            </w:r>
          </w:p>
        </w:tc>
      </w:tr>
      <w:tr w:rsidR="28DD4CE9" w:rsidRPr="00CE22C7" w14:paraId="40B3AC8A" w14:textId="77777777" w:rsidTr="1B5ED597">
        <w:trPr>
          <w:trHeight w:val="255"/>
        </w:trPr>
        <w:tc>
          <w:tcPr>
            <w:tcW w:w="4545" w:type="dxa"/>
            <w:tcBorders>
              <w:top w:val="nil"/>
              <w:left w:val="nil"/>
              <w:bottom w:val="nil"/>
              <w:right w:val="nil"/>
            </w:tcBorders>
          </w:tcPr>
          <w:p w14:paraId="49BD6A8A" w14:textId="4DA518ED" w:rsidR="28DD4CE9" w:rsidRPr="00CE22C7" w:rsidRDefault="1B5ED597" w:rsidP="28DD4CE9">
            <w:r w:rsidRPr="00CE22C7">
              <w:rPr>
                <w:rFonts w:eastAsia="Arial"/>
                <w:color w:val="000000" w:themeColor="text1"/>
                <w:sz w:val="20"/>
                <w:szCs w:val="20"/>
              </w:rPr>
              <w:t>Cash Equivalents</w:t>
            </w:r>
          </w:p>
        </w:tc>
        <w:tc>
          <w:tcPr>
            <w:tcW w:w="345" w:type="dxa"/>
            <w:tcBorders>
              <w:top w:val="nil"/>
              <w:left w:val="nil"/>
              <w:bottom w:val="nil"/>
              <w:right w:val="nil"/>
            </w:tcBorders>
          </w:tcPr>
          <w:p w14:paraId="39D138DE" w14:textId="6ADAC4A6" w:rsidR="28DD4CE9" w:rsidRPr="00CE22C7" w:rsidRDefault="28DD4CE9"/>
        </w:tc>
        <w:tc>
          <w:tcPr>
            <w:tcW w:w="1755" w:type="dxa"/>
            <w:tcBorders>
              <w:top w:val="nil"/>
              <w:left w:val="nil"/>
              <w:bottom w:val="nil"/>
              <w:right w:val="nil"/>
            </w:tcBorders>
          </w:tcPr>
          <w:p w14:paraId="753FF47E" w14:textId="266C01CF" w:rsidR="28DD4CE9" w:rsidRPr="00CE22C7" w:rsidRDefault="00A44F77" w:rsidP="67A11FDC">
            <w:pPr>
              <w:jc w:val="right"/>
            </w:pPr>
            <w:r>
              <w:rPr>
                <w:rFonts w:eastAsia="Arial"/>
                <w:color w:val="000000" w:themeColor="text1"/>
                <w:sz w:val="20"/>
                <w:szCs w:val="20"/>
              </w:rPr>
              <w:t>5,535,546</w:t>
            </w:r>
            <w:r w:rsidR="1B5ED597" w:rsidRPr="00CE22C7">
              <w:rPr>
                <w:rFonts w:eastAsia="Arial"/>
                <w:color w:val="000000" w:themeColor="text1"/>
                <w:sz w:val="20"/>
                <w:szCs w:val="20"/>
              </w:rPr>
              <w:t xml:space="preserve"> </w:t>
            </w:r>
          </w:p>
        </w:tc>
        <w:tc>
          <w:tcPr>
            <w:tcW w:w="1260" w:type="dxa"/>
            <w:tcBorders>
              <w:top w:val="nil"/>
              <w:left w:val="nil"/>
              <w:bottom w:val="nil"/>
              <w:right w:val="nil"/>
            </w:tcBorders>
          </w:tcPr>
          <w:p w14:paraId="48F5ACDE" w14:textId="08E97C48" w:rsidR="28DD4CE9" w:rsidRPr="00CE22C7" w:rsidRDefault="1B5ED597" w:rsidP="67A11FDC">
            <w:pPr>
              <w:jc w:val="right"/>
            </w:pPr>
            <w:r w:rsidRPr="00CE22C7">
              <w:rPr>
                <w:rFonts w:eastAsia="Arial"/>
                <w:color w:val="000000" w:themeColor="text1"/>
                <w:sz w:val="20"/>
                <w:szCs w:val="20"/>
              </w:rPr>
              <w:t xml:space="preserve">0 </w:t>
            </w:r>
          </w:p>
        </w:tc>
      </w:tr>
      <w:tr w:rsidR="28DD4CE9" w:rsidRPr="00CE22C7" w14:paraId="39AC3B58" w14:textId="77777777" w:rsidTr="1B5ED597">
        <w:trPr>
          <w:trHeight w:val="255"/>
        </w:trPr>
        <w:tc>
          <w:tcPr>
            <w:tcW w:w="4545" w:type="dxa"/>
            <w:tcBorders>
              <w:top w:val="nil"/>
              <w:left w:val="nil"/>
              <w:bottom w:val="nil"/>
              <w:right w:val="nil"/>
            </w:tcBorders>
          </w:tcPr>
          <w:p w14:paraId="589493F9" w14:textId="2A2DC178" w:rsidR="28DD4CE9" w:rsidRPr="00CE22C7" w:rsidRDefault="1B5ED597" w:rsidP="67A11FDC">
            <w:pPr>
              <w:rPr>
                <w:rFonts w:eastAsia="Arial"/>
                <w:color w:val="000000" w:themeColor="text1"/>
                <w:sz w:val="20"/>
                <w:szCs w:val="20"/>
              </w:rPr>
            </w:pPr>
            <w:r w:rsidRPr="00CE22C7">
              <w:rPr>
                <w:rFonts w:eastAsia="Arial"/>
                <w:color w:val="000000" w:themeColor="text1"/>
                <w:sz w:val="20"/>
                <w:szCs w:val="20"/>
              </w:rPr>
              <w:t>Restated Cash Equivalents</w:t>
            </w:r>
          </w:p>
        </w:tc>
        <w:tc>
          <w:tcPr>
            <w:tcW w:w="345" w:type="dxa"/>
            <w:tcBorders>
              <w:top w:val="nil"/>
              <w:left w:val="nil"/>
              <w:bottom w:val="nil"/>
              <w:right w:val="nil"/>
            </w:tcBorders>
          </w:tcPr>
          <w:p w14:paraId="7F03395B" w14:textId="4A2E1CE7" w:rsidR="28DD4CE9" w:rsidRPr="00CE22C7" w:rsidRDefault="28DD4CE9"/>
        </w:tc>
        <w:tc>
          <w:tcPr>
            <w:tcW w:w="1755" w:type="dxa"/>
            <w:tcBorders>
              <w:top w:val="nil"/>
              <w:left w:val="nil"/>
              <w:bottom w:val="nil"/>
              <w:right w:val="nil"/>
            </w:tcBorders>
          </w:tcPr>
          <w:p w14:paraId="096A44A3" w14:textId="5A1CA7CE" w:rsidR="28DD4CE9" w:rsidRPr="00CE22C7" w:rsidRDefault="1B5ED597" w:rsidP="67A11FDC">
            <w:pPr>
              <w:jc w:val="right"/>
            </w:pPr>
            <w:r w:rsidRPr="00CE22C7">
              <w:rPr>
                <w:rFonts w:eastAsia="Arial"/>
                <w:color w:val="000000" w:themeColor="text1"/>
                <w:sz w:val="20"/>
                <w:szCs w:val="20"/>
              </w:rPr>
              <w:t xml:space="preserve">0 </w:t>
            </w:r>
          </w:p>
        </w:tc>
        <w:tc>
          <w:tcPr>
            <w:tcW w:w="1260" w:type="dxa"/>
            <w:tcBorders>
              <w:top w:val="nil"/>
              <w:left w:val="nil"/>
              <w:bottom w:val="nil"/>
              <w:right w:val="nil"/>
            </w:tcBorders>
          </w:tcPr>
          <w:p w14:paraId="1757398E" w14:textId="7A2F9281" w:rsidR="28DD4CE9" w:rsidRPr="00CE22C7" w:rsidRDefault="1B5ED597" w:rsidP="67A11FDC">
            <w:pPr>
              <w:jc w:val="right"/>
            </w:pPr>
            <w:r w:rsidRPr="00CE22C7">
              <w:rPr>
                <w:rFonts w:eastAsia="Arial"/>
                <w:color w:val="000000" w:themeColor="text1"/>
                <w:sz w:val="20"/>
                <w:szCs w:val="20"/>
              </w:rPr>
              <w:t xml:space="preserve">0 </w:t>
            </w:r>
          </w:p>
        </w:tc>
      </w:tr>
      <w:tr w:rsidR="28DD4CE9" w:rsidRPr="00CE22C7" w14:paraId="723AF016" w14:textId="77777777" w:rsidTr="1B5ED597">
        <w:trPr>
          <w:trHeight w:val="255"/>
        </w:trPr>
        <w:tc>
          <w:tcPr>
            <w:tcW w:w="4545" w:type="dxa"/>
            <w:tcBorders>
              <w:top w:val="nil"/>
              <w:left w:val="nil"/>
              <w:bottom w:val="nil"/>
              <w:right w:val="nil"/>
            </w:tcBorders>
          </w:tcPr>
          <w:p w14:paraId="33EDE480" w14:textId="73BE03C2" w:rsidR="28DD4CE9" w:rsidRPr="00CE22C7" w:rsidRDefault="1B5ED597" w:rsidP="28DD4CE9">
            <w:r w:rsidRPr="00CE22C7">
              <w:rPr>
                <w:rFonts w:eastAsia="Arial"/>
                <w:color w:val="000000" w:themeColor="text1"/>
                <w:sz w:val="20"/>
                <w:szCs w:val="20"/>
              </w:rPr>
              <w:t>Total restricted cash and equivalents</w:t>
            </w:r>
          </w:p>
        </w:tc>
        <w:tc>
          <w:tcPr>
            <w:tcW w:w="345" w:type="dxa"/>
            <w:tcBorders>
              <w:top w:val="nil"/>
              <w:left w:val="nil"/>
              <w:bottom w:val="nil"/>
              <w:right w:val="nil"/>
            </w:tcBorders>
          </w:tcPr>
          <w:p w14:paraId="52F45F6C" w14:textId="5AFA413D" w:rsidR="28DD4CE9" w:rsidRPr="00CE22C7" w:rsidRDefault="28DD4CE9"/>
        </w:tc>
        <w:tc>
          <w:tcPr>
            <w:tcW w:w="1755" w:type="dxa"/>
            <w:tcBorders>
              <w:top w:val="single" w:sz="4" w:space="0" w:color="auto"/>
              <w:left w:val="nil"/>
              <w:bottom w:val="single" w:sz="4" w:space="0" w:color="auto"/>
              <w:right w:val="nil"/>
            </w:tcBorders>
          </w:tcPr>
          <w:p w14:paraId="73C7AEC0" w14:textId="712A4657" w:rsidR="28DD4CE9" w:rsidRPr="00CE22C7" w:rsidRDefault="1B5ED597" w:rsidP="00A44F77">
            <w:pPr>
              <w:jc w:val="right"/>
            </w:pPr>
            <w:r w:rsidRPr="00CE22C7">
              <w:rPr>
                <w:rFonts w:eastAsia="Arial"/>
                <w:color w:val="000000" w:themeColor="text1"/>
                <w:sz w:val="20"/>
                <w:szCs w:val="20"/>
              </w:rPr>
              <w:t>5,</w:t>
            </w:r>
            <w:r w:rsidR="00A44F77">
              <w:rPr>
                <w:rFonts w:eastAsia="Arial"/>
                <w:color w:val="000000" w:themeColor="text1"/>
                <w:sz w:val="20"/>
                <w:szCs w:val="20"/>
              </w:rPr>
              <w:t>554,163</w:t>
            </w:r>
            <w:r w:rsidRPr="00CE22C7">
              <w:rPr>
                <w:rFonts w:eastAsia="Arial"/>
                <w:color w:val="000000" w:themeColor="text1"/>
                <w:sz w:val="20"/>
                <w:szCs w:val="20"/>
              </w:rPr>
              <w:t xml:space="preserve"> </w:t>
            </w:r>
          </w:p>
        </w:tc>
        <w:tc>
          <w:tcPr>
            <w:tcW w:w="1260" w:type="dxa"/>
            <w:tcBorders>
              <w:top w:val="single" w:sz="4" w:space="0" w:color="auto"/>
              <w:left w:val="nil"/>
              <w:bottom w:val="single" w:sz="4" w:space="0" w:color="auto"/>
              <w:right w:val="nil"/>
            </w:tcBorders>
          </w:tcPr>
          <w:p w14:paraId="334BBD3A" w14:textId="1F6422F3" w:rsidR="28DD4CE9" w:rsidRPr="00CE22C7" w:rsidRDefault="00A44F77" w:rsidP="67A11FDC">
            <w:pPr>
              <w:jc w:val="right"/>
            </w:pPr>
            <w:r>
              <w:rPr>
                <w:rFonts w:eastAsia="Arial"/>
                <w:color w:val="000000" w:themeColor="text1"/>
                <w:sz w:val="20"/>
                <w:szCs w:val="20"/>
              </w:rPr>
              <w:t>17,629</w:t>
            </w:r>
            <w:r w:rsidR="1B5ED597" w:rsidRPr="00CE22C7">
              <w:rPr>
                <w:rFonts w:eastAsia="Arial"/>
                <w:color w:val="000000" w:themeColor="text1"/>
                <w:sz w:val="20"/>
                <w:szCs w:val="20"/>
              </w:rPr>
              <w:t xml:space="preserve"> </w:t>
            </w:r>
          </w:p>
        </w:tc>
      </w:tr>
      <w:tr w:rsidR="28DD4CE9" w:rsidRPr="00CE22C7" w14:paraId="693E3B45" w14:textId="77777777" w:rsidTr="1B5ED597">
        <w:trPr>
          <w:trHeight w:val="255"/>
        </w:trPr>
        <w:tc>
          <w:tcPr>
            <w:tcW w:w="4545" w:type="dxa"/>
            <w:tcBorders>
              <w:top w:val="nil"/>
              <w:left w:val="nil"/>
              <w:bottom w:val="nil"/>
              <w:right w:val="nil"/>
            </w:tcBorders>
          </w:tcPr>
          <w:p w14:paraId="07142BD5" w14:textId="3DA05ECD" w:rsidR="28DD4CE9" w:rsidRPr="00CE22C7" w:rsidRDefault="1B5ED597" w:rsidP="28DD4CE9">
            <w:r w:rsidRPr="00CE22C7">
              <w:rPr>
                <w:rFonts w:eastAsia="Arial"/>
                <w:b/>
                <w:bCs/>
                <w:color w:val="000000" w:themeColor="text1"/>
                <w:sz w:val="20"/>
                <w:szCs w:val="20"/>
              </w:rPr>
              <w:t>Unrestricted cash and cash equivalents</w:t>
            </w:r>
          </w:p>
        </w:tc>
        <w:tc>
          <w:tcPr>
            <w:tcW w:w="345" w:type="dxa"/>
            <w:tcBorders>
              <w:top w:val="nil"/>
              <w:left w:val="nil"/>
              <w:bottom w:val="nil"/>
              <w:right w:val="nil"/>
            </w:tcBorders>
          </w:tcPr>
          <w:p w14:paraId="6507C5E8" w14:textId="2A2ACC71" w:rsidR="28DD4CE9" w:rsidRPr="00CE22C7" w:rsidRDefault="28DD4CE9"/>
        </w:tc>
        <w:tc>
          <w:tcPr>
            <w:tcW w:w="1755" w:type="dxa"/>
            <w:tcBorders>
              <w:top w:val="single" w:sz="4" w:space="0" w:color="auto"/>
              <w:left w:val="nil"/>
              <w:bottom w:val="nil"/>
              <w:right w:val="nil"/>
            </w:tcBorders>
          </w:tcPr>
          <w:p w14:paraId="7814B575" w14:textId="492BB1B3" w:rsidR="28DD4CE9" w:rsidRPr="00CE22C7" w:rsidRDefault="28DD4CE9" w:rsidP="67A11FDC">
            <w:pPr>
              <w:jc w:val="right"/>
            </w:pPr>
          </w:p>
        </w:tc>
        <w:tc>
          <w:tcPr>
            <w:tcW w:w="1260" w:type="dxa"/>
            <w:tcBorders>
              <w:top w:val="single" w:sz="4" w:space="0" w:color="auto"/>
              <w:left w:val="nil"/>
              <w:bottom w:val="nil"/>
              <w:right w:val="nil"/>
            </w:tcBorders>
          </w:tcPr>
          <w:p w14:paraId="67C90E6A" w14:textId="4FC29767" w:rsidR="28DD4CE9" w:rsidRPr="00CE22C7" w:rsidRDefault="28DD4CE9" w:rsidP="67A11FDC">
            <w:pPr>
              <w:jc w:val="right"/>
            </w:pPr>
          </w:p>
        </w:tc>
      </w:tr>
      <w:tr w:rsidR="28DD4CE9" w:rsidRPr="00CE22C7" w14:paraId="608B7DF7" w14:textId="77777777" w:rsidTr="1B5ED597">
        <w:trPr>
          <w:trHeight w:val="255"/>
        </w:trPr>
        <w:tc>
          <w:tcPr>
            <w:tcW w:w="4545" w:type="dxa"/>
            <w:tcBorders>
              <w:top w:val="nil"/>
              <w:left w:val="nil"/>
              <w:bottom w:val="nil"/>
              <w:right w:val="nil"/>
            </w:tcBorders>
          </w:tcPr>
          <w:p w14:paraId="11972DB5" w14:textId="528744E3" w:rsidR="28DD4CE9" w:rsidRPr="00CE22C7" w:rsidRDefault="1B5ED597" w:rsidP="28DD4CE9">
            <w:r w:rsidRPr="00CE22C7">
              <w:rPr>
                <w:rFonts w:eastAsia="Arial"/>
                <w:color w:val="000000" w:themeColor="text1"/>
                <w:sz w:val="20"/>
                <w:szCs w:val="20"/>
              </w:rPr>
              <w:t>Cash</w:t>
            </w:r>
          </w:p>
        </w:tc>
        <w:tc>
          <w:tcPr>
            <w:tcW w:w="345" w:type="dxa"/>
            <w:tcBorders>
              <w:top w:val="nil"/>
              <w:left w:val="nil"/>
              <w:bottom w:val="nil"/>
              <w:right w:val="nil"/>
            </w:tcBorders>
          </w:tcPr>
          <w:p w14:paraId="18F4D222" w14:textId="12996943" w:rsidR="28DD4CE9" w:rsidRPr="00CE22C7" w:rsidRDefault="28DD4CE9"/>
        </w:tc>
        <w:tc>
          <w:tcPr>
            <w:tcW w:w="1755" w:type="dxa"/>
            <w:tcBorders>
              <w:top w:val="nil"/>
              <w:left w:val="nil"/>
              <w:bottom w:val="nil"/>
              <w:right w:val="nil"/>
            </w:tcBorders>
          </w:tcPr>
          <w:p w14:paraId="6F60CEA9" w14:textId="7EA5B69D" w:rsidR="28DD4CE9" w:rsidRPr="00CE22C7" w:rsidRDefault="00A44F77" w:rsidP="67A11FDC">
            <w:pPr>
              <w:jc w:val="right"/>
            </w:pPr>
            <w:r>
              <w:rPr>
                <w:rFonts w:eastAsia="Arial"/>
                <w:color w:val="000000" w:themeColor="text1"/>
                <w:sz w:val="20"/>
                <w:szCs w:val="20"/>
              </w:rPr>
              <w:t>3,061,771</w:t>
            </w:r>
            <w:r w:rsidR="1B5ED597" w:rsidRPr="00CE22C7">
              <w:rPr>
                <w:rFonts w:eastAsia="Arial"/>
                <w:color w:val="000000" w:themeColor="text1"/>
                <w:sz w:val="20"/>
                <w:szCs w:val="20"/>
              </w:rPr>
              <w:t xml:space="preserve"> </w:t>
            </w:r>
          </w:p>
        </w:tc>
        <w:tc>
          <w:tcPr>
            <w:tcW w:w="1260" w:type="dxa"/>
            <w:tcBorders>
              <w:top w:val="nil"/>
              <w:left w:val="nil"/>
              <w:bottom w:val="nil"/>
              <w:right w:val="nil"/>
            </w:tcBorders>
          </w:tcPr>
          <w:p w14:paraId="0AAA4365" w14:textId="2ABC6137" w:rsidR="28DD4CE9" w:rsidRPr="00CE22C7" w:rsidRDefault="00A44F77" w:rsidP="67A11FDC">
            <w:pPr>
              <w:jc w:val="right"/>
            </w:pPr>
            <w:r>
              <w:rPr>
                <w:rFonts w:eastAsia="Arial"/>
                <w:color w:val="000000" w:themeColor="text1"/>
                <w:sz w:val="20"/>
                <w:szCs w:val="20"/>
              </w:rPr>
              <w:t>49,476</w:t>
            </w:r>
            <w:r w:rsidR="1B5ED597" w:rsidRPr="00CE22C7">
              <w:rPr>
                <w:rFonts w:eastAsia="Arial"/>
                <w:color w:val="000000" w:themeColor="text1"/>
                <w:sz w:val="20"/>
                <w:szCs w:val="20"/>
              </w:rPr>
              <w:t xml:space="preserve"> </w:t>
            </w:r>
          </w:p>
        </w:tc>
      </w:tr>
      <w:tr w:rsidR="28DD4CE9" w:rsidRPr="00CE22C7" w14:paraId="00B23F13" w14:textId="77777777" w:rsidTr="1B5ED597">
        <w:trPr>
          <w:trHeight w:val="255"/>
        </w:trPr>
        <w:tc>
          <w:tcPr>
            <w:tcW w:w="4545" w:type="dxa"/>
            <w:tcBorders>
              <w:top w:val="nil"/>
              <w:left w:val="nil"/>
              <w:bottom w:val="nil"/>
              <w:right w:val="nil"/>
            </w:tcBorders>
          </w:tcPr>
          <w:p w14:paraId="2A03C037" w14:textId="3B9CCB97" w:rsidR="28DD4CE9" w:rsidRPr="00CE22C7" w:rsidRDefault="1B5ED597" w:rsidP="28DD4CE9">
            <w:r w:rsidRPr="00CE22C7">
              <w:rPr>
                <w:rFonts w:eastAsia="Arial"/>
                <w:color w:val="000000" w:themeColor="text1"/>
                <w:sz w:val="20"/>
                <w:szCs w:val="20"/>
              </w:rPr>
              <w:t>Cash Equivalents</w:t>
            </w:r>
          </w:p>
        </w:tc>
        <w:tc>
          <w:tcPr>
            <w:tcW w:w="345" w:type="dxa"/>
            <w:tcBorders>
              <w:top w:val="nil"/>
              <w:left w:val="nil"/>
              <w:bottom w:val="nil"/>
              <w:right w:val="nil"/>
            </w:tcBorders>
          </w:tcPr>
          <w:p w14:paraId="7133D2F2" w14:textId="69C371AF" w:rsidR="28DD4CE9" w:rsidRPr="00CE22C7" w:rsidRDefault="28DD4CE9"/>
        </w:tc>
        <w:tc>
          <w:tcPr>
            <w:tcW w:w="1755" w:type="dxa"/>
            <w:tcBorders>
              <w:top w:val="nil"/>
              <w:left w:val="nil"/>
              <w:bottom w:val="nil"/>
              <w:right w:val="nil"/>
            </w:tcBorders>
          </w:tcPr>
          <w:p w14:paraId="0A654F46" w14:textId="4D492EF3" w:rsidR="28DD4CE9" w:rsidRPr="00CE22C7" w:rsidRDefault="00A44F77" w:rsidP="67A11FDC">
            <w:pPr>
              <w:jc w:val="right"/>
            </w:pPr>
            <w:r>
              <w:rPr>
                <w:rFonts w:eastAsia="Arial"/>
                <w:color w:val="000000" w:themeColor="text1"/>
                <w:sz w:val="20"/>
                <w:szCs w:val="20"/>
              </w:rPr>
              <w:t>8,364,286</w:t>
            </w:r>
            <w:r w:rsidR="1B5ED597" w:rsidRPr="00CE22C7">
              <w:rPr>
                <w:rFonts w:eastAsia="Arial"/>
                <w:color w:val="000000" w:themeColor="text1"/>
                <w:sz w:val="20"/>
                <w:szCs w:val="20"/>
              </w:rPr>
              <w:t xml:space="preserve"> </w:t>
            </w:r>
          </w:p>
        </w:tc>
        <w:tc>
          <w:tcPr>
            <w:tcW w:w="1260" w:type="dxa"/>
            <w:tcBorders>
              <w:top w:val="nil"/>
              <w:left w:val="nil"/>
              <w:bottom w:val="nil"/>
              <w:right w:val="nil"/>
            </w:tcBorders>
          </w:tcPr>
          <w:p w14:paraId="10415B85" w14:textId="02C41E55" w:rsidR="28DD4CE9" w:rsidRPr="00CE22C7" w:rsidRDefault="00A44F77" w:rsidP="67A11FDC">
            <w:pPr>
              <w:jc w:val="right"/>
            </w:pPr>
            <w:r>
              <w:rPr>
                <w:rFonts w:eastAsia="Arial"/>
                <w:color w:val="000000" w:themeColor="text1"/>
                <w:sz w:val="20"/>
                <w:szCs w:val="20"/>
              </w:rPr>
              <w:t>2,180</w:t>
            </w:r>
            <w:r w:rsidR="1B5ED597" w:rsidRPr="00CE22C7">
              <w:rPr>
                <w:rFonts w:eastAsia="Arial"/>
                <w:color w:val="000000" w:themeColor="text1"/>
                <w:sz w:val="20"/>
                <w:szCs w:val="20"/>
              </w:rPr>
              <w:t xml:space="preserve"> </w:t>
            </w:r>
          </w:p>
        </w:tc>
      </w:tr>
      <w:tr w:rsidR="28DD4CE9" w:rsidRPr="00CE22C7" w14:paraId="7221ED24" w14:textId="77777777" w:rsidTr="1B5ED597">
        <w:trPr>
          <w:trHeight w:val="255"/>
        </w:trPr>
        <w:tc>
          <w:tcPr>
            <w:tcW w:w="4890" w:type="dxa"/>
            <w:gridSpan w:val="2"/>
            <w:tcBorders>
              <w:top w:val="nil"/>
              <w:left w:val="nil"/>
              <w:bottom w:val="nil"/>
              <w:right w:val="nil"/>
            </w:tcBorders>
          </w:tcPr>
          <w:p w14:paraId="00013732" w14:textId="55FE895A" w:rsidR="28DD4CE9" w:rsidRPr="00CE22C7" w:rsidRDefault="1B5ED597" w:rsidP="28DD4CE9">
            <w:r w:rsidRPr="00CE22C7">
              <w:rPr>
                <w:rFonts w:eastAsia="Arial"/>
                <w:color w:val="000000" w:themeColor="text1"/>
                <w:sz w:val="20"/>
                <w:szCs w:val="20"/>
              </w:rPr>
              <w:t>Total unrestricted cash and cash equivalents</w:t>
            </w:r>
          </w:p>
        </w:tc>
        <w:tc>
          <w:tcPr>
            <w:tcW w:w="1755" w:type="dxa"/>
            <w:tcBorders>
              <w:top w:val="single" w:sz="4" w:space="0" w:color="auto"/>
              <w:left w:val="nil"/>
              <w:bottom w:val="single" w:sz="4" w:space="0" w:color="auto"/>
              <w:right w:val="nil"/>
            </w:tcBorders>
          </w:tcPr>
          <w:p w14:paraId="3FFC2956" w14:textId="47B0BE48" w:rsidR="28DD4CE9" w:rsidRPr="00CE22C7" w:rsidRDefault="00A44F77" w:rsidP="67A11FDC">
            <w:pPr>
              <w:jc w:val="right"/>
            </w:pPr>
            <w:r>
              <w:rPr>
                <w:rFonts w:eastAsia="Arial"/>
                <w:color w:val="000000" w:themeColor="text1"/>
                <w:sz w:val="20"/>
                <w:szCs w:val="20"/>
              </w:rPr>
              <w:t>11,426,057</w:t>
            </w:r>
            <w:r w:rsidR="1B5ED597" w:rsidRPr="00CE22C7">
              <w:rPr>
                <w:rFonts w:eastAsia="Arial"/>
                <w:color w:val="000000" w:themeColor="text1"/>
                <w:sz w:val="20"/>
                <w:szCs w:val="20"/>
              </w:rPr>
              <w:t xml:space="preserve"> </w:t>
            </w:r>
          </w:p>
        </w:tc>
        <w:tc>
          <w:tcPr>
            <w:tcW w:w="1260" w:type="dxa"/>
            <w:tcBorders>
              <w:top w:val="single" w:sz="4" w:space="0" w:color="auto"/>
              <w:left w:val="nil"/>
              <w:bottom w:val="single" w:sz="4" w:space="0" w:color="auto"/>
              <w:right w:val="nil"/>
            </w:tcBorders>
          </w:tcPr>
          <w:p w14:paraId="3D9C329D" w14:textId="4AA77DE8" w:rsidR="28DD4CE9" w:rsidRPr="00CE22C7" w:rsidRDefault="00A44F77" w:rsidP="67A11FDC">
            <w:pPr>
              <w:jc w:val="right"/>
            </w:pPr>
            <w:r>
              <w:rPr>
                <w:rFonts w:eastAsia="Arial"/>
                <w:color w:val="000000" w:themeColor="text1"/>
                <w:sz w:val="20"/>
                <w:szCs w:val="20"/>
              </w:rPr>
              <w:t>51,656</w:t>
            </w:r>
            <w:r w:rsidR="1B5ED597" w:rsidRPr="00CE22C7">
              <w:rPr>
                <w:rFonts w:eastAsia="Arial"/>
                <w:color w:val="000000" w:themeColor="text1"/>
                <w:sz w:val="20"/>
                <w:szCs w:val="20"/>
              </w:rPr>
              <w:t xml:space="preserve"> </w:t>
            </w:r>
          </w:p>
        </w:tc>
      </w:tr>
      <w:tr w:rsidR="28DD4CE9" w:rsidRPr="00CE22C7" w14:paraId="268B4CA8" w14:textId="77777777" w:rsidTr="1B5ED597">
        <w:trPr>
          <w:trHeight w:val="345"/>
        </w:trPr>
        <w:tc>
          <w:tcPr>
            <w:tcW w:w="4545" w:type="dxa"/>
            <w:tcBorders>
              <w:top w:val="nil"/>
              <w:left w:val="nil"/>
              <w:bottom w:val="nil"/>
              <w:right w:val="nil"/>
            </w:tcBorders>
          </w:tcPr>
          <w:p w14:paraId="3269D512" w14:textId="4D3ECB95" w:rsidR="28DD4CE9" w:rsidRPr="00CE22C7" w:rsidRDefault="1B5ED597" w:rsidP="28DD4CE9">
            <w:r w:rsidRPr="00CE22C7">
              <w:rPr>
                <w:rFonts w:eastAsia="Arial"/>
                <w:color w:val="000000" w:themeColor="text1"/>
                <w:sz w:val="20"/>
                <w:szCs w:val="20"/>
              </w:rPr>
              <w:t>Total cash and cash equivalents</w:t>
            </w:r>
          </w:p>
        </w:tc>
        <w:tc>
          <w:tcPr>
            <w:tcW w:w="345" w:type="dxa"/>
            <w:tcBorders>
              <w:top w:val="nil"/>
              <w:left w:val="nil"/>
              <w:bottom w:val="nil"/>
              <w:right w:val="nil"/>
            </w:tcBorders>
          </w:tcPr>
          <w:p w14:paraId="7A3CBC63" w14:textId="13B39484" w:rsidR="28DD4CE9" w:rsidRPr="00CE22C7" w:rsidRDefault="28DD4CE9"/>
        </w:tc>
        <w:tc>
          <w:tcPr>
            <w:tcW w:w="1755" w:type="dxa"/>
            <w:tcBorders>
              <w:top w:val="single" w:sz="4" w:space="0" w:color="auto"/>
              <w:left w:val="nil"/>
              <w:bottom w:val="double" w:sz="5" w:space="0" w:color="auto"/>
              <w:right w:val="nil"/>
            </w:tcBorders>
          </w:tcPr>
          <w:p w14:paraId="4B71BFE9" w14:textId="0211B132" w:rsidR="28DD4CE9" w:rsidRPr="00CE22C7" w:rsidRDefault="1B5ED597" w:rsidP="00A44F77">
            <w:pPr>
              <w:jc w:val="right"/>
            </w:pPr>
            <w:r w:rsidRPr="00CE22C7">
              <w:rPr>
                <w:rFonts w:eastAsia="Arial"/>
                <w:color w:val="000000" w:themeColor="text1"/>
                <w:sz w:val="20"/>
                <w:szCs w:val="20"/>
              </w:rPr>
              <w:t>$</w:t>
            </w:r>
            <w:r w:rsidR="00A44F77">
              <w:rPr>
                <w:rFonts w:eastAsia="Arial"/>
                <w:color w:val="000000" w:themeColor="text1"/>
                <w:sz w:val="20"/>
                <w:szCs w:val="20"/>
              </w:rPr>
              <w:t>16,980,220</w:t>
            </w:r>
            <w:r w:rsidRPr="00CE22C7">
              <w:rPr>
                <w:rFonts w:eastAsia="Arial"/>
                <w:color w:val="000000" w:themeColor="text1"/>
                <w:sz w:val="20"/>
                <w:szCs w:val="20"/>
              </w:rPr>
              <w:t xml:space="preserve"> </w:t>
            </w:r>
          </w:p>
        </w:tc>
        <w:tc>
          <w:tcPr>
            <w:tcW w:w="1260" w:type="dxa"/>
            <w:tcBorders>
              <w:top w:val="single" w:sz="4" w:space="0" w:color="auto"/>
              <w:left w:val="nil"/>
              <w:bottom w:val="double" w:sz="5" w:space="0" w:color="auto"/>
              <w:right w:val="nil"/>
            </w:tcBorders>
          </w:tcPr>
          <w:p w14:paraId="4A9EC135" w14:textId="10B9852E" w:rsidR="28DD4CE9" w:rsidRPr="00CE22C7" w:rsidRDefault="1B5ED597" w:rsidP="00A44F77">
            <w:pPr>
              <w:jc w:val="right"/>
            </w:pPr>
            <w:r w:rsidRPr="00CE22C7">
              <w:rPr>
                <w:rFonts w:eastAsia="Arial"/>
                <w:color w:val="000000" w:themeColor="text1"/>
                <w:sz w:val="20"/>
                <w:szCs w:val="20"/>
              </w:rPr>
              <w:t>$</w:t>
            </w:r>
            <w:r w:rsidR="00A44F77">
              <w:rPr>
                <w:rFonts w:eastAsia="Arial"/>
                <w:color w:val="000000" w:themeColor="text1"/>
                <w:sz w:val="20"/>
                <w:szCs w:val="20"/>
              </w:rPr>
              <w:t>69,285</w:t>
            </w:r>
            <w:r w:rsidRPr="00CE22C7">
              <w:rPr>
                <w:rFonts w:eastAsia="Arial"/>
                <w:color w:val="000000" w:themeColor="text1"/>
                <w:sz w:val="20"/>
                <w:szCs w:val="20"/>
              </w:rPr>
              <w:t xml:space="preserve"> </w:t>
            </w:r>
          </w:p>
        </w:tc>
      </w:tr>
      <w:tr w:rsidR="28DD4CE9" w:rsidRPr="00CE22C7" w14:paraId="46D91703" w14:textId="77777777" w:rsidTr="1B5ED597">
        <w:trPr>
          <w:trHeight w:val="255"/>
        </w:trPr>
        <w:tc>
          <w:tcPr>
            <w:tcW w:w="7905" w:type="dxa"/>
            <w:gridSpan w:val="4"/>
            <w:tcBorders>
              <w:top w:val="nil"/>
              <w:left w:val="nil"/>
              <w:bottom w:val="nil"/>
              <w:right w:val="nil"/>
            </w:tcBorders>
          </w:tcPr>
          <w:p w14:paraId="4585F3F7" w14:textId="77777777" w:rsidR="28DD4CE9" w:rsidRDefault="1B5ED597" w:rsidP="00A44F77">
            <w:pPr>
              <w:rPr>
                <w:rFonts w:eastAsia="Arial"/>
                <w:i/>
                <w:iCs/>
                <w:color w:val="000000" w:themeColor="text1"/>
                <w:sz w:val="18"/>
                <w:szCs w:val="18"/>
              </w:rPr>
            </w:pPr>
            <w:r w:rsidRPr="00CE22C7">
              <w:rPr>
                <w:rFonts w:eastAsia="Arial"/>
                <w:i/>
                <w:iCs/>
                <w:color w:val="000000" w:themeColor="text1"/>
                <w:sz w:val="18"/>
                <w:szCs w:val="18"/>
              </w:rPr>
              <w:t xml:space="preserve">*Source: NYC Comprehensive Annual Financial Report for Fiscal </w:t>
            </w:r>
            <w:r w:rsidR="00A44F77">
              <w:rPr>
                <w:rFonts w:eastAsia="Arial"/>
                <w:i/>
                <w:iCs/>
                <w:color w:val="000000" w:themeColor="text1"/>
                <w:sz w:val="18"/>
                <w:szCs w:val="18"/>
              </w:rPr>
              <w:t>2022</w:t>
            </w:r>
            <w:r w:rsidRPr="00CE22C7">
              <w:rPr>
                <w:rFonts w:eastAsia="Arial"/>
                <w:i/>
                <w:iCs/>
                <w:color w:val="000000" w:themeColor="text1"/>
                <w:sz w:val="18"/>
                <w:szCs w:val="18"/>
              </w:rPr>
              <w:t xml:space="preserve">. p. </w:t>
            </w:r>
            <w:r w:rsidR="00A44F77">
              <w:rPr>
                <w:rFonts w:eastAsia="Arial"/>
                <w:i/>
                <w:iCs/>
                <w:color w:val="000000" w:themeColor="text1"/>
                <w:sz w:val="18"/>
                <w:szCs w:val="18"/>
              </w:rPr>
              <w:t>100</w:t>
            </w:r>
          </w:p>
          <w:p w14:paraId="64A63F24" w14:textId="76C38303" w:rsidR="00423E9A" w:rsidRPr="00CE22C7" w:rsidRDefault="00423E9A" w:rsidP="00A44F77"/>
        </w:tc>
      </w:tr>
    </w:tbl>
    <w:p w14:paraId="31016B1D" w14:textId="4CB9840B" w:rsidR="00F87537" w:rsidRPr="00CE22C7" w:rsidRDefault="5864B2CF" w:rsidP="008D4D94">
      <w:pPr>
        <w:pStyle w:val="ListParagraph"/>
        <w:numPr>
          <w:ilvl w:val="0"/>
          <w:numId w:val="4"/>
        </w:numPr>
        <w:spacing w:line="480" w:lineRule="auto"/>
        <w:jc w:val="both"/>
        <w:rPr>
          <w:i/>
          <w:iCs/>
          <w:color w:val="000000" w:themeColor="text1"/>
        </w:rPr>
      </w:pPr>
      <w:r w:rsidRPr="00CE22C7">
        <w:rPr>
          <w:i/>
          <w:iCs/>
          <w:color w:val="000000" w:themeColor="text1"/>
        </w:rPr>
        <w:t>Third-party Financial Services</w:t>
      </w:r>
    </w:p>
    <w:p w14:paraId="3263D8F1" w14:textId="39D088F0" w:rsidR="002A14B2" w:rsidRPr="00CE22C7" w:rsidRDefault="265953B3" w:rsidP="00F74212">
      <w:pPr>
        <w:spacing w:line="480" w:lineRule="auto"/>
        <w:ind w:firstLine="720"/>
        <w:jc w:val="both"/>
      </w:pPr>
      <w:r w:rsidRPr="00CE22C7">
        <w:t xml:space="preserve">The City utilizes various third-party financial services providers for products or services that require special expertise or that would provide greater efficiency than could be achieved in-house to achieve the City's strategic objectives. </w:t>
      </w:r>
      <w:r w:rsidR="00F915D6" w:rsidRPr="00CE22C7">
        <w:t>DOF</w:t>
      </w:r>
      <w:r w:rsidR="00E57B7E" w:rsidRPr="00CE22C7">
        <w:t xml:space="preserve"> </w:t>
      </w:r>
      <w:r w:rsidR="007A1997" w:rsidRPr="00CE22C7">
        <w:t xml:space="preserve">procures </w:t>
      </w:r>
      <w:r w:rsidR="00620F84" w:rsidRPr="00CE22C7">
        <w:t xml:space="preserve">financial </w:t>
      </w:r>
      <w:r w:rsidR="007A1997" w:rsidRPr="00CE22C7">
        <w:t>products and services</w:t>
      </w:r>
      <w:r w:rsidR="00620F84" w:rsidRPr="00CE22C7">
        <w:t xml:space="preserve"> related to </w:t>
      </w:r>
      <w:r w:rsidR="00494D79" w:rsidRPr="00CE22C7">
        <w:t>payment processing, banking, and debt collection.</w:t>
      </w:r>
      <w:r w:rsidR="00494D79" w:rsidRPr="00CE22C7">
        <w:rPr>
          <w:rStyle w:val="FootnoteReference"/>
        </w:rPr>
        <w:footnoteReference w:id="23"/>
      </w:r>
      <w:r w:rsidR="00A51086" w:rsidRPr="00CE22C7">
        <w:t xml:space="preserve"> For example</w:t>
      </w:r>
      <w:r w:rsidR="00837A67">
        <w:t xml:space="preserve">: </w:t>
      </w:r>
      <w:r w:rsidR="00837A67" w:rsidRPr="00CE22C7">
        <w:t xml:space="preserve"> </w:t>
      </w:r>
      <w:r w:rsidR="00A51086" w:rsidRPr="00CE22C7">
        <w:t>in</w:t>
      </w:r>
      <w:r w:rsidR="00ED70CA" w:rsidRPr="00CE22C7">
        <w:t xml:space="preserve"> </w:t>
      </w:r>
      <w:r w:rsidR="00837A67">
        <w:t>June 2022</w:t>
      </w:r>
      <w:r w:rsidR="00A51086" w:rsidRPr="00CE22C7">
        <w:t>, DOF</w:t>
      </w:r>
      <w:r w:rsidR="00ED70CA" w:rsidRPr="00CE22C7">
        <w:t xml:space="preserve"> published a notice of intent to enter into </w:t>
      </w:r>
      <w:r w:rsidR="00837A67">
        <w:t>a contract agreement with Citibank, N.A. “for the provision of Central Treasury Banking services”</w:t>
      </w:r>
      <w:r w:rsidR="00C43BC0">
        <w:t xml:space="preserve">.  Included </w:t>
      </w:r>
      <w:r w:rsidR="00ED70CA" w:rsidRPr="00CE22C7">
        <w:t xml:space="preserve">in </w:t>
      </w:r>
      <w:r w:rsidR="007F7FDA" w:rsidRPr="00CE22C7">
        <w:t>such</w:t>
      </w:r>
      <w:r w:rsidR="00ED70CA" w:rsidRPr="00CE22C7">
        <w:t xml:space="preserve"> notice </w:t>
      </w:r>
      <w:r w:rsidR="00C43BC0">
        <w:t xml:space="preserve">was </w:t>
      </w:r>
      <w:r w:rsidR="00ED70CA" w:rsidRPr="00CE22C7">
        <w:t>“</w:t>
      </w:r>
      <w:r w:rsidR="00837A67">
        <w:t xml:space="preserve">These services are integral for the banking services for the City of New York Central Treasury which include: cash management of </w:t>
      </w:r>
      <w:r w:rsidR="002B2C78">
        <w:t xml:space="preserve">the </w:t>
      </w:r>
      <w:r w:rsidR="00837A67">
        <w:t>over $120 billion revenue stream, vendor payments, distribution and maintenance of bond payments (and therefor the City’s Bond Rating), and City employee transaction (payroll and worker’s compensation) processing services</w:t>
      </w:r>
      <w:r w:rsidR="00105CBE" w:rsidRPr="00CE22C7">
        <w:t>.”</w:t>
      </w:r>
      <w:r w:rsidR="00796BCA" w:rsidRPr="00CE22C7">
        <w:rPr>
          <w:rStyle w:val="FootnoteReference"/>
        </w:rPr>
        <w:footnoteReference w:id="24"/>
      </w:r>
      <w:r w:rsidR="00A51086" w:rsidRPr="00CE22C7">
        <w:t xml:space="preserve"> </w:t>
      </w:r>
      <w:r w:rsidR="007F7FDA" w:rsidRPr="00CE22C7">
        <w:t xml:space="preserve">In </w:t>
      </w:r>
      <w:r w:rsidR="002B2C78">
        <w:t>May 2022</w:t>
      </w:r>
      <w:r w:rsidR="007F7FDA" w:rsidRPr="00CE22C7">
        <w:t xml:space="preserve">, DOF published to the City Record notice of </w:t>
      </w:r>
      <w:r w:rsidR="002B2C78">
        <w:t>intent to enter into negotiations for banking services to the Department of Education and other agencies, as “[t]here is a limited number of banks available and able to perform the work.”</w:t>
      </w:r>
      <w:r w:rsidR="00D44245" w:rsidRPr="00CE22C7">
        <w:rPr>
          <w:rStyle w:val="FootnoteReference"/>
        </w:rPr>
        <w:footnoteReference w:id="25"/>
      </w:r>
      <w:r w:rsidR="00D44245" w:rsidRPr="00CE22C7">
        <w:t xml:space="preserve"> </w:t>
      </w:r>
      <w:r w:rsidR="009122CA" w:rsidRPr="00CE22C7">
        <w:t xml:space="preserve">The </w:t>
      </w:r>
      <w:r w:rsidR="00A15E2C" w:rsidRPr="00CE22C7">
        <w:t xml:space="preserve">Office of the </w:t>
      </w:r>
      <w:r w:rsidR="009122CA" w:rsidRPr="00CE22C7">
        <w:t xml:space="preserve">Comptroller </w:t>
      </w:r>
      <w:r w:rsidR="0069493D" w:rsidRPr="00CE22C7">
        <w:t>is not only charged with r</w:t>
      </w:r>
      <w:r w:rsidR="003B641D" w:rsidRPr="00CE22C7">
        <w:t>eview</w:t>
      </w:r>
      <w:r w:rsidR="0069493D" w:rsidRPr="00CE22C7">
        <w:t>ing</w:t>
      </w:r>
      <w:r w:rsidR="003B641D" w:rsidRPr="00CE22C7">
        <w:t xml:space="preserve"> other agencies procurement activities as part of </w:t>
      </w:r>
      <w:r w:rsidR="0069493D" w:rsidRPr="00CE22C7">
        <w:t xml:space="preserve">its </w:t>
      </w:r>
      <w:r w:rsidR="004F0A2D" w:rsidRPr="00CE22C7">
        <w:t xml:space="preserve">contract </w:t>
      </w:r>
      <w:r w:rsidR="004F070F" w:rsidRPr="00CE22C7">
        <w:t xml:space="preserve">registration and </w:t>
      </w:r>
      <w:r w:rsidR="00073E01" w:rsidRPr="00CE22C7">
        <w:t xml:space="preserve">audit responsibilities, but </w:t>
      </w:r>
      <w:r w:rsidR="003A332E" w:rsidRPr="00CE22C7">
        <w:t xml:space="preserve">also has itself </w:t>
      </w:r>
      <w:r w:rsidR="009122CA" w:rsidRPr="00CE22C7">
        <w:t>recently</w:t>
      </w:r>
      <w:r w:rsidR="0023113D" w:rsidRPr="00CE22C7">
        <w:t xml:space="preserve"> </w:t>
      </w:r>
      <w:r w:rsidR="008C1B69" w:rsidRPr="00CE22C7">
        <w:t xml:space="preserve">placed </w:t>
      </w:r>
      <w:r w:rsidR="0023113D" w:rsidRPr="00CE22C7">
        <w:t>solicit</w:t>
      </w:r>
      <w:r w:rsidR="008C1B69" w:rsidRPr="00CE22C7">
        <w:t>ation in the City Record</w:t>
      </w:r>
      <w:r w:rsidR="0023113D" w:rsidRPr="00CE22C7">
        <w:t xml:space="preserve"> </w:t>
      </w:r>
      <w:r w:rsidR="008C1B69" w:rsidRPr="00CE22C7">
        <w:t xml:space="preserve">for </w:t>
      </w:r>
      <w:r w:rsidR="002B2C78">
        <w:t xml:space="preserve">agent </w:t>
      </w:r>
      <w:r w:rsidR="00A51086" w:rsidRPr="00CE22C7">
        <w:t>services</w:t>
      </w:r>
      <w:r w:rsidR="002B2C78">
        <w:t xml:space="preserve"> for City General Obligation Bonds</w:t>
      </w:r>
      <w:r w:rsidR="00A51086" w:rsidRPr="00CE22C7">
        <w:t>.</w:t>
      </w:r>
      <w:r w:rsidR="002B2C78" w:rsidRPr="002B2C78">
        <w:rPr>
          <w:rStyle w:val="FootnoteReference"/>
        </w:rPr>
        <w:t xml:space="preserve"> </w:t>
      </w:r>
      <w:r w:rsidR="002B2C78" w:rsidRPr="00CE22C7">
        <w:rPr>
          <w:rStyle w:val="FootnoteReference"/>
        </w:rPr>
        <w:footnoteReference w:id="26"/>
      </w:r>
      <w:r w:rsidR="002B2C78">
        <w:t xml:space="preserve"> </w:t>
      </w:r>
      <w:r w:rsidR="002B2C78">
        <w:rPr>
          <w:rStyle w:val="FootnoteReference"/>
        </w:rPr>
        <w:footnoteReference w:id="27"/>
      </w:r>
    </w:p>
    <w:p w14:paraId="212B769A" w14:textId="187E8F84" w:rsidR="00D4323E" w:rsidRPr="00CE22C7" w:rsidRDefault="00020CC5" w:rsidP="00535303">
      <w:pPr>
        <w:spacing w:line="480" w:lineRule="auto"/>
        <w:ind w:firstLine="720"/>
        <w:jc w:val="both"/>
      </w:pPr>
      <w:r w:rsidRPr="00CE22C7">
        <w:t xml:space="preserve">While the </w:t>
      </w:r>
      <w:r w:rsidR="005373C4" w:rsidRPr="00CE22C7">
        <w:t xml:space="preserve">City </w:t>
      </w:r>
      <w:r w:rsidR="0069493D" w:rsidRPr="00CE22C7">
        <w:t xml:space="preserve">contracts </w:t>
      </w:r>
      <w:r w:rsidR="005373C4" w:rsidRPr="00CE22C7">
        <w:t>for a range of financial services</w:t>
      </w:r>
      <w:r w:rsidR="00A7712F" w:rsidRPr="00CE22C7">
        <w:t xml:space="preserve"> related </w:t>
      </w:r>
      <w:r w:rsidR="00C90872" w:rsidRPr="00CE22C7">
        <w:t>to</w:t>
      </w:r>
      <w:r w:rsidR="00A7712F" w:rsidRPr="00CE22C7">
        <w:t xml:space="preserve"> the issuance of </w:t>
      </w:r>
      <w:r w:rsidR="00A125B8" w:rsidRPr="00CE22C7">
        <w:t xml:space="preserve">municipal </w:t>
      </w:r>
      <w:r w:rsidR="00A7712F" w:rsidRPr="00CE22C7">
        <w:t xml:space="preserve">debt, </w:t>
      </w:r>
      <w:r w:rsidRPr="00CE22C7">
        <w:t xml:space="preserve">such expenses </w:t>
      </w:r>
      <w:r w:rsidR="005373C4" w:rsidRPr="00CE22C7">
        <w:t xml:space="preserve">are </w:t>
      </w:r>
      <w:r w:rsidR="00C90872" w:rsidRPr="00CE22C7">
        <w:t xml:space="preserve">especially hard to track because </w:t>
      </w:r>
      <w:r w:rsidRPr="00CE22C7">
        <w:t>they are o</w:t>
      </w:r>
      <w:r w:rsidR="00C90872" w:rsidRPr="00CE22C7">
        <w:t xml:space="preserve">ften taken </w:t>
      </w:r>
      <w:r w:rsidR="00D54FEA">
        <w:t xml:space="preserve">from </w:t>
      </w:r>
      <w:r w:rsidR="00A125B8" w:rsidRPr="00CE22C7">
        <w:t xml:space="preserve">bond proceeds rather than reflected </w:t>
      </w:r>
      <w:r w:rsidR="00D45774" w:rsidRPr="00CE22C7">
        <w:t xml:space="preserve">in </w:t>
      </w:r>
      <w:r w:rsidR="005373C4" w:rsidRPr="00CE22C7">
        <w:t xml:space="preserve">registered </w:t>
      </w:r>
      <w:r w:rsidR="00D45774" w:rsidRPr="00CE22C7">
        <w:t xml:space="preserve">contracts. Examples of such fees </w:t>
      </w:r>
      <w:r w:rsidR="00264DEC" w:rsidRPr="00CE22C7">
        <w:t xml:space="preserve">typically </w:t>
      </w:r>
      <w:r w:rsidR="00D45774" w:rsidRPr="00CE22C7">
        <w:t xml:space="preserve">include </w:t>
      </w:r>
      <w:r w:rsidR="0069493D" w:rsidRPr="00CE22C7">
        <w:t xml:space="preserve">underwriter services, financial advisory services, bond counsel, trustee services and trustee counsel, financial printing, bookbinding, bond rating services, issuer expenses, and </w:t>
      </w:r>
      <w:r w:rsidR="00337647">
        <w:t>a mandatory State bond-</w:t>
      </w:r>
      <w:r w:rsidR="0069493D" w:rsidRPr="00CE22C7">
        <w:t>issuance fee on certain debt sale</w:t>
      </w:r>
      <w:r w:rsidR="00370DDA" w:rsidRPr="00CE22C7">
        <w:t>s</w:t>
      </w:r>
      <w:r w:rsidR="0069493D" w:rsidRPr="00CE22C7">
        <w:t>.</w:t>
      </w:r>
      <w:r w:rsidR="0027135D" w:rsidRPr="00CE22C7">
        <w:rPr>
          <w:rStyle w:val="FootnoteReference"/>
        </w:rPr>
        <w:footnoteReference w:id="28"/>
      </w:r>
    </w:p>
    <w:p w14:paraId="0A49D227" w14:textId="4D4B91D6" w:rsidR="009F4F73" w:rsidRPr="00CE22C7" w:rsidRDefault="007F6D1F" w:rsidP="00535303">
      <w:pPr>
        <w:pStyle w:val="ListParagraph"/>
        <w:numPr>
          <w:ilvl w:val="0"/>
          <w:numId w:val="4"/>
        </w:numPr>
        <w:spacing w:line="480" w:lineRule="auto"/>
        <w:rPr>
          <w:i/>
          <w:iCs/>
          <w:color w:val="000000" w:themeColor="text1"/>
        </w:rPr>
      </w:pPr>
      <w:r w:rsidRPr="00CE22C7">
        <w:rPr>
          <w:i/>
          <w:iCs/>
          <w:color w:val="000000" w:themeColor="text1"/>
        </w:rPr>
        <w:t xml:space="preserve">Opaqueness of </w:t>
      </w:r>
      <w:r w:rsidR="003C5333" w:rsidRPr="00CE22C7">
        <w:rPr>
          <w:i/>
          <w:iCs/>
          <w:color w:val="000000" w:themeColor="text1"/>
        </w:rPr>
        <w:t>Financial Terms</w:t>
      </w:r>
    </w:p>
    <w:p w14:paraId="01745A37" w14:textId="7E971355" w:rsidR="001247D4" w:rsidRPr="00CE22C7" w:rsidRDefault="001F3215" w:rsidP="00535303">
      <w:pPr>
        <w:spacing w:line="480" w:lineRule="auto"/>
        <w:ind w:firstLine="720"/>
        <w:jc w:val="both"/>
        <w:rPr>
          <w:color w:val="000000" w:themeColor="text1"/>
        </w:rPr>
      </w:pPr>
      <w:r w:rsidRPr="00CE22C7">
        <w:rPr>
          <w:color w:val="000000" w:themeColor="text1"/>
        </w:rPr>
        <w:t xml:space="preserve">While </w:t>
      </w:r>
      <w:r w:rsidR="001D6C70" w:rsidRPr="00CE22C7">
        <w:rPr>
          <w:color w:val="000000" w:themeColor="text1"/>
        </w:rPr>
        <w:t xml:space="preserve">the </w:t>
      </w:r>
      <w:r w:rsidR="008B4E1E">
        <w:rPr>
          <w:color w:val="000000" w:themeColor="text1"/>
        </w:rPr>
        <w:t xml:space="preserve">City discloses the </w:t>
      </w:r>
      <w:r w:rsidR="001D6C70" w:rsidRPr="00CE22C7">
        <w:rPr>
          <w:color w:val="000000" w:themeColor="text1"/>
        </w:rPr>
        <w:t xml:space="preserve">dollar amounts of </w:t>
      </w:r>
      <w:r w:rsidRPr="00CE22C7">
        <w:rPr>
          <w:color w:val="000000" w:themeColor="text1"/>
        </w:rPr>
        <w:t xml:space="preserve">many of </w:t>
      </w:r>
      <w:r w:rsidR="008B4E1E">
        <w:rPr>
          <w:color w:val="000000" w:themeColor="text1"/>
        </w:rPr>
        <w:t xml:space="preserve">its </w:t>
      </w:r>
      <w:r w:rsidR="00FF1F3A" w:rsidRPr="00CE22C7">
        <w:rPr>
          <w:color w:val="000000" w:themeColor="text1"/>
        </w:rPr>
        <w:t>financial services</w:t>
      </w:r>
      <w:r w:rsidRPr="00CE22C7">
        <w:rPr>
          <w:color w:val="000000" w:themeColor="text1"/>
        </w:rPr>
        <w:t xml:space="preserve"> contract</w:t>
      </w:r>
      <w:r w:rsidR="00FF1F3A" w:rsidRPr="00CE22C7">
        <w:rPr>
          <w:color w:val="000000" w:themeColor="text1"/>
        </w:rPr>
        <w:t>s, t</w:t>
      </w:r>
      <w:r w:rsidR="00FF72A7" w:rsidRPr="00CE22C7">
        <w:rPr>
          <w:color w:val="000000" w:themeColor="text1"/>
        </w:rPr>
        <w:t xml:space="preserve">he </w:t>
      </w:r>
      <w:r w:rsidR="00480C0E" w:rsidRPr="00CE22C7">
        <w:rPr>
          <w:color w:val="000000" w:themeColor="text1"/>
        </w:rPr>
        <w:t xml:space="preserve">terms the City receives on its depository accounts </w:t>
      </w:r>
      <w:r w:rsidR="00B71408" w:rsidRPr="00CE22C7">
        <w:rPr>
          <w:color w:val="000000" w:themeColor="text1"/>
        </w:rPr>
        <w:t xml:space="preserve">and under which it receives </w:t>
      </w:r>
      <w:r w:rsidR="00480C0E" w:rsidRPr="00CE22C7">
        <w:rPr>
          <w:color w:val="000000" w:themeColor="text1"/>
        </w:rPr>
        <w:t>non-depository investments and third-party financial services are</w:t>
      </w:r>
      <w:r w:rsidR="00FF1F3A" w:rsidRPr="00CE22C7">
        <w:rPr>
          <w:color w:val="000000" w:themeColor="text1"/>
        </w:rPr>
        <w:t xml:space="preserve"> largely</w:t>
      </w:r>
      <w:r w:rsidR="00480C0E" w:rsidRPr="00CE22C7">
        <w:rPr>
          <w:color w:val="000000" w:themeColor="text1"/>
        </w:rPr>
        <w:t xml:space="preserve"> </w:t>
      </w:r>
      <w:r w:rsidR="00876EF7" w:rsidRPr="00CE22C7">
        <w:rPr>
          <w:color w:val="000000" w:themeColor="text1"/>
        </w:rPr>
        <w:t>unreported to the Council or the public</w:t>
      </w:r>
      <w:r w:rsidR="008B5E15" w:rsidRPr="00CE22C7">
        <w:rPr>
          <w:color w:val="000000" w:themeColor="text1"/>
        </w:rPr>
        <w:t>.</w:t>
      </w:r>
      <w:r w:rsidR="00876EF7" w:rsidRPr="00CE22C7">
        <w:rPr>
          <w:color w:val="000000" w:themeColor="text1"/>
        </w:rPr>
        <w:t xml:space="preserve"> </w:t>
      </w:r>
      <w:r w:rsidR="00CF5F5B" w:rsidRPr="00CE22C7">
        <w:rPr>
          <w:color w:val="000000" w:themeColor="text1"/>
        </w:rPr>
        <w:t xml:space="preserve">That </w:t>
      </w:r>
      <w:r w:rsidR="004C6BCE" w:rsidRPr="00CE22C7">
        <w:rPr>
          <w:color w:val="000000" w:themeColor="text1"/>
        </w:rPr>
        <w:t>the Banking Commission</w:t>
      </w:r>
      <w:r w:rsidR="003D685D" w:rsidRPr="00CE22C7">
        <w:rPr>
          <w:color w:val="000000" w:themeColor="text1"/>
        </w:rPr>
        <w:t xml:space="preserve"> is required to only designate depository banks that would </w:t>
      </w:r>
      <w:r w:rsidR="00F5675D" w:rsidRPr="00CE22C7">
        <w:rPr>
          <w:color w:val="000000" w:themeColor="text1"/>
        </w:rPr>
        <w:t xml:space="preserve">offer the </w:t>
      </w:r>
      <w:r w:rsidR="002159AE" w:rsidRPr="00CE22C7">
        <w:rPr>
          <w:color w:val="000000" w:themeColor="text1"/>
        </w:rPr>
        <w:t>City equal interest as</w:t>
      </w:r>
      <w:r w:rsidR="00F5675D" w:rsidRPr="00CE22C7">
        <w:rPr>
          <w:color w:val="000000" w:themeColor="text1"/>
        </w:rPr>
        <w:t xml:space="preserve"> </w:t>
      </w:r>
      <w:r w:rsidR="003D685D" w:rsidRPr="00CE22C7">
        <w:rPr>
          <w:color w:val="000000" w:themeColor="text1"/>
        </w:rPr>
        <w:t xml:space="preserve">other </w:t>
      </w:r>
      <w:r w:rsidR="002159AE" w:rsidRPr="00CE22C7">
        <w:rPr>
          <w:color w:val="000000" w:themeColor="text1"/>
        </w:rPr>
        <w:t>private part</w:t>
      </w:r>
      <w:r w:rsidR="003D685D" w:rsidRPr="00CE22C7">
        <w:rPr>
          <w:color w:val="000000" w:themeColor="text1"/>
        </w:rPr>
        <w:t>ies</w:t>
      </w:r>
      <w:r w:rsidR="00AB58DE" w:rsidRPr="00CE22C7">
        <w:rPr>
          <w:color w:val="000000" w:themeColor="text1"/>
        </w:rPr>
        <w:t xml:space="preserve">, </w:t>
      </w:r>
      <w:r w:rsidR="00AA2459" w:rsidRPr="00CE22C7">
        <w:rPr>
          <w:color w:val="000000" w:themeColor="text1"/>
        </w:rPr>
        <w:t xml:space="preserve">does not by itself ensure that the City is getting the best possible deal </w:t>
      </w:r>
      <w:r w:rsidR="003C723D" w:rsidRPr="00CE22C7">
        <w:rPr>
          <w:color w:val="000000" w:themeColor="text1"/>
        </w:rPr>
        <w:t xml:space="preserve">on its </w:t>
      </w:r>
      <w:r w:rsidR="00AA2459" w:rsidRPr="00CE22C7">
        <w:rPr>
          <w:color w:val="000000" w:themeColor="text1"/>
        </w:rPr>
        <w:t>deposi</w:t>
      </w:r>
      <w:r w:rsidR="003C723D" w:rsidRPr="00CE22C7">
        <w:rPr>
          <w:color w:val="000000" w:themeColor="text1"/>
        </w:rPr>
        <w:t>ts</w:t>
      </w:r>
      <w:r w:rsidR="00AA2459" w:rsidRPr="00CE22C7">
        <w:rPr>
          <w:color w:val="000000" w:themeColor="text1"/>
        </w:rPr>
        <w:t xml:space="preserve">. </w:t>
      </w:r>
      <w:r w:rsidR="004C7BBF" w:rsidRPr="00CE22C7">
        <w:rPr>
          <w:color w:val="000000" w:themeColor="text1"/>
        </w:rPr>
        <w:t>Though t</w:t>
      </w:r>
      <w:r w:rsidR="00CA59BC" w:rsidRPr="00CE22C7">
        <w:rPr>
          <w:color w:val="000000" w:themeColor="text1"/>
        </w:rPr>
        <w:t>he Comptroller</w:t>
      </w:r>
      <w:r w:rsidR="004C7BBF" w:rsidRPr="00CE22C7">
        <w:rPr>
          <w:color w:val="000000" w:themeColor="text1"/>
        </w:rPr>
        <w:t>,</w:t>
      </w:r>
      <w:r w:rsidR="0094768A" w:rsidRPr="00CE22C7">
        <w:rPr>
          <w:color w:val="000000" w:themeColor="text1"/>
        </w:rPr>
        <w:t xml:space="preserve"> as the City’s chief fiscal officer, </w:t>
      </w:r>
      <w:r w:rsidR="00036A6C">
        <w:rPr>
          <w:color w:val="000000" w:themeColor="text1"/>
        </w:rPr>
        <w:t xml:space="preserve">serves </w:t>
      </w:r>
      <w:r w:rsidR="00A66C3B" w:rsidRPr="00CE22C7">
        <w:rPr>
          <w:color w:val="000000" w:themeColor="text1"/>
        </w:rPr>
        <w:t xml:space="preserve">as a fiduciary </w:t>
      </w:r>
      <w:r w:rsidR="0030358D" w:rsidRPr="00CE22C7">
        <w:rPr>
          <w:color w:val="000000" w:themeColor="text1"/>
        </w:rPr>
        <w:t xml:space="preserve">of City funds </w:t>
      </w:r>
      <w:r w:rsidR="00A66C3B" w:rsidRPr="00CE22C7">
        <w:rPr>
          <w:color w:val="000000" w:themeColor="text1"/>
        </w:rPr>
        <w:t xml:space="preserve">when </w:t>
      </w:r>
      <w:r w:rsidR="00EB409E" w:rsidRPr="00CE22C7">
        <w:rPr>
          <w:color w:val="000000" w:themeColor="text1"/>
        </w:rPr>
        <w:t>he</w:t>
      </w:r>
      <w:r w:rsidR="00A66C3B" w:rsidRPr="00CE22C7">
        <w:rPr>
          <w:color w:val="000000" w:themeColor="text1"/>
        </w:rPr>
        <w:t xml:space="preserve"> </w:t>
      </w:r>
      <w:r w:rsidR="00EB409E" w:rsidRPr="00CE22C7">
        <w:rPr>
          <w:color w:val="000000" w:themeColor="text1"/>
        </w:rPr>
        <w:t>or she</w:t>
      </w:r>
      <w:r w:rsidR="00A66C3B" w:rsidRPr="00CE22C7">
        <w:rPr>
          <w:color w:val="000000" w:themeColor="text1"/>
        </w:rPr>
        <w:t xml:space="preserve"> directs </w:t>
      </w:r>
      <w:r w:rsidR="002F55B6" w:rsidRPr="00CE22C7">
        <w:rPr>
          <w:color w:val="000000" w:themeColor="text1"/>
        </w:rPr>
        <w:t xml:space="preserve">non-depository </w:t>
      </w:r>
      <w:r w:rsidR="00A66C3B" w:rsidRPr="00CE22C7">
        <w:rPr>
          <w:color w:val="000000" w:themeColor="text1"/>
        </w:rPr>
        <w:t>invest</w:t>
      </w:r>
      <w:r w:rsidR="00EB409E" w:rsidRPr="00CE22C7">
        <w:rPr>
          <w:color w:val="000000" w:themeColor="text1"/>
        </w:rPr>
        <w:t>ment</w:t>
      </w:r>
      <w:r w:rsidR="002F55B6" w:rsidRPr="00CE22C7">
        <w:rPr>
          <w:color w:val="000000" w:themeColor="text1"/>
        </w:rPr>
        <w:t>s</w:t>
      </w:r>
      <w:r w:rsidR="005D5B84" w:rsidRPr="00CE22C7">
        <w:rPr>
          <w:color w:val="000000" w:themeColor="text1"/>
        </w:rPr>
        <w:t>,</w:t>
      </w:r>
      <w:r w:rsidR="008B1905" w:rsidRPr="00CE22C7">
        <w:rPr>
          <w:color w:val="000000" w:themeColor="text1"/>
        </w:rPr>
        <w:t xml:space="preserve"> the Comptroller is not </w:t>
      </w:r>
      <w:r w:rsidR="0030358D" w:rsidRPr="00CE22C7">
        <w:rPr>
          <w:color w:val="000000" w:themeColor="text1"/>
        </w:rPr>
        <w:t xml:space="preserve">subject to any more </w:t>
      </w:r>
      <w:r w:rsidR="002159AE" w:rsidRPr="00CE22C7">
        <w:rPr>
          <w:color w:val="000000" w:themeColor="text1"/>
        </w:rPr>
        <w:t>specific standards</w:t>
      </w:r>
      <w:r w:rsidR="0030358D" w:rsidRPr="00CE22C7">
        <w:rPr>
          <w:color w:val="000000" w:themeColor="text1"/>
        </w:rPr>
        <w:t>.</w:t>
      </w:r>
      <w:r w:rsidR="00036A6C">
        <w:rPr>
          <w:rStyle w:val="FootnoteReference"/>
          <w:color w:val="000000" w:themeColor="text1"/>
        </w:rPr>
        <w:footnoteReference w:id="29"/>
      </w:r>
      <w:r w:rsidR="00876EF7" w:rsidRPr="00CE22C7">
        <w:rPr>
          <w:color w:val="000000" w:themeColor="text1"/>
        </w:rPr>
        <w:t xml:space="preserve"> </w:t>
      </w:r>
      <w:r w:rsidR="00C50CFA" w:rsidRPr="00CE22C7">
        <w:rPr>
          <w:color w:val="000000" w:themeColor="text1"/>
        </w:rPr>
        <w:t>S</w:t>
      </w:r>
      <w:r w:rsidR="00813FB5" w:rsidRPr="00CE22C7">
        <w:rPr>
          <w:color w:val="000000" w:themeColor="text1"/>
        </w:rPr>
        <w:t xml:space="preserve">tate </w:t>
      </w:r>
      <w:r w:rsidR="00CC2961" w:rsidRPr="00CE22C7">
        <w:rPr>
          <w:color w:val="000000" w:themeColor="text1"/>
        </w:rPr>
        <w:t xml:space="preserve">law </w:t>
      </w:r>
      <w:r w:rsidR="00191F75" w:rsidRPr="00CE22C7">
        <w:rPr>
          <w:color w:val="000000" w:themeColor="text1"/>
        </w:rPr>
        <w:t>requirement</w:t>
      </w:r>
      <w:r w:rsidR="00C50CFA" w:rsidRPr="00CE22C7">
        <w:rPr>
          <w:color w:val="000000" w:themeColor="text1"/>
        </w:rPr>
        <w:t>s</w:t>
      </w:r>
      <w:r w:rsidR="00CC2961" w:rsidRPr="00CE22C7">
        <w:rPr>
          <w:color w:val="000000" w:themeColor="text1"/>
        </w:rPr>
        <w:t xml:space="preserve"> for competitive and </w:t>
      </w:r>
      <w:r w:rsidR="001247D4" w:rsidRPr="00CE22C7">
        <w:rPr>
          <w:color w:val="000000" w:themeColor="text1"/>
        </w:rPr>
        <w:t>“</w:t>
      </w:r>
      <w:r w:rsidR="00CC2961" w:rsidRPr="00CE22C7">
        <w:rPr>
          <w:color w:val="000000" w:themeColor="text1"/>
        </w:rPr>
        <w:t>best value</w:t>
      </w:r>
      <w:r w:rsidR="001247D4" w:rsidRPr="00CE22C7">
        <w:rPr>
          <w:color w:val="000000" w:themeColor="text1"/>
        </w:rPr>
        <w:t>”</w:t>
      </w:r>
      <w:r w:rsidR="00CC2961" w:rsidRPr="00CE22C7">
        <w:rPr>
          <w:color w:val="000000" w:themeColor="text1"/>
        </w:rPr>
        <w:t xml:space="preserve"> bidding </w:t>
      </w:r>
      <w:r w:rsidR="00191F75" w:rsidRPr="00CE22C7">
        <w:rPr>
          <w:color w:val="000000" w:themeColor="text1"/>
        </w:rPr>
        <w:t xml:space="preserve">on contracts, </w:t>
      </w:r>
      <w:r w:rsidR="001247D4" w:rsidRPr="00CE22C7">
        <w:rPr>
          <w:color w:val="000000" w:themeColor="text1"/>
        </w:rPr>
        <w:t xml:space="preserve">along with </w:t>
      </w:r>
      <w:r w:rsidR="00937FCD" w:rsidRPr="00CE22C7">
        <w:rPr>
          <w:color w:val="000000" w:themeColor="text1"/>
        </w:rPr>
        <w:t>the City’s Procurement Policy Board</w:t>
      </w:r>
      <w:r w:rsidR="001247D4" w:rsidRPr="00CE22C7">
        <w:rPr>
          <w:color w:val="000000" w:themeColor="text1"/>
        </w:rPr>
        <w:t xml:space="preserve"> </w:t>
      </w:r>
      <w:r w:rsidR="00937FCD" w:rsidRPr="00CE22C7">
        <w:rPr>
          <w:color w:val="000000" w:themeColor="text1"/>
        </w:rPr>
        <w:t>rules</w:t>
      </w:r>
      <w:r w:rsidR="00C50CFA" w:rsidRPr="00CE22C7">
        <w:rPr>
          <w:color w:val="000000" w:themeColor="text1"/>
        </w:rPr>
        <w:t xml:space="preserve"> </w:t>
      </w:r>
      <w:r w:rsidR="008C48F9" w:rsidRPr="00CE22C7">
        <w:rPr>
          <w:color w:val="000000" w:themeColor="text1"/>
        </w:rPr>
        <w:t>and Comptroller oversight</w:t>
      </w:r>
      <w:r w:rsidR="009513E1" w:rsidRPr="00CE22C7">
        <w:rPr>
          <w:color w:val="000000" w:themeColor="text1"/>
        </w:rPr>
        <w:t xml:space="preserve"> </w:t>
      </w:r>
      <w:r w:rsidR="00C50CFA" w:rsidRPr="00CE22C7">
        <w:rPr>
          <w:color w:val="000000" w:themeColor="text1"/>
        </w:rPr>
        <w:t>help to reassure</w:t>
      </w:r>
      <w:r w:rsidR="00A50559" w:rsidRPr="00CE22C7">
        <w:rPr>
          <w:color w:val="000000" w:themeColor="text1"/>
        </w:rPr>
        <w:t xml:space="preserve"> taxpayers that </w:t>
      </w:r>
      <w:r w:rsidR="00793E15" w:rsidRPr="00CE22C7">
        <w:rPr>
          <w:color w:val="000000" w:themeColor="text1"/>
        </w:rPr>
        <w:t xml:space="preserve">municipal </w:t>
      </w:r>
      <w:r w:rsidR="00AF724C" w:rsidRPr="00CE22C7">
        <w:rPr>
          <w:color w:val="000000" w:themeColor="text1"/>
        </w:rPr>
        <w:t xml:space="preserve">purchasing </w:t>
      </w:r>
      <w:r w:rsidR="00CD21F6" w:rsidRPr="00CE22C7">
        <w:rPr>
          <w:color w:val="000000" w:themeColor="text1"/>
        </w:rPr>
        <w:t>of</w:t>
      </w:r>
      <w:r w:rsidR="00AD18C3" w:rsidRPr="00CE22C7">
        <w:rPr>
          <w:color w:val="000000" w:themeColor="text1"/>
        </w:rPr>
        <w:t xml:space="preserve"> </w:t>
      </w:r>
      <w:r w:rsidR="00CD21F6" w:rsidRPr="00CE22C7">
        <w:rPr>
          <w:color w:val="000000" w:themeColor="text1"/>
        </w:rPr>
        <w:t>services</w:t>
      </w:r>
      <w:r w:rsidR="00C50CFA" w:rsidRPr="00CE22C7">
        <w:rPr>
          <w:color w:val="000000" w:themeColor="text1"/>
        </w:rPr>
        <w:t>,</w:t>
      </w:r>
      <w:r w:rsidR="00CD21F6" w:rsidRPr="00CE22C7">
        <w:rPr>
          <w:color w:val="000000" w:themeColor="text1"/>
        </w:rPr>
        <w:t xml:space="preserve"> including financial services</w:t>
      </w:r>
      <w:r w:rsidR="00C50CFA" w:rsidRPr="00CE22C7">
        <w:rPr>
          <w:color w:val="000000" w:themeColor="text1"/>
        </w:rPr>
        <w:t>,</w:t>
      </w:r>
      <w:r w:rsidR="00CD21F6" w:rsidRPr="00CE22C7">
        <w:rPr>
          <w:color w:val="000000" w:themeColor="text1"/>
        </w:rPr>
        <w:t xml:space="preserve"> are </w:t>
      </w:r>
      <w:r w:rsidR="0021262F" w:rsidRPr="00CE22C7">
        <w:rPr>
          <w:color w:val="000000" w:themeColor="text1"/>
        </w:rPr>
        <w:t>not</w:t>
      </w:r>
      <w:r w:rsidR="00CD21F6" w:rsidRPr="00CE22C7">
        <w:rPr>
          <w:color w:val="000000" w:themeColor="text1"/>
        </w:rPr>
        <w:t xml:space="preserve"> waste</w:t>
      </w:r>
      <w:r w:rsidR="0021262F" w:rsidRPr="00CE22C7">
        <w:rPr>
          <w:color w:val="000000" w:themeColor="text1"/>
        </w:rPr>
        <w:t>ful</w:t>
      </w:r>
      <w:r w:rsidR="00C50CFA" w:rsidRPr="00CE22C7">
        <w:rPr>
          <w:color w:val="000000" w:themeColor="text1"/>
        </w:rPr>
        <w:t>.</w:t>
      </w:r>
      <w:r w:rsidR="00036A6C" w:rsidRPr="00CE22C7">
        <w:rPr>
          <w:rStyle w:val="FootnoteReference"/>
          <w:color w:val="000000" w:themeColor="text1"/>
        </w:rPr>
        <w:footnoteReference w:id="30"/>
      </w:r>
      <w:r w:rsidR="00C50CFA" w:rsidRPr="00CE22C7">
        <w:rPr>
          <w:color w:val="000000" w:themeColor="text1"/>
        </w:rPr>
        <w:t xml:space="preserve"> However, the </w:t>
      </w:r>
      <w:r w:rsidR="008318BC" w:rsidRPr="00CE22C7">
        <w:rPr>
          <w:color w:val="000000" w:themeColor="text1"/>
        </w:rPr>
        <w:t xml:space="preserve">Council is unable to </w:t>
      </w:r>
      <w:r w:rsidR="00283189" w:rsidRPr="00CE22C7">
        <w:rPr>
          <w:color w:val="000000" w:themeColor="text1"/>
        </w:rPr>
        <w:t xml:space="preserve">inform itself or </w:t>
      </w:r>
      <w:r w:rsidR="008318BC" w:rsidRPr="00CE22C7">
        <w:rPr>
          <w:color w:val="000000" w:themeColor="text1"/>
        </w:rPr>
        <w:t xml:space="preserve">provide any </w:t>
      </w:r>
      <w:r w:rsidR="003E4B5A" w:rsidRPr="00CE22C7">
        <w:rPr>
          <w:color w:val="000000" w:themeColor="text1"/>
        </w:rPr>
        <w:t xml:space="preserve">meaningful </w:t>
      </w:r>
      <w:r w:rsidR="008318BC" w:rsidRPr="00CE22C7">
        <w:rPr>
          <w:color w:val="000000" w:themeColor="text1"/>
        </w:rPr>
        <w:t>oversight of these activities</w:t>
      </w:r>
      <w:r w:rsidR="00283189" w:rsidRPr="00CE22C7">
        <w:rPr>
          <w:color w:val="000000" w:themeColor="text1"/>
        </w:rPr>
        <w:t xml:space="preserve"> </w:t>
      </w:r>
      <w:r w:rsidR="008318BC" w:rsidRPr="00CE22C7">
        <w:rPr>
          <w:color w:val="000000" w:themeColor="text1"/>
        </w:rPr>
        <w:t xml:space="preserve">because of </w:t>
      </w:r>
      <w:r w:rsidR="00283189" w:rsidRPr="00CE22C7">
        <w:rPr>
          <w:color w:val="000000" w:themeColor="text1"/>
        </w:rPr>
        <w:t>the reporting deficiencies.</w:t>
      </w:r>
      <w:r w:rsidR="008318BC" w:rsidRPr="00CE22C7">
        <w:rPr>
          <w:color w:val="000000" w:themeColor="text1"/>
        </w:rPr>
        <w:t xml:space="preserve"> </w:t>
      </w:r>
    </w:p>
    <w:p w14:paraId="53E0A8B0" w14:textId="0B87E8D3" w:rsidR="00042565" w:rsidRPr="00CE22C7" w:rsidRDefault="00042565" w:rsidP="004C7BBF">
      <w:pPr>
        <w:spacing w:line="480" w:lineRule="auto"/>
        <w:ind w:firstLine="720"/>
        <w:jc w:val="both"/>
        <w:rPr>
          <w:color w:val="000000" w:themeColor="text1"/>
        </w:rPr>
      </w:pPr>
      <w:r w:rsidRPr="00CE22C7">
        <w:t xml:space="preserve">The absence of robust reporting on these arrangements is </w:t>
      </w:r>
      <w:r w:rsidR="00036A6C">
        <w:t xml:space="preserve">in </w:t>
      </w:r>
      <w:r w:rsidRPr="00CE22C7">
        <w:t>contrast</w:t>
      </w:r>
      <w:r w:rsidR="00036A6C">
        <w:t xml:space="preserve"> to </w:t>
      </w:r>
      <w:r w:rsidRPr="00CE22C7">
        <w:rPr>
          <w:color w:val="000000" w:themeColor="text1"/>
        </w:rPr>
        <w:t xml:space="preserve">robust quarterly reporting </w:t>
      </w:r>
      <w:r w:rsidR="0021262F" w:rsidRPr="00CE22C7">
        <w:rPr>
          <w:color w:val="000000" w:themeColor="text1"/>
        </w:rPr>
        <w:t>on the</w:t>
      </w:r>
      <w:r w:rsidRPr="00CE22C7">
        <w:rPr>
          <w:color w:val="000000" w:themeColor="text1"/>
        </w:rPr>
        <w:t xml:space="preserve"> City</w:t>
      </w:r>
      <w:r w:rsidR="0021262F" w:rsidRPr="00CE22C7">
        <w:rPr>
          <w:color w:val="000000" w:themeColor="text1"/>
        </w:rPr>
        <w:t>’s</w:t>
      </w:r>
      <w:r w:rsidRPr="00CE22C7">
        <w:rPr>
          <w:color w:val="000000" w:themeColor="text1"/>
        </w:rPr>
        <w:t xml:space="preserve"> pensions. For example, the New York City Employees’ Retirement System (NYCERS) quarterly report includes all the top-line basic info on the pension fund, including the number of active employees, portfolio allocation, asset performance and basic returns analysis, and further includes a breakdown of the investment fees incurred in the reporting period, disaggregated by asset class.</w:t>
      </w:r>
      <w:r w:rsidR="003E368D" w:rsidRPr="00CE22C7">
        <w:rPr>
          <w:rStyle w:val="FootnoteReference"/>
          <w:color w:val="000000" w:themeColor="text1"/>
        </w:rPr>
        <w:footnoteReference w:id="31"/>
      </w:r>
      <w:r w:rsidRPr="00CE22C7">
        <w:rPr>
          <w:color w:val="000000" w:themeColor="text1"/>
        </w:rPr>
        <w:t xml:space="preserve"> At the hearing, the Council hopes to learn whether similar reporting on the City’s use of depository and non-depository services is feasible, as well.</w:t>
      </w:r>
    </w:p>
    <w:p w14:paraId="7EAA7570" w14:textId="79476EB0" w:rsidR="00352C56" w:rsidRPr="00CE22C7" w:rsidRDefault="003A0A30" w:rsidP="009B0385">
      <w:pPr>
        <w:pStyle w:val="ListParagraph"/>
        <w:numPr>
          <w:ilvl w:val="0"/>
          <w:numId w:val="1"/>
        </w:numPr>
        <w:spacing w:line="480" w:lineRule="auto"/>
        <w:rPr>
          <w:b/>
          <w:color w:val="000000" w:themeColor="text1"/>
        </w:rPr>
      </w:pPr>
      <w:r w:rsidRPr="00CE22C7">
        <w:rPr>
          <w:b/>
          <w:color w:val="000000" w:themeColor="text1"/>
        </w:rPr>
        <w:t xml:space="preserve">Would a </w:t>
      </w:r>
      <w:r w:rsidR="00664A2F" w:rsidRPr="00CE22C7">
        <w:rPr>
          <w:b/>
          <w:color w:val="000000" w:themeColor="text1"/>
        </w:rPr>
        <w:t xml:space="preserve">Public Bank </w:t>
      </w:r>
      <w:r w:rsidRPr="00CE22C7">
        <w:rPr>
          <w:b/>
          <w:color w:val="000000" w:themeColor="text1"/>
        </w:rPr>
        <w:t>Help?</w:t>
      </w:r>
    </w:p>
    <w:p w14:paraId="16C591CB" w14:textId="158BF993" w:rsidR="00185D43" w:rsidRPr="00CE22C7" w:rsidRDefault="00352C56" w:rsidP="00EF698F">
      <w:pPr>
        <w:widowControl w:val="0"/>
        <w:spacing w:line="480" w:lineRule="auto"/>
        <w:ind w:firstLine="720"/>
        <w:jc w:val="both"/>
        <w:rPr>
          <w:color w:val="000000" w:themeColor="text1"/>
        </w:rPr>
      </w:pPr>
      <w:r w:rsidRPr="00CE22C7">
        <w:rPr>
          <w:color w:val="000000" w:themeColor="text1"/>
        </w:rPr>
        <w:t xml:space="preserve">The City </w:t>
      </w:r>
      <w:r w:rsidR="00582C92" w:rsidRPr="00CE22C7">
        <w:rPr>
          <w:color w:val="000000" w:themeColor="text1"/>
        </w:rPr>
        <w:t xml:space="preserve">relies on the </w:t>
      </w:r>
      <w:r w:rsidR="00623BF5" w:rsidRPr="00CE22C7">
        <w:rPr>
          <w:color w:val="000000" w:themeColor="text1"/>
        </w:rPr>
        <w:t>types of</w:t>
      </w:r>
      <w:r w:rsidR="00D9760B" w:rsidRPr="00CE22C7">
        <w:rPr>
          <w:color w:val="000000" w:themeColor="text1"/>
        </w:rPr>
        <w:t xml:space="preserve"> </w:t>
      </w:r>
      <w:r w:rsidR="003B3599" w:rsidRPr="00CE22C7">
        <w:rPr>
          <w:color w:val="000000" w:themeColor="text1"/>
        </w:rPr>
        <w:t>financial services</w:t>
      </w:r>
      <w:r w:rsidR="00582C92" w:rsidRPr="00CE22C7">
        <w:rPr>
          <w:color w:val="000000" w:themeColor="text1"/>
        </w:rPr>
        <w:t xml:space="preserve"> </w:t>
      </w:r>
      <w:r w:rsidR="005F5E80" w:rsidRPr="00CE22C7">
        <w:rPr>
          <w:color w:val="000000" w:themeColor="text1"/>
        </w:rPr>
        <w:t>arrangements described above</w:t>
      </w:r>
      <w:r w:rsidR="00582C92" w:rsidRPr="00CE22C7">
        <w:rPr>
          <w:color w:val="000000" w:themeColor="text1"/>
        </w:rPr>
        <w:t xml:space="preserve"> in part because it </w:t>
      </w:r>
      <w:r w:rsidRPr="00CE22C7">
        <w:rPr>
          <w:color w:val="000000" w:themeColor="text1"/>
        </w:rPr>
        <w:t xml:space="preserve">does not have the legal authority to </w:t>
      </w:r>
      <w:r w:rsidR="00D9760B" w:rsidRPr="00CE22C7">
        <w:rPr>
          <w:color w:val="000000" w:themeColor="text1"/>
        </w:rPr>
        <w:t>deposit</w:t>
      </w:r>
      <w:r w:rsidR="00582C92" w:rsidRPr="00CE22C7">
        <w:rPr>
          <w:color w:val="000000" w:themeColor="text1"/>
        </w:rPr>
        <w:t xml:space="preserve"> its surplus cash in a </w:t>
      </w:r>
      <w:r w:rsidR="003B3599" w:rsidRPr="00CE22C7">
        <w:rPr>
          <w:color w:val="000000" w:themeColor="text1"/>
        </w:rPr>
        <w:t>bank under its direct control</w:t>
      </w:r>
      <w:r w:rsidR="00D9760B" w:rsidRPr="00CE22C7">
        <w:rPr>
          <w:color w:val="000000" w:themeColor="text1"/>
        </w:rPr>
        <w:t xml:space="preserve">, </w:t>
      </w:r>
      <w:r w:rsidR="006662E3" w:rsidRPr="00CE22C7">
        <w:rPr>
          <w:color w:val="000000" w:themeColor="text1"/>
        </w:rPr>
        <w:t xml:space="preserve">or </w:t>
      </w:r>
      <w:r w:rsidR="00D9760B" w:rsidRPr="00CE22C7">
        <w:rPr>
          <w:color w:val="000000" w:themeColor="text1"/>
        </w:rPr>
        <w:t xml:space="preserve">to invest its funds </w:t>
      </w:r>
      <w:r w:rsidR="00E652D4" w:rsidRPr="00CE22C7">
        <w:rPr>
          <w:color w:val="000000" w:themeColor="text1"/>
        </w:rPr>
        <w:t>outside of State law limitations</w:t>
      </w:r>
      <w:r w:rsidR="00835427" w:rsidRPr="00CE22C7">
        <w:rPr>
          <w:color w:val="000000" w:themeColor="text1"/>
        </w:rPr>
        <w:t xml:space="preserve"> on such investments.</w:t>
      </w:r>
      <w:r w:rsidR="00835427" w:rsidRPr="00CE22C7">
        <w:rPr>
          <w:rStyle w:val="FootnoteReference"/>
          <w:color w:val="000000" w:themeColor="text1"/>
        </w:rPr>
        <w:footnoteReference w:id="32"/>
      </w:r>
      <w:r w:rsidR="00835427" w:rsidRPr="00CE22C7">
        <w:rPr>
          <w:color w:val="000000" w:themeColor="text1"/>
        </w:rPr>
        <w:t xml:space="preserve"> Moreover, the City does not currently have </w:t>
      </w:r>
      <w:r w:rsidR="006662E3" w:rsidRPr="00CE22C7">
        <w:rPr>
          <w:color w:val="000000" w:themeColor="text1"/>
        </w:rPr>
        <w:t xml:space="preserve">the </w:t>
      </w:r>
      <w:r w:rsidR="009F26D8" w:rsidRPr="00CE22C7">
        <w:rPr>
          <w:color w:val="000000" w:themeColor="text1"/>
        </w:rPr>
        <w:t>internal</w:t>
      </w:r>
      <w:r w:rsidR="006662E3" w:rsidRPr="00CE22C7">
        <w:rPr>
          <w:color w:val="000000" w:themeColor="text1"/>
        </w:rPr>
        <w:t xml:space="preserve"> </w:t>
      </w:r>
      <w:r w:rsidR="00D24F7E" w:rsidRPr="00CE22C7">
        <w:rPr>
          <w:color w:val="000000" w:themeColor="text1"/>
        </w:rPr>
        <w:t xml:space="preserve">capacity to </w:t>
      </w:r>
      <w:r w:rsidR="00185D43" w:rsidRPr="00CE22C7">
        <w:rPr>
          <w:color w:val="000000" w:themeColor="text1"/>
        </w:rPr>
        <w:t xml:space="preserve">self-direct some of its </w:t>
      </w:r>
      <w:r w:rsidR="009B0385" w:rsidRPr="00CE22C7">
        <w:rPr>
          <w:color w:val="000000" w:themeColor="text1"/>
        </w:rPr>
        <w:t xml:space="preserve">critical </w:t>
      </w:r>
      <w:r w:rsidR="00185D43" w:rsidRPr="00CE22C7">
        <w:rPr>
          <w:color w:val="000000" w:themeColor="text1"/>
        </w:rPr>
        <w:t>financial activities like bond issuance</w:t>
      </w:r>
      <w:r w:rsidR="009B0385" w:rsidRPr="00CE22C7">
        <w:rPr>
          <w:color w:val="000000" w:themeColor="text1"/>
        </w:rPr>
        <w:t>.</w:t>
      </w:r>
      <w:r w:rsidR="00066708" w:rsidRPr="00CE22C7">
        <w:rPr>
          <w:color w:val="000000" w:themeColor="text1"/>
        </w:rPr>
        <w:t xml:space="preserve"> </w:t>
      </w:r>
      <w:r w:rsidR="00600F3E" w:rsidRPr="00CE22C7">
        <w:rPr>
          <w:color w:val="000000" w:themeColor="text1"/>
        </w:rPr>
        <w:t xml:space="preserve">These opaque arrangements </w:t>
      </w:r>
      <w:r w:rsidR="00D55F48">
        <w:rPr>
          <w:color w:val="000000" w:themeColor="text1"/>
        </w:rPr>
        <w:t xml:space="preserve">invite </w:t>
      </w:r>
      <w:r w:rsidR="00600F3E" w:rsidRPr="00CE22C7">
        <w:rPr>
          <w:color w:val="000000" w:themeColor="text1"/>
        </w:rPr>
        <w:t xml:space="preserve">the question of whether the City is getting a good deal as a customer for these critical financial services, or if other approaches or arrangements could result in better outcomes. </w:t>
      </w:r>
      <w:r w:rsidR="00D55F48">
        <w:rPr>
          <w:color w:val="000000" w:themeColor="text1"/>
        </w:rPr>
        <w:t>Recent turmoil in the banking sector</w:t>
      </w:r>
      <w:r w:rsidR="00A21663">
        <w:rPr>
          <w:color w:val="000000" w:themeColor="text1"/>
        </w:rPr>
        <w:t xml:space="preserve"> of </w:t>
      </w:r>
      <w:r w:rsidR="00D55F48">
        <w:rPr>
          <w:color w:val="000000" w:themeColor="text1"/>
        </w:rPr>
        <w:t>bank failures and s</w:t>
      </w:r>
      <w:r w:rsidR="00A21663">
        <w:rPr>
          <w:color w:val="000000" w:themeColor="text1"/>
        </w:rPr>
        <w:t xml:space="preserve">ubsequent federal receivership invites its own questions as to the security of City assets on deposit in private banks.  </w:t>
      </w:r>
      <w:r w:rsidR="00DA55F8">
        <w:rPr>
          <w:color w:val="000000" w:themeColor="text1"/>
        </w:rPr>
        <w:t xml:space="preserve">An </w:t>
      </w:r>
      <w:r w:rsidR="00185D43" w:rsidRPr="00CE22C7">
        <w:rPr>
          <w:color w:val="000000" w:themeColor="text1"/>
        </w:rPr>
        <w:t xml:space="preserve">alternative model </w:t>
      </w:r>
      <w:r w:rsidR="00DA55F8">
        <w:rPr>
          <w:color w:val="000000" w:themeColor="text1"/>
        </w:rPr>
        <w:t xml:space="preserve">proposed to better </w:t>
      </w:r>
      <w:r w:rsidR="00185D43" w:rsidRPr="00CE22C7">
        <w:rPr>
          <w:color w:val="000000" w:themeColor="text1"/>
        </w:rPr>
        <w:t xml:space="preserve">serve the City’s interest </w:t>
      </w:r>
      <w:r w:rsidR="00DA55F8">
        <w:rPr>
          <w:color w:val="000000" w:themeColor="text1"/>
        </w:rPr>
        <w:t xml:space="preserve">is </w:t>
      </w:r>
      <w:r w:rsidR="002E5159" w:rsidRPr="00CE22C7">
        <w:rPr>
          <w:color w:val="000000" w:themeColor="text1"/>
        </w:rPr>
        <w:t xml:space="preserve">if the </w:t>
      </w:r>
      <w:r w:rsidR="00D13DA8" w:rsidRPr="00CE22C7">
        <w:rPr>
          <w:color w:val="000000" w:themeColor="text1"/>
        </w:rPr>
        <w:t>C</w:t>
      </w:r>
      <w:r w:rsidR="002E5159" w:rsidRPr="00CE22C7">
        <w:rPr>
          <w:color w:val="000000" w:themeColor="text1"/>
        </w:rPr>
        <w:t xml:space="preserve">ity </w:t>
      </w:r>
      <w:r w:rsidR="00A21663">
        <w:rPr>
          <w:color w:val="000000" w:themeColor="text1"/>
        </w:rPr>
        <w:t xml:space="preserve">had authority </w:t>
      </w:r>
      <w:r w:rsidR="002E5159" w:rsidRPr="00CE22C7">
        <w:rPr>
          <w:color w:val="000000" w:themeColor="text1"/>
        </w:rPr>
        <w:t>to charter</w:t>
      </w:r>
      <w:r w:rsidR="0058434B" w:rsidRPr="00CE22C7">
        <w:rPr>
          <w:color w:val="000000" w:themeColor="text1"/>
        </w:rPr>
        <w:t xml:space="preserve"> a public bank</w:t>
      </w:r>
      <w:r w:rsidR="00A21663">
        <w:rPr>
          <w:color w:val="000000" w:themeColor="text1"/>
        </w:rPr>
        <w:t xml:space="preserve"> </w:t>
      </w:r>
      <w:r w:rsidR="001037AD" w:rsidRPr="00CE22C7">
        <w:rPr>
          <w:color w:val="000000" w:themeColor="text1"/>
        </w:rPr>
        <w:t xml:space="preserve">to service its own financial needs while also leveraging its surplus funds to </w:t>
      </w:r>
      <w:r w:rsidR="00A21663">
        <w:rPr>
          <w:color w:val="000000" w:themeColor="text1"/>
        </w:rPr>
        <w:t xml:space="preserve">support </w:t>
      </w:r>
      <w:r w:rsidR="001037AD" w:rsidRPr="00CE22C7">
        <w:rPr>
          <w:color w:val="000000" w:themeColor="text1"/>
        </w:rPr>
        <w:t>various social benefits</w:t>
      </w:r>
      <w:r w:rsidR="0058434B" w:rsidRPr="00CE22C7">
        <w:rPr>
          <w:color w:val="000000" w:themeColor="text1"/>
        </w:rPr>
        <w:t>.</w:t>
      </w:r>
    </w:p>
    <w:p w14:paraId="1A71BC5D" w14:textId="5870414D" w:rsidR="00686B7E" w:rsidRPr="00CE22C7" w:rsidRDefault="00686B7E" w:rsidP="00CE22C7">
      <w:pPr>
        <w:pStyle w:val="ListParagraph"/>
        <w:widowControl w:val="0"/>
        <w:numPr>
          <w:ilvl w:val="0"/>
          <w:numId w:val="16"/>
        </w:numPr>
        <w:spacing w:line="480" w:lineRule="auto"/>
        <w:ind w:left="1440"/>
        <w:jc w:val="both"/>
        <w:rPr>
          <w:i/>
          <w:iCs/>
          <w:color w:val="000000" w:themeColor="text1"/>
        </w:rPr>
      </w:pPr>
      <w:r w:rsidRPr="00CE22C7">
        <w:rPr>
          <w:i/>
          <w:iCs/>
          <w:color w:val="000000" w:themeColor="text1"/>
        </w:rPr>
        <w:t xml:space="preserve">Public Banking and </w:t>
      </w:r>
      <w:r w:rsidR="00915D73" w:rsidRPr="00CE22C7">
        <w:rPr>
          <w:i/>
          <w:iCs/>
          <w:color w:val="000000" w:themeColor="text1"/>
        </w:rPr>
        <w:t xml:space="preserve">the </w:t>
      </w:r>
      <w:r w:rsidRPr="00CE22C7">
        <w:rPr>
          <w:i/>
          <w:iCs/>
          <w:color w:val="000000" w:themeColor="text1"/>
        </w:rPr>
        <w:t>Bank of North Dakota</w:t>
      </w:r>
    </w:p>
    <w:p w14:paraId="020B9939" w14:textId="06460EC1" w:rsidR="00595DBC" w:rsidRPr="00CE22C7" w:rsidRDefault="00D8609F" w:rsidP="00EF698F">
      <w:pPr>
        <w:widowControl w:val="0"/>
        <w:spacing w:line="480" w:lineRule="auto"/>
        <w:ind w:firstLine="720"/>
        <w:jc w:val="both"/>
        <w:rPr>
          <w:color w:val="000000" w:themeColor="text1"/>
        </w:rPr>
      </w:pPr>
      <w:r w:rsidRPr="00CE22C7">
        <w:rPr>
          <w:color w:val="000000" w:themeColor="text1"/>
        </w:rPr>
        <w:t>Public banking is</w:t>
      </w:r>
      <w:r w:rsidR="0058434B" w:rsidRPr="00CE22C7">
        <w:rPr>
          <w:color w:val="000000" w:themeColor="text1"/>
        </w:rPr>
        <w:t xml:space="preserve"> </w:t>
      </w:r>
      <w:r w:rsidR="00F117C5" w:rsidRPr="00CE22C7">
        <w:rPr>
          <w:color w:val="000000" w:themeColor="text1"/>
        </w:rPr>
        <w:t xml:space="preserve">far from a </w:t>
      </w:r>
      <w:r w:rsidR="0058434B" w:rsidRPr="00CE22C7">
        <w:rPr>
          <w:color w:val="000000" w:themeColor="text1"/>
        </w:rPr>
        <w:t xml:space="preserve">new idea. </w:t>
      </w:r>
      <w:r w:rsidR="00AB2B02" w:rsidRPr="00CE22C7">
        <w:rPr>
          <w:color w:val="000000" w:themeColor="text1"/>
        </w:rPr>
        <w:t>During</w:t>
      </w:r>
      <w:r w:rsidR="00F117C5" w:rsidRPr="00CE22C7">
        <w:rPr>
          <w:color w:val="000000" w:themeColor="text1"/>
        </w:rPr>
        <w:t xml:space="preserve"> p</w:t>
      </w:r>
      <w:r w:rsidR="008E059B" w:rsidRPr="00CE22C7">
        <w:rPr>
          <w:color w:val="000000" w:themeColor="text1"/>
        </w:rPr>
        <w:t>re-revolution</w:t>
      </w:r>
      <w:r w:rsidR="00F117C5" w:rsidRPr="00CE22C7">
        <w:rPr>
          <w:color w:val="000000" w:themeColor="text1"/>
        </w:rPr>
        <w:t xml:space="preserve">ary times, </w:t>
      </w:r>
      <w:r w:rsidR="00CB320D" w:rsidRPr="00CE22C7">
        <w:rPr>
          <w:color w:val="000000" w:themeColor="text1"/>
        </w:rPr>
        <w:t xml:space="preserve">the only banks </w:t>
      </w:r>
      <w:r w:rsidR="00AB2B02" w:rsidRPr="00CE22C7">
        <w:rPr>
          <w:color w:val="000000" w:themeColor="text1"/>
        </w:rPr>
        <w:t xml:space="preserve">in what later became the United States of America </w:t>
      </w:r>
      <w:r w:rsidR="00CB320D" w:rsidRPr="00CE22C7">
        <w:rPr>
          <w:color w:val="000000" w:themeColor="text1"/>
        </w:rPr>
        <w:t>were public banks. C</w:t>
      </w:r>
      <w:r w:rsidR="00B17A92" w:rsidRPr="00CE22C7">
        <w:rPr>
          <w:color w:val="000000" w:themeColor="text1"/>
        </w:rPr>
        <w:t xml:space="preserve">olonial governments legislated </w:t>
      </w:r>
      <w:r w:rsidR="00AD6468" w:rsidRPr="00CE22C7">
        <w:rPr>
          <w:color w:val="000000" w:themeColor="text1"/>
        </w:rPr>
        <w:t xml:space="preserve">the </w:t>
      </w:r>
      <w:r w:rsidR="00B062DC" w:rsidRPr="00CE22C7">
        <w:rPr>
          <w:color w:val="000000" w:themeColor="text1"/>
        </w:rPr>
        <w:t>printing of money</w:t>
      </w:r>
      <w:r w:rsidR="0040229A" w:rsidRPr="00CE22C7">
        <w:rPr>
          <w:color w:val="000000" w:themeColor="text1"/>
        </w:rPr>
        <w:t xml:space="preserve"> and distributed </w:t>
      </w:r>
      <w:r w:rsidR="009E76BC" w:rsidRPr="00CE22C7">
        <w:rPr>
          <w:color w:val="000000" w:themeColor="text1"/>
        </w:rPr>
        <w:t xml:space="preserve">a portion of that money </w:t>
      </w:r>
      <w:r w:rsidR="00E17035" w:rsidRPr="00CE22C7">
        <w:rPr>
          <w:color w:val="000000" w:themeColor="text1"/>
        </w:rPr>
        <w:t>to public entities known as</w:t>
      </w:r>
      <w:r w:rsidR="003D3349" w:rsidRPr="00CE22C7">
        <w:rPr>
          <w:color w:val="000000" w:themeColor="text1"/>
        </w:rPr>
        <w:t xml:space="preserve"> </w:t>
      </w:r>
      <w:r w:rsidR="00E17035" w:rsidRPr="00CE22C7">
        <w:rPr>
          <w:color w:val="000000" w:themeColor="text1"/>
        </w:rPr>
        <w:t>land banks</w:t>
      </w:r>
      <w:r w:rsidR="004738B3" w:rsidRPr="00CE22C7">
        <w:rPr>
          <w:color w:val="000000" w:themeColor="text1"/>
        </w:rPr>
        <w:t xml:space="preserve"> </w:t>
      </w:r>
      <w:r w:rsidR="00E06CA6" w:rsidRPr="00CE22C7">
        <w:rPr>
          <w:color w:val="000000" w:themeColor="text1"/>
        </w:rPr>
        <w:t>for</w:t>
      </w:r>
      <w:r w:rsidR="004738B3" w:rsidRPr="00CE22C7">
        <w:rPr>
          <w:color w:val="000000" w:themeColor="text1"/>
        </w:rPr>
        <w:t xml:space="preserve"> </w:t>
      </w:r>
      <w:r w:rsidR="000A2C31" w:rsidRPr="00CE22C7">
        <w:rPr>
          <w:color w:val="000000" w:themeColor="text1"/>
        </w:rPr>
        <w:t xml:space="preserve">providing </w:t>
      </w:r>
      <w:r w:rsidR="0093155E" w:rsidRPr="00CE22C7">
        <w:rPr>
          <w:color w:val="000000" w:themeColor="text1"/>
        </w:rPr>
        <w:t xml:space="preserve">mortgages and other loans, subject to uniform interest rates set by </w:t>
      </w:r>
      <w:r w:rsidR="00AB2B02" w:rsidRPr="00CE22C7">
        <w:rPr>
          <w:color w:val="000000" w:themeColor="text1"/>
        </w:rPr>
        <w:t>those</w:t>
      </w:r>
      <w:r w:rsidR="0093155E" w:rsidRPr="00CE22C7">
        <w:rPr>
          <w:color w:val="000000" w:themeColor="text1"/>
        </w:rPr>
        <w:t xml:space="preserve"> legislatures.</w:t>
      </w:r>
      <w:r w:rsidR="0093155E" w:rsidRPr="00CE22C7">
        <w:rPr>
          <w:rStyle w:val="FootnoteReference"/>
          <w:color w:val="000000" w:themeColor="text1"/>
        </w:rPr>
        <w:footnoteReference w:id="33"/>
      </w:r>
      <w:r w:rsidR="004B2F4D" w:rsidRPr="00CE22C7">
        <w:rPr>
          <w:color w:val="000000" w:themeColor="text1"/>
        </w:rPr>
        <w:t xml:space="preserve"> Private banks</w:t>
      </w:r>
      <w:r w:rsidR="0039398E" w:rsidRPr="00CE22C7">
        <w:rPr>
          <w:color w:val="000000" w:themeColor="text1"/>
        </w:rPr>
        <w:t xml:space="preserve"> did not exist in America </w:t>
      </w:r>
      <w:r w:rsidR="00DF7BD1" w:rsidRPr="00CE22C7">
        <w:rPr>
          <w:color w:val="000000" w:themeColor="text1"/>
        </w:rPr>
        <w:t>until 1781</w:t>
      </w:r>
      <w:r w:rsidR="00CB320D" w:rsidRPr="00CE22C7">
        <w:rPr>
          <w:color w:val="000000" w:themeColor="text1"/>
        </w:rPr>
        <w:t xml:space="preserve"> and, through the 19th century,</w:t>
      </w:r>
      <w:r w:rsidR="00DF7BD1" w:rsidRPr="00CE22C7">
        <w:rPr>
          <w:color w:val="000000" w:themeColor="text1"/>
        </w:rPr>
        <w:t xml:space="preserve"> </w:t>
      </w:r>
      <w:r w:rsidR="007B5A47" w:rsidRPr="00CE22C7">
        <w:rPr>
          <w:color w:val="000000" w:themeColor="text1"/>
        </w:rPr>
        <w:t xml:space="preserve">were </w:t>
      </w:r>
      <w:r w:rsidR="00B6081D">
        <w:rPr>
          <w:color w:val="000000" w:themeColor="text1"/>
        </w:rPr>
        <w:t xml:space="preserve">continually </w:t>
      </w:r>
      <w:r w:rsidR="007B5A47" w:rsidRPr="00CE22C7">
        <w:rPr>
          <w:color w:val="000000" w:themeColor="text1"/>
        </w:rPr>
        <w:t xml:space="preserve">required </w:t>
      </w:r>
      <w:r w:rsidR="00CB320D" w:rsidRPr="00CE22C7">
        <w:rPr>
          <w:color w:val="000000" w:themeColor="text1"/>
        </w:rPr>
        <w:t xml:space="preserve">to </w:t>
      </w:r>
      <w:r w:rsidR="00DF7BD1" w:rsidRPr="00CE22C7">
        <w:rPr>
          <w:color w:val="000000" w:themeColor="text1"/>
        </w:rPr>
        <w:t xml:space="preserve">prove to </w:t>
      </w:r>
      <w:r w:rsidR="00B6081D">
        <w:rPr>
          <w:color w:val="000000" w:themeColor="text1"/>
        </w:rPr>
        <w:t xml:space="preserve">their respective </w:t>
      </w:r>
      <w:r w:rsidR="00DF7BD1" w:rsidRPr="00CE22C7">
        <w:rPr>
          <w:color w:val="000000" w:themeColor="text1"/>
        </w:rPr>
        <w:t>S</w:t>
      </w:r>
      <w:r w:rsidR="00CB320D" w:rsidRPr="00CE22C7">
        <w:rPr>
          <w:color w:val="000000" w:themeColor="text1"/>
        </w:rPr>
        <w:t xml:space="preserve">tate </w:t>
      </w:r>
      <w:r w:rsidR="00DF7BD1" w:rsidRPr="00CE22C7">
        <w:rPr>
          <w:color w:val="000000" w:themeColor="text1"/>
        </w:rPr>
        <w:t>legislatures that they served some public purpose.</w:t>
      </w:r>
      <w:r w:rsidR="00D24F7E" w:rsidRPr="00CE22C7">
        <w:rPr>
          <w:rStyle w:val="FootnoteReference"/>
          <w:color w:val="000000" w:themeColor="text1"/>
        </w:rPr>
        <w:footnoteReference w:id="34"/>
      </w:r>
    </w:p>
    <w:p w14:paraId="52603B22" w14:textId="42D41A2A" w:rsidR="00D03179" w:rsidRPr="00CE22C7" w:rsidRDefault="00BF2542" w:rsidP="00341942">
      <w:pPr>
        <w:spacing w:line="480" w:lineRule="auto"/>
        <w:ind w:firstLine="720"/>
        <w:jc w:val="both"/>
      </w:pPr>
      <w:r>
        <w:t>T</w:t>
      </w:r>
      <w:r w:rsidR="00D13DA8" w:rsidRPr="00CE22C7">
        <w:t xml:space="preserve">he most prominent example of a public bank is </w:t>
      </w:r>
      <w:r w:rsidR="001F5E48" w:rsidRPr="00CE22C7">
        <w:t xml:space="preserve">the </w:t>
      </w:r>
      <w:r w:rsidR="0089636B" w:rsidRPr="00CE22C7">
        <w:t>Bank of North Dakota</w:t>
      </w:r>
      <w:r w:rsidR="00644BC5" w:rsidRPr="00CE22C7">
        <w:t xml:space="preserve"> (BND)</w:t>
      </w:r>
      <w:r w:rsidR="0089636B" w:rsidRPr="00CE22C7">
        <w:t xml:space="preserve">, a public bank charted by the North Dakota </w:t>
      </w:r>
      <w:r w:rsidR="00777297" w:rsidRPr="00CE22C7">
        <w:t>s</w:t>
      </w:r>
      <w:r w:rsidR="0089636B" w:rsidRPr="00CE22C7">
        <w:t>tate</w:t>
      </w:r>
      <w:r w:rsidR="00970BFD" w:rsidRPr="00CE22C7">
        <w:t xml:space="preserve"> legislature</w:t>
      </w:r>
      <w:r w:rsidR="0089636B" w:rsidRPr="00CE22C7">
        <w:t xml:space="preserve"> in 191</w:t>
      </w:r>
      <w:r w:rsidR="00026C63" w:rsidRPr="00CE22C7">
        <w:t>8</w:t>
      </w:r>
      <w:r w:rsidR="0089636B" w:rsidRPr="00CE22C7">
        <w:t xml:space="preserve"> </w:t>
      </w:r>
      <w:r w:rsidR="00A16668" w:rsidRPr="00CE22C7">
        <w:t>to “promote agriculture, commerce, and industry”</w:t>
      </w:r>
      <w:r w:rsidR="001A329C">
        <w:t>,</w:t>
      </w:r>
      <w:r w:rsidR="00A16668" w:rsidRPr="00CE22C7">
        <w:t xml:space="preserve"> and “be helpful to and assist in the development of… financial institutions… within the State.”</w:t>
      </w:r>
      <w:r w:rsidR="0089636B" w:rsidRPr="00CE22C7">
        <w:rPr>
          <w:rStyle w:val="FootnoteReference"/>
        </w:rPr>
        <w:footnoteReference w:id="35"/>
      </w:r>
      <w:r w:rsidR="00BD4B94" w:rsidRPr="00CE22C7">
        <w:t xml:space="preserve"> </w:t>
      </w:r>
      <w:r w:rsidR="00AE79C1">
        <w:t>Formed p</w:t>
      </w:r>
      <w:r w:rsidR="008A4929" w:rsidRPr="00CE22C7">
        <w:t>artially i</w:t>
      </w:r>
      <w:r w:rsidR="00952974" w:rsidRPr="00CE22C7">
        <w:t xml:space="preserve">n response to </w:t>
      </w:r>
      <w:r w:rsidR="00AE79C1">
        <w:t xml:space="preserve">Minneapolis and Chicago </w:t>
      </w:r>
      <w:r w:rsidR="00C175B2" w:rsidRPr="00CE22C7">
        <w:t xml:space="preserve">banks charging </w:t>
      </w:r>
      <w:r w:rsidR="008A4929" w:rsidRPr="00CE22C7">
        <w:t>high interest rates on agricultural loans</w:t>
      </w:r>
      <w:r w:rsidR="00644BC5" w:rsidRPr="00CE22C7">
        <w:t xml:space="preserve"> in North Dakota</w:t>
      </w:r>
      <w:r w:rsidR="008A4929" w:rsidRPr="00CE22C7">
        <w:t xml:space="preserve">, a non-partisan </w:t>
      </w:r>
      <w:r w:rsidR="00EF74DB" w:rsidRPr="00CE22C7">
        <w:t>political movement</w:t>
      </w:r>
      <w:r w:rsidR="008A4929" w:rsidRPr="00CE22C7">
        <w:t xml:space="preserve"> </w:t>
      </w:r>
      <w:r w:rsidR="005A76B1" w:rsidRPr="00CE22C7">
        <w:t xml:space="preserve">gained control of </w:t>
      </w:r>
      <w:r w:rsidR="00EF74DB" w:rsidRPr="00CE22C7">
        <w:t xml:space="preserve">the </w:t>
      </w:r>
      <w:r w:rsidR="00AE79C1">
        <w:t xml:space="preserve">North Dakota </w:t>
      </w:r>
      <w:r w:rsidR="005A76B1" w:rsidRPr="00CE22C7">
        <w:rPr>
          <w:color w:val="0A1B2A"/>
          <w:shd w:val="clear" w:color="auto" w:fill="FFFFFF"/>
        </w:rPr>
        <w:t>Governor’s office and legislature in 1918 on a platform that included state ownership and control of marketing and credit agencies. Subsequently, North Dakota</w:t>
      </w:r>
      <w:r w:rsidR="00341942" w:rsidRPr="00CE22C7">
        <w:rPr>
          <w:color w:val="0A1B2A"/>
          <w:shd w:val="clear" w:color="auto" w:fill="FFFFFF"/>
        </w:rPr>
        <w:t xml:space="preserve"> founded the bank with a $2 million appropriation</w:t>
      </w:r>
      <w:r w:rsidR="005A76B1" w:rsidRPr="00CE22C7">
        <w:rPr>
          <w:color w:val="0A1B2A"/>
          <w:shd w:val="clear" w:color="auto" w:fill="FFFFFF"/>
        </w:rPr>
        <w:t>.</w:t>
      </w:r>
      <w:r w:rsidR="005A76B1" w:rsidRPr="00CE22C7">
        <w:rPr>
          <w:rStyle w:val="FootnoteReference"/>
          <w:color w:val="0A1B2A"/>
          <w:shd w:val="clear" w:color="auto" w:fill="FFFFFF"/>
        </w:rPr>
        <w:footnoteReference w:id="36"/>
      </w:r>
      <w:r w:rsidR="00341942" w:rsidRPr="00CE22C7">
        <w:t xml:space="preserve"> </w:t>
      </w:r>
    </w:p>
    <w:p w14:paraId="017F2CDA" w14:textId="027F1C1D" w:rsidR="00A84CC0" w:rsidRPr="00CE22C7" w:rsidRDefault="00341942" w:rsidP="004C17E6">
      <w:pPr>
        <w:spacing w:line="480" w:lineRule="auto"/>
        <w:ind w:firstLine="720"/>
        <w:jc w:val="both"/>
      </w:pPr>
      <w:r w:rsidRPr="00CE22C7">
        <w:t xml:space="preserve">Today, </w:t>
      </w:r>
      <w:r w:rsidR="00BD4B94" w:rsidRPr="00CE22C7">
        <w:t xml:space="preserve">North Dakota </w:t>
      </w:r>
      <w:r w:rsidR="008C56E7">
        <w:t xml:space="preserve">deposits all </w:t>
      </w:r>
      <w:r w:rsidR="00BD4B94" w:rsidRPr="00CE22C7">
        <w:t>state tax and fee revenues</w:t>
      </w:r>
      <w:r w:rsidR="00A20152" w:rsidRPr="00CE22C7">
        <w:t xml:space="preserve"> collected by its state treasurer </w:t>
      </w:r>
      <w:r w:rsidR="00BD4B94" w:rsidRPr="00CE22C7">
        <w:t xml:space="preserve">into </w:t>
      </w:r>
      <w:r w:rsidRPr="00CE22C7">
        <w:t>BND</w:t>
      </w:r>
      <w:r w:rsidR="008C56E7">
        <w:t xml:space="preserve"> by default</w:t>
      </w:r>
      <w:r w:rsidR="00E06CA6">
        <w:t>, absent specific authority for outside investment</w:t>
      </w:r>
      <w:r w:rsidR="00E468F1" w:rsidRPr="00CE22C7">
        <w:t>.</w:t>
      </w:r>
      <w:r w:rsidR="00A20152" w:rsidRPr="00CE22C7">
        <w:rPr>
          <w:rStyle w:val="FootnoteReference"/>
        </w:rPr>
        <w:footnoteReference w:id="37"/>
      </w:r>
      <w:r w:rsidR="00E468F1" w:rsidRPr="00CE22C7">
        <w:t xml:space="preserve"> </w:t>
      </w:r>
      <w:r w:rsidR="00564222" w:rsidRPr="00CE22C7">
        <w:t>Most of the</w:t>
      </w:r>
      <w:r w:rsidR="004C17E6" w:rsidRPr="00CE22C7">
        <w:t xml:space="preserve"> remainder of the </w:t>
      </w:r>
      <w:r w:rsidR="001F5E48" w:rsidRPr="00CE22C7">
        <w:t>b</w:t>
      </w:r>
      <w:r w:rsidR="004C17E6" w:rsidRPr="00CE22C7">
        <w:t>ank’s deposits come from North Dakota city and county government</w:t>
      </w:r>
      <w:r w:rsidR="008E15F0">
        <w:t>al</w:t>
      </w:r>
      <w:r w:rsidR="004C17E6" w:rsidRPr="00CE22C7">
        <w:t xml:space="preserve"> entities and North Dakota residents.</w:t>
      </w:r>
      <w:r w:rsidR="004C17E6" w:rsidRPr="00CE22C7">
        <w:rPr>
          <w:rStyle w:val="FootnoteReference"/>
        </w:rPr>
        <w:footnoteReference w:id="38"/>
      </w:r>
      <w:r w:rsidR="004C17E6" w:rsidRPr="00CE22C7">
        <w:t xml:space="preserve"> </w:t>
      </w:r>
      <w:r w:rsidR="00693083" w:rsidRPr="00CE22C7">
        <w:t xml:space="preserve">In part because </w:t>
      </w:r>
      <w:r w:rsidR="00A60890" w:rsidRPr="00CE22C7">
        <w:t>BND</w:t>
      </w:r>
      <w:r w:rsidR="00693083" w:rsidRPr="00CE22C7">
        <w:t xml:space="preserve"> was designed to </w:t>
      </w:r>
      <w:r w:rsidR="00A60890" w:rsidRPr="00CE22C7">
        <w:t xml:space="preserve">not </w:t>
      </w:r>
      <w:r w:rsidR="00693083" w:rsidRPr="00CE22C7">
        <w:t xml:space="preserve">compete directly with the private </w:t>
      </w:r>
      <w:r w:rsidR="00A60890" w:rsidRPr="00CE22C7">
        <w:t xml:space="preserve">banking </w:t>
      </w:r>
      <w:r w:rsidR="00693083" w:rsidRPr="00CE22C7">
        <w:t xml:space="preserve">sector, it </w:t>
      </w:r>
      <w:r w:rsidR="00A84CC0" w:rsidRPr="00CE22C7">
        <w:t xml:space="preserve">has no branches or ATMs, </w:t>
      </w:r>
      <w:r w:rsidR="00B96B81" w:rsidRPr="00CE22C7">
        <w:t xml:space="preserve">and while members of the public can open accounts to deposit their own money, they must </w:t>
      </w:r>
      <w:r w:rsidR="00577E44">
        <w:t xml:space="preserve">be North Dakota residents and </w:t>
      </w:r>
      <w:r w:rsidR="00B96B81" w:rsidRPr="00CE22C7">
        <w:t>go in person to the main office in Bismarck</w:t>
      </w:r>
      <w:r w:rsidR="00693083" w:rsidRPr="00CE22C7">
        <w:t>.</w:t>
      </w:r>
      <w:r w:rsidR="00A215F3" w:rsidRPr="00CE22C7">
        <w:rPr>
          <w:rStyle w:val="FootnoteReference"/>
        </w:rPr>
        <w:footnoteReference w:id="39"/>
      </w:r>
      <w:r w:rsidR="003A7551" w:rsidRPr="00CE22C7">
        <w:t xml:space="preserve"> </w:t>
      </w:r>
      <w:r w:rsidR="004523ED" w:rsidRPr="00CE22C7">
        <w:t>T</w:t>
      </w:r>
      <w:r w:rsidR="00A84CC0" w:rsidRPr="00CE22C7">
        <w:t>he bank rarely originates or services loans directly to people or businesses</w:t>
      </w:r>
      <w:r w:rsidR="00827E5A">
        <w:t xml:space="preserve">, with the </w:t>
      </w:r>
      <w:r w:rsidR="007F4611" w:rsidRPr="00CE22C7">
        <w:t xml:space="preserve">exception of </w:t>
      </w:r>
      <w:r w:rsidR="00B33041" w:rsidRPr="00CE22C7">
        <w:t>student loans</w:t>
      </w:r>
      <w:r w:rsidR="00A43485" w:rsidRPr="00CE22C7">
        <w:t xml:space="preserve"> – both to </w:t>
      </w:r>
      <w:r w:rsidR="00481EB9" w:rsidRPr="00CE22C7">
        <w:t>North Dakota resident</w:t>
      </w:r>
      <w:r w:rsidR="00E06CA6">
        <w:t>s</w:t>
      </w:r>
      <w:r w:rsidR="00481EB9" w:rsidRPr="00CE22C7">
        <w:t xml:space="preserve"> for use at in-state and out-of-state schools and to </w:t>
      </w:r>
      <w:r w:rsidR="004B19C6" w:rsidRPr="00CE22C7">
        <w:t>out-of-state resident</w:t>
      </w:r>
      <w:r w:rsidR="00E06CA6">
        <w:t>s</w:t>
      </w:r>
      <w:r w:rsidR="004B19C6" w:rsidRPr="00CE22C7">
        <w:t xml:space="preserve"> attending a North Dakota school</w:t>
      </w:r>
      <w:r w:rsidR="007F4611" w:rsidRPr="00CE22C7">
        <w:t>.</w:t>
      </w:r>
      <w:r w:rsidR="007F4611" w:rsidRPr="00CE22C7">
        <w:rPr>
          <w:rStyle w:val="FootnoteReference"/>
        </w:rPr>
        <w:footnoteReference w:id="40"/>
      </w:r>
    </w:p>
    <w:p w14:paraId="4EEA4AEC" w14:textId="5BD1B5A2" w:rsidR="00AB1983" w:rsidRDefault="006F6837" w:rsidP="00B43079">
      <w:pPr>
        <w:spacing w:line="480" w:lineRule="auto"/>
        <w:ind w:firstLine="720"/>
        <w:jc w:val="both"/>
      </w:pPr>
      <w:r w:rsidRPr="00CE22C7">
        <w:t xml:space="preserve">BND serves a larger social purpose primarily by loaning its capital to other banks within the state, </w:t>
      </w:r>
      <w:r w:rsidR="00076E3A" w:rsidRPr="00CE22C7">
        <w:t xml:space="preserve">to enhance their liquidity and make it more </w:t>
      </w:r>
      <w:r w:rsidR="001E5BCD">
        <w:t xml:space="preserve">feasible </w:t>
      </w:r>
      <w:r w:rsidR="00BE076F" w:rsidRPr="00CE22C7">
        <w:t xml:space="preserve">for those banks </w:t>
      </w:r>
      <w:r w:rsidR="00076E3A" w:rsidRPr="00CE22C7">
        <w:t>to extend credit to end-borrowers</w:t>
      </w:r>
      <w:r w:rsidR="00885759" w:rsidRPr="00CE22C7">
        <w:t xml:space="preserve"> at lower interest rates</w:t>
      </w:r>
      <w:r w:rsidR="00076E3A" w:rsidRPr="00CE22C7">
        <w:t>.</w:t>
      </w:r>
      <w:r w:rsidR="00C37EE7" w:rsidRPr="00CE22C7">
        <w:t xml:space="preserve"> </w:t>
      </w:r>
      <w:r w:rsidR="008D59BC">
        <w:t xml:space="preserve">BND </w:t>
      </w:r>
      <w:r w:rsidR="00944699" w:rsidRPr="00CE22C7">
        <w:t xml:space="preserve">also </w:t>
      </w:r>
      <w:r w:rsidR="00E47234" w:rsidRPr="00CE22C7">
        <w:t xml:space="preserve">uses its funds </w:t>
      </w:r>
      <w:r w:rsidR="00944699" w:rsidRPr="00CE22C7">
        <w:t xml:space="preserve">to </w:t>
      </w:r>
      <w:r w:rsidR="00AB1983" w:rsidRPr="00CE22C7">
        <w:rPr>
          <w:shd w:val="clear" w:color="auto" w:fill="FFFFFF"/>
        </w:rPr>
        <w:t xml:space="preserve">buy down the interest rate by </w:t>
      </w:r>
      <w:r w:rsidR="00101F33" w:rsidRPr="00CE22C7">
        <w:rPr>
          <w:shd w:val="clear" w:color="auto" w:fill="FFFFFF"/>
        </w:rPr>
        <w:t>one</w:t>
      </w:r>
      <w:r w:rsidR="005E3935">
        <w:rPr>
          <w:shd w:val="clear" w:color="auto" w:fill="FFFFFF"/>
        </w:rPr>
        <w:t xml:space="preserve"> </w:t>
      </w:r>
      <w:r w:rsidR="00101F33" w:rsidRPr="00CE22C7">
        <w:rPr>
          <w:shd w:val="clear" w:color="auto" w:fill="FFFFFF"/>
        </w:rPr>
        <w:t>to</w:t>
      </w:r>
      <w:r w:rsidR="005E3935">
        <w:rPr>
          <w:shd w:val="clear" w:color="auto" w:fill="FFFFFF"/>
        </w:rPr>
        <w:t xml:space="preserve"> </w:t>
      </w:r>
      <w:r w:rsidR="00101F33" w:rsidRPr="00CE22C7">
        <w:rPr>
          <w:shd w:val="clear" w:color="auto" w:fill="FFFFFF"/>
        </w:rPr>
        <w:t xml:space="preserve">five </w:t>
      </w:r>
      <w:r w:rsidR="00AB1983" w:rsidRPr="00CE22C7">
        <w:rPr>
          <w:shd w:val="clear" w:color="auto" w:fill="FFFFFF"/>
        </w:rPr>
        <w:t xml:space="preserve">percent for some job-creating business </w:t>
      </w:r>
      <w:r w:rsidR="00944699" w:rsidRPr="00CE22C7">
        <w:rPr>
          <w:shd w:val="clear" w:color="auto" w:fill="FFFFFF"/>
        </w:rPr>
        <w:t xml:space="preserve">and agricultural loans offered by </w:t>
      </w:r>
      <w:r w:rsidR="00ED20C5" w:rsidRPr="00CE22C7">
        <w:rPr>
          <w:shd w:val="clear" w:color="auto" w:fill="FFFFFF"/>
        </w:rPr>
        <w:t>a community bank and a local economic development entity</w:t>
      </w:r>
      <w:r w:rsidR="00944699" w:rsidRPr="00CE22C7">
        <w:rPr>
          <w:shd w:val="clear" w:color="auto" w:fill="FFFFFF"/>
        </w:rPr>
        <w:t>.</w:t>
      </w:r>
      <w:r w:rsidR="00944699" w:rsidRPr="00CE22C7">
        <w:rPr>
          <w:rStyle w:val="FootnoteReference"/>
          <w:shd w:val="clear" w:color="auto" w:fill="FFFFFF"/>
        </w:rPr>
        <w:footnoteReference w:id="41"/>
      </w:r>
      <w:r w:rsidR="008D5BBA" w:rsidRPr="00CE22C7">
        <w:t xml:space="preserve"> BN</w:t>
      </w:r>
      <w:r w:rsidR="00C533BD" w:rsidRPr="00CE22C7">
        <w:t>D</w:t>
      </w:r>
      <w:r w:rsidR="008D5BBA" w:rsidRPr="00CE22C7">
        <w:t xml:space="preserve"> invests surplus capital it cannot lend out </w:t>
      </w:r>
      <w:r w:rsidR="00944699" w:rsidRPr="00CE22C7">
        <w:t>primarily in AAA securities backed by the federal government or agencies of the federal government.</w:t>
      </w:r>
      <w:r w:rsidR="00944699" w:rsidRPr="00CE22C7">
        <w:rPr>
          <w:rStyle w:val="FootnoteReference"/>
        </w:rPr>
        <w:footnoteReference w:id="42"/>
      </w:r>
      <w:r w:rsidR="00B43079" w:rsidRPr="00CE22C7">
        <w:t xml:space="preserve"> </w:t>
      </w:r>
      <w:r w:rsidR="00460340">
        <w:t xml:space="preserve">Pre-pandemic, </w:t>
      </w:r>
      <w:r w:rsidR="00B43079" w:rsidRPr="00CE22C7">
        <w:t xml:space="preserve">BND had </w:t>
      </w:r>
      <w:r w:rsidR="00460340">
        <w:t>16</w:t>
      </w:r>
      <w:r w:rsidR="00460340" w:rsidRPr="00CE22C7">
        <w:t xml:space="preserve"> </w:t>
      </w:r>
      <w:r w:rsidR="00B43079" w:rsidRPr="00CE22C7">
        <w:t>consecutive years of record profits</w:t>
      </w:r>
      <w:r w:rsidR="007406AC">
        <w:t xml:space="preserve">, returning over $1.2 billion to the state general fund </w:t>
      </w:r>
      <w:r w:rsidR="00E82696">
        <w:t xml:space="preserve">over </w:t>
      </w:r>
      <w:r w:rsidR="007406AC">
        <w:t xml:space="preserve">the lifetime of the bank, </w:t>
      </w:r>
      <w:r w:rsidR="00B43079" w:rsidRPr="00CE22C7">
        <w:t>providing support for education and other public services, while reducing the tax burden on residents and businesses.</w:t>
      </w:r>
      <w:r w:rsidR="00944699" w:rsidRPr="00CE22C7">
        <w:rPr>
          <w:rStyle w:val="FootnoteReference"/>
        </w:rPr>
        <w:footnoteReference w:id="43"/>
      </w:r>
      <w:r w:rsidR="007406AC">
        <w:t xml:space="preserve">  In 2021, the bank saw a net income of $144.2 million, a $3 million increase from 2020.</w:t>
      </w:r>
      <w:r w:rsidR="007406AC">
        <w:rPr>
          <w:rStyle w:val="FootnoteReference"/>
        </w:rPr>
        <w:footnoteReference w:id="44"/>
      </w:r>
    </w:p>
    <w:p w14:paraId="05870C9B" w14:textId="58A04069" w:rsidR="001B153C" w:rsidRDefault="001B153C" w:rsidP="00CE22C7">
      <w:pPr>
        <w:pStyle w:val="Heading3"/>
        <w:keepNext w:val="0"/>
        <w:keepLines w:val="0"/>
        <w:widowControl w:val="0"/>
        <w:numPr>
          <w:ilvl w:val="0"/>
          <w:numId w:val="16"/>
        </w:numPr>
        <w:spacing w:line="480" w:lineRule="auto"/>
        <w:ind w:left="1440"/>
        <w:rPr>
          <w:rFonts w:ascii="Times New Roman" w:hAnsi="Times New Roman" w:cs="Times New Roman"/>
          <w:i/>
          <w:iCs/>
          <w:color w:val="000000" w:themeColor="text1"/>
        </w:rPr>
      </w:pPr>
      <w:r>
        <w:rPr>
          <w:rFonts w:ascii="Times New Roman" w:hAnsi="Times New Roman" w:cs="Times New Roman"/>
          <w:i/>
          <w:iCs/>
          <w:color w:val="000000" w:themeColor="text1"/>
        </w:rPr>
        <w:t>The Bank Failures of 2023</w:t>
      </w:r>
    </w:p>
    <w:p w14:paraId="1CAC2968" w14:textId="2B064E68" w:rsidR="001B153C" w:rsidRPr="001B153C" w:rsidRDefault="00351353" w:rsidP="00351353">
      <w:pPr>
        <w:spacing w:line="480" w:lineRule="auto"/>
        <w:ind w:firstLine="720"/>
        <w:jc w:val="both"/>
      </w:pPr>
      <w:r>
        <w:t xml:space="preserve">On March 12, 2023, the New York State Department of Financial Services took possession of Signature </w:t>
      </w:r>
      <w:r w:rsidR="00E660DB">
        <w:t>Bank – a</w:t>
      </w:r>
      <w:r>
        <w:t>n FDIC-insured bank chartered in New York</w:t>
      </w:r>
      <w:r w:rsidR="00E660DB">
        <w:t xml:space="preserve"> – </w:t>
      </w:r>
      <w:r>
        <w:t xml:space="preserve">and named the FDIC as receiver.  </w:t>
      </w:r>
      <w:r w:rsidR="00D52052">
        <w:t>This action came after accountholders at Silicon Valley Bank (SVB) in California, fearing insolvency on the bank’s part, began to withdraw their deposits</w:t>
      </w:r>
      <w:r w:rsidR="005B679D">
        <w:t xml:space="preserve">.  This run on the bank resulted in </w:t>
      </w:r>
      <w:r w:rsidR="00D52052">
        <w:t>$</w:t>
      </w:r>
      <w:r w:rsidR="005B679D">
        <w:t xml:space="preserve">42 billion worth of initiated withdrawals, prompting </w:t>
      </w:r>
      <w:r w:rsidR="00D52052">
        <w:t xml:space="preserve">the </w:t>
      </w:r>
      <w:r w:rsidR="005B679D">
        <w:t xml:space="preserve">California Department of Financial Protection and Innovation to close SVB and the </w:t>
      </w:r>
      <w:r w:rsidR="00D52052">
        <w:t xml:space="preserve">FDIC to take control on March 10.  Following this takeover, depositors at Signature began withdrawing their funds as well, </w:t>
      </w:r>
      <w:r w:rsidR="005B679D">
        <w:t>citing Signature’s high amount of uninsured deposits much like SVB, and an exposure to the cryptocurrency sector.</w:t>
      </w:r>
      <w:r w:rsidR="005B679D">
        <w:rPr>
          <w:rStyle w:val="FootnoteReference"/>
        </w:rPr>
        <w:footnoteReference w:id="45"/>
      </w:r>
      <w:r w:rsidR="002A2A6E">
        <w:t xml:space="preserve">  The failures of SVB and Signature are the largest bank failures since the collapse of Washington Mutual in 2008, and represent the second and third largest bank failures in U.S. history, respectively.</w:t>
      </w:r>
      <w:r w:rsidR="00816144">
        <w:t xml:space="preserve"> At the time of </w:t>
      </w:r>
      <w:r w:rsidR="00423E9A">
        <w:t xml:space="preserve">Signature’s </w:t>
      </w:r>
      <w:r w:rsidR="00816144">
        <w:t>failure</w:t>
      </w:r>
      <w:r w:rsidR="00423E9A">
        <w:t>,</w:t>
      </w:r>
      <w:r w:rsidR="00816144">
        <w:t xml:space="preserve"> the City of New York had deposits </w:t>
      </w:r>
      <w:r w:rsidR="00423E9A">
        <w:t>with the bank</w:t>
      </w:r>
      <w:r w:rsidR="00816144">
        <w:t xml:space="preserve">.  </w:t>
      </w:r>
    </w:p>
    <w:p w14:paraId="51EB98CE" w14:textId="59E37186" w:rsidR="00AF3264" w:rsidRPr="00CE22C7" w:rsidRDefault="00161B74" w:rsidP="00CE22C7">
      <w:pPr>
        <w:pStyle w:val="Heading3"/>
        <w:keepNext w:val="0"/>
        <w:keepLines w:val="0"/>
        <w:widowControl w:val="0"/>
        <w:numPr>
          <w:ilvl w:val="0"/>
          <w:numId w:val="16"/>
        </w:numPr>
        <w:spacing w:line="480" w:lineRule="auto"/>
        <w:ind w:left="1440"/>
        <w:rPr>
          <w:rFonts w:ascii="Times New Roman" w:hAnsi="Times New Roman" w:cs="Times New Roman"/>
          <w:i/>
          <w:iCs/>
          <w:color w:val="000000" w:themeColor="text1"/>
        </w:rPr>
      </w:pPr>
      <w:r w:rsidRPr="00CE22C7">
        <w:rPr>
          <w:rFonts w:ascii="Times New Roman" w:hAnsi="Times New Roman" w:cs="Times New Roman"/>
          <w:i/>
          <w:iCs/>
          <w:color w:val="000000" w:themeColor="text1"/>
        </w:rPr>
        <w:t>Pending State Legislation</w:t>
      </w:r>
    </w:p>
    <w:p w14:paraId="7BDEA509" w14:textId="0152956E" w:rsidR="00B424B0" w:rsidRPr="00CE22C7" w:rsidRDefault="00F96505" w:rsidP="00B424B0">
      <w:pPr>
        <w:spacing w:line="480" w:lineRule="auto"/>
        <w:ind w:firstLine="720"/>
        <w:jc w:val="both"/>
      </w:pPr>
      <w:r w:rsidRPr="00CE22C7">
        <w:rPr>
          <w:color w:val="000000"/>
        </w:rPr>
        <w:t>There is a vision for authorizing municipal banks</w:t>
      </w:r>
      <w:r w:rsidR="00D60F7E" w:rsidRPr="00CE22C7">
        <w:rPr>
          <w:color w:val="000000"/>
        </w:rPr>
        <w:t xml:space="preserve"> throughout the State.</w:t>
      </w:r>
      <w:r w:rsidRPr="00CE22C7">
        <w:rPr>
          <w:color w:val="000000"/>
        </w:rPr>
        <w:t xml:space="preserve"> </w:t>
      </w:r>
      <w:r w:rsidR="002D5FB0" w:rsidRPr="00CE22C7">
        <w:rPr>
          <w:color w:val="000000"/>
        </w:rPr>
        <w:t xml:space="preserve">New York </w:t>
      </w:r>
      <w:r w:rsidR="002D5FB0" w:rsidRPr="00CE22C7">
        <w:rPr>
          <w:rStyle w:val="html-render"/>
          <w:color w:val="000000"/>
        </w:rPr>
        <w:t xml:space="preserve">State Assembly Member </w:t>
      </w:r>
      <w:r w:rsidR="0035063C">
        <w:rPr>
          <w:rStyle w:val="html-render"/>
          <w:color w:val="000000"/>
        </w:rPr>
        <w:t>Pamela Hunter</w:t>
      </w:r>
      <w:r w:rsidR="002D5FB0" w:rsidRPr="00CE22C7">
        <w:rPr>
          <w:rStyle w:val="html-render"/>
          <w:color w:val="000000"/>
        </w:rPr>
        <w:t xml:space="preserve"> has introduced A.</w:t>
      </w:r>
      <w:r w:rsidR="0035063C">
        <w:t>3352</w:t>
      </w:r>
      <w:r w:rsidR="0035063C" w:rsidRPr="00CE22C7">
        <w:t xml:space="preserve"> </w:t>
      </w:r>
      <w:r w:rsidR="002D5FB0" w:rsidRPr="00CE22C7">
        <w:rPr>
          <w:rStyle w:val="html-render"/>
          <w:color w:val="000000"/>
        </w:rPr>
        <w:t xml:space="preserve">and New York State Senator James Sanders Jr. has introduced </w:t>
      </w:r>
      <w:r w:rsidR="002D5FB0" w:rsidRPr="00CE22C7">
        <w:t>S.</w:t>
      </w:r>
      <w:r w:rsidR="0035063C">
        <w:t>1754</w:t>
      </w:r>
      <w:r w:rsidR="002D5FB0" w:rsidRPr="00CE22C7">
        <w:rPr>
          <w:rStyle w:val="html-render"/>
          <w:color w:val="000000"/>
        </w:rPr>
        <w:t xml:space="preserve">, </w:t>
      </w:r>
      <w:r w:rsidR="002D5FB0" w:rsidRPr="00CE22C7">
        <w:t>which would establish the New York Public Banking Act</w:t>
      </w:r>
      <w:r w:rsidR="00501276">
        <w:t xml:space="preserve">.  This legislation would </w:t>
      </w:r>
      <w:r w:rsidR="002D5FB0" w:rsidRPr="00CE22C7">
        <w:t>authorize the lending of public credit to public banks and public ownership of stock in public banks, for the public purposes of achieving cost savings, strengthening local economies, supporting community economic development, and addressing infrastructure and housing needs for localities</w:t>
      </w:r>
      <w:r w:rsidR="008F038B" w:rsidRPr="00CE22C7">
        <w:t>.</w:t>
      </w:r>
      <w:r w:rsidR="00FA0419" w:rsidRPr="00CE22C7">
        <w:rPr>
          <w:rStyle w:val="FootnoteReference"/>
        </w:rPr>
        <w:footnoteReference w:id="46"/>
      </w:r>
    </w:p>
    <w:p w14:paraId="2DAC6BBE" w14:textId="54D69180" w:rsidR="00B424B0" w:rsidRPr="00CE22C7" w:rsidRDefault="008168E7" w:rsidP="00CE22C7">
      <w:pPr>
        <w:pStyle w:val="Heading3"/>
        <w:numPr>
          <w:ilvl w:val="0"/>
          <w:numId w:val="16"/>
        </w:numPr>
        <w:spacing w:line="480" w:lineRule="auto"/>
        <w:ind w:left="1440"/>
        <w:rPr>
          <w:rFonts w:ascii="Times New Roman" w:hAnsi="Times New Roman" w:cs="Times New Roman"/>
          <w:i/>
          <w:iCs/>
          <w:color w:val="000000" w:themeColor="text1"/>
        </w:rPr>
      </w:pPr>
      <w:r w:rsidRPr="00CE22C7">
        <w:rPr>
          <w:rFonts w:ascii="Times New Roman" w:hAnsi="Times New Roman" w:cs="Times New Roman"/>
          <w:i/>
          <w:iCs/>
          <w:color w:val="000000" w:themeColor="text1"/>
        </w:rPr>
        <w:t>The Public Bank</w:t>
      </w:r>
      <w:r w:rsidR="00564510">
        <w:rPr>
          <w:rFonts w:ascii="Times New Roman" w:hAnsi="Times New Roman" w:cs="Times New Roman"/>
          <w:i/>
          <w:iCs/>
          <w:color w:val="000000" w:themeColor="text1"/>
        </w:rPr>
        <w:t xml:space="preserve"> Debate</w:t>
      </w:r>
    </w:p>
    <w:p w14:paraId="29F29E18" w14:textId="77777777" w:rsidR="00501276" w:rsidRDefault="00DB1CC7" w:rsidP="00B61136">
      <w:pPr>
        <w:widowControl w:val="0"/>
        <w:spacing w:line="480" w:lineRule="auto"/>
        <w:ind w:firstLine="720"/>
        <w:jc w:val="both"/>
      </w:pPr>
      <w:r w:rsidRPr="00CE22C7">
        <w:t>A</w:t>
      </w:r>
      <w:r w:rsidR="00054432" w:rsidRPr="00CE22C7">
        <w:t>dvocat</w:t>
      </w:r>
      <w:r w:rsidRPr="00CE22C7">
        <w:t>e</w:t>
      </w:r>
      <w:r w:rsidR="00054432" w:rsidRPr="00CE22C7">
        <w:t xml:space="preserve">s have been </w:t>
      </w:r>
      <w:r w:rsidR="00322052" w:rsidRPr="00CE22C7">
        <w:t xml:space="preserve">making a renewed </w:t>
      </w:r>
      <w:r w:rsidR="00054432" w:rsidRPr="00CE22C7">
        <w:t>push</w:t>
      </w:r>
      <w:r w:rsidR="00322052" w:rsidRPr="00CE22C7">
        <w:t xml:space="preserve"> </w:t>
      </w:r>
      <w:r w:rsidR="00054432" w:rsidRPr="00CE22C7">
        <w:t>for the expansion of public banking</w:t>
      </w:r>
      <w:r w:rsidR="00322052" w:rsidRPr="00CE22C7">
        <w:t xml:space="preserve"> since the Great Recession</w:t>
      </w:r>
      <w:r w:rsidR="00054432" w:rsidRPr="00CE22C7">
        <w:t xml:space="preserve">, including </w:t>
      </w:r>
      <w:r w:rsidRPr="00CE22C7">
        <w:t xml:space="preserve">by the introduction of the aforementioned </w:t>
      </w:r>
      <w:r w:rsidR="008168E7" w:rsidRPr="00CE22C7">
        <w:t>S</w:t>
      </w:r>
      <w:r w:rsidRPr="00CE22C7">
        <w:t>tate bills</w:t>
      </w:r>
      <w:r w:rsidR="00765E70">
        <w:t xml:space="preserve"> in this and prior legislative sessions</w:t>
      </w:r>
      <w:r w:rsidRPr="00CE22C7">
        <w:t xml:space="preserve">. They contend </w:t>
      </w:r>
      <w:r w:rsidR="00D82BC2" w:rsidRPr="00CE22C7">
        <w:t xml:space="preserve">that public banking would </w:t>
      </w:r>
      <w:r w:rsidR="008168E7" w:rsidRPr="00CE22C7">
        <w:t xml:space="preserve">permit the </w:t>
      </w:r>
      <w:r w:rsidR="00D7056F" w:rsidRPr="00CE22C7">
        <w:t>C</w:t>
      </w:r>
      <w:r w:rsidR="008168E7" w:rsidRPr="00CE22C7">
        <w:t>ity to get a better deal on interest and fees</w:t>
      </w:r>
      <w:r w:rsidR="002927D1" w:rsidRPr="00CE22C7">
        <w:t xml:space="preserve"> compared with the financial arrangements in place today. Additionally, advocates assert </w:t>
      </w:r>
      <w:r w:rsidR="00BB63B4">
        <w:t xml:space="preserve">a public bank could leverage </w:t>
      </w:r>
      <w:r w:rsidR="002927D1" w:rsidRPr="00CE22C7">
        <w:t xml:space="preserve">public revenue both to lower </w:t>
      </w:r>
      <w:r w:rsidR="00501276">
        <w:t xml:space="preserve">borrower </w:t>
      </w:r>
      <w:r w:rsidR="002927D1" w:rsidRPr="00CE22C7">
        <w:t xml:space="preserve">interest rates and help build </w:t>
      </w:r>
      <w:r w:rsidR="00501276">
        <w:t xml:space="preserve">banking </w:t>
      </w:r>
      <w:r w:rsidR="002927D1" w:rsidRPr="00CE22C7">
        <w:t xml:space="preserve">access for communities that </w:t>
      </w:r>
      <w:r w:rsidR="00D7056F" w:rsidRPr="00CE22C7">
        <w:t>presently have limited access to banking</w:t>
      </w:r>
      <w:r w:rsidR="006C7BF9" w:rsidRPr="00CE22C7">
        <w:t xml:space="preserve">, </w:t>
      </w:r>
      <w:r w:rsidR="006B3DE4">
        <w:t xml:space="preserve">in a scaled up form of present </w:t>
      </w:r>
      <w:r w:rsidR="0016667A" w:rsidRPr="00CE22C7">
        <w:t>investment</w:t>
      </w:r>
      <w:r w:rsidR="00322052" w:rsidRPr="00CE22C7">
        <w:t>s of City</w:t>
      </w:r>
      <w:r w:rsidR="00765E70">
        <w:t xml:space="preserve"> </w:t>
      </w:r>
      <w:r w:rsidR="00322052" w:rsidRPr="00CE22C7">
        <w:t>funds</w:t>
      </w:r>
      <w:r w:rsidR="0016667A" w:rsidRPr="00CE22C7">
        <w:t xml:space="preserve"> in </w:t>
      </w:r>
      <w:r w:rsidR="00322052" w:rsidRPr="00CE22C7">
        <w:t>BDDs</w:t>
      </w:r>
      <w:r w:rsidR="006C7BF9" w:rsidRPr="00CE22C7">
        <w:t>.</w:t>
      </w:r>
      <w:r w:rsidR="006C7BF9" w:rsidRPr="00CE22C7">
        <w:rPr>
          <w:rStyle w:val="FootnoteReference"/>
        </w:rPr>
        <w:footnoteReference w:id="47"/>
      </w:r>
      <w:r w:rsidR="00501276">
        <w:t xml:space="preserve">  </w:t>
      </w:r>
    </w:p>
    <w:p w14:paraId="64E084AD" w14:textId="5F28941E" w:rsidR="006C7BF9" w:rsidRPr="00CE22C7" w:rsidRDefault="00765E70" w:rsidP="00B61136">
      <w:pPr>
        <w:widowControl w:val="0"/>
        <w:spacing w:line="480" w:lineRule="auto"/>
        <w:ind w:firstLine="720"/>
        <w:jc w:val="both"/>
      </w:pPr>
      <w:r>
        <w:t>Of late, a coalition of advocacy groups has pointed to the failure and federal takeover of Signature Bank as ground</w:t>
      </w:r>
      <w:r w:rsidR="001B153C">
        <w:t>s</w:t>
      </w:r>
      <w:r>
        <w:t xml:space="preserve"> for a “public option” in New York’s banking choices, calling on Senate Majority Leader Andrea Stewart-Cousins and Assembly Speaker Carl Heastie to pass the New York Public Banking Act. </w:t>
      </w:r>
      <w:r>
        <w:rPr>
          <w:rStyle w:val="FootnoteReference"/>
        </w:rPr>
        <w:footnoteReference w:id="48"/>
      </w:r>
    </w:p>
    <w:p w14:paraId="07A7A4D8" w14:textId="59B081D9" w:rsidR="00E21088" w:rsidRPr="00CE22C7" w:rsidRDefault="0016667A" w:rsidP="00E21088">
      <w:pPr>
        <w:spacing w:line="480" w:lineRule="auto"/>
        <w:ind w:firstLine="720"/>
        <w:jc w:val="both"/>
        <w:rPr>
          <w:color w:val="474C55"/>
          <w:sz w:val="23"/>
          <w:szCs w:val="23"/>
        </w:rPr>
      </w:pPr>
      <w:r w:rsidRPr="00CE22C7">
        <w:rPr>
          <w:color w:val="000000" w:themeColor="text1"/>
        </w:rPr>
        <w:t xml:space="preserve">Opponents point out that </w:t>
      </w:r>
      <w:r w:rsidR="000E1D29" w:rsidRPr="00CE22C7">
        <w:t xml:space="preserve">because </w:t>
      </w:r>
      <w:r w:rsidRPr="00CE22C7">
        <w:rPr>
          <w:color w:val="000000" w:themeColor="text1"/>
        </w:rPr>
        <w:t xml:space="preserve">New York </w:t>
      </w:r>
      <w:r w:rsidR="0083765B" w:rsidRPr="00CE22C7">
        <w:rPr>
          <w:color w:val="000000" w:themeColor="text1"/>
        </w:rPr>
        <w:t>C</w:t>
      </w:r>
      <w:r w:rsidRPr="00CE22C7">
        <w:rPr>
          <w:color w:val="000000" w:themeColor="text1"/>
        </w:rPr>
        <w:t xml:space="preserve">ity </w:t>
      </w:r>
      <w:r w:rsidR="00565D59" w:rsidRPr="00CE22C7">
        <w:rPr>
          <w:color w:val="000000" w:themeColor="text1"/>
        </w:rPr>
        <w:t xml:space="preserve">is </w:t>
      </w:r>
      <w:r w:rsidR="00B34D3A" w:rsidRPr="00CE22C7">
        <w:rPr>
          <w:color w:val="000000" w:themeColor="text1"/>
        </w:rPr>
        <w:t xml:space="preserve">already </w:t>
      </w:r>
      <w:r w:rsidR="00565D59" w:rsidRPr="00CE22C7">
        <w:rPr>
          <w:color w:val="000000" w:themeColor="text1"/>
        </w:rPr>
        <w:t>the financial capital of the world</w:t>
      </w:r>
      <w:r w:rsidR="00854EE8" w:rsidRPr="00CE22C7">
        <w:rPr>
          <w:color w:val="000000" w:themeColor="text1"/>
        </w:rPr>
        <w:t xml:space="preserve">, </w:t>
      </w:r>
      <w:r w:rsidR="0009261B" w:rsidRPr="00CE22C7">
        <w:t>and</w:t>
      </w:r>
      <w:r w:rsidR="00854EE8" w:rsidRPr="00CE22C7">
        <w:t xml:space="preserve"> </w:t>
      </w:r>
      <w:r w:rsidR="00D4305C" w:rsidRPr="00CE22C7">
        <w:t xml:space="preserve">it </w:t>
      </w:r>
      <w:r w:rsidR="00F714CC" w:rsidRPr="00CE22C7">
        <w:t>dwarfs North Dakota</w:t>
      </w:r>
      <w:r w:rsidR="00126E60" w:rsidRPr="00CE22C7">
        <w:t xml:space="preserve"> in financial </w:t>
      </w:r>
      <w:r w:rsidR="009D75F2" w:rsidRPr="00CE22C7">
        <w:t>scale</w:t>
      </w:r>
      <w:r w:rsidR="00F714CC" w:rsidRPr="00CE22C7">
        <w:t xml:space="preserve">, the North Dakota </w:t>
      </w:r>
      <w:r w:rsidR="00671710" w:rsidRPr="00CE22C7">
        <w:t xml:space="preserve">public bank </w:t>
      </w:r>
      <w:r w:rsidR="00F714CC" w:rsidRPr="00CE22C7">
        <w:t xml:space="preserve">model </w:t>
      </w:r>
      <w:r w:rsidR="000E1D29" w:rsidRPr="00CE22C7">
        <w:t>may not</w:t>
      </w:r>
      <w:r w:rsidR="00F714CC" w:rsidRPr="00CE22C7">
        <w:t xml:space="preserve"> translate </w:t>
      </w:r>
      <w:r w:rsidR="000E1D29" w:rsidRPr="00CE22C7">
        <w:t>well here</w:t>
      </w:r>
      <w:r w:rsidR="00F714CC" w:rsidRPr="00CE22C7">
        <w:t>. I</w:t>
      </w:r>
      <w:r w:rsidR="67A11FDC" w:rsidRPr="00CE22C7">
        <w:t>n</w:t>
      </w:r>
      <w:r w:rsidR="0083765B" w:rsidRPr="00CE22C7">
        <w:t xml:space="preserve"> </w:t>
      </w:r>
      <w:r w:rsidR="006225B2">
        <w:t>Fiscal 2023</w:t>
      </w:r>
      <w:r w:rsidR="0083765B" w:rsidRPr="00CE22C7">
        <w:t xml:space="preserve">, for example, </w:t>
      </w:r>
      <w:r w:rsidR="00D4305C" w:rsidRPr="00CE22C7">
        <w:t>the</w:t>
      </w:r>
      <w:r w:rsidR="0083765B" w:rsidRPr="00CE22C7">
        <w:t xml:space="preserve"> </w:t>
      </w:r>
      <w:r w:rsidR="0083765B" w:rsidRPr="00CE22C7">
        <w:rPr>
          <w:color w:val="000000" w:themeColor="text1"/>
        </w:rPr>
        <w:t xml:space="preserve">City’s </w:t>
      </w:r>
      <w:r w:rsidR="006928E5" w:rsidRPr="00CE22C7">
        <w:t xml:space="preserve">adopted </w:t>
      </w:r>
      <w:r w:rsidR="00D8389F" w:rsidRPr="00CE22C7">
        <w:t xml:space="preserve">budget </w:t>
      </w:r>
      <w:r w:rsidR="00E30CEC" w:rsidRPr="00CE22C7">
        <w:t>was</w:t>
      </w:r>
      <w:r w:rsidR="0082515D" w:rsidRPr="00CE22C7">
        <w:t xml:space="preserve"> </w:t>
      </w:r>
      <w:r w:rsidR="00BA3522">
        <w:t>nearly 12</w:t>
      </w:r>
      <w:r w:rsidR="0082515D" w:rsidRPr="00CE22C7">
        <w:t xml:space="preserve"> times </w:t>
      </w:r>
      <w:r w:rsidR="00857F31" w:rsidRPr="00CE22C7">
        <w:t>larger</w:t>
      </w:r>
      <w:r w:rsidR="00D8389F" w:rsidRPr="00CE22C7">
        <w:t xml:space="preserve"> </w:t>
      </w:r>
      <w:r w:rsidR="00854EE8" w:rsidRPr="00CE22C7">
        <w:t xml:space="preserve">than that of </w:t>
      </w:r>
      <w:r w:rsidR="008F4001">
        <w:t xml:space="preserve">the </w:t>
      </w:r>
      <w:r w:rsidR="00854EE8" w:rsidRPr="00CE22C7">
        <w:t>North Dakota</w:t>
      </w:r>
      <w:r w:rsidR="008F4001">
        <w:t xml:space="preserve"> state budget</w:t>
      </w:r>
      <w:r w:rsidR="00854EE8" w:rsidRPr="00CE22C7">
        <w:t>.</w:t>
      </w:r>
      <w:r w:rsidR="00775043" w:rsidRPr="00775043">
        <w:rPr>
          <w:rStyle w:val="FootnoteReference"/>
        </w:rPr>
        <w:t xml:space="preserve"> </w:t>
      </w:r>
      <w:r w:rsidR="00775043" w:rsidRPr="00CE22C7">
        <w:rPr>
          <w:rStyle w:val="FootnoteReference"/>
        </w:rPr>
        <w:footnoteReference w:id="49"/>
      </w:r>
      <w:r w:rsidR="00854EE8" w:rsidRPr="00CE22C7">
        <w:t xml:space="preserve"> </w:t>
      </w:r>
      <w:r w:rsidR="009F3644" w:rsidRPr="00CE22C7">
        <w:t xml:space="preserve">The start-up costs and operational risks of a new public bank would arguably require the </w:t>
      </w:r>
      <w:r w:rsidR="00775043">
        <w:t xml:space="preserve">initial </w:t>
      </w:r>
      <w:r w:rsidR="009F3644" w:rsidRPr="00CE22C7">
        <w:t xml:space="preserve">investment of significant </w:t>
      </w:r>
      <w:r w:rsidR="00775043">
        <w:t>capital</w:t>
      </w:r>
      <w:r w:rsidR="009F3644" w:rsidRPr="00CE22C7">
        <w:t xml:space="preserve"> and entail considerable operational risks. </w:t>
      </w:r>
      <w:r w:rsidR="00775043">
        <w:t xml:space="preserve">In 2019, </w:t>
      </w:r>
      <w:r w:rsidR="00854EE8" w:rsidRPr="00CE22C7">
        <w:t xml:space="preserve">California passed legislation </w:t>
      </w:r>
      <w:r w:rsidR="003E3B4A" w:rsidRPr="00CE22C7">
        <w:t>similar</w:t>
      </w:r>
      <w:r w:rsidR="009F3644" w:rsidRPr="00CE22C7">
        <w:t xml:space="preserve"> in scope</w:t>
      </w:r>
      <w:r w:rsidR="003E3B4A" w:rsidRPr="00CE22C7">
        <w:t xml:space="preserve"> to the proposed New York Public Banking Act</w:t>
      </w:r>
      <w:r w:rsidR="00775043">
        <w:t>;</w:t>
      </w:r>
      <w:r w:rsidR="00775043" w:rsidRPr="00CE22C7">
        <w:t xml:space="preserve"> </w:t>
      </w:r>
      <w:r w:rsidR="00C24104" w:rsidRPr="00CE22C7">
        <w:t xml:space="preserve">the California Bankers Association issued a statement in response </w:t>
      </w:r>
      <w:r w:rsidR="00E21088" w:rsidRPr="00CE22C7">
        <w:t xml:space="preserve">arguing </w:t>
      </w:r>
      <w:r w:rsidR="004C0120" w:rsidRPr="00CE22C7">
        <w:t xml:space="preserve">that the law </w:t>
      </w:r>
      <w:r w:rsidR="007E6CDE" w:rsidRPr="00CE22C7">
        <w:t xml:space="preserve">would </w:t>
      </w:r>
      <w:r w:rsidR="004C0120" w:rsidRPr="00CE22C7">
        <w:t>put taxpayer dollars at risk</w:t>
      </w:r>
      <w:r w:rsidR="00775043">
        <w:t xml:space="preserve">.  Specifically, they claimed support from </w:t>
      </w:r>
      <w:r w:rsidR="004C0120" w:rsidRPr="00CE22C7">
        <w:t xml:space="preserve">“every single public bank feasibility study conducted to date,” </w:t>
      </w:r>
      <w:r w:rsidR="007E6CDE" w:rsidRPr="00CE22C7">
        <w:t xml:space="preserve">including </w:t>
      </w:r>
      <w:r w:rsidR="00820FC7" w:rsidRPr="00CE22C7">
        <w:t xml:space="preserve">one </w:t>
      </w:r>
      <w:r w:rsidR="00E45204" w:rsidRPr="00CE22C7">
        <w:t>by the San Francisco Municipal Bank Feasibility Task Force that</w:t>
      </w:r>
      <w:r w:rsidR="00F74084" w:rsidRPr="00CE22C7">
        <w:t xml:space="preserve"> “</w:t>
      </w:r>
      <w:r w:rsidR="004C0120" w:rsidRPr="00CE22C7">
        <w:t>forecasted losses in the millions of dollars for decades.”</w:t>
      </w:r>
      <w:r w:rsidR="004C0120" w:rsidRPr="00CE22C7">
        <w:rPr>
          <w:rStyle w:val="FootnoteReference"/>
        </w:rPr>
        <w:footnoteReference w:id="50"/>
      </w:r>
      <w:r w:rsidR="00CB170D">
        <w:t xml:space="preserve">  </w:t>
      </w:r>
      <w:r w:rsidR="00400BED">
        <w:t xml:space="preserve">There are also single vendor risks to keeping the </w:t>
      </w:r>
      <w:r w:rsidR="00423E9A">
        <w:t>C</w:t>
      </w:r>
      <w:r w:rsidR="00400BED">
        <w:t>ity’s deposits solely in the new public bank</w:t>
      </w:r>
      <w:r w:rsidR="00254632">
        <w:t>:  p</w:t>
      </w:r>
      <w:r w:rsidR="006272AD">
        <w:t>ut simply</w:t>
      </w:r>
      <w:r w:rsidR="005664FC">
        <w:t>,</w:t>
      </w:r>
      <w:r w:rsidR="006272AD">
        <w:t xml:space="preserve"> the bank</w:t>
      </w:r>
      <w:r w:rsidR="00423E9A">
        <w:t>’</w:t>
      </w:r>
      <w:r w:rsidR="006272AD">
        <w:t>s management, liquidity</w:t>
      </w:r>
      <w:r w:rsidR="00423E9A">
        <w:t>,</w:t>
      </w:r>
      <w:r w:rsidR="006272AD">
        <w:t xml:space="preserve"> or solvency problems could </w:t>
      </w:r>
      <w:r w:rsidR="00423E9A">
        <w:t xml:space="preserve">then </w:t>
      </w:r>
      <w:r w:rsidR="006272AD">
        <w:t xml:space="preserve">become the </w:t>
      </w:r>
      <w:r w:rsidR="00423E9A">
        <w:t>C</w:t>
      </w:r>
      <w:r w:rsidR="006272AD">
        <w:t xml:space="preserve">ity’s to the extent they limit the </w:t>
      </w:r>
      <w:r w:rsidR="00423E9A">
        <w:t>C</w:t>
      </w:r>
      <w:r w:rsidR="006272AD">
        <w:t xml:space="preserve">ity’s access to its cash.  The </w:t>
      </w:r>
      <w:r w:rsidR="00423E9A">
        <w:t>C</w:t>
      </w:r>
      <w:r w:rsidR="006272AD">
        <w:t xml:space="preserve">ity would need to </w:t>
      </w:r>
      <w:r w:rsidR="00423E9A">
        <w:t xml:space="preserve">mitigate </w:t>
      </w:r>
      <w:r w:rsidR="006272AD">
        <w:t>these risks</w:t>
      </w:r>
      <w:r w:rsidR="00423E9A">
        <w:t>,</w:t>
      </w:r>
      <w:r w:rsidR="006272AD">
        <w:t xml:space="preserve"> perhaps by using additional depository institutions</w:t>
      </w:r>
      <w:r w:rsidR="00423E9A">
        <w:t>.</w:t>
      </w:r>
      <w:r w:rsidR="006272AD">
        <w:rPr>
          <w:rStyle w:val="FootnoteReference"/>
        </w:rPr>
        <w:footnoteReference w:id="51"/>
      </w:r>
      <w:r w:rsidR="006272AD">
        <w:t xml:space="preserve"> </w:t>
      </w:r>
    </w:p>
    <w:p w14:paraId="49F5E01F" w14:textId="7AA4EFAE" w:rsidR="00915D73" w:rsidRPr="00CE22C7" w:rsidRDefault="00587C7B" w:rsidP="3A5157AC">
      <w:pPr>
        <w:pStyle w:val="ListParagraph"/>
        <w:numPr>
          <w:ilvl w:val="0"/>
          <w:numId w:val="1"/>
        </w:numPr>
        <w:spacing w:line="480" w:lineRule="auto"/>
        <w:rPr>
          <w:b/>
          <w:bCs/>
          <w:color w:val="000000" w:themeColor="text1"/>
        </w:rPr>
      </w:pPr>
      <w:r w:rsidRPr="00CE22C7">
        <w:rPr>
          <w:b/>
          <w:bCs/>
        </w:rPr>
        <w:t>Legislation</w:t>
      </w:r>
    </w:p>
    <w:p w14:paraId="011D0521" w14:textId="12B92D39" w:rsidR="00726ED4" w:rsidRPr="00CE22C7" w:rsidRDefault="000A43B2" w:rsidP="00AF3264">
      <w:pPr>
        <w:pStyle w:val="ColorfulShading-Accent31"/>
        <w:numPr>
          <w:ilvl w:val="0"/>
          <w:numId w:val="3"/>
        </w:numPr>
        <w:suppressLineNumbers/>
        <w:spacing w:line="480" w:lineRule="auto"/>
        <w:ind w:left="1440"/>
        <w:jc w:val="both"/>
        <w:rPr>
          <w:i/>
        </w:rPr>
      </w:pPr>
      <w:r w:rsidRPr="00CE22C7">
        <w:rPr>
          <w:i/>
        </w:rPr>
        <w:t xml:space="preserve">Analysis of Int. No. </w:t>
      </w:r>
      <w:r w:rsidR="00775043">
        <w:rPr>
          <w:i/>
        </w:rPr>
        <w:t>498</w:t>
      </w:r>
    </w:p>
    <w:p w14:paraId="20E5B7E0" w14:textId="22225356" w:rsidR="008E5769" w:rsidRPr="00CE22C7" w:rsidRDefault="00726ED4" w:rsidP="008E5769">
      <w:pPr>
        <w:suppressLineNumbers/>
        <w:spacing w:line="480" w:lineRule="auto"/>
        <w:ind w:firstLine="720"/>
        <w:jc w:val="both"/>
        <w:rPr>
          <w:color w:val="000000"/>
          <w:shd w:val="clear" w:color="auto" w:fill="FFFFFF"/>
        </w:rPr>
      </w:pPr>
      <w:r w:rsidRPr="00CE22C7">
        <w:t xml:space="preserve">Section 1 of Int. No. </w:t>
      </w:r>
      <w:r w:rsidR="00775043">
        <w:t>498</w:t>
      </w:r>
      <w:r w:rsidR="00775043" w:rsidRPr="00CE22C7">
        <w:t xml:space="preserve"> </w:t>
      </w:r>
      <w:r w:rsidR="00776CBA" w:rsidRPr="00CE22C7">
        <w:t xml:space="preserve">would </w:t>
      </w:r>
      <w:r w:rsidR="00B31328" w:rsidRPr="00CE22C7">
        <w:t xml:space="preserve">require </w:t>
      </w:r>
      <w:r w:rsidR="00AE665D" w:rsidRPr="00CE22C7">
        <w:t xml:space="preserve">the </w:t>
      </w:r>
      <w:r w:rsidR="00B31328" w:rsidRPr="00CE22C7">
        <w:t>DOF</w:t>
      </w:r>
      <w:r w:rsidR="00AE665D" w:rsidRPr="00CE22C7">
        <w:t xml:space="preserve"> </w:t>
      </w:r>
      <w:r w:rsidR="008E5769" w:rsidRPr="00CE22C7">
        <w:t xml:space="preserve">Commissioner to provide quarterly reports </w:t>
      </w:r>
      <w:r w:rsidR="008E5769" w:rsidRPr="00CE22C7">
        <w:rPr>
          <w:color w:val="000000"/>
          <w:shd w:val="clear" w:color="auto" w:fill="FFFFFF"/>
        </w:rPr>
        <w:t>on the following information regarding the City’s accounts of deposi</w:t>
      </w:r>
      <w:r w:rsidR="00E901CB" w:rsidRPr="00CE22C7">
        <w:rPr>
          <w:color w:val="000000"/>
          <w:shd w:val="clear" w:color="auto" w:fill="FFFFFF"/>
        </w:rPr>
        <w:t>t</w:t>
      </w:r>
      <w:r w:rsidR="00775043">
        <w:rPr>
          <w:color w:val="000000"/>
          <w:shd w:val="clear" w:color="auto" w:fill="FFFFFF"/>
        </w:rPr>
        <w:t>, at minimum</w:t>
      </w:r>
      <w:r w:rsidR="008E5769" w:rsidRPr="00CE22C7">
        <w:rPr>
          <w:color w:val="000000"/>
          <w:shd w:val="clear" w:color="auto" w:fill="FFFFFF"/>
        </w:rPr>
        <w:t>: the name and/or purpose for each account, the account type and/or classification for each account, the average daily balance for each account, the interest rate or earning allowance for each account, the interest earned for each account and the costs and fees reported both net and gross of any earnings allowances for each account</w:t>
      </w:r>
      <w:r w:rsidR="00775043">
        <w:rPr>
          <w:color w:val="000000"/>
          <w:shd w:val="clear" w:color="auto" w:fill="FFFFFF"/>
        </w:rPr>
        <w:t>.  A</w:t>
      </w:r>
      <w:r w:rsidR="008E5769" w:rsidRPr="00CE22C7">
        <w:rPr>
          <w:color w:val="000000"/>
          <w:shd w:val="clear" w:color="auto" w:fill="FFFFFF"/>
        </w:rPr>
        <w:t xml:space="preserve">ll such information </w:t>
      </w:r>
      <w:r w:rsidR="00775043">
        <w:rPr>
          <w:color w:val="000000"/>
          <w:shd w:val="clear" w:color="auto" w:fill="FFFFFF"/>
        </w:rPr>
        <w:t xml:space="preserve">must be </w:t>
      </w:r>
      <w:r w:rsidR="00D61B47">
        <w:rPr>
          <w:color w:val="000000"/>
          <w:shd w:val="clear" w:color="auto" w:fill="FFFFFF"/>
        </w:rPr>
        <w:t>disaggregated by account and re-</w:t>
      </w:r>
      <w:r w:rsidR="008E5769" w:rsidRPr="00CE22C7">
        <w:rPr>
          <w:color w:val="000000"/>
          <w:shd w:val="clear" w:color="auto" w:fill="FFFFFF"/>
        </w:rPr>
        <w:t xml:space="preserve">aggregated by </w:t>
      </w:r>
      <w:r w:rsidR="00D61B47">
        <w:rPr>
          <w:color w:val="000000"/>
          <w:shd w:val="clear" w:color="auto" w:fill="FFFFFF"/>
        </w:rPr>
        <w:t>bank or trust company</w:t>
      </w:r>
      <w:r w:rsidR="008E5769" w:rsidRPr="00CE22C7">
        <w:rPr>
          <w:color w:val="000000"/>
          <w:shd w:val="clear" w:color="auto" w:fill="FFFFFF"/>
        </w:rPr>
        <w:t>.</w:t>
      </w:r>
    </w:p>
    <w:p w14:paraId="1665A612" w14:textId="541F88EA" w:rsidR="00726ED4" w:rsidRPr="00CE22C7" w:rsidRDefault="00726ED4" w:rsidP="00E914C0">
      <w:pPr>
        <w:suppressLineNumbers/>
        <w:spacing w:line="480" w:lineRule="auto"/>
        <w:ind w:firstLine="720"/>
        <w:jc w:val="both"/>
      </w:pPr>
      <w:r w:rsidRPr="00CE22C7">
        <w:t xml:space="preserve">Section </w:t>
      </w:r>
      <w:r w:rsidR="00B31328" w:rsidRPr="00CE22C7">
        <w:t>2</w:t>
      </w:r>
      <w:r w:rsidRPr="00CE22C7">
        <w:t xml:space="preserve"> of Int. No. </w:t>
      </w:r>
      <w:r w:rsidR="00D61B47">
        <w:t>498</w:t>
      </w:r>
      <w:r w:rsidR="00D61B47" w:rsidRPr="00CE22C7">
        <w:t xml:space="preserve"> </w:t>
      </w:r>
      <w:r w:rsidRPr="00CE22C7">
        <w:t xml:space="preserve">would provide that the local law takes effect </w:t>
      </w:r>
      <w:r w:rsidR="00B31328" w:rsidRPr="00CE22C7">
        <w:t>immediately</w:t>
      </w:r>
      <w:r w:rsidRPr="00CE22C7">
        <w:t>.</w:t>
      </w:r>
    </w:p>
    <w:p w14:paraId="359C7E50" w14:textId="7CDA0497" w:rsidR="00726ED4" w:rsidRPr="00CE22C7" w:rsidRDefault="00726ED4" w:rsidP="00AF3264">
      <w:pPr>
        <w:pStyle w:val="ColorfulShading-Accent31"/>
        <w:numPr>
          <w:ilvl w:val="0"/>
          <w:numId w:val="3"/>
        </w:numPr>
        <w:suppressLineNumbers/>
        <w:spacing w:line="480" w:lineRule="auto"/>
        <w:ind w:left="1170"/>
        <w:jc w:val="both"/>
        <w:rPr>
          <w:i/>
        </w:rPr>
      </w:pPr>
      <w:r w:rsidRPr="00CE22C7">
        <w:rPr>
          <w:i/>
        </w:rPr>
        <w:t xml:space="preserve">Analysis of </w:t>
      </w:r>
      <w:r w:rsidR="00AA4E7C" w:rsidRPr="00CE22C7">
        <w:rPr>
          <w:i/>
        </w:rPr>
        <w:t xml:space="preserve">Int. </w:t>
      </w:r>
      <w:r w:rsidR="008E5769" w:rsidRPr="00CE22C7">
        <w:rPr>
          <w:i/>
        </w:rPr>
        <w:t xml:space="preserve">No. </w:t>
      </w:r>
      <w:r w:rsidR="00D61B47">
        <w:rPr>
          <w:i/>
        </w:rPr>
        <w:t>499</w:t>
      </w:r>
      <w:r w:rsidR="006C6992">
        <w:rPr>
          <w:i/>
        </w:rPr>
        <w:t>-A</w:t>
      </w:r>
    </w:p>
    <w:p w14:paraId="11421437" w14:textId="787A0F9B" w:rsidR="00230AD5" w:rsidRPr="00CE22C7" w:rsidRDefault="00230AD5" w:rsidP="00230AD5">
      <w:pPr>
        <w:pStyle w:val="SingleSpaceHanging1"/>
        <w:suppressLineNumbers/>
        <w:spacing w:after="0" w:line="480" w:lineRule="auto"/>
        <w:ind w:left="0" w:firstLine="720"/>
        <w:rPr>
          <w:color w:val="000000"/>
        </w:rPr>
      </w:pPr>
      <w:r w:rsidRPr="00CE22C7">
        <w:rPr>
          <w:szCs w:val="24"/>
        </w:rPr>
        <w:t xml:space="preserve">Section 1 of Int. No. </w:t>
      </w:r>
      <w:r w:rsidR="00D61B47">
        <w:rPr>
          <w:szCs w:val="24"/>
        </w:rPr>
        <w:t>499</w:t>
      </w:r>
      <w:r w:rsidR="006C6992">
        <w:rPr>
          <w:szCs w:val="24"/>
        </w:rPr>
        <w:t>-A</w:t>
      </w:r>
      <w:r w:rsidRPr="00CE22C7">
        <w:rPr>
          <w:szCs w:val="24"/>
        </w:rPr>
        <w:t xml:space="preserve"> would define various terms and require the OMB Director to a provide quarterly reports on the City’s use of </w:t>
      </w:r>
      <w:r w:rsidR="00D61B47">
        <w:rPr>
          <w:szCs w:val="24"/>
        </w:rPr>
        <w:t xml:space="preserve">non-depository </w:t>
      </w:r>
      <w:r w:rsidRPr="00CE22C7">
        <w:rPr>
          <w:color w:val="000000"/>
          <w:szCs w:val="24"/>
          <w:shd w:val="clear" w:color="auto" w:fill="FFFFFF"/>
        </w:rPr>
        <w:t xml:space="preserve">financial services provided to the </w:t>
      </w:r>
      <w:r w:rsidR="00423E9A">
        <w:rPr>
          <w:color w:val="000000"/>
          <w:szCs w:val="24"/>
          <w:shd w:val="clear" w:color="auto" w:fill="FFFFFF"/>
        </w:rPr>
        <w:t>C</w:t>
      </w:r>
      <w:r w:rsidRPr="00CE22C7">
        <w:rPr>
          <w:color w:val="000000"/>
          <w:szCs w:val="24"/>
          <w:shd w:val="clear" w:color="auto" w:fill="FFFFFF"/>
        </w:rPr>
        <w:t>ity by financial institutions, including payroll, lockbox, advisory, manage</w:t>
      </w:r>
      <w:r w:rsidRPr="00CE22C7">
        <w:rPr>
          <w:color w:val="000000"/>
          <w:shd w:val="clear" w:color="auto" w:fill="FFFFFF"/>
        </w:rPr>
        <w:t>ment, bond underwriting services, but excluding depository services at financial institutions designated by the City Banking Commission. Such report would be required to include e</w:t>
      </w:r>
      <w:r w:rsidRPr="00CE22C7">
        <w:rPr>
          <w:color w:val="000000"/>
        </w:rPr>
        <w:t>nd of quarter balances, quarterly fees, and quarterly returns on any money market account holding city funds; for each city bond and city note, whether each bond or note issue was competitively bid or negotiated and its issuance costs, which include, but are not limited to, underwriting costs, underwriters’ discount, bond or note counsel fees, bond or note rating fees, or fees for letters of credit or other credit enhancements, and any other issuance cost typically included in bond or note official statements, aggregated by financial institution, by service type, and by bond or note series; the amount and cost of any credit default swap payment, aggregated by swap and by counterparty; and any other non-depository city financial services cost, including any costs for managing money in non-pension city investment pools, aggregated by financial institution and disaggregated by expense.</w:t>
      </w:r>
    </w:p>
    <w:p w14:paraId="14055CED" w14:textId="56F1016E" w:rsidR="00230AD5" w:rsidRPr="00CE22C7" w:rsidRDefault="00230AD5" w:rsidP="00DE3212">
      <w:pPr>
        <w:pStyle w:val="SingleSpaceHanging1"/>
        <w:suppressLineNumbers/>
        <w:spacing w:after="0" w:line="480" w:lineRule="auto"/>
        <w:ind w:left="0" w:firstLine="720"/>
        <w:rPr>
          <w:i/>
        </w:rPr>
      </w:pPr>
      <w:r w:rsidRPr="00CE22C7">
        <w:t xml:space="preserve">Section 2 of </w:t>
      </w:r>
      <w:r w:rsidR="007C5DA6" w:rsidRPr="00CE22C7">
        <w:rPr>
          <w:szCs w:val="24"/>
        </w:rPr>
        <w:t xml:space="preserve">Int. No. </w:t>
      </w:r>
      <w:r w:rsidR="00D61B47">
        <w:rPr>
          <w:szCs w:val="24"/>
        </w:rPr>
        <w:t>499</w:t>
      </w:r>
      <w:r w:rsidR="00827517">
        <w:rPr>
          <w:szCs w:val="24"/>
        </w:rPr>
        <w:t>-A</w:t>
      </w:r>
      <w:r w:rsidRPr="00CE22C7">
        <w:t xml:space="preserve"> would provide that the local law takes effect immediately.</w:t>
      </w:r>
    </w:p>
    <w:p w14:paraId="77ACFE1E" w14:textId="38141492" w:rsidR="008C5A91" w:rsidRPr="00F269FB" w:rsidRDefault="008C5A91" w:rsidP="00AF3264">
      <w:pPr>
        <w:pStyle w:val="ColorfulShading-Accent31"/>
        <w:numPr>
          <w:ilvl w:val="0"/>
          <w:numId w:val="3"/>
        </w:numPr>
        <w:suppressLineNumbers/>
        <w:spacing w:line="480" w:lineRule="auto"/>
        <w:ind w:left="1170"/>
        <w:jc w:val="both"/>
      </w:pPr>
      <w:r>
        <w:rPr>
          <w:i/>
        </w:rPr>
        <w:t>Analysis of Int. No. 999</w:t>
      </w:r>
    </w:p>
    <w:p w14:paraId="52F46582" w14:textId="3BABF3E4" w:rsidR="007B3800" w:rsidRPr="00F269FB" w:rsidRDefault="008C5A91" w:rsidP="00F269FB">
      <w:pPr>
        <w:pStyle w:val="ColorfulShading-Accent31"/>
        <w:suppressLineNumbers/>
        <w:spacing w:line="480" w:lineRule="auto"/>
        <w:ind w:left="0" w:firstLine="720"/>
        <w:jc w:val="both"/>
      </w:pPr>
      <w:r>
        <w:t>Int. No. 999 would establish a task force to study the potential for a City-sponsored public bank and issue a report, including a recommended draft governance plan and charter for such a bank in keeping with proposed requirements under State Senate Bill S.1754 for the year 2023.  The bill fixes the size of the task force at nine members, three each appointed by the Mayor, the Comptroller, and the Speaker of the Council</w:t>
      </w:r>
      <w:r w:rsidR="007B3800">
        <w:t>, drawn from public officials, labor organizations, community banking professionals, small business organizations, and community development organizations.  The chair of the task force shall come from among the Speaker’s appointees, and all appointments must maximize representation from historically redlined communities and other groups to be served by the proposed bank.</w:t>
      </w:r>
      <w:r w:rsidR="00D07DB4">
        <w:t xml:space="preserve">  T</w:t>
      </w:r>
      <w:r w:rsidR="007B3800">
        <w:t xml:space="preserve">he task force must meet at least </w:t>
      </w:r>
      <w:r w:rsidR="00D07DB4">
        <w:t>once per quarter and submit their report no later than one year from their first meeting, publicly posted on the Departments of Finance and of Consumer and Worker Protection websites.</w:t>
      </w:r>
    </w:p>
    <w:p w14:paraId="26006527" w14:textId="119E001E" w:rsidR="00242189" w:rsidRPr="00CE22C7" w:rsidRDefault="67D077BB" w:rsidP="00AF3264">
      <w:pPr>
        <w:pStyle w:val="ColorfulShading-Accent31"/>
        <w:numPr>
          <w:ilvl w:val="0"/>
          <w:numId w:val="3"/>
        </w:numPr>
        <w:suppressLineNumbers/>
        <w:spacing w:line="480" w:lineRule="auto"/>
        <w:ind w:left="1170"/>
        <w:jc w:val="both"/>
      </w:pPr>
      <w:r w:rsidRPr="00CE22C7">
        <w:rPr>
          <w:i/>
          <w:iCs/>
        </w:rPr>
        <w:t xml:space="preserve">Analysis of Res No. </w:t>
      </w:r>
      <w:r w:rsidR="00D61B47">
        <w:rPr>
          <w:i/>
          <w:iCs/>
        </w:rPr>
        <w:t>203</w:t>
      </w:r>
      <w:r w:rsidR="006C6992">
        <w:rPr>
          <w:i/>
          <w:iCs/>
        </w:rPr>
        <w:t>-A</w:t>
      </w:r>
    </w:p>
    <w:p w14:paraId="050B3562" w14:textId="320C80D1" w:rsidR="00646208" w:rsidRPr="00CE22C7" w:rsidRDefault="00242189" w:rsidP="00646208">
      <w:pPr>
        <w:pStyle w:val="ColorfulShading-Accent31"/>
        <w:suppressLineNumbers/>
        <w:spacing w:line="480" w:lineRule="auto"/>
        <w:ind w:left="0" w:firstLine="720"/>
        <w:jc w:val="both"/>
        <w:rPr>
          <w:iCs/>
        </w:rPr>
      </w:pPr>
      <w:r w:rsidRPr="00CE22C7">
        <w:rPr>
          <w:iCs/>
        </w:rPr>
        <w:t xml:space="preserve">This resolution would call upon the State Legislature to pass, and the Governor to sign, </w:t>
      </w:r>
      <w:r w:rsidR="00D61B47" w:rsidRPr="00CE22C7">
        <w:rPr>
          <w:snapToGrid w:val="0"/>
        </w:rPr>
        <w:t>A.</w:t>
      </w:r>
      <w:r w:rsidR="00D61B47">
        <w:rPr>
          <w:snapToGrid w:val="0"/>
        </w:rPr>
        <w:t>3352/S.1754</w:t>
      </w:r>
      <w:r w:rsidRPr="00CE22C7">
        <w:rPr>
          <w:iCs/>
        </w:rPr>
        <w:t>, which would establish the New York Public Banking Act.</w:t>
      </w:r>
      <w:r w:rsidR="00646208" w:rsidRPr="00CE22C7">
        <w:rPr>
          <w:iCs/>
        </w:rPr>
        <w:br w:type="page"/>
      </w:r>
    </w:p>
    <w:p w14:paraId="5B00B204" w14:textId="77777777" w:rsidR="00D61B47" w:rsidRPr="00CF1FB9" w:rsidRDefault="00D61B47" w:rsidP="00D61B47">
      <w:pPr>
        <w:jc w:val="center"/>
      </w:pPr>
      <w:r>
        <w:t>Int. No. 498</w:t>
      </w:r>
    </w:p>
    <w:p w14:paraId="44BA3771" w14:textId="77777777" w:rsidR="00D61B47" w:rsidRPr="00CF1FB9" w:rsidRDefault="00D61B47" w:rsidP="00D61B47">
      <w:pPr>
        <w:jc w:val="center"/>
      </w:pPr>
    </w:p>
    <w:p w14:paraId="36EDCAC9" w14:textId="77777777" w:rsidR="00D61B47" w:rsidRDefault="00D61B47" w:rsidP="00D61B47">
      <w:pPr>
        <w:autoSpaceDE w:val="0"/>
        <w:autoSpaceDN w:val="0"/>
        <w:adjustRightInd w:val="0"/>
        <w:jc w:val="both"/>
      </w:pPr>
      <w:r>
        <w:t xml:space="preserve">By Council Members Powers, </w:t>
      </w:r>
      <w:r>
        <w:rPr>
          <w:color w:val="000000"/>
        </w:rPr>
        <w:t xml:space="preserve">De La Rosa, Restler, Abreu, Yeger, Hanif, Brewer, Cabán, Nurse, Avilés, Won, Rivera, Gutiérrez, Krishnan, Louis, Marte, Schulman, Bottcher, Ossé, Sanchez, Velázquez, Brannan, Barron, Hudson, Ayala, Farías, Riley, Joseph, Narcisse, Brooks-Powers, Williams, Ung, Menin, Stevens and Richardson Jordan (in conjunction with the Brooklyn Borough President) </w:t>
      </w:r>
      <w:r>
        <w:t>(by request of the Manhattan Borough President)</w:t>
      </w:r>
    </w:p>
    <w:p w14:paraId="5B89479A" w14:textId="77777777" w:rsidR="00D61B47" w:rsidRPr="00CF1FB9" w:rsidRDefault="00D61B47" w:rsidP="00D61B47">
      <w:pPr>
        <w:jc w:val="both"/>
      </w:pPr>
    </w:p>
    <w:p w14:paraId="3C8CBCD5" w14:textId="77777777" w:rsidR="00D61B47" w:rsidRPr="00CF1FB9" w:rsidRDefault="00D61B47" w:rsidP="00D61B47">
      <w:pPr>
        <w:jc w:val="both"/>
        <w:rPr>
          <w:vanish/>
        </w:rPr>
      </w:pPr>
      <w:r w:rsidRPr="00CF1FB9">
        <w:rPr>
          <w:vanish/>
        </w:rPr>
        <w:t>..Title</w:t>
      </w:r>
    </w:p>
    <w:p w14:paraId="7E3501B4" w14:textId="77777777" w:rsidR="00D61B47" w:rsidRPr="00CF1FB9" w:rsidRDefault="00D61B47" w:rsidP="00D61B47">
      <w:pPr>
        <w:jc w:val="both"/>
      </w:pPr>
      <w:r w:rsidRPr="00CF1FB9">
        <w:t>A Local Law to amend the New York city charter, in relation to reporting on moneys on deposit</w:t>
      </w:r>
    </w:p>
    <w:p w14:paraId="528F5DC9" w14:textId="77777777" w:rsidR="00D61B47" w:rsidRPr="00CF1FB9" w:rsidRDefault="00D61B47" w:rsidP="00D61B47">
      <w:pPr>
        <w:jc w:val="both"/>
        <w:rPr>
          <w:vanish/>
        </w:rPr>
      </w:pPr>
      <w:r w:rsidRPr="00CF1FB9">
        <w:rPr>
          <w:vanish/>
        </w:rPr>
        <w:t>..Body</w:t>
      </w:r>
    </w:p>
    <w:p w14:paraId="610DCA8C" w14:textId="77777777" w:rsidR="00D61B47" w:rsidRPr="00CF1FB9" w:rsidRDefault="00D61B47" w:rsidP="00D61B47">
      <w:pPr>
        <w:jc w:val="both"/>
        <w:rPr>
          <w:u w:val="single"/>
        </w:rPr>
      </w:pPr>
    </w:p>
    <w:p w14:paraId="69205797" w14:textId="77777777" w:rsidR="00D61B47" w:rsidRPr="00CF1FB9" w:rsidRDefault="00D61B47" w:rsidP="00D61B47">
      <w:pPr>
        <w:jc w:val="both"/>
      </w:pPr>
      <w:r w:rsidRPr="00CF1FB9">
        <w:rPr>
          <w:u w:val="single"/>
        </w:rPr>
        <w:t>Be it enacted by the Council as follows:</w:t>
      </w:r>
    </w:p>
    <w:p w14:paraId="18CD29EE" w14:textId="77777777" w:rsidR="00D61B47" w:rsidRPr="00CF1FB9" w:rsidRDefault="00D61B47" w:rsidP="00D61B47">
      <w:pPr>
        <w:ind w:firstLine="720"/>
        <w:jc w:val="both"/>
      </w:pPr>
    </w:p>
    <w:p w14:paraId="11CE3C6C" w14:textId="77777777" w:rsidR="00D61B47" w:rsidRPr="00CF1FB9" w:rsidRDefault="00D61B47" w:rsidP="00D61B47">
      <w:pPr>
        <w:spacing w:line="480" w:lineRule="auto"/>
        <w:ind w:firstLine="720"/>
        <w:jc w:val="both"/>
        <w:sectPr w:rsidR="00D61B47" w:rsidRPr="00CF1FB9" w:rsidSect="00D61B47">
          <w:headerReference w:type="default" r:id="rId9"/>
          <w:footerReference w:type="default" r:id="rId10"/>
          <w:footerReference w:type="first" r:id="rId11"/>
          <w:type w:val="continuous"/>
          <w:pgSz w:w="12240" w:h="15840"/>
          <w:pgMar w:top="1440" w:right="1440" w:bottom="1440" w:left="1440" w:header="720" w:footer="720" w:gutter="0"/>
          <w:cols w:space="720"/>
          <w:titlePg/>
          <w:docGrid w:linePitch="360"/>
        </w:sectPr>
      </w:pPr>
    </w:p>
    <w:p w14:paraId="2FF0AE1D" w14:textId="77777777" w:rsidR="00D61B47" w:rsidRPr="00CF1FB9" w:rsidRDefault="00D61B47" w:rsidP="00D61B47">
      <w:pPr>
        <w:spacing w:line="480" w:lineRule="auto"/>
        <w:ind w:firstLine="720"/>
        <w:jc w:val="both"/>
        <w:rPr>
          <w:color w:val="000000"/>
          <w:shd w:val="clear" w:color="auto" w:fill="FFFFFF"/>
        </w:rPr>
      </w:pPr>
      <w:r w:rsidRPr="00CF1FB9">
        <w:t xml:space="preserve">Section 1. Subdivision 1 of </w:t>
      </w:r>
      <w:r w:rsidRPr="00CF1FB9">
        <w:rPr>
          <w:color w:val="000000"/>
          <w:shd w:val="clear" w:color="auto" w:fill="FFFFFF"/>
        </w:rPr>
        <w:t>section 1523 of the New York city charter, as amended by a vote of the electors on November 7, 1989, is amended to read as follows:</w:t>
      </w:r>
    </w:p>
    <w:p w14:paraId="3F544ED3" w14:textId="77777777" w:rsidR="00D61B47" w:rsidRPr="00CF1FB9" w:rsidRDefault="00D61B47" w:rsidP="00D61B47">
      <w:pPr>
        <w:spacing w:line="480" w:lineRule="auto"/>
        <w:ind w:firstLine="720"/>
        <w:jc w:val="both"/>
        <w:rPr>
          <w:u w:val="single"/>
        </w:rPr>
      </w:pPr>
      <w:r w:rsidRPr="00CF1FB9">
        <w:t xml:space="preserve">1. The commissioner shall deposit all moneys which shall come into the commissioner's hands on account of the city on the day of receipt thereof, or on the business day next succeeding, in such banks and trust companies as shall have been designated as deposit banks, but no amount shall be on deposit at any one time in any one bank or trust company exceeding one-half of the amount of the capital and net surplus of such bank or trust company. The moneys so deposited shall be placed to the account of the commissioner who shall keep a record in which shall be entered the commissioner's accounts of deposits in, and moneys drawn from, the banks and trust companies in which the deposits shall be made. Each such bank and trust company shall transmit to the comptroller a weekly statement of the moneys which shall be received and paid by it on account of the commissioner. </w:t>
      </w:r>
      <w:r w:rsidRPr="00CF1FB9">
        <w:rPr>
          <w:u w:val="single"/>
        </w:rPr>
        <w:t>The commissioner shall submit to the speaker of the council, and post on the department’s website, a quarterly report on or before the second Monday of March, June, September and December in each year. Each quarterly report shall include, but need not be limited to, the following information regarding such accounts of deposit for the immediately preceding quarter: the name and/or purpose for each account, the account type and/or classification for each account, the average daily balance for each account, the interest rate or earning allowance for each account, the interest earned for each account and the costs and fees reported both net and gross of any earnings allowances for each account. Such information shall also be re-aggregated by bank or trust company.</w:t>
      </w:r>
    </w:p>
    <w:p w14:paraId="2060C8A6" w14:textId="77777777" w:rsidR="00D61B47" w:rsidRPr="00CF1FB9" w:rsidRDefault="00D61B47" w:rsidP="00D61B47">
      <w:pPr>
        <w:spacing w:line="480" w:lineRule="auto"/>
        <w:ind w:firstLine="720"/>
        <w:jc w:val="both"/>
        <w:rPr>
          <w:u w:val="single"/>
        </w:rPr>
      </w:pPr>
      <w:r w:rsidRPr="00CF1FB9">
        <w:rPr>
          <w:color w:val="000000"/>
          <w:shd w:val="clear" w:color="auto" w:fill="FFFFFF"/>
        </w:rPr>
        <w:t>§ 2. This local law takes effect immediately.</w:t>
      </w:r>
    </w:p>
    <w:p w14:paraId="3BFE5389" w14:textId="77777777" w:rsidR="00D61B47" w:rsidRPr="00CF1FB9" w:rsidRDefault="00D61B47" w:rsidP="00D61B47">
      <w:pPr>
        <w:spacing w:line="480" w:lineRule="auto"/>
        <w:ind w:firstLine="720"/>
        <w:sectPr w:rsidR="00D61B47" w:rsidRPr="00CF1FB9" w:rsidSect="00D55F48">
          <w:type w:val="continuous"/>
          <w:pgSz w:w="12240" w:h="15840"/>
          <w:pgMar w:top="1440" w:right="1440" w:bottom="1440" w:left="1440" w:header="720" w:footer="720" w:gutter="0"/>
          <w:lnNumType w:countBy="1"/>
          <w:cols w:space="720"/>
          <w:titlePg/>
          <w:docGrid w:linePitch="360"/>
        </w:sectPr>
      </w:pPr>
    </w:p>
    <w:p w14:paraId="26D77055" w14:textId="77777777" w:rsidR="00D61B47" w:rsidRPr="00CF1FB9" w:rsidRDefault="00D61B47" w:rsidP="00D61B47">
      <w:pPr>
        <w:jc w:val="both"/>
        <w:rPr>
          <w:sz w:val="20"/>
          <w:szCs w:val="20"/>
        </w:rPr>
      </w:pPr>
    </w:p>
    <w:p w14:paraId="31FD443F" w14:textId="77777777" w:rsidR="00D61B47" w:rsidRDefault="00D61B47" w:rsidP="00D61B47">
      <w:pPr>
        <w:jc w:val="both"/>
        <w:rPr>
          <w:sz w:val="20"/>
          <w:szCs w:val="20"/>
          <w:u w:val="single"/>
        </w:rPr>
      </w:pPr>
    </w:p>
    <w:p w14:paraId="5C2FF6C8" w14:textId="77777777" w:rsidR="00D61B47" w:rsidRDefault="00D61B47" w:rsidP="00D61B47">
      <w:pPr>
        <w:jc w:val="both"/>
        <w:rPr>
          <w:sz w:val="20"/>
          <w:szCs w:val="20"/>
          <w:u w:val="single"/>
        </w:rPr>
      </w:pPr>
    </w:p>
    <w:p w14:paraId="371B44F4" w14:textId="77777777" w:rsidR="00D61B47" w:rsidRDefault="00D61B47" w:rsidP="00D61B47">
      <w:pPr>
        <w:jc w:val="both"/>
        <w:rPr>
          <w:sz w:val="20"/>
          <w:szCs w:val="20"/>
          <w:u w:val="single"/>
        </w:rPr>
      </w:pPr>
    </w:p>
    <w:p w14:paraId="2C310681" w14:textId="77777777" w:rsidR="00D61B47" w:rsidRDefault="00D61B47" w:rsidP="00D61B47">
      <w:pPr>
        <w:jc w:val="both"/>
        <w:rPr>
          <w:sz w:val="20"/>
          <w:szCs w:val="20"/>
          <w:u w:val="single"/>
        </w:rPr>
      </w:pPr>
    </w:p>
    <w:p w14:paraId="6FD34FBD" w14:textId="77777777" w:rsidR="00D61B47" w:rsidRDefault="00D61B47" w:rsidP="00D61B47">
      <w:pPr>
        <w:jc w:val="both"/>
        <w:rPr>
          <w:sz w:val="20"/>
          <w:szCs w:val="20"/>
          <w:u w:val="single"/>
        </w:rPr>
      </w:pPr>
      <w:r w:rsidRPr="005C32F1">
        <w:rPr>
          <w:sz w:val="20"/>
          <w:szCs w:val="20"/>
          <w:u w:val="single"/>
        </w:rPr>
        <w:t>Session 12</w:t>
      </w:r>
    </w:p>
    <w:p w14:paraId="18A6ED70" w14:textId="77777777" w:rsidR="00D61B47" w:rsidRDefault="00D61B47" w:rsidP="00D61B47">
      <w:pPr>
        <w:jc w:val="both"/>
        <w:rPr>
          <w:sz w:val="20"/>
          <w:szCs w:val="20"/>
        </w:rPr>
      </w:pPr>
      <w:r>
        <w:rPr>
          <w:sz w:val="20"/>
          <w:szCs w:val="20"/>
        </w:rPr>
        <w:t>AV</w:t>
      </w:r>
    </w:p>
    <w:p w14:paraId="56EFAB31" w14:textId="77777777" w:rsidR="00D61B47" w:rsidRDefault="00D61B47" w:rsidP="00D61B47">
      <w:pPr>
        <w:jc w:val="both"/>
        <w:rPr>
          <w:sz w:val="20"/>
          <w:szCs w:val="20"/>
        </w:rPr>
      </w:pPr>
      <w:r>
        <w:rPr>
          <w:sz w:val="20"/>
          <w:szCs w:val="20"/>
        </w:rPr>
        <w:t>LS 1667.7827</w:t>
      </w:r>
    </w:p>
    <w:p w14:paraId="438757E8" w14:textId="77777777" w:rsidR="00D61B47" w:rsidRPr="005C32F1" w:rsidRDefault="00D61B47" w:rsidP="00D61B47">
      <w:pPr>
        <w:jc w:val="both"/>
        <w:rPr>
          <w:sz w:val="20"/>
          <w:szCs w:val="20"/>
        </w:rPr>
      </w:pPr>
      <w:r>
        <w:rPr>
          <w:sz w:val="20"/>
          <w:szCs w:val="20"/>
        </w:rPr>
        <w:t>5/2/2022</w:t>
      </w:r>
    </w:p>
    <w:p w14:paraId="3A4448B5" w14:textId="77777777" w:rsidR="00D61B47" w:rsidRDefault="00D61B47" w:rsidP="00D61B47">
      <w:pPr>
        <w:jc w:val="both"/>
        <w:rPr>
          <w:sz w:val="20"/>
          <w:szCs w:val="20"/>
        </w:rPr>
      </w:pPr>
    </w:p>
    <w:p w14:paraId="68A61108" w14:textId="77777777" w:rsidR="00D61B47" w:rsidRPr="005C32F1" w:rsidRDefault="00D61B47" w:rsidP="00D61B47">
      <w:pPr>
        <w:jc w:val="both"/>
        <w:rPr>
          <w:sz w:val="20"/>
          <w:szCs w:val="20"/>
        </w:rPr>
      </w:pPr>
      <w:r>
        <w:rPr>
          <w:sz w:val="20"/>
          <w:szCs w:val="20"/>
          <w:u w:val="single"/>
        </w:rPr>
        <w:t>Session 11</w:t>
      </w:r>
    </w:p>
    <w:p w14:paraId="45E85279" w14:textId="77777777" w:rsidR="00D61B47" w:rsidRPr="00CF1FB9" w:rsidRDefault="00D61B47" w:rsidP="00D61B47">
      <w:pPr>
        <w:jc w:val="both"/>
        <w:rPr>
          <w:sz w:val="20"/>
          <w:szCs w:val="20"/>
        </w:rPr>
      </w:pPr>
      <w:r w:rsidRPr="00CF1FB9">
        <w:rPr>
          <w:sz w:val="20"/>
          <w:szCs w:val="20"/>
        </w:rPr>
        <w:t>NB</w:t>
      </w:r>
    </w:p>
    <w:p w14:paraId="7CB0BB61" w14:textId="77777777" w:rsidR="00D61B47" w:rsidRPr="00CF1FB9" w:rsidRDefault="00D61B47" w:rsidP="00D61B47">
      <w:pPr>
        <w:jc w:val="both"/>
        <w:rPr>
          <w:sz w:val="20"/>
          <w:szCs w:val="20"/>
        </w:rPr>
      </w:pPr>
      <w:r w:rsidRPr="00CF1FB9">
        <w:rPr>
          <w:sz w:val="20"/>
          <w:szCs w:val="20"/>
        </w:rPr>
        <w:t>LS #8156</w:t>
      </w:r>
    </w:p>
    <w:p w14:paraId="231166C2" w14:textId="77777777" w:rsidR="00D61B47" w:rsidRDefault="00D61B47" w:rsidP="00D61B47">
      <w:r>
        <w:rPr>
          <w:sz w:val="20"/>
          <w:szCs w:val="20"/>
        </w:rPr>
        <w:t>Int. 2099-2020</w:t>
      </w:r>
    </w:p>
    <w:p w14:paraId="582FD479" w14:textId="1C3A865E" w:rsidR="00D61B47" w:rsidRDefault="00D61B47">
      <w:pPr>
        <w:rPr>
          <w:sz w:val="20"/>
        </w:rPr>
      </w:pPr>
      <w:r>
        <w:rPr>
          <w:sz w:val="20"/>
        </w:rPr>
        <w:br w:type="page"/>
      </w:r>
    </w:p>
    <w:p w14:paraId="482F6201" w14:textId="357111E9" w:rsidR="00D61B47" w:rsidRPr="00C13B3D" w:rsidRDefault="00D61B47" w:rsidP="00D61B47">
      <w:pPr>
        <w:jc w:val="center"/>
      </w:pPr>
      <w:r>
        <w:t>Int. No. 499</w:t>
      </w:r>
      <w:r w:rsidR="006C6992">
        <w:t>-A</w:t>
      </w:r>
    </w:p>
    <w:p w14:paraId="5CCFA644" w14:textId="77777777" w:rsidR="00D61B47" w:rsidRPr="00C13B3D" w:rsidRDefault="00D61B47" w:rsidP="00D61B47">
      <w:pPr>
        <w:jc w:val="center"/>
      </w:pPr>
    </w:p>
    <w:p w14:paraId="252A59BE" w14:textId="77777777" w:rsidR="00D61B47" w:rsidRDefault="00D61B47" w:rsidP="00D61B47">
      <w:pPr>
        <w:autoSpaceDE w:val="0"/>
        <w:autoSpaceDN w:val="0"/>
        <w:adjustRightInd w:val="0"/>
        <w:jc w:val="both"/>
      </w:pPr>
      <w:r>
        <w:t>By Council Members Powers, Restler, De La Rosa, Abreu, Hanif, Brewer, Cabán, Nurse, Avilés, Won, Rivera, Gutiérrez, Krishnan, Louis, Marte, Schulman, Bottcher, Ossé, Sanchez, Velázquez, Brannan, Barron, Hudson, Ayala, Farías, Riley, Joseph, Narcisse, Brooks-Powers, Williams, Ung, Menin, Stevens and Richardson Jordan (in conjunction with the Brooklyn Borough President) (at the request of the Manhattan Borough President)</w:t>
      </w:r>
    </w:p>
    <w:p w14:paraId="64C19C19" w14:textId="77777777" w:rsidR="00D61B47" w:rsidRPr="00C13B3D" w:rsidRDefault="00D61B47" w:rsidP="00D61B47">
      <w:pPr>
        <w:jc w:val="both"/>
      </w:pPr>
    </w:p>
    <w:p w14:paraId="728E4F42" w14:textId="77777777" w:rsidR="00D61B47" w:rsidRPr="00C13B3D" w:rsidRDefault="00D61B47" w:rsidP="00D61B47">
      <w:pPr>
        <w:jc w:val="both"/>
        <w:rPr>
          <w:vanish/>
        </w:rPr>
      </w:pPr>
      <w:r w:rsidRPr="00C13B3D">
        <w:rPr>
          <w:vanish/>
        </w:rPr>
        <w:t>..Title</w:t>
      </w:r>
    </w:p>
    <w:p w14:paraId="5883918F" w14:textId="77777777" w:rsidR="00D61B47" w:rsidRPr="00C13B3D" w:rsidRDefault="00D61B47" w:rsidP="00D61B47">
      <w:pPr>
        <w:jc w:val="both"/>
      </w:pPr>
      <w:r w:rsidRPr="00C13B3D">
        <w:t>A Local Law to amend the administrative code of the city of New York, in relation to the reporting on non-dep</w:t>
      </w:r>
      <w:r>
        <w:t>ository city financial services</w:t>
      </w:r>
    </w:p>
    <w:p w14:paraId="4A73FB15" w14:textId="77777777" w:rsidR="00D61B47" w:rsidRPr="00C13B3D" w:rsidRDefault="00D61B47" w:rsidP="00D61B47">
      <w:pPr>
        <w:jc w:val="both"/>
        <w:rPr>
          <w:vanish/>
        </w:rPr>
      </w:pPr>
      <w:r w:rsidRPr="00C13B3D">
        <w:rPr>
          <w:vanish/>
        </w:rPr>
        <w:t>..Body</w:t>
      </w:r>
    </w:p>
    <w:p w14:paraId="5E743031" w14:textId="77777777" w:rsidR="00D61B47" w:rsidRPr="00C13B3D" w:rsidRDefault="00D61B47" w:rsidP="00D61B47">
      <w:pPr>
        <w:jc w:val="both"/>
        <w:rPr>
          <w:u w:val="single"/>
        </w:rPr>
      </w:pPr>
    </w:p>
    <w:p w14:paraId="2A69A04B" w14:textId="77777777" w:rsidR="00D61B47" w:rsidRPr="00C13B3D" w:rsidRDefault="00D61B47" w:rsidP="00D61B47">
      <w:pPr>
        <w:jc w:val="both"/>
      </w:pPr>
      <w:r w:rsidRPr="00C13B3D">
        <w:rPr>
          <w:u w:val="single"/>
        </w:rPr>
        <w:t>Be it enacted by the Council as follows:</w:t>
      </w:r>
    </w:p>
    <w:p w14:paraId="31372494" w14:textId="77777777" w:rsidR="00D61B47" w:rsidRPr="00C13B3D" w:rsidRDefault="00D61B47" w:rsidP="00D61B47">
      <w:pPr>
        <w:ind w:firstLine="720"/>
        <w:jc w:val="both"/>
      </w:pPr>
    </w:p>
    <w:p w14:paraId="2B83189C" w14:textId="77777777" w:rsidR="00D61B47" w:rsidRPr="00C13B3D" w:rsidRDefault="00D61B47" w:rsidP="00D61B47">
      <w:pPr>
        <w:spacing w:line="480" w:lineRule="auto"/>
        <w:ind w:firstLine="720"/>
        <w:jc w:val="both"/>
        <w:sectPr w:rsidR="00D61B47" w:rsidRPr="00C13B3D" w:rsidSect="00D61B47">
          <w:footerReference w:type="default" r:id="rId12"/>
          <w:footerReference w:type="first" r:id="rId13"/>
          <w:type w:val="continuous"/>
          <w:pgSz w:w="12240" w:h="15840"/>
          <w:pgMar w:top="1440" w:right="1440" w:bottom="1440" w:left="1440" w:header="720" w:footer="720" w:gutter="0"/>
          <w:cols w:space="720"/>
          <w:titlePg/>
          <w:docGrid w:linePitch="360"/>
        </w:sectPr>
      </w:pPr>
    </w:p>
    <w:p w14:paraId="5F53E027" w14:textId="77777777" w:rsidR="00D61B47" w:rsidRDefault="00D61B47" w:rsidP="00D61B47">
      <w:pPr>
        <w:spacing w:line="480" w:lineRule="auto"/>
        <w:ind w:firstLine="720"/>
      </w:pPr>
      <w:r w:rsidRPr="00C13B3D">
        <w:t>Section 1. Subchapter 1 of c</w:t>
      </w:r>
      <w:r w:rsidRPr="00C13B3D">
        <w:rPr>
          <w:color w:val="000000"/>
          <w:shd w:val="clear" w:color="auto" w:fill="FFFFFF"/>
        </w:rPr>
        <w:t>hapter 1 of title three of the administrative code of the city of New York is amended to add new section 3-119.</w:t>
      </w:r>
      <w:r>
        <w:rPr>
          <w:color w:val="000000"/>
          <w:shd w:val="clear" w:color="auto" w:fill="FFFFFF"/>
        </w:rPr>
        <w:t>6</w:t>
      </w:r>
      <w:r w:rsidRPr="00C13B3D">
        <w:rPr>
          <w:color w:val="000000"/>
          <w:shd w:val="clear" w:color="auto" w:fill="FFFFFF"/>
        </w:rPr>
        <w:t xml:space="preserve"> to read as follows:</w:t>
      </w:r>
    </w:p>
    <w:p w14:paraId="2FCB1CF3" w14:textId="77777777" w:rsidR="00D61B47" w:rsidRPr="00C13B3D" w:rsidRDefault="00D61B47" w:rsidP="00D61B47">
      <w:pPr>
        <w:spacing w:line="480" w:lineRule="auto"/>
        <w:ind w:firstLine="720"/>
      </w:pPr>
      <w:r w:rsidRPr="00C13B3D">
        <w:rPr>
          <w:color w:val="000000"/>
          <w:u w:val="single"/>
          <w:shd w:val="clear" w:color="auto" w:fill="FFFFFF"/>
        </w:rPr>
        <w:t>§</w:t>
      </w:r>
      <w:r w:rsidRPr="005D5C5D">
        <w:rPr>
          <w:color w:val="000000"/>
          <w:u w:val="single"/>
          <w:shd w:val="clear" w:color="auto" w:fill="FFFFFF"/>
        </w:rPr>
        <w:t xml:space="preserve"> </w:t>
      </w:r>
      <w:r w:rsidRPr="005D5C5D">
        <w:rPr>
          <w:u w:val="single"/>
        </w:rPr>
        <w:t>3</w:t>
      </w:r>
      <w:r>
        <w:rPr>
          <w:u w:val="single"/>
        </w:rPr>
        <w:t>-119.6</w:t>
      </w:r>
      <w:r w:rsidRPr="00C13B3D">
        <w:rPr>
          <w:u w:val="single"/>
        </w:rPr>
        <w:t xml:space="preserve"> Quarterly Reports on Non-Depository City Financial Services. a. Definitions. For purposes of this section, the following terms have the following meanings: </w:t>
      </w:r>
    </w:p>
    <w:p w14:paraId="1E225585" w14:textId="77777777" w:rsidR="00D61B47" w:rsidRPr="00C13B3D" w:rsidRDefault="00D61B47" w:rsidP="00D61B47">
      <w:pPr>
        <w:spacing w:line="480" w:lineRule="auto"/>
        <w:ind w:firstLine="720"/>
        <w:jc w:val="both"/>
        <w:rPr>
          <w:u w:val="single"/>
        </w:rPr>
      </w:pPr>
      <w:r w:rsidRPr="00C13B3D">
        <w:rPr>
          <w:u w:val="single"/>
        </w:rPr>
        <w:t>City</w:t>
      </w:r>
      <w:r>
        <w:rPr>
          <w:u w:val="single"/>
        </w:rPr>
        <w:t xml:space="preserve"> b</w:t>
      </w:r>
      <w:r w:rsidRPr="00C13B3D">
        <w:rPr>
          <w:u w:val="single"/>
        </w:rPr>
        <w:t>ond. The term “city bond” means the city’s general obligation bonds, the general obligation, tax-lien-asset-backed, appropriation-backed, revenue-backed, and legal-settlement-backed bonds of the city, its component units, and state instrumentalities whose accounts are subject to the supervision and audit of the city comptroller.</w:t>
      </w:r>
    </w:p>
    <w:p w14:paraId="26378E7C" w14:textId="77777777" w:rsidR="00D61B47" w:rsidRPr="00C13B3D" w:rsidRDefault="00D61B47" w:rsidP="00D61B47">
      <w:pPr>
        <w:spacing w:line="480" w:lineRule="auto"/>
        <w:ind w:firstLine="720"/>
        <w:jc w:val="both"/>
        <w:rPr>
          <w:u w:val="single"/>
        </w:rPr>
      </w:pPr>
      <w:r>
        <w:rPr>
          <w:u w:val="single"/>
        </w:rPr>
        <w:t>City n</w:t>
      </w:r>
      <w:r w:rsidRPr="00C13B3D">
        <w:rPr>
          <w:u w:val="single"/>
        </w:rPr>
        <w:t>ote. The term “city note” means the city’s short term debts in the form of tax anticipation notes, bond anticipation notes, and revenue anticipation notes as authorized by section 266 of the charter.</w:t>
      </w:r>
    </w:p>
    <w:p w14:paraId="3C61E33E" w14:textId="77777777" w:rsidR="00D61B47" w:rsidRPr="00C13B3D" w:rsidRDefault="00D61B47" w:rsidP="00D61B47">
      <w:pPr>
        <w:spacing w:line="480" w:lineRule="auto"/>
        <w:ind w:firstLine="720"/>
        <w:jc w:val="both"/>
      </w:pPr>
      <w:r>
        <w:rPr>
          <w:u w:val="single"/>
        </w:rPr>
        <w:t>Component u</w:t>
      </w:r>
      <w:r w:rsidRPr="00C13B3D">
        <w:rPr>
          <w:u w:val="single"/>
        </w:rPr>
        <w:t>nit. The term “component unit” means a financial reporting entity that is a legally separate organization from the city but for which the city is financially accountable.</w:t>
      </w:r>
    </w:p>
    <w:p w14:paraId="1257A435" w14:textId="77777777" w:rsidR="00D61B47" w:rsidRPr="00C13B3D" w:rsidRDefault="00D61B47" w:rsidP="00D61B47">
      <w:pPr>
        <w:spacing w:line="480" w:lineRule="auto"/>
        <w:ind w:firstLine="720"/>
        <w:jc w:val="both"/>
        <w:rPr>
          <w:u w:val="single"/>
        </w:rPr>
      </w:pPr>
      <w:r>
        <w:rPr>
          <w:u w:val="single"/>
        </w:rPr>
        <w:t>Financial i</w:t>
      </w:r>
      <w:r w:rsidRPr="00C13B3D">
        <w:rPr>
          <w:u w:val="single"/>
        </w:rPr>
        <w:t>nstitution. The term “financial institution” means a bank, savings and loan association, thrift, credit union, investment company, mortgage banker, mortgage broker, trust company, savings bank, securities broker, municipal securities broker, securities dealer, municipal securities dealer, securities underwriter, municipal securities underwriter, investment trust, bank holding company, finance company or financial services holding company.</w:t>
      </w:r>
    </w:p>
    <w:p w14:paraId="47434132" w14:textId="77777777" w:rsidR="00D61B47" w:rsidRPr="00C13B3D" w:rsidRDefault="00D61B47" w:rsidP="00D61B47">
      <w:pPr>
        <w:spacing w:line="480" w:lineRule="auto"/>
        <w:ind w:firstLine="720"/>
        <w:jc w:val="both"/>
        <w:rPr>
          <w:u w:val="single"/>
        </w:rPr>
      </w:pPr>
      <w:r>
        <w:rPr>
          <w:u w:val="single"/>
        </w:rPr>
        <w:t>Non-depository city financial s</w:t>
      </w:r>
      <w:r w:rsidRPr="00C13B3D">
        <w:rPr>
          <w:u w:val="single"/>
        </w:rPr>
        <w:t>ervices. The term “non-depository city financial services” means all financial services provided to the city by financial institutions, including payroll, lockbox, advisory, management, bond underwriting services, but excluding depository services at financial institutions designated by the city banking commission.</w:t>
      </w:r>
    </w:p>
    <w:p w14:paraId="7A2900FD" w14:textId="78DA80C3" w:rsidR="00D61B47" w:rsidRPr="00C13B3D" w:rsidRDefault="00D61B47" w:rsidP="00D61B47">
      <w:pPr>
        <w:spacing w:line="480" w:lineRule="auto"/>
        <w:ind w:firstLine="720"/>
        <w:jc w:val="both"/>
        <w:rPr>
          <w:u w:val="single"/>
        </w:rPr>
      </w:pPr>
      <w:r w:rsidRPr="00C13B3D">
        <w:rPr>
          <w:u w:val="single"/>
        </w:rPr>
        <w:t xml:space="preserve">b. Reports Required. </w:t>
      </w:r>
      <w:r w:rsidRPr="00C13B3D">
        <w:rPr>
          <w:color w:val="212121"/>
          <w:u w:val="single"/>
        </w:rPr>
        <w:t>Beginning no later than January 3</w:t>
      </w:r>
      <w:r>
        <w:rPr>
          <w:color w:val="212121"/>
          <w:u w:val="single"/>
        </w:rPr>
        <w:t>1, 202</w:t>
      </w:r>
      <w:r w:rsidR="006C6992">
        <w:rPr>
          <w:color w:val="212121"/>
          <w:u w:val="single"/>
        </w:rPr>
        <w:t>4</w:t>
      </w:r>
      <w:r w:rsidRPr="00C13B3D">
        <w:rPr>
          <w:color w:val="212121"/>
          <w:u w:val="single"/>
        </w:rPr>
        <w:t xml:space="preserve">, and no later than the last day of the month following each calendar quarter thereafter, </w:t>
      </w:r>
      <w:r w:rsidRPr="00C13B3D">
        <w:rPr>
          <w:u w:val="single"/>
        </w:rPr>
        <w:t xml:space="preserve">the director of management and budget shall post </w:t>
      </w:r>
      <w:r w:rsidRPr="00C13B3D">
        <w:rPr>
          <w:color w:val="212121"/>
          <w:u w:val="single"/>
        </w:rPr>
        <w:t>on the office of management and budget’s website and submit to the speaker of the council a report regarding use of non-depository city financial services provided by financial institutions that includes, at a minimum, the following information for the immediately-preceding quarter</w:t>
      </w:r>
      <w:r w:rsidRPr="00C13B3D">
        <w:rPr>
          <w:color w:val="212121"/>
        </w:rPr>
        <w:t>:</w:t>
      </w:r>
    </w:p>
    <w:p w14:paraId="1217E459" w14:textId="77777777" w:rsidR="00D61B47" w:rsidRPr="00C13B3D" w:rsidRDefault="00D61B47" w:rsidP="00D61B47">
      <w:pPr>
        <w:spacing w:line="480" w:lineRule="auto"/>
        <w:ind w:firstLine="720"/>
        <w:jc w:val="both"/>
        <w:rPr>
          <w:u w:val="single"/>
        </w:rPr>
      </w:pPr>
      <w:r w:rsidRPr="00C13B3D">
        <w:rPr>
          <w:u w:val="single"/>
        </w:rPr>
        <w:t>1. End of quarter balances, quarterly fees, and quarterly returns on any money market account holding city funds;</w:t>
      </w:r>
    </w:p>
    <w:p w14:paraId="399FD651" w14:textId="77777777" w:rsidR="00D61B47" w:rsidRPr="00C13B3D" w:rsidRDefault="00D61B47" w:rsidP="00D61B47">
      <w:pPr>
        <w:spacing w:line="480" w:lineRule="auto"/>
        <w:ind w:firstLine="720"/>
        <w:jc w:val="both"/>
        <w:rPr>
          <w:u w:val="single"/>
        </w:rPr>
      </w:pPr>
      <w:r w:rsidRPr="00C13B3D">
        <w:rPr>
          <w:u w:val="single"/>
        </w:rPr>
        <w:t xml:space="preserve">2. </w:t>
      </w:r>
      <w:r>
        <w:rPr>
          <w:u w:val="single"/>
        </w:rPr>
        <w:t>F</w:t>
      </w:r>
      <w:r w:rsidRPr="00C13B3D">
        <w:rPr>
          <w:u w:val="single"/>
        </w:rPr>
        <w:t xml:space="preserve">or each city bond and city note, whether each bond or note issue was competitively bid or negotiated and its issuance costs, which include, but are not limited to, underwriting costs, underwriters’ discount, bond or note counsel fees, bond or note rating fees, or fees for letters of credit or other credit enhancements, and any other issuance cost typically included in bond or note official statements, aggregated by financial institution, by service type, and by bond or note series; </w:t>
      </w:r>
    </w:p>
    <w:p w14:paraId="43EDACCE" w14:textId="77777777" w:rsidR="00D61B47" w:rsidRPr="00C13B3D" w:rsidRDefault="00D61B47" w:rsidP="00D61B47">
      <w:pPr>
        <w:spacing w:line="480" w:lineRule="auto"/>
        <w:ind w:firstLine="720"/>
        <w:jc w:val="both"/>
        <w:rPr>
          <w:u w:val="single"/>
        </w:rPr>
      </w:pPr>
      <w:r>
        <w:rPr>
          <w:u w:val="single"/>
        </w:rPr>
        <w:t>3. T</w:t>
      </w:r>
      <w:r w:rsidRPr="00C13B3D">
        <w:rPr>
          <w:u w:val="single"/>
        </w:rPr>
        <w:t xml:space="preserve">he amount and cost of any credit default swap payment, aggregated by swap and by counterparty; and </w:t>
      </w:r>
    </w:p>
    <w:p w14:paraId="100B2A57" w14:textId="77777777" w:rsidR="00D61B47" w:rsidRPr="00C13B3D" w:rsidRDefault="00D61B47" w:rsidP="00D61B47">
      <w:pPr>
        <w:spacing w:line="480" w:lineRule="auto"/>
        <w:ind w:firstLine="720"/>
        <w:jc w:val="both"/>
        <w:rPr>
          <w:sz w:val="18"/>
          <w:szCs w:val="18"/>
        </w:rPr>
      </w:pPr>
      <w:r>
        <w:rPr>
          <w:u w:val="single"/>
        </w:rPr>
        <w:t>4. A</w:t>
      </w:r>
      <w:r w:rsidRPr="00C13B3D">
        <w:rPr>
          <w:u w:val="single"/>
        </w:rPr>
        <w:t>ny other non-depository city financial services cost, including any costs for managing money in non-pension city investment pools, aggregated by financial institution and disaggregated by expense.</w:t>
      </w:r>
    </w:p>
    <w:p w14:paraId="1763F45F" w14:textId="77777777" w:rsidR="00D61B47" w:rsidRPr="00C13B3D" w:rsidRDefault="00D61B47" w:rsidP="00D61B47">
      <w:pPr>
        <w:spacing w:line="480" w:lineRule="auto"/>
        <w:ind w:firstLine="720"/>
        <w:jc w:val="both"/>
        <w:rPr>
          <w:color w:val="000000"/>
          <w:shd w:val="clear" w:color="auto" w:fill="FFFFFF"/>
        </w:rPr>
      </w:pPr>
      <w:r w:rsidRPr="00C13B3D">
        <w:rPr>
          <w:color w:val="000000"/>
          <w:shd w:val="clear" w:color="auto" w:fill="FFFFFF"/>
        </w:rPr>
        <w:t>§ 2.  This local law takes effect immediately.</w:t>
      </w:r>
    </w:p>
    <w:p w14:paraId="70A28CCB" w14:textId="77777777" w:rsidR="00D61B47" w:rsidRPr="00C13B3D" w:rsidRDefault="00D61B47" w:rsidP="00D61B47">
      <w:pPr>
        <w:spacing w:line="480" w:lineRule="auto"/>
        <w:ind w:firstLine="720"/>
        <w:jc w:val="both"/>
        <w:sectPr w:rsidR="00D61B47" w:rsidRPr="00C13B3D" w:rsidSect="00D55F48">
          <w:type w:val="continuous"/>
          <w:pgSz w:w="12240" w:h="15840"/>
          <w:pgMar w:top="1440" w:right="1440" w:bottom="1350" w:left="1440" w:header="720" w:footer="720" w:gutter="0"/>
          <w:lnNumType w:countBy="1"/>
          <w:cols w:space="720"/>
          <w:titlePg/>
          <w:docGrid w:linePitch="360"/>
        </w:sectPr>
      </w:pPr>
    </w:p>
    <w:p w14:paraId="27002F00" w14:textId="77777777" w:rsidR="00D61B47" w:rsidRPr="00C13B3D" w:rsidRDefault="00D61B47" w:rsidP="00D61B47">
      <w:pPr>
        <w:jc w:val="both"/>
        <w:rPr>
          <w:sz w:val="20"/>
          <w:szCs w:val="20"/>
        </w:rPr>
      </w:pPr>
    </w:p>
    <w:p w14:paraId="4D17D22A" w14:textId="77777777" w:rsidR="00D61B47" w:rsidRPr="00C13B3D" w:rsidRDefault="00D61B47" w:rsidP="00D61B47">
      <w:pPr>
        <w:jc w:val="both"/>
        <w:rPr>
          <w:sz w:val="20"/>
          <w:szCs w:val="20"/>
        </w:rPr>
      </w:pPr>
    </w:p>
    <w:p w14:paraId="25E673D2" w14:textId="77777777" w:rsidR="00D61B47" w:rsidRPr="005D5C5D" w:rsidRDefault="00D61B47" w:rsidP="00D61B47">
      <w:pPr>
        <w:jc w:val="both"/>
        <w:rPr>
          <w:sz w:val="20"/>
          <w:szCs w:val="20"/>
          <w:u w:val="single"/>
        </w:rPr>
      </w:pPr>
      <w:r w:rsidRPr="005D5C5D">
        <w:rPr>
          <w:sz w:val="20"/>
          <w:szCs w:val="20"/>
          <w:u w:val="single"/>
        </w:rPr>
        <w:t>Session 12</w:t>
      </w:r>
    </w:p>
    <w:p w14:paraId="14F5FB9C" w14:textId="77777777" w:rsidR="00D61B47" w:rsidRPr="005D5C5D" w:rsidRDefault="00D61B47" w:rsidP="00D61B47">
      <w:pPr>
        <w:jc w:val="both"/>
        <w:rPr>
          <w:sz w:val="20"/>
          <w:szCs w:val="20"/>
        </w:rPr>
      </w:pPr>
      <w:r w:rsidRPr="005D5C5D">
        <w:rPr>
          <w:sz w:val="20"/>
          <w:szCs w:val="20"/>
        </w:rPr>
        <w:t>AV</w:t>
      </w:r>
    </w:p>
    <w:p w14:paraId="3BC24B9D" w14:textId="77777777" w:rsidR="00D61B47" w:rsidRPr="005D5C5D" w:rsidRDefault="00D61B47" w:rsidP="00D61B47">
      <w:pPr>
        <w:jc w:val="both"/>
        <w:rPr>
          <w:sz w:val="20"/>
          <w:szCs w:val="20"/>
        </w:rPr>
      </w:pPr>
      <w:r>
        <w:rPr>
          <w:sz w:val="20"/>
          <w:szCs w:val="20"/>
        </w:rPr>
        <w:t>LS 3708/7828</w:t>
      </w:r>
    </w:p>
    <w:p w14:paraId="27DBABDD" w14:textId="77777777" w:rsidR="00D61B47" w:rsidRPr="005D5C5D" w:rsidRDefault="00D61B47" w:rsidP="00D61B47">
      <w:pPr>
        <w:jc w:val="both"/>
        <w:rPr>
          <w:sz w:val="20"/>
          <w:szCs w:val="20"/>
        </w:rPr>
      </w:pPr>
      <w:r w:rsidRPr="005D5C5D">
        <w:rPr>
          <w:sz w:val="20"/>
          <w:szCs w:val="20"/>
        </w:rPr>
        <w:t>5/2/2022</w:t>
      </w:r>
    </w:p>
    <w:p w14:paraId="315D115B" w14:textId="77777777" w:rsidR="00D61B47" w:rsidRPr="005D5C5D" w:rsidRDefault="00D61B47" w:rsidP="00D61B47">
      <w:pPr>
        <w:jc w:val="both"/>
        <w:rPr>
          <w:sz w:val="20"/>
          <w:szCs w:val="20"/>
        </w:rPr>
      </w:pPr>
    </w:p>
    <w:p w14:paraId="5A6FA241" w14:textId="77777777" w:rsidR="00D61B47" w:rsidRPr="005D5C5D" w:rsidRDefault="00D61B47" w:rsidP="00D61B47">
      <w:pPr>
        <w:jc w:val="both"/>
        <w:rPr>
          <w:sz w:val="20"/>
          <w:szCs w:val="20"/>
        </w:rPr>
      </w:pPr>
      <w:r w:rsidRPr="005D5C5D">
        <w:rPr>
          <w:sz w:val="20"/>
          <w:szCs w:val="20"/>
          <w:u w:val="single"/>
        </w:rPr>
        <w:t>Session 11</w:t>
      </w:r>
    </w:p>
    <w:p w14:paraId="07B07B6C" w14:textId="77777777" w:rsidR="00D61B47" w:rsidRPr="00C13B3D" w:rsidRDefault="00D61B47" w:rsidP="00D61B47">
      <w:pPr>
        <w:jc w:val="both"/>
        <w:rPr>
          <w:sz w:val="20"/>
          <w:szCs w:val="20"/>
        </w:rPr>
      </w:pPr>
      <w:r w:rsidRPr="00C13B3D">
        <w:rPr>
          <w:sz w:val="20"/>
          <w:szCs w:val="20"/>
        </w:rPr>
        <w:t>NB</w:t>
      </w:r>
    </w:p>
    <w:p w14:paraId="187B8F9D" w14:textId="77777777" w:rsidR="00D61B47" w:rsidRPr="00C13B3D" w:rsidRDefault="00D61B47" w:rsidP="00D61B47">
      <w:pPr>
        <w:jc w:val="both"/>
        <w:rPr>
          <w:sz w:val="20"/>
          <w:szCs w:val="20"/>
        </w:rPr>
      </w:pPr>
      <w:r w:rsidRPr="00C13B3D">
        <w:rPr>
          <w:sz w:val="20"/>
          <w:szCs w:val="20"/>
        </w:rPr>
        <w:t>LS # 13239</w:t>
      </w:r>
    </w:p>
    <w:p w14:paraId="1ADC29A8" w14:textId="77777777" w:rsidR="009931E8" w:rsidRDefault="00D61B47" w:rsidP="009931E8">
      <w:pPr>
        <w:rPr>
          <w:sz w:val="20"/>
          <w:szCs w:val="20"/>
        </w:rPr>
      </w:pPr>
      <w:r w:rsidRPr="005D5C5D">
        <w:rPr>
          <w:sz w:val="20"/>
          <w:szCs w:val="20"/>
        </w:rPr>
        <w:t>Int. 2100-2020</w:t>
      </w:r>
    </w:p>
    <w:p w14:paraId="5149469E" w14:textId="77777777" w:rsidR="009931E8" w:rsidRDefault="009931E8">
      <w:pPr>
        <w:rPr>
          <w:sz w:val="20"/>
          <w:szCs w:val="20"/>
        </w:rPr>
      </w:pPr>
      <w:r>
        <w:rPr>
          <w:sz w:val="20"/>
          <w:szCs w:val="20"/>
        </w:rPr>
        <w:br w:type="page"/>
      </w:r>
    </w:p>
    <w:p w14:paraId="708EB6D7" w14:textId="0B36D2FF" w:rsidR="006B6C8D" w:rsidRDefault="006B6C8D" w:rsidP="006B6C8D">
      <w:pPr>
        <w:jc w:val="center"/>
      </w:pPr>
      <w:r>
        <w:t>Int. No. 999</w:t>
      </w:r>
    </w:p>
    <w:p w14:paraId="2E0939B0" w14:textId="77777777" w:rsidR="006B6C8D" w:rsidRDefault="006B6C8D" w:rsidP="006B6C8D">
      <w:pPr>
        <w:jc w:val="center"/>
      </w:pPr>
    </w:p>
    <w:p w14:paraId="32F6EEC7" w14:textId="104D9B91" w:rsidR="006B6C8D" w:rsidRDefault="006B6C8D" w:rsidP="006B6C8D">
      <w:pPr>
        <w:jc w:val="both"/>
      </w:pPr>
      <w:r>
        <w:t xml:space="preserve">By Council Members </w:t>
      </w:r>
      <w:r w:rsidR="009931E8">
        <w:t>Powers, De La Rosa, Restler, Abreu, Richardson Jordan, Farías, Marte, Hudson, Hanif, and Ossé</w:t>
      </w:r>
    </w:p>
    <w:p w14:paraId="463319F7" w14:textId="77777777" w:rsidR="006B6C8D" w:rsidRDefault="006B6C8D" w:rsidP="006B6C8D">
      <w:pPr>
        <w:pStyle w:val="BodyText"/>
        <w:spacing w:line="240" w:lineRule="auto"/>
        <w:ind w:firstLine="0"/>
      </w:pPr>
    </w:p>
    <w:p w14:paraId="3177F21F" w14:textId="77777777" w:rsidR="006B6C8D" w:rsidRPr="00B536B0" w:rsidRDefault="006B6C8D" w:rsidP="006B6C8D">
      <w:pPr>
        <w:pStyle w:val="BodyText"/>
        <w:spacing w:line="240" w:lineRule="auto"/>
        <w:ind w:firstLine="0"/>
        <w:rPr>
          <w:vanish/>
        </w:rPr>
      </w:pPr>
      <w:r w:rsidRPr="00B536B0">
        <w:rPr>
          <w:vanish/>
        </w:rPr>
        <w:t>..Title</w:t>
      </w:r>
    </w:p>
    <w:p w14:paraId="61905D7C" w14:textId="77777777" w:rsidR="006B6C8D" w:rsidRDefault="006B6C8D" w:rsidP="006B6C8D">
      <w:pPr>
        <w:pStyle w:val="BodyText"/>
        <w:spacing w:line="240" w:lineRule="auto"/>
        <w:ind w:firstLine="0"/>
      </w:pPr>
      <w:r>
        <w:t>A Local Law in relation to the establishment of a task force to study options and make recommendations for a plan to implement a municipal public bank</w:t>
      </w:r>
    </w:p>
    <w:p w14:paraId="7A5F5029" w14:textId="77777777" w:rsidR="006B6C8D" w:rsidRPr="00B536B0" w:rsidRDefault="006B6C8D" w:rsidP="006B6C8D">
      <w:pPr>
        <w:pStyle w:val="BodyText"/>
        <w:spacing w:line="240" w:lineRule="auto"/>
        <w:ind w:firstLine="0"/>
        <w:rPr>
          <w:vanish/>
        </w:rPr>
      </w:pPr>
      <w:r w:rsidRPr="00B536B0">
        <w:rPr>
          <w:vanish/>
        </w:rPr>
        <w:t>..Body</w:t>
      </w:r>
    </w:p>
    <w:p w14:paraId="3593273C" w14:textId="77777777" w:rsidR="006B6C8D" w:rsidRDefault="006B6C8D" w:rsidP="006B6C8D">
      <w:pPr>
        <w:pStyle w:val="BodyText"/>
        <w:spacing w:line="240" w:lineRule="auto"/>
        <w:ind w:firstLine="0"/>
        <w:rPr>
          <w:u w:val="single"/>
        </w:rPr>
      </w:pPr>
    </w:p>
    <w:p w14:paraId="695509D4" w14:textId="77777777" w:rsidR="006B6C8D" w:rsidRDefault="006B6C8D" w:rsidP="006B6C8D">
      <w:pPr>
        <w:jc w:val="both"/>
      </w:pPr>
      <w:r>
        <w:rPr>
          <w:u w:val="single"/>
        </w:rPr>
        <w:t>Be it enacted by the Council as follows</w:t>
      </w:r>
      <w:r w:rsidRPr="005B5DE4">
        <w:rPr>
          <w:u w:val="single"/>
        </w:rPr>
        <w:t>:</w:t>
      </w:r>
    </w:p>
    <w:p w14:paraId="7E66EC78" w14:textId="77777777" w:rsidR="006B6C8D" w:rsidRDefault="006B6C8D" w:rsidP="006B6C8D">
      <w:pPr>
        <w:jc w:val="both"/>
      </w:pPr>
    </w:p>
    <w:p w14:paraId="4D8AAB5C" w14:textId="77777777" w:rsidR="006B6C8D" w:rsidRDefault="006B6C8D" w:rsidP="006B6C8D">
      <w:pPr>
        <w:spacing w:line="480" w:lineRule="auto"/>
        <w:jc w:val="both"/>
        <w:sectPr w:rsidR="006B6C8D" w:rsidSect="006B6C8D">
          <w:footerReference w:type="default" r:id="rId14"/>
          <w:footerReference w:type="first" r:id="rId15"/>
          <w:type w:val="continuous"/>
          <w:pgSz w:w="12240" w:h="15840"/>
          <w:pgMar w:top="1440" w:right="1440" w:bottom="1440" w:left="1440" w:header="720" w:footer="720" w:gutter="0"/>
          <w:cols w:space="720"/>
          <w:docGrid w:linePitch="360"/>
        </w:sectPr>
      </w:pPr>
    </w:p>
    <w:p w14:paraId="5BDCB453" w14:textId="77777777" w:rsidR="006B6C8D" w:rsidRPr="00173B6A" w:rsidRDefault="006B6C8D" w:rsidP="00F269FB">
      <w:pPr>
        <w:spacing w:line="480" w:lineRule="auto"/>
        <w:ind w:firstLine="720"/>
        <w:jc w:val="both"/>
      </w:pPr>
      <w:r w:rsidRPr="005F7931">
        <w:t xml:space="preserve">Section 1. </w:t>
      </w:r>
      <w:r w:rsidRPr="00173B6A">
        <w:t>Definitions. For purposes of this local law, the following terms have the following meanings:</w:t>
      </w:r>
    </w:p>
    <w:p w14:paraId="3CFEAE11" w14:textId="77777777" w:rsidR="006B6C8D" w:rsidRDefault="006B6C8D" w:rsidP="00F269FB">
      <w:pPr>
        <w:spacing w:line="480" w:lineRule="auto"/>
        <w:ind w:firstLine="720"/>
        <w:jc w:val="both"/>
      </w:pPr>
      <w:r>
        <w:t>Agency. The term “agency” means a city, county, borough, or other office, department, division, bureau, board or commission, or a corporation, institution or agency of government, the expenses of which are paid in whole or in part from the city treasury, unless otherwise specified.</w:t>
      </w:r>
    </w:p>
    <w:p w14:paraId="11689AD2" w14:textId="77777777" w:rsidR="006B6C8D" w:rsidRDefault="006B6C8D" w:rsidP="00F269FB">
      <w:pPr>
        <w:spacing w:line="480" w:lineRule="auto"/>
        <w:ind w:firstLine="720"/>
        <w:jc w:val="both"/>
      </w:pPr>
      <w:r w:rsidRPr="00173B6A">
        <w:t>City. The term “city” means the city of New York.</w:t>
      </w:r>
    </w:p>
    <w:p w14:paraId="75081931" w14:textId="77777777" w:rsidR="006B6C8D" w:rsidRDefault="006B6C8D" w:rsidP="00F269FB">
      <w:pPr>
        <w:spacing w:line="480" w:lineRule="auto"/>
        <w:ind w:firstLine="720"/>
        <w:jc w:val="both"/>
      </w:pPr>
      <w:r>
        <w:t>Community banking experience. The term “community banking experience” means current or past employment experience as an officer, director, executive, or an equivalent senior leadership role at a community development financial institution certified by the U.S. Department of the Treasury Community Development Financial Institutions Fund.</w:t>
      </w:r>
    </w:p>
    <w:p w14:paraId="52BB61C3" w14:textId="77777777" w:rsidR="006B6C8D" w:rsidRPr="00173B6A" w:rsidRDefault="006B6C8D" w:rsidP="00F269FB">
      <w:pPr>
        <w:spacing w:line="480" w:lineRule="auto"/>
        <w:ind w:firstLine="720"/>
        <w:jc w:val="both"/>
      </w:pPr>
      <w:r>
        <w:t>Independent. The term “independent” means that at the time of their appointment to the task force, a task force member does not hold public office and has not held public office for five years or more prior to such time of appointment.</w:t>
      </w:r>
    </w:p>
    <w:p w14:paraId="79A26481" w14:textId="77777777" w:rsidR="006B6C8D" w:rsidRPr="00173B6A" w:rsidRDefault="006B6C8D" w:rsidP="00F269FB">
      <w:pPr>
        <w:spacing w:line="480" w:lineRule="auto"/>
        <w:ind w:firstLine="720"/>
        <w:jc w:val="both"/>
      </w:pPr>
      <w:r w:rsidRPr="00173B6A">
        <w:t xml:space="preserve">Task force. The term “task force” means the </w:t>
      </w:r>
      <w:r>
        <w:t>public bank implementation plan</w:t>
      </w:r>
      <w:r w:rsidRPr="00173B6A">
        <w:t xml:space="preserve"> task force established by this local law.</w:t>
      </w:r>
    </w:p>
    <w:p w14:paraId="65F6B3EE" w14:textId="77777777" w:rsidR="006B6C8D" w:rsidRPr="00173B6A" w:rsidRDefault="006B6C8D" w:rsidP="00F269FB">
      <w:pPr>
        <w:spacing w:line="480" w:lineRule="auto"/>
        <w:ind w:firstLine="720"/>
        <w:jc w:val="both"/>
      </w:pPr>
      <w:r w:rsidRPr="00173B6A">
        <w:t xml:space="preserve">§ 2. Task force established. There is hereby established a task force to be known as the </w:t>
      </w:r>
      <w:r>
        <w:t xml:space="preserve">public bank implementation plan </w:t>
      </w:r>
      <w:r w:rsidRPr="00173B6A">
        <w:t>task force.</w:t>
      </w:r>
    </w:p>
    <w:p w14:paraId="44619018" w14:textId="77777777" w:rsidR="006B6C8D" w:rsidRDefault="006B6C8D" w:rsidP="00F269FB">
      <w:pPr>
        <w:spacing w:line="480" w:lineRule="auto"/>
        <w:ind w:firstLine="720"/>
        <w:jc w:val="both"/>
      </w:pPr>
      <w:r w:rsidRPr="006210A0">
        <w:t xml:space="preserve">§ 3. Duties. The task force shall (i) study the potential for a public bank sponsored by the city </w:t>
      </w:r>
      <w:r>
        <w:t xml:space="preserve">under the terms of the proposed Article 3-C of the Banking Law </w:t>
      </w:r>
      <w:r w:rsidRPr="006210A0">
        <w:t>as contemplated by New York State Senate Bill 1754 for the year 2023, as amended (the “</w:t>
      </w:r>
      <w:r>
        <w:t>Article</w:t>
      </w:r>
      <w:r w:rsidRPr="006210A0">
        <w:t xml:space="preserve">”), (ii) recommend a draft plan to satisfy the governance and charter requirements for a public bank as set forth in the </w:t>
      </w:r>
      <w:r>
        <w:t>Article</w:t>
      </w:r>
      <w:r w:rsidRPr="006210A0">
        <w:t xml:space="preserve">, and (iii) issue a report that addresses in detail all of the items set forth in paragraph 6 hereof. </w:t>
      </w:r>
    </w:p>
    <w:p w14:paraId="6DE1D25D" w14:textId="77777777" w:rsidR="006B6C8D" w:rsidRPr="00173B6A" w:rsidRDefault="006B6C8D" w:rsidP="00F269FB">
      <w:pPr>
        <w:spacing w:line="480" w:lineRule="auto"/>
        <w:ind w:firstLine="720"/>
        <w:jc w:val="both"/>
      </w:pPr>
      <w:r w:rsidRPr="00173B6A">
        <w:t>§ 4. Membership. a. The task force shall be composed of the following members:</w:t>
      </w:r>
    </w:p>
    <w:p w14:paraId="0B503E56" w14:textId="77777777" w:rsidR="006B6C8D" w:rsidRPr="00173B6A" w:rsidRDefault="006B6C8D" w:rsidP="00F269FB">
      <w:pPr>
        <w:spacing w:line="480" w:lineRule="auto"/>
        <w:ind w:firstLine="720"/>
        <w:jc w:val="both"/>
      </w:pPr>
      <w:r w:rsidRPr="00173B6A">
        <w:t xml:space="preserve">1. </w:t>
      </w:r>
      <w:r>
        <w:t>Three members appointed by the mayor, one of whom shall be t</w:t>
      </w:r>
      <w:r w:rsidRPr="00173B6A">
        <w:t xml:space="preserve">he commissioner of </w:t>
      </w:r>
      <w:r>
        <w:t>finance</w:t>
      </w:r>
      <w:r w:rsidRPr="00173B6A">
        <w:t xml:space="preserve"> </w:t>
      </w:r>
      <w:r>
        <w:t xml:space="preserve">or such commissioner’s designee, one of whom shall be the </w:t>
      </w:r>
      <w:r w:rsidRPr="00173B6A">
        <w:t xml:space="preserve">commissioner of </w:t>
      </w:r>
      <w:r>
        <w:t>consumer and worker protection</w:t>
      </w:r>
      <w:r w:rsidRPr="00173B6A">
        <w:t xml:space="preserve"> </w:t>
      </w:r>
      <w:r>
        <w:t>or such commissioner’s designee, and one of whom shall be a representative of a labor organization.</w:t>
      </w:r>
    </w:p>
    <w:p w14:paraId="20742929" w14:textId="77777777" w:rsidR="006B6C8D" w:rsidRPr="00173B6A" w:rsidRDefault="006B6C8D" w:rsidP="00F269FB">
      <w:pPr>
        <w:spacing w:line="480" w:lineRule="auto"/>
        <w:ind w:firstLine="720"/>
        <w:jc w:val="both"/>
      </w:pPr>
      <w:r>
        <w:t>2</w:t>
      </w:r>
      <w:r w:rsidRPr="00173B6A">
        <w:t xml:space="preserve">. </w:t>
      </w:r>
      <w:r>
        <w:t xml:space="preserve">Three members appointed by the comptroller, at least two of whom shall be independent, and one of whom shall have community banking experience; and </w:t>
      </w:r>
    </w:p>
    <w:p w14:paraId="235BBB0D" w14:textId="77777777" w:rsidR="006B6C8D" w:rsidRPr="00173B6A" w:rsidRDefault="006B6C8D" w:rsidP="00F269FB">
      <w:pPr>
        <w:spacing w:line="480" w:lineRule="auto"/>
        <w:ind w:firstLine="720"/>
        <w:jc w:val="both"/>
      </w:pPr>
      <w:r>
        <w:t>3</w:t>
      </w:r>
      <w:r w:rsidRPr="00173B6A">
        <w:t xml:space="preserve">. </w:t>
      </w:r>
      <w:r>
        <w:t xml:space="preserve">Three </w:t>
      </w:r>
      <w:r w:rsidRPr="00173B6A">
        <w:t>members appointed by the speaker of the council</w:t>
      </w:r>
      <w:r>
        <w:t>, at least two of whom shall be independent, and one of whom shall be a representative of an organization or association that exclusively or predominantly represents small businesses, as defined in article 4-b of the economic development law, and one of whom shall be a member of a community-based organization whose principal purpose is community development, economic development, consumer protection, or a combination thereof.</w:t>
      </w:r>
    </w:p>
    <w:p w14:paraId="11239B32" w14:textId="77777777" w:rsidR="006B6C8D" w:rsidRDefault="006B6C8D" w:rsidP="00F269FB">
      <w:pPr>
        <w:spacing w:line="480" w:lineRule="auto"/>
        <w:ind w:firstLine="720"/>
        <w:jc w:val="both"/>
      </w:pPr>
      <w:r w:rsidRPr="00173B6A">
        <w:t xml:space="preserve">b. </w:t>
      </w:r>
      <w:r>
        <w:t>The speaker of the council shall designate the chair of the task force from among the speaker’s appointees.</w:t>
      </w:r>
    </w:p>
    <w:p w14:paraId="1E058CDB" w14:textId="77777777" w:rsidR="006B6C8D" w:rsidRDefault="006B6C8D" w:rsidP="00F269FB">
      <w:pPr>
        <w:spacing w:line="480" w:lineRule="auto"/>
        <w:ind w:firstLine="720"/>
        <w:jc w:val="both"/>
      </w:pPr>
      <w:r>
        <w:t>c. The mayor may invite officers and representatives of relevant federal, state and local agencies and authorities to participate in the work of the task force.</w:t>
      </w:r>
    </w:p>
    <w:p w14:paraId="55F9702B" w14:textId="77777777" w:rsidR="006B6C8D" w:rsidRDefault="006B6C8D" w:rsidP="00F269FB">
      <w:pPr>
        <w:spacing w:line="480" w:lineRule="auto"/>
        <w:ind w:firstLine="720"/>
        <w:jc w:val="both"/>
      </w:pPr>
      <w:r>
        <w:t>d. When naming their designees or members, the commissioners, mayor, comptroller, and speaker shall maximize board diversity to include representatives of historically-redlined communities and other groups to be served by the bank’s underwriting and financial policies.</w:t>
      </w:r>
    </w:p>
    <w:p w14:paraId="5D510DD1" w14:textId="77777777" w:rsidR="006B6C8D" w:rsidRPr="00173B6A" w:rsidRDefault="006B6C8D" w:rsidP="00F269FB">
      <w:pPr>
        <w:spacing w:line="480" w:lineRule="auto"/>
        <w:ind w:firstLine="720"/>
        <w:jc w:val="both"/>
      </w:pPr>
      <w:r>
        <w:t xml:space="preserve">e. </w:t>
      </w:r>
      <w:r w:rsidRPr="00173B6A">
        <w:t>All appointments required by this section shall be made no later than 90 days after the effective date of this local law.</w:t>
      </w:r>
    </w:p>
    <w:p w14:paraId="098BEFDC" w14:textId="77777777" w:rsidR="006B6C8D" w:rsidRDefault="006B6C8D" w:rsidP="00F269FB">
      <w:pPr>
        <w:spacing w:line="480" w:lineRule="auto"/>
        <w:ind w:firstLine="720"/>
        <w:jc w:val="both"/>
      </w:pPr>
      <w:r>
        <w:t>f</w:t>
      </w:r>
      <w:r w:rsidRPr="00173B6A">
        <w:t xml:space="preserve">. Each member of the task force shall serve at the pleasure of the officer who appointed the member. In the event of a vacancy on the task force, a successor shall be </w:t>
      </w:r>
      <w:r>
        <w:t>appointed</w:t>
      </w:r>
      <w:r w:rsidRPr="00173B6A">
        <w:t xml:space="preserve"> in the same manner as the original appointment</w:t>
      </w:r>
      <w:r>
        <w:t xml:space="preserve"> for the remainder of the unexpired term</w:t>
      </w:r>
      <w:r w:rsidRPr="00173B6A">
        <w:t>. All members of the task force shall serve without compensation.</w:t>
      </w:r>
    </w:p>
    <w:p w14:paraId="587D71BC" w14:textId="77777777" w:rsidR="006B6C8D" w:rsidRPr="00173B6A" w:rsidRDefault="006B6C8D" w:rsidP="00F269FB">
      <w:pPr>
        <w:spacing w:line="480" w:lineRule="auto"/>
        <w:ind w:firstLine="720"/>
        <w:jc w:val="both"/>
      </w:pPr>
      <w:r w:rsidRPr="00173B6A">
        <w:t>§ 5. Meetings. a. The chair shall convene the first meeting of the task force no later than 30 days after the last member has been appointed</w:t>
      </w:r>
      <w:r>
        <w:t>, except that where not all members of the task force have been appointed within the time specified in section four, the chair shall convene the first meeting of the task force within 10 days of the appointment of a quorum.</w:t>
      </w:r>
    </w:p>
    <w:p w14:paraId="5F811695" w14:textId="77777777" w:rsidR="006B6C8D" w:rsidRPr="00173B6A" w:rsidRDefault="006B6C8D" w:rsidP="00F269FB">
      <w:pPr>
        <w:spacing w:line="480" w:lineRule="auto"/>
        <w:ind w:firstLine="720"/>
        <w:jc w:val="both"/>
      </w:pPr>
      <w:r>
        <w:t>b</w:t>
      </w:r>
      <w:r w:rsidRPr="00173B6A">
        <w:t>. The task force may invite experts and stakeholders to attend its meetings and to provide testimony and information relevant to its duties.</w:t>
      </w:r>
    </w:p>
    <w:p w14:paraId="764C316F" w14:textId="77777777" w:rsidR="006B6C8D" w:rsidRPr="00173B6A" w:rsidRDefault="006B6C8D" w:rsidP="00F269FB">
      <w:pPr>
        <w:spacing w:line="480" w:lineRule="auto"/>
        <w:ind w:firstLine="720"/>
        <w:jc w:val="both"/>
      </w:pPr>
      <w:r>
        <w:t>c</w:t>
      </w:r>
      <w:r w:rsidRPr="00173B6A">
        <w:t>. The task force shall meet no less than once each quarter to carry out the duties described in section three.</w:t>
      </w:r>
    </w:p>
    <w:p w14:paraId="64117153" w14:textId="77777777" w:rsidR="006B6C8D" w:rsidRPr="00173B6A" w:rsidRDefault="006B6C8D" w:rsidP="00F269FB">
      <w:pPr>
        <w:spacing w:line="480" w:lineRule="auto"/>
        <w:ind w:firstLine="720"/>
        <w:jc w:val="both"/>
      </w:pPr>
      <w:r>
        <w:t>d</w:t>
      </w:r>
      <w:r w:rsidRPr="00173B6A">
        <w:t xml:space="preserve">. The meeting requirement of subdivision </w:t>
      </w:r>
      <w:r>
        <w:t>c</w:t>
      </w:r>
      <w:r w:rsidRPr="00173B6A">
        <w:t xml:space="preserve"> shall be suspended when the task force submits its report as required by section six.</w:t>
      </w:r>
    </w:p>
    <w:p w14:paraId="0C355CB0" w14:textId="77777777" w:rsidR="006B6C8D" w:rsidRDefault="006B6C8D" w:rsidP="00F269FB">
      <w:pPr>
        <w:spacing w:line="480" w:lineRule="auto"/>
        <w:ind w:firstLine="720"/>
        <w:jc w:val="both"/>
      </w:pPr>
      <w:r w:rsidRPr="00173B6A">
        <w:t xml:space="preserve">§ 6. Report. </w:t>
      </w:r>
      <w:r>
        <w:t>a. N</w:t>
      </w:r>
      <w:r w:rsidRPr="00173B6A">
        <w:t xml:space="preserve">o later than </w:t>
      </w:r>
      <w:r>
        <w:t>one year from its first meeting</w:t>
      </w:r>
      <w:r w:rsidRPr="00173B6A">
        <w:t>, the task force sha</w:t>
      </w:r>
      <w:r>
        <w:t xml:space="preserve">ll submit a report to the mayor, the comptroller, and </w:t>
      </w:r>
      <w:r w:rsidRPr="00173B6A">
        <w:t xml:space="preserve">the speaker of the council setting forth its recommendations </w:t>
      </w:r>
      <w:r>
        <w:t>for the composition of a public bank in the city that satisfies the requirements contained in the Article, which recommendations shall address in detail but not be limited to the following:</w:t>
      </w:r>
    </w:p>
    <w:p w14:paraId="7631961D" w14:textId="77777777" w:rsidR="006B6C8D" w:rsidRDefault="006B6C8D" w:rsidP="00F269FB">
      <w:pPr>
        <w:spacing w:line="480" w:lineRule="auto"/>
        <w:ind w:firstLine="720"/>
        <w:jc w:val="both"/>
        <w:rPr>
          <w:color w:val="222222"/>
        </w:rPr>
      </w:pPr>
      <w:r>
        <w:t xml:space="preserve">1. </w:t>
      </w:r>
      <w:r>
        <w:rPr>
          <w:color w:val="222222"/>
        </w:rPr>
        <w:t>Th</w:t>
      </w:r>
      <w:r w:rsidRPr="006210A0">
        <w:rPr>
          <w:color w:val="222222"/>
        </w:rPr>
        <w:t xml:space="preserve">e purpose of the proposed public bank that is consistent with the purposes required under the </w:t>
      </w:r>
      <w:r>
        <w:rPr>
          <w:color w:val="222222"/>
        </w:rPr>
        <w:t>Article</w:t>
      </w:r>
      <w:r w:rsidRPr="006210A0">
        <w:rPr>
          <w:color w:val="222222"/>
        </w:rPr>
        <w:t>;</w:t>
      </w:r>
    </w:p>
    <w:p w14:paraId="6758CFFE" w14:textId="77777777" w:rsidR="006B6C8D" w:rsidRDefault="006B6C8D" w:rsidP="00F269FB">
      <w:pPr>
        <w:spacing w:line="480" w:lineRule="auto"/>
        <w:ind w:firstLine="720"/>
        <w:jc w:val="both"/>
        <w:rPr>
          <w:color w:val="222222"/>
        </w:rPr>
      </w:pPr>
      <w:r>
        <w:rPr>
          <w:color w:val="222222"/>
        </w:rPr>
        <w:t>2. H</w:t>
      </w:r>
      <w:r w:rsidRPr="006210A0">
        <w:rPr>
          <w:color w:val="222222"/>
        </w:rPr>
        <w:t>ow to achieve a minimum initial capitalization that is no less than ten percent of the public bank’s projected lending total for the first year of operation after receipt of its charter;</w:t>
      </w:r>
    </w:p>
    <w:p w14:paraId="55302E0C" w14:textId="77777777" w:rsidR="006B6C8D" w:rsidRDefault="006B6C8D" w:rsidP="00F269FB">
      <w:pPr>
        <w:spacing w:line="480" w:lineRule="auto"/>
        <w:ind w:firstLine="720"/>
        <w:jc w:val="both"/>
        <w:rPr>
          <w:color w:val="222222"/>
        </w:rPr>
      </w:pPr>
      <w:r>
        <w:rPr>
          <w:color w:val="222222"/>
        </w:rPr>
        <w:t>3. T</w:t>
      </w:r>
      <w:r w:rsidRPr="006210A0">
        <w:rPr>
          <w:color w:val="222222"/>
        </w:rPr>
        <w:t>he establishment of adequate reserves and liquidity to cover the public bank’s obligations related to deposit withdrawals and defaulted loans;</w:t>
      </w:r>
    </w:p>
    <w:p w14:paraId="346355FB" w14:textId="77777777" w:rsidR="006B6C8D" w:rsidRDefault="006B6C8D" w:rsidP="00F269FB">
      <w:pPr>
        <w:spacing w:line="480" w:lineRule="auto"/>
        <w:ind w:firstLine="720"/>
        <w:jc w:val="both"/>
        <w:rPr>
          <w:color w:val="222222"/>
        </w:rPr>
      </w:pPr>
      <w:r>
        <w:rPr>
          <w:color w:val="222222"/>
        </w:rPr>
        <w:t>4. T</w:t>
      </w:r>
      <w:r w:rsidRPr="006210A0">
        <w:rPr>
          <w:color w:val="222222"/>
        </w:rPr>
        <w:t>he qualifications of the proposed chief executive officer and management team;</w:t>
      </w:r>
    </w:p>
    <w:p w14:paraId="61E64CEE" w14:textId="77777777" w:rsidR="006B6C8D" w:rsidRDefault="006B6C8D" w:rsidP="00F269FB">
      <w:pPr>
        <w:spacing w:line="480" w:lineRule="auto"/>
        <w:ind w:firstLine="720"/>
        <w:jc w:val="both"/>
        <w:rPr>
          <w:color w:val="222222"/>
        </w:rPr>
      </w:pPr>
      <w:r>
        <w:rPr>
          <w:color w:val="222222"/>
        </w:rPr>
        <w:t>5. A</w:t>
      </w:r>
      <w:r w:rsidRPr="006210A0">
        <w:rPr>
          <w:color w:val="222222"/>
        </w:rPr>
        <w:t>n organizational chart;</w:t>
      </w:r>
    </w:p>
    <w:p w14:paraId="5B2242FE" w14:textId="77777777" w:rsidR="006B6C8D" w:rsidRDefault="006B6C8D" w:rsidP="00F269FB">
      <w:pPr>
        <w:spacing w:line="480" w:lineRule="auto"/>
        <w:ind w:firstLine="720"/>
        <w:jc w:val="both"/>
        <w:rPr>
          <w:color w:val="222222"/>
        </w:rPr>
      </w:pPr>
      <w:r>
        <w:rPr>
          <w:color w:val="222222"/>
        </w:rPr>
        <w:t>6. P</w:t>
      </w:r>
      <w:r w:rsidRPr="006210A0">
        <w:rPr>
          <w:color w:val="222222"/>
        </w:rPr>
        <w:t>olicies and procedures prohibiting any elected official or affiliates of those officials from receiving a loan or other financial benefit from the public bank;</w:t>
      </w:r>
    </w:p>
    <w:p w14:paraId="4C70DFC4" w14:textId="77777777" w:rsidR="006B6C8D" w:rsidRDefault="006B6C8D" w:rsidP="00F269FB">
      <w:pPr>
        <w:spacing w:line="480" w:lineRule="auto"/>
        <w:ind w:firstLine="720"/>
        <w:jc w:val="both"/>
        <w:rPr>
          <w:color w:val="222222"/>
        </w:rPr>
      </w:pPr>
      <w:r>
        <w:rPr>
          <w:color w:val="222222"/>
        </w:rPr>
        <w:t>7. P</w:t>
      </w:r>
      <w:r w:rsidRPr="006210A0">
        <w:rPr>
          <w:color w:val="222222"/>
        </w:rPr>
        <w:t>rocedures for obtaining fidelity insurance;</w:t>
      </w:r>
    </w:p>
    <w:p w14:paraId="214545B6" w14:textId="77777777" w:rsidR="006B6C8D" w:rsidRDefault="006B6C8D" w:rsidP="00F269FB">
      <w:pPr>
        <w:spacing w:line="480" w:lineRule="auto"/>
        <w:ind w:firstLine="720"/>
        <w:jc w:val="both"/>
        <w:rPr>
          <w:color w:val="222222"/>
        </w:rPr>
      </w:pPr>
      <w:r>
        <w:rPr>
          <w:color w:val="222222"/>
        </w:rPr>
        <w:t>8. E</w:t>
      </w:r>
      <w:r w:rsidRPr="006210A0">
        <w:rPr>
          <w:color w:val="222222"/>
        </w:rPr>
        <w:t>stablishing sufficient internal audits and controls;</w:t>
      </w:r>
    </w:p>
    <w:p w14:paraId="799012FB" w14:textId="77777777" w:rsidR="006B6C8D" w:rsidRDefault="006B6C8D" w:rsidP="00F269FB">
      <w:pPr>
        <w:spacing w:line="480" w:lineRule="auto"/>
        <w:ind w:firstLine="720"/>
        <w:jc w:val="both"/>
        <w:rPr>
          <w:color w:val="222222"/>
        </w:rPr>
      </w:pPr>
      <w:r>
        <w:rPr>
          <w:color w:val="222222"/>
        </w:rPr>
        <w:t>9. A</w:t>
      </w:r>
      <w:r w:rsidRPr="006210A0">
        <w:rPr>
          <w:color w:val="222222"/>
        </w:rPr>
        <w:t xml:space="preserve"> pro forma financial statement projecting assets, liabilities, income and expenses for no less that a three year period;</w:t>
      </w:r>
    </w:p>
    <w:p w14:paraId="27352C68" w14:textId="77777777" w:rsidR="006B6C8D" w:rsidRDefault="006B6C8D" w:rsidP="00F269FB">
      <w:pPr>
        <w:spacing w:line="480" w:lineRule="auto"/>
        <w:ind w:firstLine="720"/>
        <w:jc w:val="both"/>
        <w:rPr>
          <w:color w:val="222222"/>
        </w:rPr>
      </w:pPr>
      <w:r>
        <w:rPr>
          <w:color w:val="222222"/>
        </w:rPr>
        <w:t>10. E</w:t>
      </w:r>
      <w:r w:rsidRPr="006210A0">
        <w:rPr>
          <w:color w:val="222222"/>
        </w:rPr>
        <w:t>nsuring there will be no material negative impact of the public bank on the city’s financial condition;</w:t>
      </w:r>
    </w:p>
    <w:p w14:paraId="3DF56A1F" w14:textId="77777777" w:rsidR="006B6C8D" w:rsidRDefault="006B6C8D" w:rsidP="00F269FB">
      <w:pPr>
        <w:spacing w:line="480" w:lineRule="auto"/>
        <w:ind w:firstLine="720"/>
        <w:jc w:val="both"/>
        <w:rPr>
          <w:color w:val="222222"/>
        </w:rPr>
      </w:pPr>
      <w:r>
        <w:rPr>
          <w:color w:val="222222"/>
        </w:rPr>
        <w:t>11. A</w:t>
      </w:r>
      <w:r w:rsidRPr="006210A0">
        <w:rPr>
          <w:color w:val="222222"/>
        </w:rPr>
        <w:t xml:space="preserve"> plan to comply with the Community Reinvestment Act and fair lending requirements, pursuant to section two hundred ninety six-a of the Executive Law;</w:t>
      </w:r>
    </w:p>
    <w:p w14:paraId="0AF50706" w14:textId="77777777" w:rsidR="006B6C8D" w:rsidRDefault="006B6C8D" w:rsidP="00F269FB">
      <w:pPr>
        <w:spacing w:line="480" w:lineRule="auto"/>
        <w:ind w:firstLine="720"/>
        <w:jc w:val="both"/>
        <w:rPr>
          <w:color w:val="222222"/>
        </w:rPr>
      </w:pPr>
      <w:r>
        <w:rPr>
          <w:color w:val="222222"/>
        </w:rPr>
        <w:t>12. T</w:t>
      </w:r>
      <w:r w:rsidRPr="006210A0">
        <w:rPr>
          <w:color w:val="222222"/>
        </w:rPr>
        <w:t>he corporate and governance structure of the public bank, and a certificate of incorporation, if applicable;</w:t>
      </w:r>
    </w:p>
    <w:p w14:paraId="751B29E6" w14:textId="77777777" w:rsidR="006B6C8D" w:rsidRDefault="006B6C8D" w:rsidP="00F269FB">
      <w:pPr>
        <w:spacing w:line="480" w:lineRule="auto"/>
        <w:ind w:firstLine="720"/>
        <w:jc w:val="both"/>
        <w:rPr>
          <w:color w:val="222222"/>
        </w:rPr>
      </w:pPr>
      <w:r>
        <w:rPr>
          <w:color w:val="222222"/>
        </w:rPr>
        <w:t>13. T</w:t>
      </w:r>
      <w:r w:rsidRPr="006210A0">
        <w:rPr>
          <w:color w:val="222222"/>
        </w:rPr>
        <w:t>he contents of a narrative business plan describing the banking services to be provided;</w:t>
      </w:r>
    </w:p>
    <w:p w14:paraId="2E2349A7" w14:textId="77777777" w:rsidR="006B6C8D" w:rsidRDefault="006B6C8D" w:rsidP="00F269FB">
      <w:pPr>
        <w:spacing w:line="480" w:lineRule="auto"/>
        <w:ind w:firstLine="720"/>
        <w:jc w:val="both"/>
        <w:rPr>
          <w:color w:val="222222"/>
        </w:rPr>
      </w:pPr>
      <w:r>
        <w:rPr>
          <w:color w:val="222222"/>
        </w:rPr>
        <w:t>14. W</w:t>
      </w:r>
      <w:r w:rsidRPr="006210A0">
        <w:rPr>
          <w:color w:val="222222"/>
        </w:rPr>
        <w:t>hether the public bank will insure or collateralize deposits from the city or any other governmental entity;</w:t>
      </w:r>
    </w:p>
    <w:p w14:paraId="1ACD5121" w14:textId="77777777" w:rsidR="006B6C8D" w:rsidRDefault="006B6C8D" w:rsidP="00F269FB">
      <w:pPr>
        <w:spacing w:line="480" w:lineRule="auto"/>
        <w:ind w:firstLine="720"/>
        <w:jc w:val="both"/>
        <w:rPr>
          <w:color w:val="222222"/>
        </w:rPr>
      </w:pPr>
      <w:r>
        <w:rPr>
          <w:color w:val="222222"/>
        </w:rPr>
        <w:t>15. T</w:t>
      </w:r>
      <w:r w:rsidRPr="006210A0">
        <w:rPr>
          <w:color w:val="222222"/>
        </w:rPr>
        <w:t xml:space="preserve">he manner in which the public bank will raise capital, including but not limited to (i) the receipt and leverage of public deposits, (ii) sponsor equity contributions, (iii) passive member or shareholder equity contributions, ((v) sale of corporate debt to the city, and (v)sale of corporate debt to third parties, </w:t>
      </w:r>
    </w:p>
    <w:p w14:paraId="51AE2113" w14:textId="77777777" w:rsidR="006B6C8D" w:rsidRDefault="006B6C8D" w:rsidP="00F269FB">
      <w:pPr>
        <w:spacing w:line="480" w:lineRule="auto"/>
        <w:ind w:firstLine="720"/>
        <w:jc w:val="both"/>
        <w:rPr>
          <w:color w:val="222222"/>
        </w:rPr>
      </w:pPr>
      <w:r>
        <w:rPr>
          <w:color w:val="222222"/>
        </w:rPr>
        <w:t>16. A</w:t>
      </w:r>
      <w:r w:rsidRPr="006210A0">
        <w:rPr>
          <w:color w:val="222222"/>
        </w:rPr>
        <w:t xml:space="preserve">n assessment of market opportunity and risk; and </w:t>
      </w:r>
    </w:p>
    <w:p w14:paraId="2037B7B0" w14:textId="77777777" w:rsidR="006B6C8D" w:rsidRPr="006210A0" w:rsidRDefault="006B6C8D" w:rsidP="00F269FB">
      <w:pPr>
        <w:spacing w:line="480" w:lineRule="auto"/>
        <w:ind w:firstLine="720"/>
        <w:jc w:val="both"/>
      </w:pPr>
      <w:r>
        <w:rPr>
          <w:color w:val="222222"/>
        </w:rPr>
        <w:t>17. T</w:t>
      </w:r>
      <w:r w:rsidRPr="006210A0">
        <w:rPr>
          <w:color w:val="222222"/>
        </w:rPr>
        <w:t>he provision of any other documents or information that the New York State Department of Financial Services may require.</w:t>
      </w:r>
    </w:p>
    <w:p w14:paraId="148E8FFD" w14:textId="77777777" w:rsidR="006B6C8D" w:rsidRPr="006210A0" w:rsidRDefault="006B6C8D" w:rsidP="006B6C8D">
      <w:pPr>
        <w:pStyle w:val="HTMLPreformatted"/>
        <w:shd w:val="clear" w:color="auto" w:fill="FFFFFF"/>
        <w:spacing w:line="480" w:lineRule="auto"/>
      </w:pPr>
      <w:r>
        <w:rPr>
          <w:rFonts w:ascii="Times New Roman" w:hAnsi="Times New Roman"/>
          <w:color w:val="222222"/>
          <w:sz w:val="24"/>
          <w:szCs w:val="24"/>
        </w:rPr>
        <w:tab/>
      </w:r>
      <w:r w:rsidRPr="006210A0">
        <w:rPr>
          <w:rFonts w:ascii="Times New Roman" w:hAnsi="Times New Roman"/>
          <w:color w:val="222222"/>
          <w:sz w:val="24"/>
          <w:szCs w:val="24"/>
        </w:rPr>
        <w:t>b. Notwithstanding the foregoing, the taskforce shall not be required to address an item set forth in subparagraph a above within one year of its first meeting if it identifies in writing the reason that item could not be completed and how much extra time it would need to complete that item.</w:t>
      </w:r>
      <w:r>
        <w:rPr>
          <w:color w:val="222222"/>
          <w:sz w:val="24"/>
          <w:szCs w:val="24"/>
        </w:rPr>
        <w:t xml:space="preserve"> </w:t>
      </w:r>
    </w:p>
    <w:p w14:paraId="3C36A777" w14:textId="77777777" w:rsidR="006B6C8D" w:rsidRPr="00173B6A" w:rsidRDefault="006B6C8D" w:rsidP="00F269FB">
      <w:pPr>
        <w:spacing w:line="480" w:lineRule="auto"/>
        <w:ind w:firstLine="720"/>
        <w:jc w:val="both"/>
      </w:pPr>
      <w:r>
        <w:t>c</w:t>
      </w:r>
      <w:r w:rsidRPr="00173B6A">
        <w:t>. The commissioner</w:t>
      </w:r>
      <w:r>
        <w:t>s</w:t>
      </w:r>
      <w:r w:rsidRPr="00173B6A">
        <w:t xml:space="preserve"> of </w:t>
      </w:r>
      <w:r>
        <w:t xml:space="preserve">finance and of consumer and worker protection </w:t>
      </w:r>
      <w:r w:rsidRPr="00173B6A">
        <w:t xml:space="preserve">shall publish the task force’s report electronically on </w:t>
      </w:r>
      <w:r>
        <w:t xml:space="preserve">their respective department </w:t>
      </w:r>
      <w:r w:rsidRPr="00173B6A">
        <w:t>website</w:t>
      </w:r>
      <w:r>
        <w:t xml:space="preserve">s </w:t>
      </w:r>
      <w:r w:rsidRPr="00173B6A">
        <w:t xml:space="preserve">no later than </w:t>
      </w:r>
      <w:r>
        <w:t>10</w:t>
      </w:r>
      <w:r w:rsidRPr="00173B6A">
        <w:t xml:space="preserve"> days after its submission to the</w:t>
      </w:r>
      <w:r>
        <w:t xml:space="preserve"> mayor and the speaker of the council</w:t>
      </w:r>
      <w:r w:rsidRPr="00173B6A">
        <w:t>.</w:t>
      </w:r>
    </w:p>
    <w:p w14:paraId="17C34FCF" w14:textId="77777777" w:rsidR="006B6C8D" w:rsidRPr="00173B6A" w:rsidRDefault="006B6C8D" w:rsidP="00F269FB">
      <w:pPr>
        <w:spacing w:line="480" w:lineRule="auto"/>
        <w:ind w:firstLine="720"/>
        <w:jc w:val="both"/>
      </w:pPr>
      <w:r w:rsidRPr="00173B6A">
        <w:t>§ 7. Agency support. Each agency affected by this local law shall provide appropriate staff and resources to support the work of such agency related to the task force.</w:t>
      </w:r>
    </w:p>
    <w:p w14:paraId="3AD967EE" w14:textId="77777777" w:rsidR="006B6C8D" w:rsidRPr="00173B6A" w:rsidRDefault="006B6C8D" w:rsidP="00F269FB">
      <w:pPr>
        <w:spacing w:line="480" w:lineRule="auto"/>
        <w:ind w:firstLine="720"/>
        <w:jc w:val="both"/>
      </w:pPr>
      <w:r w:rsidRPr="00173B6A">
        <w:t>§ 8. Termination. The task force shall terminate 180 days after the date on which it submits its report, as required by section six.</w:t>
      </w:r>
    </w:p>
    <w:p w14:paraId="4174E3FC" w14:textId="77777777" w:rsidR="006B6C8D" w:rsidRDefault="006B6C8D" w:rsidP="00F269FB">
      <w:pPr>
        <w:spacing w:line="480" w:lineRule="auto"/>
        <w:ind w:firstLine="720"/>
        <w:jc w:val="both"/>
      </w:pPr>
      <w:r w:rsidRPr="00173B6A">
        <w:t>§ 9. Effective date. This loc</w:t>
      </w:r>
      <w:r>
        <w:t>al law takes effect immediately.</w:t>
      </w:r>
    </w:p>
    <w:p w14:paraId="3C5B222C" w14:textId="77777777" w:rsidR="006B6C8D" w:rsidRPr="005F7931" w:rsidRDefault="006B6C8D" w:rsidP="006B6C8D">
      <w:pPr>
        <w:spacing w:line="480" w:lineRule="auto"/>
        <w:jc w:val="both"/>
        <w:rPr>
          <w:sz w:val="18"/>
          <w:szCs w:val="18"/>
        </w:rPr>
        <w:sectPr w:rsidR="006B6C8D" w:rsidRPr="005F7931" w:rsidSect="00AF39A5">
          <w:type w:val="continuous"/>
          <w:pgSz w:w="12240" w:h="15840"/>
          <w:pgMar w:top="1440" w:right="1440" w:bottom="1440" w:left="1440" w:header="720" w:footer="720" w:gutter="0"/>
          <w:lnNumType w:countBy="1"/>
          <w:cols w:space="720"/>
          <w:titlePg/>
          <w:docGrid w:linePitch="360"/>
        </w:sectPr>
      </w:pPr>
    </w:p>
    <w:p w14:paraId="0F3AD3D8" w14:textId="77777777" w:rsidR="006B6C8D" w:rsidRPr="005F7931" w:rsidRDefault="006B6C8D" w:rsidP="006B6C8D">
      <w:pPr>
        <w:jc w:val="both"/>
        <w:rPr>
          <w:sz w:val="18"/>
          <w:szCs w:val="18"/>
        </w:rPr>
      </w:pPr>
    </w:p>
    <w:p w14:paraId="5EDDC17C" w14:textId="77777777" w:rsidR="006B6C8D" w:rsidRDefault="006B6C8D" w:rsidP="006B6C8D">
      <w:pPr>
        <w:jc w:val="both"/>
        <w:rPr>
          <w:sz w:val="18"/>
          <w:szCs w:val="18"/>
        </w:rPr>
      </w:pPr>
      <w:r>
        <w:rPr>
          <w:sz w:val="18"/>
          <w:szCs w:val="18"/>
        </w:rPr>
        <w:t>MJT</w:t>
      </w:r>
    </w:p>
    <w:p w14:paraId="7C549ED7" w14:textId="77777777" w:rsidR="006B6C8D" w:rsidRDefault="006B6C8D" w:rsidP="006B6C8D">
      <w:pPr>
        <w:jc w:val="both"/>
        <w:rPr>
          <w:sz w:val="18"/>
          <w:szCs w:val="18"/>
        </w:rPr>
      </w:pPr>
      <w:r>
        <w:rPr>
          <w:sz w:val="18"/>
          <w:szCs w:val="18"/>
        </w:rPr>
        <w:t>LS #10765</w:t>
      </w:r>
    </w:p>
    <w:p w14:paraId="555E946B" w14:textId="77777777" w:rsidR="006B6C8D" w:rsidRPr="00842E27" w:rsidRDefault="006B6C8D" w:rsidP="006B6C8D">
      <w:pPr>
        <w:rPr>
          <w:rFonts w:ascii="Poppins" w:hAnsi="Poppins"/>
          <w:color w:val="212529"/>
        </w:rPr>
      </w:pPr>
      <w:r>
        <w:rPr>
          <w:sz w:val="18"/>
          <w:szCs w:val="18"/>
        </w:rPr>
        <w:t>3/28/2023, 5:11pm</w:t>
      </w:r>
    </w:p>
    <w:p w14:paraId="4D4E4FF5" w14:textId="77777777" w:rsidR="006B6C8D" w:rsidRDefault="006B6C8D">
      <w:r>
        <w:br w:type="page"/>
      </w:r>
    </w:p>
    <w:p w14:paraId="26665FED" w14:textId="2BC155B7" w:rsidR="00D61B47" w:rsidRPr="00733005" w:rsidRDefault="00D61B47" w:rsidP="00D61B47">
      <w:pPr>
        <w:jc w:val="center"/>
      </w:pPr>
      <w:r w:rsidRPr="00733005">
        <w:t>Res</w:t>
      </w:r>
      <w:r>
        <w:t>.</w:t>
      </w:r>
      <w:r w:rsidRPr="00733005">
        <w:t xml:space="preserve"> No.</w:t>
      </w:r>
      <w:r>
        <w:t xml:space="preserve"> 203</w:t>
      </w:r>
      <w:r w:rsidR="009931E8">
        <w:t>-A</w:t>
      </w:r>
    </w:p>
    <w:p w14:paraId="407ACA4F" w14:textId="77777777" w:rsidR="00D61B47" w:rsidRPr="00733005" w:rsidRDefault="00D61B47" w:rsidP="00D61B47">
      <w:pPr>
        <w:jc w:val="both"/>
      </w:pPr>
    </w:p>
    <w:p w14:paraId="41B00FEA" w14:textId="77777777" w:rsidR="00D61B47" w:rsidRPr="00102B6D" w:rsidRDefault="00D61B47" w:rsidP="00D61B47">
      <w:pPr>
        <w:jc w:val="both"/>
        <w:rPr>
          <w:vanish/>
        </w:rPr>
      </w:pPr>
      <w:r w:rsidRPr="00102B6D">
        <w:rPr>
          <w:vanish/>
        </w:rPr>
        <w:t>..Title</w:t>
      </w:r>
    </w:p>
    <w:p w14:paraId="1A5F6E55" w14:textId="6E23E45B" w:rsidR="00D61B47" w:rsidRDefault="00D61B47" w:rsidP="00D61B47">
      <w:pPr>
        <w:jc w:val="both"/>
      </w:pPr>
      <w:r w:rsidRPr="00B42AAE">
        <w:t>Resolution</w:t>
      </w:r>
      <w:r>
        <w:t xml:space="preserve"> calling upon the State Legislature to pass, and the Governor to sign, A.</w:t>
      </w:r>
      <w:r w:rsidR="009931E8">
        <w:t>3352/S.1754</w:t>
      </w:r>
      <w:r>
        <w:t xml:space="preserve">, which would establish the New York Public Banking Act. </w:t>
      </w:r>
    </w:p>
    <w:p w14:paraId="5A18830D" w14:textId="77777777" w:rsidR="00D61B47" w:rsidRPr="00102B6D" w:rsidRDefault="00D61B47" w:rsidP="00D61B47">
      <w:pPr>
        <w:jc w:val="both"/>
        <w:rPr>
          <w:vanish/>
        </w:rPr>
      </w:pPr>
      <w:r w:rsidRPr="00102B6D">
        <w:rPr>
          <w:vanish/>
        </w:rPr>
        <w:t>..Body</w:t>
      </w:r>
    </w:p>
    <w:p w14:paraId="79687132" w14:textId="77777777" w:rsidR="00D61B47" w:rsidRDefault="00D61B47" w:rsidP="00D61B47">
      <w:pPr>
        <w:jc w:val="both"/>
      </w:pPr>
    </w:p>
    <w:p w14:paraId="36CB8573" w14:textId="77777777" w:rsidR="00D61B47" w:rsidRDefault="00D61B47" w:rsidP="00D61B47">
      <w:pPr>
        <w:autoSpaceDE w:val="0"/>
        <w:autoSpaceDN w:val="0"/>
        <w:adjustRightInd w:val="0"/>
        <w:jc w:val="both"/>
        <w:rPr>
          <w:rFonts w:eastAsiaTheme="minorHAnsi"/>
        </w:rPr>
      </w:pPr>
      <w:r>
        <w:rPr>
          <w:rFonts w:eastAsiaTheme="minorHAnsi"/>
        </w:rPr>
        <w:t xml:space="preserve">By Council Members Powers, </w:t>
      </w:r>
      <w:r>
        <w:rPr>
          <w:rFonts w:eastAsiaTheme="minorHAnsi"/>
          <w:color w:val="000000"/>
        </w:rPr>
        <w:t>Abreu, De La Rosa, Restler, Hudson, Cabán, Nurse, Avilés, Menin, Gutiérrez, Bottcher, Won, Riley, Rivera, Krishnan, Louis, Marte, Schulman, Bottcher, Williams, Ossé, Sanchez, Velázquez, Farías, Brannan, Ayala, Barron, Hanif, Joseph, Narcisse, Brewer, Brooks-Powers, Ung, Stevens and Richardson Jordan (in conjunction with the Brooklyn Borough President) (by the request of the Manhattan Borough President)</w:t>
      </w:r>
    </w:p>
    <w:p w14:paraId="38CB510A" w14:textId="77777777" w:rsidR="00D61B47" w:rsidRPr="0088328A" w:rsidRDefault="00D61B47" w:rsidP="00D61B47">
      <w:pPr>
        <w:jc w:val="both"/>
        <w:rPr>
          <w:b/>
        </w:rPr>
      </w:pPr>
    </w:p>
    <w:p w14:paraId="349D2095" w14:textId="77777777" w:rsidR="009931E8" w:rsidRPr="009931E8" w:rsidRDefault="009931E8" w:rsidP="009931E8">
      <w:pPr>
        <w:shd w:val="clear" w:color="auto" w:fill="FFFFFF"/>
        <w:spacing w:line="480" w:lineRule="auto"/>
        <w:ind w:firstLine="720"/>
        <w:jc w:val="both"/>
        <w:rPr>
          <w:color w:val="000000"/>
          <w:sz w:val="27"/>
          <w:szCs w:val="27"/>
        </w:rPr>
      </w:pPr>
      <w:r w:rsidRPr="009931E8">
        <w:rPr>
          <w:color w:val="000000"/>
        </w:rPr>
        <w:t>Whereas, Each year, New York State pays millions of taxpayer dollars to the financial industry in the form of banking fees, bonding fees, interest, commissions and other payments, simply for the privilege of utilizing their banking services; and</w:t>
      </w:r>
    </w:p>
    <w:p w14:paraId="0AF7B0E6" w14:textId="77777777" w:rsidR="009931E8" w:rsidRPr="009931E8" w:rsidRDefault="009931E8" w:rsidP="009931E8">
      <w:pPr>
        <w:shd w:val="clear" w:color="auto" w:fill="FFFFFF"/>
        <w:spacing w:line="480" w:lineRule="auto"/>
        <w:ind w:firstLine="720"/>
        <w:jc w:val="both"/>
        <w:rPr>
          <w:color w:val="000000"/>
          <w:sz w:val="27"/>
          <w:szCs w:val="27"/>
        </w:rPr>
      </w:pPr>
      <w:r w:rsidRPr="009931E8">
        <w:rPr>
          <w:color w:val="000000"/>
        </w:rPr>
        <w:t>Whereas, Private banks use municipal and state deposits to earn money for themselves and their shareholders by speculating in the market with these deposits; and </w:t>
      </w:r>
    </w:p>
    <w:p w14:paraId="5B4A26F1" w14:textId="77777777" w:rsidR="009931E8" w:rsidRPr="009931E8" w:rsidRDefault="009931E8" w:rsidP="009931E8">
      <w:pPr>
        <w:shd w:val="clear" w:color="auto" w:fill="FFFFFF"/>
        <w:spacing w:line="480" w:lineRule="auto"/>
        <w:ind w:firstLine="720"/>
        <w:jc w:val="both"/>
        <w:rPr>
          <w:color w:val="000000"/>
          <w:sz w:val="27"/>
          <w:szCs w:val="27"/>
        </w:rPr>
      </w:pPr>
      <w:r w:rsidRPr="009931E8">
        <w:rPr>
          <w:color w:val="000000"/>
        </w:rPr>
        <w:t>Whereas, Since 1999, with the repeal of the federal Banking Act of 1933, commonly referred to as the Glass-Steagall Act, which required the separation of commercial and investment banking activities, municipal and state deposits held in for-profit banks are now permitted to be co-mingled with speculative commercial investment; and</w:t>
      </w:r>
    </w:p>
    <w:p w14:paraId="46C4DF04" w14:textId="77777777" w:rsidR="009931E8" w:rsidRPr="009931E8" w:rsidRDefault="009931E8" w:rsidP="009931E8">
      <w:pPr>
        <w:shd w:val="clear" w:color="auto" w:fill="FFFFFF"/>
        <w:spacing w:line="480" w:lineRule="auto"/>
        <w:ind w:firstLine="720"/>
        <w:jc w:val="both"/>
        <w:rPr>
          <w:color w:val="000000"/>
          <w:sz w:val="27"/>
          <w:szCs w:val="27"/>
        </w:rPr>
      </w:pPr>
      <w:r w:rsidRPr="009931E8">
        <w:rPr>
          <w:color w:val="000000"/>
        </w:rPr>
        <w:t>Whereas, The Great Recession of 2008 resulted in losses for both individuals and governments, while for-profit banks still made money in the form of commissions, fees, interest and other payments; and</w:t>
      </w:r>
    </w:p>
    <w:p w14:paraId="09AC72C6" w14:textId="77777777" w:rsidR="009931E8" w:rsidRPr="009931E8" w:rsidRDefault="009931E8" w:rsidP="009931E8">
      <w:pPr>
        <w:shd w:val="clear" w:color="auto" w:fill="FFFFFF"/>
        <w:spacing w:line="480" w:lineRule="auto"/>
        <w:ind w:firstLine="720"/>
        <w:jc w:val="both"/>
        <w:rPr>
          <w:color w:val="000000"/>
          <w:sz w:val="27"/>
          <w:szCs w:val="27"/>
        </w:rPr>
      </w:pPr>
      <w:r w:rsidRPr="009931E8">
        <w:rPr>
          <w:color w:val="000000"/>
        </w:rPr>
        <w:t>Whereas, </w:t>
      </w:r>
      <w:r w:rsidRPr="009931E8">
        <w:rPr>
          <w:color w:val="111111"/>
        </w:rPr>
        <w:t>The COVID-19 pandemic exposed how private banks could not provide services to unbanked and under-banked communities or respond to the needs of small businesses and Minority &amp; Women Business Enterprises, particularly when it came to securing PPP loans to non-clients or refinancing student loan debts.</w:t>
      </w:r>
    </w:p>
    <w:p w14:paraId="37BBD2FF" w14:textId="77777777" w:rsidR="009931E8" w:rsidRPr="009931E8" w:rsidRDefault="009931E8" w:rsidP="009931E8">
      <w:pPr>
        <w:shd w:val="clear" w:color="auto" w:fill="FFFFFF"/>
        <w:spacing w:line="480" w:lineRule="auto"/>
        <w:ind w:firstLine="720"/>
        <w:jc w:val="both"/>
        <w:rPr>
          <w:color w:val="000000"/>
          <w:sz w:val="27"/>
          <w:szCs w:val="27"/>
        </w:rPr>
      </w:pPr>
      <w:r w:rsidRPr="009931E8">
        <w:rPr>
          <w:color w:val="000000"/>
        </w:rPr>
        <w:t>Whereas, New York State has a fiduciary responsibility to its taxpayers to ensure their tax dollars are used in the most efficient manner possible; and</w:t>
      </w:r>
    </w:p>
    <w:p w14:paraId="3B9A5BE6" w14:textId="77777777" w:rsidR="009931E8" w:rsidRPr="009931E8" w:rsidRDefault="009931E8" w:rsidP="009931E8">
      <w:pPr>
        <w:shd w:val="clear" w:color="auto" w:fill="FFFFFF"/>
        <w:spacing w:line="480" w:lineRule="auto"/>
        <w:ind w:firstLine="720"/>
        <w:jc w:val="both"/>
        <w:rPr>
          <w:color w:val="000000"/>
          <w:sz w:val="27"/>
          <w:szCs w:val="27"/>
        </w:rPr>
      </w:pPr>
      <w:r w:rsidRPr="009931E8">
        <w:rPr>
          <w:color w:val="000000"/>
        </w:rPr>
        <w:t>Whereas, New York State Assembly Member Pamela Hunter has introduced A.3352 and New York State Senator James Sanders Jr. has introduced S.1754, which would establish the New York Public Banking Act to authorize the lending of public credit to public banks and public ownership of stock in public banks, for the public purposes of achieving cost savings, strengthening local economies, supporting community economic development, and addressing infrastructure and housing needs for localities; and</w:t>
      </w:r>
    </w:p>
    <w:p w14:paraId="2BC46989" w14:textId="77777777" w:rsidR="009931E8" w:rsidRPr="009931E8" w:rsidRDefault="009931E8" w:rsidP="009931E8">
      <w:pPr>
        <w:shd w:val="clear" w:color="auto" w:fill="FFFFFF"/>
        <w:spacing w:line="480" w:lineRule="auto"/>
        <w:ind w:firstLine="720"/>
        <w:jc w:val="both"/>
        <w:rPr>
          <w:color w:val="000000"/>
          <w:sz w:val="27"/>
          <w:szCs w:val="27"/>
        </w:rPr>
      </w:pPr>
      <w:r w:rsidRPr="009931E8">
        <w:rPr>
          <w:color w:val="000000"/>
        </w:rPr>
        <w:t>Whereas, According to the legislation’s memorandum in support, the bills would create a safe and appropriate regulatory framework for cities and counties seeking to establish public banks and additionally would allow the State Department of Financial Services (“DFS”) to issue special-purpose public bank charters; and</w:t>
      </w:r>
    </w:p>
    <w:p w14:paraId="29118496" w14:textId="77777777" w:rsidR="009931E8" w:rsidRPr="009931E8" w:rsidRDefault="009931E8" w:rsidP="009931E8">
      <w:pPr>
        <w:shd w:val="clear" w:color="auto" w:fill="FFFFFF"/>
        <w:spacing w:line="480" w:lineRule="auto"/>
        <w:ind w:firstLine="720"/>
        <w:jc w:val="both"/>
        <w:rPr>
          <w:color w:val="000000"/>
          <w:sz w:val="27"/>
          <w:szCs w:val="27"/>
        </w:rPr>
      </w:pPr>
      <w:r w:rsidRPr="009931E8">
        <w:rPr>
          <w:color w:val="000000"/>
        </w:rPr>
        <w:t>Whereas, Under current law, localities seeking to establish public banks must apply for a commercial bank charter which, according to the New Economy Project, forces local governments to retrofit their public bank business models into a regulatory system that was designed for private, for-profit enterprises; and</w:t>
      </w:r>
    </w:p>
    <w:p w14:paraId="201843D6" w14:textId="77777777" w:rsidR="009931E8" w:rsidRPr="009931E8" w:rsidRDefault="009931E8" w:rsidP="009931E8">
      <w:pPr>
        <w:shd w:val="clear" w:color="auto" w:fill="FFFFFF"/>
        <w:spacing w:line="480" w:lineRule="auto"/>
        <w:ind w:firstLine="720"/>
        <w:jc w:val="both"/>
        <w:rPr>
          <w:color w:val="000000"/>
          <w:sz w:val="27"/>
          <w:szCs w:val="27"/>
        </w:rPr>
      </w:pPr>
      <w:r w:rsidRPr="009931E8">
        <w:rPr>
          <w:color w:val="000000"/>
        </w:rPr>
        <w:t>Whereas, With special-purpose charters issued by DFS, municipalities could create democratically-controlled financial institutions that meet the needs of New York’s communities, including achieving cost savings, strengthening local economies, supporting community economic development, and addressing local infrastructure and housing needs; now, therefore, be it</w:t>
      </w:r>
    </w:p>
    <w:p w14:paraId="5DEF3E4F" w14:textId="77777777" w:rsidR="009931E8" w:rsidRPr="009931E8" w:rsidRDefault="009931E8" w:rsidP="009931E8">
      <w:pPr>
        <w:shd w:val="clear" w:color="auto" w:fill="FFFFFF"/>
        <w:spacing w:line="480" w:lineRule="auto"/>
        <w:ind w:firstLine="720"/>
        <w:jc w:val="both"/>
        <w:rPr>
          <w:color w:val="000000"/>
          <w:sz w:val="27"/>
          <w:szCs w:val="27"/>
        </w:rPr>
      </w:pPr>
      <w:r w:rsidRPr="009931E8">
        <w:rPr>
          <w:color w:val="000000"/>
        </w:rPr>
        <w:t>Resolved, That the Council of the City of New York calls upon the State Legislature to pass, and the Governor to sign, A.3352/S.1754, which would establish the New York Public Banking Act</w:t>
      </w:r>
    </w:p>
    <w:p w14:paraId="3E36472C" w14:textId="77777777" w:rsidR="009931E8" w:rsidRPr="009931E8" w:rsidRDefault="009931E8" w:rsidP="009931E8">
      <w:pPr>
        <w:shd w:val="clear" w:color="auto" w:fill="FFFFFF"/>
        <w:jc w:val="both"/>
        <w:rPr>
          <w:color w:val="000000"/>
          <w:sz w:val="27"/>
          <w:szCs w:val="27"/>
        </w:rPr>
      </w:pPr>
      <w:r w:rsidRPr="009931E8">
        <w:rPr>
          <w:color w:val="000000"/>
          <w:sz w:val="20"/>
          <w:szCs w:val="20"/>
        </w:rPr>
        <w:t> </w:t>
      </w:r>
    </w:p>
    <w:p w14:paraId="43554118" w14:textId="77777777" w:rsidR="009931E8" w:rsidRPr="009931E8" w:rsidRDefault="009931E8" w:rsidP="009931E8">
      <w:pPr>
        <w:shd w:val="clear" w:color="auto" w:fill="FFFFFF"/>
        <w:jc w:val="both"/>
        <w:rPr>
          <w:color w:val="000000"/>
          <w:sz w:val="27"/>
          <w:szCs w:val="27"/>
        </w:rPr>
      </w:pPr>
      <w:r w:rsidRPr="009931E8">
        <w:rPr>
          <w:color w:val="000000"/>
          <w:sz w:val="20"/>
          <w:szCs w:val="20"/>
        </w:rPr>
        <w:t>WJH/MJT</w:t>
      </w:r>
    </w:p>
    <w:p w14:paraId="38AF14F4" w14:textId="77777777" w:rsidR="009931E8" w:rsidRPr="009931E8" w:rsidRDefault="009931E8" w:rsidP="009931E8">
      <w:pPr>
        <w:shd w:val="clear" w:color="auto" w:fill="FFFFFF"/>
        <w:jc w:val="both"/>
        <w:rPr>
          <w:color w:val="000000"/>
          <w:sz w:val="27"/>
          <w:szCs w:val="27"/>
        </w:rPr>
      </w:pPr>
      <w:r w:rsidRPr="009931E8">
        <w:rPr>
          <w:color w:val="000000"/>
          <w:sz w:val="20"/>
          <w:szCs w:val="20"/>
        </w:rPr>
        <w:t>4/5/23</w:t>
      </w:r>
    </w:p>
    <w:p w14:paraId="2FC3A950" w14:textId="77777777" w:rsidR="009931E8" w:rsidRPr="009931E8" w:rsidRDefault="009931E8" w:rsidP="009931E8">
      <w:pPr>
        <w:shd w:val="clear" w:color="auto" w:fill="FFFFFF"/>
        <w:jc w:val="both"/>
        <w:rPr>
          <w:color w:val="000000"/>
          <w:sz w:val="27"/>
          <w:szCs w:val="27"/>
        </w:rPr>
      </w:pPr>
      <w:r w:rsidRPr="009931E8">
        <w:rPr>
          <w:color w:val="000000"/>
          <w:sz w:val="20"/>
          <w:szCs w:val="20"/>
        </w:rPr>
        <w:t>LS 7831</w:t>
      </w:r>
    </w:p>
    <w:p w14:paraId="00431F48" w14:textId="77777777" w:rsidR="009931E8" w:rsidRPr="009931E8" w:rsidRDefault="009931E8" w:rsidP="009931E8">
      <w:pPr>
        <w:shd w:val="clear" w:color="auto" w:fill="FFFFFF"/>
        <w:jc w:val="both"/>
        <w:rPr>
          <w:color w:val="000000"/>
          <w:sz w:val="27"/>
          <w:szCs w:val="27"/>
        </w:rPr>
      </w:pPr>
      <w:r w:rsidRPr="009931E8">
        <w:rPr>
          <w:color w:val="000000"/>
          <w:sz w:val="20"/>
          <w:szCs w:val="20"/>
        </w:rPr>
        <w:t> </w:t>
      </w:r>
    </w:p>
    <w:p w14:paraId="2A13CFFE" w14:textId="77777777" w:rsidR="009931E8" w:rsidRPr="009931E8" w:rsidRDefault="009931E8" w:rsidP="009931E8">
      <w:pPr>
        <w:shd w:val="clear" w:color="auto" w:fill="FFFFFF"/>
        <w:jc w:val="both"/>
        <w:rPr>
          <w:color w:val="000000"/>
          <w:sz w:val="27"/>
          <w:szCs w:val="27"/>
        </w:rPr>
      </w:pPr>
      <w:r w:rsidRPr="009931E8">
        <w:rPr>
          <w:color w:val="000000"/>
          <w:sz w:val="20"/>
          <w:szCs w:val="20"/>
        </w:rPr>
        <w:t>NB</w:t>
      </w:r>
    </w:p>
    <w:p w14:paraId="551F1E03" w14:textId="77777777" w:rsidR="009931E8" w:rsidRPr="009931E8" w:rsidRDefault="009931E8" w:rsidP="009931E8">
      <w:pPr>
        <w:shd w:val="clear" w:color="auto" w:fill="FFFFFF"/>
        <w:jc w:val="both"/>
        <w:rPr>
          <w:color w:val="000000"/>
          <w:sz w:val="27"/>
          <w:szCs w:val="27"/>
        </w:rPr>
      </w:pPr>
      <w:r w:rsidRPr="009931E8">
        <w:rPr>
          <w:color w:val="000000"/>
          <w:sz w:val="20"/>
          <w:szCs w:val="20"/>
        </w:rPr>
        <w:t>LS 13460, 13461 </w:t>
      </w:r>
    </w:p>
    <w:p w14:paraId="25CF400B" w14:textId="77777777" w:rsidR="009931E8" w:rsidRPr="009931E8" w:rsidRDefault="009931E8" w:rsidP="009931E8">
      <w:pPr>
        <w:shd w:val="clear" w:color="auto" w:fill="FFFFFF"/>
        <w:jc w:val="both"/>
        <w:rPr>
          <w:color w:val="000000"/>
          <w:sz w:val="27"/>
          <w:szCs w:val="27"/>
        </w:rPr>
      </w:pPr>
      <w:r w:rsidRPr="009931E8">
        <w:rPr>
          <w:color w:val="000000"/>
          <w:sz w:val="20"/>
          <w:szCs w:val="20"/>
        </w:rPr>
        <w:t>4/7/2021</w:t>
      </w:r>
    </w:p>
    <w:p w14:paraId="6D753FE9" w14:textId="026C5396" w:rsidR="00EB6DC1" w:rsidRPr="00CE22C7" w:rsidRDefault="009931E8" w:rsidP="006D496C">
      <w:pPr>
        <w:shd w:val="clear" w:color="auto" w:fill="FFFFFF"/>
        <w:jc w:val="both"/>
        <w:rPr>
          <w:sz w:val="20"/>
        </w:rPr>
      </w:pPr>
      <w:r w:rsidRPr="009931E8">
        <w:rPr>
          <w:color w:val="000000"/>
          <w:sz w:val="20"/>
          <w:szCs w:val="20"/>
        </w:rPr>
        <w:t>Res 1600-2021</w:t>
      </w:r>
    </w:p>
    <w:sectPr w:rsidR="00EB6DC1" w:rsidRPr="00CE22C7" w:rsidSect="00CF5523">
      <w:headerReference w:type="even" r:id="rId16"/>
      <w:headerReference w:type="default" r:id="rId17"/>
      <w:footerReference w:type="even" r:id="rId18"/>
      <w:footerReference w:type="default" r:id="rId19"/>
      <w:headerReference w:type="first" r:id="rId20"/>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F188E" w14:textId="77777777" w:rsidR="00D55F48" w:rsidRDefault="00D55F48" w:rsidP="004B59E2">
      <w:r>
        <w:separator/>
      </w:r>
    </w:p>
  </w:endnote>
  <w:endnote w:type="continuationSeparator" w:id="0">
    <w:p w14:paraId="0CF0861A" w14:textId="77777777" w:rsidR="00D55F48" w:rsidRDefault="00D55F48" w:rsidP="004B59E2">
      <w:r>
        <w:continuationSeparator/>
      </w:r>
    </w:p>
  </w:endnote>
  <w:endnote w:type="continuationNotice" w:id="1">
    <w:p w14:paraId="1D6ED352" w14:textId="77777777" w:rsidR="00D55F48" w:rsidRDefault="00D55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BoldItalic">
    <w:charset w:val="00"/>
    <w:family w:val="roman"/>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elvetica Neue">
    <w:altName w:val="Helvetica Neue"/>
    <w:charset w:val="00"/>
    <w:family w:val="auto"/>
    <w:pitch w:val="variable"/>
    <w:sig w:usb0="E50002FF" w:usb1="500079DB" w:usb2="00000010" w:usb3="00000000" w:csb0="00000001" w:csb1="00000000"/>
  </w:font>
  <w:font w:name="Poppins">
    <w:altName w:val="Times New Roman"/>
    <w:panose1 w:val="00000000000000000000"/>
    <w:charset w:val="00"/>
    <w:family w:val="roman"/>
    <w:notTrueType/>
    <w:pitch w:val="default"/>
  </w:font>
  <w:font w:name="Yu Mincho">
    <w:altName w:val="Yu Gothic UI"/>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C57FF" w14:textId="427297F1" w:rsidR="00D55F48" w:rsidRDefault="00D55F48">
    <w:pPr>
      <w:pStyle w:val="Footer"/>
      <w:jc w:val="center"/>
    </w:pPr>
    <w:r>
      <w:fldChar w:fldCharType="begin"/>
    </w:r>
    <w:r>
      <w:instrText xml:space="preserve"> PAGE   \* MERGEFORMAT </w:instrText>
    </w:r>
    <w:r>
      <w:fldChar w:fldCharType="separate"/>
    </w:r>
    <w:r w:rsidR="00E0293B">
      <w:rPr>
        <w:noProof/>
      </w:rPr>
      <w:t>20</w:t>
    </w:r>
    <w:r>
      <w:fldChar w:fldCharType="end"/>
    </w:r>
  </w:p>
  <w:p w14:paraId="0EB89ED1" w14:textId="77777777" w:rsidR="00D55F48" w:rsidRDefault="00D55F4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65A24" w14:textId="2D4667DA" w:rsidR="00D55F48" w:rsidRDefault="00D55F48">
    <w:pPr>
      <w:pStyle w:val="Footer"/>
      <w:jc w:val="center"/>
    </w:pPr>
    <w:r>
      <w:fldChar w:fldCharType="begin"/>
    </w:r>
    <w:r>
      <w:instrText xml:space="preserve"> PAGE   \* MERGEFORMAT </w:instrText>
    </w:r>
    <w:r>
      <w:fldChar w:fldCharType="separate"/>
    </w:r>
    <w:r w:rsidR="00E0293B">
      <w:rPr>
        <w:noProof/>
      </w:rPr>
      <w:t>1</w:t>
    </w:r>
    <w:r>
      <w:fldChar w:fldCharType="end"/>
    </w:r>
  </w:p>
  <w:p w14:paraId="45ECF2B7" w14:textId="77777777" w:rsidR="00D55F48" w:rsidRDefault="00D55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BDD5" w14:textId="7C632D2E" w:rsidR="00D55F48" w:rsidRDefault="00D55F48">
    <w:pPr>
      <w:pStyle w:val="Footer"/>
      <w:jc w:val="center"/>
    </w:pPr>
    <w:r>
      <w:fldChar w:fldCharType="begin"/>
    </w:r>
    <w:r>
      <w:instrText xml:space="preserve"> PAGE   \* MERGEFORMAT </w:instrText>
    </w:r>
    <w:r>
      <w:fldChar w:fldCharType="separate"/>
    </w:r>
    <w:r w:rsidR="00E0293B">
      <w:rPr>
        <w:noProof/>
      </w:rPr>
      <w:t>23</w:t>
    </w:r>
    <w:r>
      <w:fldChar w:fldCharType="end"/>
    </w:r>
  </w:p>
  <w:p w14:paraId="1F167E7B" w14:textId="77777777" w:rsidR="00D55F48" w:rsidRDefault="00D55F4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311E" w14:textId="77777777" w:rsidR="00D55F48" w:rsidRDefault="00D55F48">
    <w:pPr>
      <w:pStyle w:val="Footer"/>
      <w:jc w:val="center"/>
    </w:pPr>
    <w:r>
      <w:fldChar w:fldCharType="begin"/>
    </w:r>
    <w:r>
      <w:instrText xml:space="preserve"> PAGE   \* MERGEFORMAT </w:instrText>
    </w:r>
    <w:r>
      <w:fldChar w:fldCharType="separate"/>
    </w:r>
    <w:r>
      <w:rPr>
        <w:noProof/>
      </w:rPr>
      <w:t>1</w:t>
    </w:r>
    <w:r>
      <w:fldChar w:fldCharType="end"/>
    </w:r>
  </w:p>
  <w:p w14:paraId="3B911EB2" w14:textId="77777777" w:rsidR="00D55F48" w:rsidRDefault="00D55F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8709F85" w14:textId="7EC1D2B3" w:rsidR="006B6C8D" w:rsidRDefault="006B6C8D">
        <w:pPr>
          <w:pStyle w:val="Footer"/>
          <w:jc w:val="center"/>
        </w:pPr>
        <w:r>
          <w:fldChar w:fldCharType="begin"/>
        </w:r>
        <w:r>
          <w:instrText xml:space="preserve"> PAGE   \* MERGEFORMAT </w:instrText>
        </w:r>
        <w:r>
          <w:fldChar w:fldCharType="separate"/>
        </w:r>
        <w:r w:rsidR="00E0293B">
          <w:rPr>
            <w:noProof/>
          </w:rPr>
          <w:t>28</w:t>
        </w:r>
        <w:r>
          <w:rPr>
            <w:noProof/>
          </w:rPr>
          <w:fldChar w:fldCharType="end"/>
        </w:r>
      </w:p>
    </w:sdtContent>
  </w:sdt>
  <w:p w14:paraId="03A47235" w14:textId="77777777" w:rsidR="006B6C8D" w:rsidRDefault="006B6C8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60299B0" w14:textId="77777777" w:rsidR="006B6C8D" w:rsidRDefault="006B6C8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CCEDFDC" w14:textId="77777777" w:rsidR="006B6C8D" w:rsidRDefault="006B6C8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9D472" w14:textId="77777777" w:rsidR="00D55F48" w:rsidRDefault="00D55F48">
    <w:pPr>
      <w:pStyle w:val="Footer"/>
    </w:pPr>
  </w:p>
  <w:p w14:paraId="2A380324" w14:textId="77777777" w:rsidR="00D55F48" w:rsidRDefault="00D55F48"/>
  <w:p w14:paraId="41DD3AF1" w14:textId="77777777" w:rsidR="00D55F48" w:rsidRDefault="00D55F48"/>
  <w:p w14:paraId="5F2B1899" w14:textId="77777777" w:rsidR="00D55F48" w:rsidRDefault="00D55F4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B832" w14:textId="060BF951" w:rsidR="00D55F48" w:rsidRDefault="00D55F48" w:rsidP="00242189">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E0293B">
      <w:rPr>
        <w:noProof/>
      </w:rPr>
      <w:t>31</w:t>
    </w:r>
    <w:r>
      <w:rPr>
        <w:color w:val="2B579A"/>
        <w:shd w:val="clear" w:color="auto" w:fill="E6E6E6"/>
      </w:rPr>
      <w:fldChar w:fldCharType="end"/>
    </w:r>
  </w:p>
  <w:p w14:paraId="5C4A23B7" w14:textId="77777777" w:rsidR="00D55F48" w:rsidRDefault="00D55F48"/>
  <w:p w14:paraId="2348FD3F" w14:textId="77777777" w:rsidR="00D55F48" w:rsidRDefault="00D55F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EAA11" w14:textId="77777777" w:rsidR="00D55F48" w:rsidRDefault="00D55F48" w:rsidP="004B59E2">
      <w:r>
        <w:separator/>
      </w:r>
    </w:p>
  </w:footnote>
  <w:footnote w:type="continuationSeparator" w:id="0">
    <w:p w14:paraId="2E3722B4" w14:textId="77777777" w:rsidR="00D55F48" w:rsidRDefault="00D55F48" w:rsidP="004B59E2">
      <w:r>
        <w:continuationSeparator/>
      </w:r>
    </w:p>
  </w:footnote>
  <w:footnote w:type="continuationNotice" w:id="1">
    <w:p w14:paraId="3BA514BB" w14:textId="77777777" w:rsidR="00D55F48" w:rsidRDefault="00D55F48"/>
  </w:footnote>
  <w:footnote w:id="2">
    <w:p w14:paraId="42B6444A" w14:textId="60798F9C" w:rsidR="00D55F48" w:rsidRPr="00CE22C7" w:rsidRDefault="00D55F48" w:rsidP="0024254F">
      <w:pPr>
        <w:pStyle w:val="FootnoteText"/>
        <w:jc w:val="both"/>
      </w:pPr>
      <w:r w:rsidRPr="00CE22C7">
        <w:rPr>
          <w:rStyle w:val="FootnoteReference"/>
        </w:rPr>
        <w:footnoteRef/>
      </w:r>
      <w:r w:rsidRPr="00CE22C7">
        <w:t xml:space="preserve"> </w:t>
      </w:r>
      <w:r w:rsidRPr="00CE22C7">
        <w:rPr>
          <w:i/>
          <w:iCs/>
        </w:rPr>
        <w:t>See, e.g.</w:t>
      </w:r>
      <w:r w:rsidRPr="00CE22C7">
        <w:t xml:space="preserve">, New York City Comptroller, </w:t>
      </w:r>
      <w:r w:rsidR="001D4317">
        <w:t xml:space="preserve">Quarterly Report on Cash Receipts, </w:t>
      </w:r>
      <w:r w:rsidRPr="00CE22C7">
        <w:rPr>
          <w:i/>
          <w:iCs/>
        </w:rPr>
        <w:t>available at</w:t>
      </w:r>
      <w:r w:rsidRPr="00CE22C7">
        <w:t xml:space="preserve">: </w:t>
      </w:r>
      <w:hyperlink r:id="rId1" w:history="1">
        <w:r w:rsidRPr="00CD0FD6">
          <w:rPr>
            <w:rStyle w:val="Hyperlink"/>
            <w:rFonts w:eastAsia="Arial Unicode MS"/>
          </w:rPr>
          <w:t>Office of the New York City Comptroller Brad Lander</w:t>
        </w:r>
      </w:hyperlink>
      <w:r w:rsidRPr="00CE22C7">
        <w:t xml:space="preserve">. Pursuant to the Financial Accounting Standards Board (FASB) Accounting Standards Codification, “cash” includes not only currency on hand but demand deposits with banks or other financial institutions and other kinds of accounts that have the general characteristics of demand deposits, and “cash equivalents” are short-term, highly liquid investments that are readily convertible to known amounts of cash and are within three months of maturity, such that that they present insignificant risk of changes in value because of changes in interest rates. </w:t>
      </w:r>
      <w:r w:rsidRPr="00CE22C7">
        <w:rPr>
          <w:i/>
          <w:iCs/>
        </w:rPr>
        <w:t>See, e.g.</w:t>
      </w:r>
      <w:r w:rsidRPr="00CE22C7">
        <w:t>, Deloitte, A Roadmap to the Preparation of the Statement of Cash Flows, May 202</w:t>
      </w:r>
      <w:r>
        <w:t xml:space="preserve">2 </w:t>
      </w:r>
      <w:r>
        <w:rPr>
          <w:i/>
        </w:rPr>
        <w:t>at</w:t>
      </w:r>
      <w:r>
        <w:t xml:space="preserve"> 4.1</w:t>
      </w:r>
      <w:r w:rsidRPr="00CE22C7">
        <w:t xml:space="preserve">, </w:t>
      </w:r>
      <w:r w:rsidRPr="00CE22C7">
        <w:rPr>
          <w:i/>
          <w:iCs/>
        </w:rPr>
        <w:t>available at</w:t>
      </w:r>
      <w:r w:rsidRPr="00CE22C7">
        <w:t xml:space="preserve">: </w:t>
      </w:r>
      <w:hyperlink r:id="rId2" w:history="1">
        <w:r w:rsidRPr="00F24F54">
          <w:rPr>
            <w:rStyle w:val="Hyperlink"/>
          </w:rPr>
          <w:t>https://dart.deloitte.com/USDART/object/cf642af8-0da6-11e7-902e-1ff44cd8867d/resource/2_345874.pdf</w:t>
        </w:r>
      </w:hyperlink>
    </w:p>
  </w:footnote>
  <w:footnote w:id="3">
    <w:p w14:paraId="3665EE99" w14:textId="6EF085C3" w:rsidR="00D55F48" w:rsidRPr="00CE22C7" w:rsidRDefault="00D55F48" w:rsidP="00691AF3">
      <w:pPr>
        <w:pStyle w:val="FootnoteText"/>
        <w:jc w:val="both"/>
      </w:pPr>
      <w:r w:rsidRPr="00CE22C7">
        <w:rPr>
          <w:rStyle w:val="FootnoteReference"/>
        </w:rPr>
        <w:footnoteRef/>
      </w:r>
      <w:r w:rsidRPr="00CE22C7">
        <w:t xml:space="preserve"> </w:t>
      </w:r>
      <w:r w:rsidRPr="00CE22C7">
        <w:rPr>
          <w:i/>
          <w:iCs/>
        </w:rPr>
        <w:t>See, e.g.</w:t>
      </w:r>
      <w:r w:rsidRPr="00CE22C7">
        <w:t xml:space="preserve">, Office of Management and Budget, Adopted Capital Commitment Plan, Fiscal Year </w:t>
      </w:r>
      <w:r>
        <w:t>2023</w:t>
      </w:r>
      <w:r w:rsidRPr="00CE22C7">
        <w:t xml:space="preserve">, Volume 1, </w:t>
      </w:r>
      <w:r w:rsidRPr="00CE22C7">
        <w:rPr>
          <w:i/>
          <w:iCs/>
        </w:rPr>
        <w:t>available at</w:t>
      </w:r>
      <w:r w:rsidRPr="00CE22C7">
        <w:t>:</w:t>
      </w:r>
      <w:r>
        <w:rPr>
          <w:rStyle w:val="Hyperlink"/>
        </w:rPr>
        <w:t xml:space="preserve"> </w:t>
      </w:r>
      <w:r w:rsidRPr="00D3088A">
        <w:rPr>
          <w:rStyle w:val="Hyperlink"/>
        </w:rPr>
        <w:t>https://www.nyc.gov/assets/omb/downloads/pdf/ccp-09-22a.pdf</w:t>
      </w:r>
      <w:r w:rsidRPr="00CE22C7">
        <w:t>.</w:t>
      </w:r>
    </w:p>
  </w:footnote>
  <w:footnote w:id="4">
    <w:p w14:paraId="78810D76" w14:textId="62BC1F9E" w:rsidR="00D55F48" w:rsidRPr="00CE22C7" w:rsidRDefault="00D55F48" w:rsidP="00CE22C7">
      <w:pPr>
        <w:pStyle w:val="FootnoteText"/>
        <w:jc w:val="both"/>
        <w:rPr>
          <w:rFonts w:eastAsia="Helvetica Neue"/>
          <w:color w:val="333333"/>
        </w:rPr>
      </w:pPr>
      <w:r w:rsidRPr="00CE22C7">
        <w:rPr>
          <w:rStyle w:val="FootnoteReference"/>
        </w:rPr>
        <w:footnoteRef/>
      </w:r>
      <w:r w:rsidRPr="00CE22C7">
        <w:t xml:space="preserve"> </w:t>
      </w:r>
      <w:r>
        <w:t xml:space="preserve">Charter § </w:t>
      </w:r>
      <w:r w:rsidRPr="00CE22C7">
        <w:t>1504(3)</w:t>
      </w:r>
      <w:r>
        <w:t xml:space="preserve">.  The </w:t>
      </w:r>
      <w:r w:rsidRPr="00CE22C7">
        <w:t xml:space="preserve">Department of Finance “shall have the power and duty to provide for the reception and safekeeping of all moneys paid into the treasury of the city and for the payment of all moneys on warrants drawn by the comptroller and countersigned by the commissioner.” According to </w:t>
      </w:r>
      <w:r>
        <w:t>DOF’s</w:t>
      </w:r>
      <w:r w:rsidRPr="00CE22C7">
        <w:t xml:space="preserve"> website, “[t]</w:t>
      </w:r>
      <w:r w:rsidRPr="00CE22C7">
        <w:rPr>
          <w:rFonts w:eastAsia="Helvetica Neue"/>
          <w:color w:val="333333"/>
        </w:rPr>
        <w:t xml:space="preserve">he Treasury Division administers the City's network of bank accounts and manages the City’s cash flow. Treasury employees ensure that City funds are deposited only in approved banks with appropriate collateral and manage the City’s banking relationships. In addition, the Treasury Division holds all cash bail and court-ordered funds in trust until the funds are directed by the courts to be released.” </w:t>
      </w:r>
      <w:hyperlink r:id="rId3" w:history="1">
        <w:r w:rsidRPr="00CE22C7">
          <w:rPr>
            <w:rStyle w:val="Hyperlink"/>
            <w:rFonts w:eastAsia="Helvetica Neue"/>
          </w:rPr>
          <w:t>https://www1.nyc.gov/site/finance/about/divisions.page</w:t>
        </w:r>
      </w:hyperlink>
      <w:r w:rsidRPr="00CE22C7">
        <w:rPr>
          <w:rFonts w:eastAsia="Helvetica Neue"/>
          <w:color w:val="333333"/>
        </w:rPr>
        <w:t>.</w:t>
      </w:r>
    </w:p>
  </w:footnote>
  <w:footnote w:id="5">
    <w:p w14:paraId="58D1A380" w14:textId="2457A2E9" w:rsidR="00D55F48" w:rsidRPr="00954A12" w:rsidRDefault="00D55F48" w:rsidP="00896455">
      <w:pPr>
        <w:jc w:val="both"/>
        <w:rPr>
          <w:sz w:val="20"/>
          <w:szCs w:val="20"/>
        </w:rPr>
      </w:pPr>
      <w:r w:rsidRPr="00CE22C7">
        <w:rPr>
          <w:rStyle w:val="FootnoteReference"/>
          <w:sz w:val="20"/>
          <w:szCs w:val="20"/>
        </w:rPr>
        <w:footnoteRef/>
      </w:r>
      <w:r w:rsidRPr="00CE22C7">
        <w:rPr>
          <w:sz w:val="20"/>
          <w:szCs w:val="20"/>
        </w:rPr>
        <w:t xml:space="preserve"> </w:t>
      </w:r>
      <w:r w:rsidRPr="00954A12">
        <w:rPr>
          <w:sz w:val="20"/>
          <w:szCs w:val="20"/>
        </w:rPr>
        <w:t xml:space="preserve">NYC Office of the Comptroller. New York City Quarterly Cash Report. March 1, 2021, </w:t>
      </w:r>
      <w:r w:rsidRPr="00954A12">
        <w:rPr>
          <w:i/>
          <w:iCs/>
          <w:sz w:val="20"/>
          <w:szCs w:val="20"/>
        </w:rPr>
        <w:t>available at</w:t>
      </w:r>
      <w:r w:rsidRPr="00954A12">
        <w:rPr>
          <w:sz w:val="20"/>
          <w:szCs w:val="20"/>
        </w:rPr>
        <w:t>:</w:t>
      </w:r>
    </w:p>
    <w:p w14:paraId="7D7A4F85" w14:textId="2B5C15FD" w:rsidR="00D55F48" w:rsidRPr="00CE22C7" w:rsidRDefault="00E0293B" w:rsidP="007B2C71">
      <w:pPr>
        <w:rPr>
          <w:sz w:val="20"/>
          <w:szCs w:val="20"/>
        </w:rPr>
      </w:pPr>
      <w:hyperlink r:id="rId4" w:history="1">
        <w:r w:rsidR="00D55F48" w:rsidRPr="00F24F54">
          <w:rPr>
            <w:rStyle w:val="Hyperlink"/>
            <w:sz w:val="20"/>
            <w:szCs w:val="20"/>
          </w:rPr>
          <w:t>https://comptroller.nyc.gov/wp-content/uploads/documents/QCR_2Q21.pdf</w:t>
        </w:r>
      </w:hyperlink>
      <w:r w:rsidR="00D55F48" w:rsidRPr="00954A12">
        <w:rPr>
          <w:sz w:val="20"/>
          <w:szCs w:val="20"/>
        </w:rPr>
        <w:t>.</w:t>
      </w:r>
      <w:r w:rsidR="00D55F48">
        <w:rPr>
          <w:sz w:val="20"/>
          <w:szCs w:val="20"/>
        </w:rPr>
        <w:t xml:space="preserve"> </w:t>
      </w:r>
    </w:p>
  </w:footnote>
  <w:footnote w:id="6">
    <w:p w14:paraId="4B638785" w14:textId="2DE3A5D5" w:rsidR="00D55F48" w:rsidRPr="00CE22C7" w:rsidRDefault="00D55F48" w:rsidP="67A11FDC">
      <w:pPr>
        <w:jc w:val="both"/>
        <w:rPr>
          <w:sz w:val="20"/>
          <w:szCs w:val="20"/>
        </w:rPr>
      </w:pPr>
      <w:r w:rsidRPr="00CE22C7">
        <w:rPr>
          <w:rStyle w:val="FootnoteReference"/>
          <w:sz w:val="20"/>
          <w:szCs w:val="20"/>
        </w:rPr>
        <w:footnoteRef/>
      </w:r>
      <w:r w:rsidRPr="00CE22C7">
        <w:rPr>
          <w:sz w:val="20"/>
          <w:szCs w:val="20"/>
        </w:rPr>
        <w:t xml:space="preserve"> NYC Office of the Comptroller. New York City Quarterly Cash Report. September 9, 2019, </w:t>
      </w:r>
      <w:r w:rsidRPr="00CE22C7">
        <w:rPr>
          <w:i/>
          <w:iCs/>
          <w:sz w:val="20"/>
          <w:szCs w:val="20"/>
        </w:rPr>
        <w:t>available at</w:t>
      </w:r>
      <w:r w:rsidRPr="00CE22C7">
        <w:rPr>
          <w:sz w:val="20"/>
          <w:szCs w:val="20"/>
        </w:rPr>
        <w:t>:</w:t>
      </w:r>
    </w:p>
    <w:p w14:paraId="63BF6A6D" w14:textId="36DF78D4" w:rsidR="00D55F48" w:rsidRPr="00CE22C7" w:rsidRDefault="00E0293B" w:rsidP="008C58D7">
      <w:pPr>
        <w:jc w:val="both"/>
        <w:rPr>
          <w:sz w:val="20"/>
          <w:szCs w:val="20"/>
        </w:rPr>
      </w:pPr>
      <w:hyperlink r:id="rId5">
        <w:r w:rsidR="00D55F48" w:rsidRPr="00CE22C7">
          <w:rPr>
            <w:rStyle w:val="Hyperlink"/>
            <w:sz w:val="20"/>
            <w:szCs w:val="20"/>
          </w:rPr>
          <w:t>https://comptroller.nyc.gov/wp-content/uploads/documents/QCR-4Q19-Final.pdf</w:t>
        </w:r>
      </w:hyperlink>
      <w:r w:rsidR="00D55F48" w:rsidRPr="00CE22C7">
        <w:rPr>
          <w:sz w:val="20"/>
          <w:szCs w:val="20"/>
        </w:rPr>
        <w:t xml:space="preserve">. </w:t>
      </w:r>
    </w:p>
  </w:footnote>
  <w:footnote w:id="7">
    <w:p w14:paraId="4CA1BA2F" w14:textId="7C75BB8B" w:rsidR="00D55F48" w:rsidRPr="00CE22C7" w:rsidRDefault="00D55F48">
      <w:pPr>
        <w:rPr>
          <w:sz w:val="20"/>
          <w:szCs w:val="20"/>
        </w:rPr>
      </w:pPr>
      <w:r w:rsidRPr="00CE22C7">
        <w:rPr>
          <w:rStyle w:val="FootnoteReference"/>
          <w:sz w:val="20"/>
          <w:szCs w:val="20"/>
        </w:rPr>
        <w:footnoteRef/>
      </w:r>
      <w:r w:rsidRPr="00CE22C7">
        <w:rPr>
          <w:sz w:val="20"/>
          <w:szCs w:val="20"/>
        </w:rPr>
        <w:t xml:space="preserve"> </w:t>
      </w:r>
      <w:r w:rsidRPr="00CE22C7">
        <w:rPr>
          <w:i/>
          <w:iCs/>
          <w:sz w:val="20"/>
          <w:szCs w:val="20"/>
        </w:rPr>
        <w:t>Id.</w:t>
      </w:r>
    </w:p>
  </w:footnote>
  <w:footnote w:id="8">
    <w:p w14:paraId="0DD6AFB8" w14:textId="369BC930" w:rsidR="00D55F48" w:rsidRPr="00954A12" w:rsidRDefault="00D55F48" w:rsidP="00954A12">
      <w:pPr>
        <w:jc w:val="both"/>
        <w:rPr>
          <w:sz w:val="20"/>
          <w:szCs w:val="20"/>
        </w:rPr>
      </w:pPr>
      <w:r w:rsidRPr="00CE22C7">
        <w:rPr>
          <w:rStyle w:val="FootnoteReference"/>
        </w:rPr>
        <w:footnoteRef/>
      </w:r>
      <w:r w:rsidRPr="00954A12">
        <w:rPr>
          <w:sz w:val="20"/>
          <w:szCs w:val="20"/>
        </w:rPr>
        <w:t xml:space="preserve"> </w:t>
      </w:r>
      <w:r w:rsidRPr="00CE22C7">
        <w:rPr>
          <w:sz w:val="20"/>
          <w:szCs w:val="20"/>
        </w:rPr>
        <w:t xml:space="preserve">NYC Office of the Comptroller. New York City Quarterly Cash Report. </w:t>
      </w:r>
      <w:r>
        <w:rPr>
          <w:sz w:val="20"/>
          <w:szCs w:val="20"/>
        </w:rPr>
        <w:t>March 2</w:t>
      </w:r>
      <w:r w:rsidRPr="00CE22C7">
        <w:rPr>
          <w:sz w:val="20"/>
          <w:szCs w:val="20"/>
        </w:rPr>
        <w:t>,</w:t>
      </w:r>
      <w:r w:rsidRPr="00954A12">
        <w:rPr>
          <w:sz w:val="20"/>
          <w:szCs w:val="20"/>
        </w:rPr>
        <w:t xml:space="preserve"> 2023, </w:t>
      </w:r>
      <w:r w:rsidRPr="00954A12">
        <w:rPr>
          <w:i/>
          <w:iCs/>
          <w:sz w:val="20"/>
          <w:szCs w:val="20"/>
        </w:rPr>
        <w:t>available at</w:t>
      </w:r>
      <w:r w:rsidRPr="00954A12">
        <w:rPr>
          <w:sz w:val="20"/>
          <w:szCs w:val="20"/>
        </w:rPr>
        <w:t>:</w:t>
      </w:r>
    </w:p>
    <w:p w14:paraId="7BB76EC4" w14:textId="11820CD5" w:rsidR="00D55F48" w:rsidRPr="00D61B47" w:rsidRDefault="00E0293B" w:rsidP="00D61B47">
      <w:pPr>
        <w:jc w:val="both"/>
        <w:rPr>
          <w:sz w:val="20"/>
          <w:szCs w:val="20"/>
        </w:rPr>
      </w:pPr>
      <w:hyperlink r:id="rId6" w:history="1">
        <w:r w:rsidR="00D55F48" w:rsidRPr="00D61B47">
          <w:rPr>
            <w:rStyle w:val="Hyperlink"/>
            <w:sz w:val="20"/>
            <w:szCs w:val="20"/>
          </w:rPr>
          <w:t>https://comptroller.nyc.gov/reports/new-york-city-quarterly-cash-report/</w:t>
        </w:r>
      </w:hyperlink>
      <w:r w:rsidR="00D55F48">
        <w:rPr>
          <w:sz w:val="20"/>
          <w:szCs w:val="20"/>
        </w:rPr>
        <w:t xml:space="preserve"> </w:t>
      </w:r>
    </w:p>
  </w:footnote>
  <w:footnote w:id="9">
    <w:p w14:paraId="0F6AA6C1" w14:textId="4FB85199" w:rsidR="00D55F48" w:rsidRPr="00CE22C7" w:rsidRDefault="00D55F48" w:rsidP="00896455">
      <w:pPr>
        <w:pStyle w:val="FootnoteText"/>
        <w:jc w:val="both"/>
      </w:pPr>
      <w:r w:rsidRPr="00CE22C7">
        <w:rPr>
          <w:rStyle w:val="FootnoteReference"/>
        </w:rPr>
        <w:footnoteRef/>
      </w:r>
      <w:r w:rsidRPr="00CE22C7">
        <w:t xml:space="preserve"> General Municipal Law §10(2).</w:t>
      </w:r>
      <w:r>
        <w:t xml:space="preserve">  </w:t>
      </w:r>
      <w:r w:rsidRPr="00CE22C7">
        <w:t>Banks do not include State or federally chartered savings banks. The term “bank,” as used in sections 10 and 11 of the General Municipal Law, is defined to mean a “bank as defined by the banking law or a national banking association located and authorized to do business in New York.”</w:t>
      </w:r>
    </w:p>
  </w:footnote>
  <w:footnote w:id="10">
    <w:p w14:paraId="098BF144" w14:textId="2A9DCEF0" w:rsidR="00D55F48" w:rsidRPr="00CE22C7" w:rsidRDefault="00D55F48" w:rsidP="00896455">
      <w:pPr>
        <w:pStyle w:val="FootnoteText"/>
        <w:jc w:val="both"/>
      </w:pPr>
      <w:r w:rsidRPr="00CE22C7">
        <w:rPr>
          <w:rStyle w:val="FootnoteReference"/>
          <w:rFonts w:eastAsia="Arial Unicode MS"/>
        </w:rPr>
        <w:footnoteRef/>
      </w:r>
      <w:r w:rsidRPr="00CE22C7">
        <w:t xml:space="preserve"> </w:t>
      </w:r>
      <w:r w:rsidRPr="00CE22C7">
        <w:rPr>
          <w:i/>
        </w:rPr>
        <w:t>See</w:t>
      </w:r>
      <w:r w:rsidRPr="00CE22C7">
        <w:t xml:space="preserve"> Charter §</w:t>
      </w:r>
      <w:r>
        <w:t xml:space="preserve"> </w:t>
      </w:r>
      <w:r w:rsidRPr="00CE22C7">
        <w:t>1524.</w:t>
      </w:r>
    </w:p>
  </w:footnote>
  <w:footnote w:id="11">
    <w:p w14:paraId="58B36530" w14:textId="0DC7F0ED" w:rsidR="00D55F48" w:rsidRPr="00CE22C7" w:rsidRDefault="00D55F48" w:rsidP="00896455">
      <w:pPr>
        <w:jc w:val="both"/>
        <w:rPr>
          <w:sz w:val="20"/>
          <w:szCs w:val="20"/>
        </w:rPr>
      </w:pPr>
      <w:r w:rsidRPr="00CE22C7">
        <w:rPr>
          <w:rStyle w:val="FootnoteReference"/>
          <w:rFonts w:eastAsia="Arial Unicode MS"/>
          <w:sz w:val="20"/>
          <w:szCs w:val="20"/>
        </w:rPr>
        <w:footnoteRef/>
      </w:r>
      <w:r w:rsidRPr="00CE22C7">
        <w:rPr>
          <w:sz w:val="20"/>
          <w:szCs w:val="20"/>
        </w:rPr>
        <w:t xml:space="preserve"> </w:t>
      </w:r>
      <w:r>
        <w:rPr>
          <w:sz w:val="20"/>
          <w:szCs w:val="20"/>
        </w:rPr>
        <w:t xml:space="preserve">Charter § </w:t>
      </w:r>
      <w:r w:rsidRPr="00CE22C7">
        <w:rPr>
          <w:sz w:val="20"/>
          <w:szCs w:val="20"/>
        </w:rPr>
        <w:t xml:space="preserve">1504(3) </w:t>
      </w:r>
      <w:r>
        <w:rPr>
          <w:sz w:val="20"/>
          <w:szCs w:val="20"/>
        </w:rPr>
        <w:t>(“[</w:t>
      </w:r>
      <w:r w:rsidRPr="00CE22C7">
        <w:rPr>
          <w:sz w:val="20"/>
          <w:szCs w:val="20"/>
        </w:rPr>
        <w:t>Department of Finance</w:t>
      </w:r>
      <w:r>
        <w:rPr>
          <w:sz w:val="20"/>
          <w:szCs w:val="20"/>
        </w:rPr>
        <w:t>]</w:t>
      </w:r>
      <w:r w:rsidRPr="00CE22C7">
        <w:rPr>
          <w:sz w:val="20"/>
          <w:szCs w:val="20"/>
        </w:rPr>
        <w:t xml:space="preserve"> “shall have the power and duty to provide for the reception and safekeeping of all moneys paid into the treasury of the city and for the payment of all moneys on warrants drawn by the comptroller and countersigned by the commissioner.”</w:t>
      </w:r>
      <w:r>
        <w:rPr>
          <w:sz w:val="20"/>
          <w:szCs w:val="20"/>
        </w:rPr>
        <w:t>)</w:t>
      </w:r>
    </w:p>
  </w:footnote>
  <w:footnote w:id="12">
    <w:p w14:paraId="6097317C" w14:textId="30475667" w:rsidR="00D55F48" w:rsidRPr="00CE22C7" w:rsidRDefault="00D55F48" w:rsidP="00896455">
      <w:pPr>
        <w:pStyle w:val="FootnoteText"/>
        <w:jc w:val="both"/>
      </w:pPr>
      <w:r w:rsidRPr="00CE22C7">
        <w:rPr>
          <w:rStyle w:val="FootnoteReference"/>
          <w:rFonts w:eastAsia="Arial Unicode MS"/>
        </w:rPr>
        <w:footnoteRef/>
      </w:r>
      <w:r w:rsidRPr="00CE22C7">
        <w:t xml:space="preserve"> </w:t>
      </w:r>
      <w:r w:rsidRPr="00CE22C7">
        <w:rPr>
          <w:i/>
        </w:rPr>
        <w:t>See</w:t>
      </w:r>
      <w:r w:rsidRPr="00CE22C7">
        <w:t xml:space="preserve"> </w:t>
      </w:r>
      <w:r>
        <w:t xml:space="preserve">Charter § </w:t>
      </w:r>
      <w:r w:rsidRPr="00CE22C7">
        <w:t>1524(1)</w:t>
      </w:r>
      <w:r>
        <w:t xml:space="preserve">, N.Y.C. Ad. Code § 11-224.1(e), Charter § 1519-a(7)(b).  N.Y.C. Ad. Code § </w:t>
      </w:r>
      <w:r w:rsidRPr="00CE22C7">
        <w:t xml:space="preserve">11-224.1(e) requires the Banking Commission to provide the Council annual recommendations for interest rates to </w:t>
      </w:r>
      <w:r>
        <w:t xml:space="preserve">charge </w:t>
      </w:r>
      <w:r w:rsidRPr="00CE22C7">
        <w:t xml:space="preserve">on nonpayment of </w:t>
      </w:r>
      <w:r>
        <w:t xml:space="preserve">real property </w:t>
      </w:r>
      <w:r w:rsidRPr="00CE22C7">
        <w:t>taxes</w:t>
      </w:r>
      <w:r>
        <w:t xml:space="preserve">; Charter § </w:t>
      </w:r>
      <w:r w:rsidRPr="00CE22C7">
        <w:t>1519-a(7)(b) requires the Banking Commission to provide the Council with its recommendation for a discount percentage for early payment of water and sewer rents and real property taxes.</w:t>
      </w:r>
      <w:r w:rsidRPr="00CE22C7">
        <w:rPr>
          <w:bCs/>
        </w:rPr>
        <w:t xml:space="preserve"> </w:t>
      </w:r>
    </w:p>
  </w:footnote>
  <w:footnote w:id="13">
    <w:p w14:paraId="23524122" w14:textId="3F0D98F1" w:rsidR="00D55F48" w:rsidRPr="00CE22C7" w:rsidRDefault="00D55F48" w:rsidP="00896455">
      <w:pPr>
        <w:jc w:val="both"/>
        <w:rPr>
          <w:sz w:val="20"/>
          <w:szCs w:val="20"/>
        </w:rPr>
      </w:pPr>
      <w:r w:rsidRPr="00CE22C7">
        <w:rPr>
          <w:rStyle w:val="FootnoteReference"/>
          <w:rFonts w:eastAsia="Arial Unicode MS"/>
          <w:sz w:val="20"/>
          <w:szCs w:val="20"/>
        </w:rPr>
        <w:footnoteRef/>
      </w:r>
      <w:r w:rsidRPr="00CE22C7">
        <w:rPr>
          <w:sz w:val="20"/>
          <w:szCs w:val="20"/>
        </w:rPr>
        <w:t xml:space="preserve"> </w:t>
      </w:r>
      <w:r>
        <w:rPr>
          <w:sz w:val="20"/>
          <w:szCs w:val="20"/>
        </w:rPr>
        <w:t xml:space="preserve">Banking Law § </w:t>
      </w:r>
      <w:r w:rsidRPr="00CE22C7">
        <w:rPr>
          <w:sz w:val="20"/>
          <w:szCs w:val="20"/>
        </w:rPr>
        <w:t>96-d</w:t>
      </w:r>
      <w:r>
        <w:rPr>
          <w:sz w:val="20"/>
          <w:szCs w:val="20"/>
        </w:rPr>
        <w:t xml:space="preserve">, </w:t>
      </w:r>
      <w:r w:rsidRPr="00CE22C7">
        <w:rPr>
          <w:sz w:val="20"/>
          <w:szCs w:val="20"/>
        </w:rPr>
        <w:t xml:space="preserve">General Municipal Law </w:t>
      </w:r>
      <w:r>
        <w:rPr>
          <w:sz w:val="20"/>
          <w:szCs w:val="20"/>
        </w:rPr>
        <w:t>§ 10 (</w:t>
      </w:r>
      <w:r w:rsidRPr="00CE22C7">
        <w:rPr>
          <w:sz w:val="20"/>
          <w:szCs w:val="20"/>
        </w:rPr>
        <w:t xml:space="preserve">municipalities </w:t>
      </w:r>
      <w:r>
        <w:rPr>
          <w:sz w:val="20"/>
          <w:szCs w:val="20"/>
        </w:rPr>
        <w:t xml:space="preserve">may </w:t>
      </w:r>
      <w:r w:rsidRPr="00CE22C7">
        <w:rPr>
          <w:sz w:val="20"/>
          <w:szCs w:val="20"/>
        </w:rPr>
        <w:t>deposit funds into branches of State or federally regulated savings banks and savings and loan institutions that are established in banking development districts pursuant to the provisions of §96-d and the Banking Board regulations</w:t>
      </w:r>
      <w:r>
        <w:rPr>
          <w:sz w:val="20"/>
          <w:szCs w:val="20"/>
        </w:rPr>
        <w:t xml:space="preserve">).  </w:t>
      </w:r>
      <w:r w:rsidRPr="00CE22C7">
        <w:rPr>
          <w:sz w:val="20"/>
          <w:szCs w:val="20"/>
        </w:rPr>
        <w:t xml:space="preserve">22 </w:t>
      </w:r>
      <w:r>
        <w:rPr>
          <w:sz w:val="20"/>
          <w:szCs w:val="20"/>
        </w:rPr>
        <w:t xml:space="preserve">RCNY § 1-02 </w:t>
      </w:r>
      <w:r w:rsidRPr="00CE22C7">
        <w:rPr>
          <w:sz w:val="20"/>
          <w:szCs w:val="20"/>
        </w:rPr>
        <w:t>authorize</w:t>
      </w:r>
      <w:r>
        <w:rPr>
          <w:sz w:val="20"/>
          <w:szCs w:val="20"/>
        </w:rPr>
        <w:t>s</w:t>
      </w:r>
      <w:r w:rsidRPr="00CE22C7">
        <w:rPr>
          <w:sz w:val="20"/>
          <w:szCs w:val="20"/>
        </w:rPr>
        <w:t xml:space="preserve"> the Banking Commission to designate such branches as depositories for City funds, provided the branch (i) was opened after establishment of the banking development district</w:t>
      </w:r>
      <w:r>
        <w:rPr>
          <w:sz w:val="20"/>
          <w:szCs w:val="20"/>
        </w:rPr>
        <w:t>,</w:t>
      </w:r>
      <w:r w:rsidRPr="00CE22C7">
        <w:rPr>
          <w:sz w:val="20"/>
          <w:szCs w:val="20"/>
        </w:rPr>
        <w:t xml:space="preserve"> or (ii) is a branch of the applicant to the New York State Banking Department for establishment of the district and was opened on or after January 1, 1997.</w:t>
      </w:r>
    </w:p>
  </w:footnote>
  <w:footnote w:id="14">
    <w:p w14:paraId="40D44C52" w14:textId="0E227A54" w:rsidR="00D55F48" w:rsidRPr="00CE22C7" w:rsidRDefault="00D55F48" w:rsidP="3EED58A9">
      <w:pPr>
        <w:rPr>
          <w:sz w:val="20"/>
          <w:szCs w:val="20"/>
        </w:rPr>
      </w:pPr>
      <w:r w:rsidRPr="00CE22C7">
        <w:rPr>
          <w:rStyle w:val="FootnoteReference"/>
          <w:sz w:val="20"/>
          <w:szCs w:val="20"/>
        </w:rPr>
        <w:footnoteRef/>
      </w:r>
      <w:r w:rsidRPr="00CE22C7">
        <w:rPr>
          <w:sz w:val="20"/>
          <w:szCs w:val="20"/>
        </w:rPr>
        <w:t xml:space="preserve"> Charter §</w:t>
      </w:r>
      <w:r>
        <w:rPr>
          <w:sz w:val="20"/>
          <w:szCs w:val="20"/>
        </w:rPr>
        <w:t xml:space="preserve">§ </w:t>
      </w:r>
      <w:r w:rsidRPr="00CE22C7">
        <w:rPr>
          <w:sz w:val="20"/>
          <w:szCs w:val="20"/>
        </w:rPr>
        <w:t>1524(2)(a)</w:t>
      </w:r>
      <w:r>
        <w:rPr>
          <w:sz w:val="20"/>
          <w:szCs w:val="20"/>
        </w:rPr>
        <w:t>(1)-(2)</w:t>
      </w:r>
      <w:r w:rsidRPr="00CE22C7">
        <w:rPr>
          <w:sz w:val="20"/>
          <w:szCs w:val="20"/>
        </w:rPr>
        <w:t>.</w:t>
      </w:r>
    </w:p>
  </w:footnote>
  <w:footnote w:id="15">
    <w:p w14:paraId="25997C16" w14:textId="6F51B392" w:rsidR="00D55F48" w:rsidRPr="00CE22C7" w:rsidRDefault="00D55F48" w:rsidP="00896455">
      <w:pPr>
        <w:pStyle w:val="FootnoteText"/>
        <w:jc w:val="both"/>
      </w:pPr>
      <w:r w:rsidRPr="00CE22C7">
        <w:rPr>
          <w:rStyle w:val="FootnoteReference"/>
          <w:rFonts w:eastAsia="Arial Unicode MS"/>
        </w:rPr>
        <w:footnoteRef/>
      </w:r>
      <w:r w:rsidRPr="00CE22C7">
        <w:t xml:space="preserve"> 22 RCNY </w:t>
      </w:r>
      <w:r>
        <w:t xml:space="preserve">§§ </w:t>
      </w:r>
      <w:r w:rsidRPr="00CE22C7">
        <w:t>1-03(a</w:t>
      </w:r>
      <w:r>
        <w:t>)-(</w:t>
      </w:r>
      <w:r w:rsidRPr="00CE22C7">
        <w:t>b).</w:t>
      </w:r>
    </w:p>
  </w:footnote>
  <w:footnote w:id="16">
    <w:p w14:paraId="34DB15DF" w14:textId="6FA54869" w:rsidR="00D55F48" w:rsidRPr="00CE22C7" w:rsidRDefault="00D55F48" w:rsidP="00896455">
      <w:pPr>
        <w:pStyle w:val="FootnoteText"/>
        <w:jc w:val="both"/>
      </w:pPr>
      <w:r w:rsidRPr="00CE22C7">
        <w:rPr>
          <w:rStyle w:val="FootnoteReference"/>
        </w:rPr>
        <w:footnoteRef/>
      </w:r>
      <w:r w:rsidRPr="00CE22C7">
        <w:t xml:space="preserve"> A recent rule amendment clarifies that the Banking Commission may accept a below market rate interest rate on its deposits at banking development district branches, up to $20 million per branch, and thereby subsidize such branches. </w:t>
      </w:r>
      <w:r w:rsidRPr="00CE22C7">
        <w:rPr>
          <w:i/>
          <w:iCs/>
        </w:rPr>
        <w:t>See</w:t>
      </w:r>
      <w:r w:rsidRPr="00CE22C7">
        <w:t xml:space="preserve"> Department of Finance, Notice of Adoption of Rule Amendment, Statement of Basis and Purpose, City Record, Nov. 10, 2020, </w:t>
      </w:r>
      <w:r w:rsidRPr="00CE22C7">
        <w:rPr>
          <w:i/>
          <w:iCs/>
        </w:rPr>
        <w:t>available at</w:t>
      </w:r>
      <w:r w:rsidRPr="00CE22C7">
        <w:t xml:space="preserve">: </w:t>
      </w:r>
      <w:hyperlink r:id="rId7" w:history="1">
        <w:r w:rsidRPr="00CE22C7">
          <w:rPr>
            <w:rStyle w:val="Hyperlink"/>
          </w:rPr>
          <w:t>https://a856-cityrecord.nyc.gov/RequestDetail/20201030009</w:t>
        </w:r>
      </w:hyperlink>
      <w:r w:rsidRPr="00CE22C7">
        <w:t>.</w:t>
      </w:r>
    </w:p>
  </w:footnote>
  <w:footnote w:id="17">
    <w:p w14:paraId="5B88979B" w14:textId="27987E4D" w:rsidR="00D55F48" w:rsidRPr="00CE22C7" w:rsidRDefault="00D55F48" w:rsidP="00896455">
      <w:pPr>
        <w:pStyle w:val="FootnoteText"/>
        <w:jc w:val="both"/>
      </w:pPr>
      <w:r w:rsidRPr="00CE22C7">
        <w:rPr>
          <w:rStyle w:val="FootnoteReference"/>
          <w:rFonts w:eastAsia="Arial Unicode MS"/>
        </w:rPr>
        <w:footnoteRef/>
      </w:r>
      <w:r w:rsidRPr="00CE22C7">
        <w:t xml:space="preserve"> </w:t>
      </w:r>
      <w:r>
        <w:t xml:space="preserve">22 RCNY § </w:t>
      </w:r>
      <w:r w:rsidRPr="00CE22C7">
        <w:t xml:space="preserve">1-02 </w:t>
      </w:r>
      <w:r>
        <w:t>(</w:t>
      </w:r>
      <w:r w:rsidRPr="00CE22C7">
        <w:t xml:space="preserve">a </w:t>
      </w:r>
      <w:r>
        <w:t>“</w:t>
      </w:r>
      <w:r w:rsidRPr="00CE22C7">
        <w:t xml:space="preserve">lower income </w:t>
      </w:r>
      <w:r>
        <w:t xml:space="preserve">neighborhood or </w:t>
      </w:r>
      <w:r w:rsidRPr="00CE22C7">
        <w:t>area</w:t>
      </w:r>
      <w:r>
        <w:t>” is defined</w:t>
      </w:r>
      <w:r w:rsidRPr="00CE22C7">
        <w:t xml:space="preserve"> as a census tract located in New York City that is eligible for Federal Community Development Block Grants as administered by the U.S. Department of Housing and Urban Development (“HUD”)</w:t>
      </w:r>
      <w:r>
        <w:t xml:space="preserve">.)  </w:t>
      </w:r>
      <w:r w:rsidRPr="00CE22C7">
        <w:t>The program provides annual grants on a formula basis to entitled cities and counties to develop viable urban communities by providing decent housing and a suitable living environment, and by expanding economic opportunities, principally for low- and moderate-income persons. HUD determines the amount of each entitlement grant by a statutory dual formula</w:t>
      </w:r>
      <w:r>
        <w:t>,</w:t>
      </w:r>
      <w:r w:rsidRPr="00CE22C7">
        <w:t xml:space="preserve"> which uses several objective measures of community needs, including the extent of poverty, population, housing overcrowding, age of housing and population growth lag in relationship to other metropolitan areas.</w:t>
      </w:r>
    </w:p>
  </w:footnote>
  <w:footnote w:id="18">
    <w:p w14:paraId="64F801F9" w14:textId="7C9AB9F6" w:rsidR="00D55F48" w:rsidRPr="00A26C13" w:rsidRDefault="00D55F48">
      <w:pPr>
        <w:pStyle w:val="FootnoteText"/>
      </w:pPr>
      <w:r>
        <w:rPr>
          <w:rStyle w:val="FootnoteReference"/>
        </w:rPr>
        <w:footnoteRef/>
      </w:r>
      <w:r>
        <w:t xml:space="preserve"> 22 RCNY § 1-03(b).</w:t>
      </w:r>
    </w:p>
  </w:footnote>
  <w:footnote w:id="19">
    <w:p w14:paraId="2682BC03" w14:textId="457BC5F8" w:rsidR="00D55F48" w:rsidRPr="00CE22C7" w:rsidRDefault="00D55F48" w:rsidP="00896455">
      <w:pPr>
        <w:pStyle w:val="FootnoteText"/>
        <w:jc w:val="both"/>
      </w:pPr>
      <w:r w:rsidRPr="00CE22C7">
        <w:rPr>
          <w:rStyle w:val="FootnoteReference"/>
        </w:rPr>
        <w:footnoteRef/>
      </w:r>
      <w:r w:rsidRPr="00CE22C7">
        <w:t xml:space="preserve"> Open Meeting</w:t>
      </w:r>
      <w:r>
        <w:t>s</w:t>
      </w:r>
      <w:r w:rsidRPr="00CE22C7">
        <w:t xml:space="preserve"> Law §</w:t>
      </w:r>
      <w:r>
        <w:t xml:space="preserve"> </w:t>
      </w:r>
      <w:r w:rsidRPr="00CE22C7">
        <w:t>104.</w:t>
      </w:r>
    </w:p>
  </w:footnote>
  <w:footnote w:id="20">
    <w:p w14:paraId="00738886" w14:textId="629A0ED0" w:rsidR="00D55F48" w:rsidRPr="00CE22C7" w:rsidRDefault="00D55F48" w:rsidP="00896455">
      <w:pPr>
        <w:pStyle w:val="FootnoteText"/>
        <w:jc w:val="both"/>
      </w:pPr>
      <w:r w:rsidRPr="00CE22C7">
        <w:rPr>
          <w:rStyle w:val="FootnoteReference"/>
        </w:rPr>
        <w:footnoteRef/>
      </w:r>
      <w:r w:rsidRPr="00CE22C7">
        <w:t xml:space="preserve"> Charter §</w:t>
      </w:r>
      <w:r>
        <w:t xml:space="preserve"> </w:t>
      </w:r>
      <w:r w:rsidRPr="00CE22C7">
        <w:t>1524</w:t>
      </w:r>
      <w:r>
        <w:t>(1)</w:t>
      </w:r>
      <w:r w:rsidRPr="00CE22C7">
        <w:t>.</w:t>
      </w:r>
    </w:p>
  </w:footnote>
  <w:footnote w:id="21">
    <w:p w14:paraId="4709DF25" w14:textId="44CF1E47" w:rsidR="00D55F48" w:rsidRPr="00CE22C7" w:rsidRDefault="00D55F48">
      <w:pPr>
        <w:pStyle w:val="FootnoteText"/>
      </w:pPr>
      <w:r w:rsidRPr="00CE22C7">
        <w:rPr>
          <w:rStyle w:val="FootnoteReference"/>
        </w:rPr>
        <w:footnoteRef/>
      </w:r>
      <w:r w:rsidRPr="00CE22C7">
        <w:t xml:space="preserve"> New York City Comptroller, Comprehensive Annual Financial Statement Fiscal </w:t>
      </w:r>
      <w:r>
        <w:t>2022</w:t>
      </w:r>
      <w:r w:rsidRPr="00CE22C7">
        <w:t xml:space="preserve">, p. </w:t>
      </w:r>
      <w:r>
        <w:t>99</w:t>
      </w:r>
      <w:r w:rsidRPr="00CE22C7">
        <w:t xml:space="preserve">, </w:t>
      </w:r>
      <w:r w:rsidRPr="00CE22C7">
        <w:rPr>
          <w:i/>
          <w:iCs/>
        </w:rPr>
        <w:t>available at</w:t>
      </w:r>
      <w:r w:rsidRPr="00CE22C7">
        <w:t xml:space="preserve">: </w:t>
      </w:r>
      <w:hyperlink r:id="rId8" w:history="1">
        <w:r w:rsidRPr="00F24F54">
          <w:rPr>
            <w:rStyle w:val="Hyperlink"/>
          </w:rPr>
          <w:t>https://comptroller.nyc.gov/wp-content/uploads/2022/11/5-Notes-to-Financial-Statements-and-Required-Supplementary-Information_FY2022.pdf</w:t>
        </w:r>
      </w:hyperlink>
      <w:r w:rsidRPr="00CE22C7">
        <w:t>.</w:t>
      </w:r>
      <w:r>
        <w:t xml:space="preserve"> </w:t>
      </w:r>
      <w:r w:rsidRPr="00CE22C7">
        <w:t xml:space="preserve"> </w:t>
      </w:r>
    </w:p>
  </w:footnote>
  <w:footnote w:id="22">
    <w:p w14:paraId="43B539E8" w14:textId="7E93B71F" w:rsidR="00D55F48" w:rsidRPr="00CE22C7" w:rsidRDefault="00D55F48" w:rsidP="00896455">
      <w:pPr>
        <w:pStyle w:val="FootnoteText"/>
        <w:jc w:val="both"/>
      </w:pPr>
      <w:r w:rsidRPr="00CE22C7">
        <w:rPr>
          <w:rStyle w:val="FootnoteReference"/>
        </w:rPr>
        <w:footnoteRef/>
      </w:r>
      <w:r w:rsidRPr="00CE22C7">
        <w:t xml:space="preserve"> General Municipal Law §</w:t>
      </w:r>
      <w:r>
        <w:t xml:space="preserve"> </w:t>
      </w:r>
      <w:r w:rsidRPr="00CE22C7">
        <w:t>11.</w:t>
      </w:r>
    </w:p>
  </w:footnote>
  <w:footnote w:id="23">
    <w:p w14:paraId="27DDD6A4" w14:textId="74B48ED8" w:rsidR="00D55F48" w:rsidRPr="00CE22C7" w:rsidRDefault="00D55F48">
      <w:pPr>
        <w:pStyle w:val="FootnoteText"/>
      </w:pPr>
      <w:r w:rsidRPr="00CE22C7">
        <w:rPr>
          <w:rStyle w:val="FootnoteReference"/>
        </w:rPr>
        <w:footnoteRef/>
      </w:r>
      <w:r w:rsidRPr="00CE22C7">
        <w:t xml:space="preserve"> Department of Finance, Procurement Frequently Asked Questions, </w:t>
      </w:r>
      <w:r w:rsidRPr="00CE22C7">
        <w:rPr>
          <w:i/>
          <w:iCs/>
        </w:rPr>
        <w:t>available at</w:t>
      </w:r>
      <w:r w:rsidRPr="00CE22C7">
        <w:t xml:space="preserve">: </w:t>
      </w:r>
      <w:hyperlink r:id="rId9" w:history="1">
        <w:r w:rsidRPr="00CE22C7">
          <w:rPr>
            <w:rStyle w:val="Hyperlink"/>
          </w:rPr>
          <w:t>https://www1.nyc.gov/site/finance/about/procurement-frequently-asked-questions.page</w:t>
        </w:r>
      </w:hyperlink>
      <w:r w:rsidRPr="00CE22C7">
        <w:t xml:space="preserve"> (</w:t>
      </w:r>
      <w:r w:rsidRPr="00CE22C7">
        <w:rPr>
          <w:i/>
          <w:iCs/>
        </w:rPr>
        <w:t>last accessed</w:t>
      </w:r>
      <w:r w:rsidRPr="00CE22C7">
        <w:t xml:space="preserve"> Apr. </w:t>
      </w:r>
      <w:r>
        <w:t>3</w:t>
      </w:r>
      <w:r w:rsidRPr="00CE22C7">
        <w:t xml:space="preserve">, </w:t>
      </w:r>
      <w:r>
        <w:t>2023</w:t>
      </w:r>
      <w:r w:rsidRPr="00CE22C7">
        <w:t>).</w:t>
      </w:r>
    </w:p>
  </w:footnote>
  <w:footnote w:id="24">
    <w:p w14:paraId="36B51C05" w14:textId="24620CB7" w:rsidR="00D55F48" w:rsidRPr="00CE22C7" w:rsidRDefault="00D55F48" w:rsidP="009A7574">
      <w:pPr>
        <w:rPr>
          <w:color w:val="000000" w:themeColor="text1"/>
          <w:sz w:val="20"/>
          <w:szCs w:val="20"/>
        </w:rPr>
      </w:pPr>
      <w:r w:rsidRPr="00CE22C7">
        <w:rPr>
          <w:rStyle w:val="FootnoteReference"/>
          <w:sz w:val="20"/>
          <w:szCs w:val="20"/>
        </w:rPr>
        <w:footnoteRef/>
      </w:r>
      <w:r w:rsidRPr="00CE22C7">
        <w:rPr>
          <w:color w:val="000000" w:themeColor="text1"/>
          <w:sz w:val="20"/>
          <w:szCs w:val="20"/>
        </w:rPr>
        <w:t xml:space="preserve"> “</w:t>
      </w:r>
      <w:r>
        <w:rPr>
          <w:color w:val="000000" w:themeColor="text1"/>
          <w:sz w:val="20"/>
          <w:szCs w:val="20"/>
        </w:rPr>
        <w:t xml:space="preserve">83622N0009-Central </w:t>
      </w:r>
      <w:r w:rsidRPr="002B2C78">
        <w:rPr>
          <w:color w:val="000000" w:themeColor="text1"/>
          <w:sz w:val="20"/>
          <w:szCs w:val="20"/>
        </w:rPr>
        <w:t>Treasury Banking</w:t>
      </w:r>
      <w:r w:rsidRPr="002B2C78">
        <w:rPr>
          <w:color w:val="000000" w:themeColor="text1"/>
          <w:sz w:val="20"/>
          <w:szCs w:val="20"/>
          <w:shd w:val="clear" w:color="auto" w:fill="FFFFFF"/>
        </w:rPr>
        <w:t>” City Record Online, Publication Date June 3 – 10, 2022</w:t>
      </w:r>
      <w:r w:rsidRPr="002B2C78">
        <w:rPr>
          <w:color w:val="000000" w:themeColor="text1"/>
          <w:sz w:val="20"/>
          <w:szCs w:val="20"/>
        </w:rPr>
        <w:t xml:space="preserve">, </w:t>
      </w:r>
      <w:r w:rsidRPr="00D61B47">
        <w:rPr>
          <w:i/>
          <w:color w:val="000000" w:themeColor="text1"/>
          <w:sz w:val="20"/>
          <w:szCs w:val="20"/>
        </w:rPr>
        <w:t>available at</w:t>
      </w:r>
      <w:r w:rsidRPr="002B2C78">
        <w:rPr>
          <w:color w:val="000000" w:themeColor="text1"/>
          <w:sz w:val="20"/>
          <w:szCs w:val="20"/>
        </w:rPr>
        <w:t xml:space="preserve">: </w:t>
      </w:r>
      <w:hyperlink r:id="rId10" w:history="1">
        <w:r w:rsidRPr="00F24F54">
          <w:rPr>
            <w:rStyle w:val="Hyperlink"/>
            <w:sz w:val="20"/>
            <w:szCs w:val="20"/>
          </w:rPr>
          <w:t>https://a856-cityrecord.nyc.gov/RequestDetail/20220526125</w:t>
        </w:r>
      </w:hyperlink>
      <w:r w:rsidRPr="00CE22C7">
        <w:rPr>
          <w:color w:val="000000" w:themeColor="text1"/>
          <w:sz w:val="20"/>
          <w:szCs w:val="20"/>
        </w:rPr>
        <w:t>.</w:t>
      </w:r>
      <w:r>
        <w:rPr>
          <w:color w:val="000000" w:themeColor="text1"/>
          <w:sz w:val="20"/>
          <w:szCs w:val="20"/>
        </w:rPr>
        <w:t xml:space="preserve"> </w:t>
      </w:r>
    </w:p>
  </w:footnote>
  <w:footnote w:id="25">
    <w:p w14:paraId="28892EB9" w14:textId="617BE5FF" w:rsidR="00D55F48" w:rsidRPr="00CE22C7" w:rsidRDefault="00D55F48" w:rsidP="00085797">
      <w:pPr>
        <w:rPr>
          <w:sz w:val="20"/>
          <w:szCs w:val="20"/>
        </w:rPr>
      </w:pPr>
      <w:r w:rsidRPr="00CE22C7">
        <w:rPr>
          <w:rStyle w:val="FootnoteReference"/>
          <w:sz w:val="20"/>
          <w:szCs w:val="20"/>
        </w:rPr>
        <w:footnoteRef/>
      </w:r>
      <w:r w:rsidRPr="00CE22C7">
        <w:rPr>
          <w:sz w:val="20"/>
          <w:szCs w:val="20"/>
        </w:rPr>
        <w:t xml:space="preserve"> “</w:t>
      </w:r>
      <w:r w:rsidRPr="002B2C78">
        <w:rPr>
          <w:sz w:val="20"/>
          <w:szCs w:val="20"/>
        </w:rPr>
        <w:t xml:space="preserve">Misc. Banking Services Including DOE and Other Agencies” </w:t>
      </w:r>
      <w:r w:rsidRPr="002B2C78">
        <w:rPr>
          <w:color w:val="000000" w:themeColor="text1"/>
          <w:sz w:val="20"/>
          <w:szCs w:val="20"/>
          <w:shd w:val="clear" w:color="auto" w:fill="FFFFFF"/>
        </w:rPr>
        <w:t xml:space="preserve">City Record Online, Publication Date </w:t>
      </w:r>
      <w:r w:rsidRPr="002B2C78">
        <w:rPr>
          <w:color w:val="333333"/>
          <w:spacing w:val="8"/>
          <w:sz w:val="20"/>
          <w:szCs w:val="20"/>
          <w:shd w:val="clear" w:color="auto" w:fill="FFFFFF"/>
        </w:rPr>
        <w:t xml:space="preserve">May 9 – 13, 2022, </w:t>
      </w:r>
      <w:r w:rsidRPr="002B2C78">
        <w:rPr>
          <w:i/>
          <w:iCs/>
          <w:color w:val="000000" w:themeColor="text1"/>
          <w:sz w:val="20"/>
          <w:szCs w:val="20"/>
        </w:rPr>
        <w:t>available at</w:t>
      </w:r>
      <w:r w:rsidRPr="002B2C78">
        <w:rPr>
          <w:color w:val="000000" w:themeColor="text1"/>
          <w:sz w:val="20"/>
          <w:szCs w:val="20"/>
        </w:rPr>
        <w:t xml:space="preserve">: </w:t>
      </w:r>
      <w:hyperlink r:id="rId11" w:history="1">
        <w:r w:rsidRPr="00F24F54">
          <w:rPr>
            <w:rStyle w:val="Hyperlink"/>
            <w:sz w:val="20"/>
            <w:szCs w:val="20"/>
          </w:rPr>
          <w:t>https://a856-cityrecord.nyc.gov/RequestDetail/20220502114</w:t>
        </w:r>
      </w:hyperlink>
      <w:r w:rsidRPr="00CE22C7">
        <w:rPr>
          <w:color w:val="000000" w:themeColor="text1"/>
          <w:sz w:val="20"/>
          <w:szCs w:val="20"/>
        </w:rPr>
        <w:t>.</w:t>
      </w:r>
      <w:r>
        <w:rPr>
          <w:color w:val="000000" w:themeColor="text1"/>
          <w:sz w:val="20"/>
          <w:szCs w:val="20"/>
        </w:rPr>
        <w:t xml:space="preserve"> </w:t>
      </w:r>
    </w:p>
  </w:footnote>
  <w:footnote w:id="26">
    <w:p w14:paraId="21C87AE9" w14:textId="3FE2491C" w:rsidR="00D55F48" w:rsidRPr="00CE22C7" w:rsidRDefault="00D55F48" w:rsidP="002B2C78">
      <w:pPr>
        <w:pStyle w:val="FootnoteText"/>
      </w:pPr>
      <w:r w:rsidRPr="00CE22C7">
        <w:rPr>
          <w:rStyle w:val="FootnoteReference"/>
        </w:rPr>
        <w:footnoteRef/>
      </w:r>
      <w:r w:rsidRPr="00CE22C7">
        <w:t xml:space="preserve"> </w:t>
      </w:r>
      <w:r w:rsidRPr="00CE22C7">
        <w:rPr>
          <w:i/>
          <w:iCs/>
        </w:rPr>
        <w:t>See</w:t>
      </w:r>
      <w:r w:rsidRPr="00CE22C7">
        <w:t xml:space="preserve">, </w:t>
      </w:r>
      <w:r w:rsidRPr="00CE22C7">
        <w:rPr>
          <w:i/>
          <w:iCs/>
        </w:rPr>
        <w:t>generally</w:t>
      </w:r>
      <w:r w:rsidRPr="00CE22C7">
        <w:t>, Charter §§</w:t>
      </w:r>
      <w:r>
        <w:t xml:space="preserve"> </w:t>
      </w:r>
      <w:r w:rsidRPr="00CE22C7">
        <w:t>93, 328, and 375.</w:t>
      </w:r>
    </w:p>
  </w:footnote>
  <w:footnote w:id="27">
    <w:p w14:paraId="3E82D458" w14:textId="00B23016" w:rsidR="00D55F48" w:rsidRPr="002B2C78" w:rsidRDefault="00D55F48">
      <w:pPr>
        <w:pStyle w:val="FootnoteText"/>
      </w:pPr>
      <w:r>
        <w:rPr>
          <w:rStyle w:val="FootnoteReference"/>
        </w:rPr>
        <w:footnoteRef/>
      </w:r>
      <w:r>
        <w:t xml:space="preserve"> “fiscal agent, tender agent and escrow agent services”, City Record Online, Publication Date Jul. 8, 2022, </w:t>
      </w:r>
      <w:r>
        <w:rPr>
          <w:i/>
        </w:rPr>
        <w:t>available at</w:t>
      </w:r>
      <w:r>
        <w:t xml:space="preserve"> </w:t>
      </w:r>
      <w:hyperlink r:id="rId12" w:history="1">
        <w:r w:rsidRPr="00F24F54">
          <w:rPr>
            <w:rStyle w:val="Hyperlink"/>
          </w:rPr>
          <w:t>https://a856-cityrecord.nyc.gov/RequestDetail/20220630128</w:t>
        </w:r>
      </w:hyperlink>
      <w:r>
        <w:t xml:space="preserve">. </w:t>
      </w:r>
    </w:p>
  </w:footnote>
  <w:footnote w:id="28">
    <w:p w14:paraId="270F136B" w14:textId="09316E70" w:rsidR="00D55F48" w:rsidRPr="00CE22C7" w:rsidRDefault="00D55F48" w:rsidP="0027135D">
      <w:pPr>
        <w:pStyle w:val="FootnoteText"/>
      </w:pPr>
      <w:r w:rsidRPr="00CE22C7">
        <w:rPr>
          <w:rStyle w:val="FootnoteReference"/>
        </w:rPr>
        <w:footnoteRef/>
      </w:r>
      <w:r w:rsidRPr="00CE22C7">
        <w:t xml:space="preserve"> </w:t>
      </w:r>
      <w:r w:rsidRPr="00CE22C7">
        <w:rPr>
          <w:i/>
          <w:iCs/>
        </w:rPr>
        <w:t>See</w:t>
      </w:r>
      <w:r w:rsidRPr="00CE22C7">
        <w:t xml:space="preserve"> Marc Joffee, Doubly Bound: The Costs of Issuing Municipal Bonds, The Hass Institute, 2016, </w:t>
      </w:r>
      <w:r w:rsidRPr="00CE22C7">
        <w:rPr>
          <w:i/>
          <w:iCs/>
        </w:rPr>
        <w:t>available at</w:t>
      </w:r>
      <w:r w:rsidRPr="00CE22C7">
        <w:t xml:space="preserve">: </w:t>
      </w:r>
      <w:hyperlink r:id="rId13" w:history="1">
        <w:r w:rsidRPr="00CE22C7">
          <w:rPr>
            <w:rStyle w:val="Hyperlink"/>
          </w:rPr>
          <w:t>https://belonging.berkeley.edu/sites/default/files/haasinstituterefundamerica_doublybound_cost_of_issuingbonds_publish.pdf</w:t>
        </w:r>
      </w:hyperlink>
      <w:r w:rsidRPr="00CE22C7">
        <w:t xml:space="preserve"> </w:t>
      </w:r>
    </w:p>
  </w:footnote>
  <w:footnote w:id="29">
    <w:p w14:paraId="511F688F" w14:textId="2C4A037B" w:rsidR="00D55F48" w:rsidRPr="00036A6C" w:rsidRDefault="00D55F48">
      <w:pPr>
        <w:pStyle w:val="FootnoteText"/>
      </w:pPr>
      <w:r>
        <w:rPr>
          <w:rStyle w:val="FootnoteReference"/>
        </w:rPr>
        <w:footnoteRef/>
      </w:r>
      <w:r>
        <w:t xml:space="preserve"> Charter § 93(j).</w:t>
      </w:r>
    </w:p>
  </w:footnote>
  <w:footnote w:id="30">
    <w:p w14:paraId="2171AE1A" w14:textId="18E00C73" w:rsidR="00D55F48" w:rsidRPr="00CE22C7" w:rsidRDefault="00D55F48" w:rsidP="00036A6C">
      <w:pPr>
        <w:pStyle w:val="FootnoteText"/>
      </w:pPr>
      <w:r w:rsidRPr="00CE22C7">
        <w:rPr>
          <w:rStyle w:val="FootnoteReference"/>
        </w:rPr>
        <w:footnoteRef/>
      </w:r>
      <w:r w:rsidRPr="00CE22C7">
        <w:t xml:space="preserve"> General Municipal Law §</w:t>
      </w:r>
      <w:r>
        <w:t xml:space="preserve"> </w:t>
      </w:r>
      <w:r w:rsidRPr="00CE22C7">
        <w:t>103</w:t>
      </w:r>
      <w:r>
        <w:t xml:space="preserve">.  </w:t>
      </w:r>
      <w:r>
        <w:rPr>
          <w:i/>
        </w:rPr>
        <w:t xml:space="preserve">See also </w:t>
      </w:r>
      <w:r w:rsidRPr="00CE22C7">
        <w:t xml:space="preserve">Procurement Policy Board Rules, </w:t>
      </w:r>
      <w:r w:rsidRPr="00CE22C7">
        <w:rPr>
          <w:i/>
          <w:iCs/>
        </w:rPr>
        <w:t>available at</w:t>
      </w:r>
      <w:r w:rsidRPr="00CE22C7">
        <w:t xml:space="preserve">: </w:t>
      </w:r>
    </w:p>
    <w:p w14:paraId="2851BB5C" w14:textId="4FC90724" w:rsidR="00D55F48" w:rsidRPr="00CE22C7" w:rsidRDefault="00E0293B" w:rsidP="00036A6C">
      <w:pPr>
        <w:pStyle w:val="FootnoteText"/>
      </w:pPr>
      <w:hyperlink r:id="rId14" w:history="1">
        <w:r w:rsidR="00D55F48" w:rsidRPr="00CE22C7">
          <w:rPr>
            <w:rStyle w:val="Hyperlink"/>
          </w:rPr>
          <w:t>https://www1.nyc.gov/assets/mocs/downloads/pdf/ppb/UPDATE%20PPB%20RULES_CLEAN_Effective%20February%202020.pdf</w:t>
        </w:r>
      </w:hyperlink>
      <w:r w:rsidR="00D55F48">
        <w:rPr>
          <w:rStyle w:val="Hyperlink"/>
        </w:rPr>
        <w:t xml:space="preserve"> </w:t>
      </w:r>
      <w:r w:rsidR="00D55F48">
        <w:rPr>
          <w:rStyle w:val="Hyperlink"/>
          <w:i/>
        </w:rPr>
        <w:t>last accessed</w:t>
      </w:r>
      <w:r w:rsidR="00D55F48">
        <w:rPr>
          <w:rStyle w:val="Hyperlink"/>
        </w:rPr>
        <w:t xml:space="preserve"> Apr. 3, 2023.</w:t>
      </w:r>
    </w:p>
  </w:footnote>
  <w:footnote w:id="31">
    <w:p w14:paraId="6056FDE1" w14:textId="4A7E8AB1" w:rsidR="00D55F48" w:rsidRPr="00CE22C7" w:rsidRDefault="00D55F48" w:rsidP="003E368D">
      <w:pPr>
        <w:pStyle w:val="FootnoteText"/>
        <w:jc w:val="both"/>
      </w:pPr>
      <w:r w:rsidRPr="00CE22C7">
        <w:rPr>
          <w:rStyle w:val="FootnoteReference"/>
        </w:rPr>
        <w:footnoteRef/>
      </w:r>
      <w:r w:rsidRPr="00CE22C7">
        <w:t xml:space="preserve"> </w:t>
      </w:r>
      <w:r w:rsidRPr="00CE22C7">
        <w:rPr>
          <w:i/>
          <w:iCs/>
          <w:color w:val="000000" w:themeColor="text1"/>
        </w:rPr>
        <w:t>See</w:t>
      </w:r>
      <w:r w:rsidRPr="00CE22C7">
        <w:rPr>
          <w:color w:val="000000" w:themeColor="text1"/>
        </w:rPr>
        <w:t xml:space="preserve">, </w:t>
      </w:r>
      <w:r w:rsidRPr="00CE22C7">
        <w:rPr>
          <w:i/>
          <w:iCs/>
          <w:color w:val="000000" w:themeColor="text1"/>
        </w:rPr>
        <w:t>e.g.</w:t>
      </w:r>
      <w:r w:rsidRPr="00CE22C7">
        <w:rPr>
          <w:color w:val="000000" w:themeColor="text1"/>
        </w:rPr>
        <w:t xml:space="preserve">, NYCERS </w:t>
      </w:r>
      <w:r>
        <w:rPr>
          <w:color w:val="000000" w:themeColor="text1"/>
        </w:rPr>
        <w:t>2Q22</w:t>
      </w:r>
      <w:r w:rsidRPr="00CE22C7">
        <w:rPr>
          <w:color w:val="000000" w:themeColor="text1"/>
        </w:rPr>
        <w:t xml:space="preserve"> Quarterly Report, </w:t>
      </w:r>
      <w:r w:rsidRPr="00CE22C7">
        <w:rPr>
          <w:i/>
          <w:iCs/>
          <w:color w:val="000000" w:themeColor="text1"/>
        </w:rPr>
        <w:t>available at</w:t>
      </w:r>
      <w:r w:rsidRPr="00CE22C7">
        <w:rPr>
          <w:color w:val="000000" w:themeColor="text1"/>
        </w:rPr>
        <w:t>:</w:t>
      </w:r>
      <w:r w:rsidRPr="00CE22C7">
        <w:t xml:space="preserve"> </w:t>
      </w:r>
      <w:r w:rsidRPr="00E06CA6">
        <w:t>https://comptroller.nyc.gov/wp-content/uploads/documents/09.19.2022-NYCERS-Retirement-System-Investment-Meeting-Agenda-Package-Public.pdf</w:t>
      </w:r>
      <w:r w:rsidRPr="00CE22C7">
        <w:rPr>
          <w:color w:val="000000" w:themeColor="text1"/>
        </w:rPr>
        <w:t>.</w:t>
      </w:r>
    </w:p>
  </w:footnote>
  <w:footnote w:id="32">
    <w:p w14:paraId="0ED84110" w14:textId="59045563" w:rsidR="00D55F48" w:rsidRPr="00CE22C7" w:rsidRDefault="00D55F48" w:rsidP="004C681E">
      <w:pPr>
        <w:pStyle w:val="FootnoteText"/>
        <w:jc w:val="both"/>
      </w:pPr>
      <w:r w:rsidRPr="00CE22C7">
        <w:rPr>
          <w:rStyle w:val="FootnoteReference"/>
        </w:rPr>
        <w:footnoteRef/>
      </w:r>
      <w:r w:rsidRPr="00CE22C7">
        <w:t xml:space="preserve"> </w:t>
      </w:r>
      <w:r w:rsidRPr="00CE22C7">
        <w:rPr>
          <w:i/>
          <w:iCs/>
        </w:rPr>
        <w:t>See</w:t>
      </w:r>
      <w:r w:rsidRPr="00CE22C7">
        <w:t xml:space="preserve"> General Municipal Law §11. State restrictions on City investments also include the Financial Emergency Act requirement that the city maintain a balanced budget and spend all resources generated in a fiscal year in that same fiscal year, which </w:t>
      </w:r>
      <w:r w:rsidRPr="00CE22C7">
        <w:rPr>
          <w:color w:val="000000" w:themeColor="text1"/>
        </w:rPr>
        <w:t>prevents the city for using its surplus cash for most multi-year investments</w:t>
      </w:r>
      <w:r w:rsidRPr="00CE22C7">
        <w:t xml:space="preserve">. </w:t>
      </w:r>
      <w:r w:rsidRPr="00CE22C7">
        <w:rPr>
          <w:i/>
          <w:iCs/>
        </w:rPr>
        <w:t>See</w:t>
      </w:r>
      <w:r w:rsidRPr="00CE22C7">
        <w:t xml:space="preserve"> Financial Emergency Act (FEA) of 1975 §8(a).</w:t>
      </w:r>
    </w:p>
  </w:footnote>
  <w:footnote w:id="33">
    <w:p w14:paraId="5CEBF95D" w14:textId="1E5F9F30" w:rsidR="00D55F48" w:rsidRPr="00CE22C7" w:rsidRDefault="00D55F48">
      <w:pPr>
        <w:pStyle w:val="FootnoteText"/>
      </w:pPr>
      <w:r w:rsidRPr="00CE22C7">
        <w:rPr>
          <w:rStyle w:val="FootnoteReference"/>
        </w:rPr>
        <w:footnoteRef/>
      </w:r>
      <w:r w:rsidRPr="00CE22C7">
        <w:t xml:space="preserve"> Nathan Tankus, “Public Banks: An American Tradition,” </w:t>
      </w:r>
      <w:r w:rsidRPr="00CE22C7">
        <w:rPr>
          <w:smallCaps/>
        </w:rPr>
        <w:t>JSTOR Daily</w:t>
      </w:r>
      <w:r w:rsidRPr="00CE22C7">
        <w:t xml:space="preserve">, Dec. 15, 2015, </w:t>
      </w:r>
      <w:r w:rsidRPr="00CE22C7">
        <w:rPr>
          <w:i/>
          <w:iCs/>
        </w:rPr>
        <w:t>available at</w:t>
      </w:r>
      <w:r w:rsidRPr="00CE22C7">
        <w:t xml:space="preserve">: </w:t>
      </w:r>
      <w:hyperlink r:id="rId15" w:history="1">
        <w:r w:rsidRPr="00CE22C7">
          <w:rPr>
            <w:rStyle w:val="Hyperlink"/>
          </w:rPr>
          <w:t>https://daily.jstor.org/public-banks-an-american-tradition/</w:t>
        </w:r>
      </w:hyperlink>
      <w:r w:rsidRPr="00CE22C7">
        <w:t xml:space="preserve"> (</w:t>
      </w:r>
      <w:r w:rsidRPr="00CE22C7">
        <w:rPr>
          <w:i/>
          <w:iCs/>
        </w:rPr>
        <w:t>last accessed</w:t>
      </w:r>
      <w:r w:rsidRPr="00CE22C7">
        <w:t xml:space="preserve"> Apr. 12, 2021).</w:t>
      </w:r>
    </w:p>
  </w:footnote>
  <w:footnote w:id="34">
    <w:p w14:paraId="05A1209C" w14:textId="77777777" w:rsidR="00D55F48" w:rsidRPr="00CE22C7" w:rsidRDefault="00D55F48" w:rsidP="00896455">
      <w:pPr>
        <w:pStyle w:val="FootnoteText"/>
        <w:jc w:val="both"/>
      </w:pPr>
      <w:r w:rsidRPr="00CE22C7">
        <w:rPr>
          <w:rStyle w:val="FootnoteReference"/>
        </w:rPr>
        <w:footnoteRef/>
      </w:r>
      <w:r w:rsidRPr="00CE22C7">
        <w:t xml:space="preserve"> </w:t>
      </w:r>
      <w:r w:rsidRPr="00CE22C7">
        <w:rPr>
          <w:i/>
          <w:iCs/>
        </w:rPr>
        <w:t>Id</w:t>
      </w:r>
      <w:r w:rsidRPr="00CE22C7">
        <w:t>.</w:t>
      </w:r>
    </w:p>
  </w:footnote>
  <w:footnote w:id="35">
    <w:p w14:paraId="3F39FD9F" w14:textId="19B9FC24" w:rsidR="00D55F48" w:rsidRPr="00CE22C7" w:rsidRDefault="00D55F48">
      <w:pPr>
        <w:pStyle w:val="FootnoteText"/>
      </w:pPr>
      <w:r w:rsidRPr="00CE22C7">
        <w:rPr>
          <w:rStyle w:val="FootnoteReference"/>
        </w:rPr>
        <w:footnoteRef/>
      </w:r>
      <w:r w:rsidRPr="00CE22C7">
        <w:t xml:space="preserve"> N.D. Cent. Code § 6-09-01. </w:t>
      </w:r>
      <w:r w:rsidRPr="00CE22C7">
        <w:rPr>
          <w:i/>
          <w:iCs/>
        </w:rPr>
        <w:t xml:space="preserve">See also </w:t>
      </w:r>
      <w:r w:rsidRPr="00CE22C7">
        <w:t xml:space="preserve">Stacey Mitchell, Public Banks: Bank of North Dakota, Institute for Local Self-Reliance, July 2, 2015, </w:t>
      </w:r>
      <w:r w:rsidRPr="00CE22C7">
        <w:rPr>
          <w:i/>
          <w:iCs/>
        </w:rPr>
        <w:t>available at</w:t>
      </w:r>
      <w:r w:rsidRPr="00CE22C7">
        <w:t xml:space="preserve">: </w:t>
      </w:r>
      <w:hyperlink r:id="rId16" w:history="1">
        <w:r w:rsidRPr="00CE22C7">
          <w:rPr>
            <w:rStyle w:val="Hyperlink"/>
          </w:rPr>
          <w:t>https://ilsr.org/rule/bank-of-north-dakota-2/</w:t>
        </w:r>
      </w:hyperlink>
      <w:r w:rsidRPr="00CE22C7">
        <w:t>.</w:t>
      </w:r>
    </w:p>
  </w:footnote>
  <w:footnote w:id="36">
    <w:p w14:paraId="07751355" w14:textId="1C5EE105" w:rsidR="00D55F48" w:rsidRPr="00CE22C7" w:rsidRDefault="00D55F48">
      <w:pPr>
        <w:pStyle w:val="FootnoteText"/>
      </w:pPr>
      <w:r w:rsidRPr="00CE22C7">
        <w:rPr>
          <w:rStyle w:val="FootnoteReference"/>
        </w:rPr>
        <w:footnoteRef/>
      </w:r>
      <w:r w:rsidRPr="00CE22C7">
        <w:t xml:space="preserve"> History of BND, The Bank of North Dakota, available at </w:t>
      </w:r>
      <w:hyperlink r:id="rId17" w:history="1">
        <w:r w:rsidRPr="00CE22C7">
          <w:rPr>
            <w:rStyle w:val="Hyperlink"/>
          </w:rPr>
          <w:t>https://bnd.nd.gov/history-of-bnd/</w:t>
        </w:r>
      </w:hyperlink>
      <w:r w:rsidRPr="00CE22C7">
        <w:t>.</w:t>
      </w:r>
    </w:p>
  </w:footnote>
  <w:footnote w:id="37">
    <w:p w14:paraId="65B31387" w14:textId="7681EA28" w:rsidR="00D55F48" w:rsidRPr="00CE22C7" w:rsidRDefault="00D55F48">
      <w:pPr>
        <w:pStyle w:val="FootnoteText"/>
      </w:pPr>
      <w:r w:rsidRPr="00CE22C7">
        <w:rPr>
          <w:rStyle w:val="FootnoteReference"/>
        </w:rPr>
        <w:footnoteRef/>
      </w:r>
      <w:r w:rsidRPr="00CE22C7">
        <w:t xml:space="preserve"> </w:t>
      </w:r>
      <w:r w:rsidRPr="00CE22C7">
        <w:rPr>
          <w:i/>
          <w:iCs/>
        </w:rPr>
        <w:t>Id</w:t>
      </w:r>
      <w:r w:rsidRPr="00CE22C7">
        <w:t>.</w:t>
      </w:r>
    </w:p>
  </w:footnote>
  <w:footnote w:id="38">
    <w:p w14:paraId="5827E603" w14:textId="4AC80E65" w:rsidR="00D55F48" w:rsidRPr="00CE22C7" w:rsidRDefault="00D55F48">
      <w:pPr>
        <w:pStyle w:val="FootnoteText"/>
      </w:pPr>
      <w:r w:rsidRPr="00CE22C7">
        <w:rPr>
          <w:rStyle w:val="FootnoteReference"/>
        </w:rPr>
        <w:footnoteRef/>
      </w:r>
      <w:r w:rsidRPr="00CE22C7">
        <w:t xml:space="preserve"> </w:t>
      </w:r>
      <w:r w:rsidRPr="00CE22C7">
        <w:rPr>
          <w:i/>
          <w:iCs/>
        </w:rPr>
        <w:t>Id</w:t>
      </w:r>
      <w:r w:rsidRPr="00CE22C7">
        <w:t>.</w:t>
      </w:r>
    </w:p>
  </w:footnote>
  <w:footnote w:id="39">
    <w:p w14:paraId="4664506C" w14:textId="7C638F7C" w:rsidR="00D55F48" w:rsidRPr="00CE22C7" w:rsidRDefault="00D55F48" w:rsidP="00020C1A">
      <w:pPr>
        <w:pStyle w:val="FootnoteText"/>
      </w:pPr>
      <w:r w:rsidRPr="00CE22C7">
        <w:rPr>
          <w:rStyle w:val="FootnoteReference"/>
        </w:rPr>
        <w:footnoteRef/>
      </w:r>
      <w:r w:rsidRPr="00CE22C7">
        <w:t xml:space="preserve"> Oscar Perry Abello, What a Public Bank Can Do for Real People, Yes Magazine, Feb. 19, 2020, </w:t>
      </w:r>
      <w:r>
        <w:rPr>
          <w:i/>
        </w:rPr>
        <w:t xml:space="preserve">last accessed </w:t>
      </w:r>
      <w:r>
        <w:t xml:space="preserve">Apr. 3, 2023, </w:t>
      </w:r>
      <w:r w:rsidRPr="00CE22C7">
        <w:rPr>
          <w:i/>
          <w:iCs/>
        </w:rPr>
        <w:t>available at</w:t>
      </w:r>
      <w:r w:rsidRPr="00CE22C7">
        <w:t>:</w:t>
      </w:r>
    </w:p>
    <w:p w14:paraId="21E5D896" w14:textId="44208B61" w:rsidR="00D55F48" w:rsidRPr="00CE22C7" w:rsidRDefault="00E0293B" w:rsidP="00020C1A">
      <w:pPr>
        <w:pStyle w:val="FootnoteText"/>
      </w:pPr>
      <w:hyperlink r:id="rId18" w:history="1">
        <w:r w:rsidR="00D55F48" w:rsidRPr="00CE22C7">
          <w:rPr>
            <w:rStyle w:val="Hyperlink"/>
          </w:rPr>
          <w:t>https://www.yesmagazine.org/issue/world-we-want/2020/02/19/public-bank-north-dakota</w:t>
        </w:r>
      </w:hyperlink>
      <w:r w:rsidR="00D55F48" w:rsidRPr="00CE22C7">
        <w:t>.</w:t>
      </w:r>
    </w:p>
  </w:footnote>
  <w:footnote w:id="40">
    <w:p w14:paraId="46B5D63A" w14:textId="59561C74" w:rsidR="00D55F48" w:rsidRPr="00CE22C7" w:rsidRDefault="00D55F48" w:rsidP="007F4611">
      <w:pPr>
        <w:pStyle w:val="FootnoteText"/>
      </w:pPr>
      <w:r w:rsidRPr="00CE22C7">
        <w:rPr>
          <w:rStyle w:val="FootnoteReference"/>
        </w:rPr>
        <w:footnoteRef/>
      </w:r>
      <w:r w:rsidRPr="00CE22C7">
        <w:t xml:space="preserve"> </w:t>
      </w:r>
      <w:r w:rsidRPr="00CE22C7">
        <w:rPr>
          <w:i/>
          <w:iCs/>
        </w:rPr>
        <w:t>Id</w:t>
      </w:r>
      <w:r w:rsidRPr="00CE22C7">
        <w:t>.</w:t>
      </w:r>
    </w:p>
  </w:footnote>
  <w:footnote w:id="41">
    <w:p w14:paraId="4DD4C4BD" w14:textId="3135613B" w:rsidR="00D55F48" w:rsidRPr="00CE22C7" w:rsidRDefault="00D55F48">
      <w:pPr>
        <w:pStyle w:val="FootnoteText"/>
      </w:pPr>
      <w:r w:rsidRPr="00CE22C7">
        <w:rPr>
          <w:rStyle w:val="FootnoteReference"/>
        </w:rPr>
        <w:footnoteRef/>
      </w:r>
      <w:r w:rsidRPr="00CE22C7">
        <w:t xml:space="preserve"> Mitchell, </w:t>
      </w:r>
      <w:r w:rsidRPr="00CE22C7">
        <w:rPr>
          <w:i/>
          <w:iCs/>
        </w:rPr>
        <w:t>supra</w:t>
      </w:r>
      <w:r w:rsidRPr="00CE22C7">
        <w:t xml:space="preserve"> note </w:t>
      </w:r>
      <w:r>
        <w:t>35</w:t>
      </w:r>
      <w:r w:rsidRPr="00CE22C7">
        <w:t>.</w:t>
      </w:r>
    </w:p>
  </w:footnote>
  <w:footnote w:id="42">
    <w:p w14:paraId="4D785859" w14:textId="2D8D3DF7" w:rsidR="00D55F48" w:rsidRPr="00CE22C7" w:rsidRDefault="00D55F48" w:rsidP="00944699">
      <w:pPr>
        <w:pStyle w:val="FootnoteText"/>
      </w:pPr>
      <w:r w:rsidRPr="00CE22C7">
        <w:rPr>
          <w:rStyle w:val="FootnoteReference"/>
        </w:rPr>
        <w:footnoteRef/>
      </w:r>
      <w:r w:rsidRPr="00CE22C7">
        <w:t xml:space="preserve"> History of BND, </w:t>
      </w:r>
      <w:r w:rsidRPr="00D61B47">
        <w:rPr>
          <w:i/>
        </w:rPr>
        <w:t>supra</w:t>
      </w:r>
      <w:r w:rsidRPr="00CE22C7">
        <w:t xml:space="preserve"> note </w:t>
      </w:r>
      <w:r>
        <w:t>36</w:t>
      </w:r>
      <w:r w:rsidRPr="00CE22C7">
        <w:t xml:space="preserve">. Notably, the City Comptroller is </w:t>
      </w:r>
      <w:r w:rsidR="00011269">
        <w:t xml:space="preserve">also </w:t>
      </w:r>
      <w:r w:rsidRPr="00CE22C7">
        <w:t>permitted to invest City funds in these types of investments under the General Municipal Law.</w:t>
      </w:r>
    </w:p>
  </w:footnote>
  <w:footnote w:id="43">
    <w:p w14:paraId="294067C6" w14:textId="4CDDBB12" w:rsidR="00D55F48" w:rsidRPr="00CE22C7" w:rsidRDefault="00D55F48" w:rsidP="00944699">
      <w:pPr>
        <w:pStyle w:val="FootnoteText"/>
      </w:pPr>
      <w:r w:rsidRPr="00CE22C7">
        <w:rPr>
          <w:rStyle w:val="FootnoteReference"/>
        </w:rPr>
        <w:footnoteRef/>
      </w:r>
      <w:r w:rsidRPr="00CE22C7">
        <w:t xml:space="preserve"> Bank of North Dakota, Annual Report </w:t>
      </w:r>
      <w:r>
        <w:t>2020</w:t>
      </w:r>
      <w:r w:rsidRPr="00CE22C7">
        <w:t xml:space="preserve">, </w:t>
      </w:r>
      <w:r w:rsidRPr="00CE22C7">
        <w:rPr>
          <w:i/>
          <w:iCs/>
        </w:rPr>
        <w:t>available at</w:t>
      </w:r>
      <w:r w:rsidRPr="00CE22C7">
        <w:t xml:space="preserve">: </w:t>
      </w:r>
      <w:hyperlink r:id="rId19" w:history="1">
        <w:r w:rsidR="00011269" w:rsidRPr="00F24F54">
          <w:rPr>
            <w:rStyle w:val="Hyperlink"/>
          </w:rPr>
          <w:t>https://bnd.nd.gov/pdf/2020_bnd_annual_report.pdf</w:t>
        </w:r>
      </w:hyperlink>
      <w:r w:rsidRPr="00CE22C7">
        <w:t>.</w:t>
      </w:r>
      <w:r w:rsidR="00011269">
        <w:t xml:space="preserve"> </w:t>
      </w:r>
    </w:p>
  </w:footnote>
  <w:footnote w:id="44">
    <w:p w14:paraId="420C1434" w14:textId="0ACF5F6F" w:rsidR="00D55F48" w:rsidRDefault="00D55F48">
      <w:pPr>
        <w:pStyle w:val="FootnoteText"/>
      </w:pPr>
      <w:r>
        <w:rPr>
          <w:rStyle w:val="FootnoteReference"/>
        </w:rPr>
        <w:footnoteRef/>
      </w:r>
      <w:r>
        <w:t xml:space="preserve"> </w:t>
      </w:r>
      <w:r w:rsidRPr="00CE22C7">
        <w:t xml:space="preserve">Bank of North Dakota, Annual Report </w:t>
      </w:r>
      <w:r>
        <w:t>2021</w:t>
      </w:r>
      <w:r w:rsidRPr="00CE22C7">
        <w:t xml:space="preserve">, </w:t>
      </w:r>
      <w:r w:rsidRPr="00CE22C7">
        <w:rPr>
          <w:i/>
          <w:iCs/>
        </w:rPr>
        <w:t>available at</w:t>
      </w:r>
      <w:r w:rsidRPr="00CE22C7">
        <w:t xml:space="preserve">: </w:t>
      </w:r>
      <w:hyperlink r:id="rId20" w:history="1">
        <w:r w:rsidR="00011269" w:rsidRPr="00F24F54">
          <w:rPr>
            <w:rStyle w:val="Hyperlink"/>
          </w:rPr>
          <w:t>https://bnd.nd.gov/pdf/2021_bnd_annual_report.pdf</w:t>
        </w:r>
      </w:hyperlink>
      <w:r w:rsidRPr="00CE22C7">
        <w:t>.</w:t>
      </w:r>
      <w:r w:rsidR="00011269">
        <w:t xml:space="preserve"> </w:t>
      </w:r>
    </w:p>
  </w:footnote>
  <w:footnote w:id="45">
    <w:p w14:paraId="4B0762EA" w14:textId="288101D0" w:rsidR="005B679D" w:rsidRPr="00C552E5" w:rsidRDefault="005B679D">
      <w:pPr>
        <w:pStyle w:val="FootnoteText"/>
      </w:pPr>
      <w:r>
        <w:rPr>
          <w:rStyle w:val="FootnoteReference"/>
        </w:rPr>
        <w:footnoteRef/>
      </w:r>
      <w:r>
        <w:t xml:space="preserve"> </w:t>
      </w:r>
      <w:r w:rsidR="002A2A6E">
        <w:t xml:space="preserve">Shinn, Lora, “What Happened to Signature Bank?” </w:t>
      </w:r>
      <w:r w:rsidR="002A2A6E" w:rsidRPr="002A2A6E">
        <w:rPr>
          <w:u w:val="single"/>
        </w:rPr>
        <w:t>Investopedia</w:t>
      </w:r>
      <w:r w:rsidR="002A2A6E">
        <w:t xml:space="preserve">, Mar. 24, 2023 </w:t>
      </w:r>
      <w:r w:rsidR="002A2A6E">
        <w:rPr>
          <w:i/>
        </w:rPr>
        <w:t xml:space="preserve">last accessed </w:t>
      </w:r>
      <w:r w:rsidR="002A2A6E">
        <w:t xml:space="preserve">Apr. 4, 2023 </w:t>
      </w:r>
      <w:r w:rsidR="002A2A6E" w:rsidRPr="002A2A6E">
        <w:rPr>
          <w:i/>
        </w:rPr>
        <w:t>available</w:t>
      </w:r>
      <w:r w:rsidR="002A2A6E">
        <w:t xml:space="preserve"> </w:t>
      </w:r>
      <w:r w:rsidR="002A2A6E">
        <w:rPr>
          <w:i/>
        </w:rPr>
        <w:t xml:space="preserve">at </w:t>
      </w:r>
      <w:hyperlink r:id="rId21" w:anchor="toc-why-did-signature-bank-fail" w:history="1">
        <w:r w:rsidR="002A2A6E" w:rsidRPr="002A2A6E">
          <w:rPr>
            <w:rStyle w:val="Hyperlink"/>
          </w:rPr>
          <w:t>https://www.investopedia.com/what-happened-to-signature-bank-7370710#toc-why-did-signature-bank-fail</w:t>
        </w:r>
      </w:hyperlink>
      <w:r w:rsidR="002A2A6E">
        <w:rPr>
          <w:i/>
        </w:rPr>
        <w:t xml:space="preserve">.  </w:t>
      </w:r>
      <w:r w:rsidRPr="002A2A6E">
        <w:t>Concurrent</w:t>
      </w:r>
      <w:r>
        <w:t xml:space="preserve"> with the SVB collapse, the owners of Silvergate Bank announced </w:t>
      </w:r>
      <w:r w:rsidR="00C552E5">
        <w:t>it</w:t>
      </w:r>
      <w:r>
        <w:t xml:space="preserve"> would close, returning deposits and liquidating its assets.  Silvergate was heavily involved in the cryptocurrency sector</w:t>
      </w:r>
      <w:r w:rsidR="002A2A6E">
        <w:t>, as was SVB</w:t>
      </w:r>
      <w:r>
        <w:t xml:space="preserve">.  </w:t>
      </w:r>
      <w:r>
        <w:rPr>
          <w:i/>
        </w:rPr>
        <w:t xml:space="preserve">See </w:t>
      </w:r>
      <w:r>
        <w:t xml:space="preserve">Clark, Mitchell, “Silvergate has collapsed” </w:t>
      </w:r>
      <w:r w:rsidR="00C552E5" w:rsidRPr="00C552E5">
        <w:rPr>
          <w:u w:val="single"/>
        </w:rPr>
        <w:t>The Verge,</w:t>
      </w:r>
      <w:r w:rsidR="00C552E5">
        <w:t xml:space="preserve"> </w:t>
      </w:r>
      <w:r w:rsidRPr="00C552E5">
        <w:t>Mar</w:t>
      </w:r>
      <w:r w:rsidRPr="005B679D">
        <w:t>. 8, 2023</w:t>
      </w:r>
      <w:r w:rsidR="00C552E5">
        <w:t xml:space="preserve"> </w:t>
      </w:r>
      <w:r w:rsidR="002A2A6E">
        <w:rPr>
          <w:i/>
        </w:rPr>
        <w:t xml:space="preserve">last accessed </w:t>
      </w:r>
      <w:r w:rsidR="002A2A6E">
        <w:t xml:space="preserve">Apr. 4, 2023 </w:t>
      </w:r>
      <w:r w:rsidR="002A2A6E" w:rsidRPr="002A2A6E">
        <w:rPr>
          <w:i/>
        </w:rPr>
        <w:t>available</w:t>
      </w:r>
      <w:r w:rsidR="002A2A6E">
        <w:t xml:space="preserve"> </w:t>
      </w:r>
      <w:r w:rsidR="00C552E5">
        <w:rPr>
          <w:i/>
        </w:rPr>
        <w:t xml:space="preserve">at </w:t>
      </w:r>
      <w:hyperlink r:id="rId22" w:history="1">
        <w:r w:rsidR="00C552E5" w:rsidRPr="00C552E5">
          <w:rPr>
            <w:rStyle w:val="Hyperlink"/>
          </w:rPr>
          <w:t>https://www.theverge.com/2023/3/8/23631320/silvergate-wind-down-liquidiation-announcement</w:t>
        </w:r>
      </w:hyperlink>
    </w:p>
  </w:footnote>
  <w:footnote w:id="46">
    <w:p w14:paraId="08C89B61" w14:textId="11142185" w:rsidR="00D55F48" w:rsidRPr="00B74992" w:rsidRDefault="00D55F48">
      <w:pPr>
        <w:pStyle w:val="FootnoteText"/>
      </w:pPr>
      <w:r w:rsidRPr="00CE22C7">
        <w:rPr>
          <w:rStyle w:val="FootnoteReference"/>
        </w:rPr>
        <w:footnoteRef/>
      </w:r>
      <w:r w:rsidRPr="00CE22C7">
        <w:t xml:space="preserve"> </w:t>
      </w:r>
      <w:r w:rsidRPr="00CE22C7">
        <w:rPr>
          <w:i/>
          <w:iCs/>
        </w:rPr>
        <w:t>See</w:t>
      </w:r>
      <w:r w:rsidRPr="00CE22C7">
        <w:t xml:space="preserve"> Memorandum in Support</w:t>
      </w:r>
      <w:r w:rsidRPr="00CE22C7">
        <w:rPr>
          <w:color w:val="000000" w:themeColor="text1"/>
        </w:rPr>
        <w:t xml:space="preserve"> of A.</w:t>
      </w:r>
      <w:r>
        <w:t>3352</w:t>
      </w:r>
      <w:r w:rsidRPr="00CE22C7">
        <w:t xml:space="preserve">, </w:t>
      </w:r>
      <w:r>
        <w:t>2023-2024</w:t>
      </w:r>
      <w:r w:rsidRPr="00CE22C7">
        <w:t xml:space="preserve"> Reg. Sess. (NY </w:t>
      </w:r>
      <w:r>
        <w:t>2023</w:t>
      </w:r>
      <w:r w:rsidRPr="00CE22C7">
        <w:t xml:space="preserve">), </w:t>
      </w:r>
      <w:r w:rsidRPr="00CE22C7">
        <w:rPr>
          <w:i/>
          <w:iCs/>
        </w:rPr>
        <w:t>available at</w:t>
      </w:r>
      <w:r w:rsidRPr="00CE22C7">
        <w:t xml:space="preserve">: </w:t>
      </w:r>
      <w:hyperlink r:id="rId23" w:history="1">
        <w:r>
          <w:rPr>
            <w:rStyle w:val="Hyperlink"/>
          </w:rPr>
          <w:t>NYAssembly.gov</w:t>
        </w:r>
      </w:hyperlink>
      <w:r w:rsidR="00B74992">
        <w:rPr>
          <w:rStyle w:val="Hyperlink"/>
          <w:color w:val="auto"/>
          <w:u w:val="none"/>
        </w:rPr>
        <w:t xml:space="preserve">.  In the 2023-2024 legislative session, </w:t>
      </w:r>
      <w:r w:rsidRPr="00B74992">
        <w:rPr>
          <w:rStyle w:val="Hyperlink"/>
          <w:color w:val="auto"/>
          <w:u w:val="none"/>
        </w:rPr>
        <w:t xml:space="preserve">Assembly Member Phil Steck has introduced A.4448, </w:t>
      </w:r>
      <w:r w:rsidR="00B74992">
        <w:rPr>
          <w:rStyle w:val="Hyperlink"/>
          <w:color w:val="auto"/>
          <w:u w:val="none"/>
        </w:rPr>
        <w:t xml:space="preserve">which would </w:t>
      </w:r>
      <w:r w:rsidRPr="00B74992">
        <w:rPr>
          <w:rStyle w:val="Hyperlink"/>
          <w:color w:val="auto"/>
          <w:u w:val="none"/>
        </w:rPr>
        <w:t>create the Empire State Public Bank, a statewide bank for New York modeled on the Bank of North Dakota.  As of this report, no companion legislation exists in the Senate.</w:t>
      </w:r>
    </w:p>
  </w:footnote>
  <w:footnote w:id="47">
    <w:p w14:paraId="7D36C7BB" w14:textId="30E4ED8C" w:rsidR="00D55F48" w:rsidRPr="00CE22C7" w:rsidRDefault="00D55F48">
      <w:pPr>
        <w:pStyle w:val="FootnoteText"/>
      </w:pPr>
      <w:r w:rsidRPr="00CE22C7">
        <w:rPr>
          <w:rStyle w:val="FootnoteReference"/>
        </w:rPr>
        <w:footnoteRef/>
      </w:r>
      <w:r w:rsidRPr="00CE22C7">
        <w:t xml:space="preserve"> See, e.g., Memorandum in Support, </w:t>
      </w:r>
      <w:r w:rsidRPr="00CE22C7">
        <w:rPr>
          <w:i/>
          <w:iCs/>
        </w:rPr>
        <w:t>supra</w:t>
      </w:r>
      <w:r w:rsidRPr="00CE22C7">
        <w:t xml:space="preserve"> note 46; Memorandum in Support, </w:t>
      </w:r>
      <w:r w:rsidRPr="00CE22C7">
        <w:rPr>
          <w:i/>
          <w:iCs/>
        </w:rPr>
        <w:t>supra</w:t>
      </w:r>
      <w:r w:rsidRPr="00CE22C7">
        <w:t xml:space="preserve"> note 47; Public Bank NYC coalition, Frequently Asked Questions, </w:t>
      </w:r>
      <w:r w:rsidRPr="00CE22C7">
        <w:rPr>
          <w:i/>
          <w:iCs/>
        </w:rPr>
        <w:t>available at</w:t>
      </w:r>
      <w:r w:rsidRPr="00CE22C7">
        <w:t xml:space="preserve">: </w:t>
      </w:r>
      <w:hyperlink r:id="rId24" w:history="1">
        <w:r w:rsidRPr="00CE22C7">
          <w:rPr>
            <w:rStyle w:val="Hyperlink"/>
          </w:rPr>
          <w:t>https://www.publicbanknyc.org/faq</w:t>
        </w:r>
      </w:hyperlink>
      <w:r w:rsidRPr="00CE22C7">
        <w:t xml:space="preserve">; Next System Project Podcast, The Campaign for Public Banks, From Coast to Coast, Nov. 2, 2018, </w:t>
      </w:r>
      <w:r w:rsidRPr="00CE22C7">
        <w:rPr>
          <w:i/>
          <w:iCs/>
        </w:rPr>
        <w:t>available at</w:t>
      </w:r>
      <w:r w:rsidRPr="00CE22C7">
        <w:t xml:space="preserve">: </w:t>
      </w:r>
      <w:hyperlink r:id="rId25" w:history="1">
        <w:r w:rsidRPr="00CE22C7">
          <w:rPr>
            <w:rStyle w:val="Hyperlink"/>
          </w:rPr>
          <w:t>https://thenextsystem.org/learn/stories/campaign-public-banks-coast-coast</w:t>
        </w:r>
      </w:hyperlink>
      <w:r w:rsidRPr="00CE22C7">
        <w:t>.</w:t>
      </w:r>
    </w:p>
  </w:footnote>
  <w:footnote w:id="48">
    <w:p w14:paraId="4E6F02C4" w14:textId="2B98757E" w:rsidR="00D55F48" w:rsidRPr="00765E70" w:rsidRDefault="00D55F48">
      <w:pPr>
        <w:pStyle w:val="FootnoteText"/>
      </w:pPr>
      <w:r>
        <w:rPr>
          <w:rStyle w:val="FootnoteReference"/>
        </w:rPr>
        <w:footnoteRef/>
      </w:r>
      <w:r>
        <w:t xml:space="preserve"> New Economy Project, “Letter to Leadership re: Signature Bank”, Mar. 16, 2023 </w:t>
      </w:r>
      <w:r>
        <w:rPr>
          <w:i/>
        </w:rPr>
        <w:t xml:space="preserve">last accessed </w:t>
      </w:r>
      <w:r>
        <w:t xml:space="preserve">Apr. 3, 2023, </w:t>
      </w:r>
      <w:r>
        <w:rPr>
          <w:i/>
        </w:rPr>
        <w:t xml:space="preserve">available at </w:t>
      </w:r>
      <w:hyperlink r:id="rId26" w:history="1">
        <w:r w:rsidRPr="00D61B47">
          <w:rPr>
            <w:rStyle w:val="Hyperlink"/>
          </w:rPr>
          <w:t>NewEconomyNYC.org</w:t>
        </w:r>
      </w:hyperlink>
      <w:r>
        <w:t>.</w:t>
      </w:r>
    </w:p>
  </w:footnote>
  <w:footnote w:id="49">
    <w:p w14:paraId="1E7961BD" w14:textId="77777777" w:rsidR="00D55F48" w:rsidRPr="00CE22C7" w:rsidRDefault="00D55F48" w:rsidP="00775043">
      <w:pPr>
        <w:pStyle w:val="FootnoteText"/>
      </w:pPr>
      <w:r w:rsidRPr="00CE22C7">
        <w:rPr>
          <w:rStyle w:val="FootnoteReference"/>
        </w:rPr>
        <w:footnoteRef/>
      </w:r>
      <w:r w:rsidRPr="00CE22C7">
        <w:t xml:space="preserve"> </w:t>
      </w:r>
      <w:r w:rsidRPr="00CE22C7">
        <w:rPr>
          <w:i/>
          <w:iCs/>
        </w:rPr>
        <w:t>Compare</w:t>
      </w:r>
      <w:r w:rsidRPr="00CE22C7">
        <w:t xml:space="preserve"> N.Y.C. Fiscal Year </w:t>
      </w:r>
      <w:r>
        <w:t>2023</w:t>
      </w:r>
      <w:r w:rsidRPr="00CE22C7">
        <w:t xml:space="preserve"> Adopted Budget Financial Plan, </w:t>
      </w:r>
      <w:r w:rsidRPr="00CE22C7">
        <w:rPr>
          <w:i/>
          <w:iCs/>
        </w:rPr>
        <w:t>available at</w:t>
      </w:r>
      <w:r w:rsidRPr="00CE22C7">
        <w:t xml:space="preserve">: </w:t>
      </w:r>
      <w:hyperlink r:id="rId27" w:history="1">
        <w:r>
          <w:rPr>
            <w:rStyle w:val="Hyperlink"/>
          </w:rPr>
          <w:t>NYC.gov</w:t>
        </w:r>
      </w:hyperlink>
      <w:r w:rsidRPr="00CE22C7">
        <w:t xml:space="preserve"> </w:t>
      </w:r>
      <w:r w:rsidRPr="00CE22C7">
        <w:rPr>
          <w:i/>
          <w:iCs/>
        </w:rPr>
        <w:t xml:space="preserve">with </w:t>
      </w:r>
      <w:r w:rsidRPr="00CE22C7">
        <w:t>North Dakota 2021</w:t>
      </w:r>
      <w:r>
        <w:t>-2023</w:t>
      </w:r>
      <w:r w:rsidRPr="00CE22C7">
        <w:t xml:space="preserve"> Biennium Approved State Budget, </w:t>
      </w:r>
      <w:r w:rsidRPr="00CE22C7">
        <w:rPr>
          <w:i/>
          <w:iCs/>
        </w:rPr>
        <w:t>available at</w:t>
      </w:r>
      <w:r w:rsidRPr="00CE22C7">
        <w:t xml:space="preserve">: </w:t>
      </w:r>
      <w:hyperlink r:id="rId28" w:history="1">
        <w:r>
          <w:rPr>
            <w:rStyle w:val="Hyperlink"/>
          </w:rPr>
          <w:t>ND.gov</w:t>
        </w:r>
      </w:hyperlink>
      <w:r w:rsidRPr="00CE22C7">
        <w:t xml:space="preserve"> </w:t>
      </w:r>
    </w:p>
  </w:footnote>
  <w:footnote w:id="50">
    <w:p w14:paraId="1814F79E" w14:textId="2F36761B" w:rsidR="00D55F48" w:rsidRPr="00CE22C7" w:rsidRDefault="00D55F48">
      <w:pPr>
        <w:pStyle w:val="FootnoteText"/>
      </w:pPr>
      <w:r w:rsidRPr="00CE22C7">
        <w:rPr>
          <w:rStyle w:val="FootnoteReference"/>
        </w:rPr>
        <w:footnoteRef/>
      </w:r>
      <w:r w:rsidRPr="00CE22C7">
        <w:t xml:space="preserve"> California Bankers Association, “Response to Signing of AB 857,” Oct. 2, 2019, </w:t>
      </w:r>
      <w:r w:rsidRPr="00CE22C7">
        <w:rPr>
          <w:i/>
          <w:iCs/>
        </w:rPr>
        <w:t>available at:</w:t>
      </w:r>
      <w:r w:rsidRPr="00CE22C7">
        <w:t xml:space="preserve"> </w:t>
      </w:r>
      <w:hyperlink r:id="rId29" w:history="1">
        <w:r w:rsidRPr="00CE22C7">
          <w:rPr>
            <w:rStyle w:val="Hyperlink"/>
          </w:rPr>
          <w:t>https://www.calbankers.com/press-release/california-bankers-association-response-signing-ab-857</w:t>
        </w:r>
      </w:hyperlink>
    </w:p>
  </w:footnote>
  <w:footnote w:id="51">
    <w:p w14:paraId="6A2A9EC2" w14:textId="604B4F75" w:rsidR="006272AD" w:rsidRDefault="006272AD">
      <w:pPr>
        <w:pStyle w:val="FootnoteText"/>
      </w:pPr>
      <w:r>
        <w:rPr>
          <w:rStyle w:val="FootnoteReference"/>
        </w:rPr>
        <w:footnoteRef/>
      </w:r>
      <w:r>
        <w:t xml:space="preserve"> For vendor and supplier risk management see: McKinsey &amp; Company, “Managing When Vendor and Supplier Risk Becomes Your Own.” </w:t>
      </w:r>
      <w:r w:rsidR="005664FC">
        <w:t xml:space="preserve">July 1, 2013 available at </w:t>
      </w:r>
      <w:hyperlink r:id="rId30" w:history="1">
        <w:r w:rsidR="00423E9A" w:rsidRPr="006611D0">
          <w:rPr>
            <w:rStyle w:val="Hyperlink"/>
          </w:rPr>
          <w:t>https://www.mckinsey.com/capabilities/risk-and-resilience/our-insights/managing-when-vendor-and-supplier-risk-becomes-your-own</w:t>
        </w:r>
      </w:hyperlink>
      <w:r w:rsidR="00423E9A">
        <w:t xml:space="preserve"> </w:t>
      </w:r>
    </w:p>
    <w:p w14:paraId="235CF79A" w14:textId="77777777" w:rsidR="005664FC" w:rsidRDefault="005664F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F751" w14:textId="77777777" w:rsidR="00D55F48" w:rsidRDefault="00D55F4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14259" w14:textId="121FBA84" w:rsidR="00D55F48" w:rsidRDefault="00D55F48">
    <w:pPr>
      <w:pStyle w:val="Header"/>
    </w:pPr>
  </w:p>
  <w:p w14:paraId="7F9B2D3D" w14:textId="77777777" w:rsidR="00D55F48" w:rsidRDefault="00D55F48"/>
  <w:p w14:paraId="7F23865A" w14:textId="77777777" w:rsidR="00D55F48" w:rsidRDefault="00D55F48"/>
  <w:p w14:paraId="10E61B04" w14:textId="77777777" w:rsidR="00D55F48" w:rsidRDefault="00D55F4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53883" w14:textId="664326FA" w:rsidR="00D55F48" w:rsidRPr="00F12CF4" w:rsidRDefault="00D55F48" w:rsidP="00F12C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2D635" w14:textId="4BEB04B0" w:rsidR="00D55F48" w:rsidRDefault="00D55F48">
    <w:pPr>
      <w:pStyle w:val="Header"/>
    </w:pPr>
  </w:p>
</w:hdr>
</file>

<file path=word/intelligence.xml><?xml version="1.0" encoding="utf-8"?>
<int:Intelligence xmlns:int="http://schemas.microsoft.com/office/intelligence/2019/intelligence">
  <int:IntelligenceSettings/>
  <int:Manifest>
    <int:WordHash hashCode="4OEKwD+P/rv4Gh" id="7wBSz7Fo"/>
    <int:WordHash hashCode="StwWm77PdcJQK3" id="BRzUrepo"/>
    <int:WordHash hashCode="+OtSXSbhv8zyWG" id="V4ckMh9J"/>
    <int:WordHash hashCode="P6pSQgAaCSy4Tc" id="w4jDfyzb"/>
    <int:WordHash hashCode="h4dEi4ILTXh1JN" id="lnH6V1Eb"/>
  </int:Manifest>
  <int:Observations>
    <int:Content id="7wBSz7Fo">
      <int:Rejection type="AugLoop_Text_Critique"/>
    </int:Content>
    <int:Content id="BRzUrepo">
      <int:Rejection type="AugLoop_Text_Critique"/>
    </int:Content>
    <int:Content id="V4ckMh9J">
      <int:Rejection type="AugLoop_Text_Critique"/>
    </int:Content>
    <int:Content id="w4jDfyzb">
      <int:Rejection type="AugLoop_Text_Critique"/>
    </int:Content>
    <int:Content id="lnH6V1E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459B"/>
    <w:multiLevelType w:val="multilevel"/>
    <w:tmpl w:val="F6B4E14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b w:val="0"/>
        <w:bCs/>
      </w:rPr>
    </w:lvl>
    <w:lvl w:ilvl="2">
      <w:start w:val="1"/>
      <w:numFmt w:val="decimal"/>
      <w:pStyle w:val="Heading3"/>
      <w:lvlText w:val="%3."/>
      <w:lvlJc w:val="left"/>
      <w:pPr>
        <w:ind w:left="1440" w:firstLine="0"/>
      </w:pPr>
      <w:rPr>
        <w:rFonts w:ascii="Times New Roman" w:eastAsiaTheme="majorEastAsia" w:hAnsi="Times New Roman" w:cs="Times New Roman" w:hint="default"/>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BD43E94"/>
    <w:multiLevelType w:val="hybridMultilevel"/>
    <w:tmpl w:val="A9721410"/>
    <w:lvl w:ilvl="0" w:tplc="D40C49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55C2A"/>
    <w:multiLevelType w:val="hybridMultilevel"/>
    <w:tmpl w:val="C60AF9FE"/>
    <w:lvl w:ilvl="0" w:tplc="BCC08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7B4006"/>
    <w:multiLevelType w:val="hybridMultilevel"/>
    <w:tmpl w:val="E58A5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B4924"/>
    <w:multiLevelType w:val="hybridMultilevel"/>
    <w:tmpl w:val="6CB4902C"/>
    <w:lvl w:ilvl="0" w:tplc="7C60F6F6">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15275"/>
    <w:multiLevelType w:val="hybridMultilevel"/>
    <w:tmpl w:val="C2801AD4"/>
    <w:lvl w:ilvl="0" w:tplc="9A1A7AB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624E50"/>
    <w:multiLevelType w:val="hybridMultilevel"/>
    <w:tmpl w:val="8F565A54"/>
    <w:lvl w:ilvl="0" w:tplc="5FFE3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42050D"/>
    <w:multiLevelType w:val="hybridMultilevel"/>
    <w:tmpl w:val="E2BE592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34D166A"/>
    <w:multiLevelType w:val="hybridMultilevel"/>
    <w:tmpl w:val="4598622C"/>
    <w:lvl w:ilvl="0" w:tplc="4F782B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B461CB"/>
    <w:multiLevelType w:val="hybridMultilevel"/>
    <w:tmpl w:val="9B56BB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552EA"/>
    <w:multiLevelType w:val="hybridMultilevel"/>
    <w:tmpl w:val="54CED8F8"/>
    <w:lvl w:ilvl="0" w:tplc="BCC08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184B64"/>
    <w:multiLevelType w:val="hybridMultilevel"/>
    <w:tmpl w:val="EB62B7FC"/>
    <w:lvl w:ilvl="0" w:tplc="BCC08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CE7EB6"/>
    <w:multiLevelType w:val="hybridMultilevel"/>
    <w:tmpl w:val="E67E1E1E"/>
    <w:lvl w:ilvl="0" w:tplc="BCC08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9"/>
  </w:num>
  <w:num w:numId="4">
    <w:abstractNumId w:val="1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7"/>
  </w:num>
  <w:num w:numId="12">
    <w:abstractNumId w:val="10"/>
  </w:num>
  <w:num w:numId="13">
    <w:abstractNumId w:val="11"/>
  </w:num>
  <w:num w:numId="14">
    <w:abstractNumId w:val="2"/>
  </w:num>
  <w:num w:numId="15">
    <w:abstractNumId w:val="8"/>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163"/>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5B"/>
    <w:rsid w:val="000010C0"/>
    <w:rsid w:val="00002BE8"/>
    <w:rsid w:val="00002C3F"/>
    <w:rsid w:val="00002C8B"/>
    <w:rsid w:val="0000330D"/>
    <w:rsid w:val="00003C94"/>
    <w:rsid w:val="00003CDE"/>
    <w:rsid w:val="000041CC"/>
    <w:rsid w:val="0000529E"/>
    <w:rsid w:val="00006747"/>
    <w:rsid w:val="00007199"/>
    <w:rsid w:val="00010953"/>
    <w:rsid w:val="00011269"/>
    <w:rsid w:val="00011550"/>
    <w:rsid w:val="0001187A"/>
    <w:rsid w:val="000122B0"/>
    <w:rsid w:val="00014F2F"/>
    <w:rsid w:val="000151A4"/>
    <w:rsid w:val="00020C1A"/>
    <w:rsid w:val="00020CC5"/>
    <w:rsid w:val="000220CE"/>
    <w:rsid w:val="00022CCE"/>
    <w:rsid w:val="00024A85"/>
    <w:rsid w:val="000264C1"/>
    <w:rsid w:val="00026C63"/>
    <w:rsid w:val="0002764F"/>
    <w:rsid w:val="00030215"/>
    <w:rsid w:val="0003026A"/>
    <w:rsid w:val="00030424"/>
    <w:rsid w:val="0003051A"/>
    <w:rsid w:val="00030CEF"/>
    <w:rsid w:val="000319D1"/>
    <w:rsid w:val="000325FA"/>
    <w:rsid w:val="0003290D"/>
    <w:rsid w:val="00032D97"/>
    <w:rsid w:val="000358C9"/>
    <w:rsid w:val="00035CA9"/>
    <w:rsid w:val="00036252"/>
    <w:rsid w:val="00036A6C"/>
    <w:rsid w:val="00036D0B"/>
    <w:rsid w:val="00036E11"/>
    <w:rsid w:val="0003765A"/>
    <w:rsid w:val="00040D56"/>
    <w:rsid w:val="00042565"/>
    <w:rsid w:val="00042814"/>
    <w:rsid w:val="00043B5B"/>
    <w:rsid w:val="0004457E"/>
    <w:rsid w:val="000468E2"/>
    <w:rsid w:val="00047E0E"/>
    <w:rsid w:val="00050EF2"/>
    <w:rsid w:val="000512E6"/>
    <w:rsid w:val="00052B05"/>
    <w:rsid w:val="000531E6"/>
    <w:rsid w:val="00053BB2"/>
    <w:rsid w:val="00054432"/>
    <w:rsid w:val="00057CB6"/>
    <w:rsid w:val="00060DD8"/>
    <w:rsid w:val="00061099"/>
    <w:rsid w:val="000619CA"/>
    <w:rsid w:val="00061B45"/>
    <w:rsid w:val="00061E67"/>
    <w:rsid w:val="000620D5"/>
    <w:rsid w:val="0006315B"/>
    <w:rsid w:val="00065211"/>
    <w:rsid w:val="00066708"/>
    <w:rsid w:val="000669C0"/>
    <w:rsid w:val="00066BE0"/>
    <w:rsid w:val="0007006E"/>
    <w:rsid w:val="00071A48"/>
    <w:rsid w:val="00071A7A"/>
    <w:rsid w:val="00071FF0"/>
    <w:rsid w:val="0007333C"/>
    <w:rsid w:val="00073815"/>
    <w:rsid w:val="00073E01"/>
    <w:rsid w:val="00073ED9"/>
    <w:rsid w:val="00075ADD"/>
    <w:rsid w:val="00076E3A"/>
    <w:rsid w:val="00077107"/>
    <w:rsid w:val="0007738D"/>
    <w:rsid w:val="00077F30"/>
    <w:rsid w:val="00081687"/>
    <w:rsid w:val="000837F4"/>
    <w:rsid w:val="00083DE6"/>
    <w:rsid w:val="00085797"/>
    <w:rsid w:val="000903D0"/>
    <w:rsid w:val="0009261B"/>
    <w:rsid w:val="00093090"/>
    <w:rsid w:val="000934A8"/>
    <w:rsid w:val="00093729"/>
    <w:rsid w:val="00094F15"/>
    <w:rsid w:val="00095CA5"/>
    <w:rsid w:val="00097927"/>
    <w:rsid w:val="000A0994"/>
    <w:rsid w:val="000A11E7"/>
    <w:rsid w:val="000A2C31"/>
    <w:rsid w:val="000A3526"/>
    <w:rsid w:val="000A43B2"/>
    <w:rsid w:val="000A4BC5"/>
    <w:rsid w:val="000A4FEE"/>
    <w:rsid w:val="000A60F5"/>
    <w:rsid w:val="000A7280"/>
    <w:rsid w:val="000A7927"/>
    <w:rsid w:val="000B03B8"/>
    <w:rsid w:val="000B21A1"/>
    <w:rsid w:val="000B2EB5"/>
    <w:rsid w:val="000B3FC6"/>
    <w:rsid w:val="000B6670"/>
    <w:rsid w:val="000B7FB0"/>
    <w:rsid w:val="000C0661"/>
    <w:rsid w:val="000C1402"/>
    <w:rsid w:val="000C2695"/>
    <w:rsid w:val="000C4FE4"/>
    <w:rsid w:val="000C5B78"/>
    <w:rsid w:val="000D1F82"/>
    <w:rsid w:val="000D23B4"/>
    <w:rsid w:val="000D56F0"/>
    <w:rsid w:val="000D733F"/>
    <w:rsid w:val="000E0465"/>
    <w:rsid w:val="000E1800"/>
    <w:rsid w:val="000E1D29"/>
    <w:rsid w:val="000E23A6"/>
    <w:rsid w:val="000E262F"/>
    <w:rsid w:val="000E33E2"/>
    <w:rsid w:val="000E3F36"/>
    <w:rsid w:val="000E4256"/>
    <w:rsid w:val="000E4435"/>
    <w:rsid w:val="000E52D6"/>
    <w:rsid w:val="000E76DF"/>
    <w:rsid w:val="000F2B0D"/>
    <w:rsid w:val="000F2C82"/>
    <w:rsid w:val="000F3CFF"/>
    <w:rsid w:val="000F76FA"/>
    <w:rsid w:val="000F77CD"/>
    <w:rsid w:val="00100726"/>
    <w:rsid w:val="0010133E"/>
    <w:rsid w:val="001016E8"/>
    <w:rsid w:val="00101CB9"/>
    <w:rsid w:val="00101F33"/>
    <w:rsid w:val="001020DC"/>
    <w:rsid w:val="001037AD"/>
    <w:rsid w:val="001039D7"/>
    <w:rsid w:val="00104427"/>
    <w:rsid w:val="00104BF9"/>
    <w:rsid w:val="00105CBE"/>
    <w:rsid w:val="001061DC"/>
    <w:rsid w:val="001068FC"/>
    <w:rsid w:val="001103C8"/>
    <w:rsid w:val="00111711"/>
    <w:rsid w:val="00113275"/>
    <w:rsid w:val="00113C6A"/>
    <w:rsid w:val="001142FD"/>
    <w:rsid w:val="001148E3"/>
    <w:rsid w:val="00114E1A"/>
    <w:rsid w:val="00114ED4"/>
    <w:rsid w:val="001159AF"/>
    <w:rsid w:val="0012025F"/>
    <w:rsid w:val="00121848"/>
    <w:rsid w:val="00122228"/>
    <w:rsid w:val="00122559"/>
    <w:rsid w:val="001228F3"/>
    <w:rsid w:val="00122E82"/>
    <w:rsid w:val="001237A1"/>
    <w:rsid w:val="001247D4"/>
    <w:rsid w:val="0012560E"/>
    <w:rsid w:val="00125A89"/>
    <w:rsid w:val="00126E60"/>
    <w:rsid w:val="001321D1"/>
    <w:rsid w:val="00133A7B"/>
    <w:rsid w:val="00134933"/>
    <w:rsid w:val="001357D7"/>
    <w:rsid w:val="001375CF"/>
    <w:rsid w:val="00137776"/>
    <w:rsid w:val="00137BE0"/>
    <w:rsid w:val="00137D16"/>
    <w:rsid w:val="00141801"/>
    <w:rsid w:val="0014441F"/>
    <w:rsid w:val="00144B63"/>
    <w:rsid w:val="00145C1F"/>
    <w:rsid w:val="00145C75"/>
    <w:rsid w:val="00146906"/>
    <w:rsid w:val="00146DF0"/>
    <w:rsid w:val="00147056"/>
    <w:rsid w:val="001473B3"/>
    <w:rsid w:val="001474A6"/>
    <w:rsid w:val="00147924"/>
    <w:rsid w:val="00150C45"/>
    <w:rsid w:val="001519EF"/>
    <w:rsid w:val="00152900"/>
    <w:rsid w:val="00152A8A"/>
    <w:rsid w:val="00156D87"/>
    <w:rsid w:val="00160483"/>
    <w:rsid w:val="001609C7"/>
    <w:rsid w:val="00160C9E"/>
    <w:rsid w:val="001619CF"/>
    <w:rsid w:val="00161B74"/>
    <w:rsid w:val="0016544C"/>
    <w:rsid w:val="0016667A"/>
    <w:rsid w:val="00167208"/>
    <w:rsid w:val="0016746A"/>
    <w:rsid w:val="001676A6"/>
    <w:rsid w:val="00167E9E"/>
    <w:rsid w:val="00170CB7"/>
    <w:rsid w:val="00170F46"/>
    <w:rsid w:val="00171258"/>
    <w:rsid w:val="001714D5"/>
    <w:rsid w:val="00171C5F"/>
    <w:rsid w:val="001726E3"/>
    <w:rsid w:val="001742EE"/>
    <w:rsid w:val="00174ED6"/>
    <w:rsid w:val="001764AC"/>
    <w:rsid w:val="00180522"/>
    <w:rsid w:val="00180576"/>
    <w:rsid w:val="00180CB4"/>
    <w:rsid w:val="00181AD0"/>
    <w:rsid w:val="00183315"/>
    <w:rsid w:val="0018344C"/>
    <w:rsid w:val="00184BA8"/>
    <w:rsid w:val="00185D43"/>
    <w:rsid w:val="00185D82"/>
    <w:rsid w:val="00185FEE"/>
    <w:rsid w:val="00187740"/>
    <w:rsid w:val="0019046A"/>
    <w:rsid w:val="00191C8B"/>
    <w:rsid w:val="00191F75"/>
    <w:rsid w:val="00191FBA"/>
    <w:rsid w:val="00193A75"/>
    <w:rsid w:val="00194B93"/>
    <w:rsid w:val="0019525C"/>
    <w:rsid w:val="001958AA"/>
    <w:rsid w:val="00195FBB"/>
    <w:rsid w:val="00196479"/>
    <w:rsid w:val="00197348"/>
    <w:rsid w:val="00197657"/>
    <w:rsid w:val="00197C0A"/>
    <w:rsid w:val="001A0709"/>
    <w:rsid w:val="001A0B86"/>
    <w:rsid w:val="001A14E4"/>
    <w:rsid w:val="001A1B5E"/>
    <w:rsid w:val="001A2768"/>
    <w:rsid w:val="001A297D"/>
    <w:rsid w:val="001A329C"/>
    <w:rsid w:val="001A48E3"/>
    <w:rsid w:val="001A4A4A"/>
    <w:rsid w:val="001A710D"/>
    <w:rsid w:val="001A7172"/>
    <w:rsid w:val="001B02DE"/>
    <w:rsid w:val="001B153C"/>
    <w:rsid w:val="001B2624"/>
    <w:rsid w:val="001B2788"/>
    <w:rsid w:val="001B315A"/>
    <w:rsid w:val="001B39A4"/>
    <w:rsid w:val="001B39F3"/>
    <w:rsid w:val="001B477F"/>
    <w:rsid w:val="001B5369"/>
    <w:rsid w:val="001B68A8"/>
    <w:rsid w:val="001B7702"/>
    <w:rsid w:val="001B7BC4"/>
    <w:rsid w:val="001C12D7"/>
    <w:rsid w:val="001C2D8C"/>
    <w:rsid w:val="001C5845"/>
    <w:rsid w:val="001C657D"/>
    <w:rsid w:val="001C7206"/>
    <w:rsid w:val="001C7A79"/>
    <w:rsid w:val="001D152A"/>
    <w:rsid w:val="001D2AFC"/>
    <w:rsid w:val="001D38AB"/>
    <w:rsid w:val="001D3922"/>
    <w:rsid w:val="001D3F85"/>
    <w:rsid w:val="001D4317"/>
    <w:rsid w:val="001D602C"/>
    <w:rsid w:val="001D6B70"/>
    <w:rsid w:val="001D6BB1"/>
    <w:rsid w:val="001D6C70"/>
    <w:rsid w:val="001E0064"/>
    <w:rsid w:val="001E1DC1"/>
    <w:rsid w:val="001E4758"/>
    <w:rsid w:val="001E551C"/>
    <w:rsid w:val="001E5BCD"/>
    <w:rsid w:val="001E733D"/>
    <w:rsid w:val="001E7B57"/>
    <w:rsid w:val="001F1C14"/>
    <w:rsid w:val="001F30D9"/>
    <w:rsid w:val="001F3215"/>
    <w:rsid w:val="001F3624"/>
    <w:rsid w:val="001F3ECB"/>
    <w:rsid w:val="001F5456"/>
    <w:rsid w:val="001F57B6"/>
    <w:rsid w:val="001F5BF6"/>
    <w:rsid w:val="001F5E48"/>
    <w:rsid w:val="001F74CD"/>
    <w:rsid w:val="001F7551"/>
    <w:rsid w:val="002027C4"/>
    <w:rsid w:val="00202A14"/>
    <w:rsid w:val="0020327E"/>
    <w:rsid w:val="002032EF"/>
    <w:rsid w:val="002045EA"/>
    <w:rsid w:val="00204E26"/>
    <w:rsid w:val="00204E2F"/>
    <w:rsid w:val="002054E4"/>
    <w:rsid w:val="002107EA"/>
    <w:rsid w:val="00210A13"/>
    <w:rsid w:val="00210CFA"/>
    <w:rsid w:val="00210EC3"/>
    <w:rsid w:val="0021262F"/>
    <w:rsid w:val="0021472F"/>
    <w:rsid w:val="00214EA8"/>
    <w:rsid w:val="002159AE"/>
    <w:rsid w:val="00215F44"/>
    <w:rsid w:val="00217A40"/>
    <w:rsid w:val="0022090B"/>
    <w:rsid w:val="00220EB5"/>
    <w:rsid w:val="00221742"/>
    <w:rsid w:val="00221B2D"/>
    <w:rsid w:val="00221F7C"/>
    <w:rsid w:val="0022281E"/>
    <w:rsid w:val="002241BC"/>
    <w:rsid w:val="00225AE8"/>
    <w:rsid w:val="00230811"/>
    <w:rsid w:val="00230911"/>
    <w:rsid w:val="00230AD5"/>
    <w:rsid w:val="00230CA4"/>
    <w:rsid w:val="00230F8A"/>
    <w:rsid w:val="0023113D"/>
    <w:rsid w:val="002311D5"/>
    <w:rsid w:val="00231817"/>
    <w:rsid w:val="002319FC"/>
    <w:rsid w:val="00232108"/>
    <w:rsid w:val="002324ED"/>
    <w:rsid w:val="00232893"/>
    <w:rsid w:val="00233353"/>
    <w:rsid w:val="00233AE6"/>
    <w:rsid w:val="00234000"/>
    <w:rsid w:val="0023405F"/>
    <w:rsid w:val="002345A9"/>
    <w:rsid w:val="002353E8"/>
    <w:rsid w:val="00235D2E"/>
    <w:rsid w:val="00236871"/>
    <w:rsid w:val="00236A92"/>
    <w:rsid w:val="002407C2"/>
    <w:rsid w:val="00240E67"/>
    <w:rsid w:val="00242189"/>
    <w:rsid w:val="0024254F"/>
    <w:rsid w:val="00243ABE"/>
    <w:rsid w:val="00243E20"/>
    <w:rsid w:val="0024440A"/>
    <w:rsid w:val="0024685C"/>
    <w:rsid w:val="00246C31"/>
    <w:rsid w:val="00247AEE"/>
    <w:rsid w:val="00247D0D"/>
    <w:rsid w:val="00252F4F"/>
    <w:rsid w:val="0025348B"/>
    <w:rsid w:val="00253E5C"/>
    <w:rsid w:val="00254632"/>
    <w:rsid w:val="00255865"/>
    <w:rsid w:val="00255931"/>
    <w:rsid w:val="002569E9"/>
    <w:rsid w:val="002574F1"/>
    <w:rsid w:val="0026084B"/>
    <w:rsid w:val="00262094"/>
    <w:rsid w:val="00262CB2"/>
    <w:rsid w:val="0026359B"/>
    <w:rsid w:val="00264561"/>
    <w:rsid w:val="00264DEC"/>
    <w:rsid w:val="002712D6"/>
    <w:rsid w:val="0027135D"/>
    <w:rsid w:val="00273EA3"/>
    <w:rsid w:val="00275B38"/>
    <w:rsid w:val="00276481"/>
    <w:rsid w:val="00277B4B"/>
    <w:rsid w:val="00277EB5"/>
    <w:rsid w:val="0028174C"/>
    <w:rsid w:val="00281874"/>
    <w:rsid w:val="00283189"/>
    <w:rsid w:val="0028400F"/>
    <w:rsid w:val="00284FB5"/>
    <w:rsid w:val="00285708"/>
    <w:rsid w:val="00290FF3"/>
    <w:rsid w:val="002927D1"/>
    <w:rsid w:val="00293CF2"/>
    <w:rsid w:val="002944B9"/>
    <w:rsid w:val="0029733E"/>
    <w:rsid w:val="00297464"/>
    <w:rsid w:val="0029787A"/>
    <w:rsid w:val="002A1081"/>
    <w:rsid w:val="002A14B2"/>
    <w:rsid w:val="002A18A1"/>
    <w:rsid w:val="002A246C"/>
    <w:rsid w:val="002A26A0"/>
    <w:rsid w:val="002A2A6E"/>
    <w:rsid w:val="002A2AC2"/>
    <w:rsid w:val="002A2AE6"/>
    <w:rsid w:val="002A2E68"/>
    <w:rsid w:val="002A37E8"/>
    <w:rsid w:val="002A4646"/>
    <w:rsid w:val="002A6474"/>
    <w:rsid w:val="002A64D7"/>
    <w:rsid w:val="002B0167"/>
    <w:rsid w:val="002B08F5"/>
    <w:rsid w:val="002B2C78"/>
    <w:rsid w:val="002B50F1"/>
    <w:rsid w:val="002B69CF"/>
    <w:rsid w:val="002B74AA"/>
    <w:rsid w:val="002B7944"/>
    <w:rsid w:val="002C00FE"/>
    <w:rsid w:val="002C05C3"/>
    <w:rsid w:val="002C1552"/>
    <w:rsid w:val="002C1B55"/>
    <w:rsid w:val="002C2730"/>
    <w:rsid w:val="002C5FCF"/>
    <w:rsid w:val="002C62A1"/>
    <w:rsid w:val="002C7758"/>
    <w:rsid w:val="002D15D4"/>
    <w:rsid w:val="002D1D89"/>
    <w:rsid w:val="002D2569"/>
    <w:rsid w:val="002D256A"/>
    <w:rsid w:val="002D2800"/>
    <w:rsid w:val="002D3771"/>
    <w:rsid w:val="002D3F95"/>
    <w:rsid w:val="002D5FB0"/>
    <w:rsid w:val="002D744C"/>
    <w:rsid w:val="002E0FF2"/>
    <w:rsid w:val="002E102E"/>
    <w:rsid w:val="002E12D7"/>
    <w:rsid w:val="002E1A78"/>
    <w:rsid w:val="002E2088"/>
    <w:rsid w:val="002E2354"/>
    <w:rsid w:val="002E28FF"/>
    <w:rsid w:val="002E3770"/>
    <w:rsid w:val="002E37F7"/>
    <w:rsid w:val="002E4BAB"/>
    <w:rsid w:val="002E5159"/>
    <w:rsid w:val="002E7CA6"/>
    <w:rsid w:val="002F0CC7"/>
    <w:rsid w:val="002F19AC"/>
    <w:rsid w:val="002F3636"/>
    <w:rsid w:val="002F3833"/>
    <w:rsid w:val="002F3844"/>
    <w:rsid w:val="002F4CC8"/>
    <w:rsid w:val="002F55B6"/>
    <w:rsid w:val="002F5C50"/>
    <w:rsid w:val="002F7E63"/>
    <w:rsid w:val="003008F7"/>
    <w:rsid w:val="00301403"/>
    <w:rsid w:val="00301B61"/>
    <w:rsid w:val="00302650"/>
    <w:rsid w:val="00302FF9"/>
    <w:rsid w:val="0030358D"/>
    <w:rsid w:val="00305AC1"/>
    <w:rsid w:val="00305FBA"/>
    <w:rsid w:val="00310054"/>
    <w:rsid w:val="003106AD"/>
    <w:rsid w:val="003125C0"/>
    <w:rsid w:val="00314E3F"/>
    <w:rsid w:val="00315CCC"/>
    <w:rsid w:val="00316332"/>
    <w:rsid w:val="003165FF"/>
    <w:rsid w:val="00322052"/>
    <w:rsid w:val="0032268F"/>
    <w:rsid w:val="00322C35"/>
    <w:rsid w:val="0032376D"/>
    <w:rsid w:val="00323D1D"/>
    <w:rsid w:val="0032448F"/>
    <w:rsid w:val="00324517"/>
    <w:rsid w:val="00324A3C"/>
    <w:rsid w:val="0032578C"/>
    <w:rsid w:val="00327275"/>
    <w:rsid w:val="00327ABB"/>
    <w:rsid w:val="00332BA7"/>
    <w:rsid w:val="00332FB6"/>
    <w:rsid w:val="00333663"/>
    <w:rsid w:val="003342EA"/>
    <w:rsid w:val="003363D6"/>
    <w:rsid w:val="00336A73"/>
    <w:rsid w:val="00337300"/>
    <w:rsid w:val="00337647"/>
    <w:rsid w:val="00341942"/>
    <w:rsid w:val="003419F2"/>
    <w:rsid w:val="00341FC7"/>
    <w:rsid w:val="003430C8"/>
    <w:rsid w:val="003430EA"/>
    <w:rsid w:val="0034317F"/>
    <w:rsid w:val="00343C09"/>
    <w:rsid w:val="0034493D"/>
    <w:rsid w:val="00345A41"/>
    <w:rsid w:val="00350526"/>
    <w:rsid w:val="0035063C"/>
    <w:rsid w:val="00350FE5"/>
    <w:rsid w:val="00351353"/>
    <w:rsid w:val="00352053"/>
    <w:rsid w:val="00352C56"/>
    <w:rsid w:val="00353867"/>
    <w:rsid w:val="003617C8"/>
    <w:rsid w:val="00362580"/>
    <w:rsid w:val="003632B4"/>
    <w:rsid w:val="003636C2"/>
    <w:rsid w:val="00363F59"/>
    <w:rsid w:val="0036539E"/>
    <w:rsid w:val="00365EB2"/>
    <w:rsid w:val="00366C84"/>
    <w:rsid w:val="003677FF"/>
    <w:rsid w:val="0037091B"/>
    <w:rsid w:val="00370DDA"/>
    <w:rsid w:val="00372AB0"/>
    <w:rsid w:val="00372F44"/>
    <w:rsid w:val="003771FE"/>
    <w:rsid w:val="0037795F"/>
    <w:rsid w:val="0038163A"/>
    <w:rsid w:val="00381AA5"/>
    <w:rsid w:val="00382130"/>
    <w:rsid w:val="00383623"/>
    <w:rsid w:val="00385EAE"/>
    <w:rsid w:val="00386899"/>
    <w:rsid w:val="0039178B"/>
    <w:rsid w:val="00391EDE"/>
    <w:rsid w:val="00392FE0"/>
    <w:rsid w:val="0039398E"/>
    <w:rsid w:val="00393CBA"/>
    <w:rsid w:val="00394351"/>
    <w:rsid w:val="00394FE4"/>
    <w:rsid w:val="00395325"/>
    <w:rsid w:val="00396B81"/>
    <w:rsid w:val="003A00B7"/>
    <w:rsid w:val="003A0296"/>
    <w:rsid w:val="003A05E9"/>
    <w:rsid w:val="003A0A30"/>
    <w:rsid w:val="003A1F19"/>
    <w:rsid w:val="003A2039"/>
    <w:rsid w:val="003A2264"/>
    <w:rsid w:val="003A2A37"/>
    <w:rsid w:val="003A2AB6"/>
    <w:rsid w:val="003A2F51"/>
    <w:rsid w:val="003A332E"/>
    <w:rsid w:val="003A4453"/>
    <w:rsid w:val="003A4A29"/>
    <w:rsid w:val="003A696B"/>
    <w:rsid w:val="003A7194"/>
    <w:rsid w:val="003A7551"/>
    <w:rsid w:val="003A7E98"/>
    <w:rsid w:val="003B2401"/>
    <w:rsid w:val="003B3599"/>
    <w:rsid w:val="003B641D"/>
    <w:rsid w:val="003B6A24"/>
    <w:rsid w:val="003B7118"/>
    <w:rsid w:val="003B72A5"/>
    <w:rsid w:val="003B7711"/>
    <w:rsid w:val="003C33FF"/>
    <w:rsid w:val="003C41F7"/>
    <w:rsid w:val="003C518E"/>
    <w:rsid w:val="003C5333"/>
    <w:rsid w:val="003C6482"/>
    <w:rsid w:val="003C6FF1"/>
    <w:rsid w:val="003C723D"/>
    <w:rsid w:val="003C7E25"/>
    <w:rsid w:val="003C7FD4"/>
    <w:rsid w:val="003D2DD8"/>
    <w:rsid w:val="003D2FA2"/>
    <w:rsid w:val="003D311B"/>
    <w:rsid w:val="003D3349"/>
    <w:rsid w:val="003D3B0F"/>
    <w:rsid w:val="003D46CF"/>
    <w:rsid w:val="003D685D"/>
    <w:rsid w:val="003D7617"/>
    <w:rsid w:val="003D7F78"/>
    <w:rsid w:val="003E0273"/>
    <w:rsid w:val="003E0691"/>
    <w:rsid w:val="003E1C35"/>
    <w:rsid w:val="003E2B00"/>
    <w:rsid w:val="003E368D"/>
    <w:rsid w:val="003E3B4A"/>
    <w:rsid w:val="003E4004"/>
    <w:rsid w:val="003E4B5A"/>
    <w:rsid w:val="003E5EEF"/>
    <w:rsid w:val="003E605D"/>
    <w:rsid w:val="003F4856"/>
    <w:rsid w:val="003F77AA"/>
    <w:rsid w:val="003F7C9E"/>
    <w:rsid w:val="003F7E4F"/>
    <w:rsid w:val="00400BED"/>
    <w:rsid w:val="0040229A"/>
    <w:rsid w:val="0040418E"/>
    <w:rsid w:val="004042BC"/>
    <w:rsid w:val="00406C2A"/>
    <w:rsid w:val="00410DB8"/>
    <w:rsid w:val="00410E0B"/>
    <w:rsid w:val="004118BB"/>
    <w:rsid w:val="0041273F"/>
    <w:rsid w:val="004127F2"/>
    <w:rsid w:val="00414094"/>
    <w:rsid w:val="00414FC6"/>
    <w:rsid w:val="004160E9"/>
    <w:rsid w:val="00416B63"/>
    <w:rsid w:val="00420810"/>
    <w:rsid w:val="00423809"/>
    <w:rsid w:val="00423E9A"/>
    <w:rsid w:val="004255C6"/>
    <w:rsid w:val="00425BBD"/>
    <w:rsid w:val="00426515"/>
    <w:rsid w:val="004269EC"/>
    <w:rsid w:val="00427F59"/>
    <w:rsid w:val="00432F00"/>
    <w:rsid w:val="00432F51"/>
    <w:rsid w:val="00433147"/>
    <w:rsid w:val="00433567"/>
    <w:rsid w:val="00434FFC"/>
    <w:rsid w:val="00435BB6"/>
    <w:rsid w:val="00436841"/>
    <w:rsid w:val="00437CAC"/>
    <w:rsid w:val="00440345"/>
    <w:rsid w:val="004403BF"/>
    <w:rsid w:val="00441958"/>
    <w:rsid w:val="00441968"/>
    <w:rsid w:val="00443ACE"/>
    <w:rsid w:val="004441B1"/>
    <w:rsid w:val="00444636"/>
    <w:rsid w:val="00444D10"/>
    <w:rsid w:val="00446C00"/>
    <w:rsid w:val="00450F2E"/>
    <w:rsid w:val="00451441"/>
    <w:rsid w:val="004515F6"/>
    <w:rsid w:val="004523ED"/>
    <w:rsid w:val="004527C0"/>
    <w:rsid w:val="00454003"/>
    <w:rsid w:val="00455587"/>
    <w:rsid w:val="00455BE0"/>
    <w:rsid w:val="004568D5"/>
    <w:rsid w:val="0045755B"/>
    <w:rsid w:val="00460340"/>
    <w:rsid w:val="0046108B"/>
    <w:rsid w:val="00462DE2"/>
    <w:rsid w:val="0046372D"/>
    <w:rsid w:val="0046379F"/>
    <w:rsid w:val="00464FCE"/>
    <w:rsid w:val="0047035C"/>
    <w:rsid w:val="004716D1"/>
    <w:rsid w:val="00472765"/>
    <w:rsid w:val="004735C2"/>
    <w:rsid w:val="004738B3"/>
    <w:rsid w:val="004754AA"/>
    <w:rsid w:val="00475AF2"/>
    <w:rsid w:val="00475CAD"/>
    <w:rsid w:val="00476811"/>
    <w:rsid w:val="00477B89"/>
    <w:rsid w:val="00480C0E"/>
    <w:rsid w:val="00480C3A"/>
    <w:rsid w:val="00481461"/>
    <w:rsid w:val="0048148F"/>
    <w:rsid w:val="00481787"/>
    <w:rsid w:val="00481EB9"/>
    <w:rsid w:val="00482108"/>
    <w:rsid w:val="00486001"/>
    <w:rsid w:val="00487053"/>
    <w:rsid w:val="00487CC8"/>
    <w:rsid w:val="00491D37"/>
    <w:rsid w:val="00492126"/>
    <w:rsid w:val="00493F50"/>
    <w:rsid w:val="00494D79"/>
    <w:rsid w:val="00495D15"/>
    <w:rsid w:val="0049636F"/>
    <w:rsid w:val="00497451"/>
    <w:rsid w:val="0049776B"/>
    <w:rsid w:val="004A1413"/>
    <w:rsid w:val="004A15EC"/>
    <w:rsid w:val="004A1DD1"/>
    <w:rsid w:val="004A209C"/>
    <w:rsid w:val="004A5AAD"/>
    <w:rsid w:val="004A5BF3"/>
    <w:rsid w:val="004A726C"/>
    <w:rsid w:val="004A76DF"/>
    <w:rsid w:val="004A7A1A"/>
    <w:rsid w:val="004B103A"/>
    <w:rsid w:val="004B19C6"/>
    <w:rsid w:val="004B2CD1"/>
    <w:rsid w:val="004B2F4D"/>
    <w:rsid w:val="004B32C4"/>
    <w:rsid w:val="004B3546"/>
    <w:rsid w:val="004B5228"/>
    <w:rsid w:val="004B59E2"/>
    <w:rsid w:val="004B63BE"/>
    <w:rsid w:val="004B6F2B"/>
    <w:rsid w:val="004B709A"/>
    <w:rsid w:val="004C0120"/>
    <w:rsid w:val="004C0161"/>
    <w:rsid w:val="004C0AD8"/>
    <w:rsid w:val="004C0B20"/>
    <w:rsid w:val="004C17E6"/>
    <w:rsid w:val="004C23B0"/>
    <w:rsid w:val="004C3DB7"/>
    <w:rsid w:val="004C4768"/>
    <w:rsid w:val="004C4C4B"/>
    <w:rsid w:val="004C4D9C"/>
    <w:rsid w:val="004C5BAC"/>
    <w:rsid w:val="004C681E"/>
    <w:rsid w:val="004C6842"/>
    <w:rsid w:val="004C6BCE"/>
    <w:rsid w:val="004C73D5"/>
    <w:rsid w:val="004C7BBF"/>
    <w:rsid w:val="004D22E6"/>
    <w:rsid w:val="004D2976"/>
    <w:rsid w:val="004D38D8"/>
    <w:rsid w:val="004D3E55"/>
    <w:rsid w:val="004D4BB5"/>
    <w:rsid w:val="004D4D90"/>
    <w:rsid w:val="004E0439"/>
    <w:rsid w:val="004E2590"/>
    <w:rsid w:val="004E2E3F"/>
    <w:rsid w:val="004E3DF7"/>
    <w:rsid w:val="004E3FB0"/>
    <w:rsid w:val="004E543F"/>
    <w:rsid w:val="004E583B"/>
    <w:rsid w:val="004E5D9B"/>
    <w:rsid w:val="004E639F"/>
    <w:rsid w:val="004E7F55"/>
    <w:rsid w:val="004F070F"/>
    <w:rsid w:val="004F0A2D"/>
    <w:rsid w:val="004F2BBE"/>
    <w:rsid w:val="004F2C2D"/>
    <w:rsid w:val="004F338C"/>
    <w:rsid w:val="004F46E9"/>
    <w:rsid w:val="004F697F"/>
    <w:rsid w:val="004F6EAD"/>
    <w:rsid w:val="004F748F"/>
    <w:rsid w:val="004F7CE1"/>
    <w:rsid w:val="00500CE2"/>
    <w:rsid w:val="00501276"/>
    <w:rsid w:val="00502640"/>
    <w:rsid w:val="00502C4C"/>
    <w:rsid w:val="00504175"/>
    <w:rsid w:val="00504859"/>
    <w:rsid w:val="00504999"/>
    <w:rsid w:val="005056AC"/>
    <w:rsid w:val="005060FB"/>
    <w:rsid w:val="00506687"/>
    <w:rsid w:val="00507FA6"/>
    <w:rsid w:val="00510696"/>
    <w:rsid w:val="00510CD1"/>
    <w:rsid w:val="0051464B"/>
    <w:rsid w:val="00514732"/>
    <w:rsid w:val="00516CEE"/>
    <w:rsid w:val="0052130C"/>
    <w:rsid w:val="00521D25"/>
    <w:rsid w:val="005235AE"/>
    <w:rsid w:val="005237A9"/>
    <w:rsid w:val="00524F73"/>
    <w:rsid w:val="0052738D"/>
    <w:rsid w:val="005306DB"/>
    <w:rsid w:val="005328B9"/>
    <w:rsid w:val="00535072"/>
    <w:rsid w:val="00535303"/>
    <w:rsid w:val="00535553"/>
    <w:rsid w:val="0053615B"/>
    <w:rsid w:val="00536CD0"/>
    <w:rsid w:val="005372D8"/>
    <w:rsid w:val="005373C4"/>
    <w:rsid w:val="00540D28"/>
    <w:rsid w:val="005412DA"/>
    <w:rsid w:val="00545539"/>
    <w:rsid w:val="0054566D"/>
    <w:rsid w:val="00545C9E"/>
    <w:rsid w:val="00545D64"/>
    <w:rsid w:val="00546614"/>
    <w:rsid w:val="00546D79"/>
    <w:rsid w:val="00547AAD"/>
    <w:rsid w:val="00550746"/>
    <w:rsid w:val="00552461"/>
    <w:rsid w:val="00552CC3"/>
    <w:rsid w:val="0055351F"/>
    <w:rsid w:val="00553957"/>
    <w:rsid w:val="005559D2"/>
    <w:rsid w:val="00557FEE"/>
    <w:rsid w:val="00563508"/>
    <w:rsid w:val="00564222"/>
    <w:rsid w:val="00564234"/>
    <w:rsid w:val="00564510"/>
    <w:rsid w:val="00564A7C"/>
    <w:rsid w:val="005657D3"/>
    <w:rsid w:val="00565D59"/>
    <w:rsid w:val="005664FC"/>
    <w:rsid w:val="00567960"/>
    <w:rsid w:val="0057082D"/>
    <w:rsid w:val="00571781"/>
    <w:rsid w:val="0057241A"/>
    <w:rsid w:val="00573AAB"/>
    <w:rsid w:val="00573D24"/>
    <w:rsid w:val="005753E0"/>
    <w:rsid w:val="00575D86"/>
    <w:rsid w:val="005776C5"/>
    <w:rsid w:val="0057772B"/>
    <w:rsid w:val="00577E44"/>
    <w:rsid w:val="005803B6"/>
    <w:rsid w:val="005809BA"/>
    <w:rsid w:val="00581BAD"/>
    <w:rsid w:val="00581DFE"/>
    <w:rsid w:val="005822D6"/>
    <w:rsid w:val="00582C92"/>
    <w:rsid w:val="00582D5C"/>
    <w:rsid w:val="0058434B"/>
    <w:rsid w:val="00585143"/>
    <w:rsid w:val="00587BFD"/>
    <w:rsid w:val="00587C7B"/>
    <w:rsid w:val="00590134"/>
    <w:rsid w:val="00591428"/>
    <w:rsid w:val="00591725"/>
    <w:rsid w:val="005919BC"/>
    <w:rsid w:val="00593729"/>
    <w:rsid w:val="0059425E"/>
    <w:rsid w:val="00594CFF"/>
    <w:rsid w:val="0059512F"/>
    <w:rsid w:val="00595DBC"/>
    <w:rsid w:val="0059756C"/>
    <w:rsid w:val="005A0E70"/>
    <w:rsid w:val="005A3AB0"/>
    <w:rsid w:val="005A553A"/>
    <w:rsid w:val="005A76B1"/>
    <w:rsid w:val="005A7F86"/>
    <w:rsid w:val="005B1E36"/>
    <w:rsid w:val="005B2D3E"/>
    <w:rsid w:val="005B2F6F"/>
    <w:rsid w:val="005B2FA2"/>
    <w:rsid w:val="005B4919"/>
    <w:rsid w:val="005B4AE6"/>
    <w:rsid w:val="005B50A8"/>
    <w:rsid w:val="005B54FA"/>
    <w:rsid w:val="005B5869"/>
    <w:rsid w:val="005B679D"/>
    <w:rsid w:val="005B69E2"/>
    <w:rsid w:val="005C1CD0"/>
    <w:rsid w:val="005C3301"/>
    <w:rsid w:val="005C5AE4"/>
    <w:rsid w:val="005C61DA"/>
    <w:rsid w:val="005C691F"/>
    <w:rsid w:val="005C6DB0"/>
    <w:rsid w:val="005C7123"/>
    <w:rsid w:val="005C74A4"/>
    <w:rsid w:val="005C75FB"/>
    <w:rsid w:val="005C796F"/>
    <w:rsid w:val="005D1B44"/>
    <w:rsid w:val="005D33A2"/>
    <w:rsid w:val="005D39C0"/>
    <w:rsid w:val="005D3C0F"/>
    <w:rsid w:val="005D42CA"/>
    <w:rsid w:val="005D5B84"/>
    <w:rsid w:val="005D5F4F"/>
    <w:rsid w:val="005D6031"/>
    <w:rsid w:val="005E331C"/>
    <w:rsid w:val="005E3935"/>
    <w:rsid w:val="005E3E7E"/>
    <w:rsid w:val="005E4B9C"/>
    <w:rsid w:val="005E620D"/>
    <w:rsid w:val="005E7254"/>
    <w:rsid w:val="005E7A2A"/>
    <w:rsid w:val="005F0369"/>
    <w:rsid w:val="005F0F9A"/>
    <w:rsid w:val="005F13DB"/>
    <w:rsid w:val="005F35C0"/>
    <w:rsid w:val="005F399E"/>
    <w:rsid w:val="005F45FC"/>
    <w:rsid w:val="005F52D0"/>
    <w:rsid w:val="005F5E80"/>
    <w:rsid w:val="005F62E1"/>
    <w:rsid w:val="005F69B7"/>
    <w:rsid w:val="005F702C"/>
    <w:rsid w:val="005F7059"/>
    <w:rsid w:val="005F706D"/>
    <w:rsid w:val="005F71BC"/>
    <w:rsid w:val="005F7BAC"/>
    <w:rsid w:val="0060084F"/>
    <w:rsid w:val="00600F3E"/>
    <w:rsid w:val="00600F86"/>
    <w:rsid w:val="006011CF"/>
    <w:rsid w:val="0060175D"/>
    <w:rsid w:val="00601A8B"/>
    <w:rsid w:val="006040D0"/>
    <w:rsid w:val="0060708D"/>
    <w:rsid w:val="006109B5"/>
    <w:rsid w:val="00613F3E"/>
    <w:rsid w:val="00614612"/>
    <w:rsid w:val="006164EB"/>
    <w:rsid w:val="006172F4"/>
    <w:rsid w:val="00617816"/>
    <w:rsid w:val="00617D40"/>
    <w:rsid w:val="00620F08"/>
    <w:rsid w:val="00620F84"/>
    <w:rsid w:val="00621C8F"/>
    <w:rsid w:val="006225B2"/>
    <w:rsid w:val="00622862"/>
    <w:rsid w:val="006235F8"/>
    <w:rsid w:val="00623BF5"/>
    <w:rsid w:val="00623E87"/>
    <w:rsid w:val="00623E8B"/>
    <w:rsid w:val="00623F6F"/>
    <w:rsid w:val="00624303"/>
    <w:rsid w:val="006272AD"/>
    <w:rsid w:val="006274D8"/>
    <w:rsid w:val="00627939"/>
    <w:rsid w:val="006304C1"/>
    <w:rsid w:val="00631232"/>
    <w:rsid w:val="00632C02"/>
    <w:rsid w:val="006337F6"/>
    <w:rsid w:val="00633F76"/>
    <w:rsid w:val="006345AB"/>
    <w:rsid w:val="00634658"/>
    <w:rsid w:val="00635F1C"/>
    <w:rsid w:val="00636255"/>
    <w:rsid w:val="006364EF"/>
    <w:rsid w:val="006373D5"/>
    <w:rsid w:val="00637855"/>
    <w:rsid w:val="006417B6"/>
    <w:rsid w:val="00641B1E"/>
    <w:rsid w:val="00641D4B"/>
    <w:rsid w:val="00642053"/>
    <w:rsid w:val="006441F3"/>
    <w:rsid w:val="00644BC5"/>
    <w:rsid w:val="00646208"/>
    <w:rsid w:val="00646701"/>
    <w:rsid w:val="00646AAA"/>
    <w:rsid w:val="00646FF1"/>
    <w:rsid w:val="00647523"/>
    <w:rsid w:val="006478D3"/>
    <w:rsid w:val="006509AC"/>
    <w:rsid w:val="00650E8B"/>
    <w:rsid w:val="00655EDF"/>
    <w:rsid w:val="00656B4A"/>
    <w:rsid w:val="00657CBF"/>
    <w:rsid w:val="0066044B"/>
    <w:rsid w:val="00662369"/>
    <w:rsid w:val="00662700"/>
    <w:rsid w:val="00662D84"/>
    <w:rsid w:val="00663C04"/>
    <w:rsid w:val="00663DEC"/>
    <w:rsid w:val="00664A2F"/>
    <w:rsid w:val="00665BB4"/>
    <w:rsid w:val="00666153"/>
    <w:rsid w:val="006662E3"/>
    <w:rsid w:val="00670593"/>
    <w:rsid w:val="00671710"/>
    <w:rsid w:val="00671789"/>
    <w:rsid w:val="00671D3A"/>
    <w:rsid w:val="0067221B"/>
    <w:rsid w:val="00672491"/>
    <w:rsid w:val="00672CF6"/>
    <w:rsid w:val="006745C8"/>
    <w:rsid w:val="00674E45"/>
    <w:rsid w:val="00675000"/>
    <w:rsid w:val="00676912"/>
    <w:rsid w:val="0067707D"/>
    <w:rsid w:val="00677CE8"/>
    <w:rsid w:val="00680CA8"/>
    <w:rsid w:val="00681F9B"/>
    <w:rsid w:val="0068256D"/>
    <w:rsid w:val="00682834"/>
    <w:rsid w:val="00683F15"/>
    <w:rsid w:val="00685715"/>
    <w:rsid w:val="0068581D"/>
    <w:rsid w:val="00685AE2"/>
    <w:rsid w:val="00686B7E"/>
    <w:rsid w:val="00687AB9"/>
    <w:rsid w:val="006917BD"/>
    <w:rsid w:val="00691AF3"/>
    <w:rsid w:val="0069279A"/>
    <w:rsid w:val="006928E5"/>
    <w:rsid w:val="00692BC2"/>
    <w:rsid w:val="00693083"/>
    <w:rsid w:val="0069493D"/>
    <w:rsid w:val="00697163"/>
    <w:rsid w:val="006A0634"/>
    <w:rsid w:val="006A09B5"/>
    <w:rsid w:val="006A449C"/>
    <w:rsid w:val="006A5A3B"/>
    <w:rsid w:val="006A667E"/>
    <w:rsid w:val="006A7689"/>
    <w:rsid w:val="006A79F4"/>
    <w:rsid w:val="006A7ACE"/>
    <w:rsid w:val="006B249E"/>
    <w:rsid w:val="006B3181"/>
    <w:rsid w:val="006B3817"/>
    <w:rsid w:val="006B3B76"/>
    <w:rsid w:val="006B3DE4"/>
    <w:rsid w:val="006B4F7D"/>
    <w:rsid w:val="006B541D"/>
    <w:rsid w:val="006B6C8D"/>
    <w:rsid w:val="006B7C6E"/>
    <w:rsid w:val="006C034F"/>
    <w:rsid w:val="006C15CF"/>
    <w:rsid w:val="006C1E49"/>
    <w:rsid w:val="006C227F"/>
    <w:rsid w:val="006C2897"/>
    <w:rsid w:val="006C2D1F"/>
    <w:rsid w:val="006C5607"/>
    <w:rsid w:val="006C5696"/>
    <w:rsid w:val="006C63DD"/>
    <w:rsid w:val="006C6992"/>
    <w:rsid w:val="006C7BF9"/>
    <w:rsid w:val="006D08F4"/>
    <w:rsid w:val="006D223E"/>
    <w:rsid w:val="006D3702"/>
    <w:rsid w:val="006D496C"/>
    <w:rsid w:val="006D5491"/>
    <w:rsid w:val="006D569D"/>
    <w:rsid w:val="006D5E5B"/>
    <w:rsid w:val="006D7C19"/>
    <w:rsid w:val="006E090A"/>
    <w:rsid w:val="006E1348"/>
    <w:rsid w:val="006E22E7"/>
    <w:rsid w:val="006E4B84"/>
    <w:rsid w:val="006E64AA"/>
    <w:rsid w:val="006E6A63"/>
    <w:rsid w:val="006E6F20"/>
    <w:rsid w:val="006F2499"/>
    <w:rsid w:val="006F3188"/>
    <w:rsid w:val="006F3220"/>
    <w:rsid w:val="006F33ED"/>
    <w:rsid w:val="006F376C"/>
    <w:rsid w:val="006F5017"/>
    <w:rsid w:val="006F6837"/>
    <w:rsid w:val="006F6D0A"/>
    <w:rsid w:val="00700241"/>
    <w:rsid w:val="00701777"/>
    <w:rsid w:val="007020B9"/>
    <w:rsid w:val="00706148"/>
    <w:rsid w:val="00710E32"/>
    <w:rsid w:val="007120BB"/>
    <w:rsid w:val="0071246D"/>
    <w:rsid w:val="007127E9"/>
    <w:rsid w:val="00713316"/>
    <w:rsid w:val="00715941"/>
    <w:rsid w:val="007159B8"/>
    <w:rsid w:val="00716E1B"/>
    <w:rsid w:val="00717D0A"/>
    <w:rsid w:val="00723EA3"/>
    <w:rsid w:val="00724626"/>
    <w:rsid w:val="00724EB8"/>
    <w:rsid w:val="00726703"/>
    <w:rsid w:val="00726ED4"/>
    <w:rsid w:val="0073077D"/>
    <w:rsid w:val="0073239F"/>
    <w:rsid w:val="0073322A"/>
    <w:rsid w:val="00735733"/>
    <w:rsid w:val="00736A65"/>
    <w:rsid w:val="00736ABD"/>
    <w:rsid w:val="00737D7D"/>
    <w:rsid w:val="007406AC"/>
    <w:rsid w:val="007412C8"/>
    <w:rsid w:val="007413A5"/>
    <w:rsid w:val="00741E03"/>
    <w:rsid w:val="00743059"/>
    <w:rsid w:val="00743546"/>
    <w:rsid w:val="00744A54"/>
    <w:rsid w:val="00745153"/>
    <w:rsid w:val="0074515B"/>
    <w:rsid w:val="0074651A"/>
    <w:rsid w:val="0075197F"/>
    <w:rsid w:val="007521B1"/>
    <w:rsid w:val="007540E3"/>
    <w:rsid w:val="0075437C"/>
    <w:rsid w:val="00754DBD"/>
    <w:rsid w:val="00756B04"/>
    <w:rsid w:val="007570BF"/>
    <w:rsid w:val="0075798F"/>
    <w:rsid w:val="007628FC"/>
    <w:rsid w:val="0076323A"/>
    <w:rsid w:val="00764B68"/>
    <w:rsid w:val="00764CFC"/>
    <w:rsid w:val="00764FD1"/>
    <w:rsid w:val="00765E22"/>
    <w:rsid w:val="00765E70"/>
    <w:rsid w:val="00766527"/>
    <w:rsid w:val="00767DDE"/>
    <w:rsid w:val="007708C2"/>
    <w:rsid w:val="007709D8"/>
    <w:rsid w:val="00770AED"/>
    <w:rsid w:val="00771307"/>
    <w:rsid w:val="00773A05"/>
    <w:rsid w:val="00773A0D"/>
    <w:rsid w:val="00775043"/>
    <w:rsid w:val="00775474"/>
    <w:rsid w:val="00776046"/>
    <w:rsid w:val="007769AB"/>
    <w:rsid w:val="00776CBA"/>
    <w:rsid w:val="00777297"/>
    <w:rsid w:val="00777A53"/>
    <w:rsid w:val="00777E45"/>
    <w:rsid w:val="00780CB1"/>
    <w:rsid w:val="007811FC"/>
    <w:rsid w:val="00782745"/>
    <w:rsid w:val="00786837"/>
    <w:rsid w:val="00786885"/>
    <w:rsid w:val="00787767"/>
    <w:rsid w:val="00787A30"/>
    <w:rsid w:val="00787A49"/>
    <w:rsid w:val="00791837"/>
    <w:rsid w:val="00793201"/>
    <w:rsid w:val="00793928"/>
    <w:rsid w:val="00793E15"/>
    <w:rsid w:val="0079493E"/>
    <w:rsid w:val="00795063"/>
    <w:rsid w:val="00796BCA"/>
    <w:rsid w:val="00797C84"/>
    <w:rsid w:val="007A17DD"/>
    <w:rsid w:val="007A1997"/>
    <w:rsid w:val="007A1DD8"/>
    <w:rsid w:val="007A37E5"/>
    <w:rsid w:val="007A412B"/>
    <w:rsid w:val="007A50EB"/>
    <w:rsid w:val="007A6332"/>
    <w:rsid w:val="007A79D4"/>
    <w:rsid w:val="007B28FB"/>
    <w:rsid w:val="007B2C71"/>
    <w:rsid w:val="007B3800"/>
    <w:rsid w:val="007B59BF"/>
    <w:rsid w:val="007B5A47"/>
    <w:rsid w:val="007C0F5A"/>
    <w:rsid w:val="007C17BD"/>
    <w:rsid w:val="007C1A8E"/>
    <w:rsid w:val="007C284C"/>
    <w:rsid w:val="007C34D6"/>
    <w:rsid w:val="007C363A"/>
    <w:rsid w:val="007C4661"/>
    <w:rsid w:val="007C4727"/>
    <w:rsid w:val="007C5DA6"/>
    <w:rsid w:val="007C645F"/>
    <w:rsid w:val="007C7B62"/>
    <w:rsid w:val="007D25F5"/>
    <w:rsid w:val="007D2C95"/>
    <w:rsid w:val="007D3BEE"/>
    <w:rsid w:val="007D400A"/>
    <w:rsid w:val="007D6576"/>
    <w:rsid w:val="007D65F4"/>
    <w:rsid w:val="007D7AC0"/>
    <w:rsid w:val="007D7F33"/>
    <w:rsid w:val="007E06E5"/>
    <w:rsid w:val="007E1A43"/>
    <w:rsid w:val="007E1F4D"/>
    <w:rsid w:val="007E6178"/>
    <w:rsid w:val="007E6CDE"/>
    <w:rsid w:val="007E71E6"/>
    <w:rsid w:val="007F0F46"/>
    <w:rsid w:val="007F1CC2"/>
    <w:rsid w:val="007F448C"/>
    <w:rsid w:val="007F4611"/>
    <w:rsid w:val="007F4B44"/>
    <w:rsid w:val="007F6056"/>
    <w:rsid w:val="007F640D"/>
    <w:rsid w:val="007F6D1F"/>
    <w:rsid w:val="007F7576"/>
    <w:rsid w:val="007F7FDA"/>
    <w:rsid w:val="00800C8E"/>
    <w:rsid w:val="00801BBF"/>
    <w:rsid w:val="00802141"/>
    <w:rsid w:val="00803421"/>
    <w:rsid w:val="00803E57"/>
    <w:rsid w:val="008056DD"/>
    <w:rsid w:val="0080657D"/>
    <w:rsid w:val="00810DD0"/>
    <w:rsid w:val="008128E1"/>
    <w:rsid w:val="00813A00"/>
    <w:rsid w:val="00813FB5"/>
    <w:rsid w:val="008141BB"/>
    <w:rsid w:val="00814424"/>
    <w:rsid w:val="00814B27"/>
    <w:rsid w:val="00816144"/>
    <w:rsid w:val="008164DE"/>
    <w:rsid w:val="008168E7"/>
    <w:rsid w:val="00816A37"/>
    <w:rsid w:val="00816F07"/>
    <w:rsid w:val="0082012A"/>
    <w:rsid w:val="00820FC7"/>
    <w:rsid w:val="008216CA"/>
    <w:rsid w:val="00821ADC"/>
    <w:rsid w:val="0082515D"/>
    <w:rsid w:val="00826400"/>
    <w:rsid w:val="0082677A"/>
    <w:rsid w:val="00827089"/>
    <w:rsid w:val="00827517"/>
    <w:rsid w:val="00827E5A"/>
    <w:rsid w:val="008304DF"/>
    <w:rsid w:val="00830C19"/>
    <w:rsid w:val="00830DFB"/>
    <w:rsid w:val="008318BC"/>
    <w:rsid w:val="008329C7"/>
    <w:rsid w:val="00832A8F"/>
    <w:rsid w:val="00834543"/>
    <w:rsid w:val="008349E8"/>
    <w:rsid w:val="00834A67"/>
    <w:rsid w:val="008352D1"/>
    <w:rsid w:val="00835427"/>
    <w:rsid w:val="00835827"/>
    <w:rsid w:val="00835BB4"/>
    <w:rsid w:val="0083765B"/>
    <w:rsid w:val="00837A67"/>
    <w:rsid w:val="00840852"/>
    <w:rsid w:val="00841438"/>
    <w:rsid w:val="00841AB5"/>
    <w:rsid w:val="00843AB7"/>
    <w:rsid w:val="00844694"/>
    <w:rsid w:val="00844DE4"/>
    <w:rsid w:val="00850269"/>
    <w:rsid w:val="00852C49"/>
    <w:rsid w:val="0085366B"/>
    <w:rsid w:val="008537DA"/>
    <w:rsid w:val="00854EE8"/>
    <w:rsid w:val="00854F08"/>
    <w:rsid w:val="008575B3"/>
    <w:rsid w:val="00857D31"/>
    <w:rsid w:val="00857E65"/>
    <w:rsid w:val="00857F31"/>
    <w:rsid w:val="008605DC"/>
    <w:rsid w:val="00860A8E"/>
    <w:rsid w:val="00860F4A"/>
    <w:rsid w:val="00861838"/>
    <w:rsid w:val="00861C55"/>
    <w:rsid w:val="00861FDC"/>
    <w:rsid w:val="0086236A"/>
    <w:rsid w:val="00863484"/>
    <w:rsid w:val="0086427B"/>
    <w:rsid w:val="00864B77"/>
    <w:rsid w:val="00865C71"/>
    <w:rsid w:val="00867D97"/>
    <w:rsid w:val="00870CD9"/>
    <w:rsid w:val="008725D7"/>
    <w:rsid w:val="00872B24"/>
    <w:rsid w:val="00874535"/>
    <w:rsid w:val="0087647D"/>
    <w:rsid w:val="00876583"/>
    <w:rsid w:val="00876EF7"/>
    <w:rsid w:val="00877AC5"/>
    <w:rsid w:val="0088025C"/>
    <w:rsid w:val="00882DCC"/>
    <w:rsid w:val="0088462D"/>
    <w:rsid w:val="008848EB"/>
    <w:rsid w:val="008856C7"/>
    <w:rsid w:val="00885759"/>
    <w:rsid w:val="00885DD8"/>
    <w:rsid w:val="0088698A"/>
    <w:rsid w:val="00886B5E"/>
    <w:rsid w:val="008906EA"/>
    <w:rsid w:val="0089132C"/>
    <w:rsid w:val="0089167B"/>
    <w:rsid w:val="00892876"/>
    <w:rsid w:val="00894303"/>
    <w:rsid w:val="008960E3"/>
    <w:rsid w:val="0089636B"/>
    <w:rsid w:val="00896455"/>
    <w:rsid w:val="0089701F"/>
    <w:rsid w:val="00897D64"/>
    <w:rsid w:val="008A0F0C"/>
    <w:rsid w:val="008A2F7D"/>
    <w:rsid w:val="008A3759"/>
    <w:rsid w:val="008A3A20"/>
    <w:rsid w:val="008A4929"/>
    <w:rsid w:val="008A49A7"/>
    <w:rsid w:val="008A55DA"/>
    <w:rsid w:val="008A5C3F"/>
    <w:rsid w:val="008A5E32"/>
    <w:rsid w:val="008A73A8"/>
    <w:rsid w:val="008B0720"/>
    <w:rsid w:val="008B0B98"/>
    <w:rsid w:val="008B0C43"/>
    <w:rsid w:val="008B0DA5"/>
    <w:rsid w:val="008B15BD"/>
    <w:rsid w:val="008B1905"/>
    <w:rsid w:val="008B238B"/>
    <w:rsid w:val="008B2E40"/>
    <w:rsid w:val="008B3FD1"/>
    <w:rsid w:val="008B4E1E"/>
    <w:rsid w:val="008B54E1"/>
    <w:rsid w:val="008B5E15"/>
    <w:rsid w:val="008B5EE1"/>
    <w:rsid w:val="008B6C75"/>
    <w:rsid w:val="008B6F8E"/>
    <w:rsid w:val="008C0785"/>
    <w:rsid w:val="008C1B69"/>
    <w:rsid w:val="008C1C1C"/>
    <w:rsid w:val="008C3ABA"/>
    <w:rsid w:val="008C48F9"/>
    <w:rsid w:val="008C56E7"/>
    <w:rsid w:val="008C58D7"/>
    <w:rsid w:val="008C5A91"/>
    <w:rsid w:val="008C6344"/>
    <w:rsid w:val="008C6A5A"/>
    <w:rsid w:val="008C6E56"/>
    <w:rsid w:val="008C7D6C"/>
    <w:rsid w:val="008D2709"/>
    <w:rsid w:val="008D413C"/>
    <w:rsid w:val="008D4350"/>
    <w:rsid w:val="008D4D94"/>
    <w:rsid w:val="008D57CD"/>
    <w:rsid w:val="008D59BC"/>
    <w:rsid w:val="008D5BBA"/>
    <w:rsid w:val="008D5F3B"/>
    <w:rsid w:val="008D7E42"/>
    <w:rsid w:val="008E059B"/>
    <w:rsid w:val="008E15F0"/>
    <w:rsid w:val="008E24CE"/>
    <w:rsid w:val="008E2A46"/>
    <w:rsid w:val="008E33F3"/>
    <w:rsid w:val="008E5769"/>
    <w:rsid w:val="008E623E"/>
    <w:rsid w:val="008F038B"/>
    <w:rsid w:val="008F0C56"/>
    <w:rsid w:val="008F0CD1"/>
    <w:rsid w:val="008F177A"/>
    <w:rsid w:val="008F3CD0"/>
    <w:rsid w:val="008F4001"/>
    <w:rsid w:val="008F4117"/>
    <w:rsid w:val="008F4395"/>
    <w:rsid w:val="008F57B8"/>
    <w:rsid w:val="0090014D"/>
    <w:rsid w:val="00900DEC"/>
    <w:rsid w:val="00903B4C"/>
    <w:rsid w:val="00904635"/>
    <w:rsid w:val="0090499A"/>
    <w:rsid w:val="00907840"/>
    <w:rsid w:val="0090798F"/>
    <w:rsid w:val="009122CA"/>
    <w:rsid w:val="00912341"/>
    <w:rsid w:val="00915D73"/>
    <w:rsid w:val="00916965"/>
    <w:rsid w:val="009169C6"/>
    <w:rsid w:val="00916B40"/>
    <w:rsid w:val="0091733C"/>
    <w:rsid w:val="009209D6"/>
    <w:rsid w:val="00920F5A"/>
    <w:rsid w:val="009216DC"/>
    <w:rsid w:val="00922D17"/>
    <w:rsid w:val="00923D67"/>
    <w:rsid w:val="00924E84"/>
    <w:rsid w:val="00926A0A"/>
    <w:rsid w:val="00927F62"/>
    <w:rsid w:val="009305A1"/>
    <w:rsid w:val="0093155E"/>
    <w:rsid w:val="00931D60"/>
    <w:rsid w:val="00932540"/>
    <w:rsid w:val="0093340B"/>
    <w:rsid w:val="009376D3"/>
    <w:rsid w:val="00937FCD"/>
    <w:rsid w:val="00941FC4"/>
    <w:rsid w:val="0094209E"/>
    <w:rsid w:val="009430C4"/>
    <w:rsid w:val="009443C6"/>
    <w:rsid w:val="00944699"/>
    <w:rsid w:val="00946DFB"/>
    <w:rsid w:val="0094768A"/>
    <w:rsid w:val="009513E1"/>
    <w:rsid w:val="0095150A"/>
    <w:rsid w:val="00952974"/>
    <w:rsid w:val="009534CF"/>
    <w:rsid w:val="00953C9D"/>
    <w:rsid w:val="009540EE"/>
    <w:rsid w:val="009545D0"/>
    <w:rsid w:val="0095466B"/>
    <w:rsid w:val="00954A12"/>
    <w:rsid w:val="00954AF6"/>
    <w:rsid w:val="0095531F"/>
    <w:rsid w:val="00955BAD"/>
    <w:rsid w:val="00955BE1"/>
    <w:rsid w:val="00955DF3"/>
    <w:rsid w:val="00956877"/>
    <w:rsid w:val="00957686"/>
    <w:rsid w:val="00957AC5"/>
    <w:rsid w:val="0096113C"/>
    <w:rsid w:val="00961610"/>
    <w:rsid w:val="00962CC4"/>
    <w:rsid w:val="009647A3"/>
    <w:rsid w:val="00964A1D"/>
    <w:rsid w:val="009650A2"/>
    <w:rsid w:val="00970309"/>
    <w:rsid w:val="00970BFD"/>
    <w:rsid w:val="00970DBB"/>
    <w:rsid w:val="009717B0"/>
    <w:rsid w:val="009717B1"/>
    <w:rsid w:val="009725B6"/>
    <w:rsid w:val="00973E82"/>
    <w:rsid w:val="009744E9"/>
    <w:rsid w:val="009748A5"/>
    <w:rsid w:val="00974FCE"/>
    <w:rsid w:val="00974FEA"/>
    <w:rsid w:val="0097513B"/>
    <w:rsid w:val="0097553A"/>
    <w:rsid w:val="00975AED"/>
    <w:rsid w:val="00975C24"/>
    <w:rsid w:val="00976506"/>
    <w:rsid w:val="009774B1"/>
    <w:rsid w:val="00977B6E"/>
    <w:rsid w:val="009802E9"/>
    <w:rsid w:val="00980664"/>
    <w:rsid w:val="009829EA"/>
    <w:rsid w:val="00982AFF"/>
    <w:rsid w:val="00983A44"/>
    <w:rsid w:val="00984370"/>
    <w:rsid w:val="009852D8"/>
    <w:rsid w:val="00986B6B"/>
    <w:rsid w:val="0098734C"/>
    <w:rsid w:val="00987888"/>
    <w:rsid w:val="00990F8C"/>
    <w:rsid w:val="009923A0"/>
    <w:rsid w:val="009931E8"/>
    <w:rsid w:val="0099389A"/>
    <w:rsid w:val="00995740"/>
    <w:rsid w:val="00995803"/>
    <w:rsid w:val="00997C9A"/>
    <w:rsid w:val="009A21AC"/>
    <w:rsid w:val="009A2D5A"/>
    <w:rsid w:val="009A343D"/>
    <w:rsid w:val="009A35B1"/>
    <w:rsid w:val="009A36F7"/>
    <w:rsid w:val="009A3F45"/>
    <w:rsid w:val="009A7574"/>
    <w:rsid w:val="009A7C56"/>
    <w:rsid w:val="009A7E02"/>
    <w:rsid w:val="009B0186"/>
    <w:rsid w:val="009B0385"/>
    <w:rsid w:val="009B0F6C"/>
    <w:rsid w:val="009B2629"/>
    <w:rsid w:val="009B36AE"/>
    <w:rsid w:val="009B3CE2"/>
    <w:rsid w:val="009B3FB5"/>
    <w:rsid w:val="009B5225"/>
    <w:rsid w:val="009B59B9"/>
    <w:rsid w:val="009C1C6B"/>
    <w:rsid w:val="009C2517"/>
    <w:rsid w:val="009C29B1"/>
    <w:rsid w:val="009C3D09"/>
    <w:rsid w:val="009C41AC"/>
    <w:rsid w:val="009C4557"/>
    <w:rsid w:val="009C5B8F"/>
    <w:rsid w:val="009C629C"/>
    <w:rsid w:val="009C66A1"/>
    <w:rsid w:val="009C754B"/>
    <w:rsid w:val="009D05DA"/>
    <w:rsid w:val="009D1C3A"/>
    <w:rsid w:val="009D2134"/>
    <w:rsid w:val="009D2B88"/>
    <w:rsid w:val="009D42E6"/>
    <w:rsid w:val="009D6395"/>
    <w:rsid w:val="009D75F2"/>
    <w:rsid w:val="009D7775"/>
    <w:rsid w:val="009E00F2"/>
    <w:rsid w:val="009E04E5"/>
    <w:rsid w:val="009E13F5"/>
    <w:rsid w:val="009E3ADA"/>
    <w:rsid w:val="009E49E4"/>
    <w:rsid w:val="009E76BC"/>
    <w:rsid w:val="009E7C87"/>
    <w:rsid w:val="009F09F6"/>
    <w:rsid w:val="009F1324"/>
    <w:rsid w:val="009F1617"/>
    <w:rsid w:val="009F207A"/>
    <w:rsid w:val="009F26D8"/>
    <w:rsid w:val="009F2EF0"/>
    <w:rsid w:val="009F3644"/>
    <w:rsid w:val="009F4F73"/>
    <w:rsid w:val="009F5A47"/>
    <w:rsid w:val="009F6922"/>
    <w:rsid w:val="009F6F73"/>
    <w:rsid w:val="00A002C6"/>
    <w:rsid w:val="00A00C83"/>
    <w:rsid w:val="00A01E12"/>
    <w:rsid w:val="00A01E24"/>
    <w:rsid w:val="00A02718"/>
    <w:rsid w:val="00A0669F"/>
    <w:rsid w:val="00A06E1F"/>
    <w:rsid w:val="00A07B88"/>
    <w:rsid w:val="00A125AF"/>
    <w:rsid w:val="00A125B8"/>
    <w:rsid w:val="00A1262D"/>
    <w:rsid w:val="00A12916"/>
    <w:rsid w:val="00A13015"/>
    <w:rsid w:val="00A13203"/>
    <w:rsid w:val="00A1329D"/>
    <w:rsid w:val="00A13E2B"/>
    <w:rsid w:val="00A14534"/>
    <w:rsid w:val="00A15326"/>
    <w:rsid w:val="00A15B25"/>
    <w:rsid w:val="00A15E2C"/>
    <w:rsid w:val="00A16668"/>
    <w:rsid w:val="00A16F5E"/>
    <w:rsid w:val="00A20152"/>
    <w:rsid w:val="00A210A0"/>
    <w:rsid w:val="00A215F3"/>
    <w:rsid w:val="00A21663"/>
    <w:rsid w:val="00A22030"/>
    <w:rsid w:val="00A2223E"/>
    <w:rsid w:val="00A223C9"/>
    <w:rsid w:val="00A237C6"/>
    <w:rsid w:val="00A24130"/>
    <w:rsid w:val="00A258BB"/>
    <w:rsid w:val="00A25DF5"/>
    <w:rsid w:val="00A26A59"/>
    <w:rsid w:val="00A26C13"/>
    <w:rsid w:val="00A2742E"/>
    <w:rsid w:val="00A30039"/>
    <w:rsid w:val="00A305B9"/>
    <w:rsid w:val="00A30BDE"/>
    <w:rsid w:val="00A30D95"/>
    <w:rsid w:val="00A31178"/>
    <w:rsid w:val="00A3163E"/>
    <w:rsid w:val="00A3166E"/>
    <w:rsid w:val="00A31F86"/>
    <w:rsid w:val="00A3286E"/>
    <w:rsid w:val="00A33F28"/>
    <w:rsid w:val="00A33FB7"/>
    <w:rsid w:val="00A3480D"/>
    <w:rsid w:val="00A34D1C"/>
    <w:rsid w:val="00A3650F"/>
    <w:rsid w:val="00A36AA4"/>
    <w:rsid w:val="00A370A5"/>
    <w:rsid w:val="00A372E0"/>
    <w:rsid w:val="00A3758E"/>
    <w:rsid w:val="00A375F4"/>
    <w:rsid w:val="00A4291B"/>
    <w:rsid w:val="00A43485"/>
    <w:rsid w:val="00A436F2"/>
    <w:rsid w:val="00A4420A"/>
    <w:rsid w:val="00A4443D"/>
    <w:rsid w:val="00A44F77"/>
    <w:rsid w:val="00A45187"/>
    <w:rsid w:val="00A47279"/>
    <w:rsid w:val="00A50559"/>
    <w:rsid w:val="00A51086"/>
    <w:rsid w:val="00A51B47"/>
    <w:rsid w:val="00A53284"/>
    <w:rsid w:val="00A54D47"/>
    <w:rsid w:val="00A54E96"/>
    <w:rsid w:val="00A551DE"/>
    <w:rsid w:val="00A55909"/>
    <w:rsid w:val="00A567D4"/>
    <w:rsid w:val="00A5693C"/>
    <w:rsid w:val="00A576C2"/>
    <w:rsid w:val="00A60282"/>
    <w:rsid w:val="00A60890"/>
    <w:rsid w:val="00A6140F"/>
    <w:rsid w:val="00A61803"/>
    <w:rsid w:val="00A6435D"/>
    <w:rsid w:val="00A6480D"/>
    <w:rsid w:val="00A65BAF"/>
    <w:rsid w:val="00A65D07"/>
    <w:rsid w:val="00A66C3B"/>
    <w:rsid w:val="00A70100"/>
    <w:rsid w:val="00A7031A"/>
    <w:rsid w:val="00A708DD"/>
    <w:rsid w:val="00A71C60"/>
    <w:rsid w:val="00A725F3"/>
    <w:rsid w:val="00A75378"/>
    <w:rsid w:val="00A7712F"/>
    <w:rsid w:val="00A8126D"/>
    <w:rsid w:val="00A844DC"/>
    <w:rsid w:val="00A84C24"/>
    <w:rsid w:val="00A84CC0"/>
    <w:rsid w:val="00A85277"/>
    <w:rsid w:val="00A86651"/>
    <w:rsid w:val="00A86751"/>
    <w:rsid w:val="00A90BCF"/>
    <w:rsid w:val="00A90E90"/>
    <w:rsid w:val="00A9150C"/>
    <w:rsid w:val="00A93D7D"/>
    <w:rsid w:val="00A94719"/>
    <w:rsid w:val="00A94742"/>
    <w:rsid w:val="00A94E33"/>
    <w:rsid w:val="00A94EE3"/>
    <w:rsid w:val="00A96BEE"/>
    <w:rsid w:val="00A96CE1"/>
    <w:rsid w:val="00A974EC"/>
    <w:rsid w:val="00A97DFB"/>
    <w:rsid w:val="00AA00C3"/>
    <w:rsid w:val="00AA0418"/>
    <w:rsid w:val="00AA0DA4"/>
    <w:rsid w:val="00AA2175"/>
    <w:rsid w:val="00AA2459"/>
    <w:rsid w:val="00AA31C6"/>
    <w:rsid w:val="00AA4B10"/>
    <w:rsid w:val="00AA4E7C"/>
    <w:rsid w:val="00AA5C7F"/>
    <w:rsid w:val="00AA670A"/>
    <w:rsid w:val="00AB0432"/>
    <w:rsid w:val="00AB077B"/>
    <w:rsid w:val="00AB1983"/>
    <w:rsid w:val="00AB1FAF"/>
    <w:rsid w:val="00AB2B02"/>
    <w:rsid w:val="00AB2E41"/>
    <w:rsid w:val="00AB4023"/>
    <w:rsid w:val="00AB40DE"/>
    <w:rsid w:val="00AB43BD"/>
    <w:rsid w:val="00AB46EF"/>
    <w:rsid w:val="00AB58DE"/>
    <w:rsid w:val="00AB6565"/>
    <w:rsid w:val="00AB6E46"/>
    <w:rsid w:val="00AB6FDA"/>
    <w:rsid w:val="00AC32A4"/>
    <w:rsid w:val="00AC3620"/>
    <w:rsid w:val="00AC3D97"/>
    <w:rsid w:val="00AC4B51"/>
    <w:rsid w:val="00AC509E"/>
    <w:rsid w:val="00AC67A0"/>
    <w:rsid w:val="00AC6A36"/>
    <w:rsid w:val="00AC7C98"/>
    <w:rsid w:val="00AD0BFE"/>
    <w:rsid w:val="00AD0D0E"/>
    <w:rsid w:val="00AD0F84"/>
    <w:rsid w:val="00AD18C3"/>
    <w:rsid w:val="00AD3386"/>
    <w:rsid w:val="00AD33E8"/>
    <w:rsid w:val="00AD3CD7"/>
    <w:rsid w:val="00AD4CDC"/>
    <w:rsid w:val="00AD5726"/>
    <w:rsid w:val="00AD6468"/>
    <w:rsid w:val="00AD7787"/>
    <w:rsid w:val="00AE1E03"/>
    <w:rsid w:val="00AE2407"/>
    <w:rsid w:val="00AE2B31"/>
    <w:rsid w:val="00AE2C4B"/>
    <w:rsid w:val="00AE3A35"/>
    <w:rsid w:val="00AE48DA"/>
    <w:rsid w:val="00AE4F2B"/>
    <w:rsid w:val="00AE5332"/>
    <w:rsid w:val="00AE5FC6"/>
    <w:rsid w:val="00AE6439"/>
    <w:rsid w:val="00AE665D"/>
    <w:rsid w:val="00AE6CA6"/>
    <w:rsid w:val="00AE79C1"/>
    <w:rsid w:val="00AE7C96"/>
    <w:rsid w:val="00AF181C"/>
    <w:rsid w:val="00AF3264"/>
    <w:rsid w:val="00AF434A"/>
    <w:rsid w:val="00AF44C5"/>
    <w:rsid w:val="00AF494F"/>
    <w:rsid w:val="00AF4B97"/>
    <w:rsid w:val="00AF5145"/>
    <w:rsid w:val="00AF5DCF"/>
    <w:rsid w:val="00AF6A28"/>
    <w:rsid w:val="00AF724C"/>
    <w:rsid w:val="00AF7905"/>
    <w:rsid w:val="00AF7E56"/>
    <w:rsid w:val="00B000EC"/>
    <w:rsid w:val="00B00B59"/>
    <w:rsid w:val="00B02A3C"/>
    <w:rsid w:val="00B0416C"/>
    <w:rsid w:val="00B05E31"/>
    <w:rsid w:val="00B062DC"/>
    <w:rsid w:val="00B07962"/>
    <w:rsid w:val="00B07BC0"/>
    <w:rsid w:val="00B10699"/>
    <w:rsid w:val="00B106D3"/>
    <w:rsid w:val="00B11613"/>
    <w:rsid w:val="00B11B84"/>
    <w:rsid w:val="00B12344"/>
    <w:rsid w:val="00B1482C"/>
    <w:rsid w:val="00B14B7A"/>
    <w:rsid w:val="00B15179"/>
    <w:rsid w:val="00B1565C"/>
    <w:rsid w:val="00B16EC3"/>
    <w:rsid w:val="00B17A92"/>
    <w:rsid w:val="00B17E2C"/>
    <w:rsid w:val="00B20CC5"/>
    <w:rsid w:val="00B229A0"/>
    <w:rsid w:val="00B25143"/>
    <w:rsid w:val="00B262DC"/>
    <w:rsid w:val="00B26EFE"/>
    <w:rsid w:val="00B27FF7"/>
    <w:rsid w:val="00B304FC"/>
    <w:rsid w:val="00B30936"/>
    <w:rsid w:val="00B31328"/>
    <w:rsid w:val="00B3133A"/>
    <w:rsid w:val="00B31B53"/>
    <w:rsid w:val="00B32BF4"/>
    <w:rsid w:val="00B33041"/>
    <w:rsid w:val="00B33F71"/>
    <w:rsid w:val="00B34D3A"/>
    <w:rsid w:val="00B35C4A"/>
    <w:rsid w:val="00B36584"/>
    <w:rsid w:val="00B37038"/>
    <w:rsid w:val="00B40325"/>
    <w:rsid w:val="00B40E8F"/>
    <w:rsid w:val="00B40EB0"/>
    <w:rsid w:val="00B424B0"/>
    <w:rsid w:val="00B42743"/>
    <w:rsid w:val="00B43079"/>
    <w:rsid w:val="00B455C6"/>
    <w:rsid w:val="00B4732D"/>
    <w:rsid w:val="00B47A24"/>
    <w:rsid w:val="00B5048D"/>
    <w:rsid w:val="00B50594"/>
    <w:rsid w:val="00B51963"/>
    <w:rsid w:val="00B526FB"/>
    <w:rsid w:val="00B5338F"/>
    <w:rsid w:val="00B535FB"/>
    <w:rsid w:val="00B53F88"/>
    <w:rsid w:val="00B56289"/>
    <w:rsid w:val="00B6081D"/>
    <w:rsid w:val="00B61136"/>
    <w:rsid w:val="00B613ED"/>
    <w:rsid w:val="00B624EB"/>
    <w:rsid w:val="00B63107"/>
    <w:rsid w:val="00B6362C"/>
    <w:rsid w:val="00B63EF2"/>
    <w:rsid w:val="00B64253"/>
    <w:rsid w:val="00B64A93"/>
    <w:rsid w:val="00B65D70"/>
    <w:rsid w:val="00B65FA1"/>
    <w:rsid w:val="00B67E34"/>
    <w:rsid w:val="00B70124"/>
    <w:rsid w:val="00B70607"/>
    <w:rsid w:val="00B70EC4"/>
    <w:rsid w:val="00B70EF3"/>
    <w:rsid w:val="00B71408"/>
    <w:rsid w:val="00B71632"/>
    <w:rsid w:val="00B71C04"/>
    <w:rsid w:val="00B72416"/>
    <w:rsid w:val="00B724A5"/>
    <w:rsid w:val="00B7357D"/>
    <w:rsid w:val="00B739D4"/>
    <w:rsid w:val="00B74992"/>
    <w:rsid w:val="00B74A98"/>
    <w:rsid w:val="00B80957"/>
    <w:rsid w:val="00B83815"/>
    <w:rsid w:val="00B857AA"/>
    <w:rsid w:val="00B85A22"/>
    <w:rsid w:val="00B86568"/>
    <w:rsid w:val="00B87390"/>
    <w:rsid w:val="00B87E00"/>
    <w:rsid w:val="00B9194F"/>
    <w:rsid w:val="00B92E9A"/>
    <w:rsid w:val="00B93992"/>
    <w:rsid w:val="00B9403F"/>
    <w:rsid w:val="00B94A66"/>
    <w:rsid w:val="00B954A9"/>
    <w:rsid w:val="00B95A2E"/>
    <w:rsid w:val="00B95C83"/>
    <w:rsid w:val="00B96B81"/>
    <w:rsid w:val="00B97F36"/>
    <w:rsid w:val="00BA0B2E"/>
    <w:rsid w:val="00BA0F18"/>
    <w:rsid w:val="00BA1665"/>
    <w:rsid w:val="00BA342D"/>
    <w:rsid w:val="00BA3522"/>
    <w:rsid w:val="00BA364B"/>
    <w:rsid w:val="00BA3DDF"/>
    <w:rsid w:val="00BA4152"/>
    <w:rsid w:val="00BA442D"/>
    <w:rsid w:val="00BA739D"/>
    <w:rsid w:val="00BB096D"/>
    <w:rsid w:val="00BB1766"/>
    <w:rsid w:val="00BB207C"/>
    <w:rsid w:val="00BB2893"/>
    <w:rsid w:val="00BB3F2D"/>
    <w:rsid w:val="00BB4582"/>
    <w:rsid w:val="00BB4E02"/>
    <w:rsid w:val="00BB5D97"/>
    <w:rsid w:val="00BB63B4"/>
    <w:rsid w:val="00BB6E01"/>
    <w:rsid w:val="00BC059C"/>
    <w:rsid w:val="00BC09B9"/>
    <w:rsid w:val="00BC14F9"/>
    <w:rsid w:val="00BC32D5"/>
    <w:rsid w:val="00BC472B"/>
    <w:rsid w:val="00BC4CEE"/>
    <w:rsid w:val="00BC7570"/>
    <w:rsid w:val="00BD08B6"/>
    <w:rsid w:val="00BD1E6A"/>
    <w:rsid w:val="00BD2CDA"/>
    <w:rsid w:val="00BD3074"/>
    <w:rsid w:val="00BD418D"/>
    <w:rsid w:val="00BD4456"/>
    <w:rsid w:val="00BD4A4A"/>
    <w:rsid w:val="00BD4B94"/>
    <w:rsid w:val="00BD4D96"/>
    <w:rsid w:val="00BD64E9"/>
    <w:rsid w:val="00BD7EB1"/>
    <w:rsid w:val="00BE05DB"/>
    <w:rsid w:val="00BE076F"/>
    <w:rsid w:val="00BE0894"/>
    <w:rsid w:val="00BE12B3"/>
    <w:rsid w:val="00BE2E38"/>
    <w:rsid w:val="00BE3337"/>
    <w:rsid w:val="00BE38AA"/>
    <w:rsid w:val="00BE3E57"/>
    <w:rsid w:val="00BE5381"/>
    <w:rsid w:val="00BE5585"/>
    <w:rsid w:val="00BE592F"/>
    <w:rsid w:val="00BF130A"/>
    <w:rsid w:val="00BF14BE"/>
    <w:rsid w:val="00BF2542"/>
    <w:rsid w:val="00BF2722"/>
    <w:rsid w:val="00BF3982"/>
    <w:rsid w:val="00BF418D"/>
    <w:rsid w:val="00BF4C0E"/>
    <w:rsid w:val="00BF502D"/>
    <w:rsid w:val="00C0119B"/>
    <w:rsid w:val="00C01E74"/>
    <w:rsid w:val="00C01F83"/>
    <w:rsid w:val="00C02B72"/>
    <w:rsid w:val="00C0335B"/>
    <w:rsid w:val="00C03BFC"/>
    <w:rsid w:val="00C043D3"/>
    <w:rsid w:val="00C04D21"/>
    <w:rsid w:val="00C04EC9"/>
    <w:rsid w:val="00C05B9A"/>
    <w:rsid w:val="00C05F9E"/>
    <w:rsid w:val="00C063D2"/>
    <w:rsid w:val="00C066C4"/>
    <w:rsid w:val="00C07C68"/>
    <w:rsid w:val="00C10AD9"/>
    <w:rsid w:val="00C11067"/>
    <w:rsid w:val="00C110A2"/>
    <w:rsid w:val="00C136BC"/>
    <w:rsid w:val="00C14FE1"/>
    <w:rsid w:val="00C15910"/>
    <w:rsid w:val="00C15D04"/>
    <w:rsid w:val="00C17521"/>
    <w:rsid w:val="00C17528"/>
    <w:rsid w:val="00C175B2"/>
    <w:rsid w:val="00C24104"/>
    <w:rsid w:val="00C24FA2"/>
    <w:rsid w:val="00C25A2C"/>
    <w:rsid w:val="00C25B81"/>
    <w:rsid w:val="00C31A7D"/>
    <w:rsid w:val="00C34DDE"/>
    <w:rsid w:val="00C368B7"/>
    <w:rsid w:val="00C371D2"/>
    <w:rsid w:val="00C37EE7"/>
    <w:rsid w:val="00C421AB"/>
    <w:rsid w:val="00C423E4"/>
    <w:rsid w:val="00C43BC0"/>
    <w:rsid w:val="00C46E16"/>
    <w:rsid w:val="00C47583"/>
    <w:rsid w:val="00C50CFA"/>
    <w:rsid w:val="00C5122E"/>
    <w:rsid w:val="00C52818"/>
    <w:rsid w:val="00C528FA"/>
    <w:rsid w:val="00C52CC1"/>
    <w:rsid w:val="00C533BD"/>
    <w:rsid w:val="00C552E5"/>
    <w:rsid w:val="00C562C9"/>
    <w:rsid w:val="00C624FD"/>
    <w:rsid w:val="00C64262"/>
    <w:rsid w:val="00C6642A"/>
    <w:rsid w:val="00C71540"/>
    <w:rsid w:val="00C73AED"/>
    <w:rsid w:val="00C73CAC"/>
    <w:rsid w:val="00C73D7F"/>
    <w:rsid w:val="00C73DF5"/>
    <w:rsid w:val="00C74660"/>
    <w:rsid w:val="00C74CC0"/>
    <w:rsid w:val="00C75C28"/>
    <w:rsid w:val="00C761EF"/>
    <w:rsid w:val="00C77197"/>
    <w:rsid w:val="00C7786F"/>
    <w:rsid w:val="00C77C28"/>
    <w:rsid w:val="00C8098E"/>
    <w:rsid w:val="00C80CCA"/>
    <w:rsid w:val="00C81542"/>
    <w:rsid w:val="00C8256F"/>
    <w:rsid w:val="00C830B8"/>
    <w:rsid w:val="00C833E3"/>
    <w:rsid w:val="00C83AD6"/>
    <w:rsid w:val="00C907B0"/>
    <w:rsid w:val="00C90872"/>
    <w:rsid w:val="00C91C1D"/>
    <w:rsid w:val="00C91FAA"/>
    <w:rsid w:val="00C922CD"/>
    <w:rsid w:val="00C94361"/>
    <w:rsid w:val="00C949FC"/>
    <w:rsid w:val="00C94D83"/>
    <w:rsid w:val="00C95661"/>
    <w:rsid w:val="00C95EA0"/>
    <w:rsid w:val="00C96CA8"/>
    <w:rsid w:val="00CA0BCF"/>
    <w:rsid w:val="00CA1572"/>
    <w:rsid w:val="00CA1CFF"/>
    <w:rsid w:val="00CA2585"/>
    <w:rsid w:val="00CA2732"/>
    <w:rsid w:val="00CA35CC"/>
    <w:rsid w:val="00CA467B"/>
    <w:rsid w:val="00CA59BC"/>
    <w:rsid w:val="00CA7881"/>
    <w:rsid w:val="00CB14AE"/>
    <w:rsid w:val="00CB170D"/>
    <w:rsid w:val="00CB1E9B"/>
    <w:rsid w:val="00CB2035"/>
    <w:rsid w:val="00CB21F1"/>
    <w:rsid w:val="00CB3128"/>
    <w:rsid w:val="00CB320D"/>
    <w:rsid w:val="00CB3758"/>
    <w:rsid w:val="00CB7FA1"/>
    <w:rsid w:val="00CC12DC"/>
    <w:rsid w:val="00CC13E6"/>
    <w:rsid w:val="00CC2307"/>
    <w:rsid w:val="00CC2895"/>
    <w:rsid w:val="00CC2961"/>
    <w:rsid w:val="00CC3363"/>
    <w:rsid w:val="00CC361D"/>
    <w:rsid w:val="00CC3A42"/>
    <w:rsid w:val="00CC5812"/>
    <w:rsid w:val="00CC6141"/>
    <w:rsid w:val="00CD0A84"/>
    <w:rsid w:val="00CD0FD6"/>
    <w:rsid w:val="00CD1320"/>
    <w:rsid w:val="00CD13DD"/>
    <w:rsid w:val="00CD1F72"/>
    <w:rsid w:val="00CD21F6"/>
    <w:rsid w:val="00CD3D61"/>
    <w:rsid w:val="00CD6545"/>
    <w:rsid w:val="00CD74CE"/>
    <w:rsid w:val="00CE14D2"/>
    <w:rsid w:val="00CE2058"/>
    <w:rsid w:val="00CE22C7"/>
    <w:rsid w:val="00CE2E81"/>
    <w:rsid w:val="00CE4486"/>
    <w:rsid w:val="00CE4882"/>
    <w:rsid w:val="00CE54EC"/>
    <w:rsid w:val="00CE56DD"/>
    <w:rsid w:val="00CE7429"/>
    <w:rsid w:val="00CE7E24"/>
    <w:rsid w:val="00CF0367"/>
    <w:rsid w:val="00CF05C5"/>
    <w:rsid w:val="00CF17F9"/>
    <w:rsid w:val="00CF1804"/>
    <w:rsid w:val="00CF2790"/>
    <w:rsid w:val="00CF2C69"/>
    <w:rsid w:val="00CF5523"/>
    <w:rsid w:val="00CF56FD"/>
    <w:rsid w:val="00CF5F5B"/>
    <w:rsid w:val="00CF7EBE"/>
    <w:rsid w:val="00D00E61"/>
    <w:rsid w:val="00D01931"/>
    <w:rsid w:val="00D01F9D"/>
    <w:rsid w:val="00D02F79"/>
    <w:rsid w:val="00D03179"/>
    <w:rsid w:val="00D04BB2"/>
    <w:rsid w:val="00D0680A"/>
    <w:rsid w:val="00D07B85"/>
    <w:rsid w:val="00D07DB4"/>
    <w:rsid w:val="00D1078D"/>
    <w:rsid w:val="00D10FE0"/>
    <w:rsid w:val="00D11281"/>
    <w:rsid w:val="00D12ECE"/>
    <w:rsid w:val="00D135CE"/>
    <w:rsid w:val="00D13DA8"/>
    <w:rsid w:val="00D13E60"/>
    <w:rsid w:val="00D13F1C"/>
    <w:rsid w:val="00D15F0A"/>
    <w:rsid w:val="00D17BBB"/>
    <w:rsid w:val="00D2155C"/>
    <w:rsid w:val="00D222C3"/>
    <w:rsid w:val="00D2416B"/>
    <w:rsid w:val="00D24F7E"/>
    <w:rsid w:val="00D25A7B"/>
    <w:rsid w:val="00D25B32"/>
    <w:rsid w:val="00D2651A"/>
    <w:rsid w:val="00D27669"/>
    <w:rsid w:val="00D30749"/>
    <w:rsid w:val="00D3088A"/>
    <w:rsid w:val="00D31530"/>
    <w:rsid w:val="00D32311"/>
    <w:rsid w:val="00D33356"/>
    <w:rsid w:val="00D350F9"/>
    <w:rsid w:val="00D36B45"/>
    <w:rsid w:val="00D36BFF"/>
    <w:rsid w:val="00D36D85"/>
    <w:rsid w:val="00D37EAC"/>
    <w:rsid w:val="00D37FB1"/>
    <w:rsid w:val="00D41788"/>
    <w:rsid w:val="00D42058"/>
    <w:rsid w:val="00D42735"/>
    <w:rsid w:val="00D42B8B"/>
    <w:rsid w:val="00D43013"/>
    <w:rsid w:val="00D4305C"/>
    <w:rsid w:val="00D4323E"/>
    <w:rsid w:val="00D44245"/>
    <w:rsid w:val="00D446BB"/>
    <w:rsid w:val="00D45774"/>
    <w:rsid w:val="00D45B75"/>
    <w:rsid w:val="00D46789"/>
    <w:rsid w:val="00D4712B"/>
    <w:rsid w:val="00D50713"/>
    <w:rsid w:val="00D52052"/>
    <w:rsid w:val="00D520C4"/>
    <w:rsid w:val="00D52216"/>
    <w:rsid w:val="00D52F58"/>
    <w:rsid w:val="00D53458"/>
    <w:rsid w:val="00D54513"/>
    <w:rsid w:val="00D54FEA"/>
    <w:rsid w:val="00D55BD6"/>
    <w:rsid w:val="00D55F48"/>
    <w:rsid w:val="00D560D8"/>
    <w:rsid w:val="00D56284"/>
    <w:rsid w:val="00D569B4"/>
    <w:rsid w:val="00D5788A"/>
    <w:rsid w:val="00D57D68"/>
    <w:rsid w:val="00D60121"/>
    <w:rsid w:val="00D60492"/>
    <w:rsid w:val="00D60E73"/>
    <w:rsid w:val="00D60F7E"/>
    <w:rsid w:val="00D6184E"/>
    <w:rsid w:val="00D61B47"/>
    <w:rsid w:val="00D61C9E"/>
    <w:rsid w:val="00D61E86"/>
    <w:rsid w:val="00D621AD"/>
    <w:rsid w:val="00D62C0E"/>
    <w:rsid w:val="00D64D72"/>
    <w:rsid w:val="00D655AA"/>
    <w:rsid w:val="00D7056F"/>
    <w:rsid w:val="00D72402"/>
    <w:rsid w:val="00D72697"/>
    <w:rsid w:val="00D7374B"/>
    <w:rsid w:val="00D73DE9"/>
    <w:rsid w:val="00D75907"/>
    <w:rsid w:val="00D75944"/>
    <w:rsid w:val="00D76BF3"/>
    <w:rsid w:val="00D76C64"/>
    <w:rsid w:val="00D80725"/>
    <w:rsid w:val="00D81933"/>
    <w:rsid w:val="00D82BC2"/>
    <w:rsid w:val="00D8375C"/>
    <w:rsid w:val="00D8389F"/>
    <w:rsid w:val="00D838AE"/>
    <w:rsid w:val="00D85358"/>
    <w:rsid w:val="00D8609F"/>
    <w:rsid w:val="00D87B3C"/>
    <w:rsid w:val="00D92677"/>
    <w:rsid w:val="00D938D6"/>
    <w:rsid w:val="00D947ED"/>
    <w:rsid w:val="00D95207"/>
    <w:rsid w:val="00D9606A"/>
    <w:rsid w:val="00D963A7"/>
    <w:rsid w:val="00D96EAF"/>
    <w:rsid w:val="00D9760B"/>
    <w:rsid w:val="00D97C53"/>
    <w:rsid w:val="00DA0295"/>
    <w:rsid w:val="00DA1819"/>
    <w:rsid w:val="00DA183D"/>
    <w:rsid w:val="00DA2CA9"/>
    <w:rsid w:val="00DA40A3"/>
    <w:rsid w:val="00DA4B48"/>
    <w:rsid w:val="00DA526D"/>
    <w:rsid w:val="00DA55F8"/>
    <w:rsid w:val="00DA64E5"/>
    <w:rsid w:val="00DA6FA2"/>
    <w:rsid w:val="00DA763C"/>
    <w:rsid w:val="00DB0933"/>
    <w:rsid w:val="00DB1A80"/>
    <w:rsid w:val="00DB1CC7"/>
    <w:rsid w:val="00DB2CE8"/>
    <w:rsid w:val="00DB4337"/>
    <w:rsid w:val="00DB6004"/>
    <w:rsid w:val="00DC0A75"/>
    <w:rsid w:val="00DC1324"/>
    <w:rsid w:val="00DC17A4"/>
    <w:rsid w:val="00DC1940"/>
    <w:rsid w:val="00DC3D3E"/>
    <w:rsid w:val="00DC3DA3"/>
    <w:rsid w:val="00DC4589"/>
    <w:rsid w:val="00DC6752"/>
    <w:rsid w:val="00DC7BFD"/>
    <w:rsid w:val="00DD0CCB"/>
    <w:rsid w:val="00DD18BD"/>
    <w:rsid w:val="00DD1F38"/>
    <w:rsid w:val="00DD2B80"/>
    <w:rsid w:val="00DD3149"/>
    <w:rsid w:val="00DD398C"/>
    <w:rsid w:val="00DD4596"/>
    <w:rsid w:val="00DD4631"/>
    <w:rsid w:val="00DD4918"/>
    <w:rsid w:val="00DD53E0"/>
    <w:rsid w:val="00DD5AAC"/>
    <w:rsid w:val="00DD7936"/>
    <w:rsid w:val="00DD7DE8"/>
    <w:rsid w:val="00DE17F7"/>
    <w:rsid w:val="00DE1F76"/>
    <w:rsid w:val="00DE285C"/>
    <w:rsid w:val="00DE2EE7"/>
    <w:rsid w:val="00DE30CF"/>
    <w:rsid w:val="00DE3212"/>
    <w:rsid w:val="00DE38E3"/>
    <w:rsid w:val="00DE3EEA"/>
    <w:rsid w:val="00DE4736"/>
    <w:rsid w:val="00DE4B60"/>
    <w:rsid w:val="00DF3BA5"/>
    <w:rsid w:val="00DF3CE8"/>
    <w:rsid w:val="00DF452C"/>
    <w:rsid w:val="00DF47C2"/>
    <w:rsid w:val="00DF5FBB"/>
    <w:rsid w:val="00DF6446"/>
    <w:rsid w:val="00DF738B"/>
    <w:rsid w:val="00DF7BD1"/>
    <w:rsid w:val="00E00409"/>
    <w:rsid w:val="00E01176"/>
    <w:rsid w:val="00E0293B"/>
    <w:rsid w:val="00E02C74"/>
    <w:rsid w:val="00E03137"/>
    <w:rsid w:val="00E031A4"/>
    <w:rsid w:val="00E037EB"/>
    <w:rsid w:val="00E05C96"/>
    <w:rsid w:val="00E05FCD"/>
    <w:rsid w:val="00E067E7"/>
    <w:rsid w:val="00E06CA6"/>
    <w:rsid w:val="00E06E7D"/>
    <w:rsid w:val="00E07184"/>
    <w:rsid w:val="00E0719C"/>
    <w:rsid w:val="00E10765"/>
    <w:rsid w:val="00E10A14"/>
    <w:rsid w:val="00E10A1F"/>
    <w:rsid w:val="00E118F4"/>
    <w:rsid w:val="00E1215D"/>
    <w:rsid w:val="00E12FF0"/>
    <w:rsid w:val="00E13707"/>
    <w:rsid w:val="00E14AEB"/>
    <w:rsid w:val="00E16B2E"/>
    <w:rsid w:val="00E16B4C"/>
    <w:rsid w:val="00E16FAC"/>
    <w:rsid w:val="00E17035"/>
    <w:rsid w:val="00E17AEC"/>
    <w:rsid w:val="00E17E88"/>
    <w:rsid w:val="00E21088"/>
    <w:rsid w:val="00E21661"/>
    <w:rsid w:val="00E2173F"/>
    <w:rsid w:val="00E2213D"/>
    <w:rsid w:val="00E233BB"/>
    <w:rsid w:val="00E2460A"/>
    <w:rsid w:val="00E24CCE"/>
    <w:rsid w:val="00E26D59"/>
    <w:rsid w:val="00E27AD5"/>
    <w:rsid w:val="00E30B26"/>
    <w:rsid w:val="00E30CEC"/>
    <w:rsid w:val="00E30DA9"/>
    <w:rsid w:val="00E31DAF"/>
    <w:rsid w:val="00E31EC0"/>
    <w:rsid w:val="00E336B6"/>
    <w:rsid w:val="00E340AF"/>
    <w:rsid w:val="00E35E50"/>
    <w:rsid w:val="00E372EA"/>
    <w:rsid w:val="00E4018E"/>
    <w:rsid w:val="00E41C6E"/>
    <w:rsid w:val="00E41E56"/>
    <w:rsid w:val="00E43079"/>
    <w:rsid w:val="00E433F0"/>
    <w:rsid w:val="00E4509F"/>
    <w:rsid w:val="00E45204"/>
    <w:rsid w:val="00E468F1"/>
    <w:rsid w:val="00E47234"/>
    <w:rsid w:val="00E47AA6"/>
    <w:rsid w:val="00E50AF7"/>
    <w:rsid w:val="00E50E6B"/>
    <w:rsid w:val="00E516B2"/>
    <w:rsid w:val="00E51820"/>
    <w:rsid w:val="00E529AB"/>
    <w:rsid w:val="00E53FF7"/>
    <w:rsid w:val="00E5544F"/>
    <w:rsid w:val="00E57496"/>
    <w:rsid w:val="00E5782C"/>
    <w:rsid w:val="00E57A8C"/>
    <w:rsid w:val="00E57B7E"/>
    <w:rsid w:val="00E57E00"/>
    <w:rsid w:val="00E601E1"/>
    <w:rsid w:val="00E63365"/>
    <w:rsid w:val="00E6379D"/>
    <w:rsid w:val="00E63F56"/>
    <w:rsid w:val="00E648E3"/>
    <w:rsid w:val="00E652D4"/>
    <w:rsid w:val="00E65A9F"/>
    <w:rsid w:val="00E660DB"/>
    <w:rsid w:val="00E705BA"/>
    <w:rsid w:val="00E71404"/>
    <w:rsid w:val="00E71805"/>
    <w:rsid w:val="00E72177"/>
    <w:rsid w:val="00E7218B"/>
    <w:rsid w:val="00E722B2"/>
    <w:rsid w:val="00E73A2E"/>
    <w:rsid w:val="00E7403E"/>
    <w:rsid w:val="00E75A01"/>
    <w:rsid w:val="00E764CA"/>
    <w:rsid w:val="00E76805"/>
    <w:rsid w:val="00E768A2"/>
    <w:rsid w:val="00E80A31"/>
    <w:rsid w:val="00E8168F"/>
    <w:rsid w:val="00E82696"/>
    <w:rsid w:val="00E82984"/>
    <w:rsid w:val="00E8366F"/>
    <w:rsid w:val="00E84EBE"/>
    <w:rsid w:val="00E856E6"/>
    <w:rsid w:val="00E860BE"/>
    <w:rsid w:val="00E901CB"/>
    <w:rsid w:val="00E90A44"/>
    <w:rsid w:val="00E914C0"/>
    <w:rsid w:val="00E929E5"/>
    <w:rsid w:val="00E93429"/>
    <w:rsid w:val="00E97340"/>
    <w:rsid w:val="00EA010B"/>
    <w:rsid w:val="00EA1A51"/>
    <w:rsid w:val="00EA1E52"/>
    <w:rsid w:val="00EA22BB"/>
    <w:rsid w:val="00EA31B6"/>
    <w:rsid w:val="00EA49BA"/>
    <w:rsid w:val="00EA5B59"/>
    <w:rsid w:val="00EB0C04"/>
    <w:rsid w:val="00EB0C8D"/>
    <w:rsid w:val="00EB2FEA"/>
    <w:rsid w:val="00EB409E"/>
    <w:rsid w:val="00EB5D51"/>
    <w:rsid w:val="00EB697D"/>
    <w:rsid w:val="00EB6DC1"/>
    <w:rsid w:val="00EB6ECE"/>
    <w:rsid w:val="00EB6F7A"/>
    <w:rsid w:val="00EB7C3E"/>
    <w:rsid w:val="00EC0416"/>
    <w:rsid w:val="00EC2975"/>
    <w:rsid w:val="00EC3985"/>
    <w:rsid w:val="00EC5642"/>
    <w:rsid w:val="00ED1A37"/>
    <w:rsid w:val="00ED1E53"/>
    <w:rsid w:val="00ED20C5"/>
    <w:rsid w:val="00ED2793"/>
    <w:rsid w:val="00ED2FF8"/>
    <w:rsid w:val="00ED39D8"/>
    <w:rsid w:val="00ED47B9"/>
    <w:rsid w:val="00ED4D03"/>
    <w:rsid w:val="00ED5E53"/>
    <w:rsid w:val="00ED5FD8"/>
    <w:rsid w:val="00ED6B0C"/>
    <w:rsid w:val="00ED6D4B"/>
    <w:rsid w:val="00ED70CA"/>
    <w:rsid w:val="00ED78C6"/>
    <w:rsid w:val="00EE0249"/>
    <w:rsid w:val="00EE0A4F"/>
    <w:rsid w:val="00EE1E1A"/>
    <w:rsid w:val="00EE2580"/>
    <w:rsid w:val="00EE26FE"/>
    <w:rsid w:val="00EE444C"/>
    <w:rsid w:val="00EE6575"/>
    <w:rsid w:val="00EE7C3C"/>
    <w:rsid w:val="00EF0577"/>
    <w:rsid w:val="00EF1219"/>
    <w:rsid w:val="00EF370D"/>
    <w:rsid w:val="00EF64A0"/>
    <w:rsid w:val="00EF698F"/>
    <w:rsid w:val="00EF74DB"/>
    <w:rsid w:val="00EF7AE7"/>
    <w:rsid w:val="00F01434"/>
    <w:rsid w:val="00F01F52"/>
    <w:rsid w:val="00F04B64"/>
    <w:rsid w:val="00F07A2A"/>
    <w:rsid w:val="00F07FC8"/>
    <w:rsid w:val="00F117C5"/>
    <w:rsid w:val="00F1228F"/>
    <w:rsid w:val="00F12CF4"/>
    <w:rsid w:val="00F13AD0"/>
    <w:rsid w:val="00F15C8B"/>
    <w:rsid w:val="00F22084"/>
    <w:rsid w:val="00F23700"/>
    <w:rsid w:val="00F248BB"/>
    <w:rsid w:val="00F2593A"/>
    <w:rsid w:val="00F269FB"/>
    <w:rsid w:val="00F26B70"/>
    <w:rsid w:val="00F26C49"/>
    <w:rsid w:val="00F30A2E"/>
    <w:rsid w:val="00F3131B"/>
    <w:rsid w:val="00F32425"/>
    <w:rsid w:val="00F33678"/>
    <w:rsid w:val="00F344E4"/>
    <w:rsid w:val="00F3630D"/>
    <w:rsid w:val="00F37740"/>
    <w:rsid w:val="00F377AD"/>
    <w:rsid w:val="00F403F1"/>
    <w:rsid w:val="00F40415"/>
    <w:rsid w:val="00F410DC"/>
    <w:rsid w:val="00F416EE"/>
    <w:rsid w:val="00F441E5"/>
    <w:rsid w:val="00F46B23"/>
    <w:rsid w:val="00F51DB5"/>
    <w:rsid w:val="00F55C1C"/>
    <w:rsid w:val="00F55DAC"/>
    <w:rsid w:val="00F562CF"/>
    <w:rsid w:val="00F5675D"/>
    <w:rsid w:val="00F57C73"/>
    <w:rsid w:val="00F60473"/>
    <w:rsid w:val="00F6059B"/>
    <w:rsid w:val="00F611DF"/>
    <w:rsid w:val="00F61305"/>
    <w:rsid w:val="00F61B98"/>
    <w:rsid w:val="00F61BE2"/>
    <w:rsid w:val="00F62500"/>
    <w:rsid w:val="00F62F92"/>
    <w:rsid w:val="00F63CF4"/>
    <w:rsid w:val="00F6450D"/>
    <w:rsid w:val="00F6467B"/>
    <w:rsid w:val="00F665E8"/>
    <w:rsid w:val="00F6711E"/>
    <w:rsid w:val="00F71049"/>
    <w:rsid w:val="00F714CC"/>
    <w:rsid w:val="00F73FC4"/>
    <w:rsid w:val="00F74084"/>
    <w:rsid w:val="00F74212"/>
    <w:rsid w:val="00F745CF"/>
    <w:rsid w:val="00F7644F"/>
    <w:rsid w:val="00F77179"/>
    <w:rsid w:val="00F77EC5"/>
    <w:rsid w:val="00F8054B"/>
    <w:rsid w:val="00F807BB"/>
    <w:rsid w:val="00F812C5"/>
    <w:rsid w:val="00F837A4"/>
    <w:rsid w:val="00F83D39"/>
    <w:rsid w:val="00F85296"/>
    <w:rsid w:val="00F87508"/>
    <w:rsid w:val="00F87537"/>
    <w:rsid w:val="00F87DA1"/>
    <w:rsid w:val="00F915D6"/>
    <w:rsid w:val="00F91D28"/>
    <w:rsid w:val="00F94383"/>
    <w:rsid w:val="00F9541B"/>
    <w:rsid w:val="00F95C92"/>
    <w:rsid w:val="00F96505"/>
    <w:rsid w:val="00F97719"/>
    <w:rsid w:val="00FA0419"/>
    <w:rsid w:val="00FA0BA0"/>
    <w:rsid w:val="00FA3018"/>
    <w:rsid w:val="00FA34EF"/>
    <w:rsid w:val="00FA36BD"/>
    <w:rsid w:val="00FA36C7"/>
    <w:rsid w:val="00FA4392"/>
    <w:rsid w:val="00FA65E7"/>
    <w:rsid w:val="00FA673C"/>
    <w:rsid w:val="00FB1345"/>
    <w:rsid w:val="00FB1406"/>
    <w:rsid w:val="00FB14A6"/>
    <w:rsid w:val="00FB21BE"/>
    <w:rsid w:val="00FB44E1"/>
    <w:rsid w:val="00FB52D6"/>
    <w:rsid w:val="00FB5F4A"/>
    <w:rsid w:val="00FB6CB2"/>
    <w:rsid w:val="00FB72FD"/>
    <w:rsid w:val="00FC0744"/>
    <w:rsid w:val="00FC2915"/>
    <w:rsid w:val="00FC2ACE"/>
    <w:rsid w:val="00FC346F"/>
    <w:rsid w:val="00FC3FA4"/>
    <w:rsid w:val="00FC470D"/>
    <w:rsid w:val="00FC478F"/>
    <w:rsid w:val="00FC6E63"/>
    <w:rsid w:val="00FC76D7"/>
    <w:rsid w:val="00FC7CA3"/>
    <w:rsid w:val="00FD35E7"/>
    <w:rsid w:val="00FD3B46"/>
    <w:rsid w:val="00FD3F6D"/>
    <w:rsid w:val="00FD4DD3"/>
    <w:rsid w:val="00FD6100"/>
    <w:rsid w:val="00FD6831"/>
    <w:rsid w:val="00FE0389"/>
    <w:rsid w:val="00FE162D"/>
    <w:rsid w:val="00FE179B"/>
    <w:rsid w:val="00FE1A2D"/>
    <w:rsid w:val="00FE6566"/>
    <w:rsid w:val="00FE71F8"/>
    <w:rsid w:val="00FF021B"/>
    <w:rsid w:val="00FF0580"/>
    <w:rsid w:val="00FF1F3A"/>
    <w:rsid w:val="00FF3371"/>
    <w:rsid w:val="00FF3734"/>
    <w:rsid w:val="00FF38E8"/>
    <w:rsid w:val="00FF3DF5"/>
    <w:rsid w:val="00FF54BD"/>
    <w:rsid w:val="00FF653A"/>
    <w:rsid w:val="00FF72A7"/>
    <w:rsid w:val="0230F8D8"/>
    <w:rsid w:val="02A777F7"/>
    <w:rsid w:val="060639D8"/>
    <w:rsid w:val="068DA754"/>
    <w:rsid w:val="074630E3"/>
    <w:rsid w:val="079B4E76"/>
    <w:rsid w:val="082720AC"/>
    <w:rsid w:val="08747043"/>
    <w:rsid w:val="08C4792C"/>
    <w:rsid w:val="08C94BDB"/>
    <w:rsid w:val="08F30A45"/>
    <w:rsid w:val="094E7C96"/>
    <w:rsid w:val="0B58F2A0"/>
    <w:rsid w:val="0C09CD0D"/>
    <w:rsid w:val="0C0A2D97"/>
    <w:rsid w:val="0F23ADCE"/>
    <w:rsid w:val="10BE3E2C"/>
    <w:rsid w:val="11F4E0CC"/>
    <w:rsid w:val="178F8ED9"/>
    <w:rsid w:val="17C8A865"/>
    <w:rsid w:val="181A27A0"/>
    <w:rsid w:val="18E6EA37"/>
    <w:rsid w:val="1927CD03"/>
    <w:rsid w:val="19B5F801"/>
    <w:rsid w:val="1B54F869"/>
    <w:rsid w:val="1B5ED597"/>
    <w:rsid w:val="1DF5ACA8"/>
    <w:rsid w:val="1F10B716"/>
    <w:rsid w:val="1FD9DA67"/>
    <w:rsid w:val="20020521"/>
    <w:rsid w:val="20EB2572"/>
    <w:rsid w:val="210EE31F"/>
    <w:rsid w:val="213CA374"/>
    <w:rsid w:val="21DC9186"/>
    <w:rsid w:val="2232EF1C"/>
    <w:rsid w:val="2285AD21"/>
    <w:rsid w:val="22C01C3C"/>
    <w:rsid w:val="242C8D7A"/>
    <w:rsid w:val="24A66F15"/>
    <w:rsid w:val="2539D317"/>
    <w:rsid w:val="255A5126"/>
    <w:rsid w:val="25E5D99C"/>
    <w:rsid w:val="265953B3"/>
    <w:rsid w:val="265BE5E0"/>
    <w:rsid w:val="2743B588"/>
    <w:rsid w:val="27B4F79A"/>
    <w:rsid w:val="28271EDC"/>
    <w:rsid w:val="28DD4CE9"/>
    <w:rsid w:val="293488BF"/>
    <w:rsid w:val="2A3E0101"/>
    <w:rsid w:val="2AA0B101"/>
    <w:rsid w:val="2B6200B8"/>
    <w:rsid w:val="2D9DCC7D"/>
    <w:rsid w:val="2E9B6167"/>
    <w:rsid w:val="2EAE2FD5"/>
    <w:rsid w:val="30D98ECD"/>
    <w:rsid w:val="333982DB"/>
    <w:rsid w:val="338B64FE"/>
    <w:rsid w:val="362C193D"/>
    <w:rsid w:val="3948C0A2"/>
    <w:rsid w:val="39DF42FE"/>
    <w:rsid w:val="3A5157AC"/>
    <w:rsid w:val="3A5A5E08"/>
    <w:rsid w:val="3E93F51D"/>
    <w:rsid w:val="3EED58A9"/>
    <w:rsid w:val="3EF0E579"/>
    <w:rsid w:val="3F713878"/>
    <w:rsid w:val="3FC629B5"/>
    <w:rsid w:val="413B4D35"/>
    <w:rsid w:val="413F5A57"/>
    <w:rsid w:val="41448397"/>
    <w:rsid w:val="427B4440"/>
    <w:rsid w:val="42B2BEFE"/>
    <w:rsid w:val="43095988"/>
    <w:rsid w:val="431A3633"/>
    <w:rsid w:val="460C6250"/>
    <w:rsid w:val="4616F89B"/>
    <w:rsid w:val="4649F91F"/>
    <w:rsid w:val="46885594"/>
    <w:rsid w:val="490FFB62"/>
    <w:rsid w:val="494E995D"/>
    <w:rsid w:val="4A0BDDB1"/>
    <w:rsid w:val="4A4725CA"/>
    <w:rsid w:val="4A4C1655"/>
    <w:rsid w:val="4A5FA084"/>
    <w:rsid w:val="4BA7AE12"/>
    <w:rsid w:val="4E71B081"/>
    <w:rsid w:val="4F8FF81B"/>
    <w:rsid w:val="50D6F88B"/>
    <w:rsid w:val="512DADFC"/>
    <w:rsid w:val="535EB940"/>
    <w:rsid w:val="535FF943"/>
    <w:rsid w:val="54AA80B8"/>
    <w:rsid w:val="5545C776"/>
    <w:rsid w:val="55A66307"/>
    <w:rsid w:val="576C1EEC"/>
    <w:rsid w:val="57C3BF69"/>
    <w:rsid w:val="57D9F4CC"/>
    <w:rsid w:val="58647BE1"/>
    <w:rsid w:val="5864B2CF"/>
    <w:rsid w:val="5886BFB9"/>
    <w:rsid w:val="59CFF302"/>
    <w:rsid w:val="5B04BB6D"/>
    <w:rsid w:val="5B1A971D"/>
    <w:rsid w:val="5C1CE5D1"/>
    <w:rsid w:val="5DE85578"/>
    <w:rsid w:val="5E358585"/>
    <w:rsid w:val="5F483079"/>
    <w:rsid w:val="5F57D991"/>
    <w:rsid w:val="62222229"/>
    <w:rsid w:val="6450C052"/>
    <w:rsid w:val="6486B6B4"/>
    <w:rsid w:val="6573145E"/>
    <w:rsid w:val="67A11FDC"/>
    <w:rsid w:val="67A52F19"/>
    <w:rsid w:val="67D077BB"/>
    <w:rsid w:val="68E760E3"/>
    <w:rsid w:val="696CF1A2"/>
    <w:rsid w:val="6A449349"/>
    <w:rsid w:val="6A79B122"/>
    <w:rsid w:val="6CFA7797"/>
    <w:rsid w:val="6D8DAAE8"/>
    <w:rsid w:val="6DDCC24A"/>
    <w:rsid w:val="738DEEB6"/>
    <w:rsid w:val="7577E294"/>
    <w:rsid w:val="79575EEE"/>
    <w:rsid w:val="7B413265"/>
    <w:rsid w:val="7B5A62A0"/>
    <w:rsid w:val="7BF75137"/>
    <w:rsid w:val="7BF78B09"/>
    <w:rsid w:val="7EF7D48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F974C0"/>
  <w15:chartTrackingRefBased/>
  <w15:docId w15:val="{DCC42E67-FB13-FB41-BA4C-2DC61FC8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lsdException w:name="Medium Shading 1 Accent 2"/>
    <w:lsdException w:name="Medium Shading 2 Accent 2"/>
    <w:lsdException w:name="Medium List 1 Accent 2"/>
    <w:lsdException w:name="Medium List 2 Accent 2"/>
    <w:lsdException w:name="Medium Grid 1 Accent 2" w:uiPriority="34"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uiPriority="34" w:qFormat="1"/>
    <w:lsdException w:name="Medium Shading 1 Accent 3" w:qFormat="1"/>
    <w:lsdException w:name="Medium Shading 2 Accent 3" w:qFormat="1"/>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uiPriority="34" w:qFormat="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qFormat="1"/>
    <w:lsdException w:name="Grid Table 1 Light Accent 2" w:qFormat="1"/>
    <w:lsdException w:name="Grid Table 2 Accent 2" w:qFormat="1"/>
    <w:lsdException w:name="Grid Table 3 Accent 2" w:qFormat="1"/>
    <w:lsdException w:name="Grid Table 4 Accent 2" w:qFormat="1"/>
    <w:lsdException w:name="Grid Table 5 Dark Accent 2" w:qFormat="1"/>
    <w:lsdException w:name="Grid Table 7 Colorful Accent 2"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atentStyles>
  <w:style w:type="paragraph" w:default="1" w:styleId="Normal">
    <w:name w:val="Normal"/>
    <w:qFormat/>
    <w:rsid w:val="00FD3F6D"/>
    <w:rPr>
      <w:rFonts w:ascii="Times New Roman" w:eastAsia="Times New Roman" w:hAnsi="Times New Roman"/>
      <w:sz w:val="24"/>
      <w:szCs w:val="24"/>
    </w:rPr>
  </w:style>
  <w:style w:type="paragraph" w:styleId="Heading1">
    <w:name w:val="heading 1"/>
    <w:basedOn w:val="Normal"/>
    <w:next w:val="Normal"/>
    <w:link w:val="Heading1Char"/>
    <w:qFormat/>
    <w:rsid w:val="0088698A"/>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8698A"/>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88698A"/>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AF7E56"/>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BC7570"/>
    <w:pPr>
      <w:keepNext/>
      <w:numPr>
        <w:ilvl w:val="4"/>
        <w:numId w:val="2"/>
      </w:numPr>
      <w:jc w:val="center"/>
      <w:outlineLvl w:val="4"/>
    </w:pPr>
    <w:rPr>
      <w:rFonts w:ascii="Arial" w:eastAsia="Arial Unicode MS" w:hAnsi="Arial"/>
      <w:b/>
      <w:szCs w:val="20"/>
    </w:rPr>
  </w:style>
  <w:style w:type="paragraph" w:styleId="Heading6">
    <w:name w:val="heading 6"/>
    <w:basedOn w:val="Normal"/>
    <w:next w:val="Normal"/>
    <w:link w:val="Heading6Char"/>
    <w:qFormat/>
    <w:rsid w:val="00BC7570"/>
    <w:pPr>
      <w:keepNext/>
      <w:numPr>
        <w:ilvl w:val="5"/>
        <w:numId w:val="2"/>
      </w:numPr>
      <w:jc w:val="center"/>
      <w:outlineLvl w:val="5"/>
    </w:pPr>
    <w:rPr>
      <w:rFonts w:eastAsia="Arial Unicode MS"/>
      <w:szCs w:val="20"/>
    </w:rPr>
  </w:style>
  <w:style w:type="paragraph" w:styleId="Heading7">
    <w:name w:val="heading 7"/>
    <w:basedOn w:val="Normal"/>
    <w:next w:val="Normal"/>
    <w:link w:val="Heading7Char"/>
    <w:semiHidden/>
    <w:unhideWhenUsed/>
    <w:qFormat/>
    <w:rsid w:val="0088698A"/>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8698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8698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BC7570"/>
    <w:rPr>
      <w:rFonts w:ascii="Arial" w:eastAsia="Arial Unicode MS" w:hAnsi="Arial"/>
      <w:b/>
      <w:sz w:val="24"/>
    </w:rPr>
  </w:style>
  <w:style w:type="character" w:customStyle="1" w:styleId="Heading6Char">
    <w:name w:val="Heading 6 Char"/>
    <w:link w:val="Heading6"/>
    <w:rsid w:val="00BC7570"/>
    <w:rPr>
      <w:rFonts w:ascii="Times New Roman" w:eastAsia="Arial Unicode MS" w:hAnsi="Times New Roman"/>
      <w:sz w:val="24"/>
    </w:rPr>
  </w:style>
  <w:style w:type="paragraph" w:styleId="BalloonText">
    <w:name w:val="Balloon Text"/>
    <w:basedOn w:val="Normal"/>
    <w:link w:val="BalloonTextChar"/>
    <w:uiPriority w:val="99"/>
    <w:semiHidden/>
    <w:unhideWhenUsed/>
    <w:rsid w:val="00BC7570"/>
    <w:rPr>
      <w:rFonts w:ascii="Tahoma" w:hAnsi="Tahoma" w:cs="Tahoma"/>
      <w:sz w:val="16"/>
      <w:szCs w:val="16"/>
    </w:rPr>
  </w:style>
  <w:style w:type="character" w:customStyle="1" w:styleId="BalloonTextChar">
    <w:name w:val="Balloon Text Char"/>
    <w:link w:val="BalloonText"/>
    <w:uiPriority w:val="99"/>
    <w:semiHidden/>
    <w:rsid w:val="00BC7570"/>
    <w:rPr>
      <w:rFonts w:ascii="Tahoma" w:hAnsi="Tahoma" w:cs="Tahoma"/>
      <w:sz w:val="16"/>
      <w:szCs w:val="16"/>
    </w:rPr>
  </w:style>
  <w:style w:type="paragraph" w:customStyle="1" w:styleId="ColorfulShading-Accent31">
    <w:name w:val="Colorful Shading - Accent 31"/>
    <w:basedOn w:val="Normal"/>
    <w:uiPriority w:val="34"/>
    <w:qFormat/>
    <w:rsid w:val="00BC7570"/>
    <w:pPr>
      <w:ind w:left="720"/>
      <w:contextualSpacing/>
    </w:pPr>
  </w:style>
  <w:style w:type="paragraph" w:styleId="FootnoteText">
    <w:name w:val="footnote text"/>
    <w:aliases w:val="FT"/>
    <w:basedOn w:val="Normal"/>
    <w:link w:val="FootnoteTextChar"/>
    <w:unhideWhenUsed/>
    <w:rsid w:val="004B59E2"/>
    <w:rPr>
      <w:sz w:val="20"/>
      <w:szCs w:val="20"/>
    </w:rPr>
  </w:style>
  <w:style w:type="character" w:customStyle="1" w:styleId="FootnoteTextChar">
    <w:name w:val="Footnote Text Char"/>
    <w:aliases w:val="FT Char"/>
    <w:link w:val="FootnoteText"/>
    <w:rsid w:val="004B59E2"/>
    <w:rPr>
      <w:sz w:val="20"/>
      <w:szCs w:val="20"/>
    </w:rPr>
  </w:style>
  <w:style w:type="character" w:styleId="FootnoteReference">
    <w:name w:val="footnote reference"/>
    <w:unhideWhenUsed/>
    <w:rsid w:val="004B59E2"/>
    <w:rPr>
      <w:vertAlign w:val="superscript"/>
    </w:rPr>
  </w:style>
  <w:style w:type="paragraph" w:styleId="NormalWeb">
    <w:name w:val="Normal (Web)"/>
    <w:basedOn w:val="Normal"/>
    <w:uiPriority w:val="99"/>
    <w:unhideWhenUsed/>
    <w:rsid w:val="00FE179B"/>
    <w:pPr>
      <w:spacing w:before="100" w:beforeAutospacing="1" w:after="100" w:afterAutospacing="1"/>
    </w:pPr>
  </w:style>
  <w:style w:type="character" w:styleId="Hyperlink">
    <w:name w:val="Hyperlink"/>
    <w:uiPriority w:val="99"/>
    <w:unhideWhenUsed/>
    <w:rsid w:val="00504859"/>
    <w:rPr>
      <w:color w:val="0000FF"/>
      <w:u w:val="single"/>
    </w:rPr>
  </w:style>
  <w:style w:type="paragraph" w:styleId="Header">
    <w:name w:val="header"/>
    <w:basedOn w:val="Normal"/>
    <w:link w:val="HeaderChar"/>
    <w:uiPriority w:val="99"/>
    <w:unhideWhenUsed/>
    <w:rsid w:val="00581DFE"/>
    <w:pPr>
      <w:tabs>
        <w:tab w:val="center" w:pos="4680"/>
        <w:tab w:val="right" w:pos="9360"/>
      </w:tabs>
    </w:pPr>
  </w:style>
  <w:style w:type="character" w:customStyle="1" w:styleId="HeaderChar">
    <w:name w:val="Header Char"/>
    <w:basedOn w:val="DefaultParagraphFont"/>
    <w:link w:val="Header"/>
    <w:uiPriority w:val="99"/>
    <w:rsid w:val="00581DFE"/>
  </w:style>
  <w:style w:type="paragraph" w:styleId="Footer">
    <w:name w:val="footer"/>
    <w:basedOn w:val="Normal"/>
    <w:link w:val="FooterChar"/>
    <w:uiPriority w:val="99"/>
    <w:unhideWhenUsed/>
    <w:rsid w:val="00581DFE"/>
    <w:pPr>
      <w:tabs>
        <w:tab w:val="center" w:pos="4680"/>
        <w:tab w:val="right" w:pos="9360"/>
      </w:tabs>
    </w:pPr>
  </w:style>
  <w:style w:type="character" w:customStyle="1" w:styleId="FooterChar">
    <w:name w:val="Footer Char"/>
    <w:basedOn w:val="DefaultParagraphFont"/>
    <w:link w:val="Footer"/>
    <w:uiPriority w:val="99"/>
    <w:rsid w:val="00581DFE"/>
  </w:style>
  <w:style w:type="table" w:styleId="TableGrid">
    <w:name w:val="Table Grid"/>
    <w:basedOn w:val="TableNormal"/>
    <w:uiPriority w:val="59"/>
    <w:rsid w:val="002D2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0"/>
    <w:rsid w:val="004527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uiPriority w:val="99"/>
    <w:semiHidden/>
    <w:unhideWhenUsed/>
    <w:rsid w:val="00FD35E7"/>
    <w:rPr>
      <w:color w:val="800080"/>
      <w:u w:val="single"/>
    </w:rPr>
  </w:style>
  <w:style w:type="paragraph" w:styleId="BodyText">
    <w:name w:val="Body Text"/>
    <w:basedOn w:val="Normal"/>
    <w:link w:val="BodyTextChar"/>
    <w:uiPriority w:val="99"/>
    <w:rsid w:val="00510CD1"/>
    <w:pPr>
      <w:spacing w:line="480" w:lineRule="auto"/>
      <w:ind w:firstLine="720"/>
      <w:jc w:val="both"/>
    </w:pPr>
  </w:style>
  <w:style w:type="character" w:customStyle="1" w:styleId="BodyTextChar">
    <w:name w:val="Body Text Char"/>
    <w:link w:val="BodyText"/>
    <w:uiPriority w:val="99"/>
    <w:rsid w:val="00510CD1"/>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67A0"/>
  </w:style>
  <w:style w:type="character" w:styleId="LineNumber">
    <w:name w:val="line number"/>
    <w:basedOn w:val="DefaultParagraphFont"/>
    <w:rsid w:val="003E4004"/>
  </w:style>
  <w:style w:type="character" w:customStyle="1" w:styleId="Heading4Char">
    <w:name w:val="Heading 4 Char"/>
    <w:link w:val="Heading4"/>
    <w:rsid w:val="00AF7E56"/>
    <w:rPr>
      <w:rFonts w:eastAsia="Times New Roman"/>
      <w:b/>
      <w:bCs/>
      <w:sz w:val="28"/>
      <w:szCs w:val="28"/>
    </w:rPr>
  </w:style>
  <w:style w:type="paragraph" w:customStyle="1" w:styleId="Default">
    <w:name w:val="Default"/>
    <w:rsid w:val="00AF7E56"/>
    <w:pPr>
      <w:autoSpaceDE w:val="0"/>
      <w:autoSpaceDN w:val="0"/>
      <w:adjustRightInd w:val="0"/>
    </w:pPr>
    <w:rPr>
      <w:rFonts w:ascii="TimesNewRoman,BoldItalic" w:eastAsia="Times New Roman" w:hAnsi="TimesNewRoman,BoldItalic"/>
    </w:rPr>
  </w:style>
  <w:style w:type="table" w:styleId="MediumGrid1-Accent4">
    <w:name w:val="Medium Grid 1 Accent 4"/>
    <w:basedOn w:val="TableNormal"/>
    <w:rsid w:val="00A94E33"/>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MediumShading1-Accent4">
    <w:name w:val="Medium Shading 1 Accent 4"/>
    <w:basedOn w:val="TableNormal"/>
    <w:rsid w:val="00A94E3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List2-Accent4">
    <w:name w:val="Medium List 2 Accent 4"/>
    <w:basedOn w:val="TableNormal"/>
    <w:rsid w:val="00A94E33"/>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PlainTable3">
    <w:name w:val="Plain Table 3"/>
    <w:basedOn w:val="TableNormal"/>
    <w:qFormat/>
    <w:rsid w:val="00A94E33"/>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PlainTable2">
    <w:name w:val="Plain Table 2"/>
    <w:basedOn w:val="TableNormal"/>
    <w:rsid w:val="00500CE2"/>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stTable7Colorful-Accent51">
    <w:name w:val="List Table 7 Colorful - Accent 51"/>
    <w:basedOn w:val="TableNormal"/>
    <w:uiPriority w:val="52"/>
    <w:rsid w:val="00500CE2"/>
    <w:rPr>
      <w:color w:val="2F5496"/>
    </w:rPr>
    <w:tblPr>
      <w:tblStyleRowBandSize w:val="1"/>
      <w:tblStyleColBandSize w:val="1"/>
    </w:tblPr>
    <w:tblStylePr w:type="firstRow">
      <w:rPr>
        <w:rFonts w:ascii="Helv" w:eastAsia="Times New Roman" w:hAnsi="Helv" w:cs="Times New Roman"/>
        <w:i/>
        <w:iCs/>
        <w:sz w:val="26"/>
      </w:rPr>
      <w:tblPr/>
      <w:tcPr>
        <w:tcBorders>
          <w:bottom w:val="single" w:sz="4" w:space="0" w:color="4472C4"/>
        </w:tcBorders>
        <w:shd w:val="clear" w:color="auto" w:fill="FFFFFF"/>
      </w:tcPr>
    </w:tblStylePr>
    <w:tblStylePr w:type="lastRow">
      <w:rPr>
        <w:rFonts w:ascii="Helv" w:eastAsia="Times New Roman" w:hAnsi="Helv" w:cs="Times New Roman"/>
        <w:i/>
        <w:iCs/>
        <w:sz w:val="26"/>
      </w:rPr>
      <w:tblPr/>
      <w:tcPr>
        <w:tcBorders>
          <w:top w:val="single" w:sz="4" w:space="0" w:color="4472C4"/>
        </w:tcBorders>
        <w:shd w:val="clear" w:color="auto" w:fill="FFFFFF"/>
      </w:tcPr>
    </w:tblStylePr>
    <w:tblStylePr w:type="firstCol">
      <w:pPr>
        <w:jc w:val="right"/>
      </w:pPr>
      <w:rPr>
        <w:rFonts w:ascii="Helv" w:eastAsia="Times New Roman" w:hAnsi="Helv" w:cs="Times New Roman"/>
        <w:i/>
        <w:iCs/>
        <w:sz w:val="26"/>
      </w:rPr>
      <w:tblPr/>
      <w:tcPr>
        <w:tcBorders>
          <w:right w:val="single" w:sz="4" w:space="0" w:color="4472C4"/>
        </w:tcBorders>
        <w:shd w:val="clear" w:color="auto" w:fill="FFFFFF"/>
      </w:tcPr>
    </w:tblStylePr>
    <w:tblStylePr w:type="lastCol">
      <w:rPr>
        <w:rFonts w:ascii="Helv" w:eastAsia="Times New Roman" w:hAnsi="Helv"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61">
    <w:name w:val="List Table 6 Colorful - Accent 61"/>
    <w:basedOn w:val="TableNormal"/>
    <w:uiPriority w:val="49"/>
    <w:rsid w:val="00500CE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3">
    <w:name w:val="List Table 6 Colorful Accent 3"/>
    <w:basedOn w:val="TableNormal"/>
    <w:uiPriority w:val="50"/>
    <w:rsid w:val="00500CE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DoubleSpaceParagaph">
    <w:name w:val="Double Space Paragaph"/>
    <w:aliases w:val="DS"/>
    <w:basedOn w:val="Normal"/>
    <w:rsid w:val="0059425E"/>
    <w:pPr>
      <w:suppressAutoHyphens/>
      <w:spacing w:line="480" w:lineRule="auto"/>
      <w:ind w:firstLine="1440"/>
      <w:jc w:val="both"/>
    </w:pPr>
    <w:rPr>
      <w:szCs w:val="20"/>
    </w:rPr>
  </w:style>
  <w:style w:type="paragraph" w:customStyle="1" w:styleId="FlushLeft">
    <w:name w:val="Flush Left"/>
    <w:aliases w:val="FL"/>
    <w:basedOn w:val="Normal"/>
    <w:rsid w:val="00A8126D"/>
    <w:pPr>
      <w:suppressAutoHyphens/>
      <w:spacing w:after="240"/>
      <w:jc w:val="both"/>
    </w:pPr>
    <w:rPr>
      <w:szCs w:val="20"/>
    </w:rPr>
  </w:style>
  <w:style w:type="paragraph" w:customStyle="1" w:styleId="SingleSpaceHanging1">
    <w:name w:val="Single Space Hanging 1&quot;"/>
    <w:aliases w:val="SSH1"/>
    <w:basedOn w:val="Normal"/>
    <w:rsid w:val="00A8126D"/>
    <w:pPr>
      <w:suppressAutoHyphens/>
      <w:spacing w:after="240"/>
      <w:ind w:left="2160" w:hanging="720"/>
      <w:jc w:val="both"/>
    </w:pPr>
    <w:rPr>
      <w:szCs w:val="20"/>
    </w:rPr>
  </w:style>
  <w:style w:type="character" w:styleId="CommentReference">
    <w:name w:val="annotation reference"/>
    <w:rsid w:val="004F7CE1"/>
    <w:rPr>
      <w:sz w:val="16"/>
      <w:szCs w:val="16"/>
    </w:rPr>
  </w:style>
  <w:style w:type="paragraph" w:styleId="CommentText">
    <w:name w:val="annotation text"/>
    <w:basedOn w:val="Normal"/>
    <w:link w:val="CommentTextChar"/>
    <w:rsid w:val="004F7CE1"/>
    <w:rPr>
      <w:sz w:val="20"/>
      <w:szCs w:val="20"/>
    </w:rPr>
  </w:style>
  <w:style w:type="character" w:customStyle="1" w:styleId="CommentTextChar">
    <w:name w:val="Comment Text Char"/>
    <w:basedOn w:val="DefaultParagraphFont"/>
    <w:link w:val="CommentText"/>
    <w:rsid w:val="004F7CE1"/>
  </w:style>
  <w:style w:type="paragraph" w:styleId="CommentSubject">
    <w:name w:val="annotation subject"/>
    <w:basedOn w:val="CommentText"/>
    <w:next w:val="CommentText"/>
    <w:link w:val="CommentSubjectChar"/>
    <w:rsid w:val="004F7CE1"/>
    <w:rPr>
      <w:b/>
      <w:bCs/>
    </w:rPr>
  </w:style>
  <w:style w:type="character" w:customStyle="1" w:styleId="CommentSubjectChar">
    <w:name w:val="Comment Subject Char"/>
    <w:link w:val="CommentSubject"/>
    <w:rsid w:val="004F7CE1"/>
    <w:rPr>
      <w:b/>
      <w:bCs/>
    </w:rPr>
  </w:style>
  <w:style w:type="paragraph" w:customStyle="1" w:styleId="LightGrid-Accent31">
    <w:name w:val="Light Grid - Accent 31"/>
    <w:basedOn w:val="Normal"/>
    <w:uiPriority w:val="34"/>
    <w:qFormat/>
    <w:rsid w:val="00860F4A"/>
    <w:pPr>
      <w:spacing w:after="160" w:line="259" w:lineRule="auto"/>
      <w:ind w:left="720"/>
      <w:contextualSpacing/>
    </w:pPr>
    <w:rPr>
      <w:rFonts w:ascii="Calibri" w:hAnsi="Calibri"/>
    </w:rPr>
  </w:style>
  <w:style w:type="table" w:styleId="GridTable1Light-Accent4">
    <w:name w:val="Grid Table 1 Light Accent 4"/>
    <w:basedOn w:val="TableNormal"/>
    <w:rsid w:val="00D72697"/>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ghtGrid-Accent2">
    <w:name w:val="Light Grid Accent 2"/>
    <w:basedOn w:val="TableNormal"/>
    <w:rsid w:val="00D7269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dTable1Light-Accent3">
    <w:name w:val="Grid Table 1 Light Accent 3"/>
    <w:basedOn w:val="TableNormal"/>
    <w:rsid w:val="00D7269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3Deffects3">
    <w:name w:val="Table 3D effects 3"/>
    <w:basedOn w:val="TableNormal"/>
    <w:rsid w:val="00D72697"/>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7Colorful-Accent3">
    <w:name w:val="Grid Table 7 Colorful Accent 3"/>
    <w:basedOn w:val="TableNormal"/>
    <w:rsid w:val="00E50AF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LightList-Accent31">
    <w:name w:val="Light List - Accent 31"/>
    <w:hidden/>
    <w:rsid w:val="00922D17"/>
    <w:rPr>
      <w:sz w:val="22"/>
      <w:szCs w:val="22"/>
    </w:rPr>
  </w:style>
  <w:style w:type="character" w:styleId="PageNumber">
    <w:name w:val="page number"/>
    <w:rsid w:val="000A43B2"/>
  </w:style>
  <w:style w:type="paragraph" w:styleId="DocumentMap">
    <w:name w:val="Document Map"/>
    <w:basedOn w:val="Normal"/>
    <w:link w:val="DocumentMapChar"/>
    <w:rsid w:val="00075ADD"/>
  </w:style>
  <w:style w:type="character" w:customStyle="1" w:styleId="DocumentMapChar">
    <w:name w:val="Document Map Char"/>
    <w:link w:val="DocumentMap"/>
    <w:rsid w:val="00075ADD"/>
    <w:rPr>
      <w:rFonts w:ascii="Times New Roman" w:hAnsi="Times New Roman"/>
      <w:sz w:val="24"/>
      <w:szCs w:val="24"/>
    </w:rPr>
  </w:style>
  <w:style w:type="paragraph" w:customStyle="1" w:styleId="MediumGrid1-Accent21">
    <w:name w:val="Medium Grid 1 - Accent 21"/>
    <w:basedOn w:val="Normal"/>
    <w:uiPriority w:val="34"/>
    <w:qFormat/>
    <w:rsid w:val="007A412B"/>
    <w:pPr>
      <w:ind w:left="720"/>
      <w:contextualSpacing/>
    </w:pPr>
    <w:rPr>
      <w:rFonts w:eastAsia="MS Mincho"/>
    </w:rPr>
  </w:style>
  <w:style w:type="character" w:customStyle="1" w:styleId="Heading1Char">
    <w:name w:val="Heading 1 Char"/>
    <w:basedOn w:val="DefaultParagraphFont"/>
    <w:link w:val="Heading1"/>
    <w:rsid w:val="008869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8869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88698A"/>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88698A"/>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8869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8698A"/>
    <w:rPr>
      <w:rFonts w:asciiTheme="majorHAnsi" w:eastAsiaTheme="majorEastAsia" w:hAnsiTheme="majorHAnsi" w:cstheme="majorBidi"/>
      <w:i/>
      <w:iCs/>
      <w:color w:val="272727" w:themeColor="text1" w:themeTint="D8"/>
      <w:sz w:val="21"/>
      <w:szCs w:val="21"/>
    </w:rPr>
  </w:style>
  <w:style w:type="character" w:customStyle="1" w:styleId="html-render">
    <w:name w:val="html-render"/>
    <w:basedOn w:val="DefaultParagraphFont"/>
    <w:rsid w:val="00242189"/>
  </w:style>
  <w:style w:type="paragraph" w:styleId="ListParagraph">
    <w:name w:val="List Paragraph"/>
    <w:basedOn w:val="Normal"/>
    <w:uiPriority w:val="99"/>
    <w:qFormat/>
    <w:rsid w:val="007C5DA6"/>
    <w:pPr>
      <w:ind w:left="720"/>
      <w:contextualSpacing/>
    </w:pPr>
  </w:style>
  <w:style w:type="character" w:customStyle="1" w:styleId="term">
    <w:name w:val="term"/>
    <w:basedOn w:val="DefaultParagraphFont"/>
    <w:rsid w:val="004269EC"/>
  </w:style>
  <w:style w:type="paragraph" w:styleId="HTMLPreformatted">
    <w:name w:val="HTML Preformatted"/>
    <w:basedOn w:val="Normal"/>
    <w:link w:val="HTMLPreformattedChar"/>
    <w:uiPriority w:val="99"/>
    <w:unhideWhenUsed/>
    <w:rsid w:val="00426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4269EC"/>
    <w:rPr>
      <w:rFonts w:ascii="Courier New" w:eastAsia="Times New Roman" w:hAnsi="Courier New"/>
      <w:lang w:val="x-none" w:eastAsia="x-none"/>
    </w:rPr>
  </w:style>
  <w:style w:type="character" w:customStyle="1" w:styleId="UnresolvedMention">
    <w:name w:val="Unresolved Mention"/>
    <w:basedOn w:val="DefaultParagraphFont"/>
    <w:uiPriority w:val="99"/>
    <w:unhideWhenUsed/>
    <w:rsid w:val="00365EB2"/>
    <w:rPr>
      <w:color w:val="605E5C"/>
      <w:shd w:val="clear" w:color="auto" w:fill="E1DFDD"/>
    </w:rPr>
  </w:style>
  <w:style w:type="character" w:customStyle="1" w:styleId="Mention">
    <w:name w:val="Mention"/>
    <w:basedOn w:val="DefaultParagraphFont"/>
    <w:uiPriority w:val="99"/>
    <w:unhideWhenUsed/>
    <w:rsid w:val="003771FE"/>
    <w:rPr>
      <w:color w:val="2B579A"/>
      <w:shd w:val="clear" w:color="auto" w:fill="E6E6E6"/>
    </w:rPr>
  </w:style>
  <w:style w:type="paragraph" w:styleId="Revision">
    <w:name w:val="Revision"/>
    <w:hidden/>
    <w:uiPriority w:val="99"/>
    <w:unhideWhenUsed/>
    <w:rsid w:val="00F875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350">
      <w:bodyDiv w:val="1"/>
      <w:marLeft w:val="0"/>
      <w:marRight w:val="0"/>
      <w:marTop w:val="0"/>
      <w:marBottom w:val="0"/>
      <w:divBdr>
        <w:top w:val="none" w:sz="0" w:space="0" w:color="auto"/>
        <w:left w:val="none" w:sz="0" w:space="0" w:color="auto"/>
        <w:bottom w:val="none" w:sz="0" w:space="0" w:color="auto"/>
        <w:right w:val="none" w:sz="0" w:space="0" w:color="auto"/>
      </w:divBdr>
    </w:div>
    <w:div w:id="27999751">
      <w:bodyDiv w:val="1"/>
      <w:marLeft w:val="0"/>
      <w:marRight w:val="0"/>
      <w:marTop w:val="0"/>
      <w:marBottom w:val="0"/>
      <w:divBdr>
        <w:top w:val="none" w:sz="0" w:space="0" w:color="auto"/>
        <w:left w:val="none" w:sz="0" w:space="0" w:color="auto"/>
        <w:bottom w:val="none" w:sz="0" w:space="0" w:color="auto"/>
        <w:right w:val="none" w:sz="0" w:space="0" w:color="auto"/>
      </w:divBdr>
    </w:div>
    <w:div w:id="45221538">
      <w:bodyDiv w:val="1"/>
      <w:marLeft w:val="0"/>
      <w:marRight w:val="0"/>
      <w:marTop w:val="0"/>
      <w:marBottom w:val="0"/>
      <w:divBdr>
        <w:top w:val="none" w:sz="0" w:space="0" w:color="auto"/>
        <w:left w:val="none" w:sz="0" w:space="0" w:color="auto"/>
        <w:bottom w:val="none" w:sz="0" w:space="0" w:color="auto"/>
        <w:right w:val="none" w:sz="0" w:space="0" w:color="auto"/>
      </w:divBdr>
    </w:div>
    <w:div w:id="50421149">
      <w:bodyDiv w:val="1"/>
      <w:marLeft w:val="0"/>
      <w:marRight w:val="0"/>
      <w:marTop w:val="0"/>
      <w:marBottom w:val="0"/>
      <w:divBdr>
        <w:top w:val="none" w:sz="0" w:space="0" w:color="auto"/>
        <w:left w:val="none" w:sz="0" w:space="0" w:color="auto"/>
        <w:bottom w:val="none" w:sz="0" w:space="0" w:color="auto"/>
        <w:right w:val="none" w:sz="0" w:space="0" w:color="auto"/>
      </w:divBdr>
    </w:div>
    <w:div w:id="129398363">
      <w:bodyDiv w:val="1"/>
      <w:marLeft w:val="0"/>
      <w:marRight w:val="0"/>
      <w:marTop w:val="0"/>
      <w:marBottom w:val="0"/>
      <w:divBdr>
        <w:top w:val="none" w:sz="0" w:space="0" w:color="auto"/>
        <w:left w:val="none" w:sz="0" w:space="0" w:color="auto"/>
        <w:bottom w:val="none" w:sz="0" w:space="0" w:color="auto"/>
        <w:right w:val="none" w:sz="0" w:space="0" w:color="auto"/>
      </w:divBdr>
    </w:div>
    <w:div w:id="164249374">
      <w:bodyDiv w:val="1"/>
      <w:marLeft w:val="0"/>
      <w:marRight w:val="0"/>
      <w:marTop w:val="0"/>
      <w:marBottom w:val="0"/>
      <w:divBdr>
        <w:top w:val="none" w:sz="0" w:space="0" w:color="auto"/>
        <w:left w:val="none" w:sz="0" w:space="0" w:color="auto"/>
        <w:bottom w:val="none" w:sz="0" w:space="0" w:color="auto"/>
        <w:right w:val="none" w:sz="0" w:space="0" w:color="auto"/>
      </w:divBdr>
    </w:div>
    <w:div w:id="178006292">
      <w:bodyDiv w:val="1"/>
      <w:marLeft w:val="0"/>
      <w:marRight w:val="0"/>
      <w:marTop w:val="0"/>
      <w:marBottom w:val="0"/>
      <w:divBdr>
        <w:top w:val="none" w:sz="0" w:space="0" w:color="auto"/>
        <w:left w:val="none" w:sz="0" w:space="0" w:color="auto"/>
        <w:bottom w:val="none" w:sz="0" w:space="0" w:color="auto"/>
        <w:right w:val="none" w:sz="0" w:space="0" w:color="auto"/>
      </w:divBdr>
    </w:div>
    <w:div w:id="204415634">
      <w:bodyDiv w:val="1"/>
      <w:marLeft w:val="0"/>
      <w:marRight w:val="0"/>
      <w:marTop w:val="0"/>
      <w:marBottom w:val="0"/>
      <w:divBdr>
        <w:top w:val="none" w:sz="0" w:space="0" w:color="auto"/>
        <w:left w:val="none" w:sz="0" w:space="0" w:color="auto"/>
        <w:bottom w:val="none" w:sz="0" w:space="0" w:color="auto"/>
        <w:right w:val="none" w:sz="0" w:space="0" w:color="auto"/>
      </w:divBdr>
    </w:div>
    <w:div w:id="250282997">
      <w:bodyDiv w:val="1"/>
      <w:marLeft w:val="0"/>
      <w:marRight w:val="0"/>
      <w:marTop w:val="0"/>
      <w:marBottom w:val="0"/>
      <w:divBdr>
        <w:top w:val="none" w:sz="0" w:space="0" w:color="auto"/>
        <w:left w:val="none" w:sz="0" w:space="0" w:color="auto"/>
        <w:bottom w:val="none" w:sz="0" w:space="0" w:color="auto"/>
        <w:right w:val="none" w:sz="0" w:space="0" w:color="auto"/>
      </w:divBdr>
    </w:div>
    <w:div w:id="250431053">
      <w:bodyDiv w:val="1"/>
      <w:marLeft w:val="0"/>
      <w:marRight w:val="0"/>
      <w:marTop w:val="0"/>
      <w:marBottom w:val="0"/>
      <w:divBdr>
        <w:top w:val="none" w:sz="0" w:space="0" w:color="auto"/>
        <w:left w:val="none" w:sz="0" w:space="0" w:color="auto"/>
        <w:bottom w:val="none" w:sz="0" w:space="0" w:color="auto"/>
        <w:right w:val="none" w:sz="0" w:space="0" w:color="auto"/>
      </w:divBdr>
    </w:div>
    <w:div w:id="275135063">
      <w:bodyDiv w:val="1"/>
      <w:marLeft w:val="0"/>
      <w:marRight w:val="0"/>
      <w:marTop w:val="0"/>
      <w:marBottom w:val="0"/>
      <w:divBdr>
        <w:top w:val="none" w:sz="0" w:space="0" w:color="auto"/>
        <w:left w:val="none" w:sz="0" w:space="0" w:color="auto"/>
        <w:bottom w:val="none" w:sz="0" w:space="0" w:color="auto"/>
        <w:right w:val="none" w:sz="0" w:space="0" w:color="auto"/>
      </w:divBdr>
      <w:divsChild>
        <w:div w:id="459883065">
          <w:marLeft w:val="150"/>
          <w:marRight w:val="150"/>
          <w:marTop w:val="150"/>
          <w:marBottom w:val="150"/>
          <w:divBdr>
            <w:top w:val="none" w:sz="0" w:space="0" w:color="auto"/>
            <w:left w:val="none" w:sz="0" w:space="0" w:color="auto"/>
            <w:bottom w:val="none" w:sz="0" w:space="0" w:color="auto"/>
            <w:right w:val="none" w:sz="0" w:space="0" w:color="auto"/>
          </w:divBdr>
        </w:div>
      </w:divsChild>
    </w:div>
    <w:div w:id="313609701">
      <w:bodyDiv w:val="1"/>
      <w:marLeft w:val="0"/>
      <w:marRight w:val="0"/>
      <w:marTop w:val="0"/>
      <w:marBottom w:val="0"/>
      <w:divBdr>
        <w:top w:val="none" w:sz="0" w:space="0" w:color="auto"/>
        <w:left w:val="none" w:sz="0" w:space="0" w:color="auto"/>
        <w:bottom w:val="none" w:sz="0" w:space="0" w:color="auto"/>
        <w:right w:val="none" w:sz="0" w:space="0" w:color="auto"/>
      </w:divBdr>
    </w:div>
    <w:div w:id="330377471">
      <w:bodyDiv w:val="1"/>
      <w:marLeft w:val="0"/>
      <w:marRight w:val="0"/>
      <w:marTop w:val="0"/>
      <w:marBottom w:val="0"/>
      <w:divBdr>
        <w:top w:val="none" w:sz="0" w:space="0" w:color="auto"/>
        <w:left w:val="none" w:sz="0" w:space="0" w:color="auto"/>
        <w:bottom w:val="none" w:sz="0" w:space="0" w:color="auto"/>
        <w:right w:val="none" w:sz="0" w:space="0" w:color="auto"/>
      </w:divBdr>
    </w:div>
    <w:div w:id="388069843">
      <w:bodyDiv w:val="1"/>
      <w:marLeft w:val="0"/>
      <w:marRight w:val="0"/>
      <w:marTop w:val="0"/>
      <w:marBottom w:val="0"/>
      <w:divBdr>
        <w:top w:val="none" w:sz="0" w:space="0" w:color="auto"/>
        <w:left w:val="none" w:sz="0" w:space="0" w:color="auto"/>
        <w:bottom w:val="none" w:sz="0" w:space="0" w:color="auto"/>
        <w:right w:val="none" w:sz="0" w:space="0" w:color="auto"/>
      </w:divBdr>
    </w:div>
    <w:div w:id="399400762">
      <w:bodyDiv w:val="1"/>
      <w:marLeft w:val="0"/>
      <w:marRight w:val="0"/>
      <w:marTop w:val="0"/>
      <w:marBottom w:val="0"/>
      <w:divBdr>
        <w:top w:val="none" w:sz="0" w:space="0" w:color="auto"/>
        <w:left w:val="none" w:sz="0" w:space="0" w:color="auto"/>
        <w:bottom w:val="none" w:sz="0" w:space="0" w:color="auto"/>
        <w:right w:val="none" w:sz="0" w:space="0" w:color="auto"/>
      </w:divBdr>
    </w:div>
    <w:div w:id="409425612">
      <w:bodyDiv w:val="1"/>
      <w:marLeft w:val="0"/>
      <w:marRight w:val="0"/>
      <w:marTop w:val="0"/>
      <w:marBottom w:val="0"/>
      <w:divBdr>
        <w:top w:val="none" w:sz="0" w:space="0" w:color="auto"/>
        <w:left w:val="none" w:sz="0" w:space="0" w:color="auto"/>
        <w:bottom w:val="none" w:sz="0" w:space="0" w:color="auto"/>
        <w:right w:val="none" w:sz="0" w:space="0" w:color="auto"/>
      </w:divBdr>
      <w:divsChild>
        <w:div w:id="981079804">
          <w:marLeft w:val="0"/>
          <w:marRight w:val="0"/>
          <w:marTop w:val="0"/>
          <w:marBottom w:val="0"/>
          <w:divBdr>
            <w:top w:val="none" w:sz="0" w:space="0" w:color="auto"/>
            <w:left w:val="none" w:sz="0" w:space="0" w:color="auto"/>
            <w:bottom w:val="none" w:sz="0" w:space="0" w:color="auto"/>
            <w:right w:val="none" w:sz="0" w:space="0" w:color="auto"/>
          </w:divBdr>
          <w:divsChild>
            <w:div w:id="760377240">
              <w:marLeft w:val="0"/>
              <w:marRight w:val="0"/>
              <w:marTop w:val="0"/>
              <w:marBottom w:val="0"/>
              <w:divBdr>
                <w:top w:val="none" w:sz="0" w:space="0" w:color="C0C0C0"/>
                <w:left w:val="none" w:sz="0" w:space="0" w:color="C0C0C0"/>
                <w:bottom w:val="none" w:sz="0" w:space="0" w:color="C0C0C0"/>
                <w:right w:val="none" w:sz="0" w:space="0" w:color="C0C0C0"/>
              </w:divBdr>
              <w:divsChild>
                <w:div w:id="573009405">
                  <w:marLeft w:val="0"/>
                  <w:marRight w:val="0"/>
                  <w:marTop w:val="0"/>
                  <w:marBottom w:val="0"/>
                  <w:divBdr>
                    <w:top w:val="none" w:sz="0" w:space="0" w:color="auto"/>
                    <w:left w:val="none" w:sz="0" w:space="0" w:color="auto"/>
                    <w:bottom w:val="none" w:sz="0" w:space="0" w:color="auto"/>
                    <w:right w:val="none" w:sz="0" w:space="0" w:color="auto"/>
                  </w:divBdr>
                  <w:divsChild>
                    <w:div w:id="256446896">
                      <w:marLeft w:val="0"/>
                      <w:marRight w:val="0"/>
                      <w:marTop w:val="0"/>
                      <w:marBottom w:val="0"/>
                      <w:divBdr>
                        <w:top w:val="none" w:sz="0" w:space="0" w:color="auto"/>
                        <w:left w:val="none" w:sz="0" w:space="0" w:color="auto"/>
                        <w:bottom w:val="none" w:sz="0" w:space="0" w:color="auto"/>
                        <w:right w:val="none" w:sz="0" w:space="0" w:color="auto"/>
                      </w:divBdr>
                      <w:divsChild>
                        <w:div w:id="662245848">
                          <w:marLeft w:val="150"/>
                          <w:marRight w:val="150"/>
                          <w:marTop w:val="150"/>
                          <w:marBottom w:val="150"/>
                          <w:divBdr>
                            <w:top w:val="none" w:sz="0" w:space="0" w:color="auto"/>
                            <w:left w:val="none" w:sz="0" w:space="0" w:color="auto"/>
                            <w:bottom w:val="none" w:sz="0" w:space="0" w:color="auto"/>
                            <w:right w:val="none" w:sz="0" w:space="0" w:color="auto"/>
                          </w:divBdr>
                          <w:divsChild>
                            <w:div w:id="197083388">
                              <w:marLeft w:val="0"/>
                              <w:marRight w:val="0"/>
                              <w:marTop w:val="0"/>
                              <w:marBottom w:val="0"/>
                              <w:divBdr>
                                <w:top w:val="none" w:sz="0" w:space="0" w:color="auto"/>
                                <w:left w:val="none" w:sz="0" w:space="0" w:color="auto"/>
                                <w:bottom w:val="none" w:sz="0" w:space="0" w:color="auto"/>
                                <w:right w:val="none" w:sz="0" w:space="0" w:color="auto"/>
                              </w:divBdr>
                              <w:divsChild>
                                <w:div w:id="5067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915575">
      <w:bodyDiv w:val="1"/>
      <w:marLeft w:val="0"/>
      <w:marRight w:val="0"/>
      <w:marTop w:val="0"/>
      <w:marBottom w:val="0"/>
      <w:divBdr>
        <w:top w:val="none" w:sz="0" w:space="0" w:color="auto"/>
        <w:left w:val="none" w:sz="0" w:space="0" w:color="auto"/>
        <w:bottom w:val="none" w:sz="0" w:space="0" w:color="auto"/>
        <w:right w:val="none" w:sz="0" w:space="0" w:color="auto"/>
      </w:divBdr>
    </w:div>
    <w:div w:id="425616259">
      <w:bodyDiv w:val="1"/>
      <w:marLeft w:val="0"/>
      <w:marRight w:val="0"/>
      <w:marTop w:val="0"/>
      <w:marBottom w:val="0"/>
      <w:divBdr>
        <w:top w:val="none" w:sz="0" w:space="0" w:color="auto"/>
        <w:left w:val="none" w:sz="0" w:space="0" w:color="auto"/>
        <w:bottom w:val="none" w:sz="0" w:space="0" w:color="auto"/>
        <w:right w:val="none" w:sz="0" w:space="0" w:color="auto"/>
      </w:divBdr>
      <w:divsChild>
        <w:div w:id="309212057">
          <w:marLeft w:val="0"/>
          <w:marRight w:val="0"/>
          <w:marTop w:val="0"/>
          <w:marBottom w:val="0"/>
          <w:divBdr>
            <w:top w:val="none" w:sz="0" w:space="0" w:color="auto"/>
            <w:left w:val="none" w:sz="0" w:space="0" w:color="auto"/>
            <w:bottom w:val="none" w:sz="0" w:space="0" w:color="auto"/>
            <w:right w:val="none" w:sz="0" w:space="0" w:color="auto"/>
          </w:divBdr>
        </w:div>
        <w:div w:id="1550071132">
          <w:marLeft w:val="0"/>
          <w:marRight w:val="0"/>
          <w:marTop w:val="0"/>
          <w:marBottom w:val="0"/>
          <w:divBdr>
            <w:top w:val="none" w:sz="0" w:space="0" w:color="auto"/>
            <w:left w:val="none" w:sz="0" w:space="0" w:color="auto"/>
            <w:bottom w:val="none" w:sz="0" w:space="0" w:color="auto"/>
            <w:right w:val="none" w:sz="0" w:space="0" w:color="auto"/>
          </w:divBdr>
        </w:div>
      </w:divsChild>
    </w:div>
    <w:div w:id="434784556">
      <w:bodyDiv w:val="1"/>
      <w:marLeft w:val="0"/>
      <w:marRight w:val="0"/>
      <w:marTop w:val="0"/>
      <w:marBottom w:val="0"/>
      <w:divBdr>
        <w:top w:val="none" w:sz="0" w:space="0" w:color="auto"/>
        <w:left w:val="none" w:sz="0" w:space="0" w:color="auto"/>
        <w:bottom w:val="none" w:sz="0" w:space="0" w:color="auto"/>
        <w:right w:val="none" w:sz="0" w:space="0" w:color="auto"/>
      </w:divBdr>
    </w:div>
    <w:div w:id="463231455">
      <w:bodyDiv w:val="1"/>
      <w:marLeft w:val="0"/>
      <w:marRight w:val="0"/>
      <w:marTop w:val="0"/>
      <w:marBottom w:val="0"/>
      <w:divBdr>
        <w:top w:val="none" w:sz="0" w:space="0" w:color="auto"/>
        <w:left w:val="none" w:sz="0" w:space="0" w:color="auto"/>
        <w:bottom w:val="none" w:sz="0" w:space="0" w:color="auto"/>
        <w:right w:val="none" w:sz="0" w:space="0" w:color="auto"/>
      </w:divBdr>
    </w:div>
    <w:div w:id="479033125">
      <w:bodyDiv w:val="1"/>
      <w:marLeft w:val="0"/>
      <w:marRight w:val="0"/>
      <w:marTop w:val="0"/>
      <w:marBottom w:val="0"/>
      <w:divBdr>
        <w:top w:val="none" w:sz="0" w:space="0" w:color="auto"/>
        <w:left w:val="none" w:sz="0" w:space="0" w:color="auto"/>
        <w:bottom w:val="none" w:sz="0" w:space="0" w:color="auto"/>
        <w:right w:val="none" w:sz="0" w:space="0" w:color="auto"/>
      </w:divBdr>
    </w:div>
    <w:div w:id="511720050">
      <w:bodyDiv w:val="1"/>
      <w:marLeft w:val="0"/>
      <w:marRight w:val="0"/>
      <w:marTop w:val="0"/>
      <w:marBottom w:val="0"/>
      <w:divBdr>
        <w:top w:val="none" w:sz="0" w:space="0" w:color="auto"/>
        <w:left w:val="none" w:sz="0" w:space="0" w:color="auto"/>
        <w:bottom w:val="none" w:sz="0" w:space="0" w:color="auto"/>
        <w:right w:val="none" w:sz="0" w:space="0" w:color="auto"/>
      </w:divBdr>
    </w:div>
    <w:div w:id="520582778">
      <w:bodyDiv w:val="1"/>
      <w:marLeft w:val="0"/>
      <w:marRight w:val="0"/>
      <w:marTop w:val="0"/>
      <w:marBottom w:val="0"/>
      <w:divBdr>
        <w:top w:val="none" w:sz="0" w:space="0" w:color="auto"/>
        <w:left w:val="none" w:sz="0" w:space="0" w:color="auto"/>
        <w:bottom w:val="none" w:sz="0" w:space="0" w:color="auto"/>
        <w:right w:val="none" w:sz="0" w:space="0" w:color="auto"/>
      </w:divBdr>
    </w:div>
    <w:div w:id="521742057">
      <w:bodyDiv w:val="1"/>
      <w:marLeft w:val="0"/>
      <w:marRight w:val="0"/>
      <w:marTop w:val="0"/>
      <w:marBottom w:val="0"/>
      <w:divBdr>
        <w:top w:val="none" w:sz="0" w:space="0" w:color="auto"/>
        <w:left w:val="none" w:sz="0" w:space="0" w:color="auto"/>
        <w:bottom w:val="none" w:sz="0" w:space="0" w:color="auto"/>
        <w:right w:val="none" w:sz="0" w:space="0" w:color="auto"/>
      </w:divBdr>
      <w:divsChild>
        <w:div w:id="2079937926">
          <w:marLeft w:val="0"/>
          <w:marRight w:val="0"/>
          <w:marTop w:val="0"/>
          <w:marBottom w:val="0"/>
          <w:divBdr>
            <w:top w:val="none" w:sz="0" w:space="0" w:color="auto"/>
            <w:left w:val="none" w:sz="0" w:space="0" w:color="auto"/>
            <w:bottom w:val="none" w:sz="0" w:space="0" w:color="auto"/>
            <w:right w:val="none" w:sz="0" w:space="0" w:color="auto"/>
          </w:divBdr>
        </w:div>
      </w:divsChild>
    </w:div>
    <w:div w:id="551771931">
      <w:bodyDiv w:val="1"/>
      <w:marLeft w:val="0"/>
      <w:marRight w:val="0"/>
      <w:marTop w:val="0"/>
      <w:marBottom w:val="0"/>
      <w:divBdr>
        <w:top w:val="none" w:sz="0" w:space="0" w:color="auto"/>
        <w:left w:val="none" w:sz="0" w:space="0" w:color="auto"/>
        <w:bottom w:val="none" w:sz="0" w:space="0" w:color="auto"/>
        <w:right w:val="none" w:sz="0" w:space="0" w:color="auto"/>
      </w:divBdr>
    </w:div>
    <w:div w:id="586039337">
      <w:bodyDiv w:val="1"/>
      <w:marLeft w:val="0"/>
      <w:marRight w:val="0"/>
      <w:marTop w:val="0"/>
      <w:marBottom w:val="0"/>
      <w:divBdr>
        <w:top w:val="none" w:sz="0" w:space="0" w:color="auto"/>
        <w:left w:val="none" w:sz="0" w:space="0" w:color="auto"/>
        <w:bottom w:val="none" w:sz="0" w:space="0" w:color="auto"/>
        <w:right w:val="none" w:sz="0" w:space="0" w:color="auto"/>
      </w:divBdr>
    </w:div>
    <w:div w:id="588999862">
      <w:bodyDiv w:val="1"/>
      <w:marLeft w:val="0"/>
      <w:marRight w:val="0"/>
      <w:marTop w:val="0"/>
      <w:marBottom w:val="0"/>
      <w:divBdr>
        <w:top w:val="none" w:sz="0" w:space="0" w:color="auto"/>
        <w:left w:val="none" w:sz="0" w:space="0" w:color="auto"/>
        <w:bottom w:val="none" w:sz="0" w:space="0" w:color="auto"/>
        <w:right w:val="none" w:sz="0" w:space="0" w:color="auto"/>
      </w:divBdr>
    </w:div>
    <w:div w:id="640967383">
      <w:bodyDiv w:val="1"/>
      <w:marLeft w:val="0"/>
      <w:marRight w:val="0"/>
      <w:marTop w:val="0"/>
      <w:marBottom w:val="0"/>
      <w:divBdr>
        <w:top w:val="none" w:sz="0" w:space="0" w:color="auto"/>
        <w:left w:val="none" w:sz="0" w:space="0" w:color="auto"/>
        <w:bottom w:val="none" w:sz="0" w:space="0" w:color="auto"/>
        <w:right w:val="none" w:sz="0" w:space="0" w:color="auto"/>
      </w:divBdr>
    </w:div>
    <w:div w:id="658268626">
      <w:bodyDiv w:val="1"/>
      <w:marLeft w:val="0"/>
      <w:marRight w:val="0"/>
      <w:marTop w:val="0"/>
      <w:marBottom w:val="0"/>
      <w:divBdr>
        <w:top w:val="none" w:sz="0" w:space="0" w:color="auto"/>
        <w:left w:val="none" w:sz="0" w:space="0" w:color="auto"/>
        <w:bottom w:val="none" w:sz="0" w:space="0" w:color="auto"/>
        <w:right w:val="none" w:sz="0" w:space="0" w:color="auto"/>
      </w:divBdr>
    </w:div>
    <w:div w:id="682047212">
      <w:bodyDiv w:val="1"/>
      <w:marLeft w:val="0"/>
      <w:marRight w:val="0"/>
      <w:marTop w:val="0"/>
      <w:marBottom w:val="0"/>
      <w:divBdr>
        <w:top w:val="none" w:sz="0" w:space="0" w:color="auto"/>
        <w:left w:val="none" w:sz="0" w:space="0" w:color="auto"/>
        <w:bottom w:val="none" w:sz="0" w:space="0" w:color="auto"/>
        <w:right w:val="none" w:sz="0" w:space="0" w:color="auto"/>
      </w:divBdr>
    </w:div>
    <w:div w:id="695741623">
      <w:bodyDiv w:val="1"/>
      <w:marLeft w:val="0"/>
      <w:marRight w:val="0"/>
      <w:marTop w:val="0"/>
      <w:marBottom w:val="0"/>
      <w:divBdr>
        <w:top w:val="none" w:sz="0" w:space="0" w:color="auto"/>
        <w:left w:val="none" w:sz="0" w:space="0" w:color="auto"/>
        <w:bottom w:val="none" w:sz="0" w:space="0" w:color="auto"/>
        <w:right w:val="none" w:sz="0" w:space="0" w:color="auto"/>
      </w:divBdr>
    </w:div>
    <w:div w:id="695808768">
      <w:bodyDiv w:val="1"/>
      <w:marLeft w:val="0"/>
      <w:marRight w:val="0"/>
      <w:marTop w:val="0"/>
      <w:marBottom w:val="0"/>
      <w:divBdr>
        <w:top w:val="none" w:sz="0" w:space="0" w:color="auto"/>
        <w:left w:val="none" w:sz="0" w:space="0" w:color="auto"/>
        <w:bottom w:val="none" w:sz="0" w:space="0" w:color="auto"/>
        <w:right w:val="none" w:sz="0" w:space="0" w:color="auto"/>
      </w:divBdr>
    </w:div>
    <w:div w:id="872231096">
      <w:bodyDiv w:val="1"/>
      <w:marLeft w:val="0"/>
      <w:marRight w:val="0"/>
      <w:marTop w:val="0"/>
      <w:marBottom w:val="0"/>
      <w:divBdr>
        <w:top w:val="none" w:sz="0" w:space="0" w:color="auto"/>
        <w:left w:val="none" w:sz="0" w:space="0" w:color="auto"/>
        <w:bottom w:val="none" w:sz="0" w:space="0" w:color="auto"/>
        <w:right w:val="none" w:sz="0" w:space="0" w:color="auto"/>
      </w:divBdr>
    </w:div>
    <w:div w:id="880895270">
      <w:bodyDiv w:val="1"/>
      <w:marLeft w:val="0"/>
      <w:marRight w:val="0"/>
      <w:marTop w:val="0"/>
      <w:marBottom w:val="0"/>
      <w:divBdr>
        <w:top w:val="none" w:sz="0" w:space="0" w:color="auto"/>
        <w:left w:val="none" w:sz="0" w:space="0" w:color="auto"/>
        <w:bottom w:val="none" w:sz="0" w:space="0" w:color="auto"/>
        <w:right w:val="none" w:sz="0" w:space="0" w:color="auto"/>
      </w:divBdr>
    </w:div>
    <w:div w:id="889078670">
      <w:bodyDiv w:val="1"/>
      <w:marLeft w:val="0"/>
      <w:marRight w:val="0"/>
      <w:marTop w:val="0"/>
      <w:marBottom w:val="0"/>
      <w:divBdr>
        <w:top w:val="none" w:sz="0" w:space="0" w:color="auto"/>
        <w:left w:val="none" w:sz="0" w:space="0" w:color="auto"/>
        <w:bottom w:val="none" w:sz="0" w:space="0" w:color="auto"/>
        <w:right w:val="none" w:sz="0" w:space="0" w:color="auto"/>
      </w:divBdr>
    </w:div>
    <w:div w:id="890532208">
      <w:bodyDiv w:val="1"/>
      <w:marLeft w:val="0"/>
      <w:marRight w:val="0"/>
      <w:marTop w:val="0"/>
      <w:marBottom w:val="0"/>
      <w:divBdr>
        <w:top w:val="none" w:sz="0" w:space="0" w:color="auto"/>
        <w:left w:val="none" w:sz="0" w:space="0" w:color="auto"/>
        <w:bottom w:val="none" w:sz="0" w:space="0" w:color="auto"/>
        <w:right w:val="none" w:sz="0" w:space="0" w:color="auto"/>
      </w:divBdr>
      <w:divsChild>
        <w:div w:id="27531654">
          <w:marLeft w:val="0"/>
          <w:marRight w:val="0"/>
          <w:marTop w:val="0"/>
          <w:marBottom w:val="0"/>
          <w:divBdr>
            <w:top w:val="none" w:sz="0" w:space="0" w:color="auto"/>
            <w:left w:val="none" w:sz="0" w:space="0" w:color="auto"/>
            <w:bottom w:val="none" w:sz="0" w:space="0" w:color="auto"/>
            <w:right w:val="none" w:sz="0" w:space="0" w:color="auto"/>
          </w:divBdr>
        </w:div>
      </w:divsChild>
    </w:div>
    <w:div w:id="899439149">
      <w:bodyDiv w:val="1"/>
      <w:marLeft w:val="0"/>
      <w:marRight w:val="0"/>
      <w:marTop w:val="0"/>
      <w:marBottom w:val="0"/>
      <w:divBdr>
        <w:top w:val="none" w:sz="0" w:space="0" w:color="auto"/>
        <w:left w:val="none" w:sz="0" w:space="0" w:color="auto"/>
        <w:bottom w:val="none" w:sz="0" w:space="0" w:color="auto"/>
        <w:right w:val="none" w:sz="0" w:space="0" w:color="auto"/>
      </w:divBdr>
    </w:div>
    <w:div w:id="902063075">
      <w:bodyDiv w:val="1"/>
      <w:marLeft w:val="0"/>
      <w:marRight w:val="0"/>
      <w:marTop w:val="0"/>
      <w:marBottom w:val="0"/>
      <w:divBdr>
        <w:top w:val="none" w:sz="0" w:space="0" w:color="auto"/>
        <w:left w:val="none" w:sz="0" w:space="0" w:color="auto"/>
        <w:bottom w:val="none" w:sz="0" w:space="0" w:color="auto"/>
        <w:right w:val="none" w:sz="0" w:space="0" w:color="auto"/>
      </w:divBdr>
    </w:div>
    <w:div w:id="924726092">
      <w:bodyDiv w:val="1"/>
      <w:marLeft w:val="0"/>
      <w:marRight w:val="0"/>
      <w:marTop w:val="0"/>
      <w:marBottom w:val="0"/>
      <w:divBdr>
        <w:top w:val="none" w:sz="0" w:space="0" w:color="auto"/>
        <w:left w:val="none" w:sz="0" w:space="0" w:color="auto"/>
        <w:bottom w:val="none" w:sz="0" w:space="0" w:color="auto"/>
        <w:right w:val="none" w:sz="0" w:space="0" w:color="auto"/>
      </w:divBdr>
    </w:div>
    <w:div w:id="932006802">
      <w:bodyDiv w:val="1"/>
      <w:marLeft w:val="0"/>
      <w:marRight w:val="0"/>
      <w:marTop w:val="0"/>
      <w:marBottom w:val="0"/>
      <w:divBdr>
        <w:top w:val="none" w:sz="0" w:space="0" w:color="auto"/>
        <w:left w:val="none" w:sz="0" w:space="0" w:color="auto"/>
        <w:bottom w:val="none" w:sz="0" w:space="0" w:color="auto"/>
        <w:right w:val="none" w:sz="0" w:space="0" w:color="auto"/>
      </w:divBdr>
    </w:div>
    <w:div w:id="1002506507">
      <w:bodyDiv w:val="1"/>
      <w:marLeft w:val="0"/>
      <w:marRight w:val="0"/>
      <w:marTop w:val="0"/>
      <w:marBottom w:val="0"/>
      <w:divBdr>
        <w:top w:val="none" w:sz="0" w:space="0" w:color="auto"/>
        <w:left w:val="none" w:sz="0" w:space="0" w:color="auto"/>
        <w:bottom w:val="none" w:sz="0" w:space="0" w:color="auto"/>
        <w:right w:val="none" w:sz="0" w:space="0" w:color="auto"/>
      </w:divBdr>
    </w:div>
    <w:div w:id="1027751752">
      <w:bodyDiv w:val="1"/>
      <w:marLeft w:val="0"/>
      <w:marRight w:val="0"/>
      <w:marTop w:val="0"/>
      <w:marBottom w:val="0"/>
      <w:divBdr>
        <w:top w:val="none" w:sz="0" w:space="0" w:color="auto"/>
        <w:left w:val="none" w:sz="0" w:space="0" w:color="auto"/>
        <w:bottom w:val="none" w:sz="0" w:space="0" w:color="auto"/>
        <w:right w:val="none" w:sz="0" w:space="0" w:color="auto"/>
      </w:divBdr>
    </w:div>
    <w:div w:id="1041134084">
      <w:bodyDiv w:val="1"/>
      <w:marLeft w:val="0"/>
      <w:marRight w:val="0"/>
      <w:marTop w:val="0"/>
      <w:marBottom w:val="0"/>
      <w:divBdr>
        <w:top w:val="none" w:sz="0" w:space="0" w:color="auto"/>
        <w:left w:val="none" w:sz="0" w:space="0" w:color="auto"/>
        <w:bottom w:val="none" w:sz="0" w:space="0" w:color="auto"/>
        <w:right w:val="none" w:sz="0" w:space="0" w:color="auto"/>
      </w:divBdr>
    </w:div>
    <w:div w:id="1042054889">
      <w:bodyDiv w:val="1"/>
      <w:marLeft w:val="0"/>
      <w:marRight w:val="0"/>
      <w:marTop w:val="0"/>
      <w:marBottom w:val="0"/>
      <w:divBdr>
        <w:top w:val="none" w:sz="0" w:space="0" w:color="auto"/>
        <w:left w:val="none" w:sz="0" w:space="0" w:color="auto"/>
        <w:bottom w:val="none" w:sz="0" w:space="0" w:color="auto"/>
        <w:right w:val="none" w:sz="0" w:space="0" w:color="auto"/>
      </w:divBdr>
    </w:div>
    <w:div w:id="1047334782">
      <w:bodyDiv w:val="1"/>
      <w:marLeft w:val="0"/>
      <w:marRight w:val="0"/>
      <w:marTop w:val="0"/>
      <w:marBottom w:val="0"/>
      <w:divBdr>
        <w:top w:val="none" w:sz="0" w:space="0" w:color="auto"/>
        <w:left w:val="none" w:sz="0" w:space="0" w:color="auto"/>
        <w:bottom w:val="none" w:sz="0" w:space="0" w:color="auto"/>
        <w:right w:val="none" w:sz="0" w:space="0" w:color="auto"/>
      </w:divBdr>
      <w:divsChild>
        <w:div w:id="1033655233">
          <w:marLeft w:val="0"/>
          <w:marRight w:val="0"/>
          <w:marTop w:val="0"/>
          <w:marBottom w:val="0"/>
          <w:divBdr>
            <w:top w:val="none" w:sz="0" w:space="0" w:color="auto"/>
            <w:left w:val="none" w:sz="0" w:space="0" w:color="auto"/>
            <w:bottom w:val="none" w:sz="0" w:space="0" w:color="auto"/>
            <w:right w:val="none" w:sz="0" w:space="0" w:color="auto"/>
          </w:divBdr>
          <w:divsChild>
            <w:div w:id="14544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030">
      <w:bodyDiv w:val="1"/>
      <w:marLeft w:val="0"/>
      <w:marRight w:val="0"/>
      <w:marTop w:val="0"/>
      <w:marBottom w:val="0"/>
      <w:divBdr>
        <w:top w:val="none" w:sz="0" w:space="0" w:color="auto"/>
        <w:left w:val="none" w:sz="0" w:space="0" w:color="auto"/>
        <w:bottom w:val="none" w:sz="0" w:space="0" w:color="auto"/>
        <w:right w:val="none" w:sz="0" w:space="0" w:color="auto"/>
      </w:divBdr>
    </w:div>
    <w:div w:id="1062748856">
      <w:bodyDiv w:val="1"/>
      <w:marLeft w:val="0"/>
      <w:marRight w:val="0"/>
      <w:marTop w:val="0"/>
      <w:marBottom w:val="0"/>
      <w:divBdr>
        <w:top w:val="none" w:sz="0" w:space="0" w:color="auto"/>
        <w:left w:val="none" w:sz="0" w:space="0" w:color="auto"/>
        <w:bottom w:val="none" w:sz="0" w:space="0" w:color="auto"/>
        <w:right w:val="none" w:sz="0" w:space="0" w:color="auto"/>
      </w:divBdr>
    </w:div>
    <w:div w:id="1071972799">
      <w:bodyDiv w:val="1"/>
      <w:marLeft w:val="0"/>
      <w:marRight w:val="0"/>
      <w:marTop w:val="0"/>
      <w:marBottom w:val="0"/>
      <w:divBdr>
        <w:top w:val="none" w:sz="0" w:space="0" w:color="auto"/>
        <w:left w:val="none" w:sz="0" w:space="0" w:color="auto"/>
        <w:bottom w:val="none" w:sz="0" w:space="0" w:color="auto"/>
        <w:right w:val="none" w:sz="0" w:space="0" w:color="auto"/>
      </w:divBdr>
    </w:div>
    <w:div w:id="1080102089">
      <w:bodyDiv w:val="1"/>
      <w:marLeft w:val="0"/>
      <w:marRight w:val="0"/>
      <w:marTop w:val="0"/>
      <w:marBottom w:val="0"/>
      <w:divBdr>
        <w:top w:val="none" w:sz="0" w:space="0" w:color="auto"/>
        <w:left w:val="none" w:sz="0" w:space="0" w:color="auto"/>
        <w:bottom w:val="none" w:sz="0" w:space="0" w:color="auto"/>
        <w:right w:val="none" w:sz="0" w:space="0" w:color="auto"/>
      </w:divBdr>
    </w:div>
    <w:div w:id="1127241521">
      <w:bodyDiv w:val="1"/>
      <w:marLeft w:val="0"/>
      <w:marRight w:val="0"/>
      <w:marTop w:val="0"/>
      <w:marBottom w:val="0"/>
      <w:divBdr>
        <w:top w:val="none" w:sz="0" w:space="0" w:color="auto"/>
        <w:left w:val="none" w:sz="0" w:space="0" w:color="auto"/>
        <w:bottom w:val="none" w:sz="0" w:space="0" w:color="auto"/>
        <w:right w:val="none" w:sz="0" w:space="0" w:color="auto"/>
      </w:divBdr>
    </w:div>
    <w:div w:id="1156343697">
      <w:bodyDiv w:val="1"/>
      <w:marLeft w:val="0"/>
      <w:marRight w:val="0"/>
      <w:marTop w:val="0"/>
      <w:marBottom w:val="0"/>
      <w:divBdr>
        <w:top w:val="none" w:sz="0" w:space="0" w:color="auto"/>
        <w:left w:val="none" w:sz="0" w:space="0" w:color="auto"/>
        <w:bottom w:val="none" w:sz="0" w:space="0" w:color="auto"/>
        <w:right w:val="none" w:sz="0" w:space="0" w:color="auto"/>
      </w:divBdr>
    </w:div>
    <w:div w:id="1156915704">
      <w:bodyDiv w:val="1"/>
      <w:marLeft w:val="0"/>
      <w:marRight w:val="0"/>
      <w:marTop w:val="0"/>
      <w:marBottom w:val="0"/>
      <w:divBdr>
        <w:top w:val="none" w:sz="0" w:space="0" w:color="auto"/>
        <w:left w:val="none" w:sz="0" w:space="0" w:color="auto"/>
        <w:bottom w:val="none" w:sz="0" w:space="0" w:color="auto"/>
        <w:right w:val="none" w:sz="0" w:space="0" w:color="auto"/>
      </w:divBdr>
    </w:div>
    <w:div w:id="1163618204">
      <w:bodyDiv w:val="1"/>
      <w:marLeft w:val="0"/>
      <w:marRight w:val="0"/>
      <w:marTop w:val="0"/>
      <w:marBottom w:val="0"/>
      <w:divBdr>
        <w:top w:val="none" w:sz="0" w:space="0" w:color="auto"/>
        <w:left w:val="none" w:sz="0" w:space="0" w:color="auto"/>
        <w:bottom w:val="none" w:sz="0" w:space="0" w:color="auto"/>
        <w:right w:val="none" w:sz="0" w:space="0" w:color="auto"/>
      </w:divBdr>
    </w:div>
    <w:div w:id="1190216959">
      <w:bodyDiv w:val="1"/>
      <w:marLeft w:val="0"/>
      <w:marRight w:val="0"/>
      <w:marTop w:val="0"/>
      <w:marBottom w:val="0"/>
      <w:divBdr>
        <w:top w:val="none" w:sz="0" w:space="0" w:color="auto"/>
        <w:left w:val="none" w:sz="0" w:space="0" w:color="auto"/>
        <w:bottom w:val="none" w:sz="0" w:space="0" w:color="auto"/>
        <w:right w:val="none" w:sz="0" w:space="0" w:color="auto"/>
      </w:divBdr>
    </w:div>
    <w:div w:id="1220748051">
      <w:bodyDiv w:val="1"/>
      <w:marLeft w:val="0"/>
      <w:marRight w:val="0"/>
      <w:marTop w:val="0"/>
      <w:marBottom w:val="0"/>
      <w:divBdr>
        <w:top w:val="none" w:sz="0" w:space="0" w:color="auto"/>
        <w:left w:val="none" w:sz="0" w:space="0" w:color="auto"/>
        <w:bottom w:val="none" w:sz="0" w:space="0" w:color="auto"/>
        <w:right w:val="none" w:sz="0" w:space="0" w:color="auto"/>
      </w:divBdr>
    </w:div>
    <w:div w:id="1225601608">
      <w:bodyDiv w:val="1"/>
      <w:marLeft w:val="0"/>
      <w:marRight w:val="0"/>
      <w:marTop w:val="0"/>
      <w:marBottom w:val="0"/>
      <w:divBdr>
        <w:top w:val="none" w:sz="0" w:space="0" w:color="auto"/>
        <w:left w:val="none" w:sz="0" w:space="0" w:color="auto"/>
        <w:bottom w:val="none" w:sz="0" w:space="0" w:color="auto"/>
        <w:right w:val="none" w:sz="0" w:space="0" w:color="auto"/>
      </w:divBdr>
    </w:div>
    <w:div w:id="1228882001">
      <w:bodyDiv w:val="1"/>
      <w:marLeft w:val="0"/>
      <w:marRight w:val="0"/>
      <w:marTop w:val="0"/>
      <w:marBottom w:val="0"/>
      <w:divBdr>
        <w:top w:val="none" w:sz="0" w:space="0" w:color="auto"/>
        <w:left w:val="none" w:sz="0" w:space="0" w:color="auto"/>
        <w:bottom w:val="none" w:sz="0" w:space="0" w:color="auto"/>
        <w:right w:val="none" w:sz="0" w:space="0" w:color="auto"/>
      </w:divBdr>
    </w:div>
    <w:div w:id="1239826083">
      <w:bodyDiv w:val="1"/>
      <w:marLeft w:val="0"/>
      <w:marRight w:val="0"/>
      <w:marTop w:val="0"/>
      <w:marBottom w:val="0"/>
      <w:divBdr>
        <w:top w:val="none" w:sz="0" w:space="0" w:color="auto"/>
        <w:left w:val="none" w:sz="0" w:space="0" w:color="auto"/>
        <w:bottom w:val="none" w:sz="0" w:space="0" w:color="auto"/>
        <w:right w:val="none" w:sz="0" w:space="0" w:color="auto"/>
      </w:divBdr>
    </w:div>
    <w:div w:id="1244804220">
      <w:bodyDiv w:val="1"/>
      <w:marLeft w:val="0"/>
      <w:marRight w:val="0"/>
      <w:marTop w:val="0"/>
      <w:marBottom w:val="0"/>
      <w:divBdr>
        <w:top w:val="none" w:sz="0" w:space="0" w:color="auto"/>
        <w:left w:val="none" w:sz="0" w:space="0" w:color="auto"/>
        <w:bottom w:val="none" w:sz="0" w:space="0" w:color="auto"/>
        <w:right w:val="none" w:sz="0" w:space="0" w:color="auto"/>
      </w:divBdr>
    </w:div>
    <w:div w:id="1251698130">
      <w:bodyDiv w:val="1"/>
      <w:marLeft w:val="0"/>
      <w:marRight w:val="0"/>
      <w:marTop w:val="0"/>
      <w:marBottom w:val="0"/>
      <w:divBdr>
        <w:top w:val="none" w:sz="0" w:space="0" w:color="auto"/>
        <w:left w:val="none" w:sz="0" w:space="0" w:color="auto"/>
        <w:bottom w:val="none" w:sz="0" w:space="0" w:color="auto"/>
        <w:right w:val="none" w:sz="0" w:space="0" w:color="auto"/>
      </w:divBdr>
    </w:div>
    <w:div w:id="1253592115">
      <w:bodyDiv w:val="1"/>
      <w:marLeft w:val="0"/>
      <w:marRight w:val="0"/>
      <w:marTop w:val="0"/>
      <w:marBottom w:val="0"/>
      <w:divBdr>
        <w:top w:val="none" w:sz="0" w:space="0" w:color="auto"/>
        <w:left w:val="none" w:sz="0" w:space="0" w:color="auto"/>
        <w:bottom w:val="none" w:sz="0" w:space="0" w:color="auto"/>
        <w:right w:val="none" w:sz="0" w:space="0" w:color="auto"/>
      </w:divBdr>
      <w:divsChild>
        <w:div w:id="1545406055">
          <w:marLeft w:val="0"/>
          <w:marRight w:val="0"/>
          <w:marTop w:val="0"/>
          <w:marBottom w:val="0"/>
          <w:divBdr>
            <w:top w:val="none" w:sz="0" w:space="0" w:color="auto"/>
            <w:left w:val="none" w:sz="0" w:space="0" w:color="auto"/>
            <w:bottom w:val="none" w:sz="0" w:space="0" w:color="auto"/>
            <w:right w:val="none" w:sz="0" w:space="0" w:color="auto"/>
          </w:divBdr>
          <w:divsChild>
            <w:div w:id="1914775047">
              <w:marLeft w:val="0"/>
              <w:marRight w:val="0"/>
              <w:marTop w:val="0"/>
              <w:marBottom w:val="0"/>
              <w:divBdr>
                <w:top w:val="none" w:sz="0" w:space="0" w:color="C0C0C0"/>
                <w:left w:val="none" w:sz="0" w:space="0" w:color="C0C0C0"/>
                <w:bottom w:val="none" w:sz="0" w:space="0" w:color="C0C0C0"/>
                <w:right w:val="none" w:sz="0" w:space="0" w:color="C0C0C0"/>
              </w:divBdr>
              <w:divsChild>
                <w:div w:id="32317101">
                  <w:marLeft w:val="0"/>
                  <w:marRight w:val="0"/>
                  <w:marTop w:val="0"/>
                  <w:marBottom w:val="0"/>
                  <w:divBdr>
                    <w:top w:val="none" w:sz="0" w:space="0" w:color="auto"/>
                    <w:left w:val="none" w:sz="0" w:space="0" w:color="auto"/>
                    <w:bottom w:val="none" w:sz="0" w:space="0" w:color="auto"/>
                    <w:right w:val="none" w:sz="0" w:space="0" w:color="auto"/>
                  </w:divBdr>
                  <w:divsChild>
                    <w:div w:id="38094653">
                      <w:marLeft w:val="0"/>
                      <w:marRight w:val="0"/>
                      <w:marTop w:val="0"/>
                      <w:marBottom w:val="0"/>
                      <w:divBdr>
                        <w:top w:val="none" w:sz="0" w:space="0" w:color="auto"/>
                        <w:left w:val="none" w:sz="0" w:space="0" w:color="auto"/>
                        <w:bottom w:val="none" w:sz="0" w:space="0" w:color="auto"/>
                        <w:right w:val="none" w:sz="0" w:space="0" w:color="auto"/>
                      </w:divBdr>
                      <w:divsChild>
                        <w:div w:id="1328707315">
                          <w:marLeft w:val="150"/>
                          <w:marRight w:val="150"/>
                          <w:marTop w:val="150"/>
                          <w:marBottom w:val="150"/>
                          <w:divBdr>
                            <w:top w:val="none" w:sz="0" w:space="0" w:color="auto"/>
                            <w:left w:val="none" w:sz="0" w:space="0" w:color="auto"/>
                            <w:bottom w:val="none" w:sz="0" w:space="0" w:color="auto"/>
                            <w:right w:val="none" w:sz="0" w:space="0" w:color="auto"/>
                          </w:divBdr>
                          <w:divsChild>
                            <w:div w:id="759836707">
                              <w:marLeft w:val="0"/>
                              <w:marRight w:val="0"/>
                              <w:marTop w:val="0"/>
                              <w:marBottom w:val="0"/>
                              <w:divBdr>
                                <w:top w:val="none" w:sz="0" w:space="0" w:color="auto"/>
                                <w:left w:val="none" w:sz="0" w:space="0" w:color="auto"/>
                                <w:bottom w:val="none" w:sz="0" w:space="0" w:color="auto"/>
                                <w:right w:val="none" w:sz="0" w:space="0" w:color="auto"/>
                              </w:divBdr>
                              <w:divsChild>
                                <w:div w:id="4588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01608">
      <w:bodyDiv w:val="1"/>
      <w:marLeft w:val="0"/>
      <w:marRight w:val="0"/>
      <w:marTop w:val="0"/>
      <w:marBottom w:val="0"/>
      <w:divBdr>
        <w:top w:val="none" w:sz="0" w:space="0" w:color="auto"/>
        <w:left w:val="none" w:sz="0" w:space="0" w:color="auto"/>
        <w:bottom w:val="none" w:sz="0" w:space="0" w:color="auto"/>
        <w:right w:val="none" w:sz="0" w:space="0" w:color="auto"/>
      </w:divBdr>
      <w:divsChild>
        <w:div w:id="2018802029">
          <w:marLeft w:val="0"/>
          <w:marRight w:val="0"/>
          <w:marTop w:val="0"/>
          <w:marBottom w:val="0"/>
          <w:divBdr>
            <w:top w:val="none" w:sz="0" w:space="0" w:color="auto"/>
            <w:left w:val="none" w:sz="0" w:space="0" w:color="auto"/>
            <w:bottom w:val="none" w:sz="0" w:space="0" w:color="auto"/>
            <w:right w:val="none" w:sz="0" w:space="0" w:color="auto"/>
          </w:divBdr>
          <w:divsChild>
            <w:div w:id="442463403">
              <w:marLeft w:val="0"/>
              <w:marRight w:val="0"/>
              <w:marTop w:val="0"/>
              <w:marBottom w:val="0"/>
              <w:divBdr>
                <w:top w:val="none" w:sz="0" w:space="0" w:color="C0C0C0"/>
                <w:left w:val="none" w:sz="0" w:space="0" w:color="C0C0C0"/>
                <w:bottom w:val="none" w:sz="0" w:space="0" w:color="C0C0C0"/>
                <w:right w:val="none" w:sz="0" w:space="0" w:color="C0C0C0"/>
              </w:divBdr>
              <w:divsChild>
                <w:div w:id="1172912416">
                  <w:marLeft w:val="0"/>
                  <w:marRight w:val="0"/>
                  <w:marTop w:val="0"/>
                  <w:marBottom w:val="0"/>
                  <w:divBdr>
                    <w:top w:val="none" w:sz="0" w:space="0" w:color="auto"/>
                    <w:left w:val="none" w:sz="0" w:space="0" w:color="auto"/>
                    <w:bottom w:val="none" w:sz="0" w:space="0" w:color="auto"/>
                    <w:right w:val="none" w:sz="0" w:space="0" w:color="auto"/>
                  </w:divBdr>
                  <w:divsChild>
                    <w:div w:id="1342658605">
                      <w:marLeft w:val="0"/>
                      <w:marRight w:val="0"/>
                      <w:marTop w:val="0"/>
                      <w:marBottom w:val="0"/>
                      <w:divBdr>
                        <w:top w:val="none" w:sz="0" w:space="0" w:color="auto"/>
                        <w:left w:val="none" w:sz="0" w:space="0" w:color="auto"/>
                        <w:bottom w:val="none" w:sz="0" w:space="0" w:color="auto"/>
                        <w:right w:val="none" w:sz="0" w:space="0" w:color="auto"/>
                      </w:divBdr>
                      <w:divsChild>
                        <w:div w:id="497353033">
                          <w:marLeft w:val="150"/>
                          <w:marRight w:val="150"/>
                          <w:marTop w:val="150"/>
                          <w:marBottom w:val="150"/>
                          <w:divBdr>
                            <w:top w:val="none" w:sz="0" w:space="0" w:color="auto"/>
                            <w:left w:val="none" w:sz="0" w:space="0" w:color="auto"/>
                            <w:bottom w:val="none" w:sz="0" w:space="0" w:color="auto"/>
                            <w:right w:val="none" w:sz="0" w:space="0" w:color="auto"/>
                          </w:divBdr>
                          <w:divsChild>
                            <w:div w:id="472454626">
                              <w:marLeft w:val="0"/>
                              <w:marRight w:val="0"/>
                              <w:marTop w:val="0"/>
                              <w:marBottom w:val="0"/>
                              <w:divBdr>
                                <w:top w:val="none" w:sz="0" w:space="0" w:color="auto"/>
                                <w:left w:val="none" w:sz="0" w:space="0" w:color="auto"/>
                                <w:bottom w:val="none" w:sz="0" w:space="0" w:color="auto"/>
                                <w:right w:val="none" w:sz="0" w:space="0" w:color="auto"/>
                              </w:divBdr>
                              <w:divsChild>
                                <w:div w:id="1479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208008">
      <w:bodyDiv w:val="1"/>
      <w:marLeft w:val="0"/>
      <w:marRight w:val="0"/>
      <w:marTop w:val="0"/>
      <w:marBottom w:val="0"/>
      <w:divBdr>
        <w:top w:val="none" w:sz="0" w:space="0" w:color="auto"/>
        <w:left w:val="none" w:sz="0" w:space="0" w:color="auto"/>
        <w:bottom w:val="none" w:sz="0" w:space="0" w:color="auto"/>
        <w:right w:val="none" w:sz="0" w:space="0" w:color="auto"/>
      </w:divBdr>
    </w:div>
    <w:div w:id="1273779408">
      <w:bodyDiv w:val="1"/>
      <w:marLeft w:val="0"/>
      <w:marRight w:val="0"/>
      <w:marTop w:val="0"/>
      <w:marBottom w:val="0"/>
      <w:divBdr>
        <w:top w:val="none" w:sz="0" w:space="0" w:color="auto"/>
        <w:left w:val="none" w:sz="0" w:space="0" w:color="auto"/>
        <w:bottom w:val="none" w:sz="0" w:space="0" w:color="auto"/>
        <w:right w:val="none" w:sz="0" w:space="0" w:color="auto"/>
      </w:divBdr>
    </w:div>
    <w:div w:id="1293246522">
      <w:bodyDiv w:val="1"/>
      <w:marLeft w:val="0"/>
      <w:marRight w:val="0"/>
      <w:marTop w:val="0"/>
      <w:marBottom w:val="0"/>
      <w:divBdr>
        <w:top w:val="none" w:sz="0" w:space="0" w:color="auto"/>
        <w:left w:val="none" w:sz="0" w:space="0" w:color="auto"/>
        <w:bottom w:val="none" w:sz="0" w:space="0" w:color="auto"/>
        <w:right w:val="none" w:sz="0" w:space="0" w:color="auto"/>
      </w:divBdr>
    </w:div>
    <w:div w:id="1297294593">
      <w:bodyDiv w:val="1"/>
      <w:marLeft w:val="0"/>
      <w:marRight w:val="0"/>
      <w:marTop w:val="0"/>
      <w:marBottom w:val="0"/>
      <w:divBdr>
        <w:top w:val="none" w:sz="0" w:space="0" w:color="auto"/>
        <w:left w:val="none" w:sz="0" w:space="0" w:color="auto"/>
        <w:bottom w:val="none" w:sz="0" w:space="0" w:color="auto"/>
        <w:right w:val="none" w:sz="0" w:space="0" w:color="auto"/>
      </w:divBdr>
    </w:div>
    <w:div w:id="1306737826">
      <w:bodyDiv w:val="1"/>
      <w:marLeft w:val="0"/>
      <w:marRight w:val="0"/>
      <w:marTop w:val="0"/>
      <w:marBottom w:val="0"/>
      <w:divBdr>
        <w:top w:val="none" w:sz="0" w:space="0" w:color="auto"/>
        <w:left w:val="none" w:sz="0" w:space="0" w:color="auto"/>
        <w:bottom w:val="none" w:sz="0" w:space="0" w:color="auto"/>
        <w:right w:val="none" w:sz="0" w:space="0" w:color="auto"/>
      </w:divBdr>
    </w:div>
    <w:div w:id="1359892977">
      <w:bodyDiv w:val="1"/>
      <w:marLeft w:val="0"/>
      <w:marRight w:val="0"/>
      <w:marTop w:val="0"/>
      <w:marBottom w:val="0"/>
      <w:divBdr>
        <w:top w:val="none" w:sz="0" w:space="0" w:color="auto"/>
        <w:left w:val="none" w:sz="0" w:space="0" w:color="auto"/>
        <w:bottom w:val="none" w:sz="0" w:space="0" w:color="auto"/>
        <w:right w:val="none" w:sz="0" w:space="0" w:color="auto"/>
      </w:divBdr>
      <w:divsChild>
        <w:div w:id="763501023">
          <w:marLeft w:val="0"/>
          <w:marRight w:val="0"/>
          <w:marTop w:val="0"/>
          <w:marBottom w:val="0"/>
          <w:divBdr>
            <w:top w:val="none" w:sz="0" w:space="0" w:color="auto"/>
            <w:left w:val="none" w:sz="0" w:space="0" w:color="auto"/>
            <w:bottom w:val="none" w:sz="0" w:space="0" w:color="auto"/>
            <w:right w:val="none" w:sz="0" w:space="0" w:color="auto"/>
          </w:divBdr>
          <w:divsChild>
            <w:div w:id="1045762364">
              <w:marLeft w:val="0"/>
              <w:marRight w:val="0"/>
              <w:marTop w:val="0"/>
              <w:marBottom w:val="0"/>
              <w:divBdr>
                <w:top w:val="none" w:sz="0" w:space="0" w:color="auto"/>
                <w:left w:val="none" w:sz="0" w:space="0" w:color="auto"/>
                <w:bottom w:val="none" w:sz="0" w:space="0" w:color="auto"/>
                <w:right w:val="none" w:sz="0" w:space="0" w:color="auto"/>
              </w:divBdr>
            </w:div>
          </w:divsChild>
        </w:div>
        <w:div w:id="935671160">
          <w:marLeft w:val="0"/>
          <w:marRight w:val="0"/>
          <w:marTop w:val="0"/>
          <w:marBottom w:val="0"/>
          <w:divBdr>
            <w:top w:val="none" w:sz="0" w:space="0" w:color="auto"/>
            <w:left w:val="none" w:sz="0" w:space="0" w:color="auto"/>
            <w:bottom w:val="none" w:sz="0" w:space="0" w:color="auto"/>
            <w:right w:val="none" w:sz="0" w:space="0" w:color="auto"/>
          </w:divBdr>
          <w:divsChild>
            <w:div w:id="54165299">
              <w:marLeft w:val="0"/>
              <w:marRight w:val="0"/>
              <w:marTop w:val="0"/>
              <w:marBottom w:val="0"/>
              <w:divBdr>
                <w:top w:val="none" w:sz="0" w:space="0" w:color="auto"/>
                <w:left w:val="none" w:sz="0" w:space="0" w:color="auto"/>
                <w:bottom w:val="none" w:sz="0" w:space="0" w:color="auto"/>
                <w:right w:val="none" w:sz="0" w:space="0" w:color="auto"/>
              </w:divBdr>
              <w:divsChild>
                <w:div w:id="363945577">
                  <w:marLeft w:val="0"/>
                  <w:marRight w:val="0"/>
                  <w:marTop w:val="0"/>
                  <w:marBottom w:val="0"/>
                  <w:divBdr>
                    <w:top w:val="none" w:sz="0" w:space="0" w:color="auto"/>
                    <w:left w:val="none" w:sz="0" w:space="0" w:color="auto"/>
                    <w:bottom w:val="none" w:sz="0" w:space="0" w:color="auto"/>
                    <w:right w:val="none" w:sz="0" w:space="0" w:color="auto"/>
                  </w:divBdr>
                </w:div>
              </w:divsChild>
            </w:div>
            <w:div w:id="872839241">
              <w:marLeft w:val="0"/>
              <w:marRight w:val="0"/>
              <w:marTop w:val="0"/>
              <w:marBottom w:val="0"/>
              <w:divBdr>
                <w:top w:val="none" w:sz="0" w:space="0" w:color="auto"/>
                <w:left w:val="none" w:sz="0" w:space="0" w:color="auto"/>
                <w:bottom w:val="none" w:sz="0" w:space="0" w:color="auto"/>
                <w:right w:val="none" w:sz="0" w:space="0" w:color="auto"/>
              </w:divBdr>
              <w:divsChild>
                <w:div w:id="876548756">
                  <w:marLeft w:val="0"/>
                  <w:marRight w:val="0"/>
                  <w:marTop w:val="0"/>
                  <w:marBottom w:val="0"/>
                  <w:divBdr>
                    <w:top w:val="none" w:sz="0" w:space="0" w:color="auto"/>
                    <w:left w:val="none" w:sz="0" w:space="0" w:color="auto"/>
                    <w:bottom w:val="none" w:sz="0" w:space="0" w:color="auto"/>
                    <w:right w:val="none" w:sz="0" w:space="0" w:color="auto"/>
                  </w:divBdr>
                  <w:divsChild>
                    <w:div w:id="14739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6410">
              <w:marLeft w:val="0"/>
              <w:marRight w:val="0"/>
              <w:marTop w:val="0"/>
              <w:marBottom w:val="0"/>
              <w:divBdr>
                <w:top w:val="none" w:sz="0" w:space="0" w:color="auto"/>
                <w:left w:val="none" w:sz="0" w:space="0" w:color="auto"/>
                <w:bottom w:val="none" w:sz="0" w:space="0" w:color="auto"/>
                <w:right w:val="none" w:sz="0" w:space="0" w:color="auto"/>
              </w:divBdr>
              <w:divsChild>
                <w:div w:id="296760468">
                  <w:marLeft w:val="0"/>
                  <w:marRight w:val="0"/>
                  <w:marTop w:val="0"/>
                  <w:marBottom w:val="0"/>
                  <w:divBdr>
                    <w:top w:val="none" w:sz="0" w:space="0" w:color="auto"/>
                    <w:left w:val="none" w:sz="0" w:space="0" w:color="auto"/>
                    <w:bottom w:val="none" w:sz="0" w:space="0" w:color="auto"/>
                    <w:right w:val="none" w:sz="0" w:space="0" w:color="auto"/>
                  </w:divBdr>
                  <w:divsChild>
                    <w:div w:id="4807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7484">
              <w:marLeft w:val="0"/>
              <w:marRight w:val="0"/>
              <w:marTop w:val="0"/>
              <w:marBottom w:val="0"/>
              <w:divBdr>
                <w:top w:val="none" w:sz="0" w:space="0" w:color="auto"/>
                <w:left w:val="none" w:sz="0" w:space="0" w:color="auto"/>
                <w:bottom w:val="none" w:sz="0" w:space="0" w:color="auto"/>
                <w:right w:val="none" w:sz="0" w:space="0" w:color="auto"/>
              </w:divBdr>
              <w:divsChild>
                <w:div w:id="2012176092">
                  <w:marLeft w:val="0"/>
                  <w:marRight w:val="0"/>
                  <w:marTop w:val="0"/>
                  <w:marBottom w:val="0"/>
                  <w:divBdr>
                    <w:top w:val="none" w:sz="0" w:space="0" w:color="auto"/>
                    <w:left w:val="none" w:sz="0" w:space="0" w:color="auto"/>
                    <w:bottom w:val="none" w:sz="0" w:space="0" w:color="auto"/>
                    <w:right w:val="none" w:sz="0" w:space="0" w:color="auto"/>
                  </w:divBdr>
                  <w:divsChild>
                    <w:div w:id="321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20556">
              <w:marLeft w:val="0"/>
              <w:marRight w:val="0"/>
              <w:marTop w:val="0"/>
              <w:marBottom w:val="0"/>
              <w:divBdr>
                <w:top w:val="none" w:sz="0" w:space="0" w:color="auto"/>
                <w:left w:val="none" w:sz="0" w:space="0" w:color="auto"/>
                <w:bottom w:val="none" w:sz="0" w:space="0" w:color="auto"/>
                <w:right w:val="none" w:sz="0" w:space="0" w:color="auto"/>
              </w:divBdr>
              <w:divsChild>
                <w:div w:id="316346909">
                  <w:marLeft w:val="0"/>
                  <w:marRight w:val="0"/>
                  <w:marTop w:val="0"/>
                  <w:marBottom w:val="0"/>
                  <w:divBdr>
                    <w:top w:val="none" w:sz="0" w:space="0" w:color="auto"/>
                    <w:left w:val="none" w:sz="0" w:space="0" w:color="auto"/>
                    <w:bottom w:val="none" w:sz="0" w:space="0" w:color="auto"/>
                    <w:right w:val="none" w:sz="0" w:space="0" w:color="auto"/>
                  </w:divBdr>
                  <w:divsChild>
                    <w:div w:id="1839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7115">
              <w:marLeft w:val="0"/>
              <w:marRight w:val="0"/>
              <w:marTop w:val="0"/>
              <w:marBottom w:val="0"/>
              <w:divBdr>
                <w:top w:val="none" w:sz="0" w:space="0" w:color="auto"/>
                <w:left w:val="none" w:sz="0" w:space="0" w:color="auto"/>
                <w:bottom w:val="none" w:sz="0" w:space="0" w:color="auto"/>
                <w:right w:val="none" w:sz="0" w:space="0" w:color="auto"/>
              </w:divBdr>
              <w:divsChild>
                <w:div w:id="788009848">
                  <w:marLeft w:val="0"/>
                  <w:marRight w:val="0"/>
                  <w:marTop w:val="0"/>
                  <w:marBottom w:val="0"/>
                  <w:divBdr>
                    <w:top w:val="none" w:sz="0" w:space="0" w:color="auto"/>
                    <w:left w:val="none" w:sz="0" w:space="0" w:color="auto"/>
                    <w:bottom w:val="none" w:sz="0" w:space="0" w:color="auto"/>
                    <w:right w:val="none" w:sz="0" w:space="0" w:color="auto"/>
                  </w:divBdr>
                  <w:divsChild>
                    <w:div w:id="7310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6346">
          <w:marLeft w:val="0"/>
          <w:marRight w:val="0"/>
          <w:marTop w:val="0"/>
          <w:marBottom w:val="0"/>
          <w:divBdr>
            <w:top w:val="none" w:sz="0" w:space="0" w:color="auto"/>
            <w:left w:val="none" w:sz="0" w:space="0" w:color="auto"/>
            <w:bottom w:val="none" w:sz="0" w:space="0" w:color="auto"/>
            <w:right w:val="none" w:sz="0" w:space="0" w:color="auto"/>
          </w:divBdr>
          <w:divsChild>
            <w:div w:id="65613847">
              <w:marLeft w:val="0"/>
              <w:marRight w:val="0"/>
              <w:marTop w:val="0"/>
              <w:marBottom w:val="0"/>
              <w:divBdr>
                <w:top w:val="none" w:sz="0" w:space="0" w:color="auto"/>
                <w:left w:val="none" w:sz="0" w:space="0" w:color="auto"/>
                <w:bottom w:val="none" w:sz="0" w:space="0" w:color="auto"/>
                <w:right w:val="none" w:sz="0" w:space="0" w:color="auto"/>
              </w:divBdr>
              <w:divsChild>
                <w:div w:id="5334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7335">
      <w:bodyDiv w:val="1"/>
      <w:marLeft w:val="0"/>
      <w:marRight w:val="0"/>
      <w:marTop w:val="0"/>
      <w:marBottom w:val="0"/>
      <w:divBdr>
        <w:top w:val="none" w:sz="0" w:space="0" w:color="auto"/>
        <w:left w:val="none" w:sz="0" w:space="0" w:color="auto"/>
        <w:bottom w:val="none" w:sz="0" w:space="0" w:color="auto"/>
        <w:right w:val="none" w:sz="0" w:space="0" w:color="auto"/>
      </w:divBdr>
    </w:div>
    <w:div w:id="1385983198">
      <w:bodyDiv w:val="1"/>
      <w:marLeft w:val="0"/>
      <w:marRight w:val="0"/>
      <w:marTop w:val="0"/>
      <w:marBottom w:val="0"/>
      <w:divBdr>
        <w:top w:val="none" w:sz="0" w:space="0" w:color="auto"/>
        <w:left w:val="none" w:sz="0" w:space="0" w:color="auto"/>
        <w:bottom w:val="none" w:sz="0" w:space="0" w:color="auto"/>
        <w:right w:val="none" w:sz="0" w:space="0" w:color="auto"/>
      </w:divBdr>
      <w:divsChild>
        <w:div w:id="614214244">
          <w:marLeft w:val="0"/>
          <w:marRight w:val="0"/>
          <w:marTop w:val="0"/>
          <w:marBottom w:val="0"/>
          <w:divBdr>
            <w:top w:val="none" w:sz="0" w:space="0" w:color="auto"/>
            <w:left w:val="none" w:sz="0" w:space="0" w:color="auto"/>
            <w:bottom w:val="none" w:sz="0" w:space="0" w:color="auto"/>
            <w:right w:val="none" w:sz="0" w:space="0" w:color="auto"/>
          </w:divBdr>
          <w:divsChild>
            <w:div w:id="271935239">
              <w:marLeft w:val="0"/>
              <w:marRight w:val="0"/>
              <w:marTop w:val="0"/>
              <w:marBottom w:val="0"/>
              <w:divBdr>
                <w:top w:val="none" w:sz="0" w:space="0" w:color="C0C0C0"/>
                <w:left w:val="none" w:sz="0" w:space="0" w:color="C0C0C0"/>
                <w:bottom w:val="none" w:sz="0" w:space="0" w:color="C0C0C0"/>
                <w:right w:val="none" w:sz="0" w:space="0" w:color="C0C0C0"/>
              </w:divBdr>
              <w:divsChild>
                <w:div w:id="90706385">
                  <w:marLeft w:val="0"/>
                  <w:marRight w:val="0"/>
                  <w:marTop w:val="0"/>
                  <w:marBottom w:val="0"/>
                  <w:divBdr>
                    <w:top w:val="none" w:sz="0" w:space="0" w:color="auto"/>
                    <w:left w:val="none" w:sz="0" w:space="0" w:color="auto"/>
                    <w:bottom w:val="none" w:sz="0" w:space="0" w:color="auto"/>
                    <w:right w:val="none" w:sz="0" w:space="0" w:color="auto"/>
                  </w:divBdr>
                  <w:divsChild>
                    <w:div w:id="669794088">
                      <w:marLeft w:val="0"/>
                      <w:marRight w:val="0"/>
                      <w:marTop w:val="0"/>
                      <w:marBottom w:val="0"/>
                      <w:divBdr>
                        <w:top w:val="none" w:sz="0" w:space="0" w:color="auto"/>
                        <w:left w:val="none" w:sz="0" w:space="0" w:color="auto"/>
                        <w:bottom w:val="none" w:sz="0" w:space="0" w:color="auto"/>
                        <w:right w:val="none" w:sz="0" w:space="0" w:color="auto"/>
                      </w:divBdr>
                      <w:divsChild>
                        <w:div w:id="282805654">
                          <w:marLeft w:val="150"/>
                          <w:marRight w:val="150"/>
                          <w:marTop w:val="150"/>
                          <w:marBottom w:val="150"/>
                          <w:divBdr>
                            <w:top w:val="none" w:sz="0" w:space="0" w:color="auto"/>
                            <w:left w:val="none" w:sz="0" w:space="0" w:color="auto"/>
                            <w:bottom w:val="none" w:sz="0" w:space="0" w:color="auto"/>
                            <w:right w:val="none" w:sz="0" w:space="0" w:color="auto"/>
                          </w:divBdr>
                          <w:divsChild>
                            <w:div w:id="1583444340">
                              <w:marLeft w:val="0"/>
                              <w:marRight w:val="0"/>
                              <w:marTop w:val="0"/>
                              <w:marBottom w:val="0"/>
                              <w:divBdr>
                                <w:top w:val="none" w:sz="0" w:space="0" w:color="auto"/>
                                <w:left w:val="none" w:sz="0" w:space="0" w:color="auto"/>
                                <w:bottom w:val="none" w:sz="0" w:space="0" w:color="auto"/>
                                <w:right w:val="none" w:sz="0" w:space="0" w:color="auto"/>
                              </w:divBdr>
                              <w:divsChild>
                                <w:div w:id="3735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159068">
      <w:bodyDiv w:val="1"/>
      <w:marLeft w:val="0"/>
      <w:marRight w:val="0"/>
      <w:marTop w:val="0"/>
      <w:marBottom w:val="0"/>
      <w:divBdr>
        <w:top w:val="none" w:sz="0" w:space="0" w:color="auto"/>
        <w:left w:val="none" w:sz="0" w:space="0" w:color="auto"/>
        <w:bottom w:val="none" w:sz="0" w:space="0" w:color="auto"/>
        <w:right w:val="none" w:sz="0" w:space="0" w:color="auto"/>
      </w:divBdr>
    </w:div>
    <w:div w:id="1418138827">
      <w:bodyDiv w:val="1"/>
      <w:marLeft w:val="0"/>
      <w:marRight w:val="0"/>
      <w:marTop w:val="0"/>
      <w:marBottom w:val="0"/>
      <w:divBdr>
        <w:top w:val="none" w:sz="0" w:space="0" w:color="auto"/>
        <w:left w:val="none" w:sz="0" w:space="0" w:color="auto"/>
        <w:bottom w:val="none" w:sz="0" w:space="0" w:color="auto"/>
        <w:right w:val="none" w:sz="0" w:space="0" w:color="auto"/>
      </w:divBdr>
    </w:div>
    <w:div w:id="1574045878">
      <w:bodyDiv w:val="1"/>
      <w:marLeft w:val="0"/>
      <w:marRight w:val="0"/>
      <w:marTop w:val="0"/>
      <w:marBottom w:val="0"/>
      <w:divBdr>
        <w:top w:val="none" w:sz="0" w:space="0" w:color="auto"/>
        <w:left w:val="none" w:sz="0" w:space="0" w:color="auto"/>
        <w:bottom w:val="none" w:sz="0" w:space="0" w:color="auto"/>
        <w:right w:val="none" w:sz="0" w:space="0" w:color="auto"/>
      </w:divBdr>
    </w:div>
    <w:div w:id="1577401840">
      <w:bodyDiv w:val="1"/>
      <w:marLeft w:val="0"/>
      <w:marRight w:val="0"/>
      <w:marTop w:val="0"/>
      <w:marBottom w:val="0"/>
      <w:divBdr>
        <w:top w:val="none" w:sz="0" w:space="0" w:color="auto"/>
        <w:left w:val="none" w:sz="0" w:space="0" w:color="auto"/>
        <w:bottom w:val="none" w:sz="0" w:space="0" w:color="auto"/>
        <w:right w:val="none" w:sz="0" w:space="0" w:color="auto"/>
      </w:divBdr>
    </w:div>
    <w:div w:id="1611890198">
      <w:bodyDiv w:val="1"/>
      <w:marLeft w:val="0"/>
      <w:marRight w:val="0"/>
      <w:marTop w:val="0"/>
      <w:marBottom w:val="0"/>
      <w:divBdr>
        <w:top w:val="none" w:sz="0" w:space="0" w:color="auto"/>
        <w:left w:val="none" w:sz="0" w:space="0" w:color="auto"/>
        <w:bottom w:val="none" w:sz="0" w:space="0" w:color="auto"/>
        <w:right w:val="none" w:sz="0" w:space="0" w:color="auto"/>
      </w:divBdr>
    </w:div>
    <w:div w:id="1624538530">
      <w:bodyDiv w:val="1"/>
      <w:marLeft w:val="0"/>
      <w:marRight w:val="0"/>
      <w:marTop w:val="0"/>
      <w:marBottom w:val="0"/>
      <w:divBdr>
        <w:top w:val="none" w:sz="0" w:space="0" w:color="auto"/>
        <w:left w:val="none" w:sz="0" w:space="0" w:color="auto"/>
        <w:bottom w:val="none" w:sz="0" w:space="0" w:color="auto"/>
        <w:right w:val="none" w:sz="0" w:space="0" w:color="auto"/>
      </w:divBdr>
    </w:div>
    <w:div w:id="1645236433">
      <w:bodyDiv w:val="1"/>
      <w:marLeft w:val="0"/>
      <w:marRight w:val="0"/>
      <w:marTop w:val="0"/>
      <w:marBottom w:val="0"/>
      <w:divBdr>
        <w:top w:val="none" w:sz="0" w:space="0" w:color="auto"/>
        <w:left w:val="none" w:sz="0" w:space="0" w:color="auto"/>
        <w:bottom w:val="none" w:sz="0" w:space="0" w:color="auto"/>
        <w:right w:val="none" w:sz="0" w:space="0" w:color="auto"/>
      </w:divBdr>
    </w:div>
    <w:div w:id="1671978714">
      <w:bodyDiv w:val="1"/>
      <w:marLeft w:val="0"/>
      <w:marRight w:val="0"/>
      <w:marTop w:val="0"/>
      <w:marBottom w:val="0"/>
      <w:divBdr>
        <w:top w:val="none" w:sz="0" w:space="0" w:color="auto"/>
        <w:left w:val="none" w:sz="0" w:space="0" w:color="auto"/>
        <w:bottom w:val="none" w:sz="0" w:space="0" w:color="auto"/>
        <w:right w:val="none" w:sz="0" w:space="0" w:color="auto"/>
      </w:divBdr>
    </w:div>
    <w:div w:id="1681464254">
      <w:bodyDiv w:val="1"/>
      <w:marLeft w:val="0"/>
      <w:marRight w:val="0"/>
      <w:marTop w:val="0"/>
      <w:marBottom w:val="0"/>
      <w:divBdr>
        <w:top w:val="none" w:sz="0" w:space="0" w:color="auto"/>
        <w:left w:val="none" w:sz="0" w:space="0" w:color="auto"/>
        <w:bottom w:val="none" w:sz="0" w:space="0" w:color="auto"/>
        <w:right w:val="none" w:sz="0" w:space="0" w:color="auto"/>
      </w:divBdr>
    </w:div>
    <w:div w:id="1719280026">
      <w:bodyDiv w:val="1"/>
      <w:marLeft w:val="0"/>
      <w:marRight w:val="0"/>
      <w:marTop w:val="0"/>
      <w:marBottom w:val="0"/>
      <w:divBdr>
        <w:top w:val="none" w:sz="0" w:space="0" w:color="auto"/>
        <w:left w:val="none" w:sz="0" w:space="0" w:color="auto"/>
        <w:bottom w:val="none" w:sz="0" w:space="0" w:color="auto"/>
        <w:right w:val="none" w:sz="0" w:space="0" w:color="auto"/>
      </w:divBdr>
    </w:div>
    <w:div w:id="1764841279">
      <w:bodyDiv w:val="1"/>
      <w:marLeft w:val="0"/>
      <w:marRight w:val="0"/>
      <w:marTop w:val="0"/>
      <w:marBottom w:val="0"/>
      <w:divBdr>
        <w:top w:val="none" w:sz="0" w:space="0" w:color="auto"/>
        <w:left w:val="none" w:sz="0" w:space="0" w:color="auto"/>
        <w:bottom w:val="none" w:sz="0" w:space="0" w:color="auto"/>
        <w:right w:val="none" w:sz="0" w:space="0" w:color="auto"/>
      </w:divBdr>
    </w:div>
    <w:div w:id="1811481459">
      <w:bodyDiv w:val="1"/>
      <w:marLeft w:val="0"/>
      <w:marRight w:val="0"/>
      <w:marTop w:val="0"/>
      <w:marBottom w:val="0"/>
      <w:divBdr>
        <w:top w:val="none" w:sz="0" w:space="0" w:color="auto"/>
        <w:left w:val="none" w:sz="0" w:space="0" w:color="auto"/>
        <w:bottom w:val="none" w:sz="0" w:space="0" w:color="auto"/>
        <w:right w:val="none" w:sz="0" w:space="0" w:color="auto"/>
      </w:divBdr>
    </w:div>
    <w:div w:id="1824393593">
      <w:bodyDiv w:val="1"/>
      <w:marLeft w:val="0"/>
      <w:marRight w:val="0"/>
      <w:marTop w:val="0"/>
      <w:marBottom w:val="0"/>
      <w:divBdr>
        <w:top w:val="none" w:sz="0" w:space="0" w:color="auto"/>
        <w:left w:val="none" w:sz="0" w:space="0" w:color="auto"/>
        <w:bottom w:val="none" w:sz="0" w:space="0" w:color="auto"/>
        <w:right w:val="none" w:sz="0" w:space="0" w:color="auto"/>
      </w:divBdr>
    </w:div>
    <w:div w:id="1825776121">
      <w:bodyDiv w:val="1"/>
      <w:marLeft w:val="0"/>
      <w:marRight w:val="0"/>
      <w:marTop w:val="0"/>
      <w:marBottom w:val="0"/>
      <w:divBdr>
        <w:top w:val="none" w:sz="0" w:space="0" w:color="auto"/>
        <w:left w:val="none" w:sz="0" w:space="0" w:color="auto"/>
        <w:bottom w:val="none" w:sz="0" w:space="0" w:color="auto"/>
        <w:right w:val="none" w:sz="0" w:space="0" w:color="auto"/>
      </w:divBdr>
    </w:div>
    <w:div w:id="1872255273">
      <w:bodyDiv w:val="1"/>
      <w:marLeft w:val="0"/>
      <w:marRight w:val="0"/>
      <w:marTop w:val="0"/>
      <w:marBottom w:val="0"/>
      <w:divBdr>
        <w:top w:val="none" w:sz="0" w:space="0" w:color="auto"/>
        <w:left w:val="none" w:sz="0" w:space="0" w:color="auto"/>
        <w:bottom w:val="none" w:sz="0" w:space="0" w:color="auto"/>
        <w:right w:val="none" w:sz="0" w:space="0" w:color="auto"/>
      </w:divBdr>
    </w:div>
    <w:div w:id="1880705224">
      <w:bodyDiv w:val="1"/>
      <w:marLeft w:val="0"/>
      <w:marRight w:val="0"/>
      <w:marTop w:val="0"/>
      <w:marBottom w:val="0"/>
      <w:divBdr>
        <w:top w:val="none" w:sz="0" w:space="0" w:color="auto"/>
        <w:left w:val="none" w:sz="0" w:space="0" w:color="auto"/>
        <w:bottom w:val="none" w:sz="0" w:space="0" w:color="auto"/>
        <w:right w:val="none" w:sz="0" w:space="0" w:color="auto"/>
      </w:divBdr>
    </w:div>
    <w:div w:id="1910336434">
      <w:bodyDiv w:val="1"/>
      <w:marLeft w:val="0"/>
      <w:marRight w:val="0"/>
      <w:marTop w:val="0"/>
      <w:marBottom w:val="0"/>
      <w:divBdr>
        <w:top w:val="none" w:sz="0" w:space="0" w:color="auto"/>
        <w:left w:val="none" w:sz="0" w:space="0" w:color="auto"/>
        <w:bottom w:val="none" w:sz="0" w:space="0" w:color="auto"/>
        <w:right w:val="none" w:sz="0" w:space="0" w:color="auto"/>
      </w:divBdr>
    </w:div>
    <w:div w:id="1922761863">
      <w:bodyDiv w:val="1"/>
      <w:marLeft w:val="0"/>
      <w:marRight w:val="0"/>
      <w:marTop w:val="0"/>
      <w:marBottom w:val="0"/>
      <w:divBdr>
        <w:top w:val="none" w:sz="0" w:space="0" w:color="auto"/>
        <w:left w:val="none" w:sz="0" w:space="0" w:color="auto"/>
        <w:bottom w:val="none" w:sz="0" w:space="0" w:color="auto"/>
        <w:right w:val="none" w:sz="0" w:space="0" w:color="auto"/>
      </w:divBdr>
    </w:div>
    <w:div w:id="1946382222">
      <w:bodyDiv w:val="1"/>
      <w:marLeft w:val="0"/>
      <w:marRight w:val="0"/>
      <w:marTop w:val="0"/>
      <w:marBottom w:val="0"/>
      <w:divBdr>
        <w:top w:val="none" w:sz="0" w:space="0" w:color="auto"/>
        <w:left w:val="none" w:sz="0" w:space="0" w:color="auto"/>
        <w:bottom w:val="none" w:sz="0" w:space="0" w:color="auto"/>
        <w:right w:val="none" w:sz="0" w:space="0" w:color="auto"/>
      </w:divBdr>
    </w:div>
    <w:div w:id="2002805667">
      <w:bodyDiv w:val="1"/>
      <w:marLeft w:val="0"/>
      <w:marRight w:val="0"/>
      <w:marTop w:val="0"/>
      <w:marBottom w:val="0"/>
      <w:divBdr>
        <w:top w:val="none" w:sz="0" w:space="0" w:color="auto"/>
        <w:left w:val="none" w:sz="0" w:space="0" w:color="auto"/>
        <w:bottom w:val="none" w:sz="0" w:space="0" w:color="auto"/>
        <w:right w:val="none" w:sz="0" w:space="0" w:color="auto"/>
      </w:divBdr>
    </w:div>
    <w:div w:id="2018578868">
      <w:bodyDiv w:val="1"/>
      <w:marLeft w:val="0"/>
      <w:marRight w:val="0"/>
      <w:marTop w:val="0"/>
      <w:marBottom w:val="0"/>
      <w:divBdr>
        <w:top w:val="none" w:sz="0" w:space="0" w:color="auto"/>
        <w:left w:val="none" w:sz="0" w:space="0" w:color="auto"/>
        <w:bottom w:val="none" w:sz="0" w:space="0" w:color="auto"/>
        <w:right w:val="none" w:sz="0" w:space="0" w:color="auto"/>
      </w:divBdr>
    </w:div>
    <w:div w:id="2047948267">
      <w:bodyDiv w:val="1"/>
      <w:marLeft w:val="0"/>
      <w:marRight w:val="0"/>
      <w:marTop w:val="0"/>
      <w:marBottom w:val="0"/>
      <w:divBdr>
        <w:top w:val="none" w:sz="0" w:space="0" w:color="auto"/>
        <w:left w:val="none" w:sz="0" w:space="0" w:color="auto"/>
        <w:bottom w:val="none" w:sz="0" w:space="0" w:color="auto"/>
        <w:right w:val="none" w:sz="0" w:space="0" w:color="auto"/>
      </w:divBdr>
    </w:div>
    <w:div w:id="2082367717">
      <w:bodyDiv w:val="1"/>
      <w:marLeft w:val="0"/>
      <w:marRight w:val="0"/>
      <w:marTop w:val="0"/>
      <w:marBottom w:val="0"/>
      <w:divBdr>
        <w:top w:val="none" w:sz="0" w:space="0" w:color="auto"/>
        <w:left w:val="none" w:sz="0" w:space="0" w:color="auto"/>
        <w:bottom w:val="none" w:sz="0" w:space="0" w:color="auto"/>
        <w:right w:val="none" w:sz="0" w:space="0" w:color="auto"/>
      </w:divBdr>
    </w:div>
    <w:div w:id="2104380134">
      <w:bodyDiv w:val="1"/>
      <w:marLeft w:val="0"/>
      <w:marRight w:val="0"/>
      <w:marTop w:val="0"/>
      <w:marBottom w:val="0"/>
      <w:divBdr>
        <w:top w:val="none" w:sz="0" w:space="0" w:color="auto"/>
        <w:left w:val="none" w:sz="0" w:space="0" w:color="auto"/>
        <w:bottom w:val="none" w:sz="0" w:space="0" w:color="auto"/>
        <w:right w:val="none" w:sz="0" w:space="0" w:color="auto"/>
      </w:divBdr>
    </w:div>
    <w:div w:id="21066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70ce261c1b024f59"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footer" Target="footer6.xml"/><Relationship Id="rId28" Type="http://schemas.microsoft.com/office/2019/05/relationships/documenttasks" Target="documenttasks/documenttasks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omptroller.nyc.gov/wp-content/uploads/2022/11/5-Notes-to-Financial-Statements-and-Required-Supplementary-Information_FY2022.pdf" TargetMode="External"/><Relationship Id="rId13" Type="http://schemas.openxmlformats.org/officeDocument/2006/relationships/hyperlink" Target="https://belonging.berkeley.edu/sites/default/files/haasinstituterefundamerica_doublybound_cost_of_issuingbonds_publish.pdf" TargetMode="External"/><Relationship Id="rId18" Type="http://schemas.openxmlformats.org/officeDocument/2006/relationships/hyperlink" Target="https://www.yesmagazine.org/issue/world-we-want/2020/02/19/public-bank-north-dakota" TargetMode="External"/><Relationship Id="rId26" Type="http://schemas.openxmlformats.org/officeDocument/2006/relationships/hyperlink" Target="https://www.neweconomynyc.org/wp-content/uploads/2023/03/3.16.23-Letter-to-Leadership-re-Signature-public-banking.pdf" TargetMode="External"/><Relationship Id="rId3" Type="http://schemas.openxmlformats.org/officeDocument/2006/relationships/hyperlink" Target="https://www1.nyc.gov/site/finance/about/divisions.page" TargetMode="External"/><Relationship Id="rId21" Type="http://schemas.openxmlformats.org/officeDocument/2006/relationships/hyperlink" Target="https://www.investopedia.com/what-happened-to-signature-bank-7370710" TargetMode="External"/><Relationship Id="rId7" Type="http://schemas.openxmlformats.org/officeDocument/2006/relationships/hyperlink" Target="https://a856-cityrecord.nyc.gov/RequestDetail/20201030009" TargetMode="External"/><Relationship Id="rId12" Type="http://schemas.openxmlformats.org/officeDocument/2006/relationships/hyperlink" Target="https://a856-cityrecord.nyc.gov/RequestDetail/20220630128" TargetMode="External"/><Relationship Id="rId17" Type="http://schemas.openxmlformats.org/officeDocument/2006/relationships/hyperlink" Target="https://bnd.nd.gov/history-of-bnd/" TargetMode="External"/><Relationship Id="rId25" Type="http://schemas.openxmlformats.org/officeDocument/2006/relationships/hyperlink" Target="https://thenextsystem.org/learn/stories/campaign-public-banks-coast-coast" TargetMode="External"/><Relationship Id="rId2" Type="http://schemas.openxmlformats.org/officeDocument/2006/relationships/hyperlink" Target="https://dart.deloitte.com/USDART/object/cf642af8-0da6-11e7-902e-1ff44cd8867d/resource/2_345874.pdf" TargetMode="External"/><Relationship Id="rId16" Type="http://schemas.openxmlformats.org/officeDocument/2006/relationships/hyperlink" Target="https://ilsr.org/rule/bank-of-north-dakota-2/" TargetMode="External"/><Relationship Id="rId20" Type="http://schemas.openxmlformats.org/officeDocument/2006/relationships/hyperlink" Target="https://bnd.nd.gov/pdf/2021_bnd_annual_report.pdf" TargetMode="External"/><Relationship Id="rId29" Type="http://schemas.openxmlformats.org/officeDocument/2006/relationships/hyperlink" Target="https://www.calbankers.com/press-release/california-bankers-association-response-signing-ab-857" TargetMode="External"/><Relationship Id="rId1" Type="http://schemas.openxmlformats.org/officeDocument/2006/relationships/hyperlink" Target="https://comptroller.nyc.gov/reports/new-york-city-quarterly-cash-report/" TargetMode="External"/><Relationship Id="rId6" Type="http://schemas.openxmlformats.org/officeDocument/2006/relationships/hyperlink" Target="https://comptroller.nyc.gov/reports/new-york-city-quarterly-cash-report/" TargetMode="External"/><Relationship Id="rId11" Type="http://schemas.openxmlformats.org/officeDocument/2006/relationships/hyperlink" Target="https://a856-cityrecord.nyc.gov/RequestDetail/20220502114" TargetMode="External"/><Relationship Id="rId24" Type="http://schemas.openxmlformats.org/officeDocument/2006/relationships/hyperlink" Target="https://www.publicbanknyc.org/faq" TargetMode="External"/><Relationship Id="rId5" Type="http://schemas.openxmlformats.org/officeDocument/2006/relationships/hyperlink" Target="https://comptroller.nyc.gov/wp-content/uploads/documents/QCR-4Q19-Final.pdf" TargetMode="External"/><Relationship Id="rId15" Type="http://schemas.openxmlformats.org/officeDocument/2006/relationships/hyperlink" Target="https://daily.jstor.org/public-banks-an-american-tradition/" TargetMode="External"/><Relationship Id="rId23" Type="http://schemas.openxmlformats.org/officeDocument/2006/relationships/hyperlink" Target="https://nyassembly.gov/leg/?default_fld=&amp;leg_video=&amp;bn=A03352&amp;term=&amp;Summary=Y&amp;Memo=Y&amp;Text=Y" TargetMode="External"/><Relationship Id="rId28" Type="http://schemas.openxmlformats.org/officeDocument/2006/relationships/hyperlink" Target="https://www.omb.nd.gov/sites/www/files/documents/financial-transparency/state-budgets/appropbook2021-23.pdf" TargetMode="External"/><Relationship Id="rId10" Type="http://schemas.openxmlformats.org/officeDocument/2006/relationships/hyperlink" Target="https://a856-cityrecord.nyc.gov/RequestDetail/20220526125" TargetMode="External"/><Relationship Id="rId19" Type="http://schemas.openxmlformats.org/officeDocument/2006/relationships/hyperlink" Target="https://bnd.nd.gov/pdf/2020_bnd_annual_report.pdf" TargetMode="External"/><Relationship Id="rId4" Type="http://schemas.openxmlformats.org/officeDocument/2006/relationships/hyperlink" Target="https://comptroller.nyc.gov/wp-content/uploads/documents/QCR_2Q21.pdf" TargetMode="External"/><Relationship Id="rId9" Type="http://schemas.openxmlformats.org/officeDocument/2006/relationships/hyperlink" Target="https://www1.nyc.gov/site/finance/about/procurement-frequently-asked-questions.page" TargetMode="External"/><Relationship Id="rId14" Type="http://schemas.openxmlformats.org/officeDocument/2006/relationships/hyperlink" Target="https://www1.nyc.gov/assets/mocs/downloads/pdf/ppb/UPDATE%20PPB%20RULES_CLEAN_Effective%20February%202020.pdf" TargetMode="External"/><Relationship Id="rId22" Type="http://schemas.openxmlformats.org/officeDocument/2006/relationships/hyperlink" Target="https://www.theverge.com/2023/3/8/23631320/silvergate-wind-down-liquidiation-announcement" TargetMode="External"/><Relationship Id="rId27" Type="http://schemas.openxmlformats.org/officeDocument/2006/relationships/hyperlink" Target="https://www.nyc.gov/assets/omb/downloads/pdf/fp6-22.pdf" TargetMode="External"/><Relationship Id="rId30" Type="http://schemas.openxmlformats.org/officeDocument/2006/relationships/hyperlink" Target="https://www.mckinsey.com/capabilities/risk-and-resilience/our-insights/managing-when-vendor-and-supplier-risk-becomes-your-own" TargetMode="External"/></Relationships>
</file>

<file path=word/documenttasks/documenttasks1.xml><?xml version="1.0" encoding="utf-8"?>
<t:Tasks xmlns:t="http://schemas.microsoft.com/office/tasks/2019/documenttasks">
  <t:Task id="{FB546D8C-DF93-4F29-9B52-A8AA8E8887F6}">
    <t:Anchor>
      <t:Comment id="606873762"/>
    </t:Anchor>
    <t:History>
      <t:Event id="{38D5B245-2627-4D22-ACF3-00D41449A383}" time="2021-04-22T20:59:03Z">
        <t:Attribution userId="S::nbrick@council.nyc.gov::4e41fa63-da2e-45cb-a0fc-48ab8dc38f79" userProvider="AD" userName="Noah Brick"/>
        <t:Anchor>
          <t:Comment id="865515237"/>
        </t:Anchor>
        <t:Create/>
      </t:Event>
      <t:Event id="{4F6C2F13-DCEC-441C-8F14-A6957EB2DCF8}" time="2021-04-22T20:59:03Z">
        <t:Attribution userId="S::nbrick@council.nyc.gov::4e41fa63-da2e-45cb-a0fc-48ab8dc38f79" userProvider="AD" userName="Noah Brick"/>
        <t:Anchor>
          <t:Comment id="865515237"/>
        </t:Anchor>
        <t:Assign userId="S::awilber@council.nyc.gov::38436992-60f4-4298-8263-a6fde32e6bd4" userProvider="AD" userName="Andrew Wilber"/>
      </t:Event>
      <t:Event id="{50FFDACB-08CF-4778-9235-00524CCD475A}" time="2021-04-22T20:59:03Z">
        <t:Attribution userId="S::nbrick@council.nyc.gov::4e41fa63-da2e-45cb-a0fc-48ab8dc38f79" userProvider="AD" userName="Noah Brick"/>
        <t:Anchor>
          <t:Comment id="865515237"/>
        </t:Anchor>
        <t:SetTitle title="@Andrew Wilber"/>
      </t:Event>
    </t:History>
  </t:Task>
  <t:Task id="{C5FD5423-7C0B-4524-9F9D-5238EFE1E640}">
    <t:Anchor>
      <t:Comment id="606946998"/>
    </t:Anchor>
    <t:History>
      <t:Event id="{88408998-6625-4187-B8FD-3F3D48C8AD31}" time="2021-04-23T20:15:00Z">
        <t:Attribution userId="S::rchasan@council.nyc.gov::c032f787-62ef-4d05-b376-6b77a1f1cca6" userProvider="AD" userName="Rebecca Chasan"/>
        <t:Anchor>
          <t:Comment id="609426471"/>
        </t:Anchor>
        <t:Create/>
      </t:Event>
      <t:Event id="{9750E72E-1F08-47CC-9F3C-3B020EE59FCA}" time="2021-04-23T20:15:00Z">
        <t:Attribution userId="S::rchasan@council.nyc.gov::c032f787-62ef-4d05-b376-6b77a1f1cca6" userProvider="AD" userName="Rebecca Chasan"/>
        <t:Anchor>
          <t:Comment id="609426471"/>
        </t:Anchor>
        <t:Assign userId="S::hgerman@council.nyc.gov::6e6e7651-2430-42e3-8474-91c6bdb28933" userProvider="AD" userName="Hector German"/>
      </t:Event>
      <t:Event id="{96CC68E8-4391-4FD8-BC89-ED9B162096EA}" time="2021-04-23T20:15:00Z">
        <t:Attribution userId="S::rchasan@council.nyc.gov::c032f787-62ef-4d05-b376-6b77a1f1cca6" userProvider="AD" userName="Rebecca Chasan"/>
        <t:Anchor>
          <t:Comment id="609426471"/>
        </t:Anchor>
        <t:SetTitle title="@Hector Germa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CAE33-DC62-4CF9-9E9F-F36946F0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6927</Words>
  <Characters>39484</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Chasan, Rebecca</dc:creator>
  <cp:keywords/>
  <cp:lastModifiedBy>DelFranco, Ruthie</cp:lastModifiedBy>
  <cp:revision>2</cp:revision>
  <cp:lastPrinted>2019-09-13T19:16:00Z</cp:lastPrinted>
  <dcterms:created xsi:type="dcterms:W3CDTF">2023-04-18T22:46:00Z</dcterms:created>
  <dcterms:modified xsi:type="dcterms:W3CDTF">2023-04-18T22:46:00Z</dcterms:modified>
</cp:coreProperties>
</file>