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6BD41E" w14:textId="77777777" w:rsidR="00EF323F" w:rsidRPr="00664FF6" w:rsidRDefault="00EF323F" w:rsidP="00EF323F">
      <w:pPr>
        <w:suppressLineNumbers/>
        <w:jc w:val="right"/>
        <w:rPr>
          <w:color w:val="000000"/>
          <w:u w:val="single"/>
        </w:rPr>
      </w:pPr>
      <w:bookmarkStart w:id="0" w:name="_GoBack"/>
      <w:bookmarkEnd w:id="0"/>
      <w:r w:rsidRPr="00664FF6">
        <w:rPr>
          <w:color w:val="000000"/>
          <w:u w:val="single"/>
        </w:rPr>
        <w:t xml:space="preserve">Committee on General Welfare </w:t>
      </w:r>
    </w:p>
    <w:p w14:paraId="70B549EE" w14:textId="77777777" w:rsidR="00EF323F" w:rsidRDefault="00EF323F" w:rsidP="00EF323F">
      <w:pPr>
        <w:suppressLineNumbers/>
        <w:ind w:hanging="720"/>
        <w:jc w:val="right"/>
        <w:rPr>
          <w:i/>
          <w:color w:val="000000"/>
        </w:rPr>
      </w:pPr>
      <w:r w:rsidRPr="00664FF6">
        <w:rPr>
          <w:color w:val="000000"/>
        </w:rPr>
        <w:t xml:space="preserve">Aminta Kilawan, </w:t>
      </w:r>
      <w:r w:rsidRPr="00664FF6">
        <w:rPr>
          <w:i/>
          <w:color w:val="000000"/>
        </w:rPr>
        <w:t>Senior Legislative Counsel</w:t>
      </w:r>
    </w:p>
    <w:p w14:paraId="75E210CA" w14:textId="77777777" w:rsidR="00EF323F" w:rsidRPr="00664FF6" w:rsidRDefault="00EF323F" w:rsidP="00EF323F">
      <w:pPr>
        <w:suppressLineNumbers/>
        <w:ind w:hanging="720"/>
        <w:jc w:val="right"/>
        <w:rPr>
          <w:i/>
          <w:color w:val="000000"/>
        </w:rPr>
      </w:pPr>
      <w:r w:rsidRPr="00153D0E">
        <w:rPr>
          <w:color w:val="000000"/>
        </w:rPr>
        <w:t>David Romero</w:t>
      </w:r>
      <w:r>
        <w:rPr>
          <w:i/>
          <w:color w:val="000000"/>
        </w:rPr>
        <w:t>, Legislative Counsel</w:t>
      </w:r>
    </w:p>
    <w:p w14:paraId="7CAB13C9" w14:textId="77777777" w:rsidR="00EF323F" w:rsidRPr="00D444BB" w:rsidRDefault="00EF323F" w:rsidP="00EF323F">
      <w:pPr>
        <w:suppressLineNumbers/>
        <w:ind w:hanging="720"/>
        <w:jc w:val="right"/>
        <w:rPr>
          <w:color w:val="000000"/>
        </w:rPr>
      </w:pPr>
      <w:r w:rsidRPr="00D444BB">
        <w:rPr>
          <w:color w:val="000000"/>
        </w:rPr>
        <w:t xml:space="preserve">Julia Haramis, </w:t>
      </w:r>
      <w:r w:rsidRPr="00802842">
        <w:rPr>
          <w:i/>
          <w:color w:val="000000"/>
        </w:rPr>
        <w:t>Principal Financial</w:t>
      </w:r>
      <w:r>
        <w:rPr>
          <w:color w:val="000000"/>
        </w:rPr>
        <w:t xml:space="preserve"> </w:t>
      </w:r>
      <w:r w:rsidRPr="00D444BB">
        <w:rPr>
          <w:i/>
          <w:color w:val="000000"/>
        </w:rPr>
        <w:t>Analyst</w:t>
      </w:r>
      <w:r w:rsidRPr="00D444BB">
        <w:rPr>
          <w:color w:val="000000"/>
        </w:rPr>
        <w:t xml:space="preserve"> </w:t>
      </w:r>
    </w:p>
    <w:p w14:paraId="4A22F058" w14:textId="77777777" w:rsidR="00EF323F" w:rsidRPr="00D444BB" w:rsidRDefault="00EF323F" w:rsidP="00EF323F">
      <w:pPr>
        <w:suppressLineNumbers/>
        <w:ind w:hanging="720"/>
        <w:jc w:val="right"/>
        <w:rPr>
          <w:i/>
          <w:color w:val="000000"/>
        </w:rPr>
      </w:pPr>
      <w:r w:rsidRPr="00D444BB">
        <w:rPr>
          <w:color w:val="000000"/>
        </w:rPr>
        <w:t xml:space="preserve">Rose Martinez, </w:t>
      </w:r>
      <w:r w:rsidRPr="00D444BB">
        <w:rPr>
          <w:i/>
          <w:color w:val="000000"/>
        </w:rPr>
        <w:t>Assistant Deputy Director</w:t>
      </w:r>
    </w:p>
    <w:p w14:paraId="34B563C8" w14:textId="4FD77013" w:rsidR="005C612C" w:rsidRPr="005C612C" w:rsidRDefault="005C612C" w:rsidP="00EF323F">
      <w:pPr>
        <w:suppressLineNumbers/>
        <w:jc w:val="right"/>
        <w:rPr>
          <w:color w:val="000000"/>
        </w:rPr>
      </w:pPr>
      <w:r>
        <w:rPr>
          <w:color w:val="000000"/>
        </w:rPr>
        <w:t xml:space="preserve">Anne Driscoll, </w:t>
      </w:r>
      <w:r w:rsidRPr="005C612C">
        <w:rPr>
          <w:i/>
          <w:iCs/>
          <w:color w:val="000000"/>
        </w:rPr>
        <w:t>Data Analyst</w:t>
      </w:r>
    </w:p>
    <w:p w14:paraId="355D5A44" w14:textId="77777777" w:rsidR="00FC0270" w:rsidRDefault="00FC0270" w:rsidP="00EF323F">
      <w:pPr>
        <w:suppressLineNumbers/>
        <w:jc w:val="right"/>
        <w:rPr>
          <w:color w:val="000000"/>
        </w:rPr>
      </w:pPr>
    </w:p>
    <w:p w14:paraId="56552B2F" w14:textId="28186D5A" w:rsidR="00FC0270" w:rsidRDefault="00FC0270" w:rsidP="00EF323F">
      <w:pPr>
        <w:suppressLineNumbers/>
        <w:jc w:val="right"/>
        <w:rPr>
          <w:color w:val="000000"/>
        </w:rPr>
      </w:pPr>
      <w:r>
        <w:rPr>
          <w:color w:val="000000"/>
          <w:u w:val="single"/>
        </w:rPr>
        <w:t>Committee on Aging</w:t>
      </w:r>
    </w:p>
    <w:p w14:paraId="322317B2" w14:textId="476AB163" w:rsidR="00FC0270" w:rsidRDefault="00FC0270" w:rsidP="00EF323F">
      <w:pPr>
        <w:suppressLineNumbers/>
        <w:jc w:val="right"/>
        <w:rPr>
          <w:color w:val="000000"/>
        </w:rPr>
      </w:pPr>
      <w:r>
        <w:rPr>
          <w:color w:val="000000"/>
        </w:rPr>
        <w:t xml:space="preserve">Christopher Pepe, </w:t>
      </w:r>
      <w:r>
        <w:rPr>
          <w:i/>
          <w:iCs/>
          <w:color w:val="000000"/>
        </w:rPr>
        <w:t>Senior Legislative Counsel</w:t>
      </w:r>
    </w:p>
    <w:p w14:paraId="75A947E3" w14:textId="15AF61BA" w:rsidR="00FC0270" w:rsidRDefault="00FC0270" w:rsidP="00EF323F">
      <w:pPr>
        <w:suppressLineNumbers/>
        <w:jc w:val="right"/>
        <w:rPr>
          <w:color w:val="000000"/>
        </w:rPr>
      </w:pPr>
      <w:r>
        <w:rPr>
          <w:color w:val="000000"/>
        </w:rPr>
        <w:t xml:space="preserve">Chloë Rivera, </w:t>
      </w:r>
      <w:r>
        <w:rPr>
          <w:i/>
          <w:iCs/>
          <w:color w:val="000000"/>
        </w:rPr>
        <w:t>Senior Policy Analyst</w:t>
      </w:r>
    </w:p>
    <w:p w14:paraId="2E8A51E1" w14:textId="07C1B0F3" w:rsidR="00FC0270" w:rsidRDefault="00FC0270" w:rsidP="00F30A35">
      <w:pPr>
        <w:suppressLineNumbers/>
        <w:jc w:val="right"/>
        <w:rPr>
          <w:color w:val="000000"/>
        </w:rPr>
      </w:pPr>
      <w:r>
        <w:rPr>
          <w:color w:val="000000"/>
        </w:rPr>
        <w:t xml:space="preserve">Austrid Chan, </w:t>
      </w:r>
      <w:r>
        <w:rPr>
          <w:i/>
          <w:iCs/>
          <w:color w:val="000000"/>
        </w:rPr>
        <w:t>Financial Analyst</w:t>
      </w:r>
    </w:p>
    <w:p w14:paraId="272027D5" w14:textId="77777777" w:rsidR="00F30A35" w:rsidRDefault="00F30A35" w:rsidP="00F30A35">
      <w:pPr>
        <w:suppressLineNumbers/>
        <w:jc w:val="right"/>
        <w:rPr>
          <w:color w:val="000000"/>
        </w:rPr>
      </w:pPr>
    </w:p>
    <w:p w14:paraId="2905DB0A" w14:textId="2B28C0F6" w:rsidR="00F30A35" w:rsidRDefault="00F30A35" w:rsidP="00F30A35">
      <w:pPr>
        <w:suppressLineNumbers/>
        <w:jc w:val="right"/>
        <w:rPr>
          <w:color w:val="000000"/>
        </w:rPr>
      </w:pPr>
      <w:r>
        <w:rPr>
          <w:color w:val="000000"/>
          <w:u w:val="single"/>
        </w:rPr>
        <w:t>Subcommittee on Senior Centers and Food Insecurity</w:t>
      </w:r>
    </w:p>
    <w:p w14:paraId="110DD77B" w14:textId="1198F74D" w:rsidR="00F30A35" w:rsidRDefault="0097506E" w:rsidP="00F30A35">
      <w:pPr>
        <w:suppressLineNumbers/>
        <w:jc w:val="right"/>
        <w:rPr>
          <w:color w:val="000000"/>
        </w:rPr>
      </w:pPr>
      <w:r>
        <w:rPr>
          <w:color w:val="000000"/>
        </w:rPr>
        <w:t xml:space="preserve">Christopher Pepe, </w:t>
      </w:r>
      <w:r>
        <w:rPr>
          <w:i/>
          <w:iCs/>
          <w:color w:val="000000"/>
        </w:rPr>
        <w:t>Senior Legislative Counsel</w:t>
      </w:r>
    </w:p>
    <w:p w14:paraId="15385C66" w14:textId="2F031AFF" w:rsidR="0097506E" w:rsidRPr="00856BE2" w:rsidRDefault="0097506E" w:rsidP="00F30A35">
      <w:pPr>
        <w:suppressLineNumbers/>
        <w:jc w:val="right"/>
        <w:rPr>
          <w:color w:val="000000"/>
        </w:rPr>
      </w:pPr>
      <w:r w:rsidRPr="00856BE2">
        <w:rPr>
          <w:color w:val="000000"/>
        </w:rPr>
        <w:t xml:space="preserve">Rose Martinez, </w:t>
      </w:r>
      <w:r w:rsidRPr="00856BE2">
        <w:rPr>
          <w:i/>
          <w:iCs/>
          <w:color w:val="000000"/>
        </w:rPr>
        <w:t>Assistant Deputy Director</w:t>
      </w:r>
    </w:p>
    <w:p w14:paraId="60259C6C" w14:textId="77777777" w:rsidR="00EF323F" w:rsidRPr="00856BE2" w:rsidRDefault="00EF323F" w:rsidP="00EF323F">
      <w:pPr>
        <w:jc w:val="right"/>
      </w:pPr>
    </w:p>
    <w:p w14:paraId="021131B1" w14:textId="77777777" w:rsidR="00EF323F" w:rsidRPr="005141A2" w:rsidRDefault="00EF323F" w:rsidP="00EF323F">
      <w:pPr>
        <w:jc w:val="center"/>
        <w:rPr>
          <w:noProof/>
        </w:rPr>
      </w:pPr>
      <w:r>
        <w:rPr>
          <w:noProof/>
        </w:rPr>
        <w:drawing>
          <wp:inline distT="0" distB="0" distL="0" distR="0" wp14:anchorId="47A6F721" wp14:editId="6B63876D">
            <wp:extent cx="1304925" cy="13239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304925" cy="1323975"/>
                    </a:xfrm>
                    <a:prstGeom prst="rect">
                      <a:avLst/>
                    </a:prstGeom>
                    <a:noFill/>
                    <a:ln>
                      <a:noFill/>
                    </a:ln>
                  </pic:spPr>
                </pic:pic>
              </a:graphicData>
            </a:graphic>
          </wp:inline>
        </w:drawing>
      </w:r>
    </w:p>
    <w:p w14:paraId="68AC1144" w14:textId="77777777" w:rsidR="00EF323F" w:rsidRPr="005141A2" w:rsidRDefault="00EF323F" w:rsidP="00EF323F">
      <w:pPr>
        <w:keepNext/>
        <w:autoSpaceDE w:val="0"/>
        <w:autoSpaceDN w:val="0"/>
        <w:adjustRightInd w:val="0"/>
        <w:jc w:val="center"/>
        <w:outlineLvl w:val="4"/>
        <w:rPr>
          <w:b/>
          <w:szCs w:val="20"/>
          <w:u w:val="single"/>
          <w:lang w:eastAsia="zh-CN"/>
        </w:rPr>
      </w:pPr>
    </w:p>
    <w:p w14:paraId="45E1C9D1" w14:textId="4399D5A6" w:rsidR="00EF323F" w:rsidRPr="005141A2" w:rsidRDefault="00EF323F" w:rsidP="00E76F61">
      <w:pPr>
        <w:keepNext/>
        <w:autoSpaceDE w:val="0"/>
        <w:autoSpaceDN w:val="0"/>
        <w:adjustRightInd w:val="0"/>
        <w:jc w:val="center"/>
        <w:rPr>
          <w:b/>
          <w:bCs/>
          <w:sz w:val="30"/>
          <w:szCs w:val="30"/>
          <w:lang w:eastAsia="zh-CN"/>
        </w:rPr>
      </w:pPr>
      <w:r w:rsidRPr="005141A2">
        <w:rPr>
          <w:b/>
          <w:bCs/>
          <w:sz w:val="30"/>
          <w:szCs w:val="30"/>
          <w:lang w:eastAsia="zh-CN"/>
        </w:rPr>
        <w:t>THE COUNCIL</w:t>
      </w:r>
      <w:r>
        <w:rPr>
          <w:b/>
          <w:bCs/>
          <w:sz w:val="30"/>
          <w:szCs w:val="30"/>
          <w:lang w:eastAsia="zh-CN"/>
        </w:rPr>
        <w:t xml:space="preserve"> OF THE CITY OF NEW YORK</w:t>
      </w:r>
    </w:p>
    <w:p w14:paraId="02082A2D" w14:textId="77777777" w:rsidR="00EF323F" w:rsidRDefault="00EF323F" w:rsidP="00E76F61">
      <w:pPr>
        <w:jc w:val="center"/>
      </w:pPr>
    </w:p>
    <w:p w14:paraId="7448AB81" w14:textId="2340B9AA" w:rsidR="00E76F61" w:rsidRPr="00E76F61" w:rsidRDefault="00695D7C" w:rsidP="00E76F61">
      <w:pPr>
        <w:keepNext/>
        <w:jc w:val="center"/>
        <w:outlineLvl w:val="0"/>
        <w:rPr>
          <w:bCs/>
          <w:smallCaps/>
          <w:u w:val="single"/>
        </w:rPr>
      </w:pPr>
      <w:r>
        <w:rPr>
          <w:bCs/>
          <w:smallCaps/>
          <w:u w:val="single"/>
        </w:rPr>
        <w:t>Committee Report</w:t>
      </w:r>
      <w:r w:rsidR="00EA2732">
        <w:rPr>
          <w:bCs/>
          <w:smallCaps/>
          <w:u w:val="single"/>
        </w:rPr>
        <w:t xml:space="preserve"> and Briefing Paper</w:t>
      </w:r>
      <w:r w:rsidR="00E76F61" w:rsidRPr="00E76F61">
        <w:rPr>
          <w:bCs/>
          <w:smallCaps/>
          <w:u w:val="single"/>
        </w:rPr>
        <w:t xml:space="preserve"> of the Human Services Division</w:t>
      </w:r>
    </w:p>
    <w:p w14:paraId="22E85FD6" w14:textId="77777777" w:rsidR="00E76F61" w:rsidRPr="00E76F61" w:rsidRDefault="00E76F61" w:rsidP="00E76F61">
      <w:pPr>
        <w:jc w:val="center"/>
        <w:rPr>
          <w:i/>
        </w:rPr>
      </w:pPr>
      <w:r w:rsidRPr="00E76F61">
        <w:t>Andrea Vazquez</w:t>
      </w:r>
      <w:r w:rsidRPr="00E76F61">
        <w:rPr>
          <w:i/>
        </w:rPr>
        <w:t>, Legislative Director</w:t>
      </w:r>
    </w:p>
    <w:p w14:paraId="47B164D7" w14:textId="77777777" w:rsidR="00E76F61" w:rsidRPr="00E76F61" w:rsidRDefault="00E76F61" w:rsidP="00E76F61">
      <w:pPr>
        <w:jc w:val="center"/>
        <w:rPr>
          <w:i/>
        </w:rPr>
      </w:pPr>
      <w:r w:rsidRPr="00E76F61">
        <w:t>Smita Deshmukh,</w:t>
      </w:r>
      <w:r w:rsidRPr="00E76F61">
        <w:rPr>
          <w:i/>
        </w:rPr>
        <w:t xml:space="preserve"> Deputy Director</w:t>
      </w:r>
    </w:p>
    <w:p w14:paraId="7B766C9C" w14:textId="77777777" w:rsidR="00E76F61" w:rsidRDefault="00E76F61" w:rsidP="00E76F61">
      <w:pPr>
        <w:jc w:val="center"/>
        <w:rPr>
          <w:b/>
          <w:bCs/>
          <w:u w:val="single"/>
        </w:rPr>
      </w:pPr>
    </w:p>
    <w:p w14:paraId="6BEDF736" w14:textId="7B1389B9" w:rsidR="00E76F61" w:rsidRDefault="00E76F61" w:rsidP="00E76F61">
      <w:pPr>
        <w:jc w:val="center"/>
        <w:rPr>
          <w:b/>
          <w:bCs/>
          <w:smallCaps/>
        </w:rPr>
      </w:pPr>
      <w:r>
        <w:rPr>
          <w:b/>
          <w:bCs/>
          <w:smallCaps/>
        </w:rPr>
        <w:t>Committee on General Welfare</w:t>
      </w:r>
    </w:p>
    <w:p w14:paraId="471BF372" w14:textId="2AA7FCCF" w:rsidR="00E76F61" w:rsidRPr="00E76F61" w:rsidRDefault="00E76F61" w:rsidP="00E76F61">
      <w:pPr>
        <w:jc w:val="center"/>
      </w:pPr>
      <w:r>
        <w:t>Hon. Diana Ayala, Chair</w:t>
      </w:r>
    </w:p>
    <w:p w14:paraId="43230B3E" w14:textId="77777777" w:rsidR="00E76F61" w:rsidRPr="00E76F61" w:rsidRDefault="00E76F61" w:rsidP="00E76F61">
      <w:pPr>
        <w:jc w:val="center"/>
        <w:rPr>
          <w:b/>
          <w:bCs/>
          <w:u w:val="single"/>
        </w:rPr>
      </w:pPr>
    </w:p>
    <w:p w14:paraId="32733100" w14:textId="77777777" w:rsidR="00E76F61" w:rsidRPr="00E76F61" w:rsidRDefault="00E76F61" w:rsidP="00E76F61">
      <w:pPr>
        <w:keepNext/>
        <w:jc w:val="center"/>
        <w:outlineLvl w:val="4"/>
        <w:rPr>
          <w:b/>
          <w:smallCaps/>
          <w:lang w:eastAsia="x-none"/>
        </w:rPr>
      </w:pPr>
      <w:r w:rsidRPr="00E76F61">
        <w:rPr>
          <w:b/>
          <w:smallCaps/>
          <w:lang w:eastAsia="x-none"/>
        </w:rPr>
        <w:t>Committee on Aging</w:t>
      </w:r>
    </w:p>
    <w:p w14:paraId="082BA0EC" w14:textId="77777777" w:rsidR="00E76F61" w:rsidRPr="00E76F61" w:rsidRDefault="00E76F61" w:rsidP="00E76F61">
      <w:pPr>
        <w:keepNext/>
        <w:jc w:val="center"/>
        <w:outlineLvl w:val="3"/>
        <w:rPr>
          <w:noProof/>
          <w:lang w:val="x-none" w:eastAsia="x-none"/>
        </w:rPr>
      </w:pPr>
      <w:r w:rsidRPr="00E76F61">
        <w:rPr>
          <w:noProof/>
          <w:lang w:eastAsia="x-none"/>
        </w:rPr>
        <w:t>Hon.</w:t>
      </w:r>
      <w:r w:rsidRPr="00E76F61">
        <w:rPr>
          <w:noProof/>
          <w:lang w:val="x-none" w:eastAsia="x-none"/>
        </w:rPr>
        <w:t xml:space="preserve"> </w:t>
      </w:r>
      <w:r w:rsidRPr="00E76F61">
        <w:rPr>
          <w:noProof/>
          <w:lang w:eastAsia="x-none"/>
        </w:rPr>
        <w:t>Crystal Hudson</w:t>
      </w:r>
      <w:r w:rsidRPr="00E76F61">
        <w:rPr>
          <w:noProof/>
          <w:lang w:val="x-none" w:eastAsia="x-none"/>
        </w:rPr>
        <w:t>, Chair</w:t>
      </w:r>
    </w:p>
    <w:p w14:paraId="018D680B" w14:textId="77777777" w:rsidR="00E76F61" w:rsidRDefault="00E76F61" w:rsidP="00E76F61">
      <w:pPr>
        <w:jc w:val="center"/>
      </w:pPr>
    </w:p>
    <w:p w14:paraId="45736240" w14:textId="77777777" w:rsidR="00E76F61" w:rsidRPr="00E76F61" w:rsidRDefault="00E76F61" w:rsidP="00E76F61">
      <w:pPr>
        <w:jc w:val="center"/>
        <w:rPr>
          <w:b/>
          <w:bCs/>
        </w:rPr>
      </w:pPr>
      <w:r w:rsidRPr="00E76F61">
        <w:rPr>
          <w:b/>
          <w:bCs/>
          <w:smallCaps/>
        </w:rPr>
        <w:t>Subcommittee on Senior Centers and Food Insecurity</w:t>
      </w:r>
    </w:p>
    <w:p w14:paraId="768D1A12" w14:textId="77777777" w:rsidR="00E76F61" w:rsidRPr="00E76F61" w:rsidRDefault="00E76F61" w:rsidP="00E76F61">
      <w:pPr>
        <w:jc w:val="center"/>
      </w:pPr>
      <w:r w:rsidRPr="00E76F61">
        <w:t>Hon. Darlene Mealy, Chair</w:t>
      </w:r>
    </w:p>
    <w:p w14:paraId="6248CB28" w14:textId="6CA6B3DF" w:rsidR="00EF323F" w:rsidRDefault="00EF323F" w:rsidP="00E76F61">
      <w:pPr>
        <w:suppressLineNumbers/>
      </w:pPr>
    </w:p>
    <w:p w14:paraId="35C14340" w14:textId="77777777" w:rsidR="00B576F7" w:rsidRDefault="00B576F7" w:rsidP="00E76F61">
      <w:pPr>
        <w:suppressLineNumbers/>
        <w:jc w:val="center"/>
      </w:pPr>
    </w:p>
    <w:p w14:paraId="6C1DFDC3" w14:textId="4E0EE441" w:rsidR="00E76F61" w:rsidRPr="00664FF6" w:rsidRDefault="00E76F61" w:rsidP="00E76F61">
      <w:pPr>
        <w:suppressLineNumbers/>
        <w:jc w:val="center"/>
        <w:rPr>
          <w:b/>
          <w:bCs/>
          <w:color w:val="000000"/>
        </w:rPr>
      </w:pPr>
      <w:r>
        <w:t>April 19, 2023</w:t>
      </w:r>
    </w:p>
    <w:p w14:paraId="180015D9" w14:textId="674FB4DD" w:rsidR="00E76F61" w:rsidRDefault="00E76F61" w:rsidP="00E76F61"/>
    <w:p w14:paraId="77DA712D" w14:textId="77777777" w:rsidR="00B576F7" w:rsidRDefault="00B576F7" w:rsidP="00E76F61"/>
    <w:p w14:paraId="08FC070B" w14:textId="20B9EE85" w:rsidR="00EF323F" w:rsidRDefault="00EF323F" w:rsidP="00E76F61">
      <w:pPr>
        <w:jc w:val="center"/>
        <w:rPr>
          <w:rFonts w:eastAsia="ヒラギノ角ゴ Pro W3"/>
          <w:b/>
          <w:color w:val="000000"/>
          <w:u w:val="single"/>
        </w:rPr>
      </w:pPr>
      <w:r w:rsidRPr="00D77F2E">
        <w:rPr>
          <w:rFonts w:eastAsia="ヒラギノ角ゴ Pro W3"/>
          <w:b/>
          <w:color w:val="000000"/>
          <w:u w:val="single"/>
        </w:rPr>
        <w:t xml:space="preserve">Oversight: </w:t>
      </w:r>
      <w:r>
        <w:rPr>
          <w:rFonts w:eastAsia="ヒラギノ角ゴ Pro W3"/>
          <w:b/>
          <w:color w:val="000000"/>
          <w:u w:val="single"/>
        </w:rPr>
        <w:t>Food Insecurity in New York City</w:t>
      </w:r>
    </w:p>
    <w:p w14:paraId="73A730DF" w14:textId="77777777" w:rsidR="00695D7C" w:rsidRDefault="00695D7C" w:rsidP="00E76F61">
      <w:pPr>
        <w:jc w:val="center"/>
        <w:rPr>
          <w:rFonts w:eastAsia="ヒラギノ角ゴ Pro W3"/>
          <w:b/>
          <w:color w:val="000000"/>
          <w:u w:val="single"/>
        </w:rPr>
      </w:pPr>
    </w:p>
    <w:p w14:paraId="68EFF98E" w14:textId="77777777" w:rsidR="00695D7C" w:rsidRDefault="00695D7C" w:rsidP="00E76F61">
      <w:pPr>
        <w:jc w:val="center"/>
        <w:rPr>
          <w:rFonts w:eastAsia="ヒラギノ角ゴ Pro W3"/>
          <w:b/>
          <w:color w:val="000000"/>
          <w:u w:val="single"/>
        </w:rPr>
      </w:pPr>
    </w:p>
    <w:p w14:paraId="4517BEB7" w14:textId="7DFBDBF0" w:rsidR="00695D7C" w:rsidRDefault="00695D7C" w:rsidP="00695D7C">
      <w:pPr>
        <w:widowControl w:val="0"/>
        <w:tabs>
          <w:tab w:val="left" w:pos="-720"/>
        </w:tabs>
        <w:suppressAutoHyphens/>
        <w:ind w:left="5040" w:hanging="5040"/>
        <w:jc w:val="both"/>
        <w:rPr>
          <w:snapToGrid w:val="0"/>
          <w:spacing w:val="-3"/>
          <w:szCs w:val="20"/>
        </w:rPr>
      </w:pPr>
      <w:r w:rsidRPr="00FF370E">
        <w:rPr>
          <w:b/>
          <w:bCs/>
          <w:u w:val="single"/>
        </w:rPr>
        <w:lastRenderedPageBreak/>
        <w:t xml:space="preserve">INT. NO. </w:t>
      </w:r>
      <w:r w:rsidR="00576790">
        <w:rPr>
          <w:b/>
          <w:bCs/>
          <w:u w:val="single"/>
        </w:rPr>
        <w:t>945</w:t>
      </w:r>
      <w:r w:rsidRPr="00FF370E">
        <w:rPr>
          <w:b/>
          <w:bCs/>
          <w:u w:val="single"/>
        </w:rPr>
        <w:t>:</w:t>
      </w:r>
      <w:r w:rsidRPr="00FF370E">
        <w:rPr>
          <w:bCs/>
        </w:rPr>
        <w:t xml:space="preserve"> </w:t>
      </w:r>
      <w:r w:rsidRPr="00FF370E">
        <w:rPr>
          <w:bCs/>
        </w:rPr>
        <w:tab/>
      </w:r>
      <w:r>
        <w:rPr>
          <w:bCs/>
        </w:rPr>
        <w:t xml:space="preserve">By </w:t>
      </w:r>
      <w:r w:rsidR="00E80FF1" w:rsidRPr="00E80FF1">
        <w:rPr>
          <w:snapToGrid w:val="0"/>
          <w:spacing w:val="-3"/>
          <w:szCs w:val="20"/>
        </w:rPr>
        <w:t>Council Members Hudson, Brewer, Lee, Gutiérrez, Cabán, Yeger, Louis, Richardson Jordan, Abreu, Hanif, Farías, De La Rosa, Schulman, Holden, Riley and Ung</w:t>
      </w:r>
    </w:p>
    <w:p w14:paraId="3AFC52EA" w14:textId="77777777" w:rsidR="00695D7C" w:rsidRPr="00FF370E" w:rsidRDefault="00695D7C" w:rsidP="00695D7C">
      <w:pPr>
        <w:widowControl w:val="0"/>
        <w:tabs>
          <w:tab w:val="left" w:pos="-720"/>
        </w:tabs>
        <w:suppressAutoHyphens/>
        <w:ind w:left="5040" w:hanging="5040"/>
        <w:jc w:val="both"/>
      </w:pPr>
    </w:p>
    <w:p w14:paraId="7D05AC14" w14:textId="73368EEC" w:rsidR="00695D7C" w:rsidRDefault="00695D7C" w:rsidP="00695D7C">
      <w:pPr>
        <w:widowControl w:val="0"/>
        <w:ind w:left="5040" w:right="-180" w:hanging="5040"/>
        <w:jc w:val="both"/>
        <w:outlineLvl w:val="1"/>
        <w:rPr>
          <w:snapToGrid w:val="0"/>
          <w:spacing w:val="-3"/>
          <w:szCs w:val="20"/>
        </w:rPr>
      </w:pPr>
      <w:r w:rsidRPr="00FF370E">
        <w:rPr>
          <w:b/>
          <w:bCs/>
          <w:u w:val="single"/>
        </w:rPr>
        <w:t>TITLE:</w:t>
      </w:r>
      <w:r w:rsidRPr="00FF370E">
        <w:rPr>
          <w:bCs/>
        </w:rPr>
        <w:tab/>
      </w:r>
      <w:r>
        <w:rPr>
          <w:snapToGrid w:val="0"/>
          <w:spacing w:val="-3"/>
          <w:szCs w:val="20"/>
        </w:rPr>
        <w:t xml:space="preserve">A </w:t>
      </w:r>
      <w:r w:rsidR="00E80FF1">
        <w:rPr>
          <w:snapToGrid w:val="0"/>
          <w:spacing w:val="-3"/>
          <w:szCs w:val="20"/>
        </w:rPr>
        <w:t xml:space="preserve">Local Law </w:t>
      </w:r>
      <w:r w:rsidR="00E80FF1" w:rsidRPr="00E80FF1">
        <w:rPr>
          <w:snapToGrid w:val="0"/>
          <w:spacing w:val="-3"/>
          <w:szCs w:val="20"/>
        </w:rPr>
        <w:t>to amend the administrative code of the city of New York, in relation to establishing a technical support program for older adults</w:t>
      </w:r>
    </w:p>
    <w:p w14:paraId="600A09DA" w14:textId="77777777" w:rsidR="00695D7C" w:rsidRPr="00D77F2E" w:rsidRDefault="00695D7C" w:rsidP="00E76F61">
      <w:pPr>
        <w:jc w:val="center"/>
        <w:rPr>
          <w:rFonts w:eastAsia="ヒラギノ角ゴ Pro W3"/>
          <w:b/>
          <w:color w:val="000000"/>
          <w:u w:val="single"/>
        </w:rPr>
      </w:pPr>
    </w:p>
    <w:p w14:paraId="539A82E0" w14:textId="2BAD4C53" w:rsidR="004B40A1" w:rsidRPr="00A60DA8" w:rsidRDefault="004B40A1" w:rsidP="004B40A1">
      <w:pPr>
        <w:jc w:val="center"/>
        <w:rPr>
          <w:b/>
        </w:rPr>
      </w:pPr>
    </w:p>
    <w:p w14:paraId="2B0AFBFA" w14:textId="3068DDCD" w:rsidR="006E3000" w:rsidRDefault="006E3000">
      <w:pPr>
        <w:rPr>
          <w:b/>
          <w:u w:val="single"/>
        </w:rPr>
      </w:pPr>
      <w:r>
        <w:rPr>
          <w:b/>
          <w:u w:val="single"/>
        </w:rPr>
        <w:br w:type="page"/>
      </w:r>
    </w:p>
    <w:p w14:paraId="15B602C8" w14:textId="5F825C4D" w:rsidR="004B40A1" w:rsidRPr="00A60DA8" w:rsidRDefault="004B40A1" w:rsidP="004B40A1">
      <w:pPr>
        <w:spacing w:line="480" w:lineRule="auto"/>
        <w:jc w:val="both"/>
        <w:rPr>
          <w:b/>
          <w:u w:val="single"/>
        </w:rPr>
      </w:pPr>
      <w:r w:rsidRPr="00A60DA8">
        <w:rPr>
          <w:b/>
          <w:u w:val="single"/>
        </w:rPr>
        <w:t>Introduction</w:t>
      </w:r>
    </w:p>
    <w:p w14:paraId="407717E0" w14:textId="68CC30BF" w:rsidR="004B40A1" w:rsidRPr="005D1577" w:rsidRDefault="004B40A1" w:rsidP="005D1577">
      <w:pPr>
        <w:spacing w:line="480" w:lineRule="auto"/>
        <w:jc w:val="both"/>
        <w:rPr>
          <w:bCs/>
          <w:highlight w:val="yellow"/>
        </w:rPr>
      </w:pPr>
      <w:r w:rsidRPr="00A60DA8">
        <w:tab/>
      </w:r>
      <w:r w:rsidRPr="0048260E">
        <w:t xml:space="preserve">On </w:t>
      </w:r>
      <w:r w:rsidR="00EF323F">
        <w:t>April 19, 2023</w:t>
      </w:r>
      <w:r w:rsidRPr="0048260E">
        <w:t xml:space="preserve">, the Committee on General Welfare, chaired by </w:t>
      </w:r>
      <w:r w:rsidR="00EF323F">
        <w:t xml:space="preserve">Deputy Speaker Diana Ayala, the Committee on Aging, chaired by Council Member </w:t>
      </w:r>
      <w:r w:rsidR="00856BE2">
        <w:t xml:space="preserve">Crystal </w:t>
      </w:r>
      <w:r w:rsidR="00EF323F">
        <w:t xml:space="preserve">Hudson, and the Subcommittee </w:t>
      </w:r>
      <w:r w:rsidR="00856BE2">
        <w:t xml:space="preserve">on Senior Centers and Food Insecurity, chaired by Council Member Darlene Mealy, </w:t>
      </w:r>
      <w:r w:rsidRPr="0048260E">
        <w:t xml:space="preserve">will conduct an oversight hearing to examine </w:t>
      </w:r>
      <w:r w:rsidR="00EF323F">
        <w:t>food insecurity in New York City</w:t>
      </w:r>
      <w:r w:rsidRPr="0048260E">
        <w:t xml:space="preserve">. Representatives from the Human Resources Administration (HRA), </w:t>
      </w:r>
      <w:r w:rsidR="008A73AC">
        <w:t>the Department for the Aging</w:t>
      </w:r>
      <w:r w:rsidR="00C142E1">
        <w:t xml:space="preserve"> (</w:t>
      </w:r>
      <w:r w:rsidR="00E11342">
        <w:t>NYC Aging</w:t>
      </w:r>
      <w:r w:rsidR="00C142E1">
        <w:t>)</w:t>
      </w:r>
      <w:r w:rsidR="008A73AC">
        <w:t xml:space="preserve">, </w:t>
      </w:r>
      <w:r w:rsidRPr="0048260E">
        <w:t>anti-hunger advocates, emergency food providers, and other interested parties were invited to testify.</w:t>
      </w:r>
      <w:r w:rsidRPr="00A60DA8">
        <w:t xml:space="preserve"> </w:t>
      </w:r>
    </w:p>
    <w:p w14:paraId="7109FB3D" w14:textId="05C5BC10" w:rsidR="00C36535" w:rsidRDefault="00C36535" w:rsidP="004B40A1">
      <w:pPr>
        <w:autoSpaceDE w:val="0"/>
        <w:autoSpaceDN w:val="0"/>
        <w:adjustRightInd w:val="0"/>
        <w:spacing w:line="480" w:lineRule="auto"/>
        <w:jc w:val="both"/>
        <w:rPr>
          <w:b/>
          <w:u w:val="single"/>
        </w:rPr>
      </w:pPr>
      <w:r>
        <w:rPr>
          <w:b/>
          <w:u w:val="single"/>
        </w:rPr>
        <w:t>Background</w:t>
      </w:r>
    </w:p>
    <w:p w14:paraId="0DCC6451" w14:textId="28410147" w:rsidR="00BE4801" w:rsidRDefault="00BE4801" w:rsidP="004B40A1">
      <w:pPr>
        <w:autoSpaceDE w:val="0"/>
        <w:autoSpaceDN w:val="0"/>
        <w:adjustRightInd w:val="0"/>
        <w:spacing w:line="480" w:lineRule="auto"/>
        <w:jc w:val="both"/>
        <w:rPr>
          <w:i/>
        </w:rPr>
      </w:pPr>
      <w:r w:rsidRPr="00BE4801">
        <w:rPr>
          <w:i/>
        </w:rPr>
        <w:t xml:space="preserve">Poverty Levels in NYC </w:t>
      </w:r>
    </w:p>
    <w:p w14:paraId="385DF4FB" w14:textId="0B14C6D0" w:rsidR="00BE4801" w:rsidRPr="000727BA" w:rsidRDefault="00BE4801" w:rsidP="00BE4801">
      <w:pPr>
        <w:autoSpaceDE w:val="0"/>
        <w:autoSpaceDN w:val="0"/>
        <w:adjustRightInd w:val="0"/>
        <w:spacing w:line="480" w:lineRule="auto"/>
        <w:ind w:firstLine="720"/>
        <w:jc w:val="both"/>
        <w:rPr>
          <w:i/>
        </w:rPr>
      </w:pPr>
      <w:r w:rsidRPr="000727BA">
        <w:t>Some of the primary causes for domestic hunger and food insecurity include poverty, unemployment, lack of affordable housing, high healthcare costs, and lack of access to the Supplemental Nutrition Assistance Program (SNAP).</w:t>
      </w:r>
      <w:r w:rsidRPr="000727BA">
        <w:rPr>
          <w:vertAlign w:val="superscript"/>
        </w:rPr>
        <w:footnoteReference w:id="1"/>
      </w:r>
      <w:r w:rsidRPr="000727BA">
        <w:t xml:space="preserve"> </w:t>
      </w:r>
      <w:r w:rsidR="00EA2732">
        <w:t>Lack of neighborhood</w:t>
      </w:r>
      <w:r w:rsidRPr="00123338">
        <w:t xml:space="preserve"> access</w:t>
      </w:r>
      <w:r w:rsidR="00EA2732">
        <w:t xml:space="preserve"> to</w:t>
      </w:r>
      <w:r w:rsidRPr="00123338">
        <w:t xml:space="preserve"> affordable and nutritious food </w:t>
      </w:r>
      <w:r w:rsidRPr="000727BA">
        <w:t>also contribute</w:t>
      </w:r>
      <w:r w:rsidR="00EA2732">
        <w:t>s</w:t>
      </w:r>
      <w:r w:rsidRPr="000727BA">
        <w:t xml:space="preserve"> to hunger and food insecurity.</w:t>
      </w:r>
      <w:r w:rsidRPr="000727BA">
        <w:rPr>
          <w:vertAlign w:val="superscript"/>
        </w:rPr>
        <w:footnoteReference w:id="2"/>
      </w:r>
      <w:r w:rsidRPr="000727BA">
        <w:t xml:space="preserve"> </w:t>
      </w:r>
      <w:r>
        <w:t>Numerous studies have shown that hunger and food insecurity are prevalent among</w:t>
      </w:r>
      <w:r w:rsidRPr="000727BA">
        <w:t xml:space="preserve"> children, college students, the elderly, minority groups and undocumented immigrants.</w:t>
      </w:r>
    </w:p>
    <w:p w14:paraId="0EBF60B4" w14:textId="0C7FA597" w:rsidR="00BE4801" w:rsidRDefault="00BE4801" w:rsidP="00EF323F">
      <w:pPr>
        <w:autoSpaceDE w:val="0"/>
        <w:autoSpaceDN w:val="0"/>
        <w:adjustRightInd w:val="0"/>
        <w:spacing w:line="480" w:lineRule="auto"/>
        <w:ind w:firstLine="720"/>
        <w:jc w:val="both"/>
        <w:rPr>
          <w:b/>
          <w:u w:val="single"/>
        </w:rPr>
      </w:pPr>
      <w:r w:rsidRPr="001969ED">
        <w:t>According to a</w:t>
      </w:r>
      <w:r w:rsidR="00BA5340">
        <w:t xml:space="preserve"> </w:t>
      </w:r>
      <w:r w:rsidR="00EA2732">
        <w:t xml:space="preserve">2023 </w:t>
      </w:r>
      <w:r w:rsidR="00BA5340">
        <w:t>report</w:t>
      </w:r>
      <w:r w:rsidR="00EA2732">
        <w:t xml:space="preserve"> by the Poverty Tracker Research Group at Columbia University</w:t>
      </w:r>
      <w:r w:rsidR="001C3CCF">
        <w:t xml:space="preserve">, </w:t>
      </w:r>
      <w:r w:rsidR="00BA5340">
        <w:t xml:space="preserve">18% </w:t>
      </w:r>
      <w:r w:rsidR="001C3CCF">
        <w:t>of adults</w:t>
      </w:r>
      <w:r w:rsidR="00BA5340">
        <w:t xml:space="preserve"> and 15% of children in New York City lived in poverty in 2021.</w:t>
      </w:r>
      <w:r w:rsidR="00BA5340">
        <w:rPr>
          <w:rStyle w:val="FootnoteReference"/>
        </w:rPr>
        <w:footnoteReference w:id="3"/>
      </w:r>
      <w:r w:rsidR="00BA5340">
        <w:t xml:space="preserve"> Before </w:t>
      </w:r>
      <w:r w:rsidR="001065FC">
        <w:t>the</w:t>
      </w:r>
      <w:r w:rsidR="00EA2732">
        <w:t xml:space="preserve"> COVID-19</w:t>
      </w:r>
      <w:r w:rsidR="001065FC">
        <w:t xml:space="preserve"> p</w:t>
      </w:r>
      <w:r w:rsidR="00BA5340">
        <w:t xml:space="preserve">andemic, nearly 1 in 5 </w:t>
      </w:r>
      <w:r w:rsidR="00EA2732">
        <w:t xml:space="preserve">New York City </w:t>
      </w:r>
      <w:r w:rsidR="00BA5340">
        <w:t>adults (or 1.2 million people) lived in poverty</w:t>
      </w:r>
      <w:r w:rsidRPr="00645FEB">
        <w:rPr>
          <w:shd w:val="clear" w:color="auto" w:fill="FFFFFF"/>
        </w:rPr>
        <w:t>.</w:t>
      </w:r>
      <w:r w:rsidRPr="00645FEB">
        <w:rPr>
          <w:rStyle w:val="FootnoteReference"/>
          <w:shd w:val="clear" w:color="auto" w:fill="FFFFFF"/>
        </w:rPr>
        <w:footnoteReference w:id="4"/>
      </w:r>
      <w:r w:rsidR="002C51AB">
        <w:rPr>
          <w:shd w:val="clear" w:color="auto" w:fill="FFFFFF"/>
        </w:rPr>
        <w:t xml:space="preserve"> </w:t>
      </w:r>
      <w:r w:rsidRPr="00645FEB">
        <w:t>The poverty rate in New York City has remained relatively steady since 1980,</w:t>
      </w:r>
      <w:r w:rsidRPr="00CB6A61">
        <w:t xml:space="preserve"> </w:t>
      </w:r>
      <w:r>
        <w:t>at around 20</w:t>
      </w:r>
      <w:r w:rsidR="003C77CD">
        <w:t>%</w:t>
      </w:r>
      <w:r>
        <w:t>, exceeding both national (1</w:t>
      </w:r>
      <w:r w:rsidR="00BA5340">
        <w:t>1.6</w:t>
      </w:r>
      <w:r w:rsidR="003C77CD">
        <w:t>%</w:t>
      </w:r>
      <w:r>
        <w:t>) and state (1</w:t>
      </w:r>
      <w:r w:rsidR="00BA5340">
        <w:t>3</w:t>
      </w:r>
      <w:r>
        <w:t>.</w:t>
      </w:r>
      <w:r w:rsidR="00BA5340">
        <w:t>9</w:t>
      </w:r>
      <w:r w:rsidR="003C77CD">
        <w:t>%</w:t>
      </w:r>
      <w:r>
        <w:t>) levels.</w:t>
      </w:r>
      <w:r>
        <w:rPr>
          <w:rStyle w:val="FootnoteReference"/>
        </w:rPr>
        <w:footnoteReference w:id="5"/>
      </w:r>
      <w:r>
        <w:t xml:space="preserve"> </w:t>
      </w:r>
      <w:r w:rsidR="00E31994">
        <w:t>But a</w:t>
      </w:r>
      <w:r>
        <w:t>ccording to the latest New York City Government</w:t>
      </w:r>
      <w:r w:rsidRPr="00C670FF">
        <w:t xml:space="preserve"> Poverty Measure Report</w:t>
      </w:r>
      <w:r>
        <w:t xml:space="preserve"> (NYCgov poverty measure), </w:t>
      </w:r>
      <w:r w:rsidR="001065FC">
        <w:t xml:space="preserve">40.8% </w:t>
      </w:r>
      <w:r>
        <w:t>of New York City residents were living at or near poverty in 201</w:t>
      </w:r>
      <w:r w:rsidR="001065FC">
        <w:t>9</w:t>
      </w:r>
      <w:r>
        <w:t>.</w:t>
      </w:r>
      <w:r>
        <w:rPr>
          <w:rStyle w:val="FootnoteReference"/>
        </w:rPr>
        <w:footnoteReference w:id="6"/>
      </w:r>
      <w:r>
        <w:t xml:space="preserve"> The NYCgov poverty measure was developed in response to the shortfalls of the Census Bureau’s official measure, which does not accurately reflect other factors related to poverty, such as Earned Income Tax Credit, SNAP benefits, housing subsidies, health care, transportation and childcare costs.</w:t>
      </w:r>
      <w:r>
        <w:rPr>
          <w:rStyle w:val="FootnoteReference"/>
        </w:rPr>
        <w:footnoteReference w:id="7"/>
      </w:r>
    </w:p>
    <w:p w14:paraId="10F8F76E" w14:textId="73BEE0DC" w:rsidR="004B40A1" w:rsidRDefault="004B40A1" w:rsidP="004B40A1">
      <w:pPr>
        <w:autoSpaceDE w:val="0"/>
        <w:autoSpaceDN w:val="0"/>
        <w:adjustRightInd w:val="0"/>
        <w:spacing w:line="480" w:lineRule="auto"/>
        <w:jc w:val="both"/>
        <w:rPr>
          <w:bCs/>
          <w:i/>
          <w:iCs/>
        </w:rPr>
      </w:pPr>
      <w:r w:rsidRPr="00D14021">
        <w:rPr>
          <w:bCs/>
          <w:i/>
          <w:iCs/>
        </w:rPr>
        <w:t>Food Insecurity</w:t>
      </w:r>
    </w:p>
    <w:p w14:paraId="7CC53F52" w14:textId="19EFEB05" w:rsidR="00634660" w:rsidRPr="00EF323F" w:rsidRDefault="00634660" w:rsidP="00EF323F">
      <w:pPr>
        <w:autoSpaceDE w:val="0"/>
        <w:autoSpaceDN w:val="0"/>
        <w:adjustRightInd w:val="0"/>
        <w:spacing w:line="480" w:lineRule="auto"/>
        <w:ind w:firstLine="720"/>
        <w:jc w:val="both"/>
      </w:pPr>
      <w:r w:rsidRPr="00751DCA">
        <w:rPr>
          <w:bCs/>
        </w:rPr>
        <w:t>Nationally, according to data from the United States Department of</w:t>
      </w:r>
      <w:r>
        <w:rPr>
          <w:bCs/>
        </w:rPr>
        <w:t xml:space="preserve"> Agriculture (USDA), in </w:t>
      </w:r>
      <w:r>
        <w:t>2021</w:t>
      </w:r>
      <w:r w:rsidRPr="009F4B92">
        <w:t xml:space="preserve">, </w:t>
      </w:r>
      <w:r>
        <w:t>13.5</w:t>
      </w:r>
      <w:r w:rsidRPr="009F4B92">
        <w:t xml:space="preserve"> million </w:t>
      </w:r>
      <w:r>
        <w:t>Americans</w:t>
      </w:r>
      <w:r w:rsidRPr="009F4B92">
        <w:t xml:space="preserve"> lived in food-insecure households</w:t>
      </w:r>
      <w:r>
        <w:t xml:space="preserve">, </w:t>
      </w:r>
      <w:r w:rsidRPr="00825B17">
        <w:rPr>
          <w:bCs/>
        </w:rPr>
        <w:t>meaning at some point during the year they had difficulty providing enough food for all household members due to a lack of resources or insufficient money for food.</w:t>
      </w:r>
      <w:r w:rsidRPr="00825B17">
        <w:rPr>
          <w:rStyle w:val="FootnoteReference"/>
        </w:rPr>
        <w:footnoteReference w:id="8"/>
      </w:r>
      <w:r>
        <w:t xml:space="preserve"> While the prevalence of food insecurity for all households remained the same for most householders, food insecurity increased significantly from 2020 for households with no children, especially women living alone and elderly people living alone.</w:t>
      </w:r>
      <w:r>
        <w:rPr>
          <w:rStyle w:val="FootnoteReference"/>
        </w:rPr>
        <w:footnoteReference w:id="9"/>
      </w:r>
      <w:r w:rsidRPr="003F3920">
        <w:t xml:space="preserve"> </w:t>
      </w:r>
    </w:p>
    <w:p w14:paraId="7A81FB93" w14:textId="6317105A" w:rsidR="00172A6F" w:rsidRPr="00A213C0" w:rsidRDefault="00172A6F" w:rsidP="00172A6F">
      <w:pPr>
        <w:autoSpaceDE w:val="0"/>
        <w:autoSpaceDN w:val="0"/>
        <w:adjustRightInd w:val="0"/>
        <w:spacing w:line="480" w:lineRule="auto"/>
        <w:ind w:firstLine="720"/>
        <w:jc w:val="both"/>
      </w:pPr>
      <w:r w:rsidRPr="00280B1C">
        <w:t>According to the</w:t>
      </w:r>
      <w:r w:rsidR="00EF07C2">
        <w:t xml:space="preserve"> NYC Mayor’s Office of Food Policy 2022 Food Metrics Annual Report, </w:t>
      </w:r>
      <w:r w:rsidRPr="00280B1C">
        <w:t xml:space="preserve">an estimated 1.2 million </w:t>
      </w:r>
      <w:r>
        <w:t>(14.</w:t>
      </w:r>
      <w:r w:rsidR="00EF07C2">
        <w:t>6</w:t>
      </w:r>
      <w:r w:rsidR="003C77CD">
        <w:t>%</w:t>
      </w:r>
      <w:r>
        <w:t xml:space="preserve">) </w:t>
      </w:r>
      <w:r w:rsidRPr="00280B1C">
        <w:t>New York City residents were food insecure</w:t>
      </w:r>
      <w:bookmarkStart w:id="1" w:name="_Ref431824"/>
      <w:r>
        <w:t>.</w:t>
      </w:r>
      <w:r w:rsidRPr="00280B1C">
        <w:rPr>
          <w:rStyle w:val="FootnoteReference"/>
        </w:rPr>
        <w:footnoteReference w:id="10"/>
      </w:r>
      <w:bookmarkEnd w:id="1"/>
      <w:r w:rsidRPr="00280B1C">
        <w:t xml:space="preserve"> </w:t>
      </w:r>
      <w:r w:rsidR="00B95397">
        <w:t>The Bronx has the highest rate at 19.7%</w:t>
      </w:r>
      <w:r w:rsidR="00741AF4">
        <w:t xml:space="preserve">, followed by Brooklyn at 15.5%, Manhattan at 13.6%, Queens at 12.1% and Staten Island at 10.1%. </w:t>
      </w:r>
      <w:r w:rsidR="00741AF4">
        <w:rPr>
          <w:rStyle w:val="FootnoteReference"/>
        </w:rPr>
        <w:footnoteReference w:id="11"/>
      </w:r>
      <w:r w:rsidR="00741AF4">
        <w:t xml:space="preserve"> </w:t>
      </w:r>
      <w:r w:rsidRPr="00280B1C">
        <w:rPr>
          <w:color w:val="111111"/>
          <w:shd w:val="clear" w:color="auto" w:fill="FFFFFF"/>
        </w:rPr>
        <w:t xml:space="preserve">New York City’s </w:t>
      </w:r>
      <w:r w:rsidR="00771669">
        <w:rPr>
          <w:color w:val="111111"/>
          <w:shd w:val="clear" w:color="auto" w:fill="FFFFFF"/>
        </w:rPr>
        <w:t>residents make up 50% of all food insecure people living in New York State</w:t>
      </w:r>
      <w:r w:rsidRPr="00280B1C">
        <w:rPr>
          <w:color w:val="111111"/>
          <w:shd w:val="clear" w:color="auto" w:fill="FFFFFF"/>
        </w:rPr>
        <w:t>.</w:t>
      </w:r>
      <w:r w:rsidRPr="00280B1C">
        <w:rPr>
          <w:rStyle w:val="FootnoteReference"/>
          <w:color w:val="111111"/>
          <w:shd w:val="clear" w:color="auto" w:fill="FFFFFF"/>
        </w:rPr>
        <w:footnoteReference w:id="12"/>
      </w:r>
      <w:r w:rsidRPr="00280B1C">
        <w:rPr>
          <w:color w:val="111111"/>
          <w:shd w:val="clear" w:color="auto" w:fill="FFFFFF"/>
        </w:rPr>
        <w:t xml:space="preserve"> According to Feeding America,</w:t>
      </w:r>
      <w:r w:rsidRPr="00280B1C">
        <w:t xml:space="preserve"> </w:t>
      </w:r>
      <w:r w:rsidRPr="00AB3D14">
        <w:t>the nation’s leading hunger-relief organization,</w:t>
      </w:r>
      <w:r w:rsidRPr="00AB3D14">
        <w:rPr>
          <w:color w:val="111111"/>
          <w:shd w:val="clear" w:color="auto" w:fill="FFFFFF"/>
        </w:rPr>
        <w:t xml:space="preserve"> 1 in </w:t>
      </w:r>
      <w:r w:rsidR="00771669">
        <w:rPr>
          <w:color w:val="111111"/>
          <w:shd w:val="clear" w:color="auto" w:fill="FFFFFF"/>
        </w:rPr>
        <w:t>10</w:t>
      </w:r>
      <w:r w:rsidRPr="00AB3D14">
        <w:rPr>
          <w:color w:val="111111"/>
          <w:shd w:val="clear" w:color="auto" w:fill="FFFFFF"/>
        </w:rPr>
        <w:t xml:space="preserve"> New Yorkers, or </w:t>
      </w:r>
      <w:r w:rsidR="00771669">
        <w:rPr>
          <w:color w:val="111111"/>
          <w:shd w:val="clear" w:color="auto" w:fill="FFFFFF"/>
        </w:rPr>
        <w:t>1,882,580</w:t>
      </w:r>
      <w:r w:rsidRPr="00AB3D14">
        <w:rPr>
          <w:color w:val="111111"/>
          <w:shd w:val="clear" w:color="auto" w:fill="FFFFFF"/>
        </w:rPr>
        <w:t xml:space="preserve"> people, struggle</w:t>
      </w:r>
      <w:r>
        <w:rPr>
          <w:color w:val="111111"/>
          <w:shd w:val="clear" w:color="auto" w:fill="FFFFFF"/>
        </w:rPr>
        <w:t xml:space="preserve"> with hunger, and of them </w:t>
      </w:r>
      <w:r w:rsidR="00771669">
        <w:rPr>
          <w:color w:val="111111"/>
          <w:shd w:val="clear" w:color="auto" w:fill="FFFFFF"/>
        </w:rPr>
        <w:t>596,060</w:t>
      </w:r>
      <w:r>
        <w:rPr>
          <w:color w:val="111111"/>
          <w:shd w:val="clear" w:color="auto" w:fill="FFFFFF"/>
        </w:rPr>
        <w:t xml:space="preserve"> are children.</w:t>
      </w:r>
      <w:r>
        <w:rPr>
          <w:rStyle w:val="FootnoteReference"/>
          <w:color w:val="111111"/>
          <w:shd w:val="clear" w:color="auto" w:fill="FFFFFF"/>
        </w:rPr>
        <w:footnoteReference w:id="13"/>
      </w:r>
      <w:r>
        <w:rPr>
          <w:color w:val="111111"/>
          <w:shd w:val="clear" w:color="auto" w:fill="FFFFFF"/>
        </w:rPr>
        <w:t xml:space="preserve"> Nearly 1.2 million New Yorkers were food insecure even before the COVID-19 pandemic, with more than </w:t>
      </w:r>
      <w:r w:rsidR="00B95397">
        <w:rPr>
          <w:color w:val="111111"/>
          <w:shd w:val="clear" w:color="auto" w:fill="FFFFFF"/>
        </w:rPr>
        <w:t>185</w:t>
      </w:r>
      <w:r>
        <w:rPr>
          <w:color w:val="111111"/>
          <w:shd w:val="clear" w:color="auto" w:fill="FFFFFF"/>
        </w:rPr>
        <w:t xml:space="preserve"> million missing meals across the five boroughs, also known as “The Meal Gap.”</w:t>
      </w:r>
      <w:r>
        <w:rPr>
          <w:rStyle w:val="FootnoteReference"/>
          <w:color w:val="111111"/>
          <w:shd w:val="clear" w:color="auto" w:fill="FFFFFF"/>
        </w:rPr>
        <w:footnoteReference w:id="14"/>
      </w:r>
      <w:r>
        <w:rPr>
          <w:color w:val="111111"/>
          <w:shd w:val="clear" w:color="auto" w:fill="FFFFFF"/>
        </w:rPr>
        <w:t xml:space="preserve"> </w:t>
      </w:r>
      <w:r w:rsidRPr="00C77022">
        <w:rPr>
          <w:color w:val="111111"/>
          <w:shd w:val="clear" w:color="auto" w:fill="FFFFFF"/>
        </w:rPr>
        <w:t>Additionally,</w:t>
      </w:r>
      <w:r w:rsidR="009601FA" w:rsidRPr="00EF323F">
        <w:rPr>
          <w:color w:val="111111"/>
          <w:shd w:val="clear" w:color="auto" w:fill="FFFFFF"/>
        </w:rPr>
        <w:t xml:space="preserve"> a</w:t>
      </w:r>
      <w:r w:rsidRPr="00C77022">
        <w:rPr>
          <w:color w:val="111111"/>
          <w:shd w:val="clear" w:color="auto" w:fill="FFFFFF"/>
        </w:rPr>
        <w:t xml:space="preserve">verage meal costs </w:t>
      </w:r>
      <w:r w:rsidR="009601FA" w:rsidRPr="00EF323F">
        <w:rPr>
          <w:color w:val="111111"/>
          <w:shd w:val="clear" w:color="auto" w:fill="FFFFFF"/>
        </w:rPr>
        <w:t xml:space="preserve">in New York County are estimated to be $6.31, </w:t>
      </w:r>
      <w:r w:rsidRPr="00C77022">
        <w:rPr>
          <w:color w:val="111111"/>
          <w:shd w:val="clear" w:color="auto" w:fill="FFFFFF"/>
        </w:rPr>
        <w:t>almost twice as high as the national average</w:t>
      </w:r>
      <w:r w:rsidR="009601FA" w:rsidRPr="00EF323F">
        <w:rPr>
          <w:color w:val="111111"/>
          <w:shd w:val="clear" w:color="auto" w:fill="FFFFFF"/>
        </w:rPr>
        <w:t>,</w:t>
      </w:r>
      <w:r w:rsidRPr="00C77022">
        <w:rPr>
          <w:color w:val="111111"/>
          <w:shd w:val="clear" w:color="auto" w:fill="FFFFFF"/>
        </w:rPr>
        <w:t xml:space="preserve"> </w:t>
      </w:r>
      <w:r w:rsidR="009601FA" w:rsidRPr="00EF323F">
        <w:rPr>
          <w:color w:val="111111"/>
          <w:shd w:val="clear" w:color="auto" w:fill="FFFFFF"/>
        </w:rPr>
        <w:t>$3.25.</w:t>
      </w:r>
      <w:r w:rsidR="009601FA" w:rsidRPr="00EF323F">
        <w:rPr>
          <w:rStyle w:val="FootnoteReference"/>
          <w:color w:val="111111"/>
          <w:shd w:val="clear" w:color="auto" w:fill="FFFFFF"/>
        </w:rPr>
        <w:footnoteReference w:id="15"/>
      </w:r>
      <w:r w:rsidR="009601FA" w:rsidRPr="00EF323F">
        <w:rPr>
          <w:color w:val="111111"/>
          <w:shd w:val="clear" w:color="auto" w:fill="FFFFFF"/>
        </w:rPr>
        <w:t xml:space="preserve"> I</w:t>
      </w:r>
      <w:r w:rsidRPr="00C77022">
        <w:rPr>
          <w:color w:val="111111"/>
          <w:shd w:val="clear" w:color="auto" w:fill="FFFFFF"/>
        </w:rPr>
        <w:t>n New York, high food prices can make circumstances even more difficult for food-insecure households.</w:t>
      </w:r>
      <w:r w:rsidRPr="00C77022">
        <w:rPr>
          <w:rStyle w:val="FootnoteReference"/>
          <w:color w:val="111111"/>
          <w:shd w:val="clear" w:color="auto" w:fill="FFFFFF"/>
        </w:rPr>
        <w:footnoteReference w:id="16"/>
      </w:r>
    </w:p>
    <w:p w14:paraId="679D21D9" w14:textId="77777777" w:rsidR="00172A6F" w:rsidRPr="00172A6F" w:rsidRDefault="00172A6F" w:rsidP="00172A6F">
      <w:pPr>
        <w:spacing w:line="480" w:lineRule="auto"/>
        <w:jc w:val="both"/>
        <w:rPr>
          <w:bCs/>
          <w:i/>
          <w:iCs/>
        </w:rPr>
      </w:pPr>
      <w:r w:rsidRPr="00172A6F">
        <w:rPr>
          <w:bCs/>
          <w:i/>
          <w:iCs/>
        </w:rPr>
        <w:t>The Supplemental Nutrition Assistance Program (SNAP)</w:t>
      </w:r>
    </w:p>
    <w:p w14:paraId="12286DF5" w14:textId="0F9AC00D" w:rsidR="00172A6F" w:rsidRPr="00FE2DE8" w:rsidRDefault="00172A6F" w:rsidP="00172A6F">
      <w:pPr>
        <w:spacing w:line="480" w:lineRule="auto"/>
        <w:ind w:firstLine="720"/>
        <w:jc w:val="both"/>
      </w:pPr>
      <w:r w:rsidRPr="00FE2DE8">
        <w:t>SNAP, formerly known as the Food Stamp Program, is the cornerstone of the nation’s safety net and nutrition assistance program</w:t>
      </w:r>
      <w:r>
        <w:t>s,</w:t>
      </w:r>
      <w:r w:rsidRPr="00FE2DE8">
        <w:t xml:space="preserve"> providing assistance to millions of eligible low-income people.</w:t>
      </w:r>
      <w:r w:rsidRPr="00FE2DE8">
        <w:rPr>
          <w:vertAlign w:val="superscript"/>
        </w:rPr>
        <w:footnoteReference w:id="17"/>
      </w:r>
      <w:r w:rsidRPr="00FE2DE8">
        <w:t xml:space="preserve"> Benefit levels for SNAP are based on criteria including, but not limited to, household size and income levels.</w:t>
      </w:r>
      <w:bookmarkStart w:id="2" w:name="_Ref433651"/>
      <w:r w:rsidRPr="00FE2DE8">
        <w:rPr>
          <w:vertAlign w:val="superscript"/>
        </w:rPr>
        <w:footnoteReference w:id="18"/>
      </w:r>
      <w:bookmarkEnd w:id="2"/>
      <w:r w:rsidR="005D27E0">
        <w:t xml:space="preserve"> Prior to the pandemic, </w:t>
      </w:r>
      <w:r w:rsidRPr="00FE2DE8">
        <w:t xml:space="preserve">SNAP households </w:t>
      </w:r>
      <w:r w:rsidR="005D27E0">
        <w:t>received an average of $240 a month.</w:t>
      </w:r>
      <w:r w:rsidR="005D27E0">
        <w:rPr>
          <w:rStyle w:val="FootnoteReference"/>
        </w:rPr>
        <w:footnoteReference w:id="19"/>
      </w:r>
      <w:r w:rsidR="005D27E0">
        <w:t xml:space="preserve"> </w:t>
      </w:r>
      <w:r w:rsidR="001F566D">
        <w:t>F</w:t>
      </w:r>
      <w:r w:rsidR="005D27E0">
        <w:t xml:space="preserve">rom April 2020 </w:t>
      </w:r>
      <w:r w:rsidR="002B1276">
        <w:t>through</w:t>
      </w:r>
      <w:r w:rsidR="005D27E0">
        <w:t xml:space="preserve"> February 2023, SNAP benefits increased temporarily due to </w:t>
      </w:r>
      <w:r w:rsidR="001A20ED">
        <w:t>COVID</w:t>
      </w:r>
      <w:r w:rsidR="005D27E0">
        <w:t>-19 legislation.</w:t>
      </w:r>
      <w:r w:rsidR="005D27E0">
        <w:rPr>
          <w:rStyle w:val="FootnoteReference"/>
        </w:rPr>
        <w:footnoteReference w:id="20"/>
      </w:r>
      <w:r w:rsidR="005D27E0">
        <w:t xml:space="preserve"> However, </w:t>
      </w:r>
      <w:r w:rsidR="001F566D">
        <w:t>upon the expiration of</w:t>
      </w:r>
      <w:r w:rsidR="005D27E0">
        <w:t xml:space="preserve"> emergency allotments </w:t>
      </w:r>
      <w:r w:rsidR="001F566D">
        <w:t>in 2023</w:t>
      </w:r>
      <w:r w:rsidR="005D27E0">
        <w:t>, it is estimated that SNAP benefits will decrease to $182 per month per person, or $6.00 per person per day.</w:t>
      </w:r>
      <w:r w:rsidR="005D27E0">
        <w:rPr>
          <w:rStyle w:val="FootnoteReference"/>
        </w:rPr>
        <w:footnoteReference w:id="21"/>
      </w:r>
      <w:r w:rsidR="005D27E0">
        <w:t xml:space="preserve"> </w:t>
      </w:r>
    </w:p>
    <w:p w14:paraId="767C3229" w14:textId="62DA4444" w:rsidR="005012DE" w:rsidRDefault="00172A6F">
      <w:pPr>
        <w:spacing w:line="480" w:lineRule="auto"/>
        <w:ind w:firstLine="720"/>
        <w:jc w:val="both"/>
      </w:pPr>
      <w:r w:rsidRPr="00FE2DE8">
        <w:t>SNAP provides assistance to recipients by offering monthly electronic benefits that can be used to purchase food at authorized stores.</w:t>
      </w:r>
      <w:r w:rsidRPr="00FE2DE8">
        <w:rPr>
          <w:vertAlign w:val="superscript"/>
        </w:rPr>
        <w:footnoteReference w:id="22"/>
      </w:r>
      <w:r w:rsidRPr="00FE2DE8">
        <w:t xml:space="preserve"> According to research, </w:t>
      </w:r>
      <w:r>
        <w:t>spending by SNAP households “multiplies” throughout the national economy, as businesses supplying food and their employees have additional funds to make purchases of their own</w:t>
      </w:r>
      <w:r w:rsidRPr="00FE2DE8">
        <w:t>.</w:t>
      </w:r>
      <w:r w:rsidRPr="00FE2DE8">
        <w:rPr>
          <w:vertAlign w:val="superscript"/>
        </w:rPr>
        <w:footnoteReference w:id="23"/>
      </w:r>
      <w:r w:rsidRPr="00FE2DE8">
        <w:t xml:space="preserve"> SNAP can also help lift people out of poverty. SNAP benefits </w:t>
      </w:r>
      <w:r>
        <w:t xml:space="preserve">lifted at least </w:t>
      </w:r>
      <w:r w:rsidR="008375D0">
        <w:t xml:space="preserve">2.9 </w:t>
      </w:r>
      <w:r w:rsidRPr="00FE2DE8">
        <w:t>million people out of poverty in 20</w:t>
      </w:r>
      <w:r w:rsidR="008375D0">
        <w:t>20</w:t>
      </w:r>
      <w:r w:rsidRPr="00FE2DE8">
        <w:t>.</w:t>
      </w:r>
      <w:r w:rsidRPr="00FE2DE8">
        <w:rPr>
          <w:vertAlign w:val="superscript"/>
        </w:rPr>
        <w:footnoteReference w:id="24"/>
      </w:r>
      <w:r>
        <w:t xml:space="preserve"> </w:t>
      </w:r>
    </w:p>
    <w:p w14:paraId="54657818" w14:textId="77777777" w:rsidR="001D0F55" w:rsidRDefault="001D0F55" w:rsidP="001D0F55">
      <w:pPr>
        <w:jc w:val="both"/>
      </w:pPr>
      <w:r>
        <w:rPr>
          <w:noProof/>
        </w:rPr>
        <w:drawing>
          <wp:inline distT="0" distB="0" distL="0" distR="0" wp14:anchorId="16845F0A" wp14:editId="6F3EAFF6">
            <wp:extent cx="5943600" cy="3509010"/>
            <wp:effectExtent l="0" t="0" r="0" b="15240"/>
            <wp:docPr id="3" name="Chart 3">
              <a:extLst xmlns:a="http://schemas.openxmlformats.org/drawingml/2006/main">
                <a:ext uri="{FF2B5EF4-FFF2-40B4-BE49-F238E27FC236}">
                  <a16:creationId xmlns:a16="http://schemas.microsoft.com/office/drawing/2014/main" id="{1AA6E471-1C71-4EF5-BD0F-546ECDE264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6799A0C" w14:textId="77777777" w:rsidR="001D0F55" w:rsidRDefault="001D0F55" w:rsidP="001D0F55">
      <w:pPr>
        <w:jc w:val="both"/>
      </w:pPr>
    </w:p>
    <w:p w14:paraId="4F7586B8" w14:textId="5CB75D27" w:rsidR="001D0F55" w:rsidRDefault="001D0F55" w:rsidP="001D0F55">
      <w:pPr>
        <w:spacing w:line="480" w:lineRule="auto"/>
        <w:jc w:val="both"/>
      </w:pPr>
      <w:r>
        <w:tab/>
        <w:t xml:space="preserve">The preceding graph illustrates the number of New York City residents enrolled in </w:t>
      </w:r>
      <w:r w:rsidR="002B1276">
        <w:t>SNAP</w:t>
      </w:r>
      <w:r>
        <w:t xml:space="preserve"> over the past ten years. Since 2012, the number of SNAP recipients has trend</w:t>
      </w:r>
      <w:r w:rsidR="001F566D">
        <w:t>ed</w:t>
      </w:r>
      <w:r>
        <w:t xml:space="preserve"> downward, peaking at 1,906,610 in December 2012 and then declining to a ten-year low point in February 2020 at 1,481,257 recipients. Notably, February 2020 was the last full month before the full onset of the COVID-19 pandemic, after which enrollment quickly spiked, hitting 1,705,337 recipients in September 2020. Since the onset of the pandemic, the enrollment levels have fluctuated somewhat, as Federal and State changes to program rules, unemployment, and other economic factors influenced enrollment levels. Even with the waning impact of the pandemic, SNAP enrollment levels have not returned to those seen pre-pandemic</w:t>
      </w:r>
      <w:r w:rsidR="001F566D">
        <w:t>,</w:t>
      </w:r>
      <w:r>
        <w:t xml:space="preserve"> and the highest level of enrollment since the start of the pandemic was</w:t>
      </w:r>
      <w:r w:rsidR="001F566D">
        <w:t xml:space="preserve"> met</w:t>
      </w:r>
      <w:r>
        <w:t xml:space="preserve"> in January 2023</w:t>
      </w:r>
      <w:r w:rsidR="001F566D">
        <w:t>,</w:t>
      </w:r>
      <w:r>
        <w:t xml:space="preserve"> w</w:t>
      </w:r>
      <w:r w:rsidR="001F566D">
        <w:t xml:space="preserve">hich saw </w:t>
      </w:r>
      <w:r>
        <w:t>1,767,422 recipients.</w:t>
      </w:r>
      <w:r>
        <w:rPr>
          <w:rStyle w:val="FootnoteReference"/>
        </w:rPr>
        <w:footnoteReference w:id="25"/>
      </w:r>
      <w:r>
        <w:t xml:space="preserve"> </w:t>
      </w:r>
    </w:p>
    <w:p w14:paraId="5B074096" w14:textId="77777777" w:rsidR="001D0F55" w:rsidRDefault="001D0F55" w:rsidP="001D0F55">
      <w:pPr>
        <w:jc w:val="center"/>
      </w:pPr>
      <w:r>
        <w:rPr>
          <w:noProof/>
        </w:rPr>
        <w:drawing>
          <wp:inline distT="0" distB="0" distL="0" distR="0" wp14:anchorId="47A61A92" wp14:editId="4A561F64">
            <wp:extent cx="5378826" cy="457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rcent_individuals_SNAP_benefits_cur_converted.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78826" cy="4572000"/>
                    </a:xfrm>
                    <a:prstGeom prst="rect">
                      <a:avLst/>
                    </a:prstGeom>
                  </pic:spPr>
                </pic:pic>
              </a:graphicData>
            </a:graphic>
          </wp:inline>
        </w:drawing>
      </w:r>
    </w:p>
    <w:p w14:paraId="22DE9425" w14:textId="6772CA21" w:rsidR="00774A9A" w:rsidRDefault="001D0F55" w:rsidP="001D0F55">
      <w:pPr>
        <w:spacing w:line="480" w:lineRule="auto"/>
        <w:jc w:val="both"/>
      </w:pPr>
      <w:r>
        <w:tab/>
        <w:t>The preceding map illustrates the percentage of SNAP recipients located in each of the City’s 59 Community Districts, as of December 2022. The full data, by Community District, is included in Appendix A at the end of this report. The five Community Districts with the highest percentage of residents on SNAP, each with over 40</w:t>
      </w:r>
      <w:r w:rsidR="003C77CD">
        <w:t>%</w:t>
      </w:r>
      <w:r>
        <w:t xml:space="preserve">, are all located in the Bronx. </w:t>
      </w:r>
      <w:r w:rsidR="001F566D">
        <w:t>E</w:t>
      </w:r>
      <w:r>
        <w:t xml:space="preserve">ight Community Districts </w:t>
      </w:r>
      <w:r w:rsidR="001F566D">
        <w:t xml:space="preserve">have </w:t>
      </w:r>
      <w:r>
        <w:t>a percentage of residents on SNAP between 30 and 40</w:t>
      </w:r>
      <w:r w:rsidR="003C77CD">
        <w:t>%</w:t>
      </w:r>
      <w:r>
        <w:t>, with three in the Bronx, four in Brooklyn, and one in Manhattan. Overall, as of Dec</w:t>
      </w:r>
      <w:r w:rsidR="003C77CD">
        <w:t xml:space="preserve">ember 2022, approximately 20% </w:t>
      </w:r>
      <w:r>
        <w:t>of all New York City residents were enrolled in SNAP.</w:t>
      </w:r>
      <w:r>
        <w:rPr>
          <w:rStyle w:val="FootnoteReference"/>
        </w:rPr>
        <w:footnoteReference w:id="26"/>
      </w:r>
    </w:p>
    <w:p w14:paraId="39C14714" w14:textId="39377DEA" w:rsidR="006E3000" w:rsidRDefault="006E3000" w:rsidP="001D0F55">
      <w:pPr>
        <w:spacing w:line="480" w:lineRule="auto"/>
        <w:jc w:val="both"/>
      </w:pPr>
    </w:p>
    <w:p w14:paraId="20E649F5" w14:textId="77777777" w:rsidR="006E3000" w:rsidRDefault="006E3000" w:rsidP="001D0F55">
      <w:pPr>
        <w:spacing w:line="480" w:lineRule="auto"/>
        <w:jc w:val="both"/>
      </w:pPr>
    </w:p>
    <w:p w14:paraId="03B400C9" w14:textId="77777777" w:rsidR="005012DE" w:rsidRPr="00F827E9" w:rsidRDefault="005012DE" w:rsidP="005012DE">
      <w:pPr>
        <w:spacing w:line="480" w:lineRule="auto"/>
        <w:jc w:val="both"/>
        <w:rPr>
          <w:b/>
          <w:u w:val="single"/>
        </w:rPr>
      </w:pPr>
      <w:r w:rsidRPr="00F53158">
        <w:rPr>
          <w:b/>
          <w:u w:val="single"/>
        </w:rPr>
        <w:t>Able-Bodied Adults without Dependents (ABAWD)</w:t>
      </w:r>
    </w:p>
    <w:p w14:paraId="311C4430" w14:textId="6C5E6DE4" w:rsidR="005012DE" w:rsidRDefault="005012DE" w:rsidP="005012DE">
      <w:pPr>
        <w:spacing w:line="480" w:lineRule="auto"/>
        <w:ind w:firstLine="720"/>
        <w:jc w:val="both"/>
      </w:pPr>
      <w:r w:rsidRPr="004A3FB3">
        <w:rPr>
          <w:lang w:val="en"/>
        </w:rPr>
        <w:t>While SNAP is intended to ensure that no one should fear going hungry</w:t>
      </w:r>
      <w:r>
        <w:rPr>
          <w:lang w:val="en"/>
        </w:rPr>
        <w:t xml:space="preserve">, </w:t>
      </w:r>
      <w:r w:rsidRPr="004A3FB3">
        <w:rPr>
          <w:lang w:val="en"/>
        </w:rPr>
        <w:t xml:space="preserve">SNAP rules require all recipients </w:t>
      </w:r>
      <w:r w:rsidR="001F566D">
        <w:rPr>
          <w:lang w:val="en"/>
        </w:rPr>
        <w:t xml:space="preserve">to </w:t>
      </w:r>
      <w:r w:rsidRPr="004A3FB3">
        <w:rPr>
          <w:lang w:val="en"/>
        </w:rPr>
        <w:t xml:space="preserve">meet </w:t>
      </w:r>
      <w:r>
        <w:rPr>
          <w:lang w:val="en"/>
        </w:rPr>
        <w:t xml:space="preserve">certain </w:t>
      </w:r>
      <w:r w:rsidRPr="004A3FB3">
        <w:rPr>
          <w:lang w:val="en"/>
        </w:rPr>
        <w:t>work requirements unless they are exempt because of age or disability or another specific reason.</w:t>
      </w:r>
      <w:r>
        <w:rPr>
          <w:rStyle w:val="FootnoteReference"/>
          <w:lang w:val="en"/>
        </w:rPr>
        <w:footnoteReference w:id="27"/>
      </w:r>
      <w:r>
        <w:rPr>
          <w:lang w:val="en"/>
        </w:rPr>
        <w:t xml:space="preserve"> Federal law limit</w:t>
      </w:r>
      <w:r w:rsidR="001F566D">
        <w:rPr>
          <w:lang w:val="en"/>
        </w:rPr>
        <w:t>s</w:t>
      </w:r>
      <w:r>
        <w:rPr>
          <w:lang w:val="en"/>
        </w:rPr>
        <w:t xml:space="preserve"> a</w:t>
      </w:r>
      <w:r w:rsidRPr="004A3FB3">
        <w:rPr>
          <w:lang w:val="en"/>
        </w:rPr>
        <w:t>ble-bodied adults without dependents</w:t>
      </w:r>
      <w:r>
        <w:rPr>
          <w:lang w:val="en"/>
        </w:rPr>
        <w:t xml:space="preserve"> (ABAWDs)</w:t>
      </w:r>
      <w:r w:rsidRPr="004A3FB3">
        <w:rPr>
          <w:rFonts w:cs="Arial"/>
          <w:sz w:val="20"/>
          <w:szCs w:val="20"/>
          <w:lang w:val="en"/>
        </w:rPr>
        <w:t xml:space="preserve"> </w:t>
      </w:r>
      <w:r w:rsidR="001F566D" w:rsidRPr="005C5A1C">
        <w:rPr>
          <w:rFonts w:cs="Arial"/>
          <w:lang w:val="en"/>
        </w:rPr>
        <w:t>eligibility</w:t>
      </w:r>
      <w:r w:rsidR="001F566D">
        <w:rPr>
          <w:rFonts w:cs="Arial"/>
          <w:sz w:val="20"/>
          <w:szCs w:val="20"/>
          <w:lang w:val="en"/>
        </w:rPr>
        <w:t xml:space="preserve"> </w:t>
      </w:r>
      <w:r>
        <w:rPr>
          <w:lang w:val="en"/>
        </w:rPr>
        <w:t>to</w:t>
      </w:r>
      <w:r w:rsidRPr="004A3FB3">
        <w:rPr>
          <w:lang w:val="en"/>
        </w:rPr>
        <w:t xml:space="preserve"> </w:t>
      </w:r>
      <w:r>
        <w:rPr>
          <w:lang w:val="en"/>
        </w:rPr>
        <w:t>receive</w:t>
      </w:r>
      <w:r w:rsidRPr="004A3FB3">
        <w:rPr>
          <w:lang w:val="en"/>
        </w:rPr>
        <w:t xml:space="preserve"> SNAP </w:t>
      </w:r>
      <w:r>
        <w:rPr>
          <w:lang w:val="en"/>
        </w:rPr>
        <w:t xml:space="preserve">benefits </w:t>
      </w:r>
      <w:r w:rsidR="001F566D">
        <w:rPr>
          <w:lang w:val="en"/>
        </w:rPr>
        <w:t>to</w:t>
      </w:r>
      <w:r w:rsidR="001F566D" w:rsidRPr="004A3FB3">
        <w:rPr>
          <w:lang w:val="en"/>
        </w:rPr>
        <w:t xml:space="preserve"> </w:t>
      </w:r>
      <w:r w:rsidRPr="004A3FB3">
        <w:rPr>
          <w:lang w:val="en"/>
        </w:rPr>
        <w:t>3 months in 3 years if they do not meet ce</w:t>
      </w:r>
      <w:r>
        <w:rPr>
          <w:lang w:val="en"/>
        </w:rPr>
        <w:t>rtain work requirements</w:t>
      </w:r>
      <w:r w:rsidRPr="004A3FB3">
        <w:rPr>
          <w:lang w:val="en"/>
        </w:rPr>
        <w:t>.</w:t>
      </w:r>
      <w:r>
        <w:rPr>
          <w:rStyle w:val="FootnoteReference"/>
          <w:lang w:val="en"/>
        </w:rPr>
        <w:footnoteReference w:id="28"/>
      </w:r>
      <w:r>
        <w:rPr>
          <w:lang w:val="en"/>
        </w:rPr>
        <w:t xml:space="preserve"> </w:t>
      </w:r>
      <w:r w:rsidRPr="005A4A09">
        <w:rPr>
          <w:lang w:val="en"/>
        </w:rPr>
        <w:t>To be eligible beyond the time limit</w:t>
      </w:r>
      <w:r>
        <w:rPr>
          <w:lang w:val="en"/>
        </w:rPr>
        <w:t xml:space="preserve">, </w:t>
      </w:r>
      <w:r w:rsidRPr="004A3FB3">
        <w:t xml:space="preserve">ABAWDs </w:t>
      </w:r>
      <w:r>
        <w:t xml:space="preserve">are required to either </w:t>
      </w:r>
      <w:r>
        <w:rPr>
          <w:lang w:val="en"/>
        </w:rPr>
        <w:t>work</w:t>
      </w:r>
      <w:r w:rsidRPr="005A4A09">
        <w:rPr>
          <w:rFonts w:cs="Arial"/>
          <w:sz w:val="20"/>
          <w:szCs w:val="20"/>
          <w:lang w:val="en"/>
        </w:rPr>
        <w:t xml:space="preserve"> </w:t>
      </w:r>
      <w:r>
        <w:rPr>
          <w:lang w:val="en"/>
        </w:rPr>
        <w:t xml:space="preserve">or </w:t>
      </w:r>
      <w:r>
        <w:t>participate</w:t>
      </w:r>
      <w:r w:rsidRPr="004A3FB3">
        <w:t xml:space="preserve"> in</w:t>
      </w:r>
      <w:r>
        <w:t xml:space="preserve"> an educational or training program for </w:t>
      </w:r>
      <w:r w:rsidRPr="005A4A09">
        <w:rPr>
          <w:lang w:val="en"/>
        </w:rPr>
        <w:t>at least 80 hours per month</w:t>
      </w:r>
      <w:r w:rsidRPr="004A3FB3">
        <w:t xml:space="preserve">, </w:t>
      </w:r>
      <w:r>
        <w:t>or comply</w:t>
      </w:r>
      <w:r w:rsidRPr="004A3FB3">
        <w:t xml:space="preserve"> with the requirements of a </w:t>
      </w:r>
      <w:r>
        <w:t xml:space="preserve">particular </w:t>
      </w:r>
      <w:r w:rsidRPr="004A3FB3">
        <w:t>work program</w:t>
      </w:r>
      <w:r>
        <w:t>.</w:t>
      </w:r>
      <w:r w:rsidRPr="004A3FB3">
        <w:rPr>
          <w:vertAlign w:val="superscript"/>
        </w:rPr>
        <w:footnoteReference w:id="29"/>
      </w:r>
      <w:r w:rsidRPr="00FC7F6D">
        <w:t xml:space="preserve"> In addition to some other general exemptions, adults are exempt from this provision if they are: (1) under 18 or 50 years of age or older, (2) responsible for the care of a child or i</w:t>
      </w:r>
      <w:r>
        <w:t xml:space="preserve">ncapacitated household member, </w:t>
      </w:r>
      <w:r w:rsidRPr="00FC7F6D">
        <w:t>(3) medically certified as physically or me</w:t>
      </w:r>
      <w:r>
        <w:t xml:space="preserve">ntally unfit for employment, </w:t>
      </w:r>
      <w:r w:rsidR="005C5A1C">
        <w:t xml:space="preserve">(4) </w:t>
      </w:r>
      <w:r w:rsidRPr="00FC7F6D">
        <w:t>pregnant</w:t>
      </w:r>
      <w:r w:rsidR="005C5A1C">
        <w:t>, or (5</w:t>
      </w:r>
      <w:r>
        <w:t>) already exempt from the general SNAP work requirement.</w:t>
      </w:r>
      <w:r w:rsidRPr="00FC7F6D">
        <w:rPr>
          <w:vertAlign w:val="superscript"/>
        </w:rPr>
        <w:footnoteReference w:id="30"/>
      </w:r>
      <w:r w:rsidRPr="00FC7F6D">
        <w:t xml:space="preserve"> </w:t>
      </w:r>
    </w:p>
    <w:p w14:paraId="2470A92D" w14:textId="7E027127" w:rsidR="005012DE" w:rsidRPr="006A50E0" w:rsidRDefault="005012DE" w:rsidP="005012DE">
      <w:pPr>
        <w:spacing w:line="480" w:lineRule="auto"/>
        <w:ind w:firstLine="720"/>
        <w:jc w:val="both"/>
      </w:pPr>
      <w:r w:rsidRPr="00FC7F6D">
        <w:t xml:space="preserve">States </w:t>
      </w:r>
      <w:r w:rsidR="00626869">
        <w:t>may seek permission</w:t>
      </w:r>
      <w:r w:rsidRPr="00FC7F6D">
        <w:t xml:space="preserve"> </w:t>
      </w:r>
      <w:r>
        <w:t>to temporarily waive the ABAWD time limit for people living</w:t>
      </w:r>
      <w:r w:rsidRPr="00FC7F6D">
        <w:t xml:space="preserve"> in areas wit</w:t>
      </w:r>
      <w:r w:rsidR="003C77CD">
        <w:t xml:space="preserve">h an unemployment rate above 10% </w:t>
      </w:r>
      <w:r w:rsidRPr="00FC7F6D">
        <w:t>or for those in an area with insufficient jobs.</w:t>
      </w:r>
      <w:r w:rsidRPr="00FC7F6D">
        <w:rPr>
          <w:vertAlign w:val="superscript"/>
        </w:rPr>
        <w:footnoteReference w:id="31"/>
      </w:r>
      <w:r>
        <w:t> </w:t>
      </w:r>
      <w:r w:rsidRPr="006A50E0">
        <w:t>In 2014, New York City became the final social services district in New York State to accept this “ABAWD waiver,” in addition to 43 other states that had accepted the waiver.</w:t>
      </w:r>
      <w:r w:rsidRPr="006A50E0">
        <w:rPr>
          <w:vertAlign w:val="superscript"/>
        </w:rPr>
        <w:footnoteReference w:id="32"/>
      </w:r>
      <w:r w:rsidRPr="006A50E0">
        <w:t xml:space="preserve"> According to HRA, “in addition to providing federal assistance to address hunger, this policy change provides an economic benefit when this federal assistance is spent in neighborhoods in all five boroughs and averts unnecessary fair hearings resulting from hard-to-administer rules that have applied in the absence of this waiver.”</w:t>
      </w:r>
      <w:r w:rsidRPr="009F553F">
        <w:rPr>
          <w:vertAlign w:val="superscript"/>
        </w:rPr>
        <w:footnoteReference w:id="33"/>
      </w:r>
      <w:r w:rsidRPr="006A50E0">
        <w:t xml:space="preserve"> </w:t>
      </w:r>
    </w:p>
    <w:p w14:paraId="2CE8CC89" w14:textId="24A8084A" w:rsidR="009A0385" w:rsidRPr="00172A6F" w:rsidRDefault="00DF793D">
      <w:pPr>
        <w:spacing w:line="480" w:lineRule="auto"/>
        <w:ind w:firstLine="720"/>
        <w:jc w:val="both"/>
      </w:pPr>
      <w:r>
        <w:t>T</w:t>
      </w:r>
      <w:r w:rsidRPr="00DF793D">
        <w:t>he Biden Administration announced the COVID-19 federal P</w:t>
      </w:r>
      <w:r>
        <w:t xml:space="preserve">ublic </w:t>
      </w:r>
      <w:r w:rsidRPr="00DF793D">
        <w:t>H</w:t>
      </w:r>
      <w:r>
        <w:t xml:space="preserve">ealth </w:t>
      </w:r>
      <w:r w:rsidRPr="00DF793D">
        <w:t>E</w:t>
      </w:r>
      <w:r>
        <w:t>mergency</w:t>
      </w:r>
      <w:r w:rsidRPr="00DF793D">
        <w:t xml:space="preserve"> declaration will end on May 11, 2023</w:t>
      </w:r>
      <w:r>
        <w:t>.</w:t>
      </w:r>
      <w:r>
        <w:rPr>
          <w:rStyle w:val="FootnoteReference"/>
        </w:rPr>
        <w:footnoteReference w:id="34"/>
      </w:r>
      <w:r>
        <w:t xml:space="preserve"> Many states that qualified for a state-wide waiver due to high unemployment rates during the pandemic have already become ineligible for these waivers</w:t>
      </w:r>
      <w:r w:rsidR="00626869">
        <w:t>,</w:t>
      </w:r>
      <w:r>
        <w:t xml:space="preserve"> </w:t>
      </w:r>
      <w:r w:rsidR="00626869">
        <w:t>and</w:t>
      </w:r>
      <w:r>
        <w:t xml:space="preserve"> more states </w:t>
      </w:r>
      <w:r w:rsidR="00626869">
        <w:t xml:space="preserve">are likely to </w:t>
      </w:r>
      <w:r>
        <w:t>follow.</w:t>
      </w:r>
      <w:r>
        <w:rPr>
          <w:rStyle w:val="FootnoteReference"/>
        </w:rPr>
        <w:footnoteReference w:id="35"/>
      </w:r>
      <w:r>
        <w:t xml:space="preserve"> With the public health emergency </w:t>
      </w:r>
      <w:r w:rsidR="00CF4725">
        <w:t xml:space="preserve">officially </w:t>
      </w:r>
      <w:r>
        <w:t>ending in May, SNAP recipients will lose their SNAP benefits in October 2023 unless they live in a waived area or fall under other exemptions.</w:t>
      </w:r>
      <w:r>
        <w:rPr>
          <w:rStyle w:val="FootnoteReference"/>
        </w:rPr>
        <w:footnoteReference w:id="36"/>
      </w:r>
      <w:r w:rsidR="00CF4725">
        <w:t xml:space="preserve"> New York State has been operating under a state-wide ABAWD waiver since September 2020.</w:t>
      </w:r>
      <w:r w:rsidR="00CF4725">
        <w:rPr>
          <w:rStyle w:val="FootnoteReference"/>
        </w:rPr>
        <w:footnoteReference w:id="37"/>
      </w:r>
      <w:r w:rsidR="002C51AB">
        <w:t xml:space="preserve"> </w:t>
      </w:r>
      <w:r w:rsidR="00CF4725">
        <w:t>New York’s State-wide waiver will end on February 29, 2024.</w:t>
      </w:r>
      <w:r w:rsidR="002C7D68">
        <w:rPr>
          <w:rStyle w:val="FootnoteReference"/>
        </w:rPr>
        <w:footnoteReference w:id="38"/>
      </w:r>
      <w:r w:rsidR="00CF4725">
        <w:t xml:space="preserve"> </w:t>
      </w:r>
    </w:p>
    <w:p w14:paraId="3FA3703E" w14:textId="1AB986F7" w:rsidR="00172A6F" w:rsidRPr="00172A6F" w:rsidRDefault="00172A6F" w:rsidP="00172A6F">
      <w:pPr>
        <w:spacing w:line="480" w:lineRule="auto"/>
        <w:jc w:val="both"/>
        <w:rPr>
          <w:i/>
          <w:iCs/>
        </w:rPr>
      </w:pPr>
      <w:r w:rsidRPr="00172A6F">
        <w:rPr>
          <w:i/>
          <w:iCs/>
        </w:rPr>
        <w:t>Emergency Food</w:t>
      </w:r>
      <w:r w:rsidR="001A20ED">
        <w:rPr>
          <w:i/>
          <w:iCs/>
        </w:rPr>
        <w:t xml:space="preserve"> Assistance Program</w:t>
      </w:r>
      <w:r w:rsidR="00B81B65">
        <w:rPr>
          <w:i/>
          <w:iCs/>
        </w:rPr>
        <w:t xml:space="preserve">/Community Food Connection </w:t>
      </w:r>
    </w:p>
    <w:p w14:paraId="50601B90" w14:textId="77777777" w:rsidR="001D0F55" w:rsidRDefault="00172A6F" w:rsidP="001D0F55">
      <w:pPr>
        <w:spacing w:line="480" w:lineRule="auto"/>
        <w:ind w:firstLine="720"/>
        <w:jc w:val="both"/>
      </w:pPr>
      <w:r w:rsidRPr="00502F24">
        <w:t>HRA</w:t>
      </w:r>
      <w:r w:rsidR="00B81B65">
        <w:t xml:space="preserve">’s Community Food Connection (CFC), formerly </w:t>
      </w:r>
      <w:r w:rsidRPr="00502F24">
        <w:t xml:space="preserve">the Emergency Food Assistance Program (EFAP), </w:t>
      </w:r>
      <w:r w:rsidRPr="00502F24">
        <w:rPr>
          <w:shd w:val="clear" w:color="auto" w:fill="FFFFFF"/>
        </w:rPr>
        <w:t>administers funding an</w:t>
      </w:r>
      <w:r w:rsidR="000F4D2B">
        <w:rPr>
          <w:shd w:val="clear" w:color="auto" w:fill="FFFFFF"/>
        </w:rPr>
        <w:t>d</w:t>
      </w:r>
      <w:r w:rsidRPr="00502F24">
        <w:rPr>
          <w:shd w:val="clear" w:color="auto" w:fill="FFFFFF"/>
        </w:rPr>
        <w:t xml:space="preserve"> coordinates the distribution of shelf-stable food to</w:t>
      </w:r>
      <w:r w:rsidRPr="00502F24">
        <w:rPr>
          <w:rStyle w:val="apple-converted-space"/>
          <w:shd w:val="clear" w:color="auto" w:fill="FFFFFF"/>
        </w:rPr>
        <w:t> </w:t>
      </w:r>
      <w:r w:rsidRPr="00502F24">
        <w:t xml:space="preserve">more than </w:t>
      </w:r>
      <w:r>
        <w:t xml:space="preserve">500 </w:t>
      </w:r>
      <w:r w:rsidRPr="00502F24">
        <w:t>food pantries and community kitchens citywide.</w:t>
      </w:r>
      <w:r w:rsidRPr="00502F24">
        <w:rPr>
          <w:rStyle w:val="FootnoteReference"/>
        </w:rPr>
        <w:footnoteReference w:id="39"/>
      </w:r>
      <w:r w:rsidRPr="00502F24">
        <w:t xml:space="preserve"> </w:t>
      </w:r>
      <w:r w:rsidR="00950DA1">
        <w:t>Reports from the end of 2022 show that food pantries had served 7,315,960 individuals and community kitchens had served 795,751 meals</w:t>
      </w:r>
      <w:r w:rsidR="000F4D2B">
        <w:t xml:space="preserve"> in New York City</w:t>
      </w:r>
      <w:r w:rsidR="00950DA1">
        <w:t>.</w:t>
      </w:r>
      <w:r w:rsidR="00950DA1">
        <w:rPr>
          <w:rStyle w:val="FootnoteReference"/>
        </w:rPr>
        <w:footnoteReference w:id="40"/>
      </w:r>
      <w:r w:rsidR="00950DA1">
        <w:t xml:space="preserve"> </w:t>
      </w:r>
      <w:r w:rsidR="000F4D2B">
        <w:t>CFC also provides administrative support to cover utilities, equipment, office supplies, and personnel to a food provider (food pantries and community kitchens) with the aim to improve the nutritional status of low-income New Yorkers.</w:t>
      </w:r>
      <w:r w:rsidR="000F4D2B">
        <w:rPr>
          <w:rStyle w:val="FootnoteReference"/>
        </w:rPr>
        <w:footnoteReference w:id="41"/>
      </w:r>
    </w:p>
    <w:p w14:paraId="36A4193B" w14:textId="7BB27437" w:rsidR="001D0F55" w:rsidRDefault="001D0F55" w:rsidP="001D0F55">
      <w:pPr>
        <w:spacing w:before="240" w:after="120"/>
        <w:jc w:val="center"/>
        <w:rPr>
          <w:rFonts w:eastAsia="Cambria"/>
          <w:b/>
          <w:bCs/>
        </w:rPr>
      </w:pPr>
      <w:r>
        <w:rPr>
          <w:rFonts w:eastAsia="Cambria"/>
          <w:b/>
          <w:bCs/>
          <w:noProof/>
        </w:rPr>
        <w:drawing>
          <wp:inline distT="0" distB="0" distL="0" distR="0" wp14:anchorId="5068CDB1" wp14:editId="5FA7D04C">
            <wp:extent cx="5916706" cy="502920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umber_CFC_locations_converte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16706" cy="5029200"/>
                    </a:xfrm>
                    <a:prstGeom prst="rect">
                      <a:avLst/>
                    </a:prstGeom>
                  </pic:spPr>
                </pic:pic>
              </a:graphicData>
            </a:graphic>
          </wp:inline>
        </w:drawing>
      </w:r>
    </w:p>
    <w:p w14:paraId="63DB6675" w14:textId="479587B5" w:rsidR="00CA1159" w:rsidRPr="00080966" w:rsidRDefault="00CA1159" w:rsidP="00CA1159">
      <w:pPr>
        <w:spacing w:line="480" w:lineRule="auto"/>
        <w:ind w:firstLine="720"/>
        <w:jc w:val="both"/>
      </w:pPr>
      <w:r>
        <w:t>The preceding map illustrates the concentration of emergency food providers enrolled in CFC across the City’s 51 City Council Districts. As of March 6, 2023, there were 559 providers, of which 479 were food pantries and 80 were soup kitchens.</w:t>
      </w:r>
      <w:r>
        <w:rPr>
          <w:rStyle w:val="FootnoteReference"/>
        </w:rPr>
        <w:footnoteReference w:id="42"/>
      </w:r>
    </w:p>
    <w:p w14:paraId="7C15D76E" w14:textId="3ABCAD51" w:rsidR="00172A6F" w:rsidRPr="004B59CD" w:rsidRDefault="00172A6F" w:rsidP="00172A6F">
      <w:pPr>
        <w:spacing w:line="480" w:lineRule="auto"/>
        <w:ind w:firstLine="720"/>
        <w:jc w:val="both"/>
      </w:pPr>
      <w:r w:rsidRPr="004B59CD">
        <w:t>Emergency food assistance is an essential service that is often used to supplement SNAP benefits</w:t>
      </w:r>
      <w:r>
        <w:t>, since SNAP benefits supply, on average, approximately two weeks</w:t>
      </w:r>
      <w:r w:rsidR="00AE501E">
        <w:t>’</w:t>
      </w:r>
      <w:r>
        <w:t xml:space="preserve"> worth of food for most households</w:t>
      </w:r>
      <w:r w:rsidRPr="004B59CD">
        <w:t>.</w:t>
      </w:r>
      <w:r>
        <w:rPr>
          <w:rStyle w:val="FootnoteReference"/>
        </w:rPr>
        <w:footnoteReference w:id="43"/>
      </w:r>
      <w:r w:rsidRPr="004B59CD">
        <w:t xml:space="preserve"> </w:t>
      </w:r>
      <w:r w:rsidR="004D3D54">
        <w:t xml:space="preserve">In </w:t>
      </w:r>
      <w:r w:rsidR="00575DB1">
        <w:t>FY</w:t>
      </w:r>
      <w:r w:rsidR="004D3D54">
        <w:t xml:space="preserve"> 2022, CFC distributed 17,755,087 </w:t>
      </w:r>
      <w:r w:rsidR="001A20ED">
        <w:t>pounds</w:t>
      </w:r>
      <w:r w:rsidR="004D3D54">
        <w:t xml:space="preserve"> of shelf stable and frozen foods.</w:t>
      </w:r>
      <w:r w:rsidR="004D3D54">
        <w:rPr>
          <w:rStyle w:val="FootnoteReference"/>
        </w:rPr>
        <w:footnoteReference w:id="44"/>
      </w:r>
      <w:r w:rsidR="002C51AB">
        <w:t xml:space="preserve"> The </w:t>
      </w:r>
      <w:r w:rsidR="004D3D54">
        <w:t>City’s Pandemic Food Reserved Emergency Distribution (PFRED) program</w:t>
      </w:r>
      <w:r w:rsidR="002C51AB">
        <w:t xml:space="preserve"> </w:t>
      </w:r>
      <w:r w:rsidR="004D3D54">
        <w:t xml:space="preserve">distributed 55,551,690 </w:t>
      </w:r>
      <w:r w:rsidR="001A20ED">
        <w:t>pounds</w:t>
      </w:r>
      <w:r w:rsidR="004D3D54">
        <w:t xml:space="preserve"> of food</w:t>
      </w:r>
      <w:r w:rsidR="00626869">
        <w:t>,</w:t>
      </w:r>
      <w:r w:rsidR="004D3D54">
        <w:t xml:space="preserve"> including fresh fruits and vegetables</w:t>
      </w:r>
      <w:r w:rsidR="00626869">
        <w:t>,</w:t>
      </w:r>
      <w:r w:rsidR="004D3D54">
        <w:t xml:space="preserve"> a</w:t>
      </w:r>
      <w:r w:rsidR="00626869">
        <w:t xml:space="preserve">s well as </w:t>
      </w:r>
      <w:r w:rsidR="004D3D54">
        <w:t>culturally relevant food.</w:t>
      </w:r>
      <w:r w:rsidR="004D3D54">
        <w:rPr>
          <w:rStyle w:val="FootnoteReference"/>
        </w:rPr>
        <w:footnoteReference w:id="45"/>
      </w:r>
    </w:p>
    <w:p w14:paraId="5D6E0E15" w14:textId="08758A8E" w:rsidR="00626869" w:rsidRPr="00172A6F" w:rsidRDefault="00172A6F">
      <w:pPr>
        <w:spacing w:line="480" w:lineRule="auto"/>
        <w:ind w:firstLine="720"/>
        <w:jc w:val="both"/>
      </w:pPr>
      <w:r w:rsidRPr="00445B4D">
        <w:t xml:space="preserve">According to a Food Bank for New York </w:t>
      </w:r>
      <w:r>
        <w:t xml:space="preserve">City </w:t>
      </w:r>
      <w:r w:rsidRPr="00445B4D">
        <w:t>survey in early 2018</w:t>
      </w:r>
      <w:r w:rsidR="003C77CD">
        <w:t xml:space="preserve">, 80% </w:t>
      </w:r>
      <w:r w:rsidRPr="00445B4D">
        <w:t>of food pantries and soup kitchens in NYC ha</w:t>
      </w:r>
      <w:r w:rsidR="00CD4C6D">
        <w:t>d</w:t>
      </w:r>
      <w:r w:rsidR="003C77CD">
        <w:t xml:space="preserve"> seen elevated traffic and 40%</w:t>
      </w:r>
      <w:r w:rsidRPr="00445B4D">
        <w:t xml:space="preserve"> reported the number of visitors increased by more than half.</w:t>
      </w:r>
      <w:r w:rsidRPr="00445B4D">
        <w:rPr>
          <w:rStyle w:val="FootnoteReference"/>
        </w:rPr>
        <w:footnoteReference w:id="46"/>
      </w:r>
      <w:r w:rsidRPr="00445B4D">
        <w:t xml:space="preserve"> Nearly half of food pantries and </w:t>
      </w:r>
      <w:r w:rsidR="00C215EB">
        <w:t xml:space="preserve">soup </w:t>
      </w:r>
      <w:r w:rsidRPr="00445B4D">
        <w:t>kitchens have an operating budget of under $25,000.</w:t>
      </w:r>
      <w:r w:rsidRPr="00445B4D">
        <w:rPr>
          <w:rStyle w:val="FootnoteReference"/>
        </w:rPr>
        <w:footnoteReference w:id="47"/>
      </w:r>
      <w:r w:rsidRPr="00445B4D">
        <w:t xml:space="preserve"> </w:t>
      </w:r>
      <w:r w:rsidR="004326FF">
        <w:t>Before the pandemic, o</w:t>
      </w:r>
      <w:r w:rsidRPr="00445B4D">
        <w:t>ver half of soup kitchens and food pantries repor</w:t>
      </w:r>
      <w:r w:rsidR="003C77CD">
        <w:t xml:space="preserve">ted running out of food and 29% </w:t>
      </w:r>
      <w:r w:rsidRPr="00445B4D">
        <w:t>reported turning people away because of lack of food.</w:t>
      </w:r>
      <w:r w:rsidRPr="00445B4D">
        <w:rPr>
          <w:rStyle w:val="FootnoteReference"/>
        </w:rPr>
        <w:footnoteReference w:id="48"/>
      </w:r>
    </w:p>
    <w:p w14:paraId="1C7078F6" w14:textId="73C1F022" w:rsidR="00734C89" w:rsidRDefault="00734C89" w:rsidP="00734C89">
      <w:pPr>
        <w:contextualSpacing/>
        <w:rPr>
          <w:b/>
          <w:bCs/>
          <w:u w:val="single"/>
        </w:rPr>
      </w:pPr>
      <w:r>
        <w:rPr>
          <w:b/>
          <w:bCs/>
          <w:u w:val="single"/>
        </w:rPr>
        <w:t>Food Insecurity and Older Adults</w:t>
      </w:r>
    </w:p>
    <w:p w14:paraId="75413027" w14:textId="52D81A8B" w:rsidR="00734C89" w:rsidRDefault="00734C89" w:rsidP="00734C89">
      <w:pPr>
        <w:contextualSpacing/>
        <w:rPr>
          <w:b/>
          <w:bCs/>
          <w:u w:val="single"/>
        </w:rPr>
      </w:pPr>
    </w:p>
    <w:p w14:paraId="7AA9AECF" w14:textId="4E32C3B2" w:rsidR="00734C89" w:rsidRPr="00734C89" w:rsidRDefault="00774A9A" w:rsidP="00BB2336">
      <w:pPr>
        <w:spacing w:line="480" w:lineRule="auto"/>
        <w:contextualSpacing/>
        <w:jc w:val="both"/>
        <w:rPr>
          <w:color w:val="000000"/>
        </w:rPr>
      </w:pPr>
      <w:r>
        <w:rPr>
          <w:color w:val="000000"/>
        </w:rPr>
        <w:tab/>
      </w:r>
      <w:r w:rsidR="00734C89" w:rsidRPr="00734C89">
        <w:rPr>
          <w:color w:val="000000"/>
        </w:rPr>
        <w:t>Prior to the pandemic, one in 10 older New Yorkers reported food insecurity, but a 2021 study by Food Bank for New York City found that number to have increased to one-in-five.</w:t>
      </w:r>
      <w:r w:rsidR="0094567F">
        <w:rPr>
          <w:rStyle w:val="FootnoteReference"/>
          <w:color w:val="000000"/>
        </w:rPr>
        <w:footnoteReference w:id="49"/>
      </w:r>
      <w:r w:rsidR="0094567F">
        <w:rPr>
          <w:color w:val="000000"/>
        </w:rPr>
        <w:t xml:space="preserve"> </w:t>
      </w:r>
      <w:r w:rsidR="00734C89" w:rsidRPr="00734C89">
        <w:rPr>
          <w:color w:val="000000"/>
        </w:rPr>
        <w:t>Among households with persons aged 65 and older, the rate of food insecurity was below the national average, at 7.1</w:t>
      </w:r>
      <w:r w:rsidR="003C77CD">
        <w:rPr>
          <w:color w:val="000000"/>
        </w:rPr>
        <w:t>%</w:t>
      </w:r>
      <w:r w:rsidR="0094567F">
        <w:rPr>
          <w:color w:val="000000"/>
        </w:rPr>
        <w:t>.</w:t>
      </w:r>
      <w:r w:rsidR="0094567F">
        <w:rPr>
          <w:rStyle w:val="FootnoteReference"/>
          <w:color w:val="000000"/>
        </w:rPr>
        <w:footnoteReference w:id="50"/>
      </w:r>
      <w:r w:rsidR="0094567F">
        <w:rPr>
          <w:color w:val="000000"/>
        </w:rPr>
        <w:t xml:space="preserve"> </w:t>
      </w:r>
      <w:r w:rsidR="00734C89" w:rsidRPr="00734C89">
        <w:rPr>
          <w:color w:val="000000"/>
        </w:rPr>
        <w:t>However, for households with persons aged 65 and older living alone, the rate of food insecu</w:t>
      </w:r>
      <w:r w:rsidR="003C77CD">
        <w:rPr>
          <w:color w:val="000000"/>
        </w:rPr>
        <w:t xml:space="preserve">rity was slightly higher at 9.5%, representing a 1.2% </w:t>
      </w:r>
      <w:r w:rsidR="00734C89" w:rsidRPr="00734C89">
        <w:rPr>
          <w:color w:val="000000"/>
        </w:rPr>
        <w:t>increase from 2020.</w:t>
      </w:r>
      <w:r w:rsidR="0094567F">
        <w:rPr>
          <w:rStyle w:val="FootnoteReference"/>
          <w:color w:val="000000"/>
        </w:rPr>
        <w:footnoteReference w:id="51"/>
      </w:r>
      <w:r w:rsidR="0094567F">
        <w:rPr>
          <w:color w:val="000000"/>
        </w:rPr>
        <w:t xml:space="preserve"> </w:t>
      </w:r>
      <w:r w:rsidR="00734C89" w:rsidRPr="00734C89">
        <w:rPr>
          <w:color w:val="000000"/>
        </w:rPr>
        <w:t xml:space="preserve">According to a study published by United Neighborhood Houses, among NYC residents aged 60 and older, older adults of color are five to six times more likely than their white counterparts to </w:t>
      </w:r>
      <w:r w:rsidR="003C77CD">
        <w:rPr>
          <w:color w:val="000000"/>
        </w:rPr>
        <w:t>experience food insecurity</w:t>
      </w:r>
      <w:r w:rsidR="00734C89" w:rsidRPr="00734C89">
        <w:rPr>
          <w:color w:val="000000"/>
        </w:rPr>
        <w:t>.</w:t>
      </w:r>
      <w:r w:rsidR="0094567F">
        <w:rPr>
          <w:rStyle w:val="FootnoteReference"/>
          <w:color w:val="000000"/>
        </w:rPr>
        <w:footnoteReference w:id="52"/>
      </w:r>
    </w:p>
    <w:p w14:paraId="72B4D65A" w14:textId="0BB68E5F" w:rsidR="0094567F" w:rsidRDefault="003C187F" w:rsidP="0094567F">
      <w:pPr>
        <w:spacing w:line="480" w:lineRule="auto"/>
        <w:ind w:firstLine="720"/>
        <w:contextualSpacing/>
        <w:jc w:val="both"/>
      </w:pPr>
      <w:r>
        <w:rPr>
          <w:color w:val="000000"/>
        </w:rPr>
        <w:t>At least o</w:t>
      </w:r>
      <w:r w:rsidR="0094567F" w:rsidRPr="00734C89">
        <w:rPr>
          <w:color w:val="000000"/>
        </w:rPr>
        <w:t xml:space="preserve">ne in </w:t>
      </w:r>
      <w:r>
        <w:rPr>
          <w:color w:val="000000"/>
        </w:rPr>
        <w:t>six</w:t>
      </w:r>
      <w:r w:rsidR="0094567F" w:rsidRPr="00734C89">
        <w:rPr>
          <w:color w:val="000000"/>
        </w:rPr>
        <w:t xml:space="preserve"> older New Yorkers is a SNAP recipient.</w:t>
      </w:r>
      <w:r>
        <w:rPr>
          <w:rStyle w:val="FootnoteReference"/>
          <w:color w:val="000000"/>
        </w:rPr>
        <w:footnoteReference w:id="53"/>
      </w:r>
      <w:r w:rsidR="0094567F">
        <w:rPr>
          <w:color w:val="000000"/>
        </w:rPr>
        <w:t xml:space="preserve"> </w:t>
      </w:r>
      <w:r w:rsidR="007A4D31">
        <w:rPr>
          <w:color w:val="000000"/>
        </w:rPr>
        <w:t>In fact, the Council estimates that one in four older New Yorkers uses SNAP benefits.</w:t>
      </w:r>
      <w:r w:rsidR="007A4D31">
        <w:rPr>
          <w:rStyle w:val="FootnoteReference"/>
          <w:color w:val="000000"/>
        </w:rPr>
        <w:footnoteReference w:id="54"/>
      </w:r>
      <w:r w:rsidR="007A4D31">
        <w:rPr>
          <w:color w:val="000000"/>
        </w:rPr>
        <w:t xml:space="preserve"> </w:t>
      </w:r>
      <w:r w:rsidR="00774A9A">
        <w:rPr>
          <w:color w:val="000000"/>
        </w:rPr>
        <w:t>The</w:t>
      </w:r>
      <w:r w:rsidR="00734C89" w:rsidRPr="00734C89">
        <w:rPr>
          <w:color w:val="000000"/>
        </w:rPr>
        <w:t xml:space="preserve"> average number of monthly SNAP recipients aged 65 or older</w:t>
      </w:r>
      <w:r>
        <w:rPr>
          <w:color w:val="000000"/>
        </w:rPr>
        <w:t xml:space="preserve"> in New York</w:t>
      </w:r>
      <w:r w:rsidR="00734C89" w:rsidRPr="00734C89">
        <w:rPr>
          <w:color w:val="000000"/>
        </w:rPr>
        <w:t xml:space="preserve"> was 368,224 in 2022.</w:t>
      </w:r>
      <w:r w:rsidR="007A4D31">
        <w:rPr>
          <w:rStyle w:val="FootnoteReference"/>
          <w:color w:val="000000"/>
        </w:rPr>
        <w:footnoteReference w:id="55"/>
      </w:r>
      <w:r w:rsidR="0094567F">
        <w:rPr>
          <w:color w:val="000000"/>
        </w:rPr>
        <w:t xml:space="preserve"> </w:t>
      </w:r>
      <w:r w:rsidR="0094567F" w:rsidRPr="0094567F">
        <w:t>Unfortunately, advocates estimate that almost 200,000 older adults in New York State may be eligible for SNAP benefits, but are not receiving such benefits.</w:t>
      </w:r>
      <w:r w:rsidR="0094567F" w:rsidRPr="0094567F">
        <w:rPr>
          <w:vertAlign w:val="superscript"/>
        </w:rPr>
        <w:footnoteReference w:id="56"/>
      </w:r>
    </w:p>
    <w:p w14:paraId="5AA44118" w14:textId="0D33581D" w:rsidR="00734C89" w:rsidRDefault="0094567F" w:rsidP="007A4D31">
      <w:pPr>
        <w:spacing w:line="480" w:lineRule="auto"/>
        <w:ind w:firstLine="720"/>
        <w:contextualSpacing/>
        <w:jc w:val="both"/>
        <w:rPr>
          <w:color w:val="000000"/>
        </w:rPr>
      </w:pPr>
      <w:r w:rsidRPr="00734C89">
        <w:rPr>
          <w:color w:val="000000"/>
        </w:rPr>
        <w:t>A report from the New York State Comptroller predicts that food insecurity may be on the rise across the state because of the lapse in pandemic SNAP supports coinciding with rapid inflation and rising prices</w:t>
      </w:r>
      <w:r>
        <w:rPr>
          <w:color w:val="000000"/>
        </w:rPr>
        <w:t>.</w:t>
      </w:r>
      <w:r w:rsidR="008642B1">
        <w:rPr>
          <w:rStyle w:val="FootnoteReference"/>
          <w:color w:val="000000"/>
        </w:rPr>
        <w:footnoteReference w:id="57"/>
      </w:r>
      <w:r w:rsidRPr="00734C89">
        <w:rPr>
          <w:color w:val="000000"/>
        </w:rPr>
        <w:t xml:space="preserve"> </w:t>
      </w:r>
      <w:r w:rsidR="00734C89" w:rsidRPr="00734C89">
        <w:rPr>
          <w:color w:val="000000"/>
        </w:rPr>
        <w:t>Paired with the rising cost of food, which climbed nearly 10% in 2022 and is predicted to surge an additional 7% in 2023, expiration</w:t>
      </w:r>
      <w:r w:rsidR="00626869">
        <w:rPr>
          <w:color w:val="000000"/>
        </w:rPr>
        <w:t xml:space="preserve"> of emergency allotments</w:t>
      </w:r>
      <w:r w:rsidR="00734C89" w:rsidRPr="00734C89">
        <w:rPr>
          <w:color w:val="000000"/>
        </w:rPr>
        <w:t xml:space="preserve"> stand to thrust many SNAP recipients into food insecurity, including many older New Yorkers.</w:t>
      </w:r>
      <w:r>
        <w:rPr>
          <w:rStyle w:val="FootnoteReference"/>
          <w:color w:val="000000"/>
        </w:rPr>
        <w:footnoteReference w:id="58"/>
      </w:r>
      <w:r w:rsidR="00734C89" w:rsidRPr="00734C89">
        <w:rPr>
          <w:color w:val="000000"/>
        </w:rPr>
        <w:t xml:space="preserve"> </w:t>
      </w:r>
      <w:r w:rsidRPr="00734C89">
        <w:rPr>
          <w:color w:val="000000"/>
        </w:rPr>
        <w:t>The expiration will impact nearly 41 million SNAP recipients nationally, with the average recipient likely to lose 90 dollars per month in benefits.</w:t>
      </w:r>
      <w:r w:rsidR="008F2D6E">
        <w:rPr>
          <w:rStyle w:val="FootnoteReference"/>
          <w:color w:val="000000"/>
        </w:rPr>
        <w:footnoteReference w:id="59"/>
      </w:r>
      <w:r w:rsidRPr="00734C89">
        <w:rPr>
          <w:color w:val="000000"/>
        </w:rPr>
        <w:t xml:space="preserve"> In New York State, 2.9 million households are en</w:t>
      </w:r>
      <w:r w:rsidR="005C5A1C">
        <w:rPr>
          <w:color w:val="000000"/>
        </w:rPr>
        <w:t>rolled in SNAP and</w:t>
      </w:r>
      <w:r w:rsidRPr="00734C89">
        <w:rPr>
          <w:color w:val="000000"/>
        </w:rPr>
        <w:t xml:space="preserve"> lost the EA</w:t>
      </w:r>
      <w:r w:rsidR="005C5A1C">
        <w:rPr>
          <w:color w:val="000000"/>
        </w:rPr>
        <w:t xml:space="preserve"> as of March 1, 2023</w:t>
      </w:r>
      <w:r w:rsidRPr="00734C89">
        <w:rPr>
          <w:color w:val="000000"/>
        </w:rPr>
        <w:t>.</w:t>
      </w:r>
      <w:r w:rsidR="009575E6">
        <w:rPr>
          <w:rStyle w:val="FootnoteReference"/>
          <w:color w:val="000000"/>
        </w:rPr>
        <w:footnoteReference w:id="60"/>
      </w:r>
      <w:r w:rsidRPr="00734C89">
        <w:rPr>
          <w:color w:val="000000"/>
        </w:rPr>
        <w:t> </w:t>
      </w:r>
      <w:r>
        <w:rPr>
          <w:color w:val="000000"/>
        </w:rPr>
        <w:t>This recent change stands to disproportionately impact older adults.</w:t>
      </w:r>
      <w:r>
        <w:rPr>
          <w:rStyle w:val="FootnoteReference"/>
          <w:color w:val="000000"/>
        </w:rPr>
        <w:footnoteReference w:id="61"/>
      </w:r>
    </w:p>
    <w:p w14:paraId="39318CDD" w14:textId="1D335F42" w:rsidR="007A4D31" w:rsidRPr="007A4D31" w:rsidRDefault="007A4D31" w:rsidP="006A0356">
      <w:pPr>
        <w:spacing w:line="480" w:lineRule="auto"/>
        <w:contextualSpacing/>
        <w:jc w:val="both"/>
        <w:rPr>
          <w:color w:val="000000"/>
        </w:rPr>
      </w:pPr>
      <w:r>
        <w:rPr>
          <w:i/>
          <w:iCs/>
          <w:color w:val="000000"/>
        </w:rPr>
        <w:t>Older Adult Centers</w:t>
      </w:r>
    </w:p>
    <w:p w14:paraId="5A68B1F2" w14:textId="468A38AE" w:rsidR="007A4D31" w:rsidRPr="00664739" w:rsidRDefault="007A4D31" w:rsidP="006A0356">
      <w:pPr>
        <w:spacing w:line="480" w:lineRule="auto"/>
        <w:contextualSpacing/>
        <w:jc w:val="both"/>
      </w:pPr>
      <w:r>
        <w:rPr>
          <w:color w:val="000000"/>
        </w:rPr>
        <w:tab/>
      </w:r>
      <w:r w:rsidRPr="00664739">
        <w:t>Until the COVID-19 pandemic, older adult centers (“OACs”) funded by</w:t>
      </w:r>
      <w:r w:rsidR="00E11342">
        <w:t xml:space="preserve"> NYC Aging</w:t>
      </w:r>
      <w:r w:rsidRPr="00664739">
        <w:t xml:space="preserve"> served almost 30,000 individuals daily</w:t>
      </w:r>
      <w:r w:rsidRPr="00664739">
        <w:rPr>
          <w:vertAlign w:val="superscript"/>
        </w:rPr>
        <w:footnoteReference w:id="62"/>
      </w:r>
      <w:r w:rsidRPr="00664739">
        <w:t xml:space="preserve"> at nearly 250 sites citywide.</w:t>
      </w:r>
      <w:r w:rsidRPr="00664739">
        <w:rPr>
          <w:vertAlign w:val="superscript"/>
        </w:rPr>
        <w:footnoteReference w:id="63"/>
      </w:r>
      <w:r w:rsidRPr="00664739">
        <w:t xml:space="preserve"> There are now more than 300 OACs and affiliated sites operating in the five boroughs.</w:t>
      </w:r>
      <w:r w:rsidRPr="00664739">
        <w:rPr>
          <w:vertAlign w:val="superscript"/>
        </w:rPr>
        <w:footnoteReference w:id="64"/>
      </w:r>
      <w:r w:rsidRPr="00664739">
        <w:t xml:space="preserve"> OACs “are spaces of community, of learning, of supports, of health and well-being, and spaces where people can build a life of meaning and purpose.”</w:t>
      </w:r>
      <w:r w:rsidRPr="00664739">
        <w:rPr>
          <w:vertAlign w:val="superscript"/>
        </w:rPr>
        <w:footnoteReference w:id="65"/>
      </w:r>
      <w:r w:rsidRPr="00664739">
        <w:t xml:space="preserve"> OACs play a vital role in meal provision for older adults, offering “healthy and nutritious” meals at no cost that strive to be representative of the communities served by each OAC.</w:t>
      </w:r>
      <w:r w:rsidRPr="00664739">
        <w:rPr>
          <w:vertAlign w:val="superscript"/>
        </w:rPr>
        <w:footnoteReference w:id="66"/>
      </w:r>
      <w:r w:rsidRPr="00664739">
        <w:t xml:space="preserve"> According to </w:t>
      </w:r>
      <w:r w:rsidR="00E11342">
        <w:t>NYC Aging</w:t>
      </w:r>
      <w:r w:rsidRPr="00664739">
        <w:t>, meals served at OACs are certified by registered dietitians to ensure they are nutritious and meet dietary guidelines and standards.</w:t>
      </w:r>
      <w:r w:rsidRPr="00664739">
        <w:rPr>
          <w:vertAlign w:val="superscript"/>
        </w:rPr>
        <w:footnoteReference w:id="67"/>
      </w:r>
      <w:r w:rsidRPr="00664739">
        <w:t xml:space="preserve"> Some centers also offer breakfast, dinner and grab-and-go options.</w:t>
      </w:r>
      <w:r w:rsidRPr="00664739">
        <w:rPr>
          <w:vertAlign w:val="superscript"/>
        </w:rPr>
        <w:footnoteReference w:id="68"/>
      </w:r>
      <w:r w:rsidRPr="00664739">
        <w:t xml:space="preserve"> Centers also host workshops and trainings on nutrition and healthy cooking to help older adults make decisions regarding their health and diet.</w:t>
      </w:r>
      <w:r w:rsidRPr="00664739">
        <w:rPr>
          <w:vertAlign w:val="superscript"/>
        </w:rPr>
        <w:footnoteReference w:id="69"/>
      </w:r>
    </w:p>
    <w:p w14:paraId="14C00591" w14:textId="77777777" w:rsidR="008F2D6E" w:rsidRDefault="007A4D31" w:rsidP="008F2D6E">
      <w:pPr>
        <w:spacing w:line="480" w:lineRule="auto"/>
        <w:ind w:firstLine="720"/>
        <w:contextualSpacing/>
        <w:jc w:val="both"/>
      </w:pPr>
      <w:r w:rsidRPr="00664739">
        <w:t>Prior to the pandemic, many older adults relied on OAC meals for more than half of their daily nutritional intake.</w:t>
      </w:r>
      <w:r w:rsidRPr="00664739">
        <w:rPr>
          <w:vertAlign w:val="superscript"/>
        </w:rPr>
        <w:footnoteReference w:id="70"/>
      </w:r>
      <w:r w:rsidRPr="00664739">
        <w:t xml:space="preserve"> In June 2021, OACs received guidance from DOHMH to reopen for in-person programming, including meals. Since then, over 2.7 million congregate and grab-and-go meals have been served at OACs.</w:t>
      </w:r>
      <w:r w:rsidRPr="00664739">
        <w:rPr>
          <w:vertAlign w:val="superscript"/>
        </w:rPr>
        <w:footnoteReference w:id="71"/>
      </w:r>
      <w:r w:rsidRPr="00664739">
        <w:t xml:space="preserve"> On March 21, 2022, </w:t>
      </w:r>
      <w:r w:rsidR="00E11342">
        <w:t>NYC Aging</w:t>
      </w:r>
      <w:r w:rsidRPr="00664739">
        <w:t xml:space="preserve"> notified providers that OAC capacity restrictions were lifted and program</w:t>
      </w:r>
      <w:r w:rsidR="006E3000">
        <w:t>ming could resume at 100%</w:t>
      </w:r>
      <w:r w:rsidRPr="00664739">
        <w:t xml:space="preserve"> capacity.</w:t>
      </w:r>
      <w:r w:rsidRPr="00664739">
        <w:rPr>
          <w:vertAlign w:val="superscript"/>
        </w:rPr>
        <w:footnoteReference w:id="72"/>
      </w:r>
    </w:p>
    <w:p w14:paraId="1C743CAF" w14:textId="26C2A851" w:rsidR="007A4D31" w:rsidRDefault="007A4D31" w:rsidP="008F2D6E">
      <w:pPr>
        <w:spacing w:line="480" w:lineRule="auto"/>
        <w:ind w:firstLine="720"/>
        <w:contextualSpacing/>
        <w:jc w:val="both"/>
      </w:pPr>
      <w:r w:rsidRPr="00664739">
        <w:t>In addition, some OACs provide case assistance services where staff can provide information on benefits or entitlements, such as food assistance through the Supplemental Nutrition Assistance Program (SNAP).</w:t>
      </w:r>
      <w:r w:rsidRPr="00664739">
        <w:rPr>
          <w:vertAlign w:val="superscript"/>
        </w:rPr>
        <w:footnoteReference w:id="73"/>
      </w:r>
      <w:r w:rsidRPr="00664739">
        <w:t xml:space="preserve"> Centers may also refer older adults to benefits access and assistance programs or to </w:t>
      </w:r>
      <w:r w:rsidR="00E11342">
        <w:t>NYC Aging</w:t>
      </w:r>
      <w:r w:rsidRPr="00664739">
        <w:t>’s Aging Connect service.</w:t>
      </w:r>
      <w:r w:rsidRPr="00664739">
        <w:rPr>
          <w:vertAlign w:val="superscript"/>
        </w:rPr>
        <w:footnoteReference w:id="74"/>
      </w:r>
    </w:p>
    <w:p w14:paraId="3248C8F0" w14:textId="0382241E" w:rsidR="007A4D31" w:rsidRDefault="007A4D31" w:rsidP="006A0356">
      <w:pPr>
        <w:spacing w:line="480" w:lineRule="auto"/>
        <w:ind w:firstLine="720"/>
        <w:contextualSpacing/>
        <w:jc w:val="both"/>
      </w:pPr>
      <w:r>
        <w:t>In its FY</w:t>
      </w:r>
      <w:r w:rsidR="00DA65E8">
        <w:t xml:space="preserve"> 20</w:t>
      </w:r>
      <w:r>
        <w:t>24 Budget Preliminary Budget Response, the Council called on t</w:t>
      </w:r>
      <w:r w:rsidRPr="001E72A1">
        <w:t xml:space="preserve">he Administration </w:t>
      </w:r>
      <w:r>
        <w:t>to increase</w:t>
      </w:r>
      <w:r w:rsidRPr="001E72A1">
        <w:t xml:space="preserve"> NYC Aging’s budget </w:t>
      </w:r>
      <w:r>
        <w:t>by $51 million to support older adult</w:t>
      </w:r>
      <w:r w:rsidRPr="001E72A1">
        <w:t xml:space="preserve"> centers.</w:t>
      </w:r>
      <w:r>
        <w:rPr>
          <w:rStyle w:val="FootnoteReference"/>
        </w:rPr>
        <w:footnoteReference w:id="75"/>
      </w:r>
      <w:r>
        <w:t xml:space="preserve"> This additional funding w</w:t>
      </w:r>
      <w:r w:rsidRPr="001E72A1">
        <w:t xml:space="preserve">ould </w:t>
      </w:r>
      <w:r>
        <w:t xml:space="preserve">largely </w:t>
      </w:r>
      <w:r w:rsidRPr="001E72A1">
        <w:t>be used to cover</w:t>
      </w:r>
      <w:r>
        <w:t xml:space="preserve"> an inflation cost adjustment for</w:t>
      </w:r>
      <w:r w:rsidRPr="001E72A1">
        <w:t xml:space="preserve"> congregate meals.</w:t>
      </w:r>
      <w:r>
        <w:rPr>
          <w:rStyle w:val="FootnoteReference"/>
        </w:rPr>
        <w:footnoteReference w:id="76"/>
      </w:r>
      <w:r w:rsidRPr="001E72A1">
        <w:t xml:space="preserve"> The meals portion of the</w:t>
      </w:r>
      <w:r w:rsidR="006E3000">
        <w:t xml:space="preserve"> funding reflects a 23.2%</w:t>
      </w:r>
      <w:r w:rsidRPr="001E72A1">
        <w:t xml:space="preserve"> inflation adjustment based on extensive </w:t>
      </w:r>
      <w:r>
        <w:t>surveys conducted by advocates.</w:t>
      </w:r>
      <w:r>
        <w:rPr>
          <w:rStyle w:val="FootnoteReference"/>
        </w:rPr>
        <w:footnoteReference w:id="77"/>
      </w:r>
    </w:p>
    <w:p w14:paraId="63C97045" w14:textId="6CDFBC73" w:rsidR="00DA65E8" w:rsidRDefault="00DA65E8" w:rsidP="006A0356">
      <w:pPr>
        <w:spacing w:line="480" w:lineRule="auto"/>
        <w:ind w:firstLine="720"/>
        <w:contextualSpacing/>
        <w:jc w:val="both"/>
      </w:pPr>
    </w:p>
    <w:p w14:paraId="5E4D783E" w14:textId="4AC28A7A" w:rsidR="008F2D6E" w:rsidRDefault="008F2D6E" w:rsidP="006A0356">
      <w:pPr>
        <w:spacing w:line="480" w:lineRule="auto"/>
        <w:ind w:firstLine="720"/>
        <w:contextualSpacing/>
        <w:jc w:val="both"/>
      </w:pPr>
    </w:p>
    <w:p w14:paraId="244747D5" w14:textId="77777777" w:rsidR="008F2D6E" w:rsidRPr="00664739" w:rsidRDefault="008F2D6E" w:rsidP="006A0356">
      <w:pPr>
        <w:spacing w:line="480" w:lineRule="auto"/>
        <w:ind w:firstLine="720"/>
        <w:contextualSpacing/>
        <w:jc w:val="both"/>
      </w:pPr>
    </w:p>
    <w:p w14:paraId="2D515DFB" w14:textId="392ABB68" w:rsidR="007A4D31" w:rsidRPr="007A4D31" w:rsidRDefault="00E11342" w:rsidP="006A0356">
      <w:pPr>
        <w:spacing w:after="160" w:line="480" w:lineRule="auto"/>
        <w:contextualSpacing/>
        <w:jc w:val="both"/>
      </w:pPr>
      <w:r>
        <w:rPr>
          <w:i/>
        </w:rPr>
        <w:t>NYC Aging</w:t>
      </w:r>
      <w:r w:rsidR="007A4D31" w:rsidRPr="007A4D31">
        <w:rPr>
          <w:i/>
        </w:rPr>
        <w:t>’s Home Delivered Meals Program</w:t>
      </w:r>
    </w:p>
    <w:p w14:paraId="258F21E7" w14:textId="7590E8CC" w:rsidR="007A4D31" w:rsidRPr="00664739" w:rsidRDefault="007A4D31" w:rsidP="006A0356">
      <w:pPr>
        <w:spacing w:line="480" w:lineRule="auto"/>
        <w:ind w:firstLine="720"/>
        <w:contextualSpacing/>
        <w:jc w:val="both"/>
      </w:pPr>
      <w:r w:rsidRPr="00664739">
        <w:t xml:space="preserve">To help combat older adult food insecurity, </w:t>
      </w:r>
      <w:r w:rsidR="00E11342">
        <w:t>NYC Aging</w:t>
      </w:r>
      <w:r w:rsidRPr="00664739">
        <w:t xml:space="preserve"> offers older adults a variety of ways in which to receive meals. Those who are unable to attend older adult centers can receive meals through </w:t>
      </w:r>
      <w:r w:rsidR="00E11342">
        <w:t>NYC Aging</w:t>
      </w:r>
      <w:r w:rsidRPr="00664739">
        <w:t>’s Home Delivered Meals (“HDM”) program,</w:t>
      </w:r>
      <w:r w:rsidRPr="00664739">
        <w:rPr>
          <w:vertAlign w:val="superscript"/>
        </w:rPr>
        <w:footnoteReference w:id="78"/>
      </w:r>
      <w:r w:rsidRPr="00664739">
        <w:t xml:space="preserve"> so long as they meet certain qualifications, discussed in more detail below. </w:t>
      </w:r>
    </w:p>
    <w:p w14:paraId="7F146BD6" w14:textId="2606995B" w:rsidR="007A4D31" w:rsidRDefault="007A4D31" w:rsidP="006A0356">
      <w:pPr>
        <w:spacing w:line="480" w:lineRule="auto"/>
        <w:ind w:firstLine="720"/>
        <w:contextualSpacing/>
        <w:jc w:val="both"/>
      </w:pPr>
      <w:r w:rsidRPr="00664739">
        <w:t>The Older Americans Act (OAA) Nutrition Program was signed into law in 1972, establishing the first federal program to improve the food security of older adults.</w:t>
      </w:r>
      <w:r w:rsidRPr="00664739">
        <w:rPr>
          <w:vertAlign w:val="superscript"/>
        </w:rPr>
        <w:footnoteReference w:id="79"/>
      </w:r>
      <w:r w:rsidRPr="00664739">
        <w:t xml:space="preserve"> The OAA Senior Nutrition Program administered by the U.S. Department of Health and Human Services’ Administration for Community Living (ACL) continues to fund local agencies and organizations that help older adults aged 60 and over access healthy meals and other resources, including meals delivered directly to their homes.</w:t>
      </w:r>
      <w:r w:rsidRPr="00664739">
        <w:rPr>
          <w:vertAlign w:val="superscript"/>
        </w:rPr>
        <w:footnoteReference w:id="80"/>
      </w:r>
      <w:r w:rsidRPr="00664739">
        <w:t xml:space="preserve"> </w:t>
      </w:r>
      <w:r w:rsidR="00E11342">
        <w:t>NYC Aging</w:t>
      </w:r>
      <w:r w:rsidRPr="00664739">
        <w:t xml:space="preserve"> operates the Home Delivered Meals (HDM) program through a network of contracted (and subcontracted) community-based organizations (“providers”) and commercial caterers.</w:t>
      </w:r>
      <w:r w:rsidRPr="00664739">
        <w:rPr>
          <w:vertAlign w:val="superscript"/>
        </w:rPr>
        <w:footnoteReference w:id="81"/>
      </w:r>
      <w:r w:rsidRPr="00664739">
        <w:t xml:space="preserve"> To receive home-delivered meals, an older adult must receive authorization from a</w:t>
      </w:r>
      <w:r w:rsidR="00E11342">
        <w:t>n NYC-Aging</w:t>
      </w:r>
      <w:r w:rsidRPr="00664739">
        <w:t>-funded case management organization following an assessment.</w:t>
      </w:r>
      <w:r w:rsidRPr="00664739">
        <w:rPr>
          <w:vertAlign w:val="superscript"/>
        </w:rPr>
        <w:footnoteReference w:id="82"/>
      </w:r>
      <w:r w:rsidRPr="00664739">
        <w:t xml:space="preserve"> Older adults with a disability or diminished mobility that makes it difficult for them to shop for food or prepare their meals are eligible for the HDM program.</w:t>
      </w:r>
      <w:r w:rsidRPr="00664739">
        <w:rPr>
          <w:vertAlign w:val="superscript"/>
        </w:rPr>
        <w:footnoteReference w:id="83"/>
      </w:r>
      <w:r w:rsidRPr="00664739">
        <w:t xml:space="preserve"> Nonprofit providers, which include four settlement houses who are lead contractors, deliver a daily nutritious meal five days a week to these homebound older adults while ensuring that HDM participants receive case management, regular in-person wellness checks, and contact from drivers who are trained on how to work with older adults.</w:t>
      </w:r>
      <w:r w:rsidRPr="00664739">
        <w:rPr>
          <w:vertAlign w:val="superscript"/>
        </w:rPr>
        <w:footnoteReference w:id="84"/>
      </w:r>
    </w:p>
    <w:p w14:paraId="4D79F78A" w14:textId="749379FF" w:rsidR="007A4D31" w:rsidRPr="00664739" w:rsidRDefault="007A4D31" w:rsidP="006A0356">
      <w:pPr>
        <w:spacing w:line="480" w:lineRule="auto"/>
        <w:ind w:firstLine="720"/>
        <w:contextualSpacing/>
        <w:jc w:val="both"/>
      </w:pPr>
      <w:r w:rsidRPr="005E4055">
        <w:t>In F</w:t>
      </w:r>
      <w:r>
        <w:t xml:space="preserve">Y </w:t>
      </w:r>
      <w:r w:rsidRPr="005E4055">
        <w:t>2023, $3 million was allocated through</w:t>
      </w:r>
      <w:r>
        <w:t xml:space="preserve"> the Council’s discretionary fu</w:t>
      </w:r>
      <w:r w:rsidRPr="005E4055">
        <w:t>nding to purchase 44 HDM van</w:t>
      </w:r>
      <w:r>
        <w:t>s to extend the coverage of the HDM program.</w:t>
      </w:r>
      <w:r>
        <w:rPr>
          <w:rStyle w:val="FootnoteReference"/>
        </w:rPr>
        <w:footnoteReference w:id="85"/>
      </w:r>
      <w:r>
        <w:t xml:space="preserve"> For FY</w:t>
      </w:r>
      <w:r w:rsidR="00DA65E8">
        <w:t xml:space="preserve"> 20</w:t>
      </w:r>
      <w:r>
        <w:t>24, the Council is calling</w:t>
      </w:r>
      <w:r w:rsidRPr="005E4055">
        <w:t xml:space="preserve"> on the Administration to continue funding HDM vans by adding $5 million to NYC Aging’s Capital Plan.</w:t>
      </w:r>
      <w:r>
        <w:rPr>
          <w:rStyle w:val="FootnoteReference"/>
        </w:rPr>
        <w:footnoteReference w:id="86"/>
      </w:r>
    </w:p>
    <w:p w14:paraId="5B1A3A47" w14:textId="5BE42B87" w:rsidR="007A4D31" w:rsidRDefault="007A4D31" w:rsidP="006A0356">
      <w:pPr>
        <w:spacing w:line="480" w:lineRule="auto"/>
        <w:ind w:firstLine="720"/>
        <w:contextualSpacing/>
        <w:jc w:val="both"/>
      </w:pPr>
      <w:r w:rsidRPr="00664739">
        <w:t>HDM providers have been impacted by rising raw food and transportation costs due to inflation and supply chain shortages.</w:t>
      </w:r>
      <w:r w:rsidRPr="00664739">
        <w:rPr>
          <w:vertAlign w:val="superscript"/>
        </w:rPr>
        <w:footnoteReference w:id="87"/>
      </w:r>
      <w:r w:rsidRPr="00664739">
        <w:t xml:space="preserve"> Raw food costs </w:t>
      </w:r>
      <w:r w:rsidR="006E3000">
        <w:t>have risen by at least 7%</w:t>
      </w:r>
      <w:r w:rsidRPr="00664739">
        <w:t xml:space="preserve"> since 2021.</w:t>
      </w:r>
      <w:r w:rsidRPr="00664739">
        <w:rPr>
          <w:vertAlign w:val="superscript"/>
        </w:rPr>
        <w:footnoteReference w:id="88"/>
      </w:r>
      <w:r w:rsidRPr="00664739">
        <w:t xml:space="preserve"> To help address this, the FY 2023 Budget included additional funding to support increased contract reimbursement rates for the HDM program, with $2.3 million added for FY</w:t>
      </w:r>
      <w:r w:rsidR="00DA65E8">
        <w:t xml:space="preserve"> 20</w:t>
      </w:r>
      <w:r w:rsidRPr="00664739">
        <w:t>22 and $9.4 million added for FY</w:t>
      </w:r>
      <w:r w:rsidR="00DA65E8">
        <w:t xml:space="preserve"> 20</w:t>
      </w:r>
      <w:r w:rsidRPr="00664739">
        <w:t>23 and beyond – to bring rates up to $11.78 per meal.</w:t>
      </w:r>
      <w:r w:rsidRPr="00664739">
        <w:rPr>
          <w:vertAlign w:val="superscript"/>
        </w:rPr>
        <w:footnoteReference w:id="89"/>
      </w:r>
      <w:r w:rsidRPr="001E72A1">
        <w:t xml:space="preserve"> </w:t>
      </w:r>
      <w:r>
        <w:t xml:space="preserve">However, </w:t>
      </w:r>
      <w:r w:rsidRPr="001E72A1">
        <w:t xml:space="preserve">recent high inflation has concerned </w:t>
      </w:r>
      <w:r>
        <w:t xml:space="preserve">HDM </w:t>
      </w:r>
      <w:r w:rsidRPr="001E72A1">
        <w:t>providers.</w:t>
      </w:r>
      <w:r>
        <w:rPr>
          <w:rStyle w:val="FootnoteReference"/>
        </w:rPr>
        <w:footnoteReference w:id="90"/>
      </w:r>
      <w:r w:rsidRPr="001E72A1">
        <w:t xml:space="preserve"> </w:t>
      </w:r>
      <w:r>
        <w:t>In its FY</w:t>
      </w:r>
      <w:r w:rsidR="00DA65E8">
        <w:t xml:space="preserve"> 20</w:t>
      </w:r>
      <w:r>
        <w:t>24 Preliminary Budget Response, the Council called</w:t>
      </w:r>
      <w:r w:rsidRPr="001E72A1">
        <w:t xml:space="preserve"> on the Administration to add $18 million to NYC Aging’s budget for its HDM program: $14 million for inflation costs and $4 million to fund weekend and holiday meals</w:t>
      </w:r>
      <w:r>
        <w:t>, which the City currently does not cover</w:t>
      </w:r>
      <w:r w:rsidRPr="001E72A1">
        <w:t>.</w:t>
      </w:r>
      <w:r>
        <w:rPr>
          <w:rStyle w:val="FootnoteReference"/>
        </w:rPr>
        <w:footnoteReference w:id="91"/>
      </w:r>
      <w:r w:rsidRPr="001E72A1">
        <w:t xml:space="preserve"> The $14 million in funding reflects a 27</w:t>
      </w:r>
      <w:r w:rsidR="00DA65E8">
        <w:t>%</w:t>
      </w:r>
      <w:r w:rsidRPr="001E72A1">
        <w:t xml:space="preserve"> inflation adjustment, based on extensive surveys conducted by advocates for HDMs.</w:t>
      </w:r>
      <w:r>
        <w:rPr>
          <w:rStyle w:val="FootnoteReference"/>
        </w:rPr>
        <w:footnoteReference w:id="92"/>
      </w:r>
      <w:r>
        <w:t xml:space="preserve"> Additional meals funding wo</w:t>
      </w:r>
      <w:r w:rsidRPr="001E72A1">
        <w:t>uld also provide community-based provid</w:t>
      </w:r>
      <w:r>
        <w:t xml:space="preserve">ers the flexibility to provide </w:t>
      </w:r>
      <w:r w:rsidRPr="001E72A1">
        <w:t>raises for kitchen staff, delivery driv</w:t>
      </w:r>
      <w:r>
        <w:t>ers, kitchen inspections, and health and safety mandates.</w:t>
      </w:r>
      <w:r>
        <w:rPr>
          <w:rStyle w:val="FootnoteReference"/>
        </w:rPr>
        <w:footnoteReference w:id="93"/>
      </w:r>
    </w:p>
    <w:p w14:paraId="2E471464" w14:textId="71C32526" w:rsidR="00832066" w:rsidRDefault="007A4D31" w:rsidP="00832066">
      <w:pPr>
        <w:spacing w:line="480" w:lineRule="auto"/>
        <w:ind w:firstLine="720"/>
        <w:contextualSpacing/>
        <w:jc w:val="both"/>
      </w:pPr>
      <w:r>
        <w:t>The Council also called</w:t>
      </w:r>
      <w:r w:rsidRPr="005E4055">
        <w:t xml:space="preserve"> on the Administration to restore and baseline $6.2 million to support the continued transition of GetFood Recovery Meals clients to NYC Aging’s baselined Home Delivered Meals (HDMs) program.</w:t>
      </w:r>
      <w:r>
        <w:rPr>
          <w:rStyle w:val="FootnoteReference"/>
        </w:rPr>
        <w:footnoteReference w:id="94"/>
      </w:r>
      <w:r w:rsidRPr="005E4055">
        <w:t xml:space="preserve"> The GetFood Recovery Meals program was an emerg</w:t>
      </w:r>
      <w:r>
        <w:t>ency program</w:t>
      </w:r>
      <w:r w:rsidRPr="005E4055">
        <w:t xml:space="preserve"> created during the </w:t>
      </w:r>
      <w:r>
        <w:t>COVID-</w:t>
      </w:r>
      <w:r w:rsidRPr="005E4055">
        <w:t>19 pandemic that ended in June 2022.</w:t>
      </w:r>
      <w:r>
        <w:rPr>
          <w:rStyle w:val="FootnoteReference"/>
        </w:rPr>
        <w:footnoteReference w:id="95"/>
      </w:r>
      <w:r w:rsidRPr="005E4055">
        <w:t xml:space="preserve"> Previously, $8.8 million for the transition was baselined while $6.2 million in onetime f</w:t>
      </w:r>
      <w:r>
        <w:t>unding was added in F</w:t>
      </w:r>
      <w:r w:rsidR="00575DB1">
        <w:t>Y</w:t>
      </w:r>
      <w:r>
        <w:t xml:space="preserve"> 2023</w:t>
      </w:r>
      <w:r w:rsidRPr="005E4055">
        <w:t>.</w:t>
      </w:r>
      <w:r>
        <w:rPr>
          <w:rStyle w:val="FootnoteReference"/>
        </w:rPr>
        <w:footnoteReference w:id="96"/>
      </w:r>
      <w:r w:rsidRPr="005E4055">
        <w:t xml:space="preserve"> NYC Aging has previously estimated </w:t>
      </w:r>
      <w:r>
        <w:t>that approximately 3,000 older adults</w:t>
      </w:r>
      <w:r w:rsidRPr="005E4055">
        <w:t xml:space="preserve"> would need to be transferred</w:t>
      </w:r>
      <w:r>
        <w:t xml:space="preserve"> from this program due to its </w:t>
      </w:r>
      <w:r w:rsidRPr="005E4055">
        <w:t>expiration.</w:t>
      </w:r>
      <w:r>
        <w:rPr>
          <w:rStyle w:val="FootnoteReference"/>
        </w:rPr>
        <w:footnoteReference w:id="97"/>
      </w:r>
    </w:p>
    <w:p w14:paraId="5F97F09D" w14:textId="4CE5FDD1" w:rsidR="00832066" w:rsidRPr="00832066" w:rsidRDefault="00832066" w:rsidP="00832066">
      <w:pPr>
        <w:spacing w:line="480" w:lineRule="auto"/>
        <w:contextualSpacing/>
        <w:jc w:val="both"/>
      </w:pPr>
      <w:r w:rsidRPr="00832066">
        <w:rPr>
          <w:rFonts w:eastAsia="Cambria"/>
          <w:b/>
          <w:bCs/>
        </w:rPr>
        <w:t>Funding for Food Programs in HRA’s Budget</w:t>
      </w:r>
    </w:p>
    <w:p w14:paraId="62F6A22E" w14:textId="09341A42" w:rsidR="00832066" w:rsidRPr="001D0F55" w:rsidRDefault="00832066" w:rsidP="005A6A21">
      <w:pPr>
        <w:spacing w:line="480" w:lineRule="auto"/>
        <w:jc w:val="both"/>
        <w:rPr>
          <w:rFonts w:eastAsia="Cambria"/>
        </w:rPr>
      </w:pPr>
      <w:r>
        <w:rPr>
          <w:rFonts w:eastAsia="Cambria"/>
        </w:rPr>
        <w:tab/>
      </w:r>
      <w:r w:rsidRPr="001D0F55">
        <w:rPr>
          <w:rFonts w:eastAsia="Cambria"/>
        </w:rPr>
        <w:t xml:space="preserve">The </w:t>
      </w:r>
      <w:r w:rsidR="005A6A21">
        <w:rPr>
          <w:rFonts w:eastAsia="Cambria"/>
        </w:rPr>
        <w:t>FY</w:t>
      </w:r>
      <w:r w:rsidR="005A6A21" w:rsidRPr="001D0F55">
        <w:rPr>
          <w:rFonts w:eastAsia="Cambria"/>
        </w:rPr>
        <w:t xml:space="preserve"> </w:t>
      </w:r>
      <w:r w:rsidRPr="001D0F55">
        <w:rPr>
          <w:rFonts w:eastAsia="Cambria"/>
        </w:rPr>
        <w:t xml:space="preserve">2024 Preliminary Plan includes $51.3 million in </w:t>
      </w:r>
      <w:r w:rsidR="005A6A21">
        <w:rPr>
          <w:rFonts w:eastAsia="Cambria"/>
        </w:rPr>
        <w:t>FY</w:t>
      </w:r>
      <w:r w:rsidR="005A6A21" w:rsidRPr="001D0F55">
        <w:rPr>
          <w:rFonts w:eastAsia="Cambria"/>
        </w:rPr>
        <w:t xml:space="preserve"> </w:t>
      </w:r>
      <w:r w:rsidRPr="001D0F55">
        <w:rPr>
          <w:rFonts w:eastAsia="Cambria"/>
        </w:rPr>
        <w:t xml:space="preserve">2023 for CFC, increasing to $54.1 million in Fiscal 2024, decreasing to $21.5 million in </w:t>
      </w:r>
      <w:r w:rsidR="005A6A21">
        <w:rPr>
          <w:rFonts w:eastAsia="Cambria"/>
        </w:rPr>
        <w:t>FY</w:t>
      </w:r>
      <w:r w:rsidR="005A6A21" w:rsidRPr="001D0F55">
        <w:rPr>
          <w:rFonts w:eastAsia="Cambria"/>
        </w:rPr>
        <w:t xml:space="preserve"> </w:t>
      </w:r>
      <w:r w:rsidRPr="001D0F55">
        <w:rPr>
          <w:rFonts w:eastAsia="Cambria"/>
        </w:rPr>
        <w:t xml:space="preserve">2025 and then to $20.9 million in </w:t>
      </w:r>
      <w:r w:rsidR="005A6A21">
        <w:rPr>
          <w:rFonts w:eastAsia="Cambria"/>
        </w:rPr>
        <w:t>FY</w:t>
      </w:r>
      <w:r w:rsidR="005A6A21" w:rsidRPr="001D0F55">
        <w:rPr>
          <w:rFonts w:eastAsia="Cambria"/>
        </w:rPr>
        <w:t xml:space="preserve"> </w:t>
      </w:r>
      <w:r w:rsidRPr="001D0F55">
        <w:rPr>
          <w:rFonts w:eastAsia="Cambria"/>
        </w:rPr>
        <w:t xml:space="preserve">2026. The decline between </w:t>
      </w:r>
      <w:r w:rsidR="005A6A21">
        <w:rPr>
          <w:rFonts w:eastAsia="Cambria"/>
        </w:rPr>
        <w:t>FY</w:t>
      </w:r>
      <w:r w:rsidR="005A6A21" w:rsidRPr="001D0F55">
        <w:rPr>
          <w:rFonts w:eastAsia="Cambria"/>
        </w:rPr>
        <w:t xml:space="preserve"> </w:t>
      </w:r>
      <w:r w:rsidRPr="001D0F55">
        <w:rPr>
          <w:rFonts w:eastAsia="Cambria"/>
        </w:rPr>
        <w:t xml:space="preserve">2024 and the outyears is largely because the Administration added $30 million in funding in the </w:t>
      </w:r>
      <w:r w:rsidR="005A6A21">
        <w:rPr>
          <w:rFonts w:eastAsia="Cambria"/>
        </w:rPr>
        <w:t>FY</w:t>
      </w:r>
      <w:r w:rsidR="005A6A21" w:rsidRPr="001D0F55">
        <w:rPr>
          <w:rFonts w:eastAsia="Cambria"/>
        </w:rPr>
        <w:t xml:space="preserve"> </w:t>
      </w:r>
      <w:r w:rsidRPr="001D0F55">
        <w:rPr>
          <w:rFonts w:eastAsia="Cambria"/>
        </w:rPr>
        <w:t xml:space="preserve">2023 Executive Plan for just </w:t>
      </w:r>
      <w:r w:rsidR="005A6A21">
        <w:rPr>
          <w:rFonts w:eastAsia="Cambria"/>
        </w:rPr>
        <w:t>FY</w:t>
      </w:r>
      <w:r w:rsidR="005A6A21" w:rsidRPr="001D0F55">
        <w:rPr>
          <w:rFonts w:eastAsia="Cambria"/>
        </w:rPr>
        <w:t xml:space="preserve"> </w:t>
      </w:r>
      <w:r w:rsidRPr="001D0F55">
        <w:rPr>
          <w:rFonts w:eastAsia="Cambria"/>
        </w:rPr>
        <w:t xml:space="preserve">2023 and </w:t>
      </w:r>
      <w:r w:rsidR="005A6A21">
        <w:rPr>
          <w:rFonts w:eastAsia="Cambria"/>
        </w:rPr>
        <w:t>FY</w:t>
      </w:r>
      <w:r w:rsidR="005A6A21" w:rsidRPr="001D0F55">
        <w:rPr>
          <w:rFonts w:eastAsia="Cambria"/>
        </w:rPr>
        <w:t xml:space="preserve"> </w:t>
      </w:r>
      <w:r w:rsidRPr="001D0F55">
        <w:rPr>
          <w:rFonts w:eastAsia="Cambria"/>
        </w:rPr>
        <w:t xml:space="preserve">2024. The </w:t>
      </w:r>
      <w:r w:rsidR="005A6A21">
        <w:rPr>
          <w:rFonts w:eastAsia="Cambria"/>
        </w:rPr>
        <w:t>FY</w:t>
      </w:r>
      <w:r w:rsidR="005A6A21" w:rsidRPr="001D0F55">
        <w:rPr>
          <w:rFonts w:eastAsia="Cambria"/>
        </w:rPr>
        <w:t xml:space="preserve"> </w:t>
      </w:r>
      <w:r w:rsidRPr="001D0F55">
        <w:rPr>
          <w:rFonts w:eastAsia="Cambria"/>
        </w:rPr>
        <w:t xml:space="preserve">2024 Preliminary Plan also includes $1.75 million in </w:t>
      </w:r>
      <w:r w:rsidR="005A6A21">
        <w:rPr>
          <w:rFonts w:eastAsia="Cambria"/>
        </w:rPr>
        <w:t>FY</w:t>
      </w:r>
      <w:r w:rsidR="005A6A21" w:rsidRPr="001D0F55">
        <w:rPr>
          <w:rFonts w:eastAsia="Cambria"/>
        </w:rPr>
        <w:t xml:space="preserve"> </w:t>
      </w:r>
      <w:r w:rsidRPr="001D0F55">
        <w:rPr>
          <w:rFonts w:eastAsia="Cambria"/>
        </w:rPr>
        <w:t xml:space="preserve">2023 for the Mayor’s Office for Food Policy (MOFP), increasing to $2.1 million in </w:t>
      </w:r>
      <w:r w:rsidR="005A6A21">
        <w:rPr>
          <w:rFonts w:eastAsia="Cambria"/>
        </w:rPr>
        <w:t>FY</w:t>
      </w:r>
      <w:r w:rsidR="005A6A21" w:rsidRPr="001D0F55">
        <w:rPr>
          <w:rFonts w:eastAsia="Cambria"/>
        </w:rPr>
        <w:t xml:space="preserve"> </w:t>
      </w:r>
      <w:r w:rsidRPr="001D0F55">
        <w:rPr>
          <w:rFonts w:eastAsia="Cambria"/>
        </w:rPr>
        <w:t xml:space="preserve">2024, decreasing to $1.1 million in </w:t>
      </w:r>
      <w:r w:rsidR="005A6A21">
        <w:rPr>
          <w:rFonts w:eastAsia="Cambria"/>
        </w:rPr>
        <w:t>FY</w:t>
      </w:r>
      <w:r w:rsidR="005A6A21" w:rsidRPr="001D0F55">
        <w:rPr>
          <w:rFonts w:eastAsia="Cambria"/>
        </w:rPr>
        <w:t xml:space="preserve"> </w:t>
      </w:r>
      <w:r w:rsidRPr="001D0F55">
        <w:rPr>
          <w:rFonts w:eastAsia="Cambria"/>
        </w:rPr>
        <w:t xml:space="preserve">2025 and then to $438,899 in </w:t>
      </w:r>
      <w:r w:rsidR="005A6A21">
        <w:rPr>
          <w:rFonts w:eastAsia="Cambria"/>
        </w:rPr>
        <w:t>FY</w:t>
      </w:r>
      <w:r w:rsidR="005A6A21" w:rsidRPr="001D0F55">
        <w:rPr>
          <w:rFonts w:eastAsia="Cambria"/>
        </w:rPr>
        <w:t xml:space="preserve"> </w:t>
      </w:r>
      <w:r w:rsidRPr="001D0F55">
        <w:rPr>
          <w:rFonts w:eastAsia="Cambria"/>
        </w:rPr>
        <w:t xml:space="preserve">2026.  </w:t>
      </w:r>
    </w:p>
    <w:p w14:paraId="752B712F" w14:textId="2EE00BC7" w:rsidR="00832066" w:rsidRDefault="00832066" w:rsidP="005A6A21">
      <w:pPr>
        <w:spacing w:line="480" w:lineRule="auto"/>
        <w:jc w:val="both"/>
        <w:rPr>
          <w:rFonts w:eastAsia="Cambria"/>
        </w:rPr>
      </w:pPr>
      <w:r>
        <w:rPr>
          <w:rFonts w:eastAsia="Cambria"/>
        </w:rPr>
        <w:tab/>
      </w:r>
      <w:r w:rsidRPr="001D0F55">
        <w:rPr>
          <w:rFonts w:eastAsia="Cambria"/>
        </w:rPr>
        <w:t xml:space="preserve">SNAP Benefits are provided through an Electronic Benefits Transfer (EBT) system, with monthly amounts automatically added by the State to EBT credit cards that recipients can use to purchase permissible food items at participating retailers. HRA screens clients for eligibility and assists them with enrolling and recertifying benefits at the agency’s client service centers and through its online platform, ACCESS HRA. HRA’s budget does not include the value of SNAP benefits to recipients residing in </w:t>
      </w:r>
      <w:r w:rsidR="005A6A21">
        <w:rPr>
          <w:rFonts w:eastAsia="Cambria"/>
        </w:rPr>
        <w:t>New York</w:t>
      </w:r>
      <w:r w:rsidR="005A6A21" w:rsidRPr="001D0F55">
        <w:rPr>
          <w:rFonts w:eastAsia="Cambria"/>
        </w:rPr>
        <w:t xml:space="preserve"> </w:t>
      </w:r>
      <w:r w:rsidRPr="001D0F55">
        <w:rPr>
          <w:rFonts w:eastAsia="Cambria"/>
        </w:rPr>
        <w:t>City as that is part of the State budget and the State applies those payments. The Fiscal 2024 Preliminary Plan includes a budget of $73.6 million and 1,302 positions for SNAP administration in Fiscal 2023 and in the outyears.</w:t>
      </w:r>
    </w:p>
    <w:p w14:paraId="0B0B397F" w14:textId="1FD623E3" w:rsidR="00832066" w:rsidRPr="00832066" w:rsidRDefault="00832066" w:rsidP="005A6A21">
      <w:pPr>
        <w:spacing w:line="480" w:lineRule="auto"/>
        <w:jc w:val="both"/>
        <w:rPr>
          <w:rFonts w:eastAsia="Cambria"/>
          <w:highlight w:val="yellow"/>
        </w:rPr>
      </w:pPr>
      <w:r w:rsidRPr="00832066">
        <w:rPr>
          <w:rFonts w:eastAsia="Cambria"/>
          <w:b/>
          <w:bCs/>
        </w:rPr>
        <w:t>Funding for Food Programs in NYC Aging’s Budget</w:t>
      </w:r>
    </w:p>
    <w:p w14:paraId="157FB6E3" w14:textId="5DB7E4ED" w:rsidR="00832066" w:rsidRPr="001D0F55" w:rsidRDefault="00832066">
      <w:pPr>
        <w:spacing w:line="480" w:lineRule="auto"/>
        <w:jc w:val="both"/>
      </w:pPr>
      <w:r>
        <w:rPr>
          <w:rFonts w:eastAsia="Calibri"/>
        </w:rPr>
        <w:tab/>
      </w:r>
      <w:r w:rsidRPr="00A331E9">
        <w:rPr>
          <w:rFonts w:eastAsia="Calibri"/>
        </w:rPr>
        <w:t>The Fiscal 2024 Preliminary Plan includes $60.1 million for home delivered meals (HDMs) in Fiscal 2024.</w:t>
      </w:r>
      <w:r>
        <w:rPr>
          <w:rStyle w:val="FootnoteReference"/>
          <w:rFonts w:eastAsia="Calibri"/>
        </w:rPr>
        <w:footnoteReference w:id="98"/>
      </w:r>
      <w:r w:rsidRPr="00A331E9">
        <w:rPr>
          <w:rFonts w:eastAsia="Calibri"/>
        </w:rPr>
        <w:t xml:space="preserve">  Notably, the Fiscal 2023 Executive Plan added $8.8 million in Fiscal 2023 and in the outyears for HDMs to increase the number of older adults served. The Fiscal 2024 Preliminary Plan also includes $231 million to support congregate meals and other activities at older adult centers (OACs). As shown in the Fiscal 2023 Prelim</w:t>
      </w:r>
      <w:r>
        <w:rPr>
          <w:rFonts w:eastAsia="Calibri"/>
        </w:rPr>
        <w:t>inary Mayor’s Management Report</w:t>
      </w:r>
      <w:r w:rsidRPr="00A331E9">
        <w:rPr>
          <w:rFonts w:eastAsia="Calibri"/>
        </w:rPr>
        <w:t>, OACs served 1,578,423 meals in the first four months of Fiscal 2023, compared to 623,974 meals in the same period in Fiscal 2022, an increase of 153 percent.</w:t>
      </w:r>
      <w:r>
        <w:rPr>
          <w:rStyle w:val="FootnoteReference"/>
          <w:rFonts w:eastAsia="Calibri"/>
        </w:rPr>
        <w:footnoteReference w:id="99"/>
      </w:r>
      <w:r w:rsidRPr="00A331E9">
        <w:rPr>
          <w:rFonts w:eastAsia="Calibri"/>
        </w:rPr>
        <w:t xml:space="preserve"> HDMs and congregate meals providers have raised concerns over recent inflation and the adequacy of the budget.</w:t>
      </w:r>
    </w:p>
    <w:p w14:paraId="3BDA0AA2" w14:textId="71B3E113" w:rsidR="001D0F55" w:rsidRPr="001D0F55" w:rsidRDefault="001D0F55" w:rsidP="007A4D31">
      <w:pPr>
        <w:spacing w:before="240" w:after="120" w:line="480" w:lineRule="auto"/>
        <w:contextualSpacing/>
        <w:jc w:val="both"/>
        <w:rPr>
          <w:rFonts w:eastAsia="Cambria"/>
          <w:b/>
          <w:bCs/>
        </w:rPr>
      </w:pPr>
      <w:r w:rsidRPr="001D0F55">
        <w:rPr>
          <w:rFonts w:eastAsia="Cambria"/>
          <w:b/>
          <w:bCs/>
        </w:rPr>
        <w:t>The Council’s F</w:t>
      </w:r>
      <w:r w:rsidR="00575DB1">
        <w:rPr>
          <w:rFonts w:eastAsia="Cambria"/>
          <w:b/>
          <w:bCs/>
        </w:rPr>
        <w:t>Y</w:t>
      </w:r>
      <w:r w:rsidRPr="001D0F55">
        <w:rPr>
          <w:rFonts w:eastAsia="Cambria"/>
          <w:b/>
          <w:bCs/>
        </w:rPr>
        <w:t xml:space="preserve"> 2024 Preliminary Budget Response</w:t>
      </w:r>
      <w:r w:rsidR="00BB2336" w:rsidRPr="001D0F55">
        <w:rPr>
          <w:rStyle w:val="FootnoteReference"/>
          <w:rFonts w:eastAsia="Cambria"/>
        </w:rPr>
        <w:footnoteReference w:id="100"/>
      </w:r>
    </w:p>
    <w:p w14:paraId="36D6CC0F" w14:textId="41443BB8" w:rsidR="001D0F55" w:rsidRPr="001D0F55" w:rsidRDefault="001D0F55" w:rsidP="007A4D31">
      <w:pPr>
        <w:spacing w:before="120" w:after="120" w:line="480" w:lineRule="auto"/>
        <w:contextualSpacing/>
        <w:jc w:val="both"/>
        <w:rPr>
          <w:rFonts w:eastAsia="Cambria"/>
        </w:rPr>
      </w:pPr>
      <w:r>
        <w:rPr>
          <w:rFonts w:eastAsia="Cambria"/>
        </w:rPr>
        <w:tab/>
      </w:r>
      <w:r w:rsidRPr="001D0F55">
        <w:rPr>
          <w:rFonts w:eastAsia="Cambria"/>
        </w:rPr>
        <w:t>In the F</w:t>
      </w:r>
      <w:r w:rsidR="00575DB1">
        <w:rPr>
          <w:rFonts w:eastAsia="Cambria"/>
        </w:rPr>
        <w:t>Y</w:t>
      </w:r>
      <w:r w:rsidRPr="001D0F55">
        <w:rPr>
          <w:rFonts w:eastAsia="Cambria"/>
        </w:rPr>
        <w:t xml:space="preserve"> 2024 Preliminary Budget Response, the Council included five proposals that relate to food programs funded through HRA and NYC Aging’s budgets. </w:t>
      </w:r>
    </w:p>
    <w:p w14:paraId="695F21CE" w14:textId="2A9E154E" w:rsidR="001D0F55" w:rsidRPr="001D0F55" w:rsidRDefault="001D0F55" w:rsidP="007A4D31">
      <w:pPr>
        <w:spacing w:before="120" w:after="120" w:line="480" w:lineRule="auto"/>
        <w:contextualSpacing/>
        <w:jc w:val="both"/>
        <w:rPr>
          <w:rFonts w:eastAsia="Cambria"/>
        </w:rPr>
      </w:pPr>
      <w:r>
        <w:tab/>
      </w:r>
      <w:r w:rsidRPr="001D0F55">
        <w:t xml:space="preserve">For many years, the Council has called on HRA to expand the food items offered under its emergency food assistance </w:t>
      </w:r>
      <w:r w:rsidRPr="001D0F55">
        <w:rPr>
          <w:rFonts w:eastAsia="Cambria"/>
        </w:rPr>
        <w:t>program, now known as CFC,</w:t>
      </w:r>
      <w:r w:rsidRPr="001D0F55">
        <w:t xml:space="preserve"> and in F</w:t>
      </w:r>
      <w:r w:rsidR="00575DB1">
        <w:t>Y</w:t>
      </w:r>
      <w:r w:rsidRPr="001D0F55">
        <w:t xml:space="preserve"> 2023, HRA revamped the program with a new contracted vendor and a wider variety of food options, including fresh fruits and vegetables. In F</w:t>
      </w:r>
      <w:r w:rsidR="00575DB1">
        <w:t>Y</w:t>
      </w:r>
      <w:r w:rsidRPr="001D0F55">
        <w:t xml:space="preserve"> 2023, the Council called on the Administration to increase the baseline budget for CFC and it increased the budget by $30 million, but just for F</w:t>
      </w:r>
      <w:r w:rsidR="00575DB1">
        <w:t>Y</w:t>
      </w:r>
      <w:r w:rsidRPr="001D0F55">
        <w:t xml:space="preserve">s 2023 and 2024. In the </w:t>
      </w:r>
      <w:r w:rsidRPr="001D0F55">
        <w:rPr>
          <w:rFonts w:eastAsia="Cambria"/>
        </w:rPr>
        <w:t>F</w:t>
      </w:r>
      <w:r w:rsidR="00575DB1">
        <w:rPr>
          <w:rFonts w:eastAsia="Cambria"/>
        </w:rPr>
        <w:t>Y</w:t>
      </w:r>
      <w:r w:rsidRPr="001D0F55">
        <w:rPr>
          <w:rFonts w:eastAsia="Cambria"/>
        </w:rPr>
        <w:t xml:space="preserve"> 2024 Preliminary Budget Response,</w:t>
      </w:r>
      <w:r w:rsidRPr="001D0F55">
        <w:t xml:space="preserve"> the Council called on the Administration to increase and baseline the budget for CFC to $60 million. That would increase the budget in F</w:t>
      </w:r>
      <w:r w:rsidR="00575DB1">
        <w:t>Y</w:t>
      </w:r>
      <w:r w:rsidRPr="001D0F55">
        <w:t xml:space="preserve"> 2024 by $6 million, and by approximately $39 million in F</w:t>
      </w:r>
      <w:r w:rsidR="00575DB1">
        <w:t>Y</w:t>
      </w:r>
      <w:r w:rsidRPr="001D0F55">
        <w:t xml:space="preserve"> 2025 and in the outyears. Additionally, the Council called on CFC to engage in an outreach and education campaign to ensure smaller, community-based providers, especially those who have begun operating since the onset of the pandemic, are enrolled in the program, and adequately supported so that they are able to continue serving their communities. </w:t>
      </w:r>
    </w:p>
    <w:p w14:paraId="22F18E0E" w14:textId="75FAC146" w:rsidR="00392E2B" w:rsidRPr="00392E2B" w:rsidRDefault="001D0F55" w:rsidP="007A4D31">
      <w:pPr>
        <w:spacing w:before="120" w:after="120" w:line="480" w:lineRule="auto"/>
        <w:contextualSpacing/>
        <w:jc w:val="both"/>
        <w:rPr>
          <w:rFonts w:eastAsia="Calibri"/>
        </w:rPr>
      </w:pPr>
      <w:r>
        <w:rPr>
          <w:rFonts w:eastAsia="Calibri"/>
        </w:rPr>
        <w:tab/>
      </w:r>
      <w:r w:rsidR="00392E2B" w:rsidRPr="00392E2B">
        <w:rPr>
          <w:rFonts w:eastAsia="Calibri"/>
        </w:rPr>
        <w:t>Older adults represent the fastest-growing age cohort in the City, yet one-in-ten is food insecure and one-in-four use SNAP. The first F</w:t>
      </w:r>
      <w:r w:rsidR="00575DB1">
        <w:rPr>
          <w:rFonts w:eastAsia="Calibri"/>
        </w:rPr>
        <w:t>Y</w:t>
      </w:r>
      <w:r w:rsidR="00392E2B" w:rsidRPr="00392E2B">
        <w:rPr>
          <w:rFonts w:eastAsia="Calibri"/>
        </w:rPr>
        <w:t xml:space="preserve"> 2024 Preliminary Budget Response proposal relating to NYC Aging’s budget relates to HDMs. HDMs provide an essential nutrition safety net for </w:t>
      </w:r>
      <w:r w:rsidR="00575DB1">
        <w:rPr>
          <w:rFonts w:eastAsia="Calibri"/>
        </w:rPr>
        <w:t>older adults</w:t>
      </w:r>
      <w:r w:rsidR="00392E2B" w:rsidRPr="00392E2B">
        <w:rPr>
          <w:rFonts w:eastAsia="Calibri"/>
        </w:rPr>
        <w:t xml:space="preserve"> and the Council calls on the Administration to add $18 million to NYC Aging’s budget for its HDM program: $14 million for inflation costs and $4 million to fund weekend and holiday meals. Second, the Council calls on the Administration to increase NYC Aging’s budget by $51 million to support </w:t>
      </w:r>
      <w:r w:rsidR="00575DB1">
        <w:rPr>
          <w:rFonts w:eastAsia="Calibri"/>
        </w:rPr>
        <w:t>older adult</w:t>
      </w:r>
      <w:r w:rsidR="00392E2B" w:rsidRPr="00392E2B">
        <w:rPr>
          <w:rFonts w:eastAsia="Calibri"/>
        </w:rPr>
        <w:t xml:space="preserve"> centers. This additional funding should be used to cover an inflation cost adjustment for congregate meals of $46 million and the remaining $5 million should be dedicated to support marketing efforts for </w:t>
      </w:r>
      <w:r w:rsidR="00575DB1">
        <w:rPr>
          <w:rFonts w:eastAsia="Calibri"/>
        </w:rPr>
        <w:t xml:space="preserve">older adult </w:t>
      </w:r>
      <w:r w:rsidR="00392E2B" w:rsidRPr="00392E2B">
        <w:rPr>
          <w:rFonts w:eastAsia="Calibri"/>
        </w:rPr>
        <w:t>centers to encourage older adults to return to their local centers following the isolation experienced during the COVID-19 pandemic.</w:t>
      </w:r>
    </w:p>
    <w:p w14:paraId="7864E5AC" w14:textId="3228CE7A" w:rsidR="001D0F55" w:rsidRPr="001D0F55" w:rsidRDefault="00392E2B" w:rsidP="007A4D31">
      <w:pPr>
        <w:spacing w:before="120" w:after="120" w:line="480" w:lineRule="auto"/>
        <w:ind w:firstLine="720"/>
        <w:contextualSpacing/>
        <w:jc w:val="both"/>
        <w:rPr>
          <w:rFonts w:eastAsia="Calibri"/>
        </w:rPr>
      </w:pPr>
      <w:r w:rsidRPr="00392E2B">
        <w:rPr>
          <w:rFonts w:eastAsia="Calibri"/>
        </w:rPr>
        <w:t xml:space="preserve">Third, the Council calls on the Administration to restore and baseline $6.2 million to support the continued transition of GetFood Recovery Meals clients to NYC Aging’s baselined HDMs program. The GetFood Recovery Meals program was an emergency home-delivered meal program created during the COVID-19 pandemic that ended in June 2022. </w:t>
      </w:r>
      <w:r w:rsidR="00575DB1" w:rsidRPr="00392E2B">
        <w:rPr>
          <w:rFonts w:eastAsia="Calibri"/>
        </w:rPr>
        <w:t>Finally</w:t>
      </w:r>
      <w:r w:rsidRPr="00392E2B">
        <w:rPr>
          <w:rFonts w:eastAsia="Calibri"/>
        </w:rPr>
        <w:t>, the Council calls on the Administration to continue funding HDMs vans by adding $5 million to NYC Aging’s Capital Plan. In F</w:t>
      </w:r>
      <w:r w:rsidR="00575DB1">
        <w:rPr>
          <w:rFonts w:eastAsia="Calibri"/>
        </w:rPr>
        <w:t>Y</w:t>
      </w:r>
      <w:r w:rsidRPr="00392E2B">
        <w:rPr>
          <w:rFonts w:eastAsia="Calibri"/>
        </w:rPr>
        <w:t xml:space="preserve"> 2023, $3 million was allocated through the Council’s discretionary funding to purchase 44 HDMs vans to extend the coverage of HDMs. Van availability and replacements are crucial for providers to continue to provide this critical service in a timely manner.</w:t>
      </w:r>
    </w:p>
    <w:p w14:paraId="1704229E" w14:textId="12A4B73D" w:rsidR="001D0F55" w:rsidRDefault="001D0F55" w:rsidP="007A4D31">
      <w:pPr>
        <w:spacing w:before="240" w:after="240"/>
        <w:contextualSpacing/>
        <w:jc w:val="both"/>
        <w:rPr>
          <w:rFonts w:eastAsia="Cambria"/>
          <w:b/>
          <w:bCs/>
        </w:rPr>
      </w:pPr>
      <w:r w:rsidRPr="001D0F55">
        <w:rPr>
          <w:rFonts w:eastAsia="Cambria"/>
          <w:b/>
          <w:bCs/>
        </w:rPr>
        <w:t>F</w:t>
      </w:r>
      <w:r w:rsidR="00575DB1">
        <w:rPr>
          <w:rFonts w:eastAsia="Cambria"/>
          <w:b/>
          <w:bCs/>
        </w:rPr>
        <w:t>Y</w:t>
      </w:r>
      <w:r w:rsidRPr="001D0F55">
        <w:rPr>
          <w:rFonts w:eastAsia="Cambria"/>
          <w:b/>
          <w:bCs/>
        </w:rPr>
        <w:t xml:space="preserve"> 2023 Council Discretionary Food Funding</w:t>
      </w:r>
      <w:r w:rsidR="00E43A30">
        <w:rPr>
          <w:rStyle w:val="FootnoteReference"/>
          <w:rFonts w:eastAsia="Cambria"/>
          <w:b/>
          <w:bCs/>
        </w:rPr>
        <w:footnoteReference w:id="101"/>
      </w:r>
    </w:p>
    <w:p w14:paraId="16CBAE1B" w14:textId="77777777" w:rsidR="007A4D31" w:rsidRPr="001D0F55" w:rsidRDefault="007A4D31" w:rsidP="007A4D31">
      <w:pPr>
        <w:spacing w:before="240" w:after="240"/>
        <w:contextualSpacing/>
        <w:jc w:val="both"/>
        <w:rPr>
          <w:rFonts w:eastAsia="Cambria"/>
          <w:b/>
          <w:bCs/>
        </w:rPr>
      </w:pPr>
    </w:p>
    <w:tbl>
      <w:tblPr>
        <w:tblW w:w="6904" w:type="dxa"/>
        <w:jc w:val="center"/>
        <w:tblLook w:val="04A0" w:firstRow="1" w:lastRow="0" w:firstColumn="1" w:lastColumn="0" w:noHBand="0" w:noVBand="1"/>
      </w:tblPr>
      <w:tblGrid>
        <w:gridCol w:w="4337"/>
        <w:gridCol w:w="2567"/>
      </w:tblGrid>
      <w:tr w:rsidR="001D0F55" w:rsidRPr="001D0F55" w14:paraId="5DE6738D" w14:textId="77777777" w:rsidTr="00CA1159">
        <w:trPr>
          <w:trHeight w:val="188"/>
          <w:jc w:val="center"/>
        </w:trPr>
        <w:tc>
          <w:tcPr>
            <w:tcW w:w="6904" w:type="dxa"/>
            <w:gridSpan w:val="2"/>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bottom"/>
            <w:hideMark/>
          </w:tcPr>
          <w:p w14:paraId="14B0CE49" w14:textId="77777777" w:rsidR="001D0F55" w:rsidRPr="001D0F55" w:rsidRDefault="001D0F55" w:rsidP="00EA6806">
            <w:pPr>
              <w:jc w:val="center"/>
              <w:rPr>
                <w:b/>
                <w:bCs/>
                <w:color w:val="000000"/>
              </w:rPr>
            </w:pPr>
            <w:r w:rsidRPr="001D0F55">
              <w:rPr>
                <w:b/>
                <w:bCs/>
                <w:color w:val="000000"/>
              </w:rPr>
              <w:t>Council Discretionary Food Funding</w:t>
            </w:r>
          </w:p>
        </w:tc>
      </w:tr>
      <w:tr w:rsidR="001D0F55" w:rsidRPr="001D0F55" w14:paraId="2086E438" w14:textId="77777777" w:rsidTr="00CA1159">
        <w:trPr>
          <w:trHeight w:val="188"/>
          <w:jc w:val="center"/>
        </w:trPr>
        <w:tc>
          <w:tcPr>
            <w:tcW w:w="4337" w:type="dxa"/>
            <w:tcBorders>
              <w:top w:val="nil"/>
              <w:left w:val="single" w:sz="4" w:space="0" w:color="auto"/>
              <w:bottom w:val="single" w:sz="4" w:space="0" w:color="auto"/>
              <w:right w:val="single" w:sz="4" w:space="0" w:color="auto"/>
            </w:tcBorders>
            <w:shd w:val="clear" w:color="auto" w:fill="auto"/>
            <w:noWrap/>
            <w:vAlign w:val="bottom"/>
            <w:hideMark/>
          </w:tcPr>
          <w:p w14:paraId="6CEBC86E" w14:textId="1DAF5D87" w:rsidR="001D0F55" w:rsidRPr="001D0F55" w:rsidRDefault="00925C5A" w:rsidP="00EA6806">
            <w:pPr>
              <w:rPr>
                <w:b/>
                <w:bCs/>
                <w:color w:val="000000"/>
              </w:rPr>
            </w:pPr>
            <w:r>
              <w:rPr>
                <w:b/>
                <w:bCs/>
                <w:color w:val="000000"/>
              </w:rPr>
              <w:t xml:space="preserve">Program Area and Initiative Name </w:t>
            </w:r>
          </w:p>
        </w:tc>
        <w:tc>
          <w:tcPr>
            <w:tcW w:w="2567" w:type="dxa"/>
            <w:tcBorders>
              <w:top w:val="nil"/>
              <w:left w:val="nil"/>
              <w:bottom w:val="single" w:sz="4" w:space="0" w:color="auto"/>
              <w:right w:val="single" w:sz="4" w:space="0" w:color="auto"/>
            </w:tcBorders>
            <w:shd w:val="clear" w:color="auto" w:fill="auto"/>
            <w:noWrap/>
            <w:vAlign w:val="bottom"/>
            <w:hideMark/>
          </w:tcPr>
          <w:p w14:paraId="2C75067E" w14:textId="12C348A1" w:rsidR="001D0F55" w:rsidRPr="001D0F55" w:rsidRDefault="001D0F55" w:rsidP="00EA6806">
            <w:pPr>
              <w:jc w:val="center"/>
              <w:rPr>
                <w:b/>
                <w:bCs/>
                <w:color w:val="000000"/>
              </w:rPr>
            </w:pPr>
            <w:r w:rsidRPr="001D0F55">
              <w:rPr>
                <w:b/>
                <w:bCs/>
                <w:color w:val="000000"/>
              </w:rPr>
              <w:t>F</w:t>
            </w:r>
            <w:r w:rsidR="00575DB1">
              <w:rPr>
                <w:b/>
                <w:bCs/>
                <w:color w:val="000000"/>
              </w:rPr>
              <w:t>Y</w:t>
            </w:r>
            <w:r w:rsidRPr="001D0F55">
              <w:rPr>
                <w:b/>
                <w:bCs/>
                <w:color w:val="000000"/>
              </w:rPr>
              <w:t xml:space="preserve"> 2023</w:t>
            </w:r>
          </w:p>
        </w:tc>
      </w:tr>
      <w:tr w:rsidR="001D0F55" w:rsidRPr="001D0F55" w14:paraId="53901A04" w14:textId="77777777" w:rsidTr="00CA1159">
        <w:trPr>
          <w:trHeight w:val="41"/>
          <w:jc w:val="center"/>
        </w:trPr>
        <w:tc>
          <w:tcPr>
            <w:tcW w:w="6904" w:type="dxa"/>
            <w:gridSpan w:val="2"/>
            <w:tcBorders>
              <w:top w:val="single" w:sz="4" w:space="0" w:color="auto"/>
              <w:left w:val="single" w:sz="4" w:space="0" w:color="auto"/>
              <w:bottom w:val="nil"/>
              <w:right w:val="single" w:sz="4" w:space="0" w:color="000000"/>
            </w:tcBorders>
            <w:shd w:val="clear" w:color="auto" w:fill="DEEAF6" w:themeFill="accent5" w:themeFillTint="33"/>
            <w:noWrap/>
            <w:vAlign w:val="bottom"/>
            <w:hideMark/>
          </w:tcPr>
          <w:p w14:paraId="71EE0704" w14:textId="77777777" w:rsidR="001D0F55" w:rsidRPr="001D0F55" w:rsidRDefault="001D0F55" w:rsidP="00EA6806">
            <w:pPr>
              <w:jc w:val="center"/>
              <w:rPr>
                <w:b/>
                <w:bCs/>
                <w:color w:val="000000"/>
              </w:rPr>
            </w:pPr>
            <w:r w:rsidRPr="001D0F55">
              <w:rPr>
                <w:b/>
                <w:bCs/>
                <w:color w:val="000000"/>
              </w:rPr>
              <w:t>Food Initiatives</w:t>
            </w:r>
          </w:p>
        </w:tc>
      </w:tr>
      <w:tr w:rsidR="001D0F55" w:rsidRPr="001D0F55" w14:paraId="450B1FFB" w14:textId="77777777" w:rsidTr="00CA1159">
        <w:trPr>
          <w:trHeight w:val="53"/>
          <w:jc w:val="center"/>
        </w:trPr>
        <w:tc>
          <w:tcPr>
            <w:tcW w:w="4337" w:type="dxa"/>
            <w:tcBorders>
              <w:top w:val="single" w:sz="4" w:space="0" w:color="auto"/>
              <w:left w:val="single" w:sz="4" w:space="0" w:color="auto"/>
              <w:bottom w:val="nil"/>
              <w:right w:val="nil"/>
            </w:tcBorders>
            <w:shd w:val="clear" w:color="auto" w:fill="auto"/>
            <w:noWrap/>
            <w:vAlign w:val="bottom"/>
            <w:hideMark/>
          </w:tcPr>
          <w:p w14:paraId="5A42E524" w14:textId="77777777" w:rsidR="001D0F55" w:rsidRPr="001D0F55" w:rsidRDefault="001D0F55" w:rsidP="00EA6806">
            <w:pPr>
              <w:rPr>
                <w:color w:val="000000"/>
                <w:sz w:val="20"/>
                <w:szCs w:val="20"/>
              </w:rPr>
            </w:pPr>
            <w:r w:rsidRPr="001D0F55">
              <w:rPr>
                <w:color w:val="000000"/>
                <w:sz w:val="20"/>
                <w:szCs w:val="20"/>
              </w:rPr>
              <w:t>Food Pantries</w:t>
            </w:r>
          </w:p>
        </w:tc>
        <w:tc>
          <w:tcPr>
            <w:tcW w:w="2567" w:type="dxa"/>
            <w:tcBorders>
              <w:top w:val="single" w:sz="4" w:space="0" w:color="auto"/>
              <w:left w:val="single" w:sz="4" w:space="0" w:color="auto"/>
              <w:bottom w:val="nil"/>
              <w:right w:val="single" w:sz="4" w:space="0" w:color="auto"/>
            </w:tcBorders>
            <w:shd w:val="clear" w:color="auto" w:fill="auto"/>
            <w:noWrap/>
            <w:vAlign w:val="bottom"/>
            <w:hideMark/>
          </w:tcPr>
          <w:p w14:paraId="535D802D" w14:textId="77777777" w:rsidR="001D0F55" w:rsidRPr="001D0F55" w:rsidRDefault="001D0F55" w:rsidP="00EA6806">
            <w:pPr>
              <w:jc w:val="center"/>
              <w:rPr>
                <w:color w:val="000000"/>
                <w:sz w:val="20"/>
                <w:szCs w:val="20"/>
              </w:rPr>
            </w:pPr>
            <w:r w:rsidRPr="001D0F55">
              <w:rPr>
                <w:color w:val="000000"/>
                <w:sz w:val="20"/>
                <w:szCs w:val="20"/>
              </w:rPr>
              <w:t>$7,260,000</w:t>
            </w:r>
          </w:p>
        </w:tc>
      </w:tr>
      <w:tr w:rsidR="001D0F55" w:rsidRPr="001D0F55" w14:paraId="60DAC9A0" w14:textId="77777777" w:rsidTr="00CA1159">
        <w:trPr>
          <w:trHeight w:val="51"/>
          <w:jc w:val="center"/>
        </w:trPr>
        <w:tc>
          <w:tcPr>
            <w:tcW w:w="4337" w:type="dxa"/>
            <w:tcBorders>
              <w:top w:val="nil"/>
              <w:left w:val="single" w:sz="4" w:space="0" w:color="auto"/>
              <w:bottom w:val="nil"/>
              <w:right w:val="nil"/>
            </w:tcBorders>
            <w:shd w:val="clear" w:color="auto" w:fill="auto"/>
            <w:noWrap/>
            <w:vAlign w:val="bottom"/>
            <w:hideMark/>
          </w:tcPr>
          <w:p w14:paraId="56D6ADA9" w14:textId="77777777" w:rsidR="001D0F55" w:rsidRPr="001D0F55" w:rsidRDefault="001D0F55" w:rsidP="00EA6806">
            <w:pPr>
              <w:rPr>
                <w:color w:val="000000"/>
                <w:sz w:val="20"/>
                <w:szCs w:val="20"/>
              </w:rPr>
            </w:pPr>
            <w:r w:rsidRPr="001D0F55">
              <w:rPr>
                <w:color w:val="000000"/>
                <w:sz w:val="20"/>
                <w:szCs w:val="20"/>
              </w:rPr>
              <w:t>Access to Healthy Food and Nutritional Education</w:t>
            </w:r>
          </w:p>
        </w:tc>
        <w:tc>
          <w:tcPr>
            <w:tcW w:w="2567" w:type="dxa"/>
            <w:tcBorders>
              <w:top w:val="nil"/>
              <w:left w:val="single" w:sz="4" w:space="0" w:color="auto"/>
              <w:bottom w:val="nil"/>
              <w:right w:val="single" w:sz="4" w:space="0" w:color="auto"/>
            </w:tcBorders>
            <w:shd w:val="clear" w:color="auto" w:fill="auto"/>
            <w:noWrap/>
            <w:vAlign w:val="bottom"/>
            <w:hideMark/>
          </w:tcPr>
          <w:p w14:paraId="04D0FF32" w14:textId="77777777" w:rsidR="001D0F55" w:rsidRPr="001D0F55" w:rsidRDefault="001D0F55" w:rsidP="00EA6806">
            <w:pPr>
              <w:jc w:val="center"/>
              <w:rPr>
                <w:color w:val="000000"/>
                <w:sz w:val="20"/>
                <w:szCs w:val="20"/>
              </w:rPr>
            </w:pPr>
            <w:r w:rsidRPr="001D0F55">
              <w:rPr>
                <w:color w:val="000000"/>
                <w:sz w:val="20"/>
                <w:szCs w:val="20"/>
              </w:rPr>
              <w:t>$2,133,750</w:t>
            </w:r>
          </w:p>
        </w:tc>
      </w:tr>
      <w:tr w:rsidR="001D0F55" w:rsidRPr="001D0F55" w14:paraId="3EED74FF" w14:textId="77777777" w:rsidTr="00CA1159">
        <w:trPr>
          <w:trHeight w:val="51"/>
          <w:jc w:val="center"/>
        </w:trPr>
        <w:tc>
          <w:tcPr>
            <w:tcW w:w="4337" w:type="dxa"/>
            <w:tcBorders>
              <w:top w:val="nil"/>
              <w:left w:val="single" w:sz="4" w:space="0" w:color="auto"/>
              <w:bottom w:val="nil"/>
              <w:right w:val="nil"/>
            </w:tcBorders>
            <w:shd w:val="clear" w:color="auto" w:fill="auto"/>
            <w:noWrap/>
            <w:vAlign w:val="bottom"/>
            <w:hideMark/>
          </w:tcPr>
          <w:p w14:paraId="4475DC43" w14:textId="77777777" w:rsidR="001D0F55" w:rsidRPr="001D0F55" w:rsidRDefault="001D0F55" w:rsidP="00EA6806">
            <w:pPr>
              <w:rPr>
                <w:color w:val="000000"/>
                <w:sz w:val="20"/>
                <w:szCs w:val="20"/>
              </w:rPr>
            </w:pPr>
            <w:r w:rsidRPr="001D0F55">
              <w:rPr>
                <w:color w:val="000000"/>
                <w:sz w:val="20"/>
                <w:szCs w:val="20"/>
              </w:rPr>
              <w:t>Food Access and Benefits</w:t>
            </w:r>
          </w:p>
        </w:tc>
        <w:tc>
          <w:tcPr>
            <w:tcW w:w="2567" w:type="dxa"/>
            <w:tcBorders>
              <w:top w:val="nil"/>
              <w:left w:val="single" w:sz="4" w:space="0" w:color="auto"/>
              <w:bottom w:val="dashed" w:sz="4" w:space="0" w:color="auto"/>
              <w:right w:val="single" w:sz="4" w:space="0" w:color="auto"/>
            </w:tcBorders>
            <w:shd w:val="clear" w:color="auto" w:fill="auto"/>
            <w:noWrap/>
            <w:vAlign w:val="bottom"/>
            <w:hideMark/>
          </w:tcPr>
          <w:p w14:paraId="788FC7B5" w14:textId="77777777" w:rsidR="001D0F55" w:rsidRPr="001D0F55" w:rsidRDefault="001D0F55" w:rsidP="00EA6806">
            <w:pPr>
              <w:jc w:val="center"/>
              <w:rPr>
                <w:color w:val="000000"/>
                <w:sz w:val="20"/>
                <w:szCs w:val="20"/>
              </w:rPr>
            </w:pPr>
            <w:r w:rsidRPr="001D0F55">
              <w:rPr>
                <w:color w:val="000000"/>
                <w:sz w:val="20"/>
                <w:szCs w:val="20"/>
              </w:rPr>
              <w:t>$1,500,000</w:t>
            </w:r>
          </w:p>
        </w:tc>
      </w:tr>
      <w:tr w:rsidR="001D0F55" w:rsidRPr="001D0F55" w14:paraId="58871F72" w14:textId="77777777" w:rsidTr="00CA1159">
        <w:trPr>
          <w:trHeight w:val="41"/>
          <w:jc w:val="center"/>
        </w:trPr>
        <w:tc>
          <w:tcPr>
            <w:tcW w:w="4337" w:type="dxa"/>
            <w:tcBorders>
              <w:top w:val="dashed" w:sz="4" w:space="0" w:color="auto"/>
              <w:left w:val="single" w:sz="4" w:space="0" w:color="auto"/>
              <w:bottom w:val="single" w:sz="4" w:space="0" w:color="auto"/>
              <w:right w:val="single" w:sz="4" w:space="0" w:color="auto"/>
            </w:tcBorders>
            <w:shd w:val="clear" w:color="auto" w:fill="auto"/>
            <w:noWrap/>
            <w:vAlign w:val="bottom"/>
            <w:hideMark/>
          </w:tcPr>
          <w:p w14:paraId="36AE396C" w14:textId="77777777" w:rsidR="001D0F55" w:rsidRPr="001D0F55" w:rsidRDefault="001D0F55" w:rsidP="00EA6806">
            <w:pPr>
              <w:jc w:val="right"/>
              <w:rPr>
                <w:b/>
                <w:bCs/>
                <w:i/>
                <w:iCs/>
                <w:color w:val="000000"/>
                <w:sz w:val="20"/>
                <w:szCs w:val="20"/>
              </w:rPr>
            </w:pPr>
            <w:r w:rsidRPr="001D0F55">
              <w:rPr>
                <w:b/>
                <w:bCs/>
                <w:i/>
                <w:iCs/>
                <w:color w:val="000000"/>
                <w:sz w:val="20"/>
                <w:szCs w:val="20"/>
              </w:rPr>
              <w:t>Subtotal</w:t>
            </w:r>
          </w:p>
        </w:tc>
        <w:tc>
          <w:tcPr>
            <w:tcW w:w="2567" w:type="dxa"/>
            <w:tcBorders>
              <w:top w:val="nil"/>
              <w:left w:val="nil"/>
              <w:bottom w:val="single" w:sz="4" w:space="0" w:color="auto"/>
              <w:right w:val="single" w:sz="4" w:space="0" w:color="auto"/>
            </w:tcBorders>
            <w:shd w:val="clear" w:color="auto" w:fill="auto"/>
            <w:noWrap/>
            <w:vAlign w:val="bottom"/>
            <w:hideMark/>
          </w:tcPr>
          <w:p w14:paraId="54DDB575" w14:textId="77777777" w:rsidR="001D0F55" w:rsidRPr="001D0F55" w:rsidRDefault="001D0F55" w:rsidP="00EA6806">
            <w:pPr>
              <w:jc w:val="center"/>
              <w:rPr>
                <w:b/>
                <w:bCs/>
                <w:color w:val="000000"/>
                <w:sz w:val="20"/>
                <w:szCs w:val="20"/>
              </w:rPr>
            </w:pPr>
            <w:r w:rsidRPr="001D0F55">
              <w:rPr>
                <w:b/>
                <w:bCs/>
                <w:color w:val="000000"/>
                <w:sz w:val="20"/>
                <w:szCs w:val="20"/>
              </w:rPr>
              <w:t>$10,893,750</w:t>
            </w:r>
          </w:p>
        </w:tc>
      </w:tr>
      <w:tr w:rsidR="001D0F55" w:rsidRPr="001D0F55" w14:paraId="4D61C2A7" w14:textId="77777777" w:rsidTr="00CA1159">
        <w:trPr>
          <w:trHeight w:val="44"/>
          <w:jc w:val="center"/>
        </w:trPr>
        <w:tc>
          <w:tcPr>
            <w:tcW w:w="6904" w:type="dxa"/>
            <w:gridSpan w:val="2"/>
            <w:tcBorders>
              <w:top w:val="single" w:sz="4" w:space="0" w:color="auto"/>
              <w:left w:val="single" w:sz="4" w:space="0" w:color="auto"/>
              <w:bottom w:val="single" w:sz="4" w:space="0" w:color="auto"/>
              <w:right w:val="single" w:sz="4" w:space="0" w:color="000000"/>
            </w:tcBorders>
            <w:shd w:val="clear" w:color="auto" w:fill="F2F2F2" w:themeFill="background1" w:themeFillShade="F2"/>
            <w:noWrap/>
            <w:vAlign w:val="bottom"/>
            <w:hideMark/>
          </w:tcPr>
          <w:p w14:paraId="52CE3F5D" w14:textId="77777777" w:rsidR="001D0F55" w:rsidRPr="001D0F55" w:rsidRDefault="001D0F55" w:rsidP="00EA6806">
            <w:pPr>
              <w:jc w:val="center"/>
              <w:rPr>
                <w:b/>
                <w:bCs/>
                <w:color w:val="000000"/>
              </w:rPr>
            </w:pPr>
            <w:r w:rsidRPr="001D0F55">
              <w:rPr>
                <w:b/>
                <w:bCs/>
                <w:color w:val="000000"/>
              </w:rPr>
              <w:t>Senior Services Initiatives</w:t>
            </w:r>
          </w:p>
        </w:tc>
      </w:tr>
      <w:tr w:rsidR="001D0F55" w:rsidRPr="001D0F55" w14:paraId="3976B657" w14:textId="77777777" w:rsidTr="00CA1159">
        <w:trPr>
          <w:trHeight w:val="125"/>
          <w:jc w:val="center"/>
        </w:trPr>
        <w:tc>
          <w:tcPr>
            <w:tcW w:w="4337" w:type="dxa"/>
            <w:tcBorders>
              <w:top w:val="nil"/>
              <w:left w:val="single" w:sz="4" w:space="0" w:color="auto"/>
              <w:bottom w:val="single" w:sz="4" w:space="0" w:color="auto"/>
              <w:right w:val="single" w:sz="4" w:space="0" w:color="auto"/>
            </w:tcBorders>
            <w:shd w:val="clear" w:color="auto" w:fill="auto"/>
            <w:noWrap/>
            <w:vAlign w:val="bottom"/>
            <w:hideMark/>
          </w:tcPr>
          <w:p w14:paraId="3A7561C7" w14:textId="77777777" w:rsidR="001D0F55" w:rsidRPr="001D0F55" w:rsidRDefault="001D0F55" w:rsidP="00EA6806">
            <w:pPr>
              <w:rPr>
                <w:color w:val="000000"/>
                <w:sz w:val="20"/>
                <w:szCs w:val="20"/>
              </w:rPr>
            </w:pPr>
            <w:r w:rsidRPr="001D0F55">
              <w:rPr>
                <w:color w:val="000000"/>
                <w:sz w:val="20"/>
                <w:szCs w:val="20"/>
              </w:rPr>
              <w:t>Senior Centers, Programs, and Enhancements</w:t>
            </w:r>
          </w:p>
        </w:tc>
        <w:tc>
          <w:tcPr>
            <w:tcW w:w="2567" w:type="dxa"/>
            <w:tcBorders>
              <w:top w:val="nil"/>
              <w:left w:val="nil"/>
              <w:bottom w:val="single" w:sz="4" w:space="0" w:color="auto"/>
              <w:right w:val="single" w:sz="4" w:space="0" w:color="auto"/>
            </w:tcBorders>
            <w:shd w:val="clear" w:color="auto" w:fill="auto"/>
            <w:noWrap/>
            <w:vAlign w:val="bottom"/>
            <w:hideMark/>
          </w:tcPr>
          <w:p w14:paraId="4434D25B" w14:textId="77777777" w:rsidR="001D0F55" w:rsidRPr="001D0F55" w:rsidRDefault="001D0F55" w:rsidP="00EA6806">
            <w:pPr>
              <w:jc w:val="center"/>
              <w:rPr>
                <w:color w:val="000000"/>
                <w:sz w:val="20"/>
                <w:szCs w:val="20"/>
              </w:rPr>
            </w:pPr>
            <w:r w:rsidRPr="001D0F55">
              <w:rPr>
                <w:color w:val="000000"/>
                <w:sz w:val="20"/>
                <w:szCs w:val="20"/>
              </w:rPr>
              <w:t>$500,000</w:t>
            </w:r>
          </w:p>
        </w:tc>
      </w:tr>
      <w:tr w:rsidR="001D0F55" w:rsidRPr="001D0F55" w14:paraId="1F939149" w14:textId="77777777" w:rsidTr="00CA1159">
        <w:trPr>
          <w:trHeight w:val="41"/>
          <w:jc w:val="center"/>
        </w:trPr>
        <w:tc>
          <w:tcPr>
            <w:tcW w:w="4337" w:type="dxa"/>
            <w:tcBorders>
              <w:top w:val="nil"/>
              <w:left w:val="single" w:sz="4" w:space="0" w:color="auto"/>
              <w:bottom w:val="single" w:sz="4" w:space="0" w:color="auto"/>
              <w:right w:val="single" w:sz="4" w:space="0" w:color="auto"/>
            </w:tcBorders>
            <w:shd w:val="clear" w:color="auto" w:fill="auto"/>
            <w:noWrap/>
            <w:vAlign w:val="bottom"/>
            <w:hideMark/>
          </w:tcPr>
          <w:p w14:paraId="1A3DF3CF" w14:textId="77777777" w:rsidR="001D0F55" w:rsidRPr="001D0F55" w:rsidRDefault="001D0F55" w:rsidP="00EA6806">
            <w:pPr>
              <w:jc w:val="right"/>
              <w:rPr>
                <w:b/>
                <w:bCs/>
                <w:color w:val="000000"/>
                <w:sz w:val="20"/>
                <w:szCs w:val="20"/>
              </w:rPr>
            </w:pPr>
            <w:r w:rsidRPr="001D0F55">
              <w:rPr>
                <w:b/>
                <w:bCs/>
                <w:color w:val="000000"/>
                <w:sz w:val="20"/>
                <w:szCs w:val="20"/>
              </w:rPr>
              <w:t>Total</w:t>
            </w:r>
          </w:p>
        </w:tc>
        <w:tc>
          <w:tcPr>
            <w:tcW w:w="2567" w:type="dxa"/>
            <w:tcBorders>
              <w:top w:val="nil"/>
              <w:left w:val="nil"/>
              <w:bottom w:val="single" w:sz="4" w:space="0" w:color="auto"/>
              <w:right w:val="single" w:sz="4" w:space="0" w:color="auto"/>
            </w:tcBorders>
            <w:shd w:val="clear" w:color="auto" w:fill="auto"/>
            <w:noWrap/>
            <w:vAlign w:val="bottom"/>
            <w:hideMark/>
          </w:tcPr>
          <w:p w14:paraId="55BF1B9F" w14:textId="77777777" w:rsidR="001D0F55" w:rsidRPr="001D0F55" w:rsidRDefault="001D0F55" w:rsidP="00EA6806">
            <w:pPr>
              <w:jc w:val="center"/>
              <w:rPr>
                <w:b/>
                <w:bCs/>
                <w:color w:val="000000"/>
                <w:sz w:val="20"/>
                <w:szCs w:val="20"/>
              </w:rPr>
            </w:pPr>
            <w:r w:rsidRPr="001D0F55">
              <w:rPr>
                <w:b/>
                <w:bCs/>
                <w:color w:val="000000"/>
                <w:sz w:val="20"/>
                <w:szCs w:val="20"/>
              </w:rPr>
              <w:t>$11,393,750</w:t>
            </w:r>
          </w:p>
        </w:tc>
      </w:tr>
    </w:tbl>
    <w:p w14:paraId="61A2A03A" w14:textId="77777777" w:rsidR="00575DB1" w:rsidRDefault="001D0F55" w:rsidP="007A4D31">
      <w:pPr>
        <w:spacing w:before="240" w:after="120" w:line="480" w:lineRule="auto"/>
        <w:contextualSpacing/>
        <w:jc w:val="both"/>
        <w:rPr>
          <w:rFonts w:eastAsia="Cambria"/>
        </w:rPr>
      </w:pPr>
      <w:r>
        <w:rPr>
          <w:rFonts w:eastAsia="Cambria"/>
        </w:rPr>
        <w:tab/>
      </w:r>
    </w:p>
    <w:p w14:paraId="7B394DEC" w14:textId="6E273440" w:rsidR="001D0F55" w:rsidRPr="001D0F55" w:rsidRDefault="001D0F55" w:rsidP="00575DB1">
      <w:pPr>
        <w:spacing w:before="240" w:after="120" w:line="480" w:lineRule="auto"/>
        <w:ind w:firstLine="720"/>
        <w:contextualSpacing/>
        <w:jc w:val="both"/>
        <w:rPr>
          <w:rFonts w:eastAsia="Cambria"/>
        </w:rPr>
      </w:pPr>
      <w:r w:rsidRPr="001D0F55">
        <w:rPr>
          <w:rFonts w:eastAsia="Cambria"/>
        </w:rPr>
        <w:t>For many years, the Council has provided direct support to community-based organizations that administer a range of food assistance programs across the City</w:t>
      </w:r>
      <w:r w:rsidR="00DA65E8">
        <w:rPr>
          <w:rFonts w:eastAsia="Cambria"/>
        </w:rPr>
        <w:t>,</w:t>
      </w:r>
      <w:r w:rsidRPr="001D0F55">
        <w:rPr>
          <w:rFonts w:eastAsia="Cambria"/>
        </w:rPr>
        <w:t xml:space="preserve"> including food pantries, soup kitchens, farmers markets, nutrition education and outreach, and social services benefits support. Council discretionary funding explicitly designated to food programs in F</w:t>
      </w:r>
      <w:r w:rsidR="00575DB1">
        <w:rPr>
          <w:rFonts w:eastAsia="Cambria"/>
        </w:rPr>
        <w:t>Y</w:t>
      </w:r>
      <w:r w:rsidRPr="001D0F55">
        <w:rPr>
          <w:rFonts w:eastAsia="Cambria"/>
        </w:rPr>
        <w:t xml:space="preserve"> 2023 is listed, by initiative, in the preceding table. In addition, congregate meals and other feeding programs may be included under the various services supported for a wide range of </w:t>
      </w:r>
      <w:r w:rsidR="00575DB1">
        <w:rPr>
          <w:rFonts w:eastAsia="Cambria"/>
        </w:rPr>
        <w:t>older adult</w:t>
      </w:r>
      <w:r w:rsidRPr="001D0F55">
        <w:rPr>
          <w:rFonts w:eastAsia="Cambria"/>
        </w:rPr>
        <w:t xml:space="preserve"> service providers funded under the Council’s $32.2 million Senior Services initiative portfolio, as well as through Local and Speaker's funds.</w:t>
      </w:r>
    </w:p>
    <w:p w14:paraId="606F3D9C" w14:textId="778E1E92" w:rsidR="001D0F55" w:rsidRPr="001D0F55" w:rsidRDefault="001D0F55" w:rsidP="007A4D31">
      <w:pPr>
        <w:spacing w:before="240" w:after="120" w:line="480" w:lineRule="auto"/>
        <w:contextualSpacing/>
        <w:jc w:val="both"/>
        <w:rPr>
          <w:rFonts w:eastAsia="Cambria"/>
        </w:rPr>
      </w:pPr>
      <w:r>
        <w:rPr>
          <w:rFonts w:eastAsia="Cambria"/>
        </w:rPr>
        <w:tab/>
      </w:r>
      <w:r w:rsidRPr="001D0F55">
        <w:rPr>
          <w:rFonts w:eastAsia="Cambria"/>
        </w:rPr>
        <w:t>For F</w:t>
      </w:r>
      <w:r w:rsidR="00575DB1">
        <w:rPr>
          <w:rFonts w:eastAsia="Cambria"/>
        </w:rPr>
        <w:t>Y</w:t>
      </w:r>
      <w:r w:rsidRPr="001D0F55">
        <w:rPr>
          <w:rFonts w:eastAsia="Cambria"/>
        </w:rPr>
        <w:t xml:space="preserve"> 2023, the Council’s designations to food programs total $11.4 million and are further detailed below.</w:t>
      </w:r>
    </w:p>
    <w:p w14:paraId="269B72A6" w14:textId="77777777" w:rsidR="001D0F55" w:rsidRPr="00F94A3A" w:rsidRDefault="001D0F55" w:rsidP="007A4D31">
      <w:pPr>
        <w:pStyle w:val="ListParagraph"/>
        <w:numPr>
          <w:ilvl w:val="0"/>
          <w:numId w:val="10"/>
        </w:numPr>
        <w:spacing w:before="120" w:beforeAutospacing="0" w:after="120" w:afterAutospacing="0"/>
        <w:contextualSpacing/>
        <w:jc w:val="both"/>
        <w:rPr>
          <w:rFonts w:eastAsia="Cambria"/>
        </w:rPr>
      </w:pPr>
      <w:r w:rsidRPr="00593E50">
        <w:rPr>
          <w:rFonts w:eastAsia="Cambria"/>
          <w:b/>
          <w:bCs/>
        </w:rPr>
        <w:t>Food Pantries</w:t>
      </w:r>
      <w:r w:rsidRPr="00593E50">
        <w:rPr>
          <w:rFonts w:eastAsia="Cambria"/>
        </w:rPr>
        <w:t xml:space="preserve"> – Funding totals $7.3 million, with $1 million allocated to support 25 DOE-based school food and hygiene pantries and $6.3 million allocated by the borough delegations </w:t>
      </w:r>
      <w:r w:rsidRPr="00F94A3A">
        <w:rPr>
          <w:rFonts w:eastAsia="Cambria"/>
        </w:rPr>
        <w:t>to community-based emergency food providers. Over 300 community-based organizations are funded, across all boroughs, to provide food pantry and soup kitchen services</w:t>
      </w:r>
      <w:r>
        <w:rPr>
          <w:rFonts w:eastAsia="Cambria"/>
        </w:rPr>
        <w:t xml:space="preserve"> in every Council district</w:t>
      </w:r>
      <w:r w:rsidRPr="00F94A3A">
        <w:rPr>
          <w:rFonts w:eastAsia="Cambria"/>
        </w:rPr>
        <w:t xml:space="preserve">. </w:t>
      </w:r>
    </w:p>
    <w:p w14:paraId="348A1024" w14:textId="77777777" w:rsidR="001D0F55" w:rsidRPr="00F94A3A" w:rsidRDefault="001D0F55" w:rsidP="001D0F55">
      <w:pPr>
        <w:pStyle w:val="ListParagraph"/>
        <w:numPr>
          <w:ilvl w:val="0"/>
          <w:numId w:val="10"/>
        </w:numPr>
        <w:spacing w:before="120" w:beforeAutospacing="0" w:after="120" w:afterAutospacing="0"/>
        <w:jc w:val="both"/>
        <w:rPr>
          <w:rFonts w:eastAsia="Cambria"/>
        </w:rPr>
      </w:pPr>
      <w:r w:rsidRPr="00F94A3A">
        <w:rPr>
          <w:rFonts w:eastAsia="Cambria"/>
          <w:b/>
          <w:bCs/>
        </w:rPr>
        <w:t>Access to Healthy Food and Nutritional Education</w:t>
      </w:r>
      <w:r w:rsidRPr="00F94A3A">
        <w:rPr>
          <w:rFonts w:eastAsia="Cambria"/>
        </w:rPr>
        <w:t xml:space="preserve"> – Funding totals $2.1 million to support programs that expand access to healthy food and improve understanding of nutrition and wholesome food choices, while engaging communities to make positive changes related to food and lifestyle to improve health outcomes. Efforts include farmers markets, urban farms, community gardens, programs to expand the use of SNAP benefits for healthier, less processed food, and educational workshops and training programs. </w:t>
      </w:r>
    </w:p>
    <w:p w14:paraId="2F99F3A5" w14:textId="77777777" w:rsidR="001D0F55" w:rsidRPr="00F94A3A" w:rsidRDefault="001D0F55" w:rsidP="001D0F55">
      <w:pPr>
        <w:pStyle w:val="ListParagraph"/>
        <w:numPr>
          <w:ilvl w:val="0"/>
          <w:numId w:val="10"/>
        </w:numPr>
        <w:spacing w:before="120" w:beforeAutospacing="0" w:after="120" w:afterAutospacing="0"/>
        <w:jc w:val="both"/>
        <w:rPr>
          <w:rFonts w:eastAsia="Cambria"/>
        </w:rPr>
      </w:pPr>
      <w:r w:rsidRPr="00F94A3A">
        <w:rPr>
          <w:rFonts w:eastAsia="Cambria"/>
          <w:b/>
          <w:bCs/>
        </w:rPr>
        <w:t>Food Access and Benefits</w:t>
      </w:r>
      <w:r w:rsidRPr="00F94A3A">
        <w:rPr>
          <w:rFonts w:eastAsia="Cambria"/>
        </w:rPr>
        <w:t xml:space="preserve"> – Funding totals $1.5 million to support technical assistance for tax return preparation for low-income City residents; SNAP and emergency food assistance benefits education and outreach; and SNAP eligibility screening, application, and recertification assistance.</w:t>
      </w:r>
    </w:p>
    <w:p w14:paraId="62EC3BD8" w14:textId="6FA115AD" w:rsidR="001B010D" w:rsidRDefault="001D0F55" w:rsidP="001B010D">
      <w:pPr>
        <w:pStyle w:val="ListParagraph"/>
        <w:numPr>
          <w:ilvl w:val="0"/>
          <w:numId w:val="10"/>
        </w:numPr>
        <w:spacing w:before="120" w:beforeAutospacing="0" w:after="120" w:afterAutospacing="0"/>
        <w:contextualSpacing/>
        <w:jc w:val="both"/>
        <w:rPr>
          <w:rFonts w:eastAsia="Cambria"/>
        </w:rPr>
      </w:pPr>
      <w:r w:rsidRPr="004C7BF2">
        <w:rPr>
          <w:rFonts w:eastAsia="Cambria"/>
          <w:b/>
          <w:bCs/>
        </w:rPr>
        <w:t>Senior Services</w:t>
      </w:r>
      <w:r w:rsidRPr="00E17F02">
        <w:rPr>
          <w:rFonts w:eastAsia="Cambria"/>
        </w:rPr>
        <w:t xml:space="preserve"> </w:t>
      </w:r>
      <w:r>
        <w:rPr>
          <w:rFonts w:eastAsia="Cambria"/>
        </w:rPr>
        <w:t>– T</w:t>
      </w:r>
      <w:r w:rsidRPr="00E17F02">
        <w:rPr>
          <w:rFonts w:eastAsia="Cambria"/>
        </w:rPr>
        <w:t xml:space="preserve">he Council allocated $500,000 to </w:t>
      </w:r>
      <w:bookmarkStart w:id="3" w:name="OLE_LINK1"/>
      <w:r>
        <w:rPr>
          <w:rFonts w:eastAsia="Cambria"/>
        </w:rPr>
        <w:t xml:space="preserve">CityMeals on Wheels under the </w:t>
      </w:r>
      <w:r w:rsidRPr="00E17F02">
        <w:rPr>
          <w:rFonts w:eastAsia="Cambria"/>
        </w:rPr>
        <w:t>Senior Centers, Programs, and Enhancements</w:t>
      </w:r>
      <w:bookmarkEnd w:id="3"/>
      <w:r w:rsidRPr="00E17F02">
        <w:rPr>
          <w:rFonts w:eastAsia="Cambria"/>
        </w:rPr>
        <w:t xml:space="preserve"> </w:t>
      </w:r>
      <w:r>
        <w:rPr>
          <w:rFonts w:eastAsia="Cambria"/>
        </w:rPr>
        <w:t xml:space="preserve">initiative </w:t>
      </w:r>
      <w:r w:rsidRPr="00E17F02">
        <w:rPr>
          <w:rFonts w:eastAsia="Cambria"/>
        </w:rPr>
        <w:t xml:space="preserve">for emergency food deliveries for homebound elderly individuals. </w:t>
      </w:r>
    </w:p>
    <w:p w14:paraId="11C99300" w14:textId="77777777" w:rsidR="001B010D" w:rsidRPr="001B010D" w:rsidRDefault="001B010D" w:rsidP="001B010D">
      <w:pPr>
        <w:pStyle w:val="ListParagraph"/>
        <w:spacing w:before="120" w:beforeAutospacing="0" w:after="120" w:afterAutospacing="0"/>
        <w:ind w:left="720"/>
        <w:contextualSpacing/>
        <w:jc w:val="both"/>
        <w:rPr>
          <w:rFonts w:eastAsia="Cambria"/>
        </w:rPr>
      </w:pPr>
    </w:p>
    <w:p w14:paraId="296F6680" w14:textId="37B62534" w:rsidR="00E80FF1" w:rsidRDefault="00E80FF1" w:rsidP="00E80FF1">
      <w:pPr>
        <w:spacing w:line="480" w:lineRule="auto"/>
        <w:contextualSpacing/>
        <w:jc w:val="both"/>
        <w:rPr>
          <w:b/>
          <w:bCs/>
          <w:color w:val="000000"/>
          <w:u w:val="single"/>
        </w:rPr>
      </w:pPr>
      <w:r>
        <w:rPr>
          <w:b/>
          <w:bCs/>
          <w:color w:val="000000"/>
          <w:u w:val="single"/>
        </w:rPr>
        <w:t>Bill Analysis – Int. 945</w:t>
      </w:r>
    </w:p>
    <w:p w14:paraId="3FE734A1" w14:textId="18B10470" w:rsidR="00E80FF1" w:rsidRDefault="00E80FF1" w:rsidP="00E80FF1">
      <w:pPr>
        <w:spacing w:line="480" w:lineRule="auto"/>
        <w:ind w:firstLine="720"/>
        <w:contextualSpacing/>
        <w:jc w:val="both"/>
        <w:rPr>
          <w:b/>
          <w:bCs/>
          <w:color w:val="000000"/>
          <w:u w:val="single"/>
        </w:rPr>
      </w:pPr>
      <w:r>
        <w:rPr>
          <w:rStyle w:val="ui-provider"/>
        </w:rPr>
        <w:t xml:space="preserve">This bill would require </w:t>
      </w:r>
      <w:r w:rsidR="00DA65E8">
        <w:rPr>
          <w:rStyle w:val="ui-provider"/>
        </w:rPr>
        <w:t xml:space="preserve">the </w:t>
      </w:r>
      <w:r>
        <w:rPr>
          <w:rStyle w:val="ui-provider"/>
        </w:rPr>
        <w:t>Department for the Aging and the Department of Information Technology and Telecommunications to develop a technical support program to serve older adults.</w:t>
      </w:r>
      <w:r w:rsidR="005A6E8D">
        <w:rPr>
          <w:rStyle w:val="ui-provider"/>
        </w:rPr>
        <w:t xml:space="preserve"> Th</w:t>
      </w:r>
      <w:r w:rsidR="00E31994">
        <w:rPr>
          <w:rStyle w:val="ui-provider"/>
        </w:rPr>
        <w:t>is</w:t>
      </w:r>
      <w:r w:rsidR="005A6E8D">
        <w:rPr>
          <w:rStyle w:val="ui-provider"/>
        </w:rPr>
        <w:t xml:space="preserve"> bill would take effect immediately.</w:t>
      </w:r>
    </w:p>
    <w:p w14:paraId="0CE91B57" w14:textId="4E385A47" w:rsidR="00297EC3" w:rsidRDefault="00297EC3" w:rsidP="00297EC3">
      <w:pPr>
        <w:spacing w:line="480" w:lineRule="auto"/>
        <w:contextualSpacing/>
        <w:jc w:val="both"/>
        <w:rPr>
          <w:b/>
          <w:bCs/>
          <w:color w:val="000000"/>
          <w:u w:val="single"/>
        </w:rPr>
      </w:pPr>
      <w:r w:rsidRPr="004C3FCD">
        <w:rPr>
          <w:b/>
          <w:bCs/>
          <w:color w:val="000000"/>
          <w:u w:val="single"/>
        </w:rPr>
        <w:t>Conclusion</w:t>
      </w:r>
    </w:p>
    <w:p w14:paraId="65CA9FA3" w14:textId="2D873C97" w:rsidR="00297EC3" w:rsidRPr="00D76C81" w:rsidRDefault="00297EC3" w:rsidP="00297EC3">
      <w:pPr>
        <w:spacing w:line="480" w:lineRule="auto"/>
        <w:ind w:firstLine="720"/>
        <w:contextualSpacing/>
        <w:jc w:val="both"/>
        <w:rPr>
          <w:color w:val="000000"/>
        </w:rPr>
      </w:pPr>
      <w:r w:rsidRPr="00D76C81">
        <w:rPr>
          <w:color w:val="000000"/>
        </w:rPr>
        <w:t>At today’s hearing, the Committee</w:t>
      </w:r>
      <w:r>
        <w:rPr>
          <w:color w:val="000000"/>
        </w:rPr>
        <w:t>s</w:t>
      </w:r>
      <w:r w:rsidRPr="00D76C81">
        <w:rPr>
          <w:color w:val="000000"/>
        </w:rPr>
        <w:t xml:space="preserve"> will seek an overview </w:t>
      </w:r>
      <w:r>
        <w:rPr>
          <w:color w:val="000000"/>
        </w:rPr>
        <w:t>of how the Administration is addressing food insecurity in New York City</w:t>
      </w:r>
      <w:r w:rsidRPr="00D76C81">
        <w:rPr>
          <w:color w:val="000000"/>
        </w:rPr>
        <w:t>. The Committee</w:t>
      </w:r>
      <w:r>
        <w:rPr>
          <w:color w:val="000000"/>
        </w:rPr>
        <w:t>s</w:t>
      </w:r>
      <w:r w:rsidRPr="00D76C81">
        <w:rPr>
          <w:color w:val="000000"/>
        </w:rPr>
        <w:t xml:space="preserve"> will additionally seek information about </w:t>
      </w:r>
      <w:r>
        <w:rPr>
          <w:color w:val="000000"/>
        </w:rPr>
        <w:t xml:space="preserve">SNAP administration and any inefficiencies that can be </w:t>
      </w:r>
      <w:r w:rsidR="00CA5967">
        <w:rPr>
          <w:color w:val="000000"/>
        </w:rPr>
        <w:t>alleviated</w:t>
      </w:r>
      <w:r>
        <w:rPr>
          <w:color w:val="000000"/>
        </w:rPr>
        <w:t xml:space="preserve"> in the </w:t>
      </w:r>
      <w:r w:rsidR="00CA5967">
        <w:rPr>
          <w:color w:val="000000"/>
        </w:rPr>
        <w:t xml:space="preserve">SNAP </w:t>
      </w:r>
      <w:r>
        <w:rPr>
          <w:color w:val="000000"/>
        </w:rPr>
        <w:t xml:space="preserve">application and recertification process. The Committees </w:t>
      </w:r>
      <w:r w:rsidR="00E31994">
        <w:rPr>
          <w:color w:val="000000"/>
        </w:rPr>
        <w:t xml:space="preserve">will </w:t>
      </w:r>
      <w:r>
        <w:rPr>
          <w:color w:val="000000"/>
        </w:rPr>
        <w:t xml:space="preserve">also seek </w:t>
      </w:r>
      <w:r w:rsidR="00CA5967">
        <w:rPr>
          <w:color w:val="000000"/>
        </w:rPr>
        <w:t>an update on emergency food assistance programs including CFC</w:t>
      </w:r>
      <w:r w:rsidRPr="00D76C81">
        <w:rPr>
          <w:color w:val="000000"/>
        </w:rPr>
        <w:t>. In addition, the Committee</w:t>
      </w:r>
      <w:r>
        <w:rPr>
          <w:color w:val="000000"/>
        </w:rPr>
        <w:t>s</w:t>
      </w:r>
      <w:r w:rsidRPr="00D76C81">
        <w:rPr>
          <w:color w:val="000000"/>
        </w:rPr>
        <w:t xml:space="preserve"> would like to learn how</w:t>
      </w:r>
      <w:r>
        <w:rPr>
          <w:color w:val="000000"/>
        </w:rPr>
        <w:t xml:space="preserve"> food insecurity has uniquely impacted older adults in New York City and ways in which the Administration has responded to meet their needs</w:t>
      </w:r>
      <w:r w:rsidRPr="00D76C81">
        <w:rPr>
          <w:color w:val="000000"/>
        </w:rPr>
        <w:t xml:space="preserve">. </w:t>
      </w:r>
    </w:p>
    <w:p w14:paraId="5F04322F" w14:textId="77777777" w:rsidR="001D0F55" w:rsidRDefault="001D0F55" w:rsidP="001D0F55"/>
    <w:p w14:paraId="18C224D1" w14:textId="77777777" w:rsidR="00C5681F" w:rsidRDefault="00C5681F">
      <w:pPr>
        <w:rPr>
          <w:b/>
        </w:rPr>
      </w:pPr>
      <w:r>
        <w:rPr>
          <w:b/>
        </w:rPr>
        <w:br w:type="page"/>
      </w:r>
    </w:p>
    <w:p w14:paraId="3F061462" w14:textId="49D558F2" w:rsidR="001D0F55" w:rsidRDefault="001D0F55" w:rsidP="001D0F55">
      <w:pPr>
        <w:jc w:val="both"/>
        <w:rPr>
          <w:b/>
        </w:rPr>
      </w:pPr>
      <w:r w:rsidRPr="008F3287">
        <w:rPr>
          <w:b/>
        </w:rPr>
        <w:t xml:space="preserve">Appendix </w:t>
      </w:r>
      <w:r>
        <w:rPr>
          <w:b/>
        </w:rPr>
        <w:t>A</w:t>
      </w:r>
    </w:p>
    <w:p w14:paraId="1A88F72F" w14:textId="77777777" w:rsidR="00CA5967" w:rsidRDefault="00CA5967" w:rsidP="001D0F55">
      <w:pPr>
        <w:jc w:val="both"/>
        <w:rPr>
          <w:b/>
        </w:rPr>
      </w:pPr>
    </w:p>
    <w:tbl>
      <w:tblPr>
        <w:tblW w:w="7285" w:type="dxa"/>
        <w:jc w:val="center"/>
        <w:tblLook w:val="04A0" w:firstRow="1" w:lastRow="0" w:firstColumn="1" w:lastColumn="0" w:noHBand="0" w:noVBand="1"/>
      </w:tblPr>
      <w:tblGrid>
        <w:gridCol w:w="1581"/>
        <w:gridCol w:w="1496"/>
        <w:gridCol w:w="2014"/>
        <w:gridCol w:w="2194"/>
      </w:tblGrid>
      <w:tr w:rsidR="001D0F55" w:rsidRPr="008F3287" w14:paraId="6F43369E" w14:textId="77777777" w:rsidTr="00C5681F">
        <w:trPr>
          <w:trHeight w:val="51"/>
          <w:jc w:val="center"/>
        </w:trPr>
        <w:tc>
          <w:tcPr>
            <w:tcW w:w="7285" w:type="dxa"/>
            <w:gridSpan w:val="4"/>
            <w:tcBorders>
              <w:top w:val="single" w:sz="4" w:space="0" w:color="auto"/>
              <w:left w:val="single" w:sz="4" w:space="0" w:color="auto"/>
              <w:bottom w:val="single" w:sz="4" w:space="0" w:color="auto"/>
              <w:right w:val="single" w:sz="4" w:space="0" w:color="000000"/>
            </w:tcBorders>
            <w:shd w:val="clear" w:color="000000" w:fill="BFBFBF"/>
            <w:noWrap/>
            <w:vAlign w:val="bottom"/>
            <w:hideMark/>
          </w:tcPr>
          <w:p w14:paraId="6748CF3D" w14:textId="77777777" w:rsidR="001D0F55" w:rsidRPr="008F3287" w:rsidRDefault="001D0F55" w:rsidP="00CA1159">
            <w:pPr>
              <w:jc w:val="center"/>
              <w:rPr>
                <w:rFonts w:ascii="Calibri" w:hAnsi="Calibri" w:cs="Calibri"/>
                <w:b/>
                <w:bCs/>
                <w:color w:val="000000"/>
              </w:rPr>
            </w:pPr>
            <w:r w:rsidRPr="008F3287">
              <w:rPr>
                <w:rFonts w:ascii="Calibri" w:hAnsi="Calibri" w:cs="Calibri"/>
                <w:b/>
                <w:bCs/>
                <w:color w:val="000000"/>
              </w:rPr>
              <w:t>SNAP Recipients, by Community District, as of December 2022</w:t>
            </w:r>
          </w:p>
        </w:tc>
      </w:tr>
      <w:tr w:rsidR="001D0F55" w:rsidRPr="008F3287" w14:paraId="3F877860" w14:textId="77777777" w:rsidTr="00C5681F">
        <w:trPr>
          <w:trHeight w:val="485"/>
          <w:jc w:val="center"/>
        </w:trPr>
        <w:tc>
          <w:tcPr>
            <w:tcW w:w="1581"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09334FA" w14:textId="77777777" w:rsidR="001D0F55" w:rsidRPr="008F3287" w:rsidRDefault="001D0F55" w:rsidP="00CA1159">
            <w:pPr>
              <w:jc w:val="center"/>
              <w:rPr>
                <w:rFonts w:ascii="Calibri" w:hAnsi="Calibri" w:cs="Calibri"/>
                <w:b/>
                <w:bCs/>
                <w:color w:val="000000"/>
              </w:rPr>
            </w:pPr>
            <w:r w:rsidRPr="008F3287">
              <w:rPr>
                <w:rFonts w:ascii="Calibri" w:hAnsi="Calibri" w:cs="Calibri"/>
                <w:b/>
                <w:bCs/>
                <w:color w:val="000000"/>
              </w:rPr>
              <w:t>Community District (CD)</w:t>
            </w:r>
          </w:p>
        </w:tc>
        <w:tc>
          <w:tcPr>
            <w:tcW w:w="1496" w:type="dxa"/>
            <w:tcBorders>
              <w:top w:val="nil"/>
              <w:left w:val="nil"/>
              <w:bottom w:val="single" w:sz="4" w:space="0" w:color="auto"/>
              <w:right w:val="single" w:sz="4" w:space="0" w:color="auto"/>
            </w:tcBorders>
            <w:shd w:val="clear" w:color="auto" w:fill="D9D9D9" w:themeFill="background1" w:themeFillShade="D9"/>
            <w:noWrap/>
            <w:vAlign w:val="bottom"/>
            <w:hideMark/>
          </w:tcPr>
          <w:p w14:paraId="2A640BC0" w14:textId="77777777" w:rsidR="001D0F55" w:rsidRPr="008F3287" w:rsidRDefault="001D0F55" w:rsidP="00CA1159">
            <w:pPr>
              <w:jc w:val="center"/>
              <w:rPr>
                <w:rFonts w:ascii="Calibri" w:hAnsi="Calibri" w:cs="Calibri"/>
                <w:b/>
                <w:bCs/>
                <w:color w:val="000000"/>
              </w:rPr>
            </w:pPr>
            <w:r w:rsidRPr="008F3287">
              <w:rPr>
                <w:rFonts w:ascii="Calibri" w:hAnsi="Calibri" w:cs="Calibri"/>
                <w:b/>
                <w:bCs/>
                <w:color w:val="000000"/>
              </w:rPr>
              <w:t>2020 Population</w:t>
            </w:r>
          </w:p>
        </w:tc>
        <w:tc>
          <w:tcPr>
            <w:tcW w:w="2014" w:type="dxa"/>
            <w:tcBorders>
              <w:top w:val="nil"/>
              <w:left w:val="nil"/>
              <w:bottom w:val="single" w:sz="4" w:space="0" w:color="auto"/>
              <w:right w:val="single" w:sz="4" w:space="0" w:color="auto"/>
            </w:tcBorders>
            <w:shd w:val="clear" w:color="auto" w:fill="D9D9D9" w:themeFill="background1" w:themeFillShade="D9"/>
            <w:noWrap/>
            <w:vAlign w:val="bottom"/>
            <w:hideMark/>
          </w:tcPr>
          <w:p w14:paraId="5B238FAE" w14:textId="77777777" w:rsidR="001D0F55" w:rsidRPr="008F3287" w:rsidRDefault="001D0F55" w:rsidP="00CA1159">
            <w:pPr>
              <w:jc w:val="center"/>
              <w:rPr>
                <w:rFonts w:ascii="Calibri" w:hAnsi="Calibri" w:cs="Calibri"/>
                <w:b/>
                <w:bCs/>
                <w:color w:val="000000"/>
              </w:rPr>
            </w:pPr>
            <w:r w:rsidRPr="008F3287">
              <w:rPr>
                <w:rFonts w:ascii="Calibri" w:hAnsi="Calibri" w:cs="Calibri"/>
                <w:b/>
                <w:bCs/>
                <w:color w:val="000000"/>
              </w:rPr>
              <w:t>December 2022 SNAP Recipients</w:t>
            </w:r>
          </w:p>
        </w:tc>
        <w:tc>
          <w:tcPr>
            <w:tcW w:w="2194" w:type="dxa"/>
            <w:tcBorders>
              <w:top w:val="nil"/>
              <w:left w:val="nil"/>
              <w:bottom w:val="single" w:sz="4" w:space="0" w:color="auto"/>
              <w:right w:val="single" w:sz="4" w:space="0" w:color="auto"/>
            </w:tcBorders>
            <w:shd w:val="clear" w:color="auto" w:fill="D9D9D9" w:themeFill="background1" w:themeFillShade="D9"/>
            <w:noWrap/>
            <w:vAlign w:val="bottom"/>
            <w:hideMark/>
          </w:tcPr>
          <w:p w14:paraId="7E4BDDC3" w14:textId="77777777" w:rsidR="001D0F55" w:rsidRPr="008F3287" w:rsidRDefault="001D0F55" w:rsidP="00CA1159">
            <w:pPr>
              <w:jc w:val="center"/>
              <w:rPr>
                <w:rFonts w:ascii="Calibri" w:hAnsi="Calibri" w:cs="Calibri"/>
                <w:b/>
                <w:bCs/>
                <w:color w:val="000000"/>
              </w:rPr>
            </w:pPr>
            <w:r w:rsidRPr="008F3287">
              <w:rPr>
                <w:rFonts w:ascii="Calibri" w:hAnsi="Calibri" w:cs="Calibri"/>
                <w:b/>
                <w:bCs/>
                <w:color w:val="000000"/>
              </w:rPr>
              <w:t>CD SNAP Recipients as % of Population</w:t>
            </w:r>
          </w:p>
        </w:tc>
      </w:tr>
      <w:tr w:rsidR="001D0F55" w:rsidRPr="008F3287" w14:paraId="718644DD" w14:textId="77777777" w:rsidTr="00C5681F">
        <w:trPr>
          <w:trHeight w:val="300"/>
          <w:jc w:val="center"/>
        </w:trPr>
        <w:tc>
          <w:tcPr>
            <w:tcW w:w="1581" w:type="dxa"/>
            <w:tcBorders>
              <w:top w:val="nil"/>
              <w:left w:val="single" w:sz="4" w:space="0" w:color="auto"/>
              <w:bottom w:val="single" w:sz="4" w:space="0" w:color="auto"/>
              <w:right w:val="single" w:sz="4" w:space="0" w:color="auto"/>
            </w:tcBorders>
            <w:shd w:val="clear" w:color="000000" w:fill="C5D9F1"/>
            <w:noWrap/>
            <w:vAlign w:val="bottom"/>
            <w:hideMark/>
          </w:tcPr>
          <w:p w14:paraId="4B21E280"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B01</w:t>
            </w:r>
          </w:p>
        </w:tc>
        <w:tc>
          <w:tcPr>
            <w:tcW w:w="1496" w:type="dxa"/>
            <w:tcBorders>
              <w:top w:val="nil"/>
              <w:left w:val="nil"/>
              <w:bottom w:val="single" w:sz="4" w:space="0" w:color="auto"/>
              <w:right w:val="single" w:sz="4" w:space="0" w:color="auto"/>
            </w:tcBorders>
            <w:shd w:val="clear" w:color="000000" w:fill="C5D9F1"/>
            <w:noWrap/>
            <w:vAlign w:val="bottom"/>
            <w:hideMark/>
          </w:tcPr>
          <w:p w14:paraId="6DFB2A5B"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100,929</w:t>
            </w:r>
          </w:p>
        </w:tc>
        <w:tc>
          <w:tcPr>
            <w:tcW w:w="2014" w:type="dxa"/>
            <w:tcBorders>
              <w:top w:val="nil"/>
              <w:left w:val="nil"/>
              <w:bottom w:val="single" w:sz="4" w:space="0" w:color="auto"/>
              <w:right w:val="single" w:sz="4" w:space="0" w:color="auto"/>
            </w:tcBorders>
            <w:shd w:val="clear" w:color="000000" w:fill="C5D9F1"/>
            <w:noWrap/>
            <w:vAlign w:val="bottom"/>
            <w:hideMark/>
          </w:tcPr>
          <w:p w14:paraId="5794C770"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46,445</w:t>
            </w:r>
          </w:p>
        </w:tc>
        <w:tc>
          <w:tcPr>
            <w:tcW w:w="2194" w:type="dxa"/>
            <w:tcBorders>
              <w:top w:val="nil"/>
              <w:left w:val="nil"/>
              <w:bottom w:val="single" w:sz="4" w:space="0" w:color="auto"/>
              <w:right w:val="single" w:sz="4" w:space="0" w:color="auto"/>
            </w:tcBorders>
            <w:shd w:val="clear" w:color="000000" w:fill="C5D9F1"/>
            <w:noWrap/>
            <w:vAlign w:val="bottom"/>
            <w:hideMark/>
          </w:tcPr>
          <w:p w14:paraId="01B40090"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46%</w:t>
            </w:r>
          </w:p>
        </w:tc>
      </w:tr>
      <w:tr w:rsidR="001D0F55" w:rsidRPr="008F3287" w14:paraId="15A0BFEA" w14:textId="77777777" w:rsidTr="00C5681F">
        <w:trPr>
          <w:trHeight w:val="300"/>
          <w:jc w:val="center"/>
        </w:trPr>
        <w:tc>
          <w:tcPr>
            <w:tcW w:w="1581" w:type="dxa"/>
            <w:tcBorders>
              <w:top w:val="nil"/>
              <w:left w:val="single" w:sz="4" w:space="0" w:color="auto"/>
              <w:bottom w:val="single" w:sz="4" w:space="0" w:color="auto"/>
              <w:right w:val="single" w:sz="4" w:space="0" w:color="auto"/>
            </w:tcBorders>
            <w:shd w:val="clear" w:color="000000" w:fill="C5D9F1"/>
            <w:noWrap/>
            <w:vAlign w:val="bottom"/>
            <w:hideMark/>
          </w:tcPr>
          <w:p w14:paraId="470CC71A"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B02</w:t>
            </w:r>
          </w:p>
        </w:tc>
        <w:tc>
          <w:tcPr>
            <w:tcW w:w="1496" w:type="dxa"/>
            <w:tcBorders>
              <w:top w:val="nil"/>
              <w:left w:val="nil"/>
              <w:bottom w:val="single" w:sz="4" w:space="0" w:color="auto"/>
              <w:right w:val="single" w:sz="4" w:space="0" w:color="auto"/>
            </w:tcBorders>
            <w:shd w:val="clear" w:color="000000" w:fill="C5D9F1"/>
            <w:noWrap/>
            <w:vAlign w:val="bottom"/>
            <w:hideMark/>
          </w:tcPr>
          <w:p w14:paraId="503F01BE"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54,454</w:t>
            </w:r>
          </w:p>
        </w:tc>
        <w:tc>
          <w:tcPr>
            <w:tcW w:w="2014" w:type="dxa"/>
            <w:tcBorders>
              <w:top w:val="nil"/>
              <w:left w:val="nil"/>
              <w:bottom w:val="single" w:sz="4" w:space="0" w:color="auto"/>
              <w:right w:val="single" w:sz="4" w:space="0" w:color="auto"/>
            </w:tcBorders>
            <w:shd w:val="clear" w:color="000000" w:fill="C5D9F1"/>
            <w:noWrap/>
            <w:vAlign w:val="bottom"/>
            <w:hideMark/>
          </w:tcPr>
          <w:p w14:paraId="1C32B2F0"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23,422</w:t>
            </w:r>
          </w:p>
        </w:tc>
        <w:tc>
          <w:tcPr>
            <w:tcW w:w="2194" w:type="dxa"/>
            <w:tcBorders>
              <w:top w:val="nil"/>
              <w:left w:val="nil"/>
              <w:bottom w:val="single" w:sz="4" w:space="0" w:color="auto"/>
              <w:right w:val="single" w:sz="4" w:space="0" w:color="auto"/>
            </w:tcBorders>
            <w:shd w:val="clear" w:color="000000" w:fill="C5D9F1"/>
            <w:noWrap/>
            <w:vAlign w:val="bottom"/>
            <w:hideMark/>
          </w:tcPr>
          <w:p w14:paraId="60075DA7"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43%</w:t>
            </w:r>
          </w:p>
        </w:tc>
      </w:tr>
      <w:tr w:rsidR="001D0F55" w:rsidRPr="008F3287" w14:paraId="27607F89" w14:textId="77777777" w:rsidTr="00C5681F">
        <w:trPr>
          <w:trHeight w:val="300"/>
          <w:jc w:val="center"/>
        </w:trPr>
        <w:tc>
          <w:tcPr>
            <w:tcW w:w="1581" w:type="dxa"/>
            <w:tcBorders>
              <w:top w:val="nil"/>
              <w:left w:val="single" w:sz="4" w:space="0" w:color="auto"/>
              <w:bottom w:val="single" w:sz="4" w:space="0" w:color="auto"/>
              <w:right w:val="single" w:sz="4" w:space="0" w:color="auto"/>
            </w:tcBorders>
            <w:shd w:val="clear" w:color="000000" w:fill="C5D9F1"/>
            <w:noWrap/>
            <w:vAlign w:val="bottom"/>
            <w:hideMark/>
          </w:tcPr>
          <w:p w14:paraId="52EF2B3B"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B03</w:t>
            </w:r>
          </w:p>
        </w:tc>
        <w:tc>
          <w:tcPr>
            <w:tcW w:w="1496" w:type="dxa"/>
            <w:tcBorders>
              <w:top w:val="nil"/>
              <w:left w:val="nil"/>
              <w:bottom w:val="single" w:sz="4" w:space="0" w:color="auto"/>
              <w:right w:val="single" w:sz="4" w:space="0" w:color="auto"/>
            </w:tcBorders>
            <w:shd w:val="clear" w:color="000000" w:fill="C5D9F1"/>
            <w:noWrap/>
            <w:vAlign w:val="bottom"/>
            <w:hideMark/>
          </w:tcPr>
          <w:p w14:paraId="3C5A4B41"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93,755</w:t>
            </w:r>
          </w:p>
        </w:tc>
        <w:tc>
          <w:tcPr>
            <w:tcW w:w="2014" w:type="dxa"/>
            <w:tcBorders>
              <w:top w:val="nil"/>
              <w:left w:val="nil"/>
              <w:bottom w:val="single" w:sz="4" w:space="0" w:color="auto"/>
              <w:right w:val="single" w:sz="4" w:space="0" w:color="auto"/>
            </w:tcBorders>
            <w:shd w:val="clear" w:color="000000" w:fill="C5D9F1"/>
            <w:noWrap/>
            <w:vAlign w:val="bottom"/>
            <w:hideMark/>
          </w:tcPr>
          <w:p w14:paraId="6F05C7C4"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44,444</w:t>
            </w:r>
          </w:p>
        </w:tc>
        <w:tc>
          <w:tcPr>
            <w:tcW w:w="2194" w:type="dxa"/>
            <w:tcBorders>
              <w:top w:val="nil"/>
              <w:left w:val="nil"/>
              <w:bottom w:val="single" w:sz="4" w:space="0" w:color="auto"/>
              <w:right w:val="single" w:sz="4" w:space="0" w:color="auto"/>
            </w:tcBorders>
            <w:shd w:val="clear" w:color="000000" w:fill="C5D9F1"/>
            <w:noWrap/>
            <w:vAlign w:val="bottom"/>
            <w:hideMark/>
          </w:tcPr>
          <w:p w14:paraId="4BCD8B29"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47%</w:t>
            </w:r>
          </w:p>
        </w:tc>
      </w:tr>
      <w:tr w:rsidR="001D0F55" w:rsidRPr="008F3287" w14:paraId="2964B1CF" w14:textId="77777777" w:rsidTr="00C5681F">
        <w:trPr>
          <w:trHeight w:val="300"/>
          <w:jc w:val="center"/>
        </w:trPr>
        <w:tc>
          <w:tcPr>
            <w:tcW w:w="1581" w:type="dxa"/>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3C0963DE"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B04</w:t>
            </w:r>
          </w:p>
        </w:tc>
        <w:tc>
          <w:tcPr>
            <w:tcW w:w="1496" w:type="dxa"/>
            <w:tcBorders>
              <w:top w:val="nil"/>
              <w:left w:val="nil"/>
              <w:bottom w:val="single" w:sz="4" w:space="0" w:color="auto"/>
              <w:right w:val="single" w:sz="4" w:space="0" w:color="auto"/>
            </w:tcBorders>
            <w:shd w:val="clear" w:color="auto" w:fill="C5E0B3" w:themeFill="accent6" w:themeFillTint="66"/>
            <w:noWrap/>
            <w:vAlign w:val="bottom"/>
            <w:hideMark/>
          </w:tcPr>
          <w:p w14:paraId="4F48FEDC"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150,436</w:t>
            </w:r>
          </w:p>
        </w:tc>
        <w:tc>
          <w:tcPr>
            <w:tcW w:w="2014" w:type="dxa"/>
            <w:tcBorders>
              <w:top w:val="nil"/>
              <w:left w:val="nil"/>
              <w:bottom w:val="single" w:sz="4" w:space="0" w:color="auto"/>
              <w:right w:val="single" w:sz="4" w:space="0" w:color="auto"/>
            </w:tcBorders>
            <w:shd w:val="clear" w:color="auto" w:fill="C5E0B3" w:themeFill="accent6" w:themeFillTint="66"/>
            <w:noWrap/>
            <w:vAlign w:val="bottom"/>
            <w:hideMark/>
          </w:tcPr>
          <w:p w14:paraId="3E661524"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58,250</w:t>
            </w:r>
          </w:p>
        </w:tc>
        <w:tc>
          <w:tcPr>
            <w:tcW w:w="2194" w:type="dxa"/>
            <w:tcBorders>
              <w:top w:val="nil"/>
              <w:left w:val="nil"/>
              <w:bottom w:val="single" w:sz="4" w:space="0" w:color="auto"/>
              <w:right w:val="single" w:sz="4" w:space="0" w:color="auto"/>
            </w:tcBorders>
            <w:shd w:val="clear" w:color="auto" w:fill="C5E0B3" w:themeFill="accent6" w:themeFillTint="66"/>
            <w:noWrap/>
            <w:vAlign w:val="bottom"/>
            <w:hideMark/>
          </w:tcPr>
          <w:p w14:paraId="6D45CA09"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39%</w:t>
            </w:r>
          </w:p>
        </w:tc>
      </w:tr>
      <w:tr w:rsidR="001D0F55" w:rsidRPr="008F3287" w14:paraId="604257D4" w14:textId="77777777" w:rsidTr="00C5681F">
        <w:trPr>
          <w:trHeight w:val="300"/>
          <w:jc w:val="center"/>
        </w:trPr>
        <w:tc>
          <w:tcPr>
            <w:tcW w:w="1581" w:type="dxa"/>
            <w:tcBorders>
              <w:top w:val="nil"/>
              <w:left w:val="single" w:sz="4" w:space="0" w:color="auto"/>
              <w:bottom w:val="single" w:sz="4" w:space="0" w:color="auto"/>
              <w:right w:val="single" w:sz="4" w:space="0" w:color="auto"/>
            </w:tcBorders>
            <w:shd w:val="clear" w:color="000000" w:fill="C5D9F1"/>
            <w:noWrap/>
            <w:vAlign w:val="bottom"/>
            <w:hideMark/>
          </w:tcPr>
          <w:p w14:paraId="17061377"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B05</w:t>
            </w:r>
          </w:p>
        </w:tc>
        <w:tc>
          <w:tcPr>
            <w:tcW w:w="1496" w:type="dxa"/>
            <w:tcBorders>
              <w:top w:val="nil"/>
              <w:left w:val="nil"/>
              <w:bottom w:val="single" w:sz="4" w:space="0" w:color="auto"/>
              <w:right w:val="single" w:sz="4" w:space="0" w:color="auto"/>
            </w:tcBorders>
            <w:shd w:val="clear" w:color="000000" w:fill="C5D9F1"/>
            <w:noWrap/>
            <w:vAlign w:val="bottom"/>
            <w:hideMark/>
          </w:tcPr>
          <w:p w14:paraId="5F2577B9"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132,584</w:t>
            </w:r>
          </w:p>
        </w:tc>
        <w:tc>
          <w:tcPr>
            <w:tcW w:w="2014" w:type="dxa"/>
            <w:tcBorders>
              <w:top w:val="nil"/>
              <w:left w:val="nil"/>
              <w:bottom w:val="single" w:sz="4" w:space="0" w:color="auto"/>
              <w:right w:val="single" w:sz="4" w:space="0" w:color="auto"/>
            </w:tcBorders>
            <w:shd w:val="clear" w:color="000000" w:fill="C5D9F1"/>
            <w:noWrap/>
            <w:vAlign w:val="bottom"/>
            <w:hideMark/>
          </w:tcPr>
          <w:p w14:paraId="3B6ED697"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56,013</w:t>
            </w:r>
          </w:p>
        </w:tc>
        <w:tc>
          <w:tcPr>
            <w:tcW w:w="2194" w:type="dxa"/>
            <w:tcBorders>
              <w:top w:val="nil"/>
              <w:left w:val="nil"/>
              <w:bottom w:val="single" w:sz="4" w:space="0" w:color="auto"/>
              <w:right w:val="single" w:sz="4" w:space="0" w:color="auto"/>
            </w:tcBorders>
            <w:shd w:val="clear" w:color="000000" w:fill="C5D9F1"/>
            <w:noWrap/>
            <w:vAlign w:val="bottom"/>
            <w:hideMark/>
          </w:tcPr>
          <w:p w14:paraId="262B254A"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42%</w:t>
            </w:r>
          </w:p>
        </w:tc>
      </w:tr>
      <w:tr w:rsidR="001D0F55" w:rsidRPr="008F3287" w14:paraId="38DE3384" w14:textId="77777777" w:rsidTr="00C5681F">
        <w:trPr>
          <w:trHeight w:val="300"/>
          <w:jc w:val="center"/>
        </w:trPr>
        <w:tc>
          <w:tcPr>
            <w:tcW w:w="1581" w:type="dxa"/>
            <w:tcBorders>
              <w:top w:val="nil"/>
              <w:left w:val="single" w:sz="4" w:space="0" w:color="auto"/>
              <w:bottom w:val="single" w:sz="4" w:space="0" w:color="auto"/>
              <w:right w:val="single" w:sz="4" w:space="0" w:color="auto"/>
            </w:tcBorders>
            <w:shd w:val="clear" w:color="000000" w:fill="C5D9F1"/>
            <w:noWrap/>
            <w:vAlign w:val="bottom"/>
            <w:hideMark/>
          </w:tcPr>
          <w:p w14:paraId="6C3058F3"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B06</w:t>
            </w:r>
          </w:p>
        </w:tc>
        <w:tc>
          <w:tcPr>
            <w:tcW w:w="1496" w:type="dxa"/>
            <w:tcBorders>
              <w:top w:val="nil"/>
              <w:left w:val="nil"/>
              <w:bottom w:val="single" w:sz="4" w:space="0" w:color="auto"/>
              <w:right w:val="single" w:sz="4" w:space="0" w:color="auto"/>
            </w:tcBorders>
            <w:shd w:val="clear" w:color="000000" w:fill="C5D9F1"/>
            <w:noWrap/>
            <w:vAlign w:val="bottom"/>
            <w:hideMark/>
          </w:tcPr>
          <w:p w14:paraId="15D14290"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89,216</w:t>
            </w:r>
          </w:p>
        </w:tc>
        <w:tc>
          <w:tcPr>
            <w:tcW w:w="2014" w:type="dxa"/>
            <w:tcBorders>
              <w:top w:val="nil"/>
              <w:left w:val="nil"/>
              <w:bottom w:val="single" w:sz="4" w:space="0" w:color="auto"/>
              <w:right w:val="single" w:sz="4" w:space="0" w:color="auto"/>
            </w:tcBorders>
            <w:shd w:val="clear" w:color="000000" w:fill="C5D9F1"/>
            <w:noWrap/>
            <w:vAlign w:val="bottom"/>
            <w:hideMark/>
          </w:tcPr>
          <w:p w14:paraId="17F35187"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41,128</w:t>
            </w:r>
          </w:p>
        </w:tc>
        <w:tc>
          <w:tcPr>
            <w:tcW w:w="2194" w:type="dxa"/>
            <w:tcBorders>
              <w:top w:val="nil"/>
              <w:left w:val="nil"/>
              <w:bottom w:val="single" w:sz="4" w:space="0" w:color="auto"/>
              <w:right w:val="single" w:sz="4" w:space="0" w:color="auto"/>
            </w:tcBorders>
            <w:shd w:val="clear" w:color="000000" w:fill="C5D9F1"/>
            <w:noWrap/>
            <w:vAlign w:val="bottom"/>
            <w:hideMark/>
          </w:tcPr>
          <w:p w14:paraId="6C8B58E5"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46%</w:t>
            </w:r>
          </w:p>
        </w:tc>
      </w:tr>
      <w:tr w:rsidR="001D0F55" w:rsidRPr="008F3287" w14:paraId="3AAE9A33" w14:textId="77777777" w:rsidTr="00C5681F">
        <w:trPr>
          <w:trHeight w:val="300"/>
          <w:jc w:val="center"/>
        </w:trPr>
        <w:tc>
          <w:tcPr>
            <w:tcW w:w="1581" w:type="dxa"/>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3F6B1F34"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B07</w:t>
            </w:r>
          </w:p>
        </w:tc>
        <w:tc>
          <w:tcPr>
            <w:tcW w:w="1496" w:type="dxa"/>
            <w:tcBorders>
              <w:top w:val="nil"/>
              <w:left w:val="nil"/>
              <w:bottom w:val="single" w:sz="4" w:space="0" w:color="auto"/>
              <w:right w:val="single" w:sz="4" w:space="0" w:color="auto"/>
            </w:tcBorders>
            <w:shd w:val="clear" w:color="auto" w:fill="C5E0B3" w:themeFill="accent6" w:themeFillTint="66"/>
            <w:noWrap/>
            <w:vAlign w:val="bottom"/>
            <w:hideMark/>
          </w:tcPr>
          <w:p w14:paraId="0B98D5FA"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146,813</w:t>
            </w:r>
          </w:p>
        </w:tc>
        <w:tc>
          <w:tcPr>
            <w:tcW w:w="2014" w:type="dxa"/>
            <w:tcBorders>
              <w:top w:val="nil"/>
              <w:left w:val="nil"/>
              <w:bottom w:val="single" w:sz="4" w:space="0" w:color="auto"/>
              <w:right w:val="single" w:sz="4" w:space="0" w:color="auto"/>
            </w:tcBorders>
            <w:shd w:val="clear" w:color="auto" w:fill="C5E0B3" w:themeFill="accent6" w:themeFillTint="66"/>
            <w:noWrap/>
            <w:vAlign w:val="bottom"/>
            <w:hideMark/>
          </w:tcPr>
          <w:p w14:paraId="01558143"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49,917</w:t>
            </w:r>
          </w:p>
        </w:tc>
        <w:tc>
          <w:tcPr>
            <w:tcW w:w="2194" w:type="dxa"/>
            <w:tcBorders>
              <w:top w:val="nil"/>
              <w:left w:val="nil"/>
              <w:bottom w:val="single" w:sz="4" w:space="0" w:color="auto"/>
              <w:right w:val="single" w:sz="4" w:space="0" w:color="auto"/>
            </w:tcBorders>
            <w:shd w:val="clear" w:color="auto" w:fill="C5E0B3" w:themeFill="accent6" w:themeFillTint="66"/>
            <w:noWrap/>
            <w:vAlign w:val="bottom"/>
            <w:hideMark/>
          </w:tcPr>
          <w:p w14:paraId="484C859C"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34%</w:t>
            </w:r>
          </w:p>
        </w:tc>
      </w:tr>
      <w:tr w:rsidR="001D0F55" w:rsidRPr="008F3287" w14:paraId="59DD4266" w14:textId="77777777" w:rsidTr="00C5681F">
        <w:trPr>
          <w:trHeight w:val="300"/>
          <w:jc w:val="center"/>
        </w:trPr>
        <w:tc>
          <w:tcPr>
            <w:tcW w:w="1581" w:type="dxa"/>
            <w:tcBorders>
              <w:top w:val="nil"/>
              <w:left w:val="single" w:sz="4" w:space="0" w:color="auto"/>
              <w:bottom w:val="single" w:sz="4" w:space="0" w:color="auto"/>
              <w:right w:val="single" w:sz="4" w:space="0" w:color="auto"/>
            </w:tcBorders>
            <w:shd w:val="clear" w:color="auto" w:fill="auto"/>
            <w:noWrap/>
            <w:vAlign w:val="bottom"/>
            <w:hideMark/>
          </w:tcPr>
          <w:p w14:paraId="575E6460"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B08</w:t>
            </w:r>
          </w:p>
        </w:tc>
        <w:tc>
          <w:tcPr>
            <w:tcW w:w="1496" w:type="dxa"/>
            <w:tcBorders>
              <w:top w:val="nil"/>
              <w:left w:val="nil"/>
              <w:bottom w:val="single" w:sz="4" w:space="0" w:color="auto"/>
              <w:right w:val="single" w:sz="4" w:space="0" w:color="auto"/>
            </w:tcBorders>
            <w:shd w:val="clear" w:color="auto" w:fill="auto"/>
            <w:noWrap/>
            <w:vAlign w:val="bottom"/>
            <w:hideMark/>
          </w:tcPr>
          <w:p w14:paraId="5B3DAC83"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106,924</w:t>
            </w:r>
          </w:p>
        </w:tc>
        <w:tc>
          <w:tcPr>
            <w:tcW w:w="2014" w:type="dxa"/>
            <w:tcBorders>
              <w:top w:val="nil"/>
              <w:left w:val="nil"/>
              <w:bottom w:val="single" w:sz="4" w:space="0" w:color="auto"/>
              <w:right w:val="single" w:sz="4" w:space="0" w:color="auto"/>
            </w:tcBorders>
            <w:shd w:val="clear" w:color="auto" w:fill="auto"/>
            <w:noWrap/>
            <w:vAlign w:val="bottom"/>
            <w:hideMark/>
          </w:tcPr>
          <w:p w14:paraId="680FFE2C"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19,124</w:t>
            </w:r>
          </w:p>
        </w:tc>
        <w:tc>
          <w:tcPr>
            <w:tcW w:w="2194" w:type="dxa"/>
            <w:tcBorders>
              <w:top w:val="nil"/>
              <w:left w:val="nil"/>
              <w:bottom w:val="single" w:sz="4" w:space="0" w:color="auto"/>
              <w:right w:val="single" w:sz="4" w:space="0" w:color="auto"/>
            </w:tcBorders>
            <w:shd w:val="clear" w:color="auto" w:fill="auto"/>
            <w:noWrap/>
            <w:vAlign w:val="bottom"/>
            <w:hideMark/>
          </w:tcPr>
          <w:p w14:paraId="4896BCFE"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18%</w:t>
            </w:r>
          </w:p>
        </w:tc>
      </w:tr>
      <w:tr w:rsidR="001D0F55" w:rsidRPr="008F3287" w14:paraId="091D3696" w14:textId="77777777" w:rsidTr="00C5681F">
        <w:trPr>
          <w:trHeight w:val="300"/>
          <w:jc w:val="center"/>
        </w:trPr>
        <w:tc>
          <w:tcPr>
            <w:tcW w:w="1581" w:type="dxa"/>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18493300"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B09</w:t>
            </w:r>
          </w:p>
        </w:tc>
        <w:tc>
          <w:tcPr>
            <w:tcW w:w="1496" w:type="dxa"/>
            <w:tcBorders>
              <w:top w:val="nil"/>
              <w:left w:val="nil"/>
              <w:bottom w:val="single" w:sz="4" w:space="0" w:color="auto"/>
              <w:right w:val="single" w:sz="4" w:space="0" w:color="auto"/>
            </w:tcBorders>
            <w:shd w:val="clear" w:color="auto" w:fill="C5E0B3" w:themeFill="accent6" w:themeFillTint="66"/>
            <w:noWrap/>
            <w:vAlign w:val="bottom"/>
            <w:hideMark/>
          </w:tcPr>
          <w:p w14:paraId="4B3648B6"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188,249</w:t>
            </w:r>
          </w:p>
        </w:tc>
        <w:tc>
          <w:tcPr>
            <w:tcW w:w="2014" w:type="dxa"/>
            <w:tcBorders>
              <w:top w:val="nil"/>
              <w:left w:val="nil"/>
              <w:bottom w:val="single" w:sz="4" w:space="0" w:color="auto"/>
              <w:right w:val="single" w:sz="4" w:space="0" w:color="auto"/>
            </w:tcBorders>
            <w:shd w:val="clear" w:color="auto" w:fill="C5E0B3" w:themeFill="accent6" w:themeFillTint="66"/>
            <w:noWrap/>
            <w:vAlign w:val="bottom"/>
            <w:hideMark/>
          </w:tcPr>
          <w:p w14:paraId="7C90536B"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57,760</w:t>
            </w:r>
          </w:p>
        </w:tc>
        <w:tc>
          <w:tcPr>
            <w:tcW w:w="2194" w:type="dxa"/>
            <w:tcBorders>
              <w:top w:val="nil"/>
              <w:left w:val="nil"/>
              <w:bottom w:val="single" w:sz="4" w:space="0" w:color="auto"/>
              <w:right w:val="single" w:sz="4" w:space="0" w:color="auto"/>
            </w:tcBorders>
            <w:shd w:val="clear" w:color="auto" w:fill="C5E0B3" w:themeFill="accent6" w:themeFillTint="66"/>
            <w:noWrap/>
            <w:vAlign w:val="bottom"/>
            <w:hideMark/>
          </w:tcPr>
          <w:p w14:paraId="47DD1FE4"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31%</w:t>
            </w:r>
          </w:p>
        </w:tc>
      </w:tr>
      <w:tr w:rsidR="001D0F55" w:rsidRPr="008F3287" w14:paraId="743F4BA4" w14:textId="77777777" w:rsidTr="00C5681F">
        <w:trPr>
          <w:trHeight w:val="300"/>
          <w:jc w:val="center"/>
        </w:trPr>
        <w:tc>
          <w:tcPr>
            <w:tcW w:w="1581" w:type="dxa"/>
            <w:tcBorders>
              <w:top w:val="nil"/>
              <w:left w:val="single" w:sz="4" w:space="0" w:color="auto"/>
              <w:bottom w:val="single" w:sz="4" w:space="0" w:color="auto"/>
              <w:right w:val="single" w:sz="4" w:space="0" w:color="auto"/>
            </w:tcBorders>
            <w:shd w:val="clear" w:color="auto" w:fill="auto"/>
            <w:noWrap/>
            <w:vAlign w:val="bottom"/>
            <w:hideMark/>
          </w:tcPr>
          <w:p w14:paraId="40C3DA48"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B10</w:t>
            </w:r>
          </w:p>
        </w:tc>
        <w:tc>
          <w:tcPr>
            <w:tcW w:w="1496" w:type="dxa"/>
            <w:tcBorders>
              <w:top w:val="nil"/>
              <w:left w:val="nil"/>
              <w:bottom w:val="single" w:sz="4" w:space="0" w:color="auto"/>
              <w:right w:val="single" w:sz="4" w:space="0" w:color="auto"/>
            </w:tcBorders>
            <w:shd w:val="clear" w:color="auto" w:fill="auto"/>
            <w:noWrap/>
            <w:vAlign w:val="bottom"/>
            <w:hideMark/>
          </w:tcPr>
          <w:p w14:paraId="3499C211"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130,763</w:t>
            </w:r>
          </w:p>
        </w:tc>
        <w:tc>
          <w:tcPr>
            <w:tcW w:w="2014" w:type="dxa"/>
            <w:tcBorders>
              <w:top w:val="nil"/>
              <w:left w:val="nil"/>
              <w:bottom w:val="single" w:sz="4" w:space="0" w:color="auto"/>
              <w:right w:val="single" w:sz="4" w:space="0" w:color="auto"/>
            </w:tcBorders>
            <w:shd w:val="clear" w:color="auto" w:fill="auto"/>
            <w:noWrap/>
            <w:vAlign w:val="bottom"/>
            <w:hideMark/>
          </w:tcPr>
          <w:p w14:paraId="09B6CBB6"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21,290</w:t>
            </w:r>
          </w:p>
        </w:tc>
        <w:tc>
          <w:tcPr>
            <w:tcW w:w="2194" w:type="dxa"/>
            <w:tcBorders>
              <w:top w:val="nil"/>
              <w:left w:val="nil"/>
              <w:bottom w:val="single" w:sz="4" w:space="0" w:color="auto"/>
              <w:right w:val="single" w:sz="4" w:space="0" w:color="auto"/>
            </w:tcBorders>
            <w:shd w:val="clear" w:color="auto" w:fill="auto"/>
            <w:noWrap/>
            <w:vAlign w:val="bottom"/>
            <w:hideMark/>
          </w:tcPr>
          <w:p w14:paraId="44B1CE2C"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16%</w:t>
            </w:r>
          </w:p>
        </w:tc>
      </w:tr>
      <w:tr w:rsidR="001D0F55" w:rsidRPr="008F3287" w14:paraId="48C6173D" w14:textId="77777777" w:rsidTr="00C5681F">
        <w:trPr>
          <w:trHeight w:val="300"/>
          <w:jc w:val="center"/>
        </w:trPr>
        <w:tc>
          <w:tcPr>
            <w:tcW w:w="1581" w:type="dxa"/>
            <w:tcBorders>
              <w:top w:val="nil"/>
              <w:left w:val="single" w:sz="4" w:space="0" w:color="auto"/>
              <w:bottom w:val="single" w:sz="4" w:space="0" w:color="auto"/>
              <w:right w:val="single" w:sz="4" w:space="0" w:color="auto"/>
            </w:tcBorders>
            <w:shd w:val="clear" w:color="auto" w:fill="auto"/>
            <w:noWrap/>
            <w:vAlign w:val="bottom"/>
            <w:hideMark/>
          </w:tcPr>
          <w:p w14:paraId="3B45D4BB"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B11</w:t>
            </w:r>
          </w:p>
        </w:tc>
        <w:tc>
          <w:tcPr>
            <w:tcW w:w="1496" w:type="dxa"/>
            <w:tcBorders>
              <w:top w:val="nil"/>
              <w:left w:val="nil"/>
              <w:bottom w:val="single" w:sz="4" w:space="0" w:color="auto"/>
              <w:right w:val="single" w:sz="4" w:space="0" w:color="auto"/>
            </w:tcBorders>
            <w:shd w:val="clear" w:color="auto" w:fill="auto"/>
            <w:noWrap/>
            <w:vAlign w:val="bottom"/>
            <w:hideMark/>
          </w:tcPr>
          <w:p w14:paraId="00FED10B"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119,666</w:t>
            </w:r>
          </w:p>
        </w:tc>
        <w:tc>
          <w:tcPr>
            <w:tcW w:w="2014" w:type="dxa"/>
            <w:tcBorders>
              <w:top w:val="nil"/>
              <w:left w:val="nil"/>
              <w:bottom w:val="single" w:sz="4" w:space="0" w:color="auto"/>
              <w:right w:val="single" w:sz="4" w:space="0" w:color="auto"/>
            </w:tcBorders>
            <w:shd w:val="clear" w:color="auto" w:fill="auto"/>
            <w:noWrap/>
            <w:vAlign w:val="bottom"/>
            <w:hideMark/>
          </w:tcPr>
          <w:p w14:paraId="4AA654EF"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27,454</w:t>
            </w:r>
          </w:p>
        </w:tc>
        <w:tc>
          <w:tcPr>
            <w:tcW w:w="2194" w:type="dxa"/>
            <w:tcBorders>
              <w:top w:val="nil"/>
              <w:left w:val="nil"/>
              <w:bottom w:val="single" w:sz="4" w:space="0" w:color="auto"/>
              <w:right w:val="single" w:sz="4" w:space="0" w:color="auto"/>
            </w:tcBorders>
            <w:shd w:val="clear" w:color="auto" w:fill="auto"/>
            <w:noWrap/>
            <w:vAlign w:val="bottom"/>
            <w:hideMark/>
          </w:tcPr>
          <w:p w14:paraId="6A1528AB"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23%</w:t>
            </w:r>
          </w:p>
        </w:tc>
      </w:tr>
      <w:tr w:rsidR="001D0F55" w:rsidRPr="008F3287" w14:paraId="31091111" w14:textId="77777777" w:rsidTr="00C5681F">
        <w:trPr>
          <w:trHeight w:val="300"/>
          <w:jc w:val="center"/>
        </w:trPr>
        <w:tc>
          <w:tcPr>
            <w:tcW w:w="1581" w:type="dxa"/>
            <w:tcBorders>
              <w:top w:val="nil"/>
              <w:left w:val="single" w:sz="4" w:space="0" w:color="auto"/>
              <w:bottom w:val="single" w:sz="4" w:space="0" w:color="auto"/>
              <w:right w:val="single" w:sz="4" w:space="0" w:color="auto"/>
            </w:tcBorders>
            <w:shd w:val="clear" w:color="auto" w:fill="auto"/>
            <w:noWrap/>
            <w:vAlign w:val="bottom"/>
            <w:hideMark/>
          </w:tcPr>
          <w:p w14:paraId="7276674F"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B12</w:t>
            </w:r>
          </w:p>
        </w:tc>
        <w:tc>
          <w:tcPr>
            <w:tcW w:w="1496" w:type="dxa"/>
            <w:tcBorders>
              <w:top w:val="nil"/>
              <w:left w:val="nil"/>
              <w:bottom w:val="single" w:sz="4" w:space="0" w:color="auto"/>
              <w:right w:val="single" w:sz="4" w:space="0" w:color="auto"/>
            </w:tcBorders>
            <w:shd w:val="clear" w:color="auto" w:fill="auto"/>
            <w:noWrap/>
            <w:vAlign w:val="bottom"/>
            <w:hideMark/>
          </w:tcPr>
          <w:p w14:paraId="43662DF9"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163,489</w:t>
            </w:r>
          </w:p>
        </w:tc>
        <w:tc>
          <w:tcPr>
            <w:tcW w:w="2014" w:type="dxa"/>
            <w:tcBorders>
              <w:top w:val="nil"/>
              <w:left w:val="nil"/>
              <w:bottom w:val="single" w:sz="4" w:space="0" w:color="auto"/>
              <w:right w:val="single" w:sz="4" w:space="0" w:color="auto"/>
            </w:tcBorders>
            <w:shd w:val="clear" w:color="auto" w:fill="auto"/>
            <w:noWrap/>
            <w:vAlign w:val="bottom"/>
            <w:hideMark/>
          </w:tcPr>
          <w:p w14:paraId="41FE6F11"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42,761</w:t>
            </w:r>
          </w:p>
        </w:tc>
        <w:tc>
          <w:tcPr>
            <w:tcW w:w="2194" w:type="dxa"/>
            <w:tcBorders>
              <w:top w:val="nil"/>
              <w:left w:val="nil"/>
              <w:bottom w:val="single" w:sz="4" w:space="0" w:color="auto"/>
              <w:right w:val="single" w:sz="4" w:space="0" w:color="auto"/>
            </w:tcBorders>
            <w:shd w:val="clear" w:color="auto" w:fill="auto"/>
            <w:noWrap/>
            <w:vAlign w:val="bottom"/>
            <w:hideMark/>
          </w:tcPr>
          <w:p w14:paraId="58F7AF33"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26%</w:t>
            </w:r>
          </w:p>
        </w:tc>
      </w:tr>
      <w:tr w:rsidR="001D0F55" w:rsidRPr="008F3287" w14:paraId="75CD0566" w14:textId="77777777" w:rsidTr="00C5681F">
        <w:trPr>
          <w:trHeight w:val="300"/>
          <w:jc w:val="center"/>
        </w:trPr>
        <w:tc>
          <w:tcPr>
            <w:tcW w:w="1581" w:type="dxa"/>
            <w:tcBorders>
              <w:top w:val="nil"/>
              <w:left w:val="single" w:sz="4" w:space="0" w:color="auto"/>
              <w:bottom w:val="single" w:sz="4" w:space="0" w:color="auto"/>
              <w:right w:val="single" w:sz="4" w:space="0" w:color="auto"/>
            </w:tcBorders>
            <w:shd w:val="clear" w:color="auto" w:fill="auto"/>
            <w:noWrap/>
            <w:vAlign w:val="bottom"/>
            <w:hideMark/>
          </w:tcPr>
          <w:p w14:paraId="43E09556"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K01</w:t>
            </w:r>
          </w:p>
        </w:tc>
        <w:tc>
          <w:tcPr>
            <w:tcW w:w="1496" w:type="dxa"/>
            <w:tcBorders>
              <w:top w:val="nil"/>
              <w:left w:val="nil"/>
              <w:bottom w:val="single" w:sz="4" w:space="0" w:color="auto"/>
              <w:right w:val="single" w:sz="4" w:space="0" w:color="auto"/>
            </w:tcBorders>
            <w:shd w:val="clear" w:color="auto" w:fill="auto"/>
            <w:noWrap/>
            <w:vAlign w:val="bottom"/>
            <w:hideMark/>
          </w:tcPr>
          <w:p w14:paraId="19CDEE1E"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204,125</w:t>
            </w:r>
          </w:p>
        </w:tc>
        <w:tc>
          <w:tcPr>
            <w:tcW w:w="2014" w:type="dxa"/>
            <w:tcBorders>
              <w:top w:val="nil"/>
              <w:left w:val="nil"/>
              <w:bottom w:val="single" w:sz="4" w:space="0" w:color="auto"/>
              <w:right w:val="single" w:sz="4" w:space="0" w:color="auto"/>
            </w:tcBorders>
            <w:shd w:val="clear" w:color="auto" w:fill="auto"/>
            <w:noWrap/>
            <w:vAlign w:val="bottom"/>
            <w:hideMark/>
          </w:tcPr>
          <w:p w14:paraId="0C34C1A1"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51,822</w:t>
            </w:r>
          </w:p>
        </w:tc>
        <w:tc>
          <w:tcPr>
            <w:tcW w:w="2194" w:type="dxa"/>
            <w:tcBorders>
              <w:top w:val="nil"/>
              <w:left w:val="nil"/>
              <w:bottom w:val="single" w:sz="4" w:space="0" w:color="auto"/>
              <w:right w:val="single" w:sz="4" w:space="0" w:color="auto"/>
            </w:tcBorders>
            <w:shd w:val="clear" w:color="auto" w:fill="auto"/>
            <w:noWrap/>
            <w:vAlign w:val="bottom"/>
            <w:hideMark/>
          </w:tcPr>
          <w:p w14:paraId="5EF4F0F6"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25%</w:t>
            </w:r>
          </w:p>
        </w:tc>
      </w:tr>
      <w:tr w:rsidR="001D0F55" w:rsidRPr="008F3287" w14:paraId="7D2690A4" w14:textId="77777777" w:rsidTr="00C5681F">
        <w:trPr>
          <w:trHeight w:val="300"/>
          <w:jc w:val="center"/>
        </w:trPr>
        <w:tc>
          <w:tcPr>
            <w:tcW w:w="1581" w:type="dxa"/>
            <w:tcBorders>
              <w:top w:val="nil"/>
              <w:left w:val="single" w:sz="4" w:space="0" w:color="auto"/>
              <w:bottom w:val="single" w:sz="4" w:space="0" w:color="auto"/>
              <w:right w:val="single" w:sz="4" w:space="0" w:color="auto"/>
            </w:tcBorders>
            <w:shd w:val="clear" w:color="auto" w:fill="auto"/>
            <w:noWrap/>
            <w:vAlign w:val="bottom"/>
            <w:hideMark/>
          </w:tcPr>
          <w:p w14:paraId="555519CE"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K02</w:t>
            </w:r>
          </w:p>
        </w:tc>
        <w:tc>
          <w:tcPr>
            <w:tcW w:w="1496" w:type="dxa"/>
            <w:tcBorders>
              <w:top w:val="nil"/>
              <w:left w:val="nil"/>
              <w:bottom w:val="single" w:sz="4" w:space="0" w:color="auto"/>
              <w:right w:val="single" w:sz="4" w:space="0" w:color="auto"/>
            </w:tcBorders>
            <w:shd w:val="clear" w:color="auto" w:fill="auto"/>
            <w:noWrap/>
            <w:vAlign w:val="bottom"/>
            <w:hideMark/>
          </w:tcPr>
          <w:p w14:paraId="3CCBE880"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130,021</w:t>
            </w:r>
          </w:p>
        </w:tc>
        <w:tc>
          <w:tcPr>
            <w:tcW w:w="2014" w:type="dxa"/>
            <w:tcBorders>
              <w:top w:val="nil"/>
              <w:left w:val="nil"/>
              <w:bottom w:val="single" w:sz="4" w:space="0" w:color="auto"/>
              <w:right w:val="single" w:sz="4" w:space="0" w:color="auto"/>
            </w:tcBorders>
            <w:shd w:val="clear" w:color="auto" w:fill="auto"/>
            <w:noWrap/>
            <w:vAlign w:val="bottom"/>
            <w:hideMark/>
          </w:tcPr>
          <w:p w14:paraId="75A34938"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14,218</w:t>
            </w:r>
          </w:p>
        </w:tc>
        <w:tc>
          <w:tcPr>
            <w:tcW w:w="2194" w:type="dxa"/>
            <w:tcBorders>
              <w:top w:val="nil"/>
              <w:left w:val="nil"/>
              <w:bottom w:val="single" w:sz="4" w:space="0" w:color="auto"/>
              <w:right w:val="single" w:sz="4" w:space="0" w:color="auto"/>
            </w:tcBorders>
            <w:shd w:val="clear" w:color="auto" w:fill="auto"/>
            <w:noWrap/>
            <w:vAlign w:val="bottom"/>
            <w:hideMark/>
          </w:tcPr>
          <w:p w14:paraId="143CD791"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11%</w:t>
            </w:r>
          </w:p>
        </w:tc>
      </w:tr>
      <w:tr w:rsidR="001D0F55" w:rsidRPr="008F3287" w14:paraId="74CE5528" w14:textId="77777777" w:rsidTr="00C5681F">
        <w:trPr>
          <w:trHeight w:val="300"/>
          <w:jc w:val="center"/>
        </w:trPr>
        <w:tc>
          <w:tcPr>
            <w:tcW w:w="1581" w:type="dxa"/>
            <w:tcBorders>
              <w:top w:val="nil"/>
              <w:left w:val="single" w:sz="4" w:space="0" w:color="auto"/>
              <w:bottom w:val="single" w:sz="4" w:space="0" w:color="auto"/>
              <w:right w:val="single" w:sz="4" w:space="0" w:color="auto"/>
            </w:tcBorders>
            <w:shd w:val="clear" w:color="auto" w:fill="auto"/>
            <w:noWrap/>
            <w:vAlign w:val="bottom"/>
            <w:hideMark/>
          </w:tcPr>
          <w:p w14:paraId="4B87E1E8"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K03</w:t>
            </w:r>
          </w:p>
        </w:tc>
        <w:tc>
          <w:tcPr>
            <w:tcW w:w="1496" w:type="dxa"/>
            <w:tcBorders>
              <w:top w:val="nil"/>
              <w:left w:val="nil"/>
              <w:bottom w:val="single" w:sz="4" w:space="0" w:color="auto"/>
              <w:right w:val="single" w:sz="4" w:space="0" w:color="auto"/>
            </w:tcBorders>
            <w:shd w:val="clear" w:color="auto" w:fill="auto"/>
            <w:noWrap/>
            <w:vAlign w:val="bottom"/>
            <w:hideMark/>
          </w:tcPr>
          <w:p w14:paraId="36F264B6"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174,960</w:t>
            </w:r>
          </w:p>
        </w:tc>
        <w:tc>
          <w:tcPr>
            <w:tcW w:w="2014" w:type="dxa"/>
            <w:tcBorders>
              <w:top w:val="nil"/>
              <w:left w:val="nil"/>
              <w:bottom w:val="single" w:sz="4" w:space="0" w:color="auto"/>
              <w:right w:val="single" w:sz="4" w:space="0" w:color="auto"/>
            </w:tcBorders>
            <w:shd w:val="clear" w:color="auto" w:fill="auto"/>
            <w:noWrap/>
            <w:vAlign w:val="bottom"/>
            <w:hideMark/>
          </w:tcPr>
          <w:p w14:paraId="0C0E7562"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45,079</w:t>
            </w:r>
          </w:p>
        </w:tc>
        <w:tc>
          <w:tcPr>
            <w:tcW w:w="2194" w:type="dxa"/>
            <w:tcBorders>
              <w:top w:val="nil"/>
              <w:left w:val="nil"/>
              <w:bottom w:val="single" w:sz="4" w:space="0" w:color="auto"/>
              <w:right w:val="single" w:sz="4" w:space="0" w:color="auto"/>
            </w:tcBorders>
            <w:shd w:val="clear" w:color="auto" w:fill="auto"/>
            <w:noWrap/>
            <w:vAlign w:val="bottom"/>
            <w:hideMark/>
          </w:tcPr>
          <w:p w14:paraId="21B9ED39"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26%</w:t>
            </w:r>
          </w:p>
        </w:tc>
      </w:tr>
      <w:tr w:rsidR="001D0F55" w:rsidRPr="008F3287" w14:paraId="19DE713F" w14:textId="77777777" w:rsidTr="00C5681F">
        <w:trPr>
          <w:trHeight w:val="300"/>
          <w:jc w:val="center"/>
        </w:trPr>
        <w:tc>
          <w:tcPr>
            <w:tcW w:w="1581" w:type="dxa"/>
            <w:tcBorders>
              <w:top w:val="nil"/>
              <w:left w:val="single" w:sz="4" w:space="0" w:color="auto"/>
              <w:bottom w:val="single" w:sz="4" w:space="0" w:color="auto"/>
              <w:right w:val="single" w:sz="4" w:space="0" w:color="auto"/>
            </w:tcBorders>
            <w:shd w:val="clear" w:color="auto" w:fill="auto"/>
            <w:noWrap/>
            <w:vAlign w:val="bottom"/>
            <w:hideMark/>
          </w:tcPr>
          <w:p w14:paraId="2AA5DB3D"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K04</w:t>
            </w:r>
          </w:p>
        </w:tc>
        <w:tc>
          <w:tcPr>
            <w:tcW w:w="1496" w:type="dxa"/>
            <w:tcBorders>
              <w:top w:val="nil"/>
              <w:left w:val="nil"/>
              <w:bottom w:val="single" w:sz="4" w:space="0" w:color="auto"/>
              <w:right w:val="single" w:sz="4" w:space="0" w:color="auto"/>
            </w:tcBorders>
            <w:shd w:val="clear" w:color="auto" w:fill="auto"/>
            <w:noWrap/>
            <w:vAlign w:val="bottom"/>
            <w:hideMark/>
          </w:tcPr>
          <w:p w14:paraId="37D888CE"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120,747</w:t>
            </w:r>
          </w:p>
        </w:tc>
        <w:tc>
          <w:tcPr>
            <w:tcW w:w="2014" w:type="dxa"/>
            <w:tcBorders>
              <w:top w:val="nil"/>
              <w:left w:val="nil"/>
              <w:bottom w:val="single" w:sz="4" w:space="0" w:color="auto"/>
              <w:right w:val="single" w:sz="4" w:space="0" w:color="auto"/>
            </w:tcBorders>
            <w:shd w:val="clear" w:color="auto" w:fill="auto"/>
            <w:noWrap/>
            <w:vAlign w:val="bottom"/>
            <w:hideMark/>
          </w:tcPr>
          <w:p w14:paraId="090511EB"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24,171</w:t>
            </w:r>
          </w:p>
        </w:tc>
        <w:tc>
          <w:tcPr>
            <w:tcW w:w="2194" w:type="dxa"/>
            <w:tcBorders>
              <w:top w:val="nil"/>
              <w:left w:val="nil"/>
              <w:bottom w:val="single" w:sz="4" w:space="0" w:color="auto"/>
              <w:right w:val="single" w:sz="4" w:space="0" w:color="auto"/>
            </w:tcBorders>
            <w:shd w:val="clear" w:color="auto" w:fill="auto"/>
            <w:noWrap/>
            <w:vAlign w:val="bottom"/>
            <w:hideMark/>
          </w:tcPr>
          <w:p w14:paraId="228D1800"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20%</w:t>
            </w:r>
          </w:p>
        </w:tc>
      </w:tr>
      <w:tr w:rsidR="001D0F55" w:rsidRPr="008F3287" w14:paraId="74E12CBE" w14:textId="77777777" w:rsidTr="00C5681F">
        <w:trPr>
          <w:trHeight w:val="300"/>
          <w:jc w:val="center"/>
        </w:trPr>
        <w:tc>
          <w:tcPr>
            <w:tcW w:w="1581" w:type="dxa"/>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05AB4F0A"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K05</w:t>
            </w:r>
          </w:p>
        </w:tc>
        <w:tc>
          <w:tcPr>
            <w:tcW w:w="1496" w:type="dxa"/>
            <w:tcBorders>
              <w:top w:val="nil"/>
              <w:left w:val="nil"/>
              <w:bottom w:val="single" w:sz="4" w:space="0" w:color="auto"/>
              <w:right w:val="single" w:sz="4" w:space="0" w:color="auto"/>
            </w:tcBorders>
            <w:shd w:val="clear" w:color="auto" w:fill="C5E0B3" w:themeFill="accent6" w:themeFillTint="66"/>
            <w:noWrap/>
            <w:vAlign w:val="bottom"/>
            <w:hideMark/>
          </w:tcPr>
          <w:p w14:paraId="1803DB3F"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200,293</w:t>
            </w:r>
          </w:p>
        </w:tc>
        <w:tc>
          <w:tcPr>
            <w:tcW w:w="2014" w:type="dxa"/>
            <w:tcBorders>
              <w:top w:val="nil"/>
              <w:left w:val="nil"/>
              <w:bottom w:val="single" w:sz="4" w:space="0" w:color="auto"/>
              <w:right w:val="single" w:sz="4" w:space="0" w:color="auto"/>
            </w:tcBorders>
            <w:shd w:val="clear" w:color="auto" w:fill="C5E0B3" w:themeFill="accent6" w:themeFillTint="66"/>
            <w:noWrap/>
            <w:vAlign w:val="bottom"/>
            <w:hideMark/>
          </w:tcPr>
          <w:p w14:paraId="66FEC498"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66,755</w:t>
            </w:r>
          </w:p>
        </w:tc>
        <w:tc>
          <w:tcPr>
            <w:tcW w:w="2194" w:type="dxa"/>
            <w:tcBorders>
              <w:top w:val="nil"/>
              <w:left w:val="nil"/>
              <w:bottom w:val="single" w:sz="4" w:space="0" w:color="auto"/>
              <w:right w:val="single" w:sz="4" w:space="0" w:color="auto"/>
            </w:tcBorders>
            <w:shd w:val="clear" w:color="auto" w:fill="C5E0B3" w:themeFill="accent6" w:themeFillTint="66"/>
            <w:noWrap/>
            <w:vAlign w:val="bottom"/>
            <w:hideMark/>
          </w:tcPr>
          <w:p w14:paraId="56C8EAB6"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33%</w:t>
            </w:r>
          </w:p>
        </w:tc>
      </w:tr>
      <w:tr w:rsidR="001D0F55" w:rsidRPr="008F3287" w14:paraId="5EA5DD84" w14:textId="77777777" w:rsidTr="00C5681F">
        <w:trPr>
          <w:trHeight w:val="300"/>
          <w:jc w:val="center"/>
        </w:trPr>
        <w:tc>
          <w:tcPr>
            <w:tcW w:w="1581" w:type="dxa"/>
            <w:tcBorders>
              <w:top w:val="nil"/>
              <w:left w:val="single" w:sz="4" w:space="0" w:color="auto"/>
              <w:bottom w:val="single" w:sz="4" w:space="0" w:color="auto"/>
              <w:right w:val="single" w:sz="4" w:space="0" w:color="auto"/>
            </w:tcBorders>
            <w:shd w:val="clear" w:color="auto" w:fill="auto"/>
            <w:noWrap/>
            <w:vAlign w:val="bottom"/>
            <w:hideMark/>
          </w:tcPr>
          <w:p w14:paraId="7D7E730D"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K06</w:t>
            </w:r>
          </w:p>
        </w:tc>
        <w:tc>
          <w:tcPr>
            <w:tcW w:w="1496" w:type="dxa"/>
            <w:tcBorders>
              <w:top w:val="nil"/>
              <w:left w:val="nil"/>
              <w:bottom w:val="single" w:sz="4" w:space="0" w:color="auto"/>
              <w:right w:val="single" w:sz="4" w:space="0" w:color="auto"/>
            </w:tcBorders>
            <w:shd w:val="clear" w:color="auto" w:fill="auto"/>
            <w:noWrap/>
            <w:vAlign w:val="bottom"/>
            <w:hideMark/>
          </w:tcPr>
          <w:p w14:paraId="7710A7A4"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113,933</w:t>
            </w:r>
          </w:p>
        </w:tc>
        <w:tc>
          <w:tcPr>
            <w:tcW w:w="2014" w:type="dxa"/>
            <w:tcBorders>
              <w:top w:val="nil"/>
              <w:left w:val="nil"/>
              <w:bottom w:val="single" w:sz="4" w:space="0" w:color="auto"/>
              <w:right w:val="single" w:sz="4" w:space="0" w:color="auto"/>
            </w:tcBorders>
            <w:shd w:val="clear" w:color="auto" w:fill="auto"/>
            <w:noWrap/>
            <w:vAlign w:val="bottom"/>
            <w:hideMark/>
          </w:tcPr>
          <w:p w14:paraId="54FC2A66"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10,766</w:t>
            </w:r>
          </w:p>
        </w:tc>
        <w:tc>
          <w:tcPr>
            <w:tcW w:w="2194" w:type="dxa"/>
            <w:tcBorders>
              <w:top w:val="nil"/>
              <w:left w:val="nil"/>
              <w:bottom w:val="single" w:sz="4" w:space="0" w:color="auto"/>
              <w:right w:val="single" w:sz="4" w:space="0" w:color="auto"/>
            </w:tcBorders>
            <w:shd w:val="clear" w:color="auto" w:fill="auto"/>
            <w:noWrap/>
            <w:vAlign w:val="bottom"/>
            <w:hideMark/>
          </w:tcPr>
          <w:p w14:paraId="68F37394"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9%</w:t>
            </w:r>
          </w:p>
        </w:tc>
      </w:tr>
      <w:tr w:rsidR="001D0F55" w:rsidRPr="008F3287" w14:paraId="5070F0C1" w14:textId="77777777" w:rsidTr="00C5681F">
        <w:trPr>
          <w:trHeight w:val="300"/>
          <w:jc w:val="center"/>
        </w:trPr>
        <w:tc>
          <w:tcPr>
            <w:tcW w:w="1581" w:type="dxa"/>
            <w:tcBorders>
              <w:top w:val="nil"/>
              <w:left w:val="single" w:sz="4" w:space="0" w:color="auto"/>
              <w:bottom w:val="single" w:sz="4" w:space="0" w:color="auto"/>
              <w:right w:val="single" w:sz="4" w:space="0" w:color="auto"/>
            </w:tcBorders>
            <w:shd w:val="clear" w:color="auto" w:fill="auto"/>
            <w:noWrap/>
            <w:vAlign w:val="bottom"/>
            <w:hideMark/>
          </w:tcPr>
          <w:p w14:paraId="1C2FE83F"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K07</w:t>
            </w:r>
          </w:p>
        </w:tc>
        <w:tc>
          <w:tcPr>
            <w:tcW w:w="1496" w:type="dxa"/>
            <w:tcBorders>
              <w:top w:val="nil"/>
              <w:left w:val="nil"/>
              <w:bottom w:val="single" w:sz="4" w:space="0" w:color="auto"/>
              <w:right w:val="single" w:sz="4" w:space="0" w:color="auto"/>
            </w:tcBorders>
            <w:shd w:val="clear" w:color="auto" w:fill="auto"/>
            <w:noWrap/>
            <w:vAlign w:val="bottom"/>
            <w:hideMark/>
          </w:tcPr>
          <w:p w14:paraId="74ED83D0"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133,230</w:t>
            </w:r>
          </w:p>
        </w:tc>
        <w:tc>
          <w:tcPr>
            <w:tcW w:w="2014" w:type="dxa"/>
            <w:tcBorders>
              <w:top w:val="nil"/>
              <w:left w:val="nil"/>
              <w:bottom w:val="single" w:sz="4" w:space="0" w:color="auto"/>
              <w:right w:val="single" w:sz="4" w:space="0" w:color="auto"/>
            </w:tcBorders>
            <w:shd w:val="clear" w:color="auto" w:fill="auto"/>
            <w:noWrap/>
            <w:vAlign w:val="bottom"/>
            <w:hideMark/>
          </w:tcPr>
          <w:p w14:paraId="56E6B4FA"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23,035</w:t>
            </w:r>
          </w:p>
        </w:tc>
        <w:tc>
          <w:tcPr>
            <w:tcW w:w="2194" w:type="dxa"/>
            <w:tcBorders>
              <w:top w:val="nil"/>
              <w:left w:val="nil"/>
              <w:bottom w:val="single" w:sz="4" w:space="0" w:color="auto"/>
              <w:right w:val="single" w:sz="4" w:space="0" w:color="auto"/>
            </w:tcBorders>
            <w:shd w:val="clear" w:color="auto" w:fill="auto"/>
            <w:noWrap/>
            <w:vAlign w:val="bottom"/>
            <w:hideMark/>
          </w:tcPr>
          <w:p w14:paraId="6BB9C2BE"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17%</w:t>
            </w:r>
          </w:p>
        </w:tc>
      </w:tr>
      <w:tr w:rsidR="001D0F55" w:rsidRPr="008F3287" w14:paraId="0C0AC887" w14:textId="77777777" w:rsidTr="00C5681F">
        <w:trPr>
          <w:trHeight w:val="300"/>
          <w:jc w:val="center"/>
        </w:trPr>
        <w:tc>
          <w:tcPr>
            <w:tcW w:w="1581" w:type="dxa"/>
            <w:tcBorders>
              <w:top w:val="nil"/>
              <w:left w:val="single" w:sz="4" w:space="0" w:color="auto"/>
              <w:bottom w:val="single" w:sz="4" w:space="0" w:color="auto"/>
              <w:right w:val="single" w:sz="4" w:space="0" w:color="auto"/>
            </w:tcBorders>
            <w:shd w:val="clear" w:color="auto" w:fill="auto"/>
            <w:noWrap/>
            <w:vAlign w:val="bottom"/>
            <w:hideMark/>
          </w:tcPr>
          <w:p w14:paraId="17D0EE2A"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K08</w:t>
            </w:r>
          </w:p>
        </w:tc>
        <w:tc>
          <w:tcPr>
            <w:tcW w:w="1496" w:type="dxa"/>
            <w:tcBorders>
              <w:top w:val="nil"/>
              <w:left w:val="nil"/>
              <w:bottom w:val="single" w:sz="4" w:space="0" w:color="auto"/>
              <w:right w:val="single" w:sz="4" w:space="0" w:color="auto"/>
            </w:tcBorders>
            <w:shd w:val="clear" w:color="auto" w:fill="auto"/>
            <w:noWrap/>
            <w:vAlign w:val="bottom"/>
            <w:hideMark/>
          </w:tcPr>
          <w:p w14:paraId="454D70C3"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108,259</w:t>
            </w:r>
          </w:p>
        </w:tc>
        <w:tc>
          <w:tcPr>
            <w:tcW w:w="2014" w:type="dxa"/>
            <w:tcBorders>
              <w:top w:val="nil"/>
              <w:left w:val="nil"/>
              <w:bottom w:val="single" w:sz="4" w:space="0" w:color="auto"/>
              <w:right w:val="single" w:sz="4" w:space="0" w:color="auto"/>
            </w:tcBorders>
            <w:shd w:val="clear" w:color="auto" w:fill="auto"/>
            <w:noWrap/>
            <w:vAlign w:val="bottom"/>
            <w:hideMark/>
          </w:tcPr>
          <w:p w14:paraId="46EBC8D3"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20,005</w:t>
            </w:r>
          </w:p>
        </w:tc>
        <w:tc>
          <w:tcPr>
            <w:tcW w:w="2194" w:type="dxa"/>
            <w:tcBorders>
              <w:top w:val="nil"/>
              <w:left w:val="nil"/>
              <w:bottom w:val="single" w:sz="4" w:space="0" w:color="auto"/>
              <w:right w:val="single" w:sz="4" w:space="0" w:color="auto"/>
            </w:tcBorders>
            <w:shd w:val="clear" w:color="auto" w:fill="auto"/>
            <w:noWrap/>
            <w:vAlign w:val="bottom"/>
            <w:hideMark/>
          </w:tcPr>
          <w:p w14:paraId="5E841447"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18%</w:t>
            </w:r>
          </w:p>
        </w:tc>
      </w:tr>
      <w:tr w:rsidR="001D0F55" w:rsidRPr="008F3287" w14:paraId="2C603B60" w14:textId="77777777" w:rsidTr="00C5681F">
        <w:trPr>
          <w:trHeight w:val="300"/>
          <w:jc w:val="center"/>
        </w:trPr>
        <w:tc>
          <w:tcPr>
            <w:tcW w:w="1581" w:type="dxa"/>
            <w:tcBorders>
              <w:top w:val="nil"/>
              <w:left w:val="single" w:sz="4" w:space="0" w:color="auto"/>
              <w:bottom w:val="single" w:sz="4" w:space="0" w:color="auto"/>
              <w:right w:val="single" w:sz="4" w:space="0" w:color="auto"/>
            </w:tcBorders>
            <w:shd w:val="clear" w:color="auto" w:fill="auto"/>
            <w:noWrap/>
            <w:vAlign w:val="bottom"/>
            <w:hideMark/>
          </w:tcPr>
          <w:p w14:paraId="14BBA9A1"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K09</w:t>
            </w:r>
          </w:p>
        </w:tc>
        <w:tc>
          <w:tcPr>
            <w:tcW w:w="1496" w:type="dxa"/>
            <w:tcBorders>
              <w:top w:val="nil"/>
              <w:left w:val="nil"/>
              <w:bottom w:val="single" w:sz="4" w:space="0" w:color="auto"/>
              <w:right w:val="single" w:sz="4" w:space="0" w:color="auto"/>
            </w:tcBorders>
            <w:shd w:val="clear" w:color="auto" w:fill="auto"/>
            <w:noWrap/>
            <w:vAlign w:val="bottom"/>
            <w:hideMark/>
          </w:tcPr>
          <w:p w14:paraId="7E673D02"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102,000</w:t>
            </w:r>
          </w:p>
        </w:tc>
        <w:tc>
          <w:tcPr>
            <w:tcW w:w="2014" w:type="dxa"/>
            <w:tcBorders>
              <w:top w:val="nil"/>
              <w:left w:val="nil"/>
              <w:bottom w:val="single" w:sz="4" w:space="0" w:color="auto"/>
              <w:right w:val="single" w:sz="4" w:space="0" w:color="auto"/>
            </w:tcBorders>
            <w:shd w:val="clear" w:color="auto" w:fill="auto"/>
            <w:noWrap/>
            <w:vAlign w:val="bottom"/>
            <w:hideMark/>
          </w:tcPr>
          <w:p w14:paraId="599C666B"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21,790</w:t>
            </w:r>
          </w:p>
        </w:tc>
        <w:tc>
          <w:tcPr>
            <w:tcW w:w="2194" w:type="dxa"/>
            <w:tcBorders>
              <w:top w:val="nil"/>
              <w:left w:val="nil"/>
              <w:bottom w:val="single" w:sz="4" w:space="0" w:color="auto"/>
              <w:right w:val="single" w:sz="4" w:space="0" w:color="auto"/>
            </w:tcBorders>
            <w:shd w:val="clear" w:color="auto" w:fill="auto"/>
            <w:noWrap/>
            <w:vAlign w:val="bottom"/>
            <w:hideMark/>
          </w:tcPr>
          <w:p w14:paraId="6011F7E7"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21%</w:t>
            </w:r>
          </w:p>
        </w:tc>
      </w:tr>
      <w:tr w:rsidR="001D0F55" w:rsidRPr="008F3287" w14:paraId="62EFF124" w14:textId="77777777" w:rsidTr="00C5681F">
        <w:trPr>
          <w:trHeight w:val="300"/>
          <w:jc w:val="center"/>
        </w:trPr>
        <w:tc>
          <w:tcPr>
            <w:tcW w:w="1581" w:type="dxa"/>
            <w:tcBorders>
              <w:top w:val="nil"/>
              <w:left w:val="single" w:sz="4" w:space="0" w:color="auto"/>
              <w:bottom w:val="single" w:sz="4" w:space="0" w:color="auto"/>
              <w:right w:val="single" w:sz="4" w:space="0" w:color="auto"/>
            </w:tcBorders>
            <w:shd w:val="clear" w:color="auto" w:fill="auto"/>
            <w:noWrap/>
            <w:vAlign w:val="bottom"/>
            <w:hideMark/>
          </w:tcPr>
          <w:p w14:paraId="02D29F48"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K10</w:t>
            </w:r>
          </w:p>
        </w:tc>
        <w:tc>
          <w:tcPr>
            <w:tcW w:w="1496" w:type="dxa"/>
            <w:tcBorders>
              <w:top w:val="nil"/>
              <w:left w:val="nil"/>
              <w:bottom w:val="single" w:sz="4" w:space="0" w:color="auto"/>
              <w:right w:val="single" w:sz="4" w:space="0" w:color="auto"/>
            </w:tcBorders>
            <w:shd w:val="clear" w:color="auto" w:fill="auto"/>
            <w:noWrap/>
            <w:vAlign w:val="bottom"/>
            <w:hideMark/>
          </w:tcPr>
          <w:p w14:paraId="6535329E"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136,071</w:t>
            </w:r>
          </w:p>
        </w:tc>
        <w:tc>
          <w:tcPr>
            <w:tcW w:w="2014" w:type="dxa"/>
            <w:tcBorders>
              <w:top w:val="nil"/>
              <w:left w:val="nil"/>
              <w:bottom w:val="single" w:sz="4" w:space="0" w:color="auto"/>
              <w:right w:val="single" w:sz="4" w:space="0" w:color="auto"/>
            </w:tcBorders>
            <w:shd w:val="clear" w:color="auto" w:fill="auto"/>
            <w:noWrap/>
            <w:vAlign w:val="bottom"/>
            <w:hideMark/>
          </w:tcPr>
          <w:p w14:paraId="44E3D0B6"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19,733</w:t>
            </w:r>
          </w:p>
        </w:tc>
        <w:tc>
          <w:tcPr>
            <w:tcW w:w="2194" w:type="dxa"/>
            <w:tcBorders>
              <w:top w:val="nil"/>
              <w:left w:val="nil"/>
              <w:bottom w:val="single" w:sz="4" w:space="0" w:color="auto"/>
              <w:right w:val="single" w:sz="4" w:space="0" w:color="auto"/>
            </w:tcBorders>
            <w:shd w:val="clear" w:color="auto" w:fill="auto"/>
            <w:noWrap/>
            <w:vAlign w:val="bottom"/>
            <w:hideMark/>
          </w:tcPr>
          <w:p w14:paraId="72CAA384"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15%</w:t>
            </w:r>
          </w:p>
        </w:tc>
      </w:tr>
      <w:tr w:rsidR="001D0F55" w:rsidRPr="008F3287" w14:paraId="6769AD88" w14:textId="77777777" w:rsidTr="00C5681F">
        <w:trPr>
          <w:trHeight w:val="300"/>
          <w:jc w:val="center"/>
        </w:trPr>
        <w:tc>
          <w:tcPr>
            <w:tcW w:w="1581" w:type="dxa"/>
            <w:tcBorders>
              <w:top w:val="nil"/>
              <w:left w:val="single" w:sz="4" w:space="0" w:color="auto"/>
              <w:bottom w:val="single" w:sz="4" w:space="0" w:color="auto"/>
              <w:right w:val="single" w:sz="4" w:space="0" w:color="auto"/>
            </w:tcBorders>
            <w:shd w:val="clear" w:color="auto" w:fill="auto"/>
            <w:noWrap/>
            <w:vAlign w:val="bottom"/>
            <w:hideMark/>
          </w:tcPr>
          <w:p w14:paraId="2A02EB64"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K11</w:t>
            </w:r>
          </w:p>
        </w:tc>
        <w:tc>
          <w:tcPr>
            <w:tcW w:w="1496" w:type="dxa"/>
            <w:tcBorders>
              <w:top w:val="nil"/>
              <w:left w:val="nil"/>
              <w:bottom w:val="single" w:sz="4" w:space="0" w:color="auto"/>
              <w:right w:val="single" w:sz="4" w:space="0" w:color="auto"/>
            </w:tcBorders>
            <w:shd w:val="clear" w:color="auto" w:fill="auto"/>
            <w:noWrap/>
            <w:vAlign w:val="bottom"/>
            <w:hideMark/>
          </w:tcPr>
          <w:p w14:paraId="4D0D11BA"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198,870</w:t>
            </w:r>
          </w:p>
        </w:tc>
        <w:tc>
          <w:tcPr>
            <w:tcW w:w="2014" w:type="dxa"/>
            <w:tcBorders>
              <w:top w:val="nil"/>
              <w:left w:val="nil"/>
              <w:bottom w:val="single" w:sz="4" w:space="0" w:color="auto"/>
              <w:right w:val="single" w:sz="4" w:space="0" w:color="auto"/>
            </w:tcBorders>
            <w:shd w:val="clear" w:color="auto" w:fill="auto"/>
            <w:noWrap/>
            <w:vAlign w:val="bottom"/>
            <w:hideMark/>
          </w:tcPr>
          <w:p w14:paraId="096DE178"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41,181</w:t>
            </w:r>
          </w:p>
        </w:tc>
        <w:tc>
          <w:tcPr>
            <w:tcW w:w="2194" w:type="dxa"/>
            <w:tcBorders>
              <w:top w:val="nil"/>
              <w:left w:val="nil"/>
              <w:bottom w:val="single" w:sz="4" w:space="0" w:color="auto"/>
              <w:right w:val="single" w:sz="4" w:space="0" w:color="auto"/>
            </w:tcBorders>
            <w:shd w:val="clear" w:color="auto" w:fill="auto"/>
            <w:noWrap/>
            <w:vAlign w:val="bottom"/>
            <w:hideMark/>
          </w:tcPr>
          <w:p w14:paraId="576F645A"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21%</w:t>
            </w:r>
          </w:p>
        </w:tc>
      </w:tr>
      <w:tr w:rsidR="001D0F55" w:rsidRPr="008F3287" w14:paraId="3583E618" w14:textId="77777777" w:rsidTr="00C5681F">
        <w:trPr>
          <w:trHeight w:val="300"/>
          <w:jc w:val="center"/>
        </w:trPr>
        <w:tc>
          <w:tcPr>
            <w:tcW w:w="1581" w:type="dxa"/>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5C331644"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K12</w:t>
            </w:r>
          </w:p>
        </w:tc>
        <w:tc>
          <w:tcPr>
            <w:tcW w:w="1496" w:type="dxa"/>
            <w:tcBorders>
              <w:top w:val="nil"/>
              <w:left w:val="nil"/>
              <w:bottom w:val="single" w:sz="4" w:space="0" w:color="auto"/>
              <w:right w:val="single" w:sz="4" w:space="0" w:color="auto"/>
            </w:tcBorders>
            <w:shd w:val="clear" w:color="auto" w:fill="C5E0B3" w:themeFill="accent6" w:themeFillTint="66"/>
            <w:noWrap/>
            <w:vAlign w:val="bottom"/>
            <w:hideMark/>
          </w:tcPr>
          <w:p w14:paraId="2EEA2311"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205,377</w:t>
            </w:r>
          </w:p>
        </w:tc>
        <w:tc>
          <w:tcPr>
            <w:tcW w:w="2014" w:type="dxa"/>
            <w:tcBorders>
              <w:top w:val="nil"/>
              <w:left w:val="nil"/>
              <w:bottom w:val="single" w:sz="4" w:space="0" w:color="auto"/>
              <w:right w:val="single" w:sz="4" w:space="0" w:color="auto"/>
            </w:tcBorders>
            <w:shd w:val="clear" w:color="auto" w:fill="C5E0B3" w:themeFill="accent6" w:themeFillTint="66"/>
            <w:noWrap/>
            <w:vAlign w:val="bottom"/>
            <w:hideMark/>
          </w:tcPr>
          <w:p w14:paraId="67502062"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65,401</w:t>
            </w:r>
          </w:p>
        </w:tc>
        <w:tc>
          <w:tcPr>
            <w:tcW w:w="2194" w:type="dxa"/>
            <w:tcBorders>
              <w:top w:val="nil"/>
              <w:left w:val="nil"/>
              <w:bottom w:val="single" w:sz="4" w:space="0" w:color="auto"/>
              <w:right w:val="single" w:sz="4" w:space="0" w:color="auto"/>
            </w:tcBorders>
            <w:shd w:val="clear" w:color="auto" w:fill="C5E0B3" w:themeFill="accent6" w:themeFillTint="66"/>
            <w:noWrap/>
            <w:vAlign w:val="bottom"/>
            <w:hideMark/>
          </w:tcPr>
          <w:p w14:paraId="07F74E4F"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32%</w:t>
            </w:r>
          </w:p>
        </w:tc>
      </w:tr>
      <w:tr w:rsidR="001D0F55" w:rsidRPr="008F3287" w14:paraId="64383046" w14:textId="77777777" w:rsidTr="00C5681F">
        <w:trPr>
          <w:trHeight w:val="300"/>
          <w:jc w:val="center"/>
        </w:trPr>
        <w:tc>
          <w:tcPr>
            <w:tcW w:w="1581" w:type="dxa"/>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201F05CE"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K13</w:t>
            </w:r>
          </w:p>
        </w:tc>
        <w:tc>
          <w:tcPr>
            <w:tcW w:w="1496" w:type="dxa"/>
            <w:tcBorders>
              <w:top w:val="nil"/>
              <w:left w:val="nil"/>
              <w:bottom w:val="single" w:sz="4" w:space="0" w:color="auto"/>
              <w:right w:val="single" w:sz="4" w:space="0" w:color="auto"/>
            </w:tcBorders>
            <w:shd w:val="clear" w:color="auto" w:fill="C5E0B3" w:themeFill="accent6" w:themeFillTint="66"/>
            <w:noWrap/>
            <w:vAlign w:val="bottom"/>
            <w:hideMark/>
          </w:tcPr>
          <w:p w14:paraId="612E7691"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108,905</w:t>
            </w:r>
          </w:p>
        </w:tc>
        <w:tc>
          <w:tcPr>
            <w:tcW w:w="2014" w:type="dxa"/>
            <w:tcBorders>
              <w:top w:val="nil"/>
              <w:left w:val="nil"/>
              <w:bottom w:val="single" w:sz="4" w:space="0" w:color="auto"/>
              <w:right w:val="single" w:sz="4" w:space="0" w:color="auto"/>
            </w:tcBorders>
            <w:shd w:val="clear" w:color="auto" w:fill="C5E0B3" w:themeFill="accent6" w:themeFillTint="66"/>
            <w:noWrap/>
            <w:vAlign w:val="bottom"/>
            <w:hideMark/>
          </w:tcPr>
          <w:p w14:paraId="4E87847F"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34,255</w:t>
            </w:r>
          </w:p>
        </w:tc>
        <w:tc>
          <w:tcPr>
            <w:tcW w:w="2194" w:type="dxa"/>
            <w:tcBorders>
              <w:top w:val="nil"/>
              <w:left w:val="nil"/>
              <w:bottom w:val="single" w:sz="4" w:space="0" w:color="auto"/>
              <w:right w:val="single" w:sz="4" w:space="0" w:color="auto"/>
            </w:tcBorders>
            <w:shd w:val="clear" w:color="auto" w:fill="C5E0B3" w:themeFill="accent6" w:themeFillTint="66"/>
            <w:noWrap/>
            <w:vAlign w:val="bottom"/>
            <w:hideMark/>
          </w:tcPr>
          <w:p w14:paraId="3FF2E496"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31%</w:t>
            </w:r>
          </w:p>
        </w:tc>
      </w:tr>
      <w:tr w:rsidR="001D0F55" w:rsidRPr="008F3287" w14:paraId="5C156BC7" w14:textId="77777777" w:rsidTr="00C5681F">
        <w:trPr>
          <w:trHeight w:val="300"/>
          <w:jc w:val="center"/>
        </w:trPr>
        <w:tc>
          <w:tcPr>
            <w:tcW w:w="1581" w:type="dxa"/>
            <w:tcBorders>
              <w:top w:val="nil"/>
              <w:left w:val="single" w:sz="4" w:space="0" w:color="auto"/>
              <w:bottom w:val="single" w:sz="4" w:space="0" w:color="auto"/>
              <w:right w:val="single" w:sz="4" w:space="0" w:color="auto"/>
            </w:tcBorders>
            <w:shd w:val="clear" w:color="auto" w:fill="auto"/>
            <w:noWrap/>
            <w:vAlign w:val="bottom"/>
            <w:hideMark/>
          </w:tcPr>
          <w:p w14:paraId="5AA0C8D7"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K14</w:t>
            </w:r>
          </w:p>
        </w:tc>
        <w:tc>
          <w:tcPr>
            <w:tcW w:w="1496" w:type="dxa"/>
            <w:tcBorders>
              <w:top w:val="nil"/>
              <w:left w:val="nil"/>
              <w:bottom w:val="single" w:sz="4" w:space="0" w:color="auto"/>
              <w:right w:val="single" w:sz="4" w:space="0" w:color="auto"/>
            </w:tcBorders>
            <w:shd w:val="clear" w:color="auto" w:fill="auto"/>
            <w:noWrap/>
            <w:vAlign w:val="bottom"/>
            <w:hideMark/>
          </w:tcPr>
          <w:p w14:paraId="6545D105"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164,568</w:t>
            </w:r>
          </w:p>
        </w:tc>
        <w:tc>
          <w:tcPr>
            <w:tcW w:w="2014" w:type="dxa"/>
            <w:tcBorders>
              <w:top w:val="nil"/>
              <w:left w:val="nil"/>
              <w:bottom w:val="single" w:sz="4" w:space="0" w:color="auto"/>
              <w:right w:val="single" w:sz="4" w:space="0" w:color="auto"/>
            </w:tcBorders>
            <w:shd w:val="clear" w:color="auto" w:fill="auto"/>
            <w:noWrap/>
            <w:vAlign w:val="bottom"/>
            <w:hideMark/>
          </w:tcPr>
          <w:p w14:paraId="4270A2C1"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33,901</w:t>
            </w:r>
          </w:p>
        </w:tc>
        <w:tc>
          <w:tcPr>
            <w:tcW w:w="2194" w:type="dxa"/>
            <w:tcBorders>
              <w:top w:val="nil"/>
              <w:left w:val="nil"/>
              <w:bottom w:val="single" w:sz="4" w:space="0" w:color="auto"/>
              <w:right w:val="single" w:sz="4" w:space="0" w:color="auto"/>
            </w:tcBorders>
            <w:shd w:val="clear" w:color="auto" w:fill="auto"/>
            <w:noWrap/>
            <w:vAlign w:val="bottom"/>
            <w:hideMark/>
          </w:tcPr>
          <w:p w14:paraId="76209C34"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21%</w:t>
            </w:r>
          </w:p>
        </w:tc>
      </w:tr>
      <w:tr w:rsidR="001D0F55" w:rsidRPr="008F3287" w14:paraId="36AF5F5A" w14:textId="77777777" w:rsidTr="00C5681F">
        <w:trPr>
          <w:trHeight w:val="300"/>
          <w:jc w:val="center"/>
        </w:trPr>
        <w:tc>
          <w:tcPr>
            <w:tcW w:w="1581" w:type="dxa"/>
            <w:tcBorders>
              <w:top w:val="nil"/>
              <w:left w:val="single" w:sz="4" w:space="0" w:color="auto"/>
              <w:bottom w:val="single" w:sz="4" w:space="0" w:color="auto"/>
              <w:right w:val="single" w:sz="4" w:space="0" w:color="auto"/>
            </w:tcBorders>
            <w:shd w:val="clear" w:color="auto" w:fill="auto"/>
            <w:noWrap/>
            <w:vAlign w:val="bottom"/>
            <w:hideMark/>
          </w:tcPr>
          <w:p w14:paraId="3CD498EB"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K15</w:t>
            </w:r>
          </w:p>
        </w:tc>
        <w:tc>
          <w:tcPr>
            <w:tcW w:w="1496" w:type="dxa"/>
            <w:tcBorders>
              <w:top w:val="nil"/>
              <w:left w:val="nil"/>
              <w:bottom w:val="single" w:sz="4" w:space="0" w:color="auto"/>
              <w:right w:val="single" w:sz="4" w:space="0" w:color="auto"/>
            </w:tcBorders>
            <w:shd w:val="clear" w:color="auto" w:fill="auto"/>
            <w:noWrap/>
            <w:vAlign w:val="bottom"/>
            <w:hideMark/>
          </w:tcPr>
          <w:p w14:paraId="42FB513A"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169,632</w:t>
            </w:r>
          </w:p>
        </w:tc>
        <w:tc>
          <w:tcPr>
            <w:tcW w:w="2014" w:type="dxa"/>
            <w:tcBorders>
              <w:top w:val="nil"/>
              <w:left w:val="nil"/>
              <w:bottom w:val="single" w:sz="4" w:space="0" w:color="auto"/>
              <w:right w:val="single" w:sz="4" w:space="0" w:color="auto"/>
            </w:tcBorders>
            <w:shd w:val="clear" w:color="auto" w:fill="auto"/>
            <w:noWrap/>
            <w:vAlign w:val="bottom"/>
            <w:hideMark/>
          </w:tcPr>
          <w:p w14:paraId="3E680074"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31,232</w:t>
            </w:r>
          </w:p>
        </w:tc>
        <w:tc>
          <w:tcPr>
            <w:tcW w:w="2194" w:type="dxa"/>
            <w:tcBorders>
              <w:top w:val="nil"/>
              <w:left w:val="nil"/>
              <w:bottom w:val="single" w:sz="4" w:space="0" w:color="auto"/>
              <w:right w:val="single" w:sz="4" w:space="0" w:color="auto"/>
            </w:tcBorders>
            <w:shd w:val="clear" w:color="auto" w:fill="auto"/>
            <w:noWrap/>
            <w:vAlign w:val="bottom"/>
            <w:hideMark/>
          </w:tcPr>
          <w:p w14:paraId="36E62893"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18%</w:t>
            </w:r>
          </w:p>
        </w:tc>
      </w:tr>
      <w:tr w:rsidR="001D0F55" w:rsidRPr="008F3287" w14:paraId="422CA7F0" w14:textId="77777777" w:rsidTr="00C5681F">
        <w:trPr>
          <w:trHeight w:val="300"/>
          <w:jc w:val="center"/>
        </w:trPr>
        <w:tc>
          <w:tcPr>
            <w:tcW w:w="1581" w:type="dxa"/>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00E9D245"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K16</w:t>
            </w:r>
          </w:p>
        </w:tc>
        <w:tc>
          <w:tcPr>
            <w:tcW w:w="1496" w:type="dxa"/>
            <w:tcBorders>
              <w:top w:val="nil"/>
              <w:left w:val="nil"/>
              <w:bottom w:val="single" w:sz="4" w:space="0" w:color="auto"/>
              <w:right w:val="single" w:sz="4" w:space="0" w:color="auto"/>
            </w:tcBorders>
            <w:shd w:val="clear" w:color="auto" w:fill="C5E0B3" w:themeFill="accent6" w:themeFillTint="66"/>
            <w:noWrap/>
            <w:vAlign w:val="bottom"/>
            <w:hideMark/>
          </w:tcPr>
          <w:p w14:paraId="25345AFD"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98,506</w:t>
            </w:r>
          </w:p>
        </w:tc>
        <w:tc>
          <w:tcPr>
            <w:tcW w:w="2014" w:type="dxa"/>
            <w:tcBorders>
              <w:top w:val="nil"/>
              <w:left w:val="nil"/>
              <w:bottom w:val="single" w:sz="4" w:space="0" w:color="auto"/>
              <w:right w:val="single" w:sz="4" w:space="0" w:color="auto"/>
            </w:tcBorders>
            <w:shd w:val="clear" w:color="auto" w:fill="C5E0B3" w:themeFill="accent6" w:themeFillTint="66"/>
            <w:noWrap/>
            <w:vAlign w:val="bottom"/>
            <w:hideMark/>
          </w:tcPr>
          <w:p w14:paraId="64935F0C"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37,538</w:t>
            </w:r>
          </w:p>
        </w:tc>
        <w:tc>
          <w:tcPr>
            <w:tcW w:w="2194" w:type="dxa"/>
            <w:tcBorders>
              <w:top w:val="nil"/>
              <w:left w:val="nil"/>
              <w:bottom w:val="single" w:sz="4" w:space="0" w:color="auto"/>
              <w:right w:val="single" w:sz="4" w:space="0" w:color="auto"/>
            </w:tcBorders>
            <w:shd w:val="clear" w:color="auto" w:fill="C5E0B3" w:themeFill="accent6" w:themeFillTint="66"/>
            <w:noWrap/>
            <w:vAlign w:val="bottom"/>
            <w:hideMark/>
          </w:tcPr>
          <w:p w14:paraId="04B22B1D"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38%</w:t>
            </w:r>
          </w:p>
        </w:tc>
      </w:tr>
      <w:tr w:rsidR="001D0F55" w:rsidRPr="008F3287" w14:paraId="54F5C39E" w14:textId="77777777" w:rsidTr="00C5681F">
        <w:trPr>
          <w:trHeight w:val="300"/>
          <w:jc w:val="center"/>
        </w:trPr>
        <w:tc>
          <w:tcPr>
            <w:tcW w:w="1581" w:type="dxa"/>
            <w:tcBorders>
              <w:top w:val="nil"/>
              <w:left w:val="single" w:sz="4" w:space="0" w:color="auto"/>
              <w:bottom w:val="single" w:sz="4" w:space="0" w:color="auto"/>
              <w:right w:val="single" w:sz="4" w:space="0" w:color="auto"/>
            </w:tcBorders>
            <w:shd w:val="clear" w:color="auto" w:fill="auto"/>
            <w:noWrap/>
            <w:vAlign w:val="bottom"/>
            <w:hideMark/>
          </w:tcPr>
          <w:p w14:paraId="46338910"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K17</w:t>
            </w:r>
          </w:p>
        </w:tc>
        <w:tc>
          <w:tcPr>
            <w:tcW w:w="1496" w:type="dxa"/>
            <w:tcBorders>
              <w:top w:val="nil"/>
              <w:left w:val="nil"/>
              <w:bottom w:val="single" w:sz="4" w:space="0" w:color="auto"/>
              <w:right w:val="single" w:sz="4" w:space="0" w:color="auto"/>
            </w:tcBorders>
            <w:shd w:val="clear" w:color="auto" w:fill="auto"/>
            <w:noWrap/>
            <w:vAlign w:val="bottom"/>
            <w:hideMark/>
          </w:tcPr>
          <w:p w14:paraId="421E13B6"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162,446</w:t>
            </w:r>
          </w:p>
        </w:tc>
        <w:tc>
          <w:tcPr>
            <w:tcW w:w="2014" w:type="dxa"/>
            <w:tcBorders>
              <w:top w:val="nil"/>
              <w:left w:val="nil"/>
              <w:bottom w:val="single" w:sz="4" w:space="0" w:color="auto"/>
              <w:right w:val="single" w:sz="4" w:space="0" w:color="auto"/>
            </w:tcBorders>
            <w:shd w:val="clear" w:color="auto" w:fill="auto"/>
            <w:noWrap/>
            <w:vAlign w:val="bottom"/>
            <w:hideMark/>
          </w:tcPr>
          <w:p w14:paraId="16E71259"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33,186</w:t>
            </w:r>
          </w:p>
        </w:tc>
        <w:tc>
          <w:tcPr>
            <w:tcW w:w="2194" w:type="dxa"/>
            <w:tcBorders>
              <w:top w:val="nil"/>
              <w:left w:val="nil"/>
              <w:bottom w:val="single" w:sz="4" w:space="0" w:color="auto"/>
              <w:right w:val="single" w:sz="4" w:space="0" w:color="auto"/>
            </w:tcBorders>
            <w:shd w:val="clear" w:color="auto" w:fill="auto"/>
            <w:noWrap/>
            <w:vAlign w:val="bottom"/>
            <w:hideMark/>
          </w:tcPr>
          <w:p w14:paraId="39B7A305"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20%</w:t>
            </w:r>
          </w:p>
        </w:tc>
      </w:tr>
      <w:tr w:rsidR="001D0F55" w:rsidRPr="008F3287" w14:paraId="3D1E70B5" w14:textId="77777777" w:rsidTr="00C5681F">
        <w:trPr>
          <w:trHeight w:val="300"/>
          <w:jc w:val="center"/>
        </w:trPr>
        <w:tc>
          <w:tcPr>
            <w:tcW w:w="1581" w:type="dxa"/>
            <w:tcBorders>
              <w:top w:val="nil"/>
              <w:left w:val="single" w:sz="4" w:space="0" w:color="auto"/>
              <w:bottom w:val="single" w:sz="4" w:space="0" w:color="auto"/>
              <w:right w:val="single" w:sz="4" w:space="0" w:color="auto"/>
            </w:tcBorders>
            <w:shd w:val="clear" w:color="auto" w:fill="auto"/>
            <w:noWrap/>
            <w:vAlign w:val="bottom"/>
            <w:hideMark/>
          </w:tcPr>
          <w:p w14:paraId="735E6534"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K18</w:t>
            </w:r>
          </w:p>
        </w:tc>
        <w:tc>
          <w:tcPr>
            <w:tcW w:w="1496" w:type="dxa"/>
            <w:tcBorders>
              <w:top w:val="nil"/>
              <w:left w:val="nil"/>
              <w:bottom w:val="single" w:sz="4" w:space="0" w:color="auto"/>
              <w:right w:val="single" w:sz="4" w:space="0" w:color="auto"/>
            </w:tcBorders>
            <w:shd w:val="clear" w:color="auto" w:fill="auto"/>
            <w:noWrap/>
            <w:vAlign w:val="bottom"/>
            <w:hideMark/>
          </w:tcPr>
          <w:p w14:paraId="075D6FCF"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204,095</w:t>
            </w:r>
          </w:p>
        </w:tc>
        <w:tc>
          <w:tcPr>
            <w:tcW w:w="2014" w:type="dxa"/>
            <w:tcBorders>
              <w:top w:val="nil"/>
              <w:left w:val="nil"/>
              <w:bottom w:val="single" w:sz="4" w:space="0" w:color="auto"/>
              <w:right w:val="single" w:sz="4" w:space="0" w:color="auto"/>
            </w:tcBorders>
            <w:shd w:val="clear" w:color="auto" w:fill="auto"/>
            <w:noWrap/>
            <w:vAlign w:val="bottom"/>
            <w:hideMark/>
          </w:tcPr>
          <w:p w14:paraId="26970BAD"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30,590</w:t>
            </w:r>
          </w:p>
        </w:tc>
        <w:tc>
          <w:tcPr>
            <w:tcW w:w="2194" w:type="dxa"/>
            <w:tcBorders>
              <w:top w:val="nil"/>
              <w:left w:val="nil"/>
              <w:bottom w:val="single" w:sz="4" w:space="0" w:color="auto"/>
              <w:right w:val="single" w:sz="4" w:space="0" w:color="auto"/>
            </w:tcBorders>
            <w:shd w:val="clear" w:color="auto" w:fill="auto"/>
            <w:noWrap/>
            <w:vAlign w:val="bottom"/>
            <w:hideMark/>
          </w:tcPr>
          <w:p w14:paraId="0BA7BD86"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15%</w:t>
            </w:r>
          </w:p>
        </w:tc>
      </w:tr>
      <w:tr w:rsidR="001D0F55" w:rsidRPr="008F3287" w14:paraId="2C744557" w14:textId="77777777" w:rsidTr="00C5681F">
        <w:trPr>
          <w:trHeight w:val="300"/>
          <w:jc w:val="center"/>
        </w:trPr>
        <w:tc>
          <w:tcPr>
            <w:tcW w:w="1581" w:type="dxa"/>
            <w:tcBorders>
              <w:top w:val="nil"/>
              <w:left w:val="single" w:sz="4" w:space="0" w:color="auto"/>
              <w:bottom w:val="single" w:sz="4" w:space="0" w:color="auto"/>
              <w:right w:val="single" w:sz="4" w:space="0" w:color="auto"/>
            </w:tcBorders>
            <w:shd w:val="clear" w:color="auto" w:fill="auto"/>
            <w:noWrap/>
            <w:vAlign w:val="bottom"/>
            <w:hideMark/>
          </w:tcPr>
          <w:p w14:paraId="53D69DFA"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M01</w:t>
            </w:r>
          </w:p>
        </w:tc>
        <w:tc>
          <w:tcPr>
            <w:tcW w:w="1496" w:type="dxa"/>
            <w:tcBorders>
              <w:top w:val="nil"/>
              <w:left w:val="nil"/>
              <w:bottom w:val="single" w:sz="4" w:space="0" w:color="auto"/>
              <w:right w:val="single" w:sz="4" w:space="0" w:color="auto"/>
            </w:tcBorders>
            <w:shd w:val="clear" w:color="auto" w:fill="auto"/>
            <w:noWrap/>
            <w:vAlign w:val="bottom"/>
            <w:hideMark/>
          </w:tcPr>
          <w:p w14:paraId="6B7771EF"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78,390</w:t>
            </w:r>
          </w:p>
        </w:tc>
        <w:tc>
          <w:tcPr>
            <w:tcW w:w="2014" w:type="dxa"/>
            <w:tcBorders>
              <w:top w:val="nil"/>
              <w:left w:val="nil"/>
              <w:bottom w:val="single" w:sz="4" w:space="0" w:color="auto"/>
              <w:right w:val="single" w:sz="4" w:space="0" w:color="auto"/>
            </w:tcBorders>
            <w:shd w:val="clear" w:color="auto" w:fill="auto"/>
            <w:noWrap/>
            <w:vAlign w:val="bottom"/>
            <w:hideMark/>
          </w:tcPr>
          <w:p w14:paraId="605AD02A"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2,025</w:t>
            </w:r>
          </w:p>
        </w:tc>
        <w:tc>
          <w:tcPr>
            <w:tcW w:w="2194" w:type="dxa"/>
            <w:tcBorders>
              <w:top w:val="nil"/>
              <w:left w:val="nil"/>
              <w:bottom w:val="single" w:sz="4" w:space="0" w:color="auto"/>
              <w:right w:val="single" w:sz="4" w:space="0" w:color="auto"/>
            </w:tcBorders>
            <w:shd w:val="clear" w:color="auto" w:fill="auto"/>
            <w:noWrap/>
            <w:vAlign w:val="bottom"/>
            <w:hideMark/>
          </w:tcPr>
          <w:p w14:paraId="16F0BC4B"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3%</w:t>
            </w:r>
          </w:p>
        </w:tc>
      </w:tr>
      <w:tr w:rsidR="001D0F55" w:rsidRPr="008F3287" w14:paraId="263E2D85" w14:textId="77777777" w:rsidTr="00C5681F">
        <w:trPr>
          <w:trHeight w:val="300"/>
          <w:jc w:val="center"/>
        </w:trPr>
        <w:tc>
          <w:tcPr>
            <w:tcW w:w="1581" w:type="dxa"/>
            <w:tcBorders>
              <w:top w:val="nil"/>
              <w:left w:val="single" w:sz="4" w:space="0" w:color="auto"/>
              <w:bottom w:val="single" w:sz="4" w:space="0" w:color="auto"/>
              <w:right w:val="single" w:sz="4" w:space="0" w:color="auto"/>
            </w:tcBorders>
            <w:shd w:val="clear" w:color="auto" w:fill="auto"/>
            <w:noWrap/>
            <w:vAlign w:val="bottom"/>
            <w:hideMark/>
          </w:tcPr>
          <w:p w14:paraId="0394E803"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M02</w:t>
            </w:r>
          </w:p>
        </w:tc>
        <w:tc>
          <w:tcPr>
            <w:tcW w:w="1496" w:type="dxa"/>
            <w:tcBorders>
              <w:top w:val="nil"/>
              <w:left w:val="nil"/>
              <w:bottom w:val="single" w:sz="4" w:space="0" w:color="auto"/>
              <w:right w:val="single" w:sz="4" w:space="0" w:color="auto"/>
            </w:tcBorders>
            <w:shd w:val="clear" w:color="auto" w:fill="auto"/>
            <w:noWrap/>
            <w:vAlign w:val="bottom"/>
            <w:hideMark/>
          </w:tcPr>
          <w:p w14:paraId="0295608F"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92,445</w:t>
            </w:r>
          </w:p>
        </w:tc>
        <w:tc>
          <w:tcPr>
            <w:tcW w:w="2014" w:type="dxa"/>
            <w:tcBorders>
              <w:top w:val="nil"/>
              <w:left w:val="nil"/>
              <w:bottom w:val="single" w:sz="4" w:space="0" w:color="auto"/>
              <w:right w:val="single" w:sz="4" w:space="0" w:color="auto"/>
            </w:tcBorders>
            <w:shd w:val="clear" w:color="auto" w:fill="auto"/>
            <w:noWrap/>
            <w:vAlign w:val="bottom"/>
            <w:hideMark/>
          </w:tcPr>
          <w:p w14:paraId="37A5FA88"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3,010</w:t>
            </w:r>
          </w:p>
        </w:tc>
        <w:tc>
          <w:tcPr>
            <w:tcW w:w="2194" w:type="dxa"/>
            <w:tcBorders>
              <w:top w:val="nil"/>
              <w:left w:val="nil"/>
              <w:bottom w:val="single" w:sz="4" w:space="0" w:color="auto"/>
              <w:right w:val="single" w:sz="4" w:space="0" w:color="auto"/>
            </w:tcBorders>
            <w:shd w:val="clear" w:color="auto" w:fill="auto"/>
            <w:noWrap/>
            <w:vAlign w:val="bottom"/>
            <w:hideMark/>
          </w:tcPr>
          <w:p w14:paraId="7589102B"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3%</w:t>
            </w:r>
          </w:p>
        </w:tc>
      </w:tr>
      <w:tr w:rsidR="001D0F55" w:rsidRPr="008F3287" w14:paraId="297F05B3" w14:textId="77777777" w:rsidTr="00C5681F">
        <w:trPr>
          <w:trHeight w:val="300"/>
          <w:jc w:val="center"/>
        </w:trPr>
        <w:tc>
          <w:tcPr>
            <w:tcW w:w="1581" w:type="dxa"/>
            <w:tcBorders>
              <w:top w:val="nil"/>
              <w:left w:val="single" w:sz="4" w:space="0" w:color="auto"/>
              <w:bottom w:val="single" w:sz="4" w:space="0" w:color="auto"/>
              <w:right w:val="single" w:sz="4" w:space="0" w:color="auto"/>
            </w:tcBorders>
            <w:shd w:val="clear" w:color="auto" w:fill="auto"/>
            <w:noWrap/>
            <w:vAlign w:val="bottom"/>
            <w:hideMark/>
          </w:tcPr>
          <w:p w14:paraId="3A65105F"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M03</w:t>
            </w:r>
          </w:p>
        </w:tc>
        <w:tc>
          <w:tcPr>
            <w:tcW w:w="1496" w:type="dxa"/>
            <w:tcBorders>
              <w:top w:val="nil"/>
              <w:left w:val="nil"/>
              <w:bottom w:val="single" w:sz="4" w:space="0" w:color="auto"/>
              <w:right w:val="single" w:sz="4" w:space="0" w:color="auto"/>
            </w:tcBorders>
            <w:shd w:val="clear" w:color="auto" w:fill="auto"/>
            <w:noWrap/>
            <w:vAlign w:val="bottom"/>
            <w:hideMark/>
          </w:tcPr>
          <w:p w14:paraId="5231EA2C"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163,141</w:t>
            </w:r>
          </w:p>
        </w:tc>
        <w:tc>
          <w:tcPr>
            <w:tcW w:w="2014" w:type="dxa"/>
            <w:tcBorders>
              <w:top w:val="nil"/>
              <w:left w:val="nil"/>
              <w:bottom w:val="single" w:sz="4" w:space="0" w:color="auto"/>
              <w:right w:val="single" w:sz="4" w:space="0" w:color="auto"/>
            </w:tcBorders>
            <w:shd w:val="clear" w:color="auto" w:fill="auto"/>
            <w:noWrap/>
            <w:vAlign w:val="bottom"/>
            <w:hideMark/>
          </w:tcPr>
          <w:p w14:paraId="5FF175C5"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38,800</w:t>
            </w:r>
          </w:p>
        </w:tc>
        <w:tc>
          <w:tcPr>
            <w:tcW w:w="2194" w:type="dxa"/>
            <w:tcBorders>
              <w:top w:val="nil"/>
              <w:left w:val="nil"/>
              <w:bottom w:val="single" w:sz="4" w:space="0" w:color="auto"/>
              <w:right w:val="single" w:sz="4" w:space="0" w:color="auto"/>
            </w:tcBorders>
            <w:shd w:val="clear" w:color="auto" w:fill="auto"/>
            <w:noWrap/>
            <w:vAlign w:val="bottom"/>
            <w:hideMark/>
          </w:tcPr>
          <w:p w14:paraId="4D3FF3F6"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24%</w:t>
            </w:r>
          </w:p>
        </w:tc>
      </w:tr>
      <w:tr w:rsidR="001D0F55" w:rsidRPr="008F3287" w14:paraId="0F945AB8" w14:textId="77777777" w:rsidTr="00C5681F">
        <w:trPr>
          <w:trHeight w:val="300"/>
          <w:jc w:val="center"/>
        </w:trPr>
        <w:tc>
          <w:tcPr>
            <w:tcW w:w="1581" w:type="dxa"/>
            <w:tcBorders>
              <w:top w:val="nil"/>
              <w:left w:val="single" w:sz="4" w:space="0" w:color="auto"/>
              <w:bottom w:val="single" w:sz="4" w:space="0" w:color="auto"/>
              <w:right w:val="single" w:sz="4" w:space="0" w:color="auto"/>
            </w:tcBorders>
            <w:shd w:val="clear" w:color="auto" w:fill="auto"/>
            <w:noWrap/>
            <w:vAlign w:val="bottom"/>
            <w:hideMark/>
          </w:tcPr>
          <w:p w14:paraId="090A7BFF"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M04</w:t>
            </w:r>
          </w:p>
        </w:tc>
        <w:tc>
          <w:tcPr>
            <w:tcW w:w="1496" w:type="dxa"/>
            <w:tcBorders>
              <w:top w:val="nil"/>
              <w:left w:val="nil"/>
              <w:bottom w:val="single" w:sz="4" w:space="0" w:color="auto"/>
              <w:right w:val="single" w:sz="4" w:space="0" w:color="auto"/>
            </w:tcBorders>
            <w:shd w:val="clear" w:color="auto" w:fill="auto"/>
            <w:noWrap/>
            <w:vAlign w:val="bottom"/>
            <w:hideMark/>
          </w:tcPr>
          <w:p w14:paraId="7243A28D"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131,351</w:t>
            </w:r>
          </w:p>
        </w:tc>
        <w:tc>
          <w:tcPr>
            <w:tcW w:w="2014" w:type="dxa"/>
            <w:tcBorders>
              <w:top w:val="nil"/>
              <w:left w:val="nil"/>
              <w:bottom w:val="single" w:sz="4" w:space="0" w:color="auto"/>
              <w:right w:val="single" w:sz="4" w:space="0" w:color="auto"/>
            </w:tcBorders>
            <w:shd w:val="clear" w:color="auto" w:fill="auto"/>
            <w:noWrap/>
            <w:vAlign w:val="bottom"/>
            <w:hideMark/>
          </w:tcPr>
          <w:p w14:paraId="27BFEEEA"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13,519</w:t>
            </w:r>
          </w:p>
        </w:tc>
        <w:tc>
          <w:tcPr>
            <w:tcW w:w="2194" w:type="dxa"/>
            <w:tcBorders>
              <w:top w:val="nil"/>
              <w:left w:val="nil"/>
              <w:bottom w:val="single" w:sz="4" w:space="0" w:color="auto"/>
              <w:right w:val="single" w:sz="4" w:space="0" w:color="auto"/>
            </w:tcBorders>
            <w:shd w:val="clear" w:color="auto" w:fill="auto"/>
            <w:noWrap/>
            <w:vAlign w:val="bottom"/>
            <w:hideMark/>
          </w:tcPr>
          <w:p w14:paraId="093D4BDF"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10%</w:t>
            </w:r>
          </w:p>
        </w:tc>
      </w:tr>
      <w:tr w:rsidR="001D0F55" w:rsidRPr="008F3287" w14:paraId="0F8CA258" w14:textId="77777777" w:rsidTr="00C5681F">
        <w:trPr>
          <w:trHeight w:val="300"/>
          <w:jc w:val="center"/>
        </w:trPr>
        <w:tc>
          <w:tcPr>
            <w:tcW w:w="1581" w:type="dxa"/>
            <w:tcBorders>
              <w:top w:val="nil"/>
              <w:left w:val="single" w:sz="4" w:space="0" w:color="auto"/>
              <w:bottom w:val="single" w:sz="4" w:space="0" w:color="auto"/>
              <w:right w:val="single" w:sz="4" w:space="0" w:color="auto"/>
            </w:tcBorders>
            <w:shd w:val="clear" w:color="auto" w:fill="auto"/>
            <w:noWrap/>
            <w:vAlign w:val="bottom"/>
            <w:hideMark/>
          </w:tcPr>
          <w:p w14:paraId="4968FADE"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M05</w:t>
            </w:r>
          </w:p>
        </w:tc>
        <w:tc>
          <w:tcPr>
            <w:tcW w:w="1496" w:type="dxa"/>
            <w:tcBorders>
              <w:top w:val="nil"/>
              <w:left w:val="nil"/>
              <w:bottom w:val="single" w:sz="4" w:space="0" w:color="auto"/>
              <w:right w:val="single" w:sz="4" w:space="0" w:color="auto"/>
            </w:tcBorders>
            <w:shd w:val="clear" w:color="auto" w:fill="auto"/>
            <w:noWrap/>
            <w:vAlign w:val="bottom"/>
            <w:hideMark/>
          </w:tcPr>
          <w:p w14:paraId="5B6CEF10"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63,600</w:t>
            </w:r>
          </w:p>
        </w:tc>
        <w:tc>
          <w:tcPr>
            <w:tcW w:w="2014" w:type="dxa"/>
            <w:tcBorders>
              <w:top w:val="nil"/>
              <w:left w:val="nil"/>
              <w:bottom w:val="single" w:sz="4" w:space="0" w:color="auto"/>
              <w:right w:val="single" w:sz="4" w:space="0" w:color="auto"/>
            </w:tcBorders>
            <w:shd w:val="clear" w:color="auto" w:fill="auto"/>
            <w:noWrap/>
            <w:vAlign w:val="bottom"/>
            <w:hideMark/>
          </w:tcPr>
          <w:p w14:paraId="7D1C1F89"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4,361</w:t>
            </w:r>
          </w:p>
        </w:tc>
        <w:tc>
          <w:tcPr>
            <w:tcW w:w="2194" w:type="dxa"/>
            <w:tcBorders>
              <w:top w:val="nil"/>
              <w:left w:val="nil"/>
              <w:bottom w:val="single" w:sz="4" w:space="0" w:color="auto"/>
              <w:right w:val="single" w:sz="4" w:space="0" w:color="auto"/>
            </w:tcBorders>
            <w:shd w:val="clear" w:color="auto" w:fill="auto"/>
            <w:noWrap/>
            <w:vAlign w:val="bottom"/>
            <w:hideMark/>
          </w:tcPr>
          <w:p w14:paraId="3AF2CC19"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7%</w:t>
            </w:r>
          </w:p>
        </w:tc>
      </w:tr>
      <w:tr w:rsidR="001D0F55" w:rsidRPr="008F3287" w14:paraId="58D3F2B1" w14:textId="77777777" w:rsidTr="00C5681F">
        <w:trPr>
          <w:trHeight w:val="300"/>
          <w:jc w:val="center"/>
        </w:trPr>
        <w:tc>
          <w:tcPr>
            <w:tcW w:w="1581" w:type="dxa"/>
            <w:tcBorders>
              <w:top w:val="nil"/>
              <w:left w:val="single" w:sz="4" w:space="0" w:color="auto"/>
              <w:bottom w:val="single" w:sz="4" w:space="0" w:color="auto"/>
              <w:right w:val="single" w:sz="4" w:space="0" w:color="auto"/>
            </w:tcBorders>
            <w:shd w:val="clear" w:color="auto" w:fill="auto"/>
            <w:noWrap/>
            <w:vAlign w:val="bottom"/>
            <w:hideMark/>
          </w:tcPr>
          <w:p w14:paraId="213CB37B"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M06</w:t>
            </w:r>
          </w:p>
        </w:tc>
        <w:tc>
          <w:tcPr>
            <w:tcW w:w="1496" w:type="dxa"/>
            <w:tcBorders>
              <w:top w:val="nil"/>
              <w:left w:val="nil"/>
              <w:bottom w:val="single" w:sz="4" w:space="0" w:color="auto"/>
              <w:right w:val="single" w:sz="4" w:space="0" w:color="auto"/>
            </w:tcBorders>
            <w:shd w:val="clear" w:color="auto" w:fill="auto"/>
            <w:noWrap/>
            <w:vAlign w:val="bottom"/>
            <w:hideMark/>
          </w:tcPr>
          <w:p w14:paraId="30BE414A"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155,614</w:t>
            </w:r>
          </w:p>
        </w:tc>
        <w:tc>
          <w:tcPr>
            <w:tcW w:w="2014" w:type="dxa"/>
            <w:tcBorders>
              <w:top w:val="nil"/>
              <w:left w:val="nil"/>
              <w:bottom w:val="single" w:sz="4" w:space="0" w:color="auto"/>
              <w:right w:val="single" w:sz="4" w:space="0" w:color="auto"/>
            </w:tcBorders>
            <w:shd w:val="clear" w:color="auto" w:fill="auto"/>
            <w:noWrap/>
            <w:vAlign w:val="bottom"/>
            <w:hideMark/>
          </w:tcPr>
          <w:p w14:paraId="0DDB71ED"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5,653</w:t>
            </w:r>
          </w:p>
        </w:tc>
        <w:tc>
          <w:tcPr>
            <w:tcW w:w="2194" w:type="dxa"/>
            <w:tcBorders>
              <w:top w:val="nil"/>
              <w:left w:val="nil"/>
              <w:bottom w:val="single" w:sz="4" w:space="0" w:color="auto"/>
              <w:right w:val="single" w:sz="4" w:space="0" w:color="auto"/>
            </w:tcBorders>
            <w:shd w:val="clear" w:color="auto" w:fill="auto"/>
            <w:noWrap/>
            <w:vAlign w:val="bottom"/>
            <w:hideMark/>
          </w:tcPr>
          <w:p w14:paraId="36AE53DC"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4%</w:t>
            </w:r>
          </w:p>
        </w:tc>
      </w:tr>
      <w:tr w:rsidR="001D0F55" w:rsidRPr="008F3287" w14:paraId="73774A1C" w14:textId="77777777" w:rsidTr="00C5681F">
        <w:trPr>
          <w:trHeight w:val="300"/>
          <w:jc w:val="center"/>
        </w:trPr>
        <w:tc>
          <w:tcPr>
            <w:tcW w:w="1581" w:type="dxa"/>
            <w:tcBorders>
              <w:top w:val="nil"/>
              <w:left w:val="single" w:sz="4" w:space="0" w:color="auto"/>
              <w:bottom w:val="single" w:sz="4" w:space="0" w:color="auto"/>
              <w:right w:val="single" w:sz="4" w:space="0" w:color="auto"/>
            </w:tcBorders>
            <w:shd w:val="clear" w:color="auto" w:fill="auto"/>
            <w:noWrap/>
            <w:vAlign w:val="bottom"/>
            <w:hideMark/>
          </w:tcPr>
          <w:p w14:paraId="56124CFC"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M07</w:t>
            </w:r>
          </w:p>
        </w:tc>
        <w:tc>
          <w:tcPr>
            <w:tcW w:w="1496" w:type="dxa"/>
            <w:tcBorders>
              <w:top w:val="nil"/>
              <w:left w:val="nil"/>
              <w:bottom w:val="single" w:sz="4" w:space="0" w:color="auto"/>
              <w:right w:val="single" w:sz="4" w:space="0" w:color="auto"/>
            </w:tcBorders>
            <w:shd w:val="clear" w:color="auto" w:fill="auto"/>
            <w:noWrap/>
            <w:vAlign w:val="bottom"/>
            <w:hideMark/>
          </w:tcPr>
          <w:p w14:paraId="172053D7"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222,129</w:t>
            </w:r>
          </w:p>
        </w:tc>
        <w:tc>
          <w:tcPr>
            <w:tcW w:w="2014" w:type="dxa"/>
            <w:tcBorders>
              <w:top w:val="nil"/>
              <w:left w:val="nil"/>
              <w:bottom w:val="single" w:sz="4" w:space="0" w:color="auto"/>
              <w:right w:val="single" w:sz="4" w:space="0" w:color="auto"/>
            </w:tcBorders>
            <w:shd w:val="clear" w:color="auto" w:fill="auto"/>
            <w:noWrap/>
            <w:vAlign w:val="bottom"/>
            <w:hideMark/>
          </w:tcPr>
          <w:p w14:paraId="4E3D0EFC"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17,222</w:t>
            </w:r>
          </w:p>
        </w:tc>
        <w:tc>
          <w:tcPr>
            <w:tcW w:w="2194" w:type="dxa"/>
            <w:tcBorders>
              <w:top w:val="nil"/>
              <w:left w:val="nil"/>
              <w:bottom w:val="single" w:sz="4" w:space="0" w:color="auto"/>
              <w:right w:val="single" w:sz="4" w:space="0" w:color="auto"/>
            </w:tcBorders>
            <w:shd w:val="clear" w:color="auto" w:fill="auto"/>
            <w:noWrap/>
            <w:vAlign w:val="bottom"/>
            <w:hideMark/>
          </w:tcPr>
          <w:p w14:paraId="1774B603"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8%</w:t>
            </w:r>
          </w:p>
        </w:tc>
      </w:tr>
      <w:tr w:rsidR="001D0F55" w:rsidRPr="008F3287" w14:paraId="323E4252" w14:textId="77777777" w:rsidTr="00C5681F">
        <w:trPr>
          <w:trHeight w:val="300"/>
          <w:jc w:val="center"/>
        </w:trPr>
        <w:tc>
          <w:tcPr>
            <w:tcW w:w="158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4262F6C7"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b/>
                <w:bCs/>
                <w:color w:val="000000"/>
              </w:rPr>
              <w:t>Community District (CD)</w:t>
            </w:r>
          </w:p>
        </w:tc>
        <w:tc>
          <w:tcPr>
            <w:tcW w:w="1496"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69A20BA1"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b/>
                <w:bCs/>
                <w:color w:val="000000"/>
              </w:rPr>
              <w:t>2020 Population</w:t>
            </w:r>
          </w:p>
        </w:tc>
        <w:tc>
          <w:tcPr>
            <w:tcW w:w="2014"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08A50971"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b/>
                <w:bCs/>
                <w:color w:val="000000"/>
              </w:rPr>
              <w:t>December 2022 SNAP Recipients</w:t>
            </w:r>
          </w:p>
        </w:tc>
        <w:tc>
          <w:tcPr>
            <w:tcW w:w="2194"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3E67E162"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b/>
                <w:bCs/>
                <w:color w:val="000000"/>
              </w:rPr>
              <w:t>CD SNAP Recipients as % of Population</w:t>
            </w:r>
          </w:p>
        </w:tc>
      </w:tr>
      <w:tr w:rsidR="001D0F55" w:rsidRPr="008F3287" w14:paraId="2093C7C4" w14:textId="77777777" w:rsidTr="00C5681F">
        <w:trPr>
          <w:trHeight w:val="300"/>
          <w:jc w:val="center"/>
        </w:trPr>
        <w:tc>
          <w:tcPr>
            <w:tcW w:w="15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8315D7"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M08</w:t>
            </w:r>
          </w:p>
        </w:tc>
        <w:tc>
          <w:tcPr>
            <w:tcW w:w="1496" w:type="dxa"/>
            <w:tcBorders>
              <w:top w:val="single" w:sz="4" w:space="0" w:color="auto"/>
              <w:left w:val="nil"/>
              <w:bottom w:val="single" w:sz="4" w:space="0" w:color="auto"/>
              <w:right w:val="single" w:sz="4" w:space="0" w:color="auto"/>
            </w:tcBorders>
            <w:shd w:val="clear" w:color="auto" w:fill="auto"/>
            <w:noWrap/>
            <w:vAlign w:val="bottom"/>
            <w:hideMark/>
          </w:tcPr>
          <w:p w14:paraId="54E9889C"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231,983</w:t>
            </w:r>
          </w:p>
        </w:tc>
        <w:tc>
          <w:tcPr>
            <w:tcW w:w="2014" w:type="dxa"/>
            <w:tcBorders>
              <w:top w:val="single" w:sz="4" w:space="0" w:color="auto"/>
              <w:left w:val="nil"/>
              <w:bottom w:val="single" w:sz="4" w:space="0" w:color="auto"/>
              <w:right w:val="single" w:sz="4" w:space="0" w:color="auto"/>
            </w:tcBorders>
            <w:shd w:val="clear" w:color="auto" w:fill="auto"/>
            <w:noWrap/>
            <w:vAlign w:val="bottom"/>
            <w:hideMark/>
          </w:tcPr>
          <w:p w14:paraId="1E2AA8A8"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6,535</w:t>
            </w:r>
          </w:p>
        </w:tc>
        <w:tc>
          <w:tcPr>
            <w:tcW w:w="2194" w:type="dxa"/>
            <w:tcBorders>
              <w:top w:val="single" w:sz="4" w:space="0" w:color="auto"/>
              <w:left w:val="nil"/>
              <w:bottom w:val="single" w:sz="4" w:space="0" w:color="auto"/>
              <w:right w:val="single" w:sz="4" w:space="0" w:color="auto"/>
            </w:tcBorders>
            <w:shd w:val="clear" w:color="auto" w:fill="auto"/>
            <w:noWrap/>
            <w:vAlign w:val="bottom"/>
            <w:hideMark/>
          </w:tcPr>
          <w:p w14:paraId="659502A8"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3%</w:t>
            </w:r>
          </w:p>
        </w:tc>
      </w:tr>
      <w:tr w:rsidR="001D0F55" w:rsidRPr="008F3287" w14:paraId="431B52D9" w14:textId="77777777" w:rsidTr="00C5681F">
        <w:trPr>
          <w:trHeight w:val="300"/>
          <w:jc w:val="center"/>
        </w:trPr>
        <w:tc>
          <w:tcPr>
            <w:tcW w:w="1581" w:type="dxa"/>
            <w:tcBorders>
              <w:top w:val="nil"/>
              <w:left w:val="single" w:sz="4" w:space="0" w:color="auto"/>
              <w:bottom w:val="single" w:sz="4" w:space="0" w:color="auto"/>
              <w:right w:val="single" w:sz="4" w:space="0" w:color="auto"/>
            </w:tcBorders>
            <w:shd w:val="clear" w:color="auto" w:fill="auto"/>
            <w:noWrap/>
            <w:vAlign w:val="bottom"/>
            <w:hideMark/>
          </w:tcPr>
          <w:p w14:paraId="606370C9"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M09</w:t>
            </w:r>
          </w:p>
        </w:tc>
        <w:tc>
          <w:tcPr>
            <w:tcW w:w="1496" w:type="dxa"/>
            <w:tcBorders>
              <w:top w:val="nil"/>
              <w:left w:val="nil"/>
              <w:bottom w:val="single" w:sz="4" w:space="0" w:color="auto"/>
              <w:right w:val="single" w:sz="4" w:space="0" w:color="auto"/>
            </w:tcBorders>
            <w:shd w:val="clear" w:color="auto" w:fill="auto"/>
            <w:noWrap/>
            <w:vAlign w:val="bottom"/>
            <w:hideMark/>
          </w:tcPr>
          <w:p w14:paraId="61EAACE7"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110,458</w:t>
            </w:r>
          </w:p>
        </w:tc>
        <w:tc>
          <w:tcPr>
            <w:tcW w:w="2014" w:type="dxa"/>
            <w:tcBorders>
              <w:top w:val="nil"/>
              <w:left w:val="nil"/>
              <w:bottom w:val="single" w:sz="4" w:space="0" w:color="auto"/>
              <w:right w:val="single" w:sz="4" w:space="0" w:color="auto"/>
            </w:tcBorders>
            <w:shd w:val="clear" w:color="auto" w:fill="auto"/>
            <w:noWrap/>
            <w:vAlign w:val="bottom"/>
            <w:hideMark/>
          </w:tcPr>
          <w:p w14:paraId="02F80A9D"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23,014</w:t>
            </w:r>
          </w:p>
        </w:tc>
        <w:tc>
          <w:tcPr>
            <w:tcW w:w="2194" w:type="dxa"/>
            <w:tcBorders>
              <w:top w:val="nil"/>
              <w:left w:val="nil"/>
              <w:bottom w:val="single" w:sz="4" w:space="0" w:color="auto"/>
              <w:right w:val="single" w:sz="4" w:space="0" w:color="auto"/>
            </w:tcBorders>
            <w:shd w:val="clear" w:color="auto" w:fill="auto"/>
            <w:noWrap/>
            <w:vAlign w:val="bottom"/>
            <w:hideMark/>
          </w:tcPr>
          <w:p w14:paraId="00BBE3B5"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21%</w:t>
            </w:r>
          </w:p>
        </w:tc>
      </w:tr>
      <w:tr w:rsidR="001D0F55" w:rsidRPr="008F3287" w14:paraId="0E6B0AA1" w14:textId="77777777" w:rsidTr="00C5681F">
        <w:trPr>
          <w:trHeight w:val="300"/>
          <w:jc w:val="center"/>
        </w:trPr>
        <w:tc>
          <w:tcPr>
            <w:tcW w:w="1581" w:type="dxa"/>
            <w:tcBorders>
              <w:top w:val="nil"/>
              <w:left w:val="single" w:sz="4" w:space="0" w:color="auto"/>
              <w:bottom w:val="single" w:sz="4" w:space="0" w:color="auto"/>
              <w:right w:val="single" w:sz="4" w:space="0" w:color="auto"/>
            </w:tcBorders>
            <w:shd w:val="clear" w:color="auto" w:fill="auto"/>
            <w:noWrap/>
            <w:vAlign w:val="bottom"/>
            <w:hideMark/>
          </w:tcPr>
          <w:p w14:paraId="0A46333C"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M10</w:t>
            </w:r>
          </w:p>
        </w:tc>
        <w:tc>
          <w:tcPr>
            <w:tcW w:w="1496" w:type="dxa"/>
            <w:tcBorders>
              <w:top w:val="nil"/>
              <w:left w:val="nil"/>
              <w:bottom w:val="single" w:sz="4" w:space="0" w:color="auto"/>
              <w:right w:val="single" w:sz="4" w:space="0" w:color="auto"/>
            </w:tcBorders>
            <w:shd w:val="clear" w:color="auto" w:fill="auto"/>
            <w:noWrap/>
            <w:vAlign w:val="bottom"/>
            <w:hideMark/>
          </w:tcPr>
          <w:p w14:paraId="42283474"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130,440</w:t>
            </w:r>
          </w:p>
        </w:tc>
        <w:tc>
          <w:tcPr>
            <w:tcW w:w="2014" w:type="dxa"/>
            <w:tcBorders>
              <w:top w:val="nil"/>
              <w:left w:val="nil"/>
              <w:bottom w:val="single" w:sz="4" w:space="0" w:color="auto"/>
              <w:right w:val="single" w:sz="4" w:space="0" w:color="auto"/>
            </w:tcBorders>
            <w:shd w:val="clear" w:color="auto" w:fill="auto"/>
            <w:noWrap/>
            <w:vAlign w:val="bottom"/>
            <w:hideMark/>
          </w:tcPr>
          <w:p w14:paraId="1B710DB3"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31,560</w:t>
            </w:r>
          </w:p>
        </w:tc>
        <w:tc>
          <w:tcPr>
            <w:tcW w:w="2194" w:type="dxa"/>
            <w:tcBorders>
              <w:top w:val="nil"/>
              <w:left w:val="nil"/>
              <w:bottom w:val="single" w:sz="4" w:space="0" w:color="auto"/>
              <w:right w:val="single" w:sz="4" w:space="0" w:color="auto"/>
            </w:tcBorders>
            <w:shd w:val="clear" w:color="auto" w:fill="auto"/>
            <w:noWrap/>
            <w:vAlign w:val="bottom"/>
            <w:hideMark/>
          </w:tcPr>
          <w:p w14:paraId="5B275169"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24%</w:t>
            </w:r>
          </w:p>
        </w:tc>
      </w:tr>
      <w:tr w:rsidR="001D0F55" w:rsidRPr="008F3287" w14:paraId="28A570C3" w14:textId="77777777" w:rsidTr="00C5681F">
        <w:trPr>
          <w:trHeight w:val="300"/>
          <w:jc w:val="center"/>
        </w:trPr>
        <w:tc>
          <w:tcPr>
            <w:tcW w:w="1581" w:type="dxa"/>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3B838207"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M11</w:t>
            </w:r>
          </w:p>
        </w:tc>
        <w:tc>
          <w:tcPr>
            <w:tcW w:w="1496" w:type="dxa"/>
            <w:tcBorders>
              <w:top w:val="nil"/>
              <w:left w:val="nil"/>
              <w:bottom w:val="single" w:sz="4" w:space="0" w:color="auto"/>
              <w:right w:val="single" w:sz="4" w:space="0" w:color="auto"/>
            </w:tcBorders>
            <w:shd w:val="clear" w:color="auto" w:fill="C5E0B3" w:themeFill="accent6" w:themeFillTint="66"/>
            <w:noWrap/>
            <w:vAlign w:val="bottom"/>
            <w:hideMark/>
          </w:tcPr>
          <w:p w14:paraId="3F202195"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125,771</w:t>
            </w:r>
          </w:p>
        </w:tc>
        <w:tc>
          <w:tcPr>
            <w:tcW w:w="2014" w:type="dxa"/>
            <w:tcBorders>
              <w:top w:val="nil"/>
              <w:left w:val="nil"/>
              <w:bottom w:val="single" w:sz="4" w:space="0" w:color="auto"/>
              <w:right w:val="single" w:sz="4" w:space="0" w:color="auto"/>
            </w:tcBorders>
            <w:shd w:val="clear" w:color="auto" w:fill="C5E0B3" w:themeFill="accent6" w:themeFillTint="66"/>
            <w:noWrap/>
            <w:vAlign w:val="bottom"/>
            <w:hideMark/>
          </w:tcPr>
          <w:p w14:paraId="4EB51F34"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43,752</w:t>
            </w:r>
          </w:p>
        </w:tc>
        <w:tc>
          <w:tcPr>
            <w:tcW w:w="2194" w:type="dxa"/>
            <w:tcBorders>
              <w:top w:val="nil"/>
              <w:left w:val="nil"/>
              <w:bottom w:val="single" w:sz="4" w:space="0" w:color="auto"/>
              <w:right w:val="single" w:sz="4" w:space="0" w:color="auto"/>
            </w:tcBorders>
            <w:shd w:val="clear" w:color="auto" w:fill="C5E0B3" w:themeFill="accent6" w:themeFillTint="66"/>
            <w:noWrap/>
            <w:vAlign w:val="bottom"/>
            <w:hideMark/>
          </w:tcPr>
          <w:p w14:paraId="157AF213"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35%</w:t>
            </w:r>
          </w:p>
        </w:tc>
      </w:tr>
      <w:tr w:rsidR="001D0F55" w:rsidRPr="008F3287" w14:paraId="3EFF029B" w14:textId="77777777" w:rsidTr="00C5681F">
        <w:trPr>
          <w:trHeight w:val="300"/>
          <w:jc w:val="center"/>
        </w:trPr>
        <w:tc>
          <w:tcPr>
            <w:tcW w:w="1581" w:type="dxa"/>
            <w:tcBorders>
              <w:top w:val="nil"/>
              <w:left w:val="single" w:sz="4" w:space="0" w:color="auto"/>
              <w:bottom w:val="single" w:sz="4" w:space="0" w:color="auto"/>
              <w:right w:val="single" w:sz="4" w:space="0" w:color="auto"/>
            </w:tcBorders>
            <w:shd w:val="clear" w:color="auto" w:fill="auto"/>
            <w:noWrap/>
            <w:vAlign w:val="bottom"/>
            <w:hideMark/>
          </w:tcPr>
          <w:p w14:paraId="6DE3A29B"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M12</w:t>
            </w:r>
          </w:p>
        </w:tc>
        <w:tc>
          <w:tcPr>
            <w:tcW w:w="1496" w:type="dxa"/>
            <w:tcBorders>
              <w:top w:val="nil"/>
              <w:left w:val="nil"/>
              <w:bottom w:val="single" w:sz="4" w:space="0" w:color="auto"/>
              <w:right w:val="single" w:sz="4" w:space="0" w:color="auto"/>
            </w:tcBorders>
            <w:shd w:val="clear" w:color="auto" w:fill="auto"/>
            <w:noWrap/>
            <w:vAlign w:val="bottom"/>
            <w:hideMark/>
          </w:tcPr>
          <w:p w14:paraId="50E2163C"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180,206</w:t>
            </w:r>
          </w:p>
        </w:tc>
        <w:tc>
          <w:tcPr>
            <w:tcW w:w="2014" w:type="dxa"/>
            <w:tcBorders>
              <w:top w:val="nil"/>
              <w:left w:val="nil"/>
              <w:bottom w:val="single" w:sz="4" w:space="0" w:color="auto"/>
              <w:right w:val="single" w:sz="4" w:space="0" w:color="auto"/>
            </w:tcBorders>
            <w:shd w:val="clear" w:color="auto" w:fill="auto"/>
            <w:noWrap/>
            <w:vAlign w:val="bottom"/>
            <w:hideMark/>
          </w:tcPr>
          <w:p w14:paraId="0C7BD471"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48,657</w:t>
            </w:r>
          </w:p>
        </w:tc>
        <w:tc>
          <w:tcPr>
            <w:tcW w:w="2194" w:type="dxa"/>
            <w:tcBorders>
              <w:top w:val="nil"/>
              <w:left w:val="nil"/>
              <w:bottom w:val="single" w:sz="4" w:space="0" w:color="auto"/>
              <w:right w:val="single" w:sz="4" w:space="0" w:color="auto"/>
            </w:tcBorders>
            <w:shd w:val="clear" w:color="auto" w:fill="auto"/>
            <w:noWrap/>
            <w:vAlign w:val="bottom"/>
            <w:hideMark/>
          </w:tcPr>
          <w:p w14:paraId="0591A1F6"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27%</w:t>
            </w:r>
          </w:p>
        </w:tc>
      </w:tr>
      <w:tr w:rsidR="001D0F55" w:rsidRPr="008F3287" w14:paraId="528B3215" w14:textId="77777777" w:rsidTr="00C5681F">
        <w:trPr>
          <w:trHeight w:val="300"/>
          <w:jc w:val="center"/>
        </w:trPr>
        <w:tc>
          <w:tcPr>
            <w:tcW w:w="1581" w:type="dxa"/>
            <w:tcBorders>
              <w:top w:val="nil"/>
              <w:left w:val="single" w:sz="4" w:space="0" w:color="auto"/>
              <w:bottom w:val="single" w:sz="4" w:space="0" w:color="auto"/>
              <w:right w:val="single" w:sz="4" w:space="0" w:color="auto"/>
            </w:tcBorders>
            <w:shd w:val="clear" w:color="auto" w:fill="auto"/>
            <w:noWrap/>
            <w:vAlign w:val="bottom"/>
            <w:hideMark/>
          </w:tcPr>
          <w:p w14:paraId="5813BC8A"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Q01</w:t>
            </w:r>
          </w:p>
        </w:tc>
        <w:tc>
          <w:tcPr>
            <w:tcW w:w="1496" w:type="dxa"/>
            <w:tcBorders>
              <w:top w:val="nil"/>
              <w:left w:val="nil"/>
              <w:bottom w:val="single" w:sz="4" w:space="0" w:color="auto"/>
              <w:right w:val="single" w:sz="4" w:space="0" w:color="auto"/>
            </w:tcBorders>
            <w:shd w:val="clear" w:color="auto" w:fill="auto"/>
            <w:noWrap/>
            <w:vAlign w:val="bottom"/>
            <w:hideMark/>
          </w:tcPr>
          <w:p w14:paraId="0834D7DF"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196,803</w:t>
            </w:r>
          </w:p>
        </w:tc>
        <w:tc>
          <w:tcPr>
            <w:tcW w:w="2014" w:type="dxa"/>
            <w:tcBorders>
              <w:top w:val="nil"/>
              <w:left w:val="nil"/>
              <w:bottom w:val="single" w:sz="4" w:space="0" w:color="auto"/>
              <w:right w:val="single" w:sz="4" w:space="0" w:color="auto"/>
            </w:tcBorders>
            <w:shd w:val="clear" w:color="auto" w:fill="auto"/>
            <w:noWrap/>
            <w:vAlign w:val="bottom"/>
            <w:hideMark/>
          </w:tcPr>
          <w:p w14:paraId="6E4A4267"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25,025</w:t>
            </w:r>
          </w:p>
        </w:tc>
        <w:tc>
          <w:tcPr>
            <w:tcW w:w="2194" w:type="dxa"/>
            <w:tcBorders>
              <w:top w:val="nil"/>
              <w:left w:val="nil"/>
              <w:bottom w:val="single" w:sz="4" w:space="0" w:color="auto"/>
              <w:right w:val="single" w:sz="4" w:space="0" w:color="auto"/>
            </w:tcBorders>
            <w:shd w:val="clear" w:color="auto" w:fill="auto"/>
            <w:noWrap/>
            <w:vAlign w:val="bottom"/>
            <w:hideMark/>
          </w:tcPr>
          <w:p w14:paraId="31E252B2"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13%</w:t>
            </w:r>
          </w:p>
        </w:tc>
      </w:tr>
      <w:tr w:rsidR="001D0F55" w:rsidRPr="008F3287" w14:paraId="3DF41C7E" w14:textId="77777777" w:rsidTr="00C5681F">
        <w:trPr>
          <w:trHeight w:val="300"/>
          <w:jc w:val="center"/>
        </w:trPr>
        <w:tc>
          <w:tcPr>
            <w:tcW w:w="1581" w:type="dxa"/>
            <w:tcBorders>
              <w:top w:val="nil"/>
              <w:left w:val="single" w:sz="4" w:space="0" w:color="auto"/>
              <w:bottom w:val="single" w:sz="4" w:space="0" w:color="auto"/>
              <w:right w:val="single" w:sz="4" w:space="0" w:color="auto"/>
            </w:tcBorders>
            <w:shd w:val="clear" w:color="auto" w:fill="auto"/>
            <w:noWrap/>
            <w:vAlign w:val="bottom"/>
            <w:hideMark/>
          </w:tcPr>
          <w:p w14:paraId="410D2B0B"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Q02</w:t>
            </w:r>
          </w:p>
        </w:tc>
        <w:tc>
          <w:tcPr>
            <w:tcW w:w="1496" w:type="dxa"/>
            <w:tcBorders>
              <w:top w:val="nil"/>
              <w:left w:val="nil"/>
              <w:bottom w:val="single" w:sz="4" w:space="0" w:color="auto"/>
              <w:right w:val="single" w:sz="4" w:space="0" w:color="auto"/>
            </w:tcBorders>
            <w:shd w:val="clear" w:color="auto" w:fill="auto"/>
            <w:noWrap/>
            <w:vAlign w:val="bottom"/>
            <w:hideMark/>
          </w:tcPr>
          <w:p w14:paraId="31390F8D"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137,981</w:t>
            </w:r>
          </w:p>
        </w:tc>
        <w:tc>
          <w:tcPr>
            <w:tcW w:w="2014" w:type="dxa"/>
            <w:tcBorders>
              <w:top w:val="nil"/>
              <w:left w:val="nil"/>
              <w:bottom w:val="single" w:sz="4" w:space="0" w:color="auto"/>
              <w:right w:val="single" w:sz="4" w:space="0" w:color="auto"/>
            </w:tcBorders>
            <w:shd w:val="clear" w:color="auto" w:fill="auto"/>
            <w:noWrap/>
            <w:vAlign w:val="bottom"/>
            <w:hideMark/>
          </w:tcPr>
          <w:p w14:paraId="751663CB"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11,702</w:t>
            </w:r>
          </w:p>
        </w:tc>
        <w:tc>
          <w:tcPr>
            <w:tcW w:w="2194" w:type="dxa"/>
            <w:tcBorders>
              <w:top w:val="nil"/>
              <w:left w:val="nil"/>
              <w:bottom w:val="single" w:sz="4" w:space="0" w:color="auto"/>
              <w:right w:val="single" w:sz="4" w:space="0" w:color="auto"/>
            </w:tcBorders>
            <w:shd w:val="clear" w:color="auto" w:fill="auto"/>
            <w:noWrap/>
            <w:vAlign w:val="bottom"/>
            <w:hideMark/>
          </w:tcPr>
          <w:p w14:paraId="76FF5F33"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8%</w:t>
            </w:r>
          </w:p>
        </w:tc>
      </w:tr>
      <w:tr w:rsidR="001D0F55" w:rsidRPr="008F3287" w14:paraId="1C61B488" w14:textId="77777777" w:rsidTr="00C5681F">
        <w:trPr>
          <w:trHeight w:val="300"/>
          <w:jc w:val="center"/>
        </w:trPr>
        <w:tc>
          <w:tcPr>
            <w:tcW w:w="1581" w:type="dxa"/>
            <w:tcBorders>
              <w:top w:val="nil"/>
              <w:left w:val="single" w:sz="4" w:space="0" w:color="auto"/>
              <w:bottom w:val="single" w:sz="4" w:space="0" w:color="auto"/>
              <w:right w:val="single" w:sz="4" w:space="0" w:color="auto"/>
            </w:tcBorders>
            <w:shd w:val="clear" w:color="auto" w:fill="auto"/>
            <w:noWrap/>
            <w:vAlign w:val="bottom"/>
            <w:hideMark/>
          </w:tcPr>
          <w:p w14:paraId="58F5D614"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Q03</w:t>
            </w:r>
          </w:p>
        </w:tc>
        <w:tc>
          <w:tcPr>
            <w:tcW w:w="1496" w:type="dxa"/>
            <w:tcBorders>
              <w:top w:val="nil"/>
              <w:left w:val="nil"/>
              <w:bottom w:val="single" w:sz="4" w:space="0" w:color="auto"/>
              <w:right w:val="single" w:sz="4" w:space="0" w:color="auto"/>
            </w:tcBorders>
            <w:shd w:val="clear" w:color="auto" w:fill="auto"/>
            <w:noWrap/>
            <w:vAlign w:val="bottom"/>
            <w:hideMark/>
          </w:tcPr>
          <w:p w14:paraId="6A22A1F8"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179,134</w:t>
            </w:r>
          </w:p>
        </w:tc>
        <w:tc>
          <w:tcPr>
            <w:tcW w:w="2014" w:type="dxa"/>
            <w:tcBorders>
              <w:top w:val="nil"/>
              <w:left w:val="nil"/>
              <w:bottom w:val="single" w:sz="4" w:space="0" w:color="auto"/>
              <w:right w:val="single" w:sz="4" w:space="0" w:color="auto"/>
            </w:tcBorders>
            <w:shd w:val="clear" w:color="auto" w:fill="auto"/>
            <w:noWrap/>
            <w:vAlign w:val="bottom"/>
            <w:hideMark/>
          </w:tcPr>
          <w:p w14:paraId="4DAC85BA"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25,599</w:t>
            </w:r>
          </w:p>
        </w:tc>
        <w:tc>
          <w:tcPr>
            <w:tcW w:w="2194" w:type="dxa"/>
            <w:tcBorders>
              <w:top w:val="nil"/>
              <w:left w:val="nil"/>
              <w:bottom w:val="single" w:sz="4" w:space="0" w:color="auto"/>
              <w:right w:val="single" w:sz="4" w:space="0" w:color="auto"/>
            </w:tcBorders>
            <w:shd w:val="clear" w:color="auto" w:fill="auto"/>
            <w:noWrap/>
            <w:vAlign w:val="bottom"/>
            <w:hideMark/>
          </w:tcPr>
          <w:p w14:paraId="6E931A37"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14%</w:t>
            </w:r>
          </w:p>
        </w:tc>
      </w:tr>
      <w:tr w:rsidR="001D0F55" w:rsidRPr="008F3287" w14:paraId="7DEC9475" w14:textId="77777777" w:rsidTr="00C5681F">
        <w:trPr>
          <w:trHeight w:val="300"/>
          <w:jc w:val="center"/>
        </w:trPr>
        <w:tc>
          <w:tcPr>
            <w:tcW w:w="1581" w:type="dxa"/>
            <w:tcBorders>
              <w:top w:val="nil"/>
              <w:left w:val="single" w:sz="4" w:space="0" w:color="auto"/>
              <w:bottom w:val="single" w:sz="4" w:space="0" w:color="auto"/>
              <w:right w:val="single" w:sz="4" w:space="0" w:color="auto"/>
            </w:tcBorders>
            <w:shd w:val="clear" w:color="auto" w:fill="auto"/>
            <w:noWrap/>
            <w:vAlign w:val="bottom"/>
            <w:hideMark/>
          </w:tcPr>
          <w:p w14:paraId="6B578551"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Q04</w:t>
            </w:r>
          </w:p>
        </w:tc>
        <w:tc>
          <w:tcPr>
            <w:tcW w:w="1496" w:type="dxa"/>
            <w:tcBorders>
              <w:top w:val="nil"/>
              <w:left w:val="nil"/>
              <w:bottom w:val="single" w:sz="4" w:space="0" w:color="auto"/>
              <w:right w:val="single" w:sz="4" w:space="0" w:color="auto"/>
            </w:tcBorders>
            <w:shd w:val="clear" w:color="auto" w:fill="auto"/>
            <w:noWrap/>
            <w:vAlign w:val="bottom"/>
            <w:hideMark/>
          </w:tcPr>
          <w:p w14:paraId="17A2724F"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181,025</w:t>
            </w:r>
          </w:p>
        </w:tc>
        <w:tc>
          <w:tcPr>
            <w:tcW w:w="2014" w:type="dxa"/>
            <w:tcBorders>
              <w:top w:val="nil"/>
              <w:left w:val="nil"/>
              <w:bottom w:val="single" w:sz="4" w:space="0" w:color="auto"/>
              <w:right w:val="single" w:sz="4" w:space="0" w:color="auto"/>
            </w:tcBorders>
            <w:shd w:val="clear" w:color="auto" w:fill="auto"/>
            <w:noWrap/>
            <w:vAlign w:val="bottom"/>
            <w:hideMark/>
          </w:tcPr>
          <w:p w14:paraId="4E07FA2B"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28,395</w:t>
            </w:r>
          </w:p>
        </w:tc>
        <w:tc>
          <w:tcPr>
            <w:tcW w:w="2194" w:type="dxa"/>
            <w:tcBorders>
              <w:top w:val="nil"/>
              <w:left w:val="nil"/>
              <w:bottom w:val="single" w:sz="4" w:space="0" w:color="auto"/>
              <w:right w:val="single" w:sz="4" w:space="0" w:color="auto"/>
            </w:tcBorders>
            <w:shd w:val="clear" w:color="auto" w:fill="auto"/>
            <w:noWrap/>
            <w:vAlign w:val="bottom"/>
            <w:hideMark/>
          </w:tcPr>
          <w:p w14:paraId="231529AD"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16%</w:t>
            </w:r>
          </w:p>
        </w:tc>
      </w:tr>
      <w:tr w:rsidR="001D0F55" w:rsidRPr="008F3287" w14:paraId="63A06BC8" w14:textId="77777777" w:rsidTr="00C5681F">
        <w:trPr>
          <w:trHeight w:val="300"/>
          <w:jc w:val="center"/>
        </w:trPr>
        <w:tc>
          <w:tcPr>
            <w:tcW w:w="1581" w:type="dxa"/>
            <w:tcBorders>
              <w:top w:val="nil"/>
              <w:left w:val="single" w:sz="4" w:space="0" w:color="auto"/>
              <w:bottom w:val="single" w:sz="4" w:space="0" w:color="auto"/>
              <w:right w:val="single" w:sz="4" w:space="0" w:color="auto"/>
            </w:tcBorders>
            <w:shd w:val="clear" w:color="auto" w:fill="auto"/>
            <w:noWrap/>
            <w:vAlign w:val="bottom"/>
            <w:hideMark/>
          </w:tcPr>
          <w:p w14:paraId="780838B2"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Q05</w:t>
            </w:r>
          </w:p>
        </w:tc>
        <w:tc>
          <w:tcPr>
            <w:tcW w:w="1496" w:type="dxa"/>
            <w:tcBorders>
              <w:top w:val="nil"/>
              <w:left w:val="nil"/>
              <w:bottom w:val="single" w:sz="4" w:space="0" w:color="auto"/>
              <w:right w:val="single" w:sz="4" w:space="0" w:color="auto"/>
            </w:tcBorders>
            <w:shd w:val="clear" w:color="auto" w:fill="auto"/>
            <w:noWrap/>
            <w:vAlign w:val="bottom"/>
            <w:hideMark/>
          </w:tcPr>
          <w:p w14:paraId="6E740FF4"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178,178</w:t>
            </w:r>
          </w:p>
        </w:tc>
        <w:tc>
          <w:tcPr>
            <w:tcW w:w="2014" w:type="dxa"/>
            <w:tcBorders>
              <w:top w:val="nil"/>
              <w:left w:val="nil"/>
              <w:bottom w:val="single" w:sz="4" w:space="0" w:color="auto"/>
              <w:right w:val="single" w:sz="4" w:space="0" w:color="auto"/>
            </w:tcBorders>
            <w:shd w:val="clear" w:color="auto" w:fill="auto"/>
            <w:noWrap/>
            <w:vAlign w:val="bottom"/>
            <w:hideMark/>
          </w:tcPr>
          <w:p w14:paraId="7594F741"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20,893</w:t>
            </w:r>
          </w:p>
        </w:tc>
        <w:tc>
          <w:tcPr>
            <w:tcW w:w="2194" w:type="dxa"/>
            <w:tcBorders>
              <w:top w:val="nil"/>
              <w:left w:val="nil"/>
              <w:bottom w:val="single" w:sz="4" w:space="0" w:color="auto"/>
              <w:right w:val="single" w:sz="4" w:space="0" w:color="auto"/>
            </w:tcBorders>
            <w:shd w:val="clear" w:color="auto" w:fill="auto"/>
            <w:noWrap/>
            <w:vAlign w:val="bottom"/>
            <w:hideMark/>
          </w:tcPr>
          <w:p w14:paraId="6EDE5CF1"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12%</w:t>
            </w:r>
          </w:p>
        </w:tc>
      </w:tr>
      <w:tr w:rsidR="001D0F55" w:rsidRPr="008F3287" w14:paraId="072B857A" w14:textId="77777777" w:rsidTr="00C5681F">
        <w:trPr>
          <w:trHeight w:val="300"/>
          <w:jc w:val="center"/>
        </w:trPr>
        <w:tc>
          <w:tcPr>
            <w:tcW w:w="1581" w:type="dxa"/>
            <w:tcBorders>
              <w:top w:val="nil"/>
              <w:left w:val="single" w:sz="4" w:space="0" w:color="auto"/>
              <w:bottom w:val="single" w:sz="4" w:space="0" w:color="auto"/>
              <w:right w:val="single" w:sz="4" w:space="0" w:color="auto"/>
            </w:tcBorders>
            <w:shd w:val="clear" w:color="auto" w:fill="auto"/>
            <w:noWrap/>
            <w:vAlign w:val="bottom"/>
            <w:hideMark/>
          </w:tcPr>
          <w:p w14:paraId="1C53B698"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Q06</w:t>
            </w:r>
          </w:p>
        </w:tc>
        <w:tc>
          <w:tcPr>
            <w:tcW w:w="1496" w:type="dxa"/>
            <w:tcBorders>
              <w:top w:val="nil"/>
              <w:left w:val="nil"/>
              <w:bottom w:val="single" w:sz="4" w:space="0" w:color="auto"/>
              <w:right w:val="single" w:sz="4" w:space="0" w:color="auto"/>
            </w:tcBorders>
            <w:shd w:val="clear" w:color="auto" w:fill="auto"/>
            <w:noWrap/>
            <w:vAlign w:val="bottom"/>
            <w:hideMark/>
          </w:tcPr>
          <w:p w14:paraId="52909E03"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120,955</w:t>
            </w:r>
          </w:p>
        </w:tc>
        <w:tc>
          <w:tcPr>
            <w:tcW w:w="2014" w:type="dxa"/>
            <w:tcBorders>
              <w:top w:val="nil"/>
              <w:left w:val="nil"/>
              <w:bottom w:val="single" w:sz="4" w:space="0" w:color="auto"/>
              <w:right w:val="single" w:sz="4" w:space="0" w:color="auto"/>
            </w:tcBorders>
            <w:shd w:val="clear" w:color="auto" w:fill="auto"/>
            <w:noWrap/>
            <w:vAlign w:val="bottom"/>
            <w:hideMark/>
          </w:tcPr>
          <w:p w14:paraId="110ACD28"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11,912</w:t>
            </w:r>
          </w:p>
        </w:tc>
        <w:tc>
          <w:tcPr>
            <w:tcW w:w="2194" w:type="dxa"/>
            <w:tcBorders>
              <w:top w:val="nil"/>
              <w:left w:val="nil"/>
              <w:bottom w:val="single" w:sz="4" w:space="0" w:color="auto"/>
              <w:right w:val="single" w:sz="4" w:space="0" w:color="auto"/>
            </w:tcBorders>
            <w:shd w:val="clear" w:color="auto" w:fill="auto"/>
            <w:noWrap/>
            <w:vAlign w:val="bottom"/>
            <w:hideMark/>
          </w:tcPr>
          <w:p w14:paraId="666D38DE"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10%</w:t>
            </w:r>
          </w:p>
        </w:tc>
      </w:tr>
      <w:tr w:rsidR="001D0F55" w:rsidRPr="008F3287" w14:paraId="4176B804" w14:textId="77777777" w:rsidTr="00C5681F">
        <w:trPr>
          <w:trHeight w:val="300"/>
          <w:jc w:val="center"/>
        </w:trPr>
        <w:tc>
          <w:tcPr>
            <w:tcW w:w="1581" w:type="dxa"/>
            <w:tcBorders>
              <w:top w:val="nil"/>
              <w:left w:val="single" w:sz="4" w:space="0" w:color="auto"/>
              <w:bottom w:val="single" w:sz="4" w:space="0" w:color="auto"/>
              <w:right w:val="single" w:sz="4" w:space="0" w:color="auto"/>
            </w:tcBorders>
            <w:shd w:val="clear" w:color="auto" w:fill="auto"/>
            <w:noWrap/>
            <w:vAlign w:val="bottom"/>
            <w:hideMark/>
          </w:tcPr>
          <w:p w14:paraId="2BAC5138"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Q07</w:t>
            </w:r>
          </w:p>
        </w:tc>
        <w:tc>
          <w:tcPr>
            <w:tcW w:w="1496" w:type="dxa"/>
            <w:tcBorders>
              <w:top w:val="nil"/>
              <w:left w:val="nil"/>
              <w:bottom w:val="single" w:sz="4" w:space="0" w:color="auto"/>
              <w:right w:val="single" w:sz="4" w:space="0" w:color="auto"/>
            </w:tcBorders>
            <w:shd w:val="clear" w:color="auto" w:fill="auto"/>
            <w:noWrap/>
            <w:vAlign w:val="bottom"/>
            <w:hideMark/>
          </w:tcPr>
          <w:p w14:paraId="0CB49828"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269,587</w:t>
            </w:r>
          </w:p>
        </w:tc>
        <w:tc>
          <w:tcPr>
            <w:tcW w:w="2014" w:type="dxa"/>
            <w:tcBorders>
              <w:top w:val="nil"/>
              <w:left w:val="nil"/>
              <w:bottom w:val="single" w:sz="4" w:space="0" w:color="auto"/>
              <w:right w:val="single" w:sz="4" w:space="0" w:color="auto"/>
            </w:tcBorders>
            <w:shd w:val="clear" w:color="auto" w:fill="auto"/>
            <w:noWrap/>
            <w:vAlign w:val="bottom"/>
            <w:hideMark/>
          </w:tcPr>
          <w:p w14:paraId="073DDC99"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33,616</w:t>
            </w:r>
          </w:p>
        </w:tc>
        <w:tc>
          <w:tcPr>
            <w:tcW w:w="2194" w:type="dxa"/>
            <w:tcBorders>
              <w:top w:val="nil"/>
              <w:left w:val="nil"/>
              <w:bottom w:val="single" w:sz="4" w:space="0" w:color="auto"/>
              <w:right w:val="single" w:sz="4" w:space="0" w:color="auto"/>
            </w:tcBorders>
            <w:shd w:val="clear" w:color="auto" w:fill="auto"/>
            <w:noWrap/>
            <w:vAlign w:val="bottom"/>
            <w:hideMark/>
          </w:tcPr>
          <w:p w14:paraId="6B44978C"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12%</w:t>
            </w:r>
          </w:p>
        </w:tc>
      </w:tr>
      <w:tr w:rsidR="001D0F55" w:rsidRPr="008F3287" w14:paraId="74F93B5E" w14:textId="77777777" w:rsidTr="00C5681F">
        <w:trPr>
          <w:trHeight w:val="300"/>
          <w:jc w:val="center"/>
        </w:trPr>
        <w:tc>
          <w:tcPr>
            <w:tcW w:w="1581" w:type="dxa"/>
            <w:tcBorders>
              <w:top w:val="nil"/>
              <w:left w:val="single" w:sz="4" w:space="0" w:color="auto"/>
              <w:bottom w:val="single" w:sz="4" w:space="0" w:color="auto"/>
              <w:right w:val="single" w:sz="4" w:space="0" w:color="auto"/>
            </w:tcBorders>
            <w:shd w:val="clear" w:color="auto" w:fill="auto"/>
            <w:noWrap/>
            <w:vAlign w:val="bottom"/>
            <w:hideMark/>
          </w:tcPr>
          <w:p w14:paraId="027E497F"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Q08</w:t>
            </w:r>
          </w:p>
        </w:tc>
        <w:tc>
          <w:tcPr>
            <w:tcW w:w="1496" w:type="dxa"/>
            <w:tcBorders>
              <w:top w:val="nil"/>
              <w:left w:val="nil"/>
              <w:bottom w:val="single" w:sz="4" w:space="0" w:color="auto"/>
              <w:right w:val="single" w:sz="4" w:space="0" w:color="auto"/>
            </w:tcBorders>
            <w:shd w:val="clear" w:color="auto" w:fill="auto"/>
            <w:noWrap/>
            <w:vAlign w:val="bottom"/>
            <w:hideMark/>
          </w:tcPr>
          <w:p w14:paraId="41D65106"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161,402</w:t>
            </w:r>
          </w:p>
        </w:tc>
        <w:tc>
          <w:tcPr>
            <w:tcW w:w="2014" w:type="dxa"/>
            <w:tcBorders>
              <w:top w:val="nil"/>
              <w:left w:val="nil"/>
              <w:bottom w:val="single" w:sz="4" w:space="0" w:color="auto"/>
              <w:right w:val="single" w:sz="4" w:space="0" w:color="auto"/>
            </w:tcBorders>
            <w:shd w:val="clear" w:color="auto" w:fill="auto"/>
            <w:noWrap/>
            <w:vAlign w:val="bottom"/>
            <w:hideMark/>
          </w:tcPr>
          <w:p w14:paraId="55EF1C63"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20,839</w:t>
            </w:r>
          </w:p>
        </w:tc>
        <w:tc>
          <w:tcPr>
            <w:tcW w:w="2194" w:type="dxa"/>
            <w:tcBorders>
              <w:top w:val="nil"/>
              <w:left w:val="nil"/>
              <w:bottom w:val="single" w:sz="4" w:space="0" w:color="auto"/>
              <w:right w:val="single" w:sz="4" w:space="0" w:color="auto"/>
            </w:tcBorders>
            <w:shd w:val="clear" w:color="auto" w:fill="auto"/>
            <w:noWrap/>
            <w:vAlign w:val="bottom"/>
            <w:hideMark/>
          </w:tcPr>
          <w:p w14:paraId="5120DE33"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13%</w:t>
            </w:r>
          </w:p>
        </w:tc>
      </w:tr>
      <w:tr w:rsidR="001D0F55" w:rsidRPr="008F3287" w14:paraId="0A8A3483" w14:textId="77777777" w:rsidTr="00C5681F">
        <w:trPr>
          <w:trHeight w:val="300"/>
          <w:jc w:val="center"/>
        </w:trPr>
        <w:tc>
          <w:tcPr>
            <w:tcW w:w="1581" w:type="dxa"/>
            <w:tcBorders>
              <w:top w:val="nil"/>
              <w:left w:val="single" w:sz="4" w:space="0" w:color="auto"/>
              <w:bottom w:val="single" w:sz="4" w:space="0" w:color="auto"/>
              <w:right w:val="single" w:sz="4" w:space="0" w:color="auto"/>
            </w:tcBorders>
            <w:shd w:val="clear" w:color="auto" w:fill="auto"/>
            <w:noWrap/>
            <w:vAlign w:val="bottom"/>
            <w:hideMark/>
          </w:tcPr>
          <w:p w14:paraId="1867741F"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Q09</w:t>
            </w:r>
          </w:p>
        </w:tc>
        <w:tc>
          <w:tcPr>
            <w:tcW w:w="1496" w:type="dxa"/>
            <w:tcBorders>
              <w:top w:val="nil"/>
              <w:left w:val="nil"/>
              <w:bottom w:val="single" w:sz="4" w:space="0" w:color="auto"/>
              <w:right w:val="single" w:sz="4" w:space="0" w:color="auto"/>
            </w:tcBorders>
            <w:shd w:val="clear" w:color="auto" w:fill="auto"/>
            <w:noWrap/>
            <w:vAlign w:val="bottom"/>
            <w:hideMark/>
          </w:tcPr>
          <w:p w14:paraId="53DE7D30"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152,839</w:t>
            </w:r>
          </w:p>
        </w:tc>
        <w:tc>
          <w:tcPr>
            <w:tcW w:w="2014" w:type="dxa"/>
            <w:tcBorders>
              <w:top w:val="nil"/>
              <w:left w:val="nil"/>
              <w:bottom w:val="single" w:sz="4" w:space="0" w:color="auto"/>
              <w:right w:val="single" w:sz="4" w:space="0" w:color="auto"/>
            </w:tcBorders>
            <w:shd w:val="clear" w:color="auto" w:fill="auto"/>
            <w:noWrap/>
            <w:vAlign w:val="bottom"/>
            <w:hideMark/>
          </w:tcPr>
          <w:p w14:paraId="19756F8F"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25,344</w:t>
            </w:r>
          </w:p>
        </w:tc>
        <w:tc>
          <w:tcPr>
            <w:tcW w:w="2194" w:type="dxa"/>
            <w:tcBorders>
              <w:top w:val="nil"/>
              <w:left w:val="nil"/>
              <w:bottom w:val="single" w:sz="4" w:space="0" w:color="auto"/>
              <w:right w:val="single" w:sz="4" w:space="0" w:color="auto"/>
            </w:tcBorders>
            <w:shd w:val="clear" w:color="auto" w:fill="auto"/>
            <w:noWrap/>
            <w:vAlign w:val="bottom"/>
            <w:hideMark/>
          </w:tcPr>
          <w:p w14:paraId="4945819D"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17%</w:t>
            </w:r>
          </w:p>
        </w:tc>
      </w:tr>
      <w:tr w:rsidR="001D0F55" w:rsidRPr="008F3287" w14:paraId="3919123A" w14:textId="77777777" w:rsidTr="00C5681F">
        <w:trPr>
          <w:trHeight w:val="300"/>
          <w:jc w:val="center"/>
        </w:trPr>
        <w:tc>
          <w:tcPr>
            <w:tcW w:w="1581" w:type="dxa"/>
            <w:tcBorders>
              <w:top w:val="nil"/>
              <w:left w:val="single" w:sz="4" w:space="0" w:color="auto"/>
              <w:bottom w:val="single" w:sz="4" w:space="0" w:color="auto"/>
              <w:right w:val="single" w:sz="4" w:space="0" w:color="auto"/>
            </w:tcBorders>
            <w:shd w:val="clear" w:color="auto" w:fill="auto"/>
            <w:noWrap/>
            <w:vAlign w:val="bottom"/>
            <w:hideMark/>
          </w:tcPr>
          <w:p w14:paraId="730D3C36"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Q10</w:t>
            </w:r>
          </w:p>
        </w:tc>
        <w:tc>
          <w:tcPr>
            <w:tcW w:w="1496" w:type="dxa"/>
            <w:tcBorders>
              <w:top w:val="nil"/>
              <w:left w:val="nil"/>
              <w:bottom w:val="single" w:sz="4" w:space="0" w:color="auto"/>
              <w:right w:val="single" w:sz="4" w:space="0" w:color="auto"/>
            </w:tcBorders>
            <w:shd w:val="clear" w:color="auto" w:fill="auto"/>
            <w:noWrap/>
            <w:vAlign w:val="bottom"/>
            <w:hideMark/>
          </w:tcPr>
          <w:p w14:paraId="5DCBCD6A"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129,411</w:t>
            </w:r>
          </w:p>
        </w:tc>
        <w:tc>
          <w:tcPr>
            <w:tcW w:w="2014" w:type="dxa"/>
            <w:tcBorders>
              <w:top w:val="nil"/>
              <w:left w:val="nil"/>
              <w:bottom w:val="single" w:sz="4" w:space="0" w:color="auto"/>
              <w:right w:val="single" w:sz="4" w:space="0" w:color="auto"/>
            </w:tcBorders>
            <w:shd w:val="clear" w:color="auto" w:fill="auto"/>
            <w:noWrap/>
            <w:vAlign w:val="bottom"/>
            <w:hideMark/>
          </w:tcPr>
          <w:p w14:paraId="6E9447A0"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18,326</w:t>
            </w:r>
          </w:p>
        </w:tc>
        <w:tc>
          <w:tcPr>
            <w:tcW w:w="2194" w:type="dxa"/>
            <w:tcBorders>
              <w:top w:val="nil"/>
              <w:left w:val="nil"/>
              <w:bottom w:val="single" w:sz="4" w:space="0" w:color="auto"/>
              <w:right w:val="single" w:sz="4" w:space="0" w:color="auto"/>
            </w:tcBorders>
            <w:shd w:val="clear" w:color="auto" w:fill="auto"/>
            <w:noWrap/>
            <w:vAlign w:val="bottom"/>
            <w:hideMark/>
          </w:tcPr>
          <w:p w14:paraId="498CC973"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14%</w:t>
            </w:r>
          </w:p>
        </w:tc>
      </w:tr>
      <w:tr w:rsidR="001D0F55" w:rsidRPr="008F3287" w14:paraId="31CC5BD5" w14:textId="77777777" w:rsidTr="00C5681F">
        <w:trPr>
          <w:trHeight w:val="300"/>
          <w:jc w:val="center"/>
        </w:trPr>
        <w:tc>
          <w:tcPr>
            <w:tcW w:w="1581" w:type="dxa"/>
            <w:tcBorders>
              <w:top w:val="nil"/>
              <w:left w:val="single" w:sz="4" w:space="0" w:color="auto"/>
              <w:bottom w:val="single" w:sz="4" w:space="0" w:color="auto"/>
              <w:right w:val="single" w:sz="4" w:space="0" w:color="auto"/>
            </w:tcBorders>
            <w:shd w:val="clear" w:color="auto" w:fill="auto"/>
            <w:noWrap/>
            <w:vAlign w:val="bottom"/>
            <w:hideMark/>
          </w:tcPr>
          <w:p w14:paraId="11DCFF8F"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Q11</w:t>
            </w:r>
          </w:p>
        </w:tc>
        <w:tc>
          <w:tcPr>
            <w:tcW w:w="1496" w:type="dxa"/>
            <w:tcBorders>
              <w:top w:val="nil"/>
              <w:left w:val="nil"/>
              <w:bottom w:val="single" w:sz="4" w:space="0" w:color="auto"/>
              <w:right w:val="single" w:sz="4" w:space="0" w:color="auto"/>
            </w:tcBorders>
            <w:shd w:val="clear" w:color="auto" w:fill="auto"/>
            <w:noWrap/>
            <w:vAlign w:val="bottom"/>
            <w:hideMark/>
          </w:tcPr>
          <w:p w14:paraId="6644C52C"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122,211</w:t>
            </w:r>
          </w:p>
        </w:tc>
        <w:tc>
          <w:tcPr>
            <w:tcW w:w="2014" w:type="dxa"/>
            <w:tcBorders>
              <w:top w:val="nil"/>
              <w:left w:val="nil"/>
              <w:bottom w:val="single" w:sz="4" w:space="0" w:color="auto"/>
              <w:right w:val="single" w:sz="4" w:space="0" w:color="auto"/>
            </w:tcBorders>
            <w:shd w:val="clear" w:color="auto" w:fill="auto"/>
            <w:noWrap/>
            <w:vAlign w:val="bottom"/>
            <w:hideMark/>
          </w:tcPr>
          <w:p w14:paraId="774D19F9"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9,243</w:t>
            </w:r>
          </w:p>
        </w:tc>
        <w:tc>
          <w:tcPr>
            <w:tcW w:w="2194" w:type="dxa"/>
            <w:tcBorders>
              <w:top w:val="nil"/>
              <w:left w:val="nil"/>
              <w:bottom w:val="single" w:sz="4" w:space="0" w:color="auto"/>
              <w:right w:val="single" w:sz="4" w:space="0" w:color="auto"/>
            </w:tcBorders>
            <w:shd w:val="clear" w:color="auto" w:fill="auto"/>
            <w:noWrap/>
            <w:vAlign w:val="bottom"/>
            <w:hideMark/>
          </w:tcPr>
          <w:p w14:paraId="63EA625C"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8%</w:t>
            </w:r>
          </w:p>
        </w:tc>
      </w:tr>
      <w:tr w:rsidR="001D0F55" w:rsidRPr="008F3287" w14:paraId="7DF281DB" w14:textId="77777777" w:rsidTr="00C5681F">
        <w:trPr>
          <w:trHeight w:val="300"/>
          <w:jc w:val="center"/>
        </w:trPr>
        <w:tc>
          <w:tcPr>
            <w:tcW w:w="1581" w:type="dxa"/>
            <w:tcBorders>
              <w:top w:val="nil"/>
              <w:left w:val="single" w:sz="4" w:space="0" w:color="auto"/>
              <w:bottom w:val="single" w:sz="4" w:space="0" w:color="auto"/>
              <w:right w:val="single" w:sz="4" w:space="0" w:color="auto"/>
            </w:tcBorders>
            <w:shd w:val="clear" w:color="auto" w:fill="auto"/>
            <w:noWrap/>
            <w:vAlign w:val="bottom"/>
            <w:hideMark/>
          </w:tcPr>
          <w:p w14:paraId="07EBD040"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Q12</w:t>
            </w:r>
          </w:p>
        </w:tc>
        <w:tc>
          <w:tcPr>
            <w:tcW w:w="1496" w:type="dxa"/>
            <w:tcBorders>
              <w:top w:val="nil"/>
              <w:left w:val="nil"/>
              <w:bottom w:val="single" w:sz="4" w:space="0" w:color="auto"/>
              <w:right w:val="single" w:sz="4" w:space="0" w:color="auto"/>
            </w:tcBorders>
            <w:shd w:val="clear" w:color="auto" w:fill="auto"/>
            <w:noWrap/>
            <w:vAlign w:val="bottom"/>
            <w:hideMark/>
          </w:tcPr>
          <w:p w14:paraId="7CA0E0DE"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256,278</w:t>
            </w:r>
          </w:p>
        </w:tc>
        <w:tc>
          <w:tcPr>
            <w:tcW w:w="2014" w:type="dxa"/>
            <w:tcBorders>
              <w:top w:val="nil"/>
              <w:left w:val="nil"/>
              <w:bottom w:val="single" w:sz="4" w:space="0" w:color="auto"/>
              <w:right w:val="single" w:sz="4" w:space="0" w:color="auto"/>
            </w:tcBorders>
            <w:shd w:val="clear" w:color="auto" w:fill="auto"/>
            <w:noWrap/>
            <w:vAlign w:val="bottom"/>
            <w:hideMark/>
          </w:tcPr>
          <w:p w14:paraId="42DF98A3"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48,453</w:t>
            </w:r>
          </w:p>
        </w:tc>
        <w:tc>
          <w:tcPr>
            <w:tcW w:w="2194" w:type="dxa"/>
            <w:tcBorders>
              <w:top w:val="nil"/>
              <w:left w:val="nil"/>
              <w:bottom w:val="single" w:sz="4" w:space="0" w:color="auto"/>
              <w:right w:val="single" w:sz="4" w:space="0" w:color="auto"/>
            </w:tcBorders>
            <w:shd w:val="clear" w:color="auto" w:fill="auto"/>
            <w:noWrap/>
            <w:vAlign w:val="bottom"/>
            <w:hideMark/>
          </w:tcPr>
          <w:p w14:paraId="16EF85F3"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19%</w:t>
            </w:r>
          </w:p>
        </w:tc>
      </w:tr>
      <w:tr w:rsidR="001D0F55" w:rsidRPr="008F3287" w14:paraId="69792F06" w14:textId="77777777" w:rsidTr="00C5681F">
        <w:trPr>
          <w:trHeight w:val="300"/>
          <w:jc w:val="center"/>
        </w:trPr>
        <w:tc>
          <w:tcPr>
            <w:tcW w:w="1581" w:type="dxa"/>
            <w:tcBorders>
              <w:top w:val="nil"/>
              <w:left w:val="single" w:sz="4" w:space="0" w:color="auto"/>
              <w:bottom w:val="single" w:sz="4" w:space="0" w:color="auto"/>
              <w:right w:val="single" w:sz="4" w:space="0" w:color="auto"/>
            </w:tcBorders>
            <w:shd w:val="clear" w:color="auto" w:fill="auto"/>
            <w:noWrap/>
            <w:vAlign w:val="bottom"/>
            <w:hideMark/>
          </w:tcPr>
          <w:p w14:paraId="5B6CB2CE"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Q13</w:t>
            </w:r>
          </w:p>
        </w:tc>
        <w:tc>
          <w:tcPr>
            <w:tcW w:w="1496" w:type="dxa"/>
            <w:tcBorders>
              <w:top w:val="nil"/>
              <w:left w:val="nil"/>
              <w:bottom w:val="single" w:sz="4" w:space="0" w:color="auto"/>
              <w:right w:val="single" w:sz="4" w:space="0" w:color="auto"/>
            </w:tcBorders>
            <w:shd w:val="clear" w:color="auto" w:fill="auto"/>
            <w:noWrap/>
            <w:vAlign w:val="bottom"/>
            <w:hideMark/>
          </w:tcPr>
          <w:p w14:paraId="7414799A"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199,218</w:t>
            </w:r>
          </w:p>
        </w:tc>
        <w:tc>
          <w:tcPr>
            <w:tcW w:w="2014" w:type="dxa"/>
            <w:tcBorders>
              <w:top w:val="nil"/>
              <w:left w:val="nil"/>
              <w:bottom w:val="single" w:sz="4" w:space="0" w:color="auto"/>
              <w:right w:val="single" w:sz="4" w:space="0" w:color="auto"/>
            </w:tcBorders>
            <w:shd w:val="clear" w:color="auto" w:fill="auto"/>
            <w:noWrap/>
            <w:vAlign w:val="bottom"/>
            <w:hideMark/>
          </w:tcPr>
          <w:p w14:paraId="5089F0F2"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22,648</w:t>
            </w:r>
          </w:p>
        </w:tc>
        <w:tc>
          <w:tcPr>
            <w:tcW w:w="2194" w:type="dxa"/>
            <w:tcBorders>
              <w:top w:val="nil"/>
              <w:left w:val="nil"/>
              <w:bottom w:val="single" w:sz="4" w:space="0" w:color="auto"/>
              <w:right w:val="single" w:sz="4" w:space="0" w:color="auto"/>
            </w:tcBorders>
            <w:shd w:val="clear" w:color="auto" w:fill="auto"/>
            <w:noWrap/>
            <w:vAlign w:val="bottom"/>
            <w:hideMark/>
          </w:tcPr>
          <w:p w14:paraId="56ED523F"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11%</w:t>
            </w:r>
          </w:p>
        </w:tc>
      </w:tr>
      <w:tr w:rsidR="001D0F55" w:rsidRPr="008F3287" w14:paraId="024E795D" w14:textId="77777777" w:rsidTr="00C5681F">
        <w:trPr>
          <w:trHeight w:val="300"/>
          <w:jc w:val="center"/>
        </w:trPr>
        <w:tc>
          <w:tcPr>
            <w:tcW w:w="1581" w:type="dxa"/>
            <w:tcBorders>
              <w:top w:val="nil"/>
              <w:left w:val="single" w:sz="4" w:space="0" w:color="auto"/>
              <w:bottom w:val="single" w:sz="4" w:space="0" w:color="auto"/>
              <w:right w:val="single" w:sz="4" w:space="0" w:color="auto"/>
            </w:tcBorders>
            <w:shd w:val="clear" w:color="auto" w:fill="auto"/>
            <w:noWrap/>
            <w:vAlign w:val="bottom"/>
            <w:hideMark/>
          </w:tcPr>
          <w:p w14:paraId="690DE7D9"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Q14</w:t>
            </w:r>
          </w:p>
        </w:tc>
        <w:tc>
          <w:tcPr>
            <w:tcW w:w="1496" w:type="dxa"/>
            <w:tcBorders>
              <w:top w:val="nil"/>
              <w:left w:val="nil"/>
              <w:bottom w:val="single" w:sz="4" w:space="0" w:color="auto"/>
              <w:right w:val="single" w:sz="4" w:space="0" w:color="auto"/>
            </w:tcBorders>
            <w:shd w:val="clear" w:color="auto" w:fill="auto"/>
            <w:noWrap/>
            <w:vAlign w:val="bottom"/>
            <w:hideMark/>
          </w:tcPr>
          <w:p w14:paraId="55845489"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124,173</w:t>
            </w:r>
          </w:p>
        </w:tc>
        <w:tc>
          <w:tcPr>
            <w:tcW w:w="2014" w:type="dxa"/>
            <w:tcBorders>
              <w:top w:val="nil"/>
              <w:left w:val="nil"/>
              <w:bottom w:val="single" w:sz="4" w:space="0" w:color="auto"/>
              <w:right w:val="single" w:sz="4" w:space="0" w:color="auto"/>
            </w:tcBorders>
            <w:shd w:val="clear" w:color="auto" w:fill="auto"/>
            <w:noWrap/>
            <w:vAlign w:val="bottom"/>
            <w:hideMark/>
          </w:tcPr>
          <w:p w14:paraId="50ABEA67"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30,351</w:t>
            </w:r>
          </w:p>
        </w:tc>
        <w:tc>
          <w:tcPr>
            <w:tcW w:w="2194" w:type="dxa"/>
            <w:tcBorders>
              <w:top w:val="nil"/>
              <w:left w:val="nil"/>
              <w:bottom w:val="single" w:sz="4" w:space="0" w:color="auto"/>
              <w:right w:val="single" w:sz="4" w:space="0" w:color="auto"/>
            </w:tcBorders>
            <w:shd w:val="clear" w:color="auto" w:fill="auto"/>
            <w:noWrap/>
            <w:vAlign w:val="bottom"/>
            <w:hideMark/>
          </w:tcPr>
          <w:p w14:paraId="6E4C5B10"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24%</w:t>
            </w:r>
          </w:p>
        </w:tc>
      </w:tr>
      <w:tr w:rsidR="001D0F55" w:rsidRPr="008F3287" w14:paraId="56E7F5E6" w14:textId="77777777" w:rsidTr="00C5681F">
        <w:trPr>
          <w:trHeight w:val="300"/>
          <w:jc w:val="center"/>
        </w:trPr>
        <w:tc>
          <w:tcPr>
            <w:tcW w:w="1581" w:type="dxa"/>
            <w:tcBorders>
              <w:top w:val="nil"/>
              <w:left w:val="single" w:sz="4" w:space="0" w:color="auto"/>
              <w:bottom w:val="single" w:sz="4" w:space="0" w:color="auto"/>
              <w:right w:val="single" w:sz="4" w:space="0" w:color="auto"/>
            </w:tcBorders>
            <w:shd w:val="clear" w:color="auto" w:fill="auto"/>
            <w:noWrap/>
            <w:vAlign w:val="bottom"/>
            <w:hideMark/>
          </w:tcPr>
          <w:p w14:paraId="1792A4B4"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S01</w:t>
            </w:r>
          </w:p>
        </w:tc>
        <w:tc>
          <w:tcPr>
            <w:tcW w:w="1496" w:type="dxa"/>
            <w:tcBorders>
              <w:top w:val="nil"/>
              <w:left w:val="nil"/>
              <w:bottom w:val="single" w:sz="4" w:space="0" w:color="auto"/>
              <w:right w:val="single" w:sz="4" w:space="0" w:color="auto"/>
            </w:tcBorders>
            <w:shd w:val="clear" w:color="auto" w:fill="auto"/>
            <w:noWrap/>
            <w:vAlign w:val="bottom"/>
            <w:hideMark/>
          </w:tcPr>
          <w:p w14:paraId="6FC53E8B"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189,663</w:t>
            </w:r>
          </w:p>
        </w:tc>
        <w:tc>
          <w:tcPr>
            <w:tcW w:w="2014" w:type="dxa"/>
            <w:tcBorders>
              <w:top w:val="nil"/>
              <w:left w:val="nil"/>
              <w:bottom w:val="single" w:sz="4" w:space="0" w:color="auto"/>
              <w:right w:val="single" w:sz="4" w:space="0" w:color="auto"/>
            </w:tcBorders>
            <w:shd w:val="clear" w:color="auto" w:fill="auto"/>
            <w:noWrap/>
            <w:vAlign w:val="bottom"/>
            <w:hideMark/>
          </w:tcPr>
          <w:p w14:paraId="7CFD5154"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39,923</w:t>
            </w:r>
          </w:p>
        </w:tc>
        <w:tc>
          <w:tcPr>
            <w:tcW w:w="2194" w:type="dxa"/>
            <w:tcBorders>
              <w:top w:val="nil"/>
              <w:left w:val="nil"/>
              <w:bottom w:val="single" w:sz="4" w:space="0" w:color="auto"/>
              <w:right w:val="single" w:sz="4" w:space="0" w:color="auto"/>
            </w:tcBorders>
            <w:shd w:val="clear" w:color="auto" w:fill="auto"/>
            <w:noWrap/>
            <w:vAlign w:val="bottom"/>
            <w:hideMark/>
          </w:tcPr>
          <w:p w14:paraId="1D260704"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21%</w:t>
            </w:r>
          </w:p>
        </w:tc>
      </w:tr>
      <w:tr w:rsidR="001D0F55" w:rsidRPr="008F3287" w14:paraId="661E2EFD" w14:textId="77777777" w:rsidTr="00C5681F">
        <w:trPr>
          <w:trHeight w:val="300"/>
          <w:jc w:val="center"/>
        </w:trPr>
        <w:tc>
          <w:tcPr>
            <w:tcW w:w="1581" w:type="dxa"/>
            <w:tcBorders>
              <w:top w:val="nil"/>
              <w:left w:val="single" w:sz="4" w:space="0" w:color="auto"/>
              <w:bottom w:val="single" w:sz="4" w:space="0" w:color="auto"/>
              <w:right w:val="single" w:sz="4" w:space="0" w:color="auto"/>
            </w:tcBorders>
            <w:shd w:val="clear" w:color="auto" w:fill="auto"/>
            <w:noWrap/>
            <w:vAlign w:val="bottom"/>
            <w:hideMark/>
          </w:tcPr>
          <w:p w14:paraId="1BD16368"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S02</w:t>
            </w:r>
          </w:p>
        </w:tc>
        <w:tc>
          <w:tcPr>
            <w:tcW w:w="1496" w:type="dxa"/>
            <w:tcBorders>
              <w:top w:val="nil"/>
              <w:left w:val="nil"/>
              <w:bottom w:val="single" w:sz="4" w:space="0" w:color="auto"/>
              <w:right w:val="single" w:sz="4" w:space="0" w:color="auto"/>
            </w:tcBorders>
            <w:shd w:val="clear" w:color="auto" w:fill="auto"/>
            <w:noWrap/>
            <w:vAlign w:val="bottom"/>
            <w:hideMark/>
          </w:tcPr>
          <w:p w14:paraId="4ADF4102"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140,795</w:t>
            </w:r>
          </w:p>
        </w:tc>
        <w:tc>
          <w:tcPr>
            <w:tcW w:w="2014" w:type="dxa"/>
            <w:tcBorders>
              <w:top w:val="nil"/>
              <w:left w:val="nil"/>
              <w:bottom w:val="single" w:sz="4" w:space="0" w:color="auto"/>
              <w:right w:val="single" w:sz="4" w:space="0" w:color="auto"/>
            </w:tcBorders>
            <w:shd w:val="clear" w:color="auto" w:fill="auto"/>
            <w:noWrap/>
            <w:vAlign w:val="bottom"/>
            <w:hideMark/>
          </w:tcPr>
          <w:p w14:paraId="71CDB45A"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17,783</w:t>
            </w:r>
          </w:p>
        </w:tc>
        <w:tc>
          <w:tcPr>
            <w:tcW w:w="2194" w:type="dxa"/>
            <w:tcBorders>
              <w:top w:val="nil"/>
              <w:left w:val="nil"/>
              <w:bottom w:val="single" w:sz="4" w:space="0" w:color="auto"/>
              <w:right w:val="single" w:sz="4" w:space="0" w:color="auto"/>
            </w:tcBorders>
            <w:shd w:val="clear" w:color="auto" w:fill="auto"/>
            <w:noWrap/>
            <w:vAlign w:val="bottom"/>
            <w:hideMark/>
          </w:tcPr>
          <w:p w14:paraId="7B8CDD99"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13%</w:t>
            </w:r>
          </w:p>
        </w:tc>
      </w:tr>
      <w:tr w:rsidR="001D0F55" w:rsidRPr="008F3287" w14:paraId="7A43F22F" w14:textId="77777777" w:rsidTr="00C5681F">
        <w:trPr>
          <w:trHeight w:val="300"/>
          <w:jc w:val="center"/>
        </w:trPr>
        <w:tc>
          <w:tcPr>
            <w:tcW w:w="1581" w:type="dxa"/>
            <w:tcBorders>
              <w:top w:val="nil"/>
              <w:left w:val="single" w:sz="4" w:space="0" w:color="auto"/>
              <w:bottom w:val="single" w:sz="4" w:space="0" w:color="auto"/>
              <w:right w:val="single" w:sz="4" w:space="0" w:color="auto"/>
            </w:tcBorders>
            <w:shd w:val="clear" w:color="auto" w:fill="auto"/>
            <w:noWrap/>
            <w:vAlign w:val="bottom"/>
            <w:hideMark/>
          </w:tcPr>
          <w:p w14:paraId="2EFD9C38"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S03</w:t>
            </w:r>
          </w:p>
        </w:tc>
        <w:tc>
          <w:tcPr>
            <w:tcW w:w="1496" w:type="dxa"/>
            <w:tcBorders>
              <w:top w:val="nil"/>
              <w:left w:val="nil"/>
              <w:bottom w:val="single" w:sz="4" w:space="0" w:color="auto"/>
              <w:right w:val="single" w:sz="4" w:space="0" w:color="auto"/>
            </w:tcBorders>
            <w:shd w:val="clear" w:color="auto" w:fill="auto"/>
            <w:noWrap/>
            <w:vAlign w:val="bottom"/>
            <w:hideMark/>
          </w:tcPr>
          <w:p w14:paraId="525ED0EE"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164,723</w:t>
            </w:r>
          </w:p>
        </w:tc>
        <w:tc>
          <w:tcPr>
            <w:tcW w:w="2014" w:type="dxa"/>
            <w:tcBorders>
              <w:top w:val="nil"/>
              <w:left w:val="nil"/>
              <w:bottom w:val="single" w:sz="4" w:space="0" w:color="auto"/>
              <w:right w:val="single" w:sz="4" w:space="0" w:color="auto"/>
            </w:tcBorders>
            <w:shd w:val="clear" w:color="auto" w:fill="auto"/>
            <w:noWrap/>
            <w:vAlign w:val="bottom"/>
            <w:hideMark/>
          </w:tcPr>
          <w:p w14:paraId="1A822A55"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13,059</w:t>
            </w:r>
          </w:p>
        </w:tc>
        <w:tc>
          <w:tcPr>
            <w:tcW w:w="2194" w:type="dxa"/>
            <w:tcBorders>
              <w:top w:val="nil"/>
              <w:left w:val="nil"/>
              <w:bottom w:val="single" w:sz="4" w:space="0" w:color="auto"/>
              <w:right w:val="single" w:sz="4" w:space="0" w:color="auto"/>
            </w:tcBorders>
            <w:shd w:val="clear" w:color="auto" w:fill="auto"/>
            <w:noWrap/>
            <w:vAlign w:val="bottom"/>
            <w:hideMark/>
          </w:tcPr>
          <w:p w14:paraId="0E9EB9A0" w14:textId="77777777" w:rsidR="001D0F55" w:rsidRPr="008F3287" w:rsidRDefault="001D0F55" w:rsidP="00CA1159">
            <w:pPr>
              <w:jc w:val="center"/>
              <w:rPr>
                <w:rFonts w:ascii="Calibri" w:hAnsi="Calibri" w:cs="Calibri"/>
                <w:color w:val="000000"/>
                <w:sz w:val="20"/>
                <w:szCs w:val="20"/>
              </w:rPr>
            </w:pPr>
            <w:r w:rsidRPr="008F3287">
              <w:rPr>
                <w:rFonts w:ascii="Calibri" w:hAnsi="Calibri" w:cs="Calibri"/>
                <w:color w:val="000000"/>
                <w:sz w:val="20"/>
                <w:szCs w:val="20"/>
              </w:rPr>
              <w:t>8%</w:t>
            </w:r>
          </w:p>
        </w:tc>
      </w:tr>
      <w:tr w:rsidR="001D0F55" w:rsidRPr="008F3287" w14:paraId="60F8D298" w14:textId="77777777" w:rsidTr="00C5681F">
        <w:trPr>
          <w:trHeight w:val="300"/>
          <w:jc w:val="center"/>
        </w:trPr>
        <w:tc>
          <w:tcPr>
            <w:tcW w:w="1581" w:type="dxa"/>
            <w:tcBorders>
              <w:top w:val="nil"/>
              <w:left w:val="single" w:sz="4" w:space="0" w:color="auto"/>
              <w:bottom w:val="single" w:sz="4" w:space="0" w:color="auto"/>
              <w:right w:val="single" w:sz="4" w:space="0" w:color="auto"/>
            </w:tcBorders>
            <w:shd w:val="clear" w:color="auto" w:fill="auto"/>
            <w:noWrap/>
            <w:vAlign w:val="bottom"/>
            <w:hideMark/>
          </w:tcPr>
          <w:p w14:paraId="1BAEE4B8" w14:textId="77777777" w:rsidR="001D0F55" w:rsidRPr="008F3287" w:rsidRDefault="001D0F55" w:rsidP="00CA1159">
            <w:pPr>
              <w:jc w:val="center"/>
              <w:rPr>
                <w:rFonts w:ascii="Calibri" w:hAnsi="Calibri" w:cs="Calibri"/>
                <w:b/>
                <w:bCs/>
                <w:color w:val="000000"/>
                <w:sz w:val="20"/>
                <w:szCs w:val="20"/>
              </w:rPr>
            </w:pPr>
            <w:r w:rsidRPr="008F3287">
              <w:rPr>
                <w:rFonts w:ascii="Calibri" w:hAnsi="Calibri" w:cs="Calibri"/>
                <w:b/>
                <w:bCs/>
                <w:color w:val="000000"/>
                <w:sz w:val="20"/>
                <w:szCs w:val="20"/>
              </w:rPr>
              <w:t>Total</w:t>
            </w:r>
          </w:p>
        </w:tc>
        <w:tc>
          <w:tcPr>
            <w:tcW w:w="1496" w:type="dxa"/>
            <w:tcBorders>
              <w:top w:val="nil"/>
              <w:left w:val="nil"/>
              <w:bottom w:val="single" w:sz="4" w:space="0" w:color="auto"/>
              <w:right w:val="single" w:sz="4" w:space="0" w:color="auto"/>
            </w:tcBorders>
            <w:shd w:val="clear" w:color="auto" w:fill="auto"/>
            <w:noWrap/>
            <w:vAlign w:val="bottom"/>
            <w:hideMark/>
          </w:tcPr>
          <w:p w14:paraId="1F893333" w14:textId="77777777" w:rsidR="001D0F55" w:rsidRPr="008F3287" w:rsidRDefault="001D0F55" w:rsidP="00CA1159">
            <w:pPr>
              <w:jc w:val="center"/>
              <w:rPr>
                <w:rFonts w:ascii="Calibri" w:hAnsi="Calibri" w:cs="Calibri"/>
                <w:b/>
                <w:bCs/>
                <w:color w:val="000000"/>
                <w:sz w:val="20"/>
                <w:szCs w:val="20"/>
              </w:rPr>
            </w:pPr>
            <w:r w:rsidRPr="008F3287">
              <w:rPr>
                <w:rFonts w:ascii="Calibri" w:hAnsi="Calibri" w:cs="Calibri"/>
                <w:b/>
                <w:bCs/>
                <w:color w:val="000000"/>
                <w:sz w:val="20"/>
                <w:szCs w:val="20"/>
              </w:rPr>
              <w:t>8,803,220</w:t>
            </w:r>
          </w:p>
        </w:tc>
        <w:tc>
          <w:tcPr>
            <w:tcW w:w="2014" w:type="dxa"/>
            <w:tcBorders>
              <w:top w:val="nil"/>
              <w:left w:val="nil"/>
              <w:bottom w:val="single" w:sz="4" w:space="0" w:color="auto"/>
              <w:right w:val="single" w:sz="4" w:space="0" w:color="auto"/>
            </w:tcBorders>
            <w:shd w:val="clear" w:color="auto" w:fill="auto"/>
            <w:noWrap/>
            <w:vAlign w:val="bottom"/>
            <w:hideMark/>
          </w:tcPr>
          <w:p w14:paraId="6D7DE286" w14:textId="77777777" w:rsidR="001D0F55" w:rsidRPr="008F3287" w:rsidRDefault="001D0F55" w:rsidP="00CA1159">
            <w:pPr>
              <w:jc w:val="center"/>
              <w:rPr>
                <w:rFonts w:ascii="Calibri" w:hAnsi="Calibri" w:cs="Calibri"/>
                <w:b/>
                <w:bCs/>
                <w:color w:val="000000"/>
                <w:sz w:val="20"/>
                <w:szCs w:val="20"/>
              </w:rPr>
            </w:pPr>
            <w:r w:rsidRPr="008F3287">
              <w:rPr>
                <w:rFonts w:ascii="Calibri" w:hAnsi="Calibri" w:cs="Calibri"/>
                <w:b/>
                <w:bCs/>
                <w:color w:val="000000"/>
                <w:sz w:val="20"/>
                <w:szCs w:val="20"/>
              </w:rPr>
              <w:t>1,733,885</w:t>
            </w:r>
          </w:p>
        </w:tc>
        <w:tc>
          <w:tcPr>
            <w:tcW w:w="2194" w:type="dxa"/>
            <w:tcBorders>
              <w:top w:val="nil"/>
              <w:left w:val="nil"/>
              <w:bottom w:val="single" w:sz="4" w:space="0" w:color="auto"/>
              <w:right w:val="single" w:sz="4" w:space="0" w:color="auto"/>
            </w:tcBorders>
            <w:shd w:val="clear" w:color="auto" w:fill="auto"/>
            <w:noWrap/>
            <w:vAlign w:val="bottom"/>
            <w:hideMark/>
          </w:tcPr>
          <w:p w14:paraId="116814F6" w14:textId="77777777" w:rsidR="001D0F55" w:rsidRPr="008F3287" w:rsidRDefault="001D0F55" w:rsidP="00CA1159">
            <w:pPr>
              <w:jc w:val="center"/>
              <w:rPr>
                <w:rFonts w:ascii="Calibri" w:hAnsi="Calibri" w:cs="Calibri"/>
                <w:b/>
                <w:bCs/>
                <w:color w:val="000000"/>
                <w:sz w:val="20"/>
                <w:szCs w:val="20"/>
              </w:rPr>
            </w:pPr>
            <w:r w:rsidRPr="008F3287">
              <w:rPr>
                <w:rFonts w:ascii="Calibri" w:hAnsi="Calibri" w:cs="Calibri"/>
                <w:b/>
                <w:bCs/>
                <w:color w:val="000000"/>
                <w:sz w:val="20"/>
                <w:szCs w:val="20"/>
              </w:rPr>
              <w:t>20%</w:t>
            </w:r>
          </w:p>
        </w:tc>
      </w:tr>
      <w:tr w:rsidR="001D0F55" w:rsidRPr="008F3287" w14:paraId="473EB9BF" w14:textId="77777777" w:rsidTr="00C5681F">
        <w:trPr>
          <w:trHeight w:val="300"/>
          <w:jc w:val="center"/>
        </w:trPr>
        <w:tc>
          <w:tcPr>
            <w:tcW w:w="7285" w:type="dxa"/>
            <w:gridSpan w:val="4"/>
            <w:tcBorders>
              <w:top w:val="single" w:sz="4" w:space="0" w:color="auto"/>
              <w:left w:val="nil"/>
              <w:bottom w:val="nil"/>
              <w:right w:val="nil"/>
            </w:tcBorders>
            <w:shd w:val="clear" w:color="auto" w:fill="auto"/>
            <w:noWrap/>
            <w:vAlign w:val="bottom"/>
            <w:hideMark/>
          </w:tcPr>
          <w:p w14:paraId="44B3F805" w14:textId="77777777" w:rsidR="001D0F55" w:rsidRPr="008F3287" w:rsidRDefault="001D0F55" w:rsidP="00CA1159">
            <w:pPr>
              <w:rPr>
                <w:rFonts w:ascii="Calibri" w:hAnsi="Calibri" w:cs="Calibri"/>
                <w:color w:val="000000"/>
              </w:rPr>
            </w:pPr>
            <w:r w:rsidRPr="008F3287">
              <w:rPr>
                <w:rFonts w:ascii="Calibri" w:hAnsi="Calibri" w:cs="Calibri"/>
                <w:color w:val="000000"/>
              </w:rPr>
              <w:t> </w:t>
            </w:r>
          </w:p>
        </w:tc>
      </w:tr>
      <w:tr w:rsidR="001D0F55" w:rsidRPr="008F3287" w14:paraId="6943BDF8" w14:textId="77777777" w:rsidTr="00C5681F">
        <w:trPr>
          <w:trHeight w:val="300"/>
          <w:jc w:val="center"/>
        </w:trPr>
        <w:tc>
          <w:tcPr>
            <w:tcW w:w="7285" w:type="dxa"/>
            <w:gridSpan w:val="4"/>
            <w:tcBorders>
              <w:top w:val="nil"/>
              <w:left w:val="nil"/>
              <w:bottom w:val="nil"/>
              <w:right w:val="nil"/>
            </w:tcBorders>
            <w:shd w:val="clear" w:color="auto" w:fill="auto"/>
            <w:noWrap/>
            <w:vAlign w:val="bottom"/>
            <w:hideMark/>
          </w:tcPr>
          <w:p w14:paraId="4C68BDBC" w14:textId="77777777" w:rsidR="001D0F55" w:rsidRPr="008F3287" w:rsidRDefault="001D0F55" w:rsidP="00CA1159">
            <w:pPr>
              <w:rPr>
                <w:rFonts w:ascii="Calibri" w:hAnsi="Calibri" w:cs="Calibri"/>
                <w:b/>
                <w:bCs/>
                <w:color w:val="000000"/>
                <w:sz w:val="20"/>
                <w:szCs w:val="20"/>
              </w:rPr>
            </w:pPr>
            <w:r w:rsidRPr="008F3287">
              <w:rPr>
                <w:rFonts w:ascii="Calibri" w:hAnsi="Calibri" w:cs="Calibri"/>
                <w:b/>
                <w:bCs/>
                <w:color w:val="000000"/>
                <w:sz w:val="20"/>
                <w:szCs w:val="20"/>
              </w:rPr>
              <w:t>Key:</w:t>
            </w:r>
          </w:p>
        </w:tc>
      </w:tr>
      <w:tr w:rsidR="001D0F55" w:rsidRPr="008F3287" w14:paraId="18D8CCB5" w14:textId="77777777" w:rsidTr="00C5681F">
        <w:trPr>
          <w:trHeight w:val="300"/>
          <w:jc w:val="center"/>
        </w:trPr>
        <w:tc>
          <w:tcPr>
            <w:tcW w:w="7285" w:type="dxa"/>
            <w:gridSpan w:val="4"/>
            <w:tcBorders>
              <w:top w:val="nil"/>
              <w:left w:val="nil"/>
              <w:bottom w:val="nil"/>
              <w:right w:val="nil"/>
            </w:tcBorders>
            <w:shd w:val="clear" w:color="000000" w:fill="C5D9F1"/>
            <w:noWrap/>
            <w:vAlign w:val="bottom"/>
            <w:hideMark/>
          </w:tcPr>
          <w:p w14:paraId="66DBC9C7" w14:textId="77318FB2" w:rsidR="001D0F55" w:rsidRPr="008F3287" w:rsidRDefault="002C51AB" w:rsidP="00CA1159">
            <w:pPr>
              <w:rPr>
                <w:rFonts w:ascii="Calibri" w:hAnsi="Calibri" w:cs="Calibri"/>
                <w:color w:val="000000"/>
                <w:sz w:val="20"/>
                <w:szCs w:val="20"/>
              </w:rPr>
            </w:pPr>
            <w:r>
              <w:rPr>
                <w:rFonts w:ascii="Calibri" w:hAnsi="Calibri" w:cs="Calibri"/>
                <w:color w:val="000000"/>
                <w:sz w:val="20"/>
                <w:szCs w:val="20"/>
              </w:rPr>
              <w:t>% of SNAP recipient over</w:t>
            </w:r>
            <w:r w:rsidR="001D0F55" w:rsidRPr="008F3287">
              <w:rPr>
                <w:rFonts w:ascii="Calibri" w:hAnsi="Calibri" w:cs="Calibri"/>
                <w:color w:val="000000"/>
                <w:sz w:val="20"/>
                <w:szCs w:val="20"/>
              </w:rPr>
              <w:t xml:space="preserve"> 40%</w:t>
            </w:r>
          </w:p>
        </w:tc>
      </w:tr>
      <w:tr w:rsidR="001D0F55" w:rsidRPr="008F3287" w14:paraId="2A53F256" w14:textId="77777777" w:rsidTr="00C5681F">
        <w:trPr>
          <w:trHeight w:val="300"/>
          <w:jc w:val="center"/>
        </w:trPr>
        <w:tc>
          <w:tcPr>
            <w:tcW w:w="7285" w:type="dxa"/>
            <w:gridSpan w:val="4"/>
            <w:tcBorders>
              <w:top w:val="nil"/>
              <w:left w:val="nil"/>
              <w:bottom w:val="nil"/>
              <w:right w:val="nil"/>
            </w:tcBorders>
            <w:shd w:val="clear" w:color="auto" w:fill="C5E0B3" w:themeFill="accent6" w:themeFillTint="66"/>
            <w:noWrap/>
            <w:vAlign w:val="bottom"/>
            <w:hideMark/>
          </w:tcPr>
          <w:p w14:paraId="5032076E" w14:textId="77777777" w:rsidR="001D0F55" w:rsidRPr="008F3287" w:rsidRDefault="001D0F55" w:rsidP="00CA1159">
            <w:pPr>
              <w:rPr>
                <w:rFonts w:ascii="Calibri" w:hAnsi="Calibri" w:cs="Calibri"/>
                <w:color w:val="000000"/>
                <w:sz w:val="20"/>
                <w:szCs w:val="20"/>
              </w:rPr>
            </w:pPr>
            <w:r w:rsidRPr="008F3287">
              <w:rPr>
                <w:rFonts w:ascii="Calibri" w:hAnsi="Calibri" w:cs="Calibri"/>
                <w:color w:val="000000"/>
                <w:sz w:val="20"/>
                <w:szCs w:val="20"/>
              </w:rPr>
              <w:t>% of SNAP recipient is 30-39%</w:t>
            </w:r>
          </w:p>
        </w:tc>
      </w:tr>
      <w:tr w:rsidR="001D0F55" w:rsidRPr="008F3287" w14:paraId="04F73140" w14:textId="77777777" w:rsidTr="00C5681F">
        <w:trPr>
          <w:trHeight w:val="300"/>
          <w:jc w:val="center"/>
        </w:trPr>
        <w:tc>
          <w:tcPr>
            <w:tcW w:w="7285" w:type="dxa"/>
            <w:gridSpan w:val="4"/>
            <w:tcBorders>
              <w:top w:val="nil"/>
              <w:left w:val="nil"/>
              <w:bottom w:val="nil"/>
              <w:right w:val="nil"/>
            </w:tcBorders>
            <w:shd w:val="clear" w:color="auto" w:fill="auto"/>
            <w:noWrap/>
            <w:vAlign w:val="bottom"/>
            <w:hideMark/>
          </w:tcPr>
          <w:p w14:paraId="71848BE1" w14:textId="77777777" w:rsidR="001D0F55" w:rsidRPr="008F3287" w:rsidRDefault="001D0F55" w:rsidP="00CA1159">
            <w:pPr>
              <w:rPr>
                <w:rFonts w:ascii="Calibri" w:hAnsi="Calibri" w:cs="Calibri"/>
                <w:color w:val="000000"/>
                <w:sz w:val="20"/>
                <w:szCs w:val="20"/>
              </w:rPr>
            </w:pPr>
          </w:p>
        </w:tc>
      </w:tr>
      <w:tr w:rsidR="001D0F55" w:rsidRPr="008F3287" w14:paraId="35690D47" w14:textId="77777777" w:rsidTr="00C5681F">
        <w:trPr>
          <w:trHeight w:val="525"/>
          <w:jc w:val="center"/>
        </w:trPr>
        <w:tc>
          <w:tcPr>
            <w:tcW w:w="7285" w:type="dxa"/>
            <w:gridSpan w:val="4"/>
            <w:tcBorders>
              <w:top w:val="nil"/>
              <w:left w:val="nil"/>
              <w:bottom w:val="nil"/>
              <w:right w:val="nil"/>
            </w:tcBorders>
            <w:shd w:val="clear" w:color="auto" w:fill="auto"/>
            <w:vAlign w:val="bottom"/>
            <w:hideMark/>
          </w:tcPr>
          <w:p w14:paraId="1A291721" w14:textId="77777777" w:rsidR="001D0F55" w:rsidRPr="008F3287" w:rsidRDefault="001D0F55" w:rsidP="00CA1159">
            <w:pPr>
              <w:rPr>
                <w:rFonts w:ascii="Calibri" w:hAnsi="Calibri" w:cs="Calibri"/>
                <w:color w:val="000000"/>
                <w:sz w:val="20"/>
                <w:szCs w:val="20"/>
              </w:rPr>
            </w:pPr>
            <w:r w:rsidRPr="008F3287">
              <w:rPr>
                <w:rFonts w:ascii="Calibri" w:hAnsi="Calibri" w:cs="Calibri"/>
                <w:b/>
                <w:color w:val="000000"/>
                <w:sz w:val="20"/>
                <w:szCs w:val="20"/>
                <w:u w:val="single"/>
              </w:rPr>
              <w:t>Source:</w:t>
            </w:r>
            <w:r w:rsidRPr="008F3287">
              <w:rPr>
                <w:rFonts w:ascii="Calibri" w:hAnsi="Calibri" w:cs="Calibri"/>
                <w:color w:val="000000"/>
                <w:sz w:val="20"/>
                <w:szCs w:val="20"/>
              </w:rPr>
              <w:t xml:space="preserve"> NYC Open Data, </w:t>
            </w:r>
            <w:r>
              <w:rPr>
                <w:rFonts w:ascii="Calibri" w:hAnsi="Calibri" w:cs="Calibri"/>
                <w:color w:val="000000"/>
                <w:sz w:val="20"/>
                <w:szCs w:val="20"/>
              </w:rPr>
              <w:t>“</w:t>
            </w:r>
            <w:r w:rsidRPr="008F3287">
              <w:rPr>
                <w:rFonts w:ascii="Calibri" w:hAnsi="Calibri" w:cs="Calibri"/>
                <w:color w:val="000000"/>
                <w:sz w:val="20"/>
                <w:szCs w:val="20"/>
              </w:rPr>
              <w:t>Borough/Community District Report - SNAP Population</w:t>
            </w:r>
            <w:r>
              <w:rPr>
                <w:rFonts w:ascii="Calibri" w:hAnsi="Calibri" w:cs="Calibri"/>
                <w:color w:val="000000"/>
                <w:sz w:val="20"/>
                <w:szCs w:val="20"/>
              </w:rPr>
              <w:t>”</w:t>
            </w:r>
            <w:r w:rsidRPr="008F3287">
              <w:rPr>
                <w:rFonts w:ascii="Calibri" w:hAnsi="Calibri" w:cs="Calibri"/>
                <w:color w:val="000000"/>
                <w:sz w:val="20"/>
                <w:szCs w:val="20"/>
              </w:rPr>
              <w:t xml:space="preserve">, </w:t>
            </w:r>
            <w:r w:rsidRPr="008F3287">
              <w:rPr>
                <w:rFonts w:ascii="Calibri" w:hAnsi="Calibri" w:cs="Calibri"/>
                <w:i/>
                <w:iCs/>
                <w:color w:val="000000"/>
                <w:sz w:val="20"/>
                <w:szCs w:val="20"/>
              </w:rPr>
              <w:t>see</w:t>
            </w:r>
            <w:r w:rsidRPr="008F3287">
              <w:rPr>
                <w:rFonts w:ascii="Calibri" w:hAnsi="Calibri" w:cs="Calibri"/>
                <w:color w:val="000000"/>
                <w:sz w:val="20"/>
                <w:szCs w:val="20"/>
              </w:rPr>
              <w:t xml:space="preserve">: </w:t>
            </w:r>
            <w:hyperlink r:id="rId15" w:history="1">
              <w:r w:rsidRPr="00965BD1">
                <w:rPr>
                  <w:rStyle w:val="Hyperlink"/>
                  <w:rFonts w:ascii="Calibri" w:hAnsi="Calibri" w:cs="Calibri"/>
                  <w:sz w:val="20"/>
                  <w:szCs w:val="20"/>
                </w:rPr>
                <w:t>https://data.cityofnewyork.us/Social-Services/Borough-Community-District-Report-SNAP-Population/jye8-4d7</w:t>
              </w:r>
            </w:hyperlink>
            <w:r>
              <w:rPr>
                <w:rFonts w:ascii="Calibri" w:hAnsi="Calibri" w:cs="Calibri"/>
                <w:color w:val="000000"/>
                <w:sz w:val="20"/>
                <w:szCs w:val="20"/>
              </w:rPr>
              <w:t xml:space="preserve">. </w:t>
            </w:r>
          </w:p>
        </w:tc>
      </w:tr>
    </w:tbl>
    <w:p w14:paraId="5B86C0A7" w14:textId="3ED56A53" w:rsidR="001D0F55" w:rsidRDefault="001D0F55" w:rsidP="00EF323F">
      <w:pPr>
        <w:spacing w:line="480" w:lineRule="auto"/>
        <w:ind w:firstLine="720"/>
        <w:contextualSpacing/>
        <w:jc w:val="both"/>
        <w:rPr>
          <w:color w:val="000000"/>
        </w:rPr>
      </w:pPr>
    </w:p>
    <w:p w14:paraId="1C5CC4A7" w14:textId="36D2791C" w:rsidR="00F55EDA" w:rsidRDefault="00F55EDA" w:rsidP="00EF323F">
      <w:pPr>
        <w:spacing w:line="480" w:lineRule="auto"/>
        <w:ind w:firstLine="720"/>
        <w:contextualSpacing/>
        <w:jc w:val="both"/>
        <w:rPr>
          <w:color w:val="000000"/>
        </w:rPr>
      </w:pPr>
    </w:p>
    <w:p w14:paraId="437CFD6A" w14:textId="19EC4453" w:rsidR="00F55EDA" w:rsidRDefault="00F55EDA" w:rsidP="00EF323F">
      <w:pPr>
        <w:spacing w:line="480" w:lineRule="auto"/>
        <w:ind w:firstLine="720"/>
        <w:contextualSpacing/>
        <w:jc w:val="both"/>
        <w:rPr>
          <w:color w:val="000000"/>
        </w:rPr>
      </w:pPr>
    </w:p>
    <w:p w14:paraId="1805DDED" w14:textId="5A9A4A27" w:rsidR="00F55EDA" w:rsidRDefault="00F55EDA" w:rsidP="00EF323F">
      <w:pPr>
        <w:spacing w:line="480" w:lineRule="auto"/>
        <w:ind w:firstLine="720"/>
        <w:contextualSpacing/>
        <w:jc w:val="both"/>
        <w:rPr>
          <w:color w:val="000000"/>
        </w:rPr>
      </w:pPr>
    </w:p>
    <w:p w14:paraId="6C1B9FB2" w14:textId="3A2B9B1F" w:rsidR="00F55EDA" w:rsidRDefault="00F55EDA" w:rsidP="00EF323F">
      <w:pPr>
        <w:spacing w:line="480" w:lineRule="auto"/>
        <w:ind w:firstLine="720"/>
        <w:contextualSpacing/>
        <w:jc w:val="both"/>
        <w:rPr>
          <w:color w:val="000000"/>
        </w:rPr>
      </w:pPr>
    </w:p>
    <w:p w14:paraId="78449582" w14:textId="3DED646E" w:rsidR="00F55EDA" w:rsidRDefault="00F55EDA" w:rsidP="00F55EDA">
      <w:pPr>
        <w:pStyle w:val="NormalWeb"/>
        <w:shd w:val="clear" w:color="auto" w:fill="FFFFFF"/>
        <w:spacing w:before="0" w:beforeAutospacing="0" w:after="0" w:afterAutospacing="0"/>
        <w:jc w:val="center"/>
        <w:rPr>
          <w:color w:val="000000"/>
          <w:sz w:val="27"/>
          <w:szCs w:val="27"/>
        </w:rPr>
      </w:pPr>
      <w:r>
        <w:rPr>
          <w:color w:val="000000"/>
        </w:rPr>
        <w:t>Int. No. 945</w:t>
      </w:r>
    </w:p>
    <w:p w14:paraId="7A28A27F" w14:textId="77777777" w:rsidR="00F55EDA" w:rsidRDefault="00F55EDA" w:rsidP="00F55EDA">
      <w:pPr>
        <w:pStyle w:val="NormalWeb"/>
        <w:shd w:val="clear" w:color="auto" w:fill="FFFFFF"/>
        <w:spacing w:before="0" w:beforeAutospacing="0" w:after="0" w:afterAutospacing="0"/>
        <w:jc w:val="center"/>
        <w:rPr>
          <w:color w:val="000000"/>
          <w:sz w:val="27"/>
          <w:szCs w:val="27"/>
        </w:rPr>
      </w:pPr>
      <w:r>
        <w:rPr>
          <w:color w:val="000000"/>
        </w:rPr>
        <w:t> </w:t>
      </w:r>
    </w:p>
    <w:p w14:paraId="03EECF29" w14:textId="77777777" w:rsidR="00F55EDA" w:rsidRDefault="00F55EDA" w:rsidP="00F55EDA">
      <w:pPr>
        <w:pStyle w:val="NormalWeb"/>
        <w:shd w:val="clear" w:color="auto" w:fill="FFFFFF"/>
        <w:spacing w:before="0" w:beforeAutospacing="0" w:after="0" w:afterAutospacing="0"/>
        <w:rPr>
          <w:color w:val="000000"/>
          <w:sz w:val="27"/>
          <w:szCs w:val="27"/>
        </w:rPr>
      </w:pPr>
      <w:r>
        <w:rPr>
          <w:color w:val="000000"/>
        </w:rPr>
        <w:t>By Council Members Hudson, Brewer, Lee, Gutiérrez, Cabán, Yeger, Louis, Richardson Jordan, Abreu, Hanif, Farías, De La Rosa, Schulman, Holden, Riley and Ung</w:t>
      </w:r>
    </w:p>
    <w:p w14:paraId="7B8E1675" w14:textId="77777777" w:rsidR="00F55EDA" w:rsidRDefault="00F55EDA" w:rsidP="00F55EDA">
      <w:pPr>
        <w:pStyle w:val="NormalWeb"/>
        <w:shd w:val="clear" w:color="auto" w:fill="FFFFFF"/>
        <w:spacing w:before="0" w:beforeAutospacing="0" w:after="0" w:afterAutospacing="0"/>
        <w:jc w:val="both"/>
        <w:rPr>
          <w:color w:val="000000"/>
          <w:sz w:val="27"/>
          <w:szCs w:val="27"/>
        </w:rPr>
      </w:pPr>
      <w:r>
        <w:rPr>
          <w:color w:val="000000"/>
        </w:rPr>
        <w:t> </w:t>
      </w:r>
    </w:p>
    <w:p w14:paraId="15007A0C" w14:textId="77777777" w:rsidR="00F55EDA" w:rsidRDefault="00F55EDA" w:rsidP="00F55EDA">
      <w:pPr>
        <w:pStyle w:val="NormalWeb"/>
        <w:shd w:val="clear" w:color="auto" w:fill="FFFFFF"/>
        <w:spacing w:before="0" w:beforeAutospacing="0" w:after="0" w:afterAutospacing="0"/>
        <w:jc w:val="both"/>
        <w:rPr>
          <w:color w:val="000000"/>
          <w:sz w:val="27"/>
          <w:szCs w:val="27"/>
        </w:rPr>
      </w:pPr>
      <w:r>
        <w:rPr>
          <w:color w:val="000000"/>
        </w:rPr>
        <w:t>A Local Law to amend the administrative code of the city of New York, in relation to establishing a technical support program for older adults</w:t>
      </w:r>
    </w:p>
    <w:p w14:paraId="4E56D56E" w14:textId="77777777" w:rsidR="00F55EDA" w:rsidRDefault="00F55EDA" w:rsidP="00F55EDA">
      <w:pPr>
        <w:pStyle w:val="NormalWeb"/>
        <w:shd w:val="clear" w:color="auto" w:fill="FFFFFF"/>
        <w:spacing w:before="0" w:beforeAutospacing="0" w:after="0" w:afterAutospacing="0"/>
        <w:jc w:val="both"/>
        <w:rPr>
          <w:color w:val="000000"/>
          <w:sz w:val="27"/>
          <w:szCs w:val="27"/>
        </w:rPr>
      </w:pPr>
      <w:r>
        <w:rPr>
          <w:color w:val="000000"/>
        </w:rPr>
        <w:t> </w:t>
      </w:r>
    </w:p>
    <w:p w14:paraId="7446CA34" w14:textId="77777777" w:rsidR="00F55EDA" w:rsidRDefault="00F55EDA" w:rsidP="00F55EDA">
      <w:pPr>
        <w:pStyle w:val="NormalWeb"/>
        <w:shd w:val="clear" w:color="auto" w:fill="FFFFFF"/>
        <w:spacing w:before="0" w:beforeAutospacing="0" w:after="0" w:afterAutospacing="0"/>
        <w:jc w:val="both"/>
        <w:rPr>
          <w:color w:val="000000"/>
          <w:sz w:val="27"/>
          <w:szCs w:val="27"/>
        </w:rPr>
      </w:pPr>
      <w:r>
        <w:rPr>
          <w:color w:val="000000"/>
          <w:u w:val="single"/>
        </w:rPr>
        <w:t>Be it enacted by the Council as follows:</w:t>
      </w:r>
    </w:p>
    <w:p w14:paraId="5AC826A6" w14:textId="77777777" w:rsidR="00F55EDA" w:rsidRDefault="00F55EDA" w:rsidP="00F55EDA">
      <w:pPr>
        <w:pStyle w:val="NormalWeb"/>
        <w:shd w:val="clear" w:color="auto" w:fill="FFFFFF"/>
        <w:spacing w:before="0" w:beforeAutospacing="0" w:after="0" w:afterAutospacing="0"/>
        <w:ind w:firstLine="720"/>
        <w:jc w:val="both"/>
        <w:rPr>
          <w:color w:val="000000"/>
          <w:sz w:val="27"/>
          <w:szCs w:val="27"/>
        </w:rPr>
      </w:pPr>
      <w:r>
        <w:rPr>
          <w:color w:val="000000"/>
        </w:rPr>
        <w:t> </w:t>
      </w:r>
    </w:p>
    <w:p w14:paraId="4B7F8E96" w14:textId="77777777" w:rsidR="00F55EDA" w:rsidRDefault="00F55EDA" w:rsidP="00F55EDA">
      <w:pPr>
        <w:pStyle w:val="NormalWeb"/>
        <w:shd w:val="clear" w:color="auto" w:fill="FFFFFF"/>
        <w:spacing w:before="0" w:beforeAutospacing="0" w:after="0" w:afterAutospacing="0" w:line="480" w:lineRule="auto"/>
        <w:ind w:firstLine="720"/>
        <w:jc w:val="both"/>
        <w:rPr>
          <w:color w:val="000000"/>
          <w:sz w:val="27"/>
          <w:szCs w:val="27"/>
        </w:rPr>
      </w:pPr>
      <w:r>
        <w:rPr>
          <w:color w:val="000000"/>
        </w:rPr>
        <w:t>Section 1. Chapter 2 of title 21 of the administrative code of the city of New York is amended by adding a new section 21-210 to read as follows:</w:t>
      </w:r>
    </w:p>
    <w:p w14:paraId="778DF9FD" w14:textId="77777777" w:rsidR="00F55EDA" w:rsidRDefault="00F55EDA" w:rsidP="00F55EDA">
      <w:pPr>
        <w:pStyle w:val="NormalWeb"/>
        <w:shd w:val="clear" w:color="auto" w:fill="FFFFFF"/>
        <w:spacing w:before="0" w:beforeAutospacing="0" w:after="0" w:afterAutospacing="0" w:line="480" w:lineRule="auto"/>
        <w:ind w:firstLine="720"/>
        <w:jc w:val="both"/>
        <w:rPr>
          <w:color w:val="000000"/>
          <w:sz w:val="27"/>
          <w:szCs w:val="27"/>
        </w:rPr>
      </w:pPr>
      <w:r>
        <w:rPr>
          <w:color w:val="000000"/>
          <w:u w:val="single"/>
        </w:rPr>
        <w:t>§ 21-210 Technical support program for older adults. a. By no later than December 1, 2024, the commissioner, in collaboration with the commissioner of information technology and telecommunications and any relevant stakeholders deemed necessary by the mayor, shall develop a technical support program to serve older adults. Such program shall be offered at no cost and shall, at minimum, include the following:</w:t>
      </w:r>
    </w:p>
    <w:p w14:paraId="1CBC5586" w14:textId="77777777" w:rsidR="00F55EDA" w:rsidRDefault="00F55EDA" w:rsidP="00F55EDA">
      <w:pPr>
        <w:pStyle w:val="NormalWeb"/>
        <w:shd w:val="clear" w:color="auto" w:fill="FFFFFF"/>
        <w:spacing w:before="0" w:beforeAutospacing="0" w:after="0" w:afterAutospacing="0" w:line="480" w:lineRule="auto"/>
        <w:ind w:left="1080" w:hanging="360"/>
        <w:jc w:val="both"/>
        <w:rPr>
          <w:color w:val="000000"/>
          <w:sz w:val="27"/>
          <w:szCs w:val="27"/>
        </w:rPr>
      </w:pPr>
      <w:r>
        <w:rPr>
          <w:color w:val="000000"/>
        </w:rPr>
        <w:t>1.</w:t>
      </w:r>
      <w:r>
        <w:rPr>
          <w:color w:val="000000"/>
          <w:sz w:val="14"/>
          <w:szCs w:val="14"/>
        </w:rPr>
        <w:t>                     </w:t>
      </w:r>
      <w:r>
        <w:rPr>
          <w:color w:val="000000"/>
          <w:u w:val="single"/>
        </w:rPr>
        <w:t>Providing technical support related to the use of computers to the extent possible;</w:t>
      </w:r>
    </w:p>
    <w:p w14:paraId="0029BDD7" w14:textId="77777777" w:rsidR="00F55EDA" w:rsidRDefault="00F55EDA" w:rsidP="00F55EDA">
      <w:pPr>
        <w:pStyle w:val="NormalWeb"/>
        <w:shd w:val="clear" w:color="auto" w:fill="FFFFFF"/>
        <w:spacing w:before="0" w:beforeAutospacing="0" w:after="0" w:afterAutospacing="0" w:line="480" w:lineRule="auto"/>
        <w:ind w:left="1080" w:hanging="360"/>
        <w:jc w:val="both"/>
        <w:rPr>
          <w:color w:val="000000"/>
          <w:sz w:val="27"/>
          <w:szCs w:val="27"/>
        </w:rPr>
      </w:pPr>
      <w:r>
        <w:rPr>
          <w:color w:val="000000"/>
        </w:rPr>
        <w:t>2.</w:t>
      </w:r>
      <w:r>
        <w:rPr>
          <w:color w:val="000000"/>
          <w:sz w:val="14"/>
          <w:szCs w:val="14"/>
        </w:rPr>
        <w:t>                     </w:t>
      </w:r>
      <w:r>
        <w:rPr>
          <w:color w:val="000000"/>
          <w:u w:val="single"/>
        </w:rPr>
        <w:t>Providing technical support related to the use of phones;</w:t>
      </w:r>
    </w:p>
    <w:p w14:paraId="5C649182" w14:textId="77777777" w:rsidR="00F55EDA" w:rsidRDefault="00F55EDA" w:rsidP="00F55EDA">
      <w:pPr>
        <w:pStyle w:val="NormalWeb"/>
        <w:shd w:val="clear" w:color="auto" w:fill="FFFFFF"/>
        <w:spacing w:before="0" w:beforeAutospacing="0" w:after="0" w:afterAutospacing="0" w:line="480" w:lineRule="auto"/>
        <w:ind w:left="1080" w:hanging="360"/>
        <w:jc w:val="both"/>
        <w:rPr>
          <w:color w:val="000000"/>
          <w:sz w:val="27"/>
          <w:szCs w:val="27"/>
        </w:rPr>
      </w:pPr>
      <w:r>
        <w:rPr>
          <w:color w:val="000000"/>
        </w:rPr>
        <w:t>3.</w:t>
      </w:r>
      <w:r>
        <w:rPr>
          <w:color w:val="000000"/>
          <w:sz w:val="14"/>
          <w:szCs w:val="14"/>
        </w:rPr>
        <w:t>                     </w:t>
      </w:r>
      <w:r>
        <w:rPr>
          <w:color w:val="000000"/>
          <w:u w:val="single"/>
        </w:rPr>
        <w:t>Accessing and navigating telehealth services; and</w:t>
      </w:r>
    </w:p>
    <w:p w14:paraId="192F0F1B" w14:textId="77777777" w:rsidR="00F55EDA" w:rsidRDefault="00F55EDA" w:rsidP="00F55EDA">
      <w:pPr>
        <w:pStyle w:val="NormalWeb"/>
        <w:shd w:val="clear" w:color="auto" w:fill="FFFFFF"/>
        <w:spacing w:before="0" w:beforeAutospacing="0" w:after="0" w:afterAutospacing="0" w:line="480" w:lineRule="auto"/>
        <w:ind w:left="1080" w:hanging="360"/>
        <w:jc w:val="both"/>
        <w:rPr>
          <w:color w:val="000000"/>
          <w:sz w:val="27"/>
          <w:szCs w:val="27"/>
        </w:rPr>
      </w:pPr>
      <w:r>
        <w:rPr>
          <w:color w:val="000000"/>
        </w:rPr>
        <w:t>4.</w:t>
      </w:r>
      <w:r>
        <w:rPr>
          <w:color w:val="000000"/>
          <w:sz w:val="14"/>
          <w:szCs w:val="14"/>
        </w:rPr>
        <w:t>                     </w:t>
      </w:r>
      <w:r>
        <w:rPr>
          <w:color w:val="000000"/>
          <w:u w:val="single"/>
        </w:rPr>
        <w:t>Providing contact information for the technical support team associated with the device.</w:t>
      </w:r>
    </w:p>
    <w:p w14:paraId="3D634FBB" w14:textId="77777777" w:rsidR="00F55EDA" w:rsidRDefault="00F55EDA" w:rsidP="00F55EDA">
      <w:pPr>
        <w:pStyle w:val="NormalWeb"/>
        <w:shd w:val="clear" w:color="auto" w:fill="FFFFFF"/>
        <w:spacing w:before="0" w:beforeAutospacing="0" w:after="0" w:afterAutospacing="0" w:line="480" w:lineRule="auto"/>
        <w:ind w:firstLine="720"/>
        <w:jc w:val="both"/>
        <w:rPr>
          <w:color w:val="000000"/>
          <w:sz w:val="27"/>
          <w:szCs w:val="27"/>
        </w:rPr>
      </w:pPr>
      <w:r>
        <w:rPr>
          <w:color w:val="000000"/>
          <w:u w:val="single"/>
        </w:rPr>
        <w:t>b. The program established pursuant to subdivision a of this section shall be made available in all designated citywide languages as defined in section 23-1101.</w:t>
      </w:r>
    </w:p>
    <w:p w14:paraId="25F6995E" w14:textId="77777777" w:rsidR="00F55EDA" w:rsidRDefault="00F55EDA" w:rsidP="00F55EDA">
      <w:pPr>
        <w:pStyle w:val="NormalWeb"/>
        <w:shd w:val="clear" w:color="auto" w:fill="FFFFFF"/>
        <w:spacing w:before="0" w:beforeAutospacing="0" w:after="0" w:afterAutospacing="0" w:line="480" w:lineRule="auto"/>
        <w:ind w:firstLine="720"/>
        <w:jc w:val="both"/>
        <w:rPr>
          <w:color w:val="000000"/>
          <w:sz w:val="27"/>
          <w:szCs w:val="27"/>
        </w:rPr>
      </w:pPr>
      <w:r>
        <w:rPr>
          <w:color w:val="000000"/>
        </w:rPr>
        <w:t>§ 2. This local law takes effect immediately.</w:t>
      </w:r>
    </w:p>
    <w:p w14:paraId="00667C3A" w14:textId="77777777" w:rsidR="00F55EDA" w:rsidRDefault="00F55EDA" w:rsidP="00F55EDA">
      <w:pPr>
        <w:pStyle w:val="NormalWeb"/>
        <w:shd w:val="clear" w:color="auto" w:fill="FFFFFF"/>
        <w:spacing w:before="0" w:beforeAutospacing="0" w:after="0" w:afterAutospacing="0"/>
        <w:jc w:val="both"/>
        <w:rPr>
          <w:color w:val="000000"/>
          <w:sz w:val="27"/>
          <w:szCs w:val="27"/>
        </w:rPr>
      </w:pPr>
      <w:r>
        <w:rPr>
          <w:color w:val="000000"/>
          <w:sz w:val="18"/>
          <w:szCs w:val="18"/>
        </w:rPr>
        <w:t> </w:t>
      </w:r>
    </w:p>
    <w:p w14:paraId="76B85EB6" w14:textId="77777777" w:rsidR="00F55EDA" w:rsidRDefault="00F55EDA" w:rsidP="00F55EDA">
      <w:pPr>
        <w:pStyle w:val="NormalWeb"/>
        <w:shd w:val="clear" w:color="auto" w:fill="FFFFFF"/>
        <w:spacing w:before="0" w:beforeAutospacing="0" w:after="0" w:afterAutospacing="0"/>
        <w:jc w:val="both"/>
        <w:rPr>
          <w:color w:val="000000"/>
          <w:sz w:val="27"/>
          <w:szCs w:val="27"/>
        </w:rPr>
      </w:pPr>
      <w:r>
        <w:rPr>
          <w:color w:val="000000"/>
          <w:sz w:val="18"/>
          <w:szCs w:val="18"/>
        </w:rPr>
        <w:t> </w:t>
      </w:r>
    </w:p>
    <w:p w14:paraId="1A165B51" w14:textId="77777777" w:rsidR="00F55EDA" w:rsidRDefault="00F55EDA" w:rsidP="00F55EDA">
      <w:pPr>
        <w:pStyle w:val="NormalWeb"/>
        <w:shd w:val="clear" w:color="auto" w:fill="FFFFFF"/>
        <w:spacing w:before="0" w:beforeAutospacing="0" w:after="0" w:afterAutospacing="0"/>
        <w:jc w:val="both"/>
        <w:rPr>
          <w:color w:val="000000"/>
          <w:sz w:val="27"/>
          <w:szCs w:val="27"/>
        </w:rPr>
      </w:pPr>
      <w:r>
        <w:rPr>
          <w:color w:val="000000"/>
          <w:sz w:val="18"/>
          <w:szCs w:val="18"/>
        </w:rPr>
        <w:t> </w:t>
      </w:r>
    </w:p>
    <w:p w14:paraId="66B9E334" w14:textId="77777777" w:rsidR="00F55EDA" w:rsidRDefault="00F55EDA" w:rsidP="00F55EDA">
      <w:pPr>
        <w:pStyle w:val="NormalWeb"/>
        <w:shd w:val="clear" w:color="auto" w:fill="FFFFFF"/>
        <w:spacing w:before="0" w:beforeAutospacing="0" w:after="0" w:afterAutospacing="0"/>
        <w:jc w:val="both"/>
        <w:rPr>
          <w:color w:val="000000"/>
          <w:sz w:val="27"/>
          <w:szCs w:val="27"/>
        </w:rPr>
      </w:pPr>
      <w:r>
        <w:rPr>
          <w:color w:val="000000"/>
          <w:sz w:val="18"/>
          <w:szCs w:val="18"/>
        </w:rPr>
        <w:t>IB</w:t>
      </w:r>
    </w:p>
    <w:p w14:paraId="044E2540" w14:textId="77777777" w:rsidR="00F55EDA" w:rsidRDefault="00F55EDA" w:rsidP="00F55EDA">
      <w:pPr>
        <w:pStyle w:val="NormalWeb"/>
        <w:shd w:val="clear" w:color="auto" w:fill="FFFFFF"/>
        <w:spacing w:before="0" w:beforeAutospacing="0" w:after="0" w:afterAutospacing="0"/>
        <w:jc w:val="both"/>
        <w:rPr>
          <w:color w:val="000000"/>
          <w:sz w:val="27"/>
          <w:szCs w:val="27"/>
        </w:rPr>
      </w:pPr>
      <w:r>
        <w:rPr>
          <w:color w:val="000000"/>
          <w:sz w:val="18"/>
          <w:szCs w:val="18"/>
        </w:rPr>
        <w:t>LS #9254, 9435 and 10816</w:t>
      </w:r>
    </w:p>
    <w:p w14:paraId="44F7B62E" w14:textId="77777777" w:rsidR="00F55EDA" w:rsidRDefault="00F55EDA" w:rsidP="00F55EDA">
      <w:pPr>
        <w:pStyle w:val="NormalWeb"/>
        <w:shd w:val="clear" w:color="auto" w:fill="FFFFFF"/>
        <w:spacing w:before="0" w:beforeAutospacing="0" w:after="0" w:afterAutospacing="0"/>
        <w:rPr>
          <w:color w:val="000000"/>
          <w:sz w:val="27"/>
          <w:szCs w:val="27"/>
        </w:rPr>
      </w:pPr>
      <w:r>
        <w:rPr>
          <w:color w:val="000000"/>
          <w:sz w:val="18"/>
          <w:szCs w:val="18"/>
        </w:rPr>
        <w:t>1/5/2023</w:t>
      </w:r>
    </w:p>
    <w:p w14:paraId="35EACA6E" w14:textId="77777777" w:rsidR="00F55EDA" w:rsidRPr="00D76C81" w:rsidRDefault="00F55EDA" w:rsidP="00EF323F">
      <w:pPr>
        <w:spacing w:line="480" w:lineRule="auto"/>
        <w:ind w:firstLine="720"/>
        <w:contextualSpacing/>
        <w:jc w:val="both"/>
        <w:rPr>
          <w:color w:val="000000"/>
        </w:rPr>
      </w:pPr>
    </w:p>
    <w:sectPr w:rsidR="00F55EDA" w:rsidRPr="00D76C81" w:rsidSect="00D028F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72038B" w14:textId="77777777" w:rsidR="00514270" w:rsidRDefault="00514270" w:rsidP="00597815">
      <w:r>
        <w:separator/>
      </w:r>
    </w:p>
  </w:endnote>
  <w:endnote w:type="continuationSeparator" w:id="0">
    <w:p w14:paraId="1B78B8DF" w14:textId="77777777" w:rsidR="00514270" w:rsidRDefault="00514270" w:rsidP="005978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ヒラギノ角ゴ Pro W3">
    <w:charset w:val="4E"/>
    <w:family w:val="auto"/>
    <w:pitch w:val="variable"/>
    <w:sig w:usb0="E00002FF" w:usb1="7AC7FFFF" w:usb2="00000012" w:usb3="00000000" w:csb0="0002000D"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0C351" w14:textId="60102931" w:rsidR="005A6A21" w:rsidRPr="000B013C" w:rsidRDefault="005A6A21" w:rsidP="00AF63B3">
    <w:pPr>
      <w:pStyle w:val="Footer"/>
      <w:jc w:val="center"/>
      <w:rPr>
        <w:rFonts w:ascii="Times New Roman" w:hAnsi="Times New Roman"/>
      </w:rPr>
    </w:pPr>
    <w:r w:rsidRPr="0049563C">
      <w:rPr>
        <w:rFonts w:ascii="Times New Roman" w:hAnsi="Times New Roman"/>
      </w:rPr>
      <w:fldChar w:fldCharType="begin"/>
    </w:r>
    <w:r w:rsidRPr="0049563C">
      <w:rPr>
        <w:rFonts w:ascii="Times New Roman" w:hAnsi="Times New Roman"/>
      </w:rPr>
      <w:instrText xml:space="preserve"> PAGE   \* MERGEFORMAT </w:instrText>
    </w:r>
    <w:r w:rsidRPr="0049563C">
      <w:rPr>
        <w:rFonts w:ascii="Times New Roman" w:hAnsi="Times New Roman"/>
      </w:rPr>
      <w:fldChar w:fldCharType="separate"/>
    </w:r>
    <w:r w:rsidR="00480BBC">
      <w:rPr>
        <w:rFonts w:ascii="Times New Roman" w:hAnsi="Times New Roman"/>
        <w:noProof/>
      </w:rPr>
      <w:t>1</w:t>
    </w:r>
    <w:r w:rsidRPr="0049563C">
      <w:rPr>
        <w:rFonts w:ascii="Times New Roman" w:hAnsi="Times New Roman"/>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38AEFE" w14:textId="77777777" w:rsidR="00514270" w:rsidRDefault="00514270" w:rsidP="00597815">
      <w:r>
        <w:separator/>
      </w:r>
    </w:p>
  </w:footnote>
  <w:footnote w:type="continuationSeparator" w:id="0">
    <w:p w14:paraId="0C7E4E05" w14:textId="77777777" w:rsidR="00514270" w:rsidRDefault="00514270" w:rsidP="00597815">
      <w:r>
        <w:continuationSeparator/>
      </w:r>
    </w:p>
  </w:footnote>
  <w:footnote w:id="1">
    <w:p w14:paraId="269933F9" w14:textId="3E13CBFD" w:rsidR="005A6A21" w:rsidRPr="00DC4A8A" w:rsidRDefault="005A6A21" w:rsidP="00BE4801">
      <w:pPr>
        <w:pStyle w:val="FootnoteText"/>
        <w:rPr>
          <w:rFonts w:ascii="Times New Roman" w:hAnsi="Times New Roman" w:cs="Times New Roman"/>
        </w:rPr>
      </w:pPr>
      <w:r w:rsidRPr="00DC4A8A">
        <w:rPr>
          <w:rStyle w:val="FootnoteReference"/>
          <w:rFonts w:ascii="Times New Roman" w:hAnsi="Times New Roman" w:cs="Times New Roman"/>
        </w:rPr>
        <w:footnoteRef/>
      </w:r>
      <w:r w:rsidRPr="00DC4A8A">
        <w:rPr>
          <w:rFonts w:ascii="Times New Roman" w:hAnsi="Times New Roman" w:cs="Times New Roman"/>
        </w:rPr>
        <w:t xml:space="preserve"> National Coalition for the Homeless, “Hunger and Food Insecurity,” (Nov. 2011), </w:t>
      </w:r>
      <w:r w:rsidRPr="00DC4A8A">
        <w:rPr>
          <w:rFonts w:ascii="Times New Roman" w:hAnsi="Times New Roman" w:cs="Times New Roman"/>
          <w:i/>
        </w:rPr>
        <w:t>available at</w:t>
      </w:r>
      <w:r w:rsidRPr="00DC4A8A">
        <w:rPr>
          <w:rFonts w:ascii="Times New Roman" w:hAnsi="Times New Roman" w:cs="Times New Roman"/>
        </w:rPr>
        <w:t xml:space="preserve"> </w:t>
      </w:r>
      <w:hyperlink r:id="rId1" w:history="1">
        <w:r w:rsidRPr="00DC4A8A">
          <w:rPr>
            <w:rStyle w:val="Hyperlink"/>
            <w:rFonts w:ascii="Times New Roman" w:hAnsi="Times New Roman" w:cs="Times New Roman"/>
          </w:rPr>
          <w:t>http://www.nationalhomeless.org/factsheets/hunger.html</w:t>
        </w:r>
      </w:hyperlink>
      <w:r w:rsidRPr="00DC4A8A">
        <w:rPr>
          <w:rFonts w:ascii="Times New Roman" w:hAnsi="Times New Roman" w:cs="Times New Roman"/>
        </w:rPr>
        <w:t xml:space="preserve"> (last visited Apr. 5, 2023).</w:t>
      </w:r>
    </w:p>
  </w:footnote>
  <w:footnote w:id="2">
    <w:p w14:paraId="5E6B969F" w14:textId="18857198" w:rsidR="005A6A21" w:rsidRPr="00DC4A8A" w:rsidRDefault="005A6A21" w:rsidP="00BE4801">
      <w:pPr>
        <w:pStyle w:val="FootnoteText"/>
        <w:rPr>
          <w:rFonts w:ascii="Times New Roman" w:hAnsi="Times New Roman" w:cs="Times New Roman"/>
        </w:rPr>
      </w:pPr>
      <w:r w:rsidRPr="00DC4A8A">
        <w:rPr>
          <w:rStyle w:val="FootnoteReference"/>
          <w:rFonts w:ascii="Times New Roman" w:hAnsi="Times New Roman" w:cs="Times New Roman"/>
        </w:rPr>
        <w:footnoteRef/>
      </w:r>
      <w:r w:rsidRPr="00DC4A8A">
        <w:rPr>
          <w:rFonts w:ascii="Times New Roman" w:hAnsi="Times New Roman" w:cs="Times New Roman"/>
          <w:i/>
        </w:rPr>
        <w:t xml:space="preserve"> Id. </w:t>
      </w:r>
    </w:p>
  </w:footnote>
  <w:footnote w:id="3">
    <w:p w14:paraId="73C75C5F" w14:textId="52638F09" w:rsidR="005A6A21" w:rsidRPr="00DC4A8A" w:rsidRDefault="005A6A21">
      <w:pPr>
        <w:pStyle w:val="FootnoteText"/>
        <w:rPr>
          <w:rFonts w:ascii="Times New Roman" w:hAnsi="Times New Roman" w:cs="Times New Roman"/>
        </w:rPr>
      </w:pPr>
      <w:r w:rsidRPr="00DC4A8A">
        <w:rPr>
          <w:rStyle w:val="FootnoteReference"/>
          <w:rFonts w:ascii="Times New Roman" w:hAnsi="Times New Roman" w:cs="Times New Roman"/>
        </w:rPr>
        <w:footnoteRef/>
      </w:r>
      <w:r w:rsidRPr="00DC4A8A">
        <w:rPr>
          <w:rFonts w:ascii="Times New Roman" w:hAnsi="Times New Roman" w:cs="Times New Roman"/>
        </w:rPr>
        <w:t xml:space="preserve"> The State of Poverty and Disadvantage in New York City, Vol. 5 (Winter 2023), Poverty Tracker and Columbia University Center on Poverty and Social Policy, and Robinhood (last visited Apr. 4, 2023) available at, </w:t>
      </w:r>
      <w:hyperlink r:id="rId2" w:history="1">
        <w:r w:rsidRPr="00DC4A8A">
          <w:rPr>
            <w:rStyle w:val="Hyperlink"/>
            <w:rFonts w:ascii="Times New Roman" w:hAnsi="Times New Roman" w:cs="Times New Roman"/>
          </w:rPr>
          <w:t>https://www.robinhood.org/wp-content/themes/robinhood/images/poverty-tracker/pdfs/POVERTY_TRACKER_REPORT38.pdf</w:t>
        </w:r>
      </w:hyperlink>
      <w:r w:rsidRPr="00DC4A8A">
        <w:rPr>
          <w:rFonts w:ascii="Times New Roman" w:hAnsi="Times New Roman" w:cs="Times New Roman"/>
        </w:rPr>
        <w:t>, (last visited Apr. 6, 2023)</w:t>
      </w:r>
    </w:p>
  </w:footnote>
  <w:footnote w:id="4">
    <w:p w14:paraId="607E3052" w14:textId="67C44BB2" w:rsidR="005A6A21" w:rsidRPr="00DC4A8A" w:rsidRDefault="005A6A21" w:rsidP="00BE4801">
      <w:pPr>
        <w:pStyle w:val="FootnoteText"/>
        <w:rPr>
          <w:rFonts w:ascii="Times New Roman" w:hAnsi="Times New Roman" w:cs="Times New Roman"/>
        </w:rPr>
      </w:pPr>
      <w:r w:rsidRPr="00DC4A8A">
        <w:rPr>
          <w:rStyle w:val="FootnoteReference"/>
          <w:rFonts w:ascii="Times New Roman" w:hAnsi="Times New Roman" w:cs="Times New Roman"/>
        </w:rPr>
        <w:footnoteRef/>
      </w:r>
      <w:r w:rsidRPr="00DC4A8A">
        <w:rPr>
          <w:rFonts w:ascii="Times New Roman" w:hAnsi="Times New Roman" w:cs="Times New Roman"/>
        </w:rPr>
        <w:t xml:space="preserve"> The State of Poverty and Disadvantage in New York City, Vol. 3 (Winter 2023), Poverty Tracker and Columbia University Center on Poverty and Social Policy, and Robinhood (last visited Apr. 4, 2023) available at, </w:t>
      </w:r>
      <w:hyperlink r:id="rId3" w:history="1">
        <w:r w:rsidRPr="00DC4A8A">
          <w:rPr>
            <w:rStyle w:val="Hyperlink"/>
            <w:rFonts w:ascii="Times New Roman" w:hAnsi="Times New Roman" w:cs="Times New Roman"/>
          </w:rPr>
          <w:t>https://static1.squarespace.com/static/610831a16c95260dbd68934a/t/6113f3b27a11e63e811521a9/1628697527573/POVERTY_TRACKER_REPORT25.pdf</w:t>
        </w:r>
      </w:hyperlink>
      <w:r w:rsidRPr="00DC4A8A">
        <w:rPr>
          <w:rFonts w:ascii="Times New Roman" w:hAnsi="Times New Roman" w:cs="Times New Roman"/>
        </w:rPr>
        <w:t xml:space="preserve"> </w:t>
      </w:r>
    </w:p>
  </w:footnote>
  <w:footnote w:id="5">
    <w:p w14:paraId="64109C78" w14:textId="16ED2C5B" w:rsidR="005A6A21" w:rsidRPr="00DC4A8A" w:rsidRDefault="005A6A21" w:rsidP="00BE4801">
      <w:pPr>
        <w:pStyle w:val="FootnoteText"/>
        <w:rPr>
          <w:rFonts w:ascii="Times New Roman" w:hAnsi="Times New Roman" w:cs="Times New Roman"/>
        </w:rPr>
      </w:pPr>
      <w:r w:rsidRPr="00DC4A8A">
        <w:rPr>
          <w:rStyle w:val="FootnoteReference"/>
          <w:rFonts w:ascii="Times New Roman" w:hAnsi="Times New Roman" w:cs="Times New Roman"/>
        </w:rPr>
        <w:footnoteRef/>
      </w:r>
      <w:r w:rsidRPr="00DC4A8A">
        <w:rPr>
          <w:rFonts w:ascii="Times New Roman" w:hAnsi="Times New Roman" w:cs="Times New Roman"/>
        </w:rPr>
        <w:t xml:space="preserve"> United States Census Bureau, “Quick Facts” </w:t>
      </w:r>
      <w:r w:rsidRPr="00DC4A8A">
        <w:rPr>
          <w:rFonts w:ascii="Times New Roman" w:hAnsi="Times New Roman" w:cs="Times New Roman"/>
          <w:i/>
        </w:rPr>
        <w:t>available at</w:t>
      </w:r>
      <w:r w:rsidRPr="00DC4A8A">
        <w:rPr>
          <w:rFonts w:ascii="Times New Roman" w:hAnsi="Times New Roman" w:cs="Times New Roman"/>
        </w:rPr>
        <w:t xml:space="preserve"> </w:t>
      </w:r>
      <w:hyperlink r:id="rId4" w:anchor="IPE120221" w:history="1">
        <w:r w:rsidRPr="00DC4A8A">
          <w:rPr>
            <w:rStyle w:val="Hyperlink"/>
            <w:rFonts w:ascii="Times New Roman" w:hAnsi="Times New Roman" w:cs="Times New Roman"/>
          </w:rPr>
          <w:t>https://www.census.gov/quickfacts/fact/table/NY/IPE120221#IPE120221</w:t>
        </w:r>
      </w:hyperlink>
      <w:r>
        <w:rPr>
          <w:rFonts w:ascii="Times New Roman" w:hAnsi="Times New Roman" w:cs="Times New Roman"/>
        </w:rPr>
        <w:t xml:space="preserve"> </w:t>
      </w:r>
      <w:r w:rsidRPr="00DC4A8A">
        <w:rPr>
          <w:rFonts w:ascii="Times New Roman" w:hAnsi="Times New Roman" w:cs="Times New Roman"/>
        </w:rPr>
        <w:t>(last visited Arp. 4, 2023).</w:t>
      </w:r>
    </w:p>
  </w:footnote>
  <w:footnote w:id="6">
    <w:p w14:paraId="6C4F89E6" w14:textId="60726F61" w:rsidR="005A6A21" w:rsidRPr="00DC4A8A" w:rsidRDefault="005A6A21" w:rsidP="00BE4801">
      <w:pPr>
        <w:pStyle w:val="FootnoteText"/>
        <w:rPr>
          <w:rFonts w:ascii="Times New Roman" w:hAnsi="Times New Roman" w:cs="Times New Roman"/>
        </w:rPr>
      </w:pPr>
      <w:r w:rsidRPr="00DC4A8A">
        <w:rPr>
          <w:rStyle w:val="FootnoteReference"/>
          <w:rFonts w:ascii="Times New Roman" w:hAnsi="Times New Roman" w:cs="Times New Roman"/>
        </w:rPr>
        <w:footnoteRef/>
      </w:r>
      <w:r w:rsidRPr="00DC4A8A">
        <w:rPr>
          <w:rFonts w:ascii="Times New Roman" w:hAnsi="Times New Roman" w:cs="Times New Roman"/>
        </w:rPr>
        <w:t xml:space="preserve"> New York City Mayor’s Office for Economic Opportunity, “New York City Government Poverty Measure, 2019, An Annual report from the Office of the Mayor,”</w:t>
      </w:r>
      <w:r w:rsidRPr="00DC4A8A">
        <w:rPr>
          <w:rFonts w:ascii="Times New Roman" w:hAnsi="Times New Roman" w:cs="Times New Roman"/>
          <w:i/>
          <w:sz w:val="22"/>
          <w:szCs w:val="22"/>
        </w:rPr>
        <w:t xml:space="preserve"> </w:t>
      </w:r>
      <w:r w:rsidRPr="00DC4A8A">
        <w:rPr>
          <w:rFonts w:ascii="Times New Roman" w:hAnsi="Times New Roman" w:cs="Times New Roman"/>
          <w:i/>
        </w:rPr>
        <w:t>available at</w:t>
      </w:r>
      <w:r w:rsidRPr="00DC4A8A">
        <w:rPr>
          <w:rFonts w:ascii="Times New Roman" w:hAnsi="Times New Roman" w:cs="Times New Roman"/>
        </w:rPr>
        <w:t xml:space="preserve"> </w:t>
      </w:r>
      <w:hyperlink r:id="rId5" w:history="1">
        <w:r w:rsidRPr="00DC4A8A">
          <w:rPr>
            <w:rStyle w:val="Hyperlink"/>
            <w:rFonts w:ascii="Times New Roman" w:hAnsi="Times New Roman" w:cs="Times New Roman"/>
          </w:rPr>
          <w:t>https://www.nyc.gov/assets/opportunity/pdf/21_poverty_measure_report.pdf</w:t>
        </w:r>
      </w:hyperlink>
      <w:r w:rsidRPr="00DC4A8A">
        <w:rPr>
          <w:rFonts w:ascii="Times New Roman" w:hAnsi="Times New Roman" w:cs="Times New Roman"/>
        </w:rPr>
        <w:t xml:space="preserve"> (last visited Apr. 4, 2023) </w:t>
      </w:r>
    </w:p>
  </w:footnote>
  <w:footnote w:id="7">
    <w:p w14:paraId="426A2262" w14:textId="2149CEB2" w:rsidR="005A6A21" w:rsidRPr="00DC4A8A" w:rsidRDefault="005A6A21" w:rsidP="00BE4801">
      <w:pPr>
        <w:pStyle w:val="FootnoteText"/>
        <w:rPr>
          <w:rFonts w:ascii="Times New Roman" w:hAnsi="Times New Roman" w:cs="Times New Roman"/>
        </w:rPr>
      </w:pPr>
      <w:r w:rsidRPr="00DC4A8A">
        <w:rPr>
          <w:rStyle w:val="FootnoteReference"/>
          <w:rFonts w:ascii="Times New Roman" w:hAnsi="Times New Roman" w:cs="Times New Roman"/>
        </w:rPr>
        <w:footnoteRef/>
      </w:r>
      <w:r w:rsidRPr="00DC4A8A">
        <w:rPr>
          <w:rFonts w:ascii="Times New Roman" w:hAnsi="Times New Roman" w:cs="Times New Roman"/>
        </w:rPr>
        <w:t xml:space="preserve">New York City Government Poverty Measure, </w:t>
      </w:r>
      <w:r w:rsidRPr="00DC4A8A">
        <w:rPr>
          <w:rFonts w:ascii="Times New Roman" w:hAnsi="Times New Roman" w:cs="Times New Roman"/>
          <w:i/>
          <w:iCs/>
        </w:rPr>
        <w:t>supra</w:t>
      </w:r>
      <w:r w:rsidRPr="00DC4A8A">
        <w:rPr>
          <w:rFonts w:ascii="Times New Roman" w:hAnsi="Times New Roman" w:cs="Times New Roman"/>
        </w:rPr>
        <w:t xml:space="preserve"> note 6. </w:t>
      </w:r>
    </w:p>
  </w:footnote>
  <w:footnote w:id="8">
    <w:p w14:paraId="3C6B64AA" w14:textId="278B33BE" w:rsidR="005A6A21" w:rsidRPr="00DC4A8A" w:rsidRDefault="005A6A21" w:rsidP="00634660">
      <w:pPr>
        <w:pStyle w:val="FootnoteText"/>
        <w:jc w:val="both"/>
        <w:rPr>
          <w:rFonts w:ascii="Times New Roman" w:hAnsi="Times New Roman" w:cs="Times New Roman"/>
        </w:rPr>
      </w:pPr>
      <w:r w:rsidRPr="00DC4A8A">
        <w:rPr>
          <w:rStyle w:val="FootnoteReference"/>
          <w:rFonts w:ascii="Times New Roman" w:hAnsi="Times New Roman" w:cs="Times New Roman"/>
        </w:rPr>
        <w:footnoteRef/>
      </w:r>
      <w:r w:rsidRPr="00DC4A8A">
        <w:rPr>
          <w:rFonts w:ascii="Times New Roman" w:hAnsi="Times New Roman" w:cs="Times New Roman"/>
        </w:rPr>
        <w:t xml:space="preserve"> United States Department of Agriculture, “Household Food Security in the United States in 2021” (September 2022) at 6. </w:t>
      </w:r>
      <w:r w:rsidRPr="00DC4A8A">
        <w:rPr>
          <w:rFonts w:ascii="Times New Roman" w:hAnsi="Times New Roman" w:cs="Times New Roman"/>
          <w:i/>
        </w:rPr>
        <w:t>available at</w:t>
      </w:r>
      <w:r w:rsidRPr="00DC4A8A">
        <w:rPr>
          <w:rFonts w:ascii="Times New Roman" w:hAnsi="Times New Roman" w:cs="Times New Roman"/>
        </w:rPr>
        <w:t xml:space="preserve"> </w:t>
      </w:r>
      <w:hyperlink r:id="rId6" w:history="1">
        <w:r w:rsidRPr="00DC4A8A">
          <w:rPr>
            <w:rStyle w:val="Hyperlink"/>
            <w:rFonts w:ascii="Times New Roman" w:hAnsi="Times New Roman" w:cs="Times New Roman"/>
          </w:rPr>
          <w:t>https://www.ers.usda.gov/webdocs/publications/104656/err-309.pdf?v=3913.5</w:t>
        </w:r>
      </w:hyperlink>
      <w:r w:rsidRPr="00DC4A8A">
        <w:rPr>
          <w:rFonts w:ascii="Times New Roman" w:hAnsi="Times New Roman" w:cs="Times New Roman"/>
        </w:rPr>
        <w:t xml:space="preserve"> (last visited Apr. 4, 2023) </w:t>
      </w:r>
    </w:p>
  </w:footnote>
  <w:footnote w:id="9">
    <w:p w14:paraId="7F01B37D" w14:textId="0F376832" w:rsidR="005A6A21" w:rsidRPr="00DC4A8A" w:rsidRDefault="005A6A21" w:rsidP="00634660">
      <w:pPr>
        <w:pStyle w:val="FootnoteText"/>
        <w:rPr>
          <w:rFonts w:ascii="Times New Roman" w:hAnsi="Times New Roman" w:cs="Times New Roman"/>
        </w:rPr>
      </w:pPr>
      <w:r w:rsidRPr="00DC4A8A">
        <w:rPr>
          <w:rStyle w:val="FootnoteReference"/>
          <w:rFonts w:ascii="Times New Roman" w:hAnsi="Times New Roman" w:cs="Times New Roman"/>
        </w:rPr>
        <w:footnoteRef/>
      </w:r>
      <w:r w:rsidRPr="00DC4A8A">
        <w:rPr>
          <w:rFonts w:ascii="Times New Roman" w:hAnsi="Times New Roman" w:cs="Times New Roman"/>
        </w:rPr>
        <w:t xml:space="preserve"> </w:t>
      </w:r>
      <w:r w:rsidRPr="00DC4A8A">
        <w:rPr>
          <w:rFonts w:ascii="Times New Roman" w:hAnsi="Times New Roman" w:cs="Times New Roman"/>
          <w:i/>
        </w:rPr>
        <w:t>Id</w:t>
      </w:r>
      <w:r w:rsidRPr="00DC4A8A">
        <w:rPr>
          <w:rFonts w:ascii="Times New Roman" w:hAnsi="Times New Roman" w:cs="Times New Roman"/>
        </w:rPr>
        <w:t>. at 3.</w:t>
      </w:r>
    </w:p>
  </w:footnote>
  <w:footnote w:id="10">
    <w:p w14:paraId="4C6AE87C" w14:textId="1C4F950C" w:rsidR="005A6A21" w:rsidRPr="00DC4A8A" w:rsidRDefault="005A6A21" w:rsidP="00172A6F">
      <w:pPr>
        <w:pStyle w:val="FootnoteText"/>
        <w:rPr>
          <w:rFonts w:ascii="Times New Roman" w:hAnsi="Times New Roman" w:cs="Times New Roman"/>
        </w:rPr>
      </w:pPr>
      <w:r w:rsidRPr="00DC4A8A">
        <w:rPr>
          <w:rStyle w:val="FootnoteReference"/>
          <w:rFonts w:ascii="Times New Roman" w:hAnsi="Times New Roman" w:cs="Times New Roman"/>
        </w:rPr>
        <w:footnoteRef/>
      </w:r>
      <w:r w:rsidRPr="00DC4A8A">
        <w:rPr>
          <w:rFonts w:ascii="Times New Roman" w:hAnsi="Times New Roman" w:cs="Times New Roman"/>
        </w:rPr>
        <w:t xml:space="preserve"> NYC Food Policy, “Food Metrics Report 2022 ” at 8, </w:t>
      </w:r>
      <w:r w:rsidRPr="00DC4A8A">
        <w:rPr>
          <w:rFonts w:ascii="Times New Roman" w:hAnsi="Times New Roman" w:cs="Times New Roman"/>
          <w:i/>
        </w:rPr>
        <w:t>available at</w:t>
      </w:r>
      <w:r w:rsidRPr="00DC4A8A">
        <w:rPr>
          <w:rFonts w:ascii="Times New Roman" w:hAnsi="Times New Roman" w:cs="Times New Roman"/>
        </w:rPr>
        <w:t xml:space="preserve"> </w:t>
      </w:r>
      <w:hyperlink r:id="rId7" w:history="1">
        <w:r w:rsidRPr="00DC4A8A">
          <w:rPr>
            <w:rStyle w:val="Hyperlink"/>
            <w:rFonts w:ascii="Times New Roman" w:hAnsi="Times New Roman" w:cs="Times New Roman"/>
          </w:rPr>
          <w:t>https://www.nyc.gov/assets/foodpolicy/downloads/pdf/Food%20Metrics%20Report%20FY%202022_FINAL.pdf</w:t>
        </w:r>
      </w:hyperlink>
      <w:r w:rsidRPr="00DC4A8A">
        <w:rPr>
          <w:rFonts w:ascii="Times New Roman" w:hAnsi="Times New Roman" w:cs="Times New Roman"/>
        </w:rPr>
        <w:t xml:space="preserve"> (last visited Apr. 4, 2023) </w:t>
      </w:r>
    </w:p>
  </w:footnote>
  <w:footnote w:id="11">
    <w:p w14:paraId="790FA42D" w14:textId="4A21773C" w:rsidR="005A6A21" w:rsidRPr="00DC4A8A" w:rsidRDefault="005A6A21">
      <w:pPr>
        <w:pStyle w:val="FootnoteText"/>
        <w:rPr>
          <w:rFonts w:ascii="Times New Roman" w:hAnsi="Times New Roman" w:cs="Times New Roman"/>
        </w:rPr>
      </w:pPr>
      <w:r w:rsidRPr="00DC4A8A">
        <w:rPr>
          <w:rStyle w:val="FootnoteReference"/>
          <w:rFonts w:ascii="Times New Roman" w:hAnsi="Times New Roman" w:cs="Times New Roman"/>
        </w:rPr>
        <w:footnoteRef/>
      </w:r>
      <w:r w:rsidRPr="00DC4A8A">
        <w:rPr>
          <w:rFonts w:ascii="Times New Roman" w:hAnsi="Times New Roman" w:cs="Times New Roman"/>
        </w:rPr>
        <w:t xml:space="preserve"> </w:t>
      </w:r>
      <w:r w:rsidRPr="00DC4A8A">
        <w:rPr>
          <w:rFonts w:ascii="Times New Roman" w:hAnsi="Times New Roman" w:cs="Times New Roman"/>
          <w:i/>
        </w:rPr>
        <w:t>Id.</w:t>
      </w:r>
      <w:r w:rsidRPr="00DC4A8A">
        <w:rPr>
          <w:rFonts w:ascii="Times New Roman" w:hAnsi="Times New Roman" w:cs="Times New Roman"/>
        </w:rPr>
        <w:t xml:space="preserve"> </w:t>
      </w:r>
    </w:p>
  </w:footnote>
  <w:footnote w:id="12">
    <w:p w14:paraId="3C65C1AD" w14:textId="6BFE8299" w:rsidR="005A6A21" w:rsidRPr="00DC4A8A" w:rsidRDefault="005A6A21" w:rsidP="00172A6F">
      <w:pPr>
        <w:pStyle w:val="FootnoteText"/>
        <w:rPr>
          <w:rFonts w:ascii="Times New Roman" w:hAnsi="Times New Roman" w:cs="Times New Roman"/>
          <w:b/>
        </w:rPr>
      </w:pPr>
      <w:r w:rsidRPr="00DC4A8A">
        <w:rPr>
          <w:rStyle w:val="FootnoteReference"/>
          <w:rFonts w:ascii="Times New Roman" w:hAnsi="Times New Roman" w:cs="Times New Roman"/>
        </w:rPr>
        <w:footnoteRef/>
      </w:r>
      <w:r w:rsidRPr="00DC4A8A">
        <w:rPr>
          <w:rFonts w:ascii="Times New Roman" w:hAnsi="Times New Roman" w:cs="Times New Roman"/>
        </w:rPr>
        <w:t xml:space="preserve"> Food Bank for New York City, “Fast Facts,” </w:t>
      </w:r>
      <w:r w:rsidRPr="00DC4A8A">
        <w:rPr>
          <w:rFonts w:ascii="Times New Roman" w:hAnsi="Times New Roman" w:cs="Times New Roman"/>
          <w:i/>
        </w:rPr>
        <w:t>available at</w:t>
      </w:r>
      <w:r w:rsidRPr="00DC4A8A">
        <w:rPr>
          <w:rFonts w:ascii="Times New Roman" w:hAnsi="Times New Roman" w:cs="Times New Roman"/>
        </w:rPr>
        <w:t xml:space="preserve"> </w:t>
      </w:r>
      <w:hyperlink r:id="rId8" w:history="1">
        <w:r w:rsidRPr="00DC4A8A">
          <w:rPr>
            <w:rStyle w:val="Hyperlink"/>
            <w:rFonts w:ascii="Times New Roman" w:hAnsi="Times New Roman" w:cs="Times New Roman"/>
          </w:rPr>
          <w:t>https://www.foodbanknyc.org/research-reports/</w:t>
        </w:r>
      </w:hyperlink>
      <w:r w:rsidRPr="00DC4A8A">
        <w:rPr>
          <w:rFonts w:ascii="Times New Roman" w:hAnsi="Times New Roman" w:cs="Times New Roman"/>
        </w:rPr>
        <w:t xml:space="preserve"> (last visited Apr. 6, 2023). </w:t>
      </w:r>
    </w:p>
  </w:footnote>
  <w:footnote w:id="13">
    <w:p w14:paraId="26C3E184" w14:textId="5D52B5CC" w:rsidR="005A6A21" w:rsidRPr="00DC4A8A" w:rsidRDefault="005A6A21" w:rsidP="00172A6F">
      <w:pPr>
        <w:pStyle w:val="FootnoteText"/>
        <w:rPr>
          <w:rFonts w:ascii="Times New Roman" w:hAnsi="Times New Roman" w:cs="Times New Roman"/>
        </w:rPr>
      </w:pPr>
      <w:r w:rsidRPr="00DC4A8A">
        <w:rPr>
          <w:rStyle w:val="FootnoteReference"/>
          <w:rFonts w:ascii="Times New Roman" w:hAnsi="Times New Roman" w:cs="Times New Roman"/>
        </w:rPr>
        <w:footnoteRef/>
      </w:r>
      <w:r w:rsidRPr="00DC4A8A">
        <w:rPr>
          <w:rFonts w:ascii="Times New Roman" w:hAnsi="Times New Roman" w:cs="Times New Roman"/>
        </w:rPr>
        <w:t xml:space="preserve"> Feeding America, “What Hunger Looks Like in New York,” </w:t>
      </w:r>
      <w:r w:rsidRPr="00DC4A8A">
        <w:rPr>
          <w:rFonts w:ascii="Times New Roman" w:hAnsi="Times New Roman" w:cs="Times New Roman"/>
          <w:i/>
          <w:iCs/>
        </w:rPr>
        <w:t>available at</w:t>
      </w:r>
      <w:r w:rsidRPr="00DC4A8A">
        <w:rPr>
          <w:rFonts w:ascii="Times New Roman" w:hAnsi="Times New Roman" w:cs="Times New Roman"/>
        </w:rPr>
        <w:t xml:space="preserve"> </w:t>
      </w:r>
      <w:hyperlink r:id="rId9" w:history="1">
        <w:r w:rsidRPr="00DC4A8A">
          <w:rPr>
            <w:rStyle w:val="Hyperlink"/>
            <w:rFonts w:ascii="Times New Roman" w:hAnsi="Times New Roman" w:cs="Times New Roman"/>
          </w:rPr>
          <w:t>https://www.feedingamerica.org/hunger-in-america/new-york</w:t>
        </w:r>
      </w:hyperlink>
      <w:r w:rsidRPr="00DC4A8A">
        <w:rPr>
          <w:rFonts w:ascii="Times New Roman" w:hAnsi="Times New Roman" w:cs="Times New Roman"/>
        </w:rPr>
        <w:t xml:space="preserve"> (last visited Apr. 4, 2023). Data from Feeding America’s Map the Meal Gap 2020 study.</w:t>
      </w:r>
    </w:p>
  </w:footnote>
  <w:footnote w:id="14">
    <w:p w14:paraId="43AF4C5C" w14:textId="1F739209" w:rsidR="005A6A21" w:rsidRPr="00DC4A8A" w:rsidRDefault="005A6A21" w:rsidP="00172A6F">
      <w:pPr>
        <w:pStyle w:val="FootnoteText"/>
        <w:rPr>
          <w:rFonts w:ascii="Times New Roman" w:hAnsi="Times New Roman" w:cs="Times New Roman"/>
        </w:rPr>
      </w:pPr>
      <w:r w:rsidRPr="00DC4A8A">
        <w:rPr>
          <w:rStyle w:val="FootnoteReference"/>
          <w:rFonts w:ascii="Times New Roman" w:hAnsi="Times New Roman" w:cs="Times New Roman"/>
        </w:rPr>
        <w:footnoteRef/>
      </w:r>
      <w:r w:rsidRPr="00DC4A8A">
        <w:rPr>
          <w:rFonts w:ascii="Times New Roman" w:hAnsi="Times New Roman" w:cs="Times New Roman"/>
        </w:rPr>
        <w:t xml:space="preserve"> Food Bank for New York Ci</w:t>
      </w:r>
      <w:r>
        <w:rPr>
          <w:rFonts w:ascii="Times New Roman" w:hAnsi="Times New Roman" w:cs="Times New Roman"/>
        </w:rPr>
        <w:t xml:space="preserve">ty, “Fast Facts,” available at </w:t>
      </w:r>
      <w:hyperlink r:id="rId10" w:anchor="lqd-1649893215163-8614facb-f189" w:history="1">
        <w:r w:rsidRPr="00DC4A8A">
          <w:rPr>
            <w:rStyle w:val="Hyperlink"/>
            <w:rFonts w:ascii="Times New Roman" w:hAnsi="Times New Roman" w:cs="Times New Roman"/>
            <w:i/>
            <w:iCs/>
          </w:rPr>
          <w:t>https://www.foodbanknyc.org/research-reports/#lqd-1649893215163-8614facb-f189</w:t>
        </w:r>
      </w:hyperlink>
      <w:r w:rsidRPr="00DC4A8A">
        <w:rPr>
          <w:rFonts w:ascii="Times New Roman" w:hAnsi="Times New Roman" w:cs="Times New Roman"/>
          <w:i/>
          <w:iCs/>
        </w:rPr>
        <w:t xml:space="preserve"> </w:t>
      </w:r>
      <w:r w:rsidRPr="00DC4A8A">
        <w:rPr>
          <w:rFonts w:ascii="Times New Roman" w:hAnsi="Times New Roman" w:cs="Times New Roman"/>
        </w:rPr>
        <w:t>(last visited, Apr. 6, 2023)</w:t>
      </w:r>
    </w:p>
  </w:footnote>
  <w:footnote w:id="15">
    <w:p w14:paraId="21B651FD" w14:textId="467A449B" w:rsidR="005A6A21" w:rsidRPr="00DC4A8A" w:rsidRDefault="005A6A21">
      <w:pPr>
        <w:pStyle w:val="FootnoteText"/>
        <w:rPr>
          <w:rFonts w:ascii="Times New Roman" w:hAnsi="Times New Roman" w:cs="Times New Roman"/>
        </w:rPr>
      </w:pPr>
      <w:r w:rsidRPr="00DC4A8A">
        <w:rPr>
          <w:rStyle w:val="FootnoteReference"/>
          <w:rFonts w:ascii="Times New Roman" w:hAnsi="Times New Roman" w:cs="Times New Roman"/>
        </w:rPr>
        <w:footnoteRef/>
      </w:r>
      <w:r>
        <w:rPr>
          <w:rFonts w:ascii="Times New Roman" w:hAnsi="Times New Roman" w:cs="Times New Roman"/>
        </w:rPr>
        <w:t xml:space="preserve"> </w:t>
      </w:r>
      <w:r w:rsidRPr="00DC4A8A">
        <w:rPr>
          <w:rFonts w:ascii="Times New Roman" w:hAnsi="Times New Roman" w:cs="Times New Roman"/>
        </w:rPr>
        <w:t xml:space="preserve">Feeding America “Map of the Meal Gap 2022”, (July 2022) available at </w:t>
      </w:r>
      <w:hyperlink r:id="rId11" w:history="1">
        <w:r w:rsidRPr="00DC4A8A">
          <w:rPr>
            <w:rStyle w:val="Hyperlink"/>
            <w:rFonts w:ascii="Times New Roman" w:hAnsi="Times New Roman" w:cs="Times New Roman"/>
          </w:rPr>
          <w:t>https://www.feedingamerica.org/sites/default/files/2022-09/Map%20the%20Meal%20Gap%202022%20Report_0.pdf?s_src=W234REFER&amp;s_referrer=https%3A%2F%2Fmap.feedingamerica.org%2F&amp;s_channel=https%3A%2F%2Fmap.feedingamerica.org%2F&amp;s_subsrc=https%3A%2F%2Fwww.feedingamerica.org%2Fresearch%2Fmap-the-meal-gap%2Foverall-executive-summary%3F_ga%3D2.171176544.1371052009.1680805257-1849911243.1680805257</w:t>
        </w:r>
      </w:hyperlink>
      <w:r>
        <w:rPr>
          <w:rFonts w:ascii="Times New Roman" w:hAnsi="Times New Roman" w:cs="Times New Roman"/>
        </w:rPr>
        <w:t xml:space="preserve"> (last visited Apr. 6, 2023).</w:t>
      </w:r>
    </w:p>
  </w:footnote>
  <w:footnote w:id="16">
    <w:p w14:paraId="3711433C" w14:textId="26F5452C" w:rsidR="005A6A21" w:rsidRPr="00DC4A8A" w:rsidRDefault="005A6A21" w:rsidP="00172A6F">
      <w:pPr>
        <w:pStyle w:val="FootnoteText"/>
        <w:rPr>
          <w:rFonts w:ascii="Times New Roman" w:hAnsi="Times New Roman" w:cs="Times New Roman"/>
        </w:rPr>
      </w:pPr>
      <w:r w:rsidRPr="00DC4A8A">
        <w:rPr>
          <w:rStyle w:val="FootnoteReference"/>
          <w:rFonts w:ascii="Times New Roman" w:hAnsi="Times New Roman" w:cs="Times New Roman"/>
        </w:rPr>
        <w:footnoteRef/>
      </w:r>
      <w:r w:rsidRPr="00DC4A8A">
        <w:rPr>
          <w:rFonts w:ascii="Times New Roman" w:hAnsi="Times New Roman" w:cs="Times New Roman"/>
        </w:rPr>
        <w:t xml:space="preserve"> </w:t>
      </w:r>
      <w:r w:rsidRPr="00DC4A8A">
        <w:rPr>
          <w:rFonts w:ascii="Times New Roman" w:hAnsi="Times New Roman" w:cs="Times New Roman"/>
          <w:i/>
          <w:iCs/>
        </w:rPr>
        <w:t>Id.</w:t>
      </w:r>
      <w:r w:rsidRPr="00DC4A8A">
        <w:rPr>
          <w:rFonts w:ascii="Times New Roman" w:hAnsi="Times New Roman" w:cs="Times New Roman"/>
        </w:rPr>
        <w:t xml:space="preserve"> </w:t>
      </w:r>
    </w:p>
  </w:footnote>
  <w:footnote w:id="17">
    <w:p w14:paraId="2C4D1829" w14:textId="7583AD04" w:rsidR="005A6A21" w:rsidRPr="00DC4A8A" w:rsidRDefault="005A6A21" w:rsidP="00172A6F">
      <w:pPr>
        <w:pStyle w:val="FootnoteText"/>
        <w:rPr>
          <w:rFonts w:ascii="Times New Roman" w:hAnsi="Times New Roman" w:cs="Times New Roman"/>
        </w:rPr>
      </w:pPr>
      <w:r w:rsidRPr="00DC4A8A">
        <w:rPr>
          <w:rStyle w:val="FootnoteReference"/>
          <w:rFonts w:ascii="Times New Roman" w:hAnsi="Times New Roman" w:cs="Times New Roman"/>
        </w:rPr>
        <w:footnoteRef/>
      </w:r>
      <w:r w:rsidRPr="00DC4A8A">
        <w:rPr>
          <w:rFonts w:ascii="Times New Roman" w:hAnsi="Times New Roman" w:cs="Times New Roman"/>
        </w:rPr>
        <w:t xml:space="preserve"> Center on Budget and Policy and Policy Priorities, “SNAP is Effective and Efficient,” </w:t>
      </w:r>
      <w:r>
        <w:rPr>
          <w:rFonts w:ascii="Times New Roman" w:hAnsi="Times New Roman" w:cs="Times New Roman"/>
          <w:i/>
        </w:rPr>
        <w:t xml:space="preserve">available at </w:t>
      </w:r>
      <w:hyperlink r:id="rId12" w:history="1">
        <w:r w:rsidRPr="00DC4A8A">
          <w:rPr>
            <w:rStyle w:val="Hyperlink"/>
            <w:rFonts w:ascii="Times New Roman" w:hAnsi="Times New Roman" w:cs="Times New Roman"/>
          </w:rPr>
          <w:t>http://www.cbpp.org/research/snap-is-effective-and-efficient</w:t>
        </w:r>
      </w:hyperlink>
      <w:r w:rsidRPr="00DC4A8A">
        <w:rPr>
          <w:rFonts w:ascii="Times New Roman" w:hAnsi="Times New Roman" w:cs="Times New Roman"/>
        </w:rPr>
        <w:t xml:space="preserve"> (last visited Apr. 6, 2023). </w:t>
      </w:r>
    </w:p>
  </w:footnote>
  <w:footnote w:id="18">
    <w:p w14:paraId="24A49BB0" w14:textId="158ED70F" w:rsidR="005A6A21" w:rsidRPr="00DC4A8A" w:rsidRDefault="005A6A21" w:rsidP="00172A6F">
      <w:pPr>
        <w:pStyle w:val="FootnoteText"/>
        <w:rPr>
          <w:rFonts w:ascii="Times New Roman" w:hAnsi="Times New Roman" w:cs="Times New Roman"/>
        </w:rPr>
      </w:pPr>
      <w:r w:rsidRPr="00DC4A8A">
        <w:rPr>
          <w:rStyle w:val="FootnoteReference"/>
          <w:rFonts w:ascii="Times New Roman" w:hAnsi="Times New Roman" w:cs="Times New Roman"/>
        </w:rPr>
        <w:footnoteRef/>
      </w:r>
      <w:r w:rsidRPr="00DC4A8A">
        <w:rPr>
          <w:rFonts w:ascii="Times New Roman" w:hAnsi="Times New Roman" w:cs="Times New Roman"/>
        </w:rPr>
        <w:t xml:space="preserve"> Office of Temporary and Disability Assistance, “Supplemental Nutrition Assistance Program (SNAP)” </w:t>
      </w:r>
      <w:r w:rsidRPr="00DC4A8A">
        <w:rPr>
          <w:rFonts w:ascii="Times New Roman" w:hAnsi="Times New Roman" w:cs="Times New Roman"/>
          <w:i/>
        </w:rPr>
        <w:t>available at</w:t>
      </w:r>
      <w:r w:rsidRPr="00DC4A8A">
        <w:rPr>
          <w:rFonts w:ascii="Times New Roman" w:hAnsi="Times New Roman" w:cs="Times New Roman"/>
        </w:rPr>
        <w:t xml:space="preserve"> </w:t>
      </w:r>
      <w:hyperlink r:id="rId13" w:history="1">
        <w:r w:rsidRPr="00CC12EA">
          <w:rPr>
            <w:rStyle w:val="Hyperlink"/>
            <w:rFonts w:ascii="Times New Roman" w:hAnsi="Times New Roman" w:cs="Times New Roman"/>
          </w:rPr>
          <w:t>https://otda.ny.gov/programs/snap/ /</w:t>
        </w:r>
      </w:hyperlink>
      <w:r w:rsidRPr="00DC4A8A">
        <w:rPr>
          <w:rFonts w:ascii="Times New Roman" w:hAnsi="Times New Roman" w:cs="Times New Roman"/>
        </w:rPr>
        <w:t xml:space="preserve">(last visited Apr. 6, 2023). </w:t>
      </w:r>
    </w:p>
  </w:footnote>
  <w:footnote w:id="19">
    <w:p w14:paraId="5EF0429D" w14:textId="0B6F51B3" w:rsidR="005A6A21" w:rsidRPr="00DC4A8A" w:rsidRDefault="005A6A21">
      <w:pPr>
        <w:pStyle w:val="FootnoteText"/>
        <w:rPr>
          <w:rFonts w:ascii="Times New Roman" w:hAnsi="Times New Roman" w:cs="Times New Roman"/>
        </w:rPr>
      </w:pPr>
      <w:r w:rsidRPr="00DC4A8A">
        <w:rPr>
          <w:rStyle w:val="FootnoteReference"/>
          <w:rFonts w:ascii="Times New Roman" w:hAnsi="Times New Roman" w:cs="Times New Roman"/>
        </w:rPr>
        <w:footnoteRef/>
      </w:r>
      <w:r w:rsidRPr="00DC4A8A">
        <w:rPr>
          <w:rFonts w:ascii="Times New Roman" w:hAnsi="Times New Roman" w:cs="Times New Roman"/>
        </w:rPr>
        <w:t xml:space="preserve"> Center on Budget and Policy and Policy Priorities, “A Quick Guide to SNAP Eligibility and Benefits,” </w:t>
      </w:r>
      <w:r w:rsidRPr="00DC4A8A">
        <w:rPr>
          <w:rFonts w:ascii="Times New Roman" w:hAnsi="Times New Roman" w:cs="Times New Roman"/>
          <w:i/>
        </w:rPr>
        <w:t>available at</w:t>
      </w:r>
      <w:r w:rsidRPr="00DC4A8A">
        <w:rPr>
          <w:rFonts w:ascii="Times New Roman" w:hAnsi="Times New Roman" w:cs="Times New Roman"/>
        </w:rPr>
        <w:t xml:space="preserve"> </w:t>
      </w:r>
      <w:hyperlink r:id="rId14" w:history="1">
        <w:r w:rsidRPr="00DC4A8A">
          <w:rPr>
            <w:rStyle w:val="Hyperlink"/>
            <w:rFonts w:ascii="Times New Roman" w:hAnsi="Times New Roman" w:cs="Times New Roman"/>
          </w:rPr>
          <w:t>http://www.cbpp.org/research/a-quick-guide-to-snap-eligibility-and-benefits</w:t>
        </w:r>
      </w:hyperlink>
      <w:r w:rsidRPr="00DC4A8A">
        <w:rPr>
          <w:rFonts w:ascii="Times New Roman" w:hAnsi="Times New Roman" w:cs="Times New Roman"/>
        </w:rPr>
        <w:t xml:space="preserve"> (last visited Apr. 6, 2023).</w:t>
      </w:r>
    </w:p>
  </w:footnote>
  <w:footnote w:id="20">
    <w:p w14:paraId="1C7F0CC1" w14:textId="6C14C98F" w:rsidR="005A6A21" w:rsidRPr="00DC4A8A" w:rsidRDefault="005A6A21">
      <w:pPr>
        <w:pStyle w:val="FootnoteText"/>
        <w:rPr>
          <w:rFonts w:ascii="Times New Roman" w:hAnsi="Times New Roman" w:cs="Times New Roman"/>
          <w:i/>
        </w:rPr>
      </w:pPr>
      <w:r w:rsidRPr="00DC4A8A">
        <w:rPr>
          <w:rStyle w:val="FootnoteReference"/>
          <w:rFonts w:ascii="Times New Roman" w:hAnsi="Times New Roman" w:cs="Times New Roman"/>
        </w:rPr>
        <w:footnoteRef/>
      </w:r>
      <w:r w:rsidRPr="00DC4A8A">
        <w:rPr>
          <w:rFonts w:ascii="Times New Roman" w:hAnsi="Times New Roman" w:cs="Times New Roman"/>
        </w:rPr>
        <w:t xml:space="preserve"> </w:t>
      </w:r>
      <w:r w:rsidRPr="00DC4A8A">
        <w:rPr>
          <w:rFonts w:ascii="Times New Roman" w:hAnsi="Times New Roman" w:cs="Times New Roman"/>
          <w:i/>
        </w:rPr>
        <w:t xml:space="preserve">Id. </w:t>
      </w:r>
    </w:p>
  </w:footnote>
  <w:footnote w:id="21">
    <w:p w14:paraId="00A563F4" w14:textId="0EFE7F35" w:rsidR="005A6A21" w:rsidRPr="00DC4A8A" w:rsidRDefault="005A6A21">
      <w:pPr>
        <w:pStyle w:val="FootnoteText"/>
        <w:rPr>
          <w:rFonts w:ascii="Times New Roman" w:hAnsi="Times New Roman" w:cs="Times New Roman"/>
        </w:rPr>
      </w:pPr>
      <w:r w:rsidRPr="00DC4A8A">
        <w:rPr>
          <w:rStyle w:val="FootnoteReference"/>
          <w:rFonts w:ascii="Times New Roman" w:hAnsi="Times New Roman" w:cs="Times New Roman"/>
        </w:rPr>
        <w:footnoteRef/>
      </w:r>
      <w:r w:rsidRPr="00DC4A8A">
        <w:rPr>
          <w:rFonts w:ascii="Times New Roman" w:hAnsi="Times New Roman" w:cs="Times New Roman"/>
        </w:rPr>
        <w:t xml:space="preserve"> </w:t>
      </w:r>
      <w:r w:rsidRPr="00DC4A8A">
        <w:rPr>
          <w:rFonts w:ascii="Times New Roman" w:hAnsi="Times New Roman" w:cs="Times New Roman"/>
          <w:i/>
        </w:rPr>
        <w:t>Id.</w:t>
      </w:r>
      <w:r w:rsidRPr="00DC4A8A">
        <w:rPr>
          <w:rFonts w:ascii="Times New Roman" w:hAnsi="Times New Roman" w:cs="Times New Roman"/>
        </w:rPr>
        <w:t xml:space="preserve"> </w:t>
      </w:r>
    </w:p>
  </w:footnote>
  <w:footnote w:id="22">
    <w:p w14:paraId="027E9414" w14:textId="58D83601" w:rsidR="005A6A21" w:rsidRPr="00DC4A8A" w:rsidRDefault="005A6A21" w:rsidP="00172A6F">
      <w:pPr>
        <w:pStyle w:val="FootnoteText"/>
        <w:rPr>
          <w:rFonts w:ascii="Times New Roman" w:hAnsi="Times New Roman" w:cs="Times New Roman"/>
        </w:rPr>
      </w:pPr>
      <w:r w:rsidRPr="00DC4A8A">
        <w:rPr>
          <w:rStyle w:val="FootnoteReference"/>
          <w:rFonts w:ascii="Times New Roman" w:hAnsi="Times New Roman" w:cs="Times New Roman"/>
        </w:rPr>
        <w:footnoteRef/>
      </w:r>
      <w:r w:rsidRPr="00DC4A8A">
        <w:rPr>
          <w:rFonts w:ascii="Times New Roman" w:hAnsi="Times New Roman" w:cs="Times New Roman"/>
        </w:rPr>
        <w:t xml:space="preserve"> Office of Temporary and Disability Assistance, “Supplemental Nutrition Assistance Program (SNAP)” </w:t>
      </w:r>
      <w:r w:rsidRPr="00DC4A8A">
        <w:rPr>
          <w:rFonts w:ascii="Times New Roman" w:hAnsi="Times New Roman" w:cs="Times New Roman"/>
          <w:i/>
        </w:rPr>
        <w:t>available at</w:t>
      </w:r>
      <w:hyperlink r:id="rId15" w:history="1">
        <w:r w:rsidRPr="00DC4A8A">
          <w:rPr>
            <w:rFonts w:ascii="Times New Roman" w:hAnsi="Times New Roman" w:cs="Times New Roman"/>
          </w:rPr>
          <w:t xml:space="preserve"> </w:t>
        </w:r>
        <w:r w:rsidRPr="00DC4A8A">
          <w:rPr>
            <w:rStyle w:val="Hyperlink"/>
            <w:rFonts w:ascii="Times New Roman" w:hAnsi="Times New Roman" w:cs="Times New Roman"/>
          </w:rPr>
          <w:t>https://otda.ny.gov/programs/snap/ /</w:t>
        </w:r>
      </w:hyperlink>
      <w:r w:rsidRPr="00DC4A8A">
        <w:rPr>
          <w:rFonts w:ascii="Times New Roman" w:hAnsi="Times New Roman" w:cs="Times New Roman"/>
        </w:rPr>
        <w:t>(last visited Apr. 4, 2023).</w:t>
      </w:r>
    </w:p>
  </w:footnote>
  <w:footnote w:id="23">
    <w:p w14:paraId="4D036DF9" w14:textId="44FD83A0" w:rsidR="005A6A21" w:rsidRPr="00DC4A8A" w:rsidRDefault="005A6A21" w:rsidP="00172A6F">
      <w:pPr>
        <w:pStyle w:val="FootnoteText"/>
        <w:rPr>
          <w:rFonts w:ascii="Times New Roman" w:hAnsi="Times New Roman" w:cs="Times New Roman"/>
        </w:rPr>
      </w:pPr>
      <w:r w:rsidRPr="00DC4A8A">
        <w:rPr>
          <w:rStyle w:val="FootnoteReference"/>
          <w:rFonts w:ascii="Times New Roman" w:hAnsi="Times New Roman" w:cs="Times New Roman"/>
        </w:rPr>
        <w:footnoteRef/>
      </w:r>
      <w:r w:rsidRPr="00DC4A8A">
        <w:rPr>
          <w:rFonts w:ascii="Times New Roman" w:hAnsi="Times New Roman" w:cs="Times New Roman"/>
        </w:rPr>
        <w:t xml:space="preserve"> United States Department of Agriculture, “Quantifying the Impact of SNAP benefits on the U.S. Economy and Jobs,” (July 2019) </w:t>
      </w:r>
      <w:r w:rsidRPr="00DC4A8A">
        <w:rPr>
          <w:rFonts w:ascii="Times New Roman" w:hAnsi="Times New Roman" w:cs="Times New Roman"/>
          <w:i/>
        </w:rPr>
        <w:t>available at</w:t>
      </w:r>
      <w:r w:rsidRPr="00DC4A8A">
        <w:rPr>
          <w:rFonts w:ascii="Times New Roman" w:hAnsi="Times New Roman" w:cs="Times New Roman"/>
        </w:rPr>
        <w:t xml:space="preserve"> </w:t>
      </w:r>
      <w:hyperlink r:id="rId16" w:history="1">
        <w:r w:rsidRPr="00DC4A8A">
          <w:rPr>
            <w:rStyle w:val="Hyperlink"/>
            <w:rFonts w:ascii="Times New Roman" w:hAnsi="Times New Roman" w:cs="Times New Roman"/>
          </w:rPr>
          <w:t>https://www.ers.usda.gov/amber-waves/2019/july/quantifying-the-impact-of-snap-benefits-on-the-us-economy-and-jobs/</w:t>
        </w:r>
      </w:hyperlink>
      <w:r w:rsidRPr="00DC4A8A">
        <w:rPr>
          <w:rFonts w:ascii="Times New Roman" w:hAnsi="Times New Roman" w:cs="Times New Roman"/>
        </w:rPr>
        <w:t xml:space="preserve"> (last visited Apr. 4, 2023).</w:t>
      </w:r>
    </w:p>
  </w:footnote>
  <w:footnote w:id="24">
    <w:p w14:paraId="179ED7D5" w14:textId="343E6EB3" w:rsidR="005A6A21" w:rsidRPr="00DC4A8A" w:rsidRDefault="005A6A21" w:rsidP="00172A6F">
      <w:pPr>
        <w:pStyle w:val="FootnoteText"/>
        <w:rPr>
          <w:rFonts w:ascii="Times New Roman" w:hAnsi="Times New Roman" w:cs="Times New Roman"/>
        </w:rPr>
      </w:pPr>
      <w:r w:rsidRPr="00DC4A8A">
        <w:rPr>
          <w:rStyle w:val="FootnoteReference"/>
          <w:rFonts w:ascii="Times New Roman" w:hAnsi="Times New Roman" w:cs="Times New Roman"/>
        </w:rPr>
        <w:footnoteRef/>
      </w:r>
      <w:r w:rsidRPr="00DC4A8A">
        <w:rPr>
          <w:rFonts w:ascii="Times New Roman" w:hAnsi="Times New Roman" w:cs="Times New Roman"/>
        </w:rPr>
        <w:t xml:space="preserve"> United States Census Bureau, “The Supplemental Poverty Measure: 2022.” </w:t>
      </w:r>
      <w:r w:rsidRPr="00DC4A8A">
        <w:rPr>
          <w:rFonts w:ascii="Times New Roman" w:hAnsi="Times New Roman" w:cs="Times New Roman"/>
          <w:i/>
        </w:rPr>
        <w:t>available at</w:t>
      </w:r>
      <w:r w:rsidRPr="00DC4A8A">
        <w:rPr>
          <w:rFonts w:ascii="Times New Roman" w:hAnsi="Times New Roman" w:cs="Times New Roman"/>
        </w:rPr>
        <w:t xml:space="preserve"> </w:t>
      </w:r>
      <w:hyperlink r:id="rId17" w:history="1">
        <w:r w:rsidRPr="00DC4A8A">
          <w:rPr>
            <w:rStyle w:val="Hyperlink"/>
            <w:rFonts w:ascii="Times New Roman" w:hAnsi="Times New Roman" w:cs="Times New Roman"/>
          </w:rPr>
          <w:t>The Supplemental Poverty Measure: 2020 (census.gov)</w:t>
        </w:r>
      </w:hyperlink>
      <w:r w:rsidRPr="00DC4A8A">
        <w:rPr>
          <w:rFonts w:ascii="Times New Roman" w:hAnsi="Times New Roman" w:cs="Times New Roman"/>
        </w:rPr>
        <w:t xml:space="preserve"> (last visited Apr. 4, 2023). </w:t>
      </w:r>
    </w:p>
  </w:footnote>
  <w:footnote w:id="25">
    <w:p w14:paraId="52F16C73" w14:textId="40C96F60" w:rsidR="005A6A21" w:rsidRPr="00DC4A8A" w:rsidRDefault="005A6A21" w:rsidP="001D0F55">
      <w:pPr>
        <w:pStyle w:val="FootnoteText"/>
        <w:rPr>
          <w:rFonts w:ascii="Times New Roman" w:hAnsi="Times New Roman" w:cs="Times New Roman"/>
        </w:rPr>
      </w:pPr>
      <w:r w:rsidRPr="00DC4A8A">
        <w:rPr>
          <w:rStyle w:val="FootnoteReference"/>
          <w:rFonts w:ascii="Times New Roman" w:hAnsi="Times New Roman" w:cs="Times New Roman"/>
        </w:rPr>
        <w:footnoteRef/>
      </w:r>
      <w:r w:rsidRPr="00DC4A8A">
        <w:rPr>
          <w:rFonts w:ascii="Times New Roman" w:hAnsi="Times New Roman" w:cs="Times New Roman"/>
        </w:rPr>
        <w:t xml:space="preserve"> HRA Monthly Fact Sheets on the HRA Program Facts and Reports webpage report SNAP enrollment levels, </w:t>
      </w:r>
      <w:r w:rsidRPr="00DC4A8A">
        <w:rPr>
          <w:rFonts w:ascii="Times New Roman" w:hAnsi="Times New Roman" w:cs="Times New Roman"/>
          <w:i/>
        </w:rPr>
        <w:t>see:</w:t>
      </w:r>
      <w:r w:rsidRPr="00DC4A8A">
        <w:rPr>
          <w:rFonts w:ascii="Times New Roman" w:hAnsi="Times New Roman" w:cs="Times New Roman"/>
        </w:rPr>
        <w:t xml:space="preserve"> </w:t>
      </w:r>
      <w:hyperlink r:id="rId18" w:history="1">
        <w:r w:rsidRPr="00DC4A8A">
          <w:rPr>
            <w:rStyle w:val="Hyperlink"/>
            <w:rFonts w:ascii="Times New Roman" w:hAnsi="Times New Roman" w:cs="Times New Roman"/>
          </w:rPr>
          <w:t>https://www.nyc.gov/site/hra/about/facts.page</w:t>
        </w:r>
      </w:hyperlink>
      <w:r>
        <w:rPr>
          <w:rFonts w:ascii="Times New Roman" w:hAnsi="Times New Roman" w:cs="Times New Roman"/>
        </w:rPr>
        <w:t>.</w:t>
      </w:r>
    </w:p>
  </w:footnote>
  <w:footnote w:id="26">
    <w:p w14:paraId="64FF1CB0" w14:textId="77777777" w:rsidR="005A6A21" w:rsidRPr="00DC4A8A" w:rsidRDefault="005A6A21" w:rsidP="001D0F55">
      <w:pPr>
        <w:pStyle w:val="FootnoteText"/>
        <w:rPr>
          <w:rFonts w:ascii="Times New Roman" w:hAnsi="Times New Roman" w:cs="Times New Roman"/>
        </w:rPr>
      </w:pPr>
      <w:r w:rsidRPr="00DC4A8A">
        <w:rPr>
          <w:rStyle w:val="FootnoteReference"/>
          <w:rFonts w:ascii="Times New Roman" w:hAnsi="Times New Roman" w:cs="Times New Roman"/>
        </w:rPr>
        <w:footnoteRef/>
      </w:r>
      <w:r w:rsidRPr="00DC4A8A">
        <w:rPr>
          <w:rFonts w:ascii="Times New Roman" w:hAnsi="Times New Roman" w:cs="Times New Roman"/>
        </w:rPr>
        <w:t xml:space="preserve"> NYC Open Data, "Borough/Community District Report - SNAP Population", </w:t>
      </w:r>
      <w:r w:rsidRPr="00DC4A8A">
        <w:rPr>
          <w:rFonts w:ascii="Times New Roman" w:hAnsi="Times New Roman" w:cs="Times New Roman"/>
          <w:i/>
        </w:rPr>
        <w:t>see</w:t>
      </w:r>
      <w:r w:rsidRPr="00DC4A8A">
        <w:rPr>
          <w:rFonts w:ascii="Times New Roman" w:hAnsi="Times New Roman" w:cs="Times New Roman"/>
        </w:rPr>
        <w:t xml:space="preserve">: </w:t>
      </w:r>
      <w:hyperlink r:id="rId19" w:history="1">
        <w:r w:rsidRPr="00DC4A8A">
          <w:rPr>
            <w:rStyle w:val="Hyperlink"/>
            <w:rFonts w:ascii="Times New Roman" w:hAnsi="Times New Roman" w:cs="Times New Roman"/>
          </w:rPr>
          <w:t>https://data.cityofnewyork.us/Social-Services/Borough-Community-District-Report-SNAP-Population/jye8-4d7</w:t>
        </w:r>
      </w:hyperlink>
      <w:r w:rsidRPr="00DC4A8A">
        <w:rPr>
          <w:rFonts w:ascii="Times New Roman" w:hAnsi="Times New Roman" w:cs="Times New Roman"/>
        </w:rPr>
        <w:t xml:space="preserve"> </w:t>
      </w:r>
    </w:p>
  </w:footnote>
  <w:footnote w:id="27">
    <w:p w14:paraId="4010B059" w14:textId="71076146" w:rsidR="005A6A21" w:rsidRPr="00DC4A8A" w:rsidRDefault="005A6A21" w:rsidP="005012DE">
      <w:pPr>
        <w:pStyle w:val="FootnoteText"/>
        <w:rPr>
          <w:rFonts w:ascii="Times New Roman" w:hAnsi="Times New Roman" w:cs="Times New Roman"/>
        </w:rPr>
      </w:pPr>
      <w:r w:rsidRPr="00DC4A8A">
        <w:rPr>
          <w:rStyle w:val="FootnoteReference"/>
          <w:rFonts w:ascii="Times New Roman" w:hAnsi="Times New Roman" w:cs="Times New Roman"/>
        </w:rPr>
        <w:footnoteRef/>
      </w:r>
      <w:r w:rsidRPr="00DC4A8A">
        <w:rPr>
          <w:rFonts w:ascii="Times New Roman" w:hAnsi="Times New Roman" w:cs="Times New Roman"/>
        </w:rPr>
        <w:t xml:space="preserve"> United States Department of Agriculture, Food and Nutrition Service, Supplemental Nutrition Assistance Program (SNAP) – Able-Bodied Adults Without Dependents (ABAWDs) </w:t>
      </w:r>
      <w:r w:rsidRPr="00DC4A8A">
        <w:rPr>
          <w:rFonts w:ascii="Times New Roman" w:hAnsi="Times New Roman" w:cs="Times New Roman"/>
          <w:i/>
        </w:rPr>
        <w:t xml:space="preserve">available at </w:t>
      </w:r>
      <w:hyperlink r:id="rId20" w:history="1">
        <w:r w:rsidRPr="00DC4A8A">
          <w:rPr>
            <w:rStyle w:val="Hyperlink"/>
            <w:rFonts w:ascii="Times New Roman" w:hAnsi="Times New Roman" w:cs="Times New Roman"/>
          </w:rPr>
          <w:t>http://www.fns.usda.gov/snap/able-bodied-adults-without-dependents-abawds</w:t>
        </w:r>
      </w:hyperlink>
      <w:r w:rsidRPr="00DC4A8A">
        <w:rPr>
          <w:rFonts w:ascii="Times New Roman" w:hAnsi="Times New Roman" w:cs="Times New Roman"/>
        </w:rPr>
        <w:t xml:space="preserve"> (last visited Apr. 5, 2023).</w:t>
      </w:r>
    </w:p>
  </w:footnote>
  <w:footnote w:id="28">
    <w:p w14:paraId="5B4A2830" w14:textId="77777777" w:rsidR="005A6A21" w:rsidRPr="00DC4A8A" w:rsidRDefault="005A6A21" w:rsidP="005012DE">
      <w:pPr>
        <w:pStyle w:val="FootnoteText"/>
        <w:rPr>
          <w:rFonts w:ascii="Times New Roman" w:hAnsi="Times New Roman" w:cs="Times New Roman"/>
        </w:rPr>
      </w:pPr>
      <w:r w:rsidRPr="00DC4A8A">
        <w:rPr>
          <w:rStyle w:val="FootnoteReference"/>
          <w:rFonts w:ascii="Times New Roman" w:hAnsi="Times New Roman" w:cs="Times New Roman"/>
        </w:rPr>
        <w:footnoteRef/>
      </w:r>
      <w:r w:rsidRPr="00DC4A8A">
        <w:rPr>
          <w:rFonts w:ascii="Times New Roman" w:hAnsi="Times New Roman" w:cs="Times New Roman"/>
        </w:rPr>
        <w:t xml:space="preserve"> </w:t>
      </w:r>
      <w:r w:rsidRPr="00DC4A8A">
        <w:rPr>
          <w:rFonts w:ascii="Times New Roman" w:hAnsi="Times New Roman" w:cs="Times New Roman"/>
          <w:i/>
        </w:rPr>
        <w:t>Id.</w:t>
      </w:r>
    </w:p>
  </w:footnote>
  <w:footnote w:id="29">
    <w:p w14:paraId="46F49BD1" w14:textId="77777777" w:rsidR="005A6A21" w:rsidRPr="00DC4A8A" w:rsidRDefault="005A6A21" w:rsidP="005012DE">
      <w:pPr>
        <w:pStyle w:val="FootnoteText"/>
        <w:rPr>
          <w:rFonts w:ascii="Times New Roman" w:hAnsi="Times New Roman" w:cs="Times New Roman"/>
        </w:rPr>
      </w:pPr>
      <w:r w:rsidRPr="00DC4A8A">
        <w:rPr>
          <w:rStyle w:val="FootnoteReference"/>
          <w:rFonts w:ascii="Times New Roman" w:hAnsi="Times New Roman" w:cs="Times New Roman"/>
        </w:rPr>
        <w:footnoteRef/>
      </w:r>
      <w:r w:rsidRPr="00DC4A8A">
        <w:rPr>
          <w:rFonts w:ascii="Times New Roman" w:hAnsi="Times New Roman" w:cs="Times New Roman"/>
        </w:rPr>
        <w:t xml:space="preserve"> </w:t>
      </w:r>
      <w:r w:rsidRPr="00DC4A8A">
        <w:rPr>
          <w:rFonts w:ascii="Times New Roman" w:hAnsi="Times New Roman" w:cs="Times New Roman"/>
          <w:i/>
        </w:rPr>
        <w:t>Id.</w:t>
      </w:r>
    </w:p>
  </w:footnote>
  <w:footnote w:id="30">
    <w:p w14:paraId="310A8DB9" w14:textId="097F7A27" w:rsidR="005A6A21" w:rsidRPr="00DC4A8A" w:rsidRDefault="005A6A21" w:rsidP="005012DE">
      <w:pPr>
        <w:pStyle w:val="FootnoteText"/>
        <w:rPr>
          <w:rFonts w:ascii="Times New Roman" w:hAnsi="Times New Roman" w:cs="Times New Roman"/>
        </w:rPr>
      </w:pPr>
      <w:r w:rsidRPr="00DC4A8A">
        <w:rPr>
          <w:rStyle w:val="FootnoteReference"/>
          <w:rFonts w:ascii="Times New Roman" w:hAnsi="Times New Roman" w:cs="Times New Roman"/>
        </w:rPr>
        <w:footnoteRef/>
      </w:r>
      <w:r w:rsidRPr="00DC4A8A">
        <w:rPr>
          <w:rFonts w:ascii="Times New Roman" w:hAnsi="Times New Roman" w:cs="Times New Roman"/>
        </w:rPr>
        <w:t xml:space="preserve"> ABAWDs, </w:t>
      </w:r>
      <w:r w:rsidRPr="00DC4A8A">
        <w:rPr>
          <w:rFonts w:ascii="Times New Roman" w:hAnsi="Times New Roman" w:cs="Times New Roman"/>
          <w:i/>
          <w:iCs/>
        </w:rPr>
        <w:t>supra</w:t>
      </w:r>
      <w:r w:rsidRPr="00DC4A8A">
        <w:rPr>
          <w:rFonts w:ascii="Times New Roman" w:hAnsi="Times New Roman" w:cs="Times New Roman"/>
        </w:rPr>
        <w:t xml:space="preserve"> note 28</w:t>
      </w:r>
      <w:r w:rsidRPr="00DC4A8A">
        <w:rPr>
          <w:rFonts w:ascii="Times New Roman" w:hAnsi="Times New Roman" w:cs="Times New Roman"/>
          <w:i/>
        </w:rPr>
        <w:t>.</w:t>
      </w:r>
    </w:p>
  </w:footnote>
  <w:footnote w:id="31">
    <w:p w14:paraId="7CEBC227" w14:textId="77777777" w:rsidR="005A6A21" w:rsidRPr="00DC4A8A" w:rsidRDefault="005A6A21" w:rsidP="005012DE">
      <w:pPr>
        <w:pStyle w:val="FootnoteText"/>
        <w:rPr>
          <w:rFonts w:ascii="Times New Roman" w:hAnsi="Times New Roman" w:cs="Times New Roman"/>
        </w:rPr>
      </w:pPr>
      <w:r w:rsidRPr="00DC4A8A">
        <w:rPr>
          <w:rStyle w:val="FootnoteReference"/>
          <w:rFonts w:ascii="Times New Roman" w:hAnsi="Times New Roman" w:cs="Times New Roman"/>
        </w:rPr>
        <w:footnoteRef/>
      </w:r>
      <w:r w:rsidRPr="00DC4A8A">
        <w:rPr>
          <w:rFonts w:ascii="Times New Roman" w:hAnsi="Times New Roman" w:cs="Times New Roman"/>
        </w:rPr>
        <w:t xml:space="preserve"> </w:t>
      </w:r>
      <w:r w:rsidRPr="00DC4A8A">
        <w:rPr>
          <w:rFonts w:ascii="Times New Roman" w:hAnsi="Times New Roman" w:cs="Times New Roman"/>
          <w:i/>
        </w:rPr>
        <w:t>Id.</w:t>
      </w:r>
    </w:p>
  </w:footnote>
  <w:footnote w:id="32">
    <w:p w14:paraId="7B844B19" w14:textId="7A7DE37C" w:rsidR="005A6A21" w:rsidRPr="00DC4A8A" w:rsidRDefault="005A6A21" w:rsidP="005012DE">
      <w:pPr>
        <w:shd w:val="clear" w:color="auto" w:fill="FFFFFF"/>
        <w:jc w:val="both"/>
        <w:textAlignment w:val="baseline"/>
        <w:rPr>
          <w:sz w:val="20"/>
          <w:szCs w:val="20"/>
        </w:rPr>
      </w:pPr>
      <w:r w:rsidRPr="00DC4A8A">
        <w:rPr>
          <w:rStyle w:val="FootnoteReference"/>
          <w:sz w:val="20"/>
          <w:szCs w:val="20"/>
        </w:rPr>
        <w:footnoteRef/>
      </w:r>
      <w:r w:rsidRPr="00DC4A8A">
        <w:rPr>
          <w:sz w:val="20"/>
          <w:szCs w:val="20"/>
        </w:rPr>
        <w:t xml:space="preserve"> Testimony of Steven Banks, Commissioner, Human Resources Administration, before the Committee on General Welfare, New York City Council, Fiscal Year 2015 Executive Budget Hearing (May 19, 2014) available at </w:t>
      </w:r>
      <w:hyperlink r:id="rId21" w:history="1">
        <w:r w:rsidRPr="00DC4A8A">
          <w:rPr>
            <w:rStyle w:val="Hyperlink"/>
            <w:sz w:val="20"/>
            <w:szCs w:val="20"/>
          </w:rPr>
          <w:t>https://www.nyc.gov/assets/hra/downloads/pdf/news/testimonies/2014/may_2014/HRA_Executive_Budget_Testimony_2015.pdf</w:t>
        </w:r>
      </w:hyperlink>
      <w:r w:rsidRPr="00DC4A8A">
        <w:rPr>
          <w:sz w:val="20"/>
          <w:szCs w:val="20"/>
        </w:rPr>
        <w:t xml:space="preserve"> </w:t>
      </w:r>
    </w:p>
  </w:footnote>
  <w:footnote w:id="33">
    <w:p w14:paraId="1D4204E1" w14:textId="77777777" w:rsidR="005A6A21" w:rsidRPr="00DC4A8A" w:rsidRDefault="005A6A21" w:rsidP="005012DE">
      <w:pPr>
        <w:pStyle w:val="FootnoteText"/>
        <w:rPr>
          <w:rFonts w:ascii="Times New Roman" w:hAnsi="Times New Roman" w:cs="Times New Roman"/>
        </w:rPr>
      </w:pPr>
      <w:r w:rsidRPr="00DC4A8A">
        <w:rPr>
          <w:rStyle w:val="FootnoteReference"/>
          <w:rFonts w:ascii="Times New Roman" w:hAnsi="Times New Roman" w:cs="Times New Roman"/>
        </w:rPr>
        <w:footnoteRef/>
      </w:r>
      <w:r w:rsidRPr="00DC4A8A">
        <w:rPr>
          <w:rFonts w:ascii="Times New Roman" w:hAnsi="Times New Roman" w:cs="Times New Roman"/>
        </w:rPr>
        <w:t xml:space="preserve"> </w:t>
      </w:r>
      <w:r w:rsidRPr="00DC4A8A">
        <w:rPr>
          <w:rFonts w:ascii="Times New Roman" w:hAnsi="Times New Roman" w:cs="Times New Roman"/>
          <w:i/>
        </w:rPr>
        <w:t>Id.</w:t>
      </w:r>
    </w:p>
  </w:footnote>
  <w:footnote w:id="34">
    <w:p w14:paraId="665EBC15" w14:textId="1FD9A7E6" w:rsidR="005A6A21" w:rsidRPr="00DC4A8A" w:rsidRDefault="005A6A21">
      <w:pPr>
        <w:pStyle w:val="FootnoteText"/>
        <w:rPr>
          <w:rFonts w:ascii="Times New Roman" w:hAnsi="Times New Roman" w:cs="Times New Roman"/>
        </w:rPr>
      </w:pPr>
      <w:r w:rsidRPr="00DC4A8A">
        <w:rPr>
          <w:rStyle w:val="FootnoteReference"/>
          <w:rFonts w:ascii="Times New Roman" w:hAnsi="Times New Roman" w:cs="Times New Roman"/>
        </w:rPr>
        <w:footnoteRef/>
      </w:r>
      <w:r w:rsidRPr="00DC4A8A">
        <w:rPr>
          <w:rFonts w:ascii="Times New Roman" w:hAnsi="Times New Roman" w:cs="Times New Roman"/>
        </w:rPr>
        <w:t xml:space="preserve"> Center on Budget and Policy Priorities, “Timeline: Understanding the Impact of the End of the Public Health Emergency and COVID-19 Waivers on SNAP Households,” (Mar. 15, 2023) available at </w:t>
      </w:r>
      <w:hyperlink r:id="rId22" w:history="1">
        <w:r w:rsidRPr="00DC4A8A">
          <w:rPr>
            <w:rStyle w:val="Hyperlink"/>
            <w:rFonts w:ascii="Times New Roman" w:hAnsi="Times New Roman" w:cs="Times New Roman"/>
          </w:rPr>
          <w:t>https://www.cbpp.org/research/food-assistance/understanding-the-impact-of-the-end-of-the-public-health-emergency-and</w:t>
        </w:r>
      </w:hyperlink>
      <w:r w:rsidRPr="00DC4A8A">
        <w:rPr>
          <w:rFonts w:ascii="Times New Roman" w:hAnsi="Times New Roman" w:cs="Times New Roman"/>
        </w:rPr>
        <w:t xml:space="preserve"> (last visited Apr. 6, 2023) </w:t>
      </w:r>
    </w:p>
  </w:footnote>
  <w:footnote w:id="35">
    <w:p w14:paraId="2BC69181" w14:textId="2E8FD080" w:rsidR="005A6A21" w:rsidRPr="00DC4A8A" w:rsidRDefault="005A6A21">
      <w:pPr>
        <w:pStyle w:val="FootnoteText"/>
        <w:rPr>
          <w:rFonts w:ascii="Times New Roman" w:hAnsi="Times New Roman" w:cs="Times New Roman"/>
        </w:rPr>
      </w:pPr>
      <w:r w:rsidRPr="00DC4A8A">
        <w:rPr>
          <w:rStyle w:val="FootnoteReference"/>
          <w:rFonts w:ascii="Times New Roman" w:hAnsi="Times New Roman" w:cs="Times New Roman"/>
        </w:rPr>
        <w:footnoteRef/>
      </w:r>
      <w:r w:rsidRPr="00DC4A8A">
        <w:rPr>
          <w:rFonts w:ascii="Times New Roman" w:hAnsi="Times New Roman" w:cs="Times New Roman"/>
        </w:rPr>
        <w:t xml:space="preserve"> </w:t>
      </w:r>
      <w:r w:rsidRPr="00DC4A8A">
        <w:rPr>
          <w:rFonts w:ascii="Times New Roman" w:hAnsi="Times New Roman" w:cs="Times New Roman"/>
          <w:i/>
          <w:iCs/>
        </w:rPr>
        <w:t xml:space="preserve">Id. </w:t>
      </w:r>
    </w:p>
  </w:footnote>
  <w:footnote w:id="36">
    <w:p w14:paraId="2CF96CB5" w14:textId="17979D1F" w:rsidR="005A6A21" w:rsidRPr="00DC4A8A" w:rsidRDefault="005A6A21">
      <w:pPr>
        <w:pStyle w:val="FootnoteText"/>
        <w:rPr>
          <w:rFonts w:ascii="Times New Roman" w:hAnsi="Times New Roman" w:cs="Times New Roman"/>
          <w:i/>
          <w:iCs/>
        </w:rPr>
      </w:pPr>
      <w:r w:rsidRPr="00DC4A8A">
        <w:rPr>
          <w:rStyle w:val="FootnoteReference"/>
          <w:rFonts w:ascii="Times New Roman" w:hAnsi="Times New Roman" w:cs="Times New Roman"/>
        </w:rPr>
        <w:footnoteRef/>
      </w:r>
      <w:r w:rsidRPr="00DC4A8A">
        <w:rPr>
          <w:rFonts w:ascii="Times New Roman" w:hAnsi="Times New Roman" w:cs="Times New Roman"/>
        </w:rPr>
        <w:t xml:space="preserve"> </w:t>
      </w:r>
      <w:r w:rsidRPr="00DC4A8A">
        <w:rPr>
          <w:rFonts w:ascii="Times New Roman" w:hAnsi="Times New Roman" w:cs="Times New Roman"/>
          <w:i/>
          <w:iCs/>
        </w:rPr>
        <w:t xml:space="preserve">Id. </w:t>
      </w:r>
    </w:p>
  </w:footnote>
  <w:footnote w:id="37">
    <w:p w14:paraId="38A5B0F0" w14:textId="68D466D4" w:rsidR="005A6A21" w:rsidRPr="00DC4A8A" w:rsidRDefault="005A6A21">
      <w:pPr>
        <w:pStyle w:val="FootnoteText"/>
        <w:rPr>
          <w:rFonts w:ascii="Times New Roman" w:hAnsi="Times New Roman" w:cs="Times New Roman"/>
        </w:rPr>
      </w:pPr>
      <w:r w:rsidRPr="00DC4A8A">
        <w:rPr>
          <w:rStyle w:val="FootnoteReference"/>
          <w:rFonts w:ascii="Times New Roman" w:hAnsi="Times New Roman" w:cs="Times New Roman"/>
        </w:rPr>
        <w:footnoteRef/>
      </w:r>
      <w:r w:rsidRPr="00DC4A8A">
        <w:rPr>
          <w:rFonts w:ascii="Times New Roman" w:hAnsi="Times New Roman" w:cs="Times New Roman"/>
        </w:rPr>
        <w:t xml:space="preserve"> Supplemental Nutrition Assistance Program, “FAQ” available at </w:t>
      </w:r>
      <w:hyperlink r:id="rId23" w:anchor="why-abawd" w:history="1">
        <w:r w:rsidRPr="00DC4A8A">
          <w:rPr>
            <w:rStyle w:val="Hyperlink"/>
            <w:rFonts w:ascii="Times New Roman" w:hAnsi="Times New Roman" w:cs="Times New Roman"/>
          </w:rPr>
          <w:t>https://otda.ny.gov/programs/snap/qanda.asp#why-abawd</w:t>
        </w:r>
      </w:hyperlink>
      <w:r w:rsidRPr="00DC4A8A">
        <w:rPr>
          <w:rFonts w:ascii="Times New Roman" w:hAnsi="Times New Roman" w:cs="Times New Roman"/>
        </w:rPr>
        <w:t xml:space="preserve"> </w:t>
      </w:r>
    </w:p>
  </w:footnote>
  <w:footnote w:id="38">
    <w:p w14:paraId="57832177" w14:textId="6DA356E3" w:rsidR="005A6A21" w:rsidRPr="00DC4A8A" w:rsidRDefault="005A6A21">
      <w:pPr>
        <w:pStyle w:val="FootnoteText"/>
        <w:rPr>
          <w:rFonts w:ascii="Times New Roman" w:hAnsi="Times New Roman" w:cs="Times New Roman"/>
        </w:rPr>
      </w:pPr>
      <w:r w:rsidRPr="00DC4A8A">
        <w:rPr>
          <w:rStyle w:val="FootnoteReference"/>
          <w:rFonts w:ascii="Times New Roman" w:hAnsi="Times New Roman" w:cs="Times New Roman"/>
        </w:rPr>
        <w:footnoteRef/>
      </w:r>
      <w:r w:rsidRPr="00DC4A8A">
        <w:rPr>
          <w:rFonts w:ascii="Times New Roman" w:hAnsi="Times New Roman" w:cs="Times New Roman"/>
        </w:rPr>
        <w:t xml:space="preserve"> </w:t>
      </w:r>
      <w:r w:rsidRPr="00DC4A8A">
        <w:rPr>
          <w:rFonts w:ascii="Times New Roman" w:hAnsi="Times New Roman" w:cs="Times New Roman"/>
          <w:i/>
          <w:iCs/>
        </w:rPr>
        <w:t>Id.</w:t>
      </w:r>
      <w:r w:rsidRPr="00DC4A8A">
        <w:rPr>
          <w:rFonts w:ascii="Times New Roman" w:hAnsi="Times New Roman" w:cs="Times New Roman"/>
        </w:rPr>
        <w:t xml:space="preserve"> </w:t>
      </w:r>
    </w:p>
  </w:footnote>
  <w:footnote w:id="39">
    <w:p w14:paraId="542ECDE2" w14:textId="2B9DAAB2" w:rsidR="005A6A21" w:rsidRPr="00DC4A8A" w:rsidRDefault="005A6A21" w:rsidP="00172A6F">
      <w:pPr>
        <w:pStyle w:val="FootnoteText"/>
        <w:rPr>
          <w:rFonts w:ascii="Times New Roman" w:hAnsi="Times New Roman" w:cs="Times New Roman"/>
        </w:rPr>
      </w:pPr>
      <w:r w:rsidRPr="00DC4A8A">
        <w:rPr>
          <w:rStyle w:val="FootnoteReference"/>
          <w:rFonts w:ascii="Times New Roman" w:hAnsi="Times New Roman" w:cs="Times New Roman"/>
        </w:rPr>
        <w:footnoteRef/>
      </w:r>
      <w:r w:rsidRPr="00DC4A8A">
        <w:rPr>
          <w:rFonts w:ascii="Times New Roman" w:hAnsi="Times New Roman" w:cs="Times New Roman"/>
        </w:rPr>
        <w:t xml:space="preserve"> NYC Human Resources Administration, SNAP Benefits &amp; Food Program, </w:t>
      </w:r>
      <w:r w:rsidRPr="00DC4A8A">
        <w:rPr>
          <w:rFonts w:ascii="Times New Roman" w:hAnsi="Times New Roman" w:cs="Times New Roman"/>
          <w:i/>
        </w:rPr>
        <w:t>available at</w:t>
      </w:r>
      <w:r w:rsidRPr="00DC4A8A">
        <w:rPr>
          <w:rFonts w:ascii="Times New Roman" w:hAnsi="Times New Roman" w:cs="Times New Roman"/>
        </w:rPr>
        <w:t xml:space="preserve"> </w:t>
      </w:r>
      <w:hyperlink r:id="rId24" w:history="1">
        <w:r w:rsidRPr="00DC4A8A">
          <w:rPr>
            <w:rStyle w:val="Hyperlink"/>
            <w:rFonts w:ascii="Times New Roman" w:hAnsi="Times New Roman" w:cs="Times New Roman"/>
          </w:rPr>
          <w:t>https://www.nyc.gov/site/hra/help/food-assistance.page</w:t>
        </w:r>
      </w:hyperlink>
      <w:r w:rsidRPr="00DC4A8A">
        <w:rPr>
          <w:rFonts w:ascii="Times New Roman" w:hAnsi="Times New Roman" w:cs="Times New Roman"/>
        </w:rPr>
        <w:t xml:space="preserve"> (last visited Apr. 5, 2023). </w:t>
      </w:r>
    </w:p>
  </w:footnote>
  <w:footnote w:id="40">
    <w:p w14:paraId="45A09261" w14:textId="70E1B66C" w:rsidR="005A6A21" w:rsidRPr="00DC4A8A" w:rsidRDefault="005A6A21">
      <w:pPr>
        <w:pStyle w:val="FootnoteText"/>
        <w:rPr>
          <w:rFonts w:ascii="Times New Roman" w:hAnsi="Times New Roman" w:cs="Times New Roman"/>
        </w:rPr>
      </w:pPr>
      <w:r w:rsidRPr="00DC4A8A">
        <w:rPr>
          <w:rStyle w:val="FootnoteReference"/>
          <w:rFonts w:ascii="Times New Roman" w:hAnsi="Times New Roman" w:cs="Times New Roman"/>
        </w:rPr>
        <w:footnoteRef/>
      </w:r>
      <w:r w:rsidRPr="00DC4A8A">
        <w:rPr>
          <w:rFonts w:ascii="Times New Roman" w:hAnsi="Times New Roman" w:cs="Times New Roman"/>
        </w:rPr>
        <w:t xml:space="preserve"> Community Food Connections, Open Data (Feb. 16, 2023) available at </w:t>
      </w:r>
      <w:hyperlink r:id="rId25" w:history="1">
        <w:r w:rsidRPr="00DC4A8A">
          <w:rPr>
            <w:rStyle w:val="Hyperlink"/>
            <w:rFonts w:ascii="Times New Roman" w:hAnsi="Times New Roman" w:cs="Times New Roman"/>
          </w:rPr>
          <w:t>https://data.cityofnewyork.us/Social-Services/Community-Food-Connection-CFC-/mpqk-skis</w:t>
        </w:r>
      </w:hyperlink>
      <w:r w:rsidRPr="00DC4A8A">
        <w:rPr>
          <w:rFonts w:ascii="Times New Roman" w:hAnsi="Times New Roman" w:cs="Times New Roman"/>
        </w:rPr>
        <w:t xml:space="preserve"> (last visited Apr. 6, 2023) </w:t>
      </w:r>
    </w:p>
  </w:footnote>
  <w:footnote w:id="41">
    <w:p w14:paraId="2C682C35" w14:textId="46310D22" w:rsidR="005A6A21" w:rsidRPr="00DC4A8A" w:rsidRDefault="005A6A21">
      <w:pPr>
        <w:pStyle w:val="FootnoteText"/>
        <w:rPr>
          <w:rFonts w:ascii="Times New Roman" w:hAnsi="Times New Roman" w:cs="Times New Roman"/>
        </w:rPr>
      </w:pPr>
      <w:r w:rsidRPr="00DC4A8A">
        <w:rPr>
          <w:rStyle w:val="FootnoteReference"/>
          <w:rFonts w:ascii="Times New Roman" w:hAnsi="Times New Roman" w:cs="Times New Roman"/>
        </w:rPr>
        <w:footnoteRef/>
      </w:r>
      <w:r w:rsidRPr="00DC4A8A">
        <w:rPr>
          <w:rFonts w:ascii="Times New Roman" w:hAnsi="Times New Roman" w:cs="Times New Roman"/>
        </w:rPr>
        <w:t xml:space="preserve"> Feed </w:t>
      </w:r>
      <w:r>
        <w:rPr>
          <w:rFonts w:ascii="Times New Roman" w:hAnsi="Times New Roman" w:cs="Times New Roman"/>
        </w:rPr>
        <w:t xml:space="preserve">NYC, “Resources”, available at </w:t>
      </w:r>
      <w:hyperlink r:id="rId26" w:history="1">
        <w:r w:rsidRPr="00DC4A8A">
          <w:rPr>
            <w:rStyle w:val="Hyperlink"/>
            <w:rFonts w:ascii="Times New Roman" w:hAnsi="Times New Roman" w:cs="Times New Roman"/>
          </w:rPr>
          <w:t>https://feednyc.org/resources</w:t>
        </w:r>
      </w:hyperlink>
      <w:r w:rsidRPr="00DC4A8A">
        <w:rPr>
          <w:rFonts w:ascii="Times New Roman" w:hAnsi="Times New Roman" w:cs="Times New Roman"/>
        </w:rPr>
        <w:t xml:space="preserve"> (last visited Apr. 6, 2023).</w:t>
      </w:r>
    </w:p>
  </w:footnote>
  <w:footnote w:id="42">
    <w:p w14:paraId="72F6920F" w14:textId="77777777" w:rsidR="005A6A21" w:rsidRPr="00DC4A8A" w:rsidRDefault="005A6A21" w:rsidP="00CA1159">
      <w:pPr>
        <w:pStyle w:val="FootnoteText"/>
        <w:rPr>
          <w:rFonts w:ascii="Times New Roman" w:hAnsi="Times New Roman" w:cs="Times New Roman"/>
        </w:rPr>
      </w:pPr>
      <w:r w:rsidRPr="00DC4A8A">
        <w:rPr>
          <w:rStyle w:val="FootnoteReference"/>
          <w:rFonts w:ascii="Times New Roman" w:hAnsi="Times New Roman" w:cs="Times New Roman"/>
        </w:rPr>
        <w:footnoteRef/>
      </w:r>
      <w:r w:rsidRPr="00DC4A8A">
        <w:rPr>
          <w:rFonts w:ascii="Times New Roman" w:hAnsi="Times New Roman" w:cs="Times New Roman"/>
        </w:rPr>
        <w:t xml:space="preserve"> Human Resources Administration, “NYC Food Pantries and Community Kitchens”, as of March 6, 2023, see: </w:t>
      </w:r>
      <w:hyperlink r:id="rId27" w:history="1">
        <w:r w:rsidRPr="00DC4A8A">
          <w:rPr>
            <w:rStyle w:val="Hyperlink"/>
            <w:rFonts w:ascii="Times New Roman" w:hAnsi="Times New Roman" w:cs="Times New Roman"/>
          </w:rPr>
          <w:t>https://www.nyc.gov/assets/hra/downloads/pdf/services/efap/CFC_ACTIVE.pdf</w:t>
        </w:r>
      </w:hyperlink>
      <w:r w:rsidRPr="00DC4A8A">
        <w:rPr>
          <w:rFonts w:ascii="Times New Roman" w:hAnsi="Times New Roman" w:cs="Times New Roman"/>
        </w:rPr>
        <w:t xml:space="preserve">. </w:t>
      </w:r>
    </w:p>
  </w:footnote>
  <w:footnote w:id="43">
    <w:p w14:paraId="05B0051A" w14:textId="5D5DB56D" w:rsidR="005A6A21" w:rsidRPr="003C187F" w:rsidRDefault="005A6A21" w:rsidP="00172A6F">
      <w:pPr>
        <w:pStyle w:val="FootnoteText"/>
        <w:rPr>
          <w:rFonts w:ascii="Times New Roman" w:hAnsi="Times New Roman" w:cs="Times New Roman"/>
        </w:rPr>
      </w:pPr>
      <w:r w:rsidRPr="003C187F">
        <w:rPr>
          <w:rStyle w:val="FootnoteReference"/>
          <w:rFonts w:ascii="Times New Roman" w:hAnsi="Times New Roman" w:cs="Times New Roman"/>
        </w:rPr>
        <w:footnoteRef/>
      </w:r>
      <w:r w:rsidRPr="003C187F">
        <w:rPr>
          <w:rFonts w:ascii="Times New Roman" w:hAnsi="Times New Roman" w:cs="Times New Roman"/>
        </w:rPr>
        <w:t xml:space="preserve"> Food Bank for New York City, “Hunger Cannot Afford to Be Hidden,” Nov. 2019, </w:t>
      </w:r>
      <w:r w:rsidRPr="003C187F">
        <w:rPr>
          <w:rFonts w:ascii="Times New Roman" w:hAnsi="Times New Roman" w:cs="Times New Roman"/>
          <w:i/>
        </w:rPr>
        <w:t>available at</w:t>
      </w:r>
      <w:r w:rsidRPr="003C187F">
        <w:rPr>
          <w:rFonts w:ascii="Times New Roman" w:hAnsi="Times New Roman" w:cs="Times New Roman"/>
        </w:rPr>
        <w:t xml:space="preserve"> </w:t>
      </w:r>
      <w:hyperlink r:id="rId28" w:history="1">
        <w:r w:rsidRPr="003C187F">
          <w:rPr>
            <w:rStyle w:val="Hyperlink"/>
            <w:rFonts w:ascii="Times New Roman" w:hAnsi="Times New Roman" w:cs="Times New Roman"/>
          </w:rPr>
          <w:t>https://fbnyc.wpenginepowered.com/wp-content/uploads/Hunger-Cannot-Afford-to-Be-Hidden-2019-Research-Report_Food-Bank-For-New-York-City-11.25.19.pdf</w:t>
        </w:r>
      </w:hyperlink>
      <w:r w:rsidRPr="003C187F">
        <w:rPr>
          <w:rFonts w:ascii="Times New Roman" w:hAnsi="Times New Roman" w:cs="Times New Roman"/>
        </w:rPr>
        <w:t xml:space="preserve"> (last visited Apr. 6, 2023).</w:t>
      </w:r>
    </w:p>
  </w:footnote>
  <w:footnote w:id="44">
    <w:p w14:paraId="77A536F0" w14:textId="1E615466" w:rsidR="005A6A21" w:rsidRPr="003C187F" w:rsidRDefault="005A6A21">
      <w:pPr>
        <w:pStyle w:val="FootnoteText"/>
        <w:rPr>
          <w:rFonts w:ascii="Times New Roman" w:hAnsi="Times New Roman" w:cs="Times New Roman"/>
        </w:rPr>
      </w:pPr>
      <w:r w:rsidRPr="003C187F">
        <w:rPr>
          <w:rStyle w:val="FootnoteReference"/>
          <w:rFonts w:ascii="Times New Roman" w:hAnsi="Times New Roman" w:cs="Times New Roman"/>
        </w:rPr>
        <w:footnoteRef/>
      </w:r>
      <w:r w:rsidRPr="003C187F">
        <w:rPr>
          <w:rFonts w:ascii="Times New Roman" w:hAnsi="Times New Roman" w:cs="Times New Roman"/>
        </w:rPr>
        <w:t xml:space="preserve"> Food Metrics Report 2022, </w:t>
      </w:r>
      <w:r w:rsidRPr="003C187F">
        <w:rPr>
          <w:rFonts w:ascii="Times New Roman" w:hAnsi="Times New Roman" w:cs="Times New Roman"/>
          <w:i/>
          <w:iCs/>
        </w:rPr>
        <w:t>supra</w:t>
      </w:r>
      <w:r w:rsidRPr="003C187F">
        <w:rPr>
          <w:rFonts w:ascii="Times New Roman" w:hAnsi="Times New Roman" w:cs="Times New Roman"/>
        </w:rPr>
        <w:t xml:space="preserve"> note 10. </w:t>
      </w:r>
    </w:p>
  </w:footnote>
  <w:footnote w:id="45">
    <w:p w14:paraId="5BFF73B9" w14:textId="1F1A3C2F" w:rsidR="005A6A21" w:rsidRPr="003C187F" w:rsidRDefault="005A6A21">
      <w:pPr>
        <w:pStyle w:val="FootnoteText"/>
        <w:rPr>
          <w:rFonts w:ascii="Times New Roman" w:hAnsi="Times New Roman" w:cs="Times New Roman"/>
        </w:rPr>
      </w:pPr>
      <w:r w:rsidRPr="003C187F">
        <w:rPr>
          <w:rStyle w:val="FootnoteReference"/>
          <w:rFonts w:ascii="Times New Roman" w:hAnsi="Times New Roman" w:cs="Times New Roman"/>
        </w:rPr>
        <w:footnoteRef/>
      </w:r>
      <w:r w:rsidRPr="003C187F">
        <w:rPr>
          <w:rFonts w:ascii="Times New Roman" w:hAnsi="Times New Roman" w:cs="Times New Roman"/>
        </w:rPr>
        <w:t xml:space="preserve"> </w:t>
      </w:r>
      <w:r w:rsidRPr="003C187F">
        <w:rPr>
          <w:rFonts w:ascii="Times New Roman" w:hAnsi="Times New Roman" w:cs="Times New Roman"/>
          <w:i/>
          <w:iCs/>
        </w:rPr>
        <w:t>Id.</w:t>
      </w:r>
      <w:r w:rsidRPr="003C187F">
        <w:rPr>
          <w:rFonts w:ascii="Times New Roman" w:hAnsi="Times New Roman" w:cs="Times New Roman"/>
        </w:rPr>
        <w:t xml:space="preserve"> </w:t>
      </w:r>
    </w:p>
  </w:footnote>
  <w:footnote w:id="46">
    <w:p w14:paraId="0E55C145" w14:textId="7365E56F" w:rsidR="005A6A21" w:rsidRPr="003C187F" w:rsidRDefault="005A6A21" w:rsidP="00172A6F">
      <w:pPr>
        <w:pStyle w:val="FootnoteText"/>
        <w:rPr>
          <w:rFonts w:ascii="Times New Roman" w:hAnsi="Times New Roman" w:cs="Times New Roman"/>
        </w:rPr>
      </w:pPr>
      <w:r w:rsidRPr="003C187F">
        <w:rPr>
          <w:rStyle w:val="FootnoteReference"/>
          <w:rFonts w:ascii="Times New Roman" w:hAnsi="Times New Roman" w:cs="Times New Roman"/>
        </w:rPr>
        <w:footnoteRef/>
      </w:r>
      <w:r w:rsidRPr="003C187F">
        <w:rPr>
          <w:rFonts w:ascii="Times New Roman" w:hAnsi="Times New Roman" w:cs="Times New Roman"/>
        </w:rPr>
        <w:t xml:space="preserve"> Food Bank for NYC, “Reflections of Hunger,” Nov. 2018, </w:t>
      </w:r>
      <w:r w:rsidRPr="003C187F">
        <w:rPr>
          <w:rFonts w:ascii="Times New Roman" w:hAnsi="Times New Roman" w:cs="Times New Roman"/>
          <w:i/>
        </w:rPr>
        <w:t>available at</w:t>
      </w:r>
      <w:r w:rsidRPr="003C187F">
        <w:rPr>
          <w:rFonts w:ascii="Times New Roman" w:hAnsi="Times New Roman" w:cs="Times New Roman"/>
        </w:rPr>
        <w:t xml:space="preserve"> </w:t>
      </w:r>
      <w:hyperlink r:id="rId29" w:history="1">
        <w:r w:rsidRPr="003C187F">
          <w:rPr>
            <w:rStyle w:val="Hyperlink"/>
            <w:rFonts w:ascii="Times New Roman" w:hAnsi="Times New Roman" w:cs="Times New Roman"/>
          </w:rPr>
          <w:t>https://www.foodbanknyc.org/state-of-hunger-in-nyc-new-data-from-food-bank-for-new-york-city/</w:t>
        </w:r>
      </w:hyperlink>
      <w:r w:rsidRPr="003C187F">
        <w:rPr>
          <w:rFonts w:ascii="Times New Roman" w:hAnsi="Times New Roman" w:cs="Times New Roman"/>
        </w:rPr>
        <w:t xml:space="preserve"> (last visited Apr. 6, 2023).</w:t>
      </w:r>
    </w:p>
  </w:footnote>
  <w:footnote w:id="47">
    <w:p w14:paraId="0AE42AFE" w14:textId="77777777" w:rsidR="005A6A21" w:rsidRPr="003C187F" w:rsidRDefault="005A6A21" w:rsidP="00172A6F">
      <w:pPr>
        <w:pStyle w:val="FootnoteText"/>
        <w:rPr>
          <w:rFonts w:ascii="Times New Roman" w:hAnsi="Times New Roman" w:cs="Times New Roman"/>
        </w:rPr>
      </w:pPr>
      <w:r w:rsidRPr="003C187F">
        <w:rPr>
          <w:rStyle w:val="FootnoteReference"/>
          <w:rFonts w:ascii="Times New Roman" w:hAnsi="Times New Roman" w:cs="Times New Roman"/>
        </w:rPr>
        <w:footnoteRef/>
      </w:r>
      <w:r w:rsidRPr="003C187F">
        <w:rPr>
          <w:rFonts w:ascii="Times New Roman" w:hAnsi="Times New Roman" w:cs="Times New Roman"/>
        </w:rPr>
        <w:t xml:space="preserve"> </w:t>
      </w:r>
      <w:r w:rsidRPr="003C187F">
        <w:rPr>
          <w:rFonts w:ascii="Times New Roman" w:hAnsi="Times New Roman" w:cs="Times New Roman"/>
          <w:i/>
        </w:rPr>
        <w:t>Id.</w:t>
      </w:r>
    </w:p>
  </w:footnote>
  <w:footnote w:id="48">
    <w:p w14:paraId="6E520B37" w14:textId="77777777" w:rsidR="005A6A21" w:rsidRPr="003C187F" w:rsidRDefault="005A6A21" w:rsidP="00172A6F">
      <w:pPr>
        <w:pStyle w:val="FootnoteText"/>
        <w:rPr>
          <w:rFonts w:ascii="Times New Roman" w:hAnsi="Times New Roman" w:cs="Times New Roman"/>
        </w:rPr>
      </w:pPr>
      <w:r w:rsidRPr="003C187F">
        <w:rPr>
          <w:rStyle w:val="FootnoteReference"/>
          <w:rFonts w:ascii="Times New Roman" w:hAnsi="Times New Roman" w:cs="Times New Roman"/>
        </w:rPr>
        <w:footnoteRef/>
      </w:r>
      <w:r w:rsidRPr="003C187F">
        <w:rPr>
          <w:rFonts w:ascii="Times New Roman" w:hAnsi="Times New Roman" w:cs="Times New Roman"/>
        </w:rPr>
        <w:t xml:space="preserve"> </w:t>
      </w:r>
      <w:r w:rsidRPr="003C187F">
        <w:rPr>
          <w:rFonts w:ascii="Times New Roman" w:hAnsi="Times New Roman" w:cs="Times New Roman"/>
          <w:i/>
        </w:rPr>
        <w:t>Id.</w:t>
      </w:r>
    </w:p>
  </w:footnote>
  <w:footnote w:id="49">
    <w:p w14:paraId="415E2572" w14:textId="12B4F087" w:rsidR="005A6A21" w:rsidRPr="00BB2336" w:rsidRDefault="005A6A21">
      <w:pPr>
        <w:pStyle w:val="FootnoteText"/>
        <w:rPr>
          <w:rFonts w:ascii="Times New Roman" w:hAnsi="Times New Roman" w:cs="Times New Roman"/>
        </w:rPr>
      </w:pPr>
      <w:r w:rsidRPr="00BB2336">
        <w:rPr>
          <w:rStyle w:val="FootnoteReference"/>
          <w:rFonts w:ascii="Times New Roman" w:hAnsi="Times New Roman" w:cs="Times New Roman"/>
        </w:rPr>
        <w:footnoteRef/>
      </w:r>
      <w:r w:rsidRPr="00BB2336">
        <w:rPr>
          <w:rFonts w:ascii="Times New Roman" w:hAnsi="Times New Roman" w:cs="Times New Roman"/>
        </w:rPr>
        <w:t xml:space="preserve"> Food Bank for New York City, </w:t>
      </w:r>
      <w:r w:rsidRPr="00BB2336">
        <w:rPr>
          <w:rFonts w:ascii="Times New Roman" w:hAnsi="Times New Roman" w:cs="Times New Roman"/>
          <w:i/>
        </w:rPr>
        <w:t>Fighting More Than Covid-19: Unmasking the State of Hunger in NYC During a Pandemic</w:t>
      </w:r>
      <w:r w:rsidRPr="00BB2336">
        <w:rPr>
          <w:rFonts w:ascii="Times New Roman" w:hAnsi="Times New Roman" w:cs="Times New Roman"/>
        </w:rPr>
        <w:t xml:space="preserve"> (Jun. 2020), </w:t>
      </w:r>
      <w:r w:rsidRPr="00BB2336">
        <w:rPr>
          <w:rFonts w:ascii="Times New Roman" w:hAnsi="Times New Roman" w:cs="Times New Roman"/>
          <w:i/>
        </w:rPr>
        <w:t>available at</w:t>
      </w:r>
      <w:r w:rsidRPr="00BB2336">
        <w:rPr>
          <w:rFonts w:ascii="Times New Roman" w:hAnsi="Times New Roman" w:cs="Times New Roman"/>
        </w:rPr>
        <w:t xml:space="preserve"> https://www.foodbanknyc.org/wp-content/uploads/Fighting-More-Than-Covid-19_Research-Report_Food-Bank-For-New-York-City_6.09.20_web.pdf.</w:t>
      </w:r>
    </w:p>
  </w:footnote>
  <w:footnote w:id="50">
    <w:p w14:paraId="59278EB3" w14:textId="6363AEFA" w:rsidR="005A6A21" w:rsidRPr="00BB2336" w:rsidRDefault="005A6A21">
      <w:pPr>
        <w:pStyle w:val="FootnoteText"/>
        <w:rPr>
          <w:rFonts w:ascii="Times New Roman" w:eastAsia="Times New Roman" w:hAnsi="Times New Roman" w:cs="Times New Roman"/>
        </w:rPr>
      </w:pPr>
      <w:r w:rsidRPr="00BB2336">
        <w:rPr>
          <w:rStyle w:val="FootnoteReference"/>
          <w:rFonts w:ascii="Times New Roman" w:hAnsi="Times New Roman" w:cs="Times New Roman"/>
        </w:rPr>
        <w:footnoteRef/>
      </w:r>
      <w:r w:rsidRPr="00BB2336">
        <w:rPr>
          <w:rFonts w:ascii="Times New Roman" w:hAnsi="Times New Roman" w:cs="Times New Roman"/>
        </w:rPr>
        <w:t xml:space="preserve"> </w:t>
      </w:r>
      <w:r w:rsidRPr="007A4D31">
        <w:rPr>
          <w:rFonts w:ascii="Times New Roman" w:eastAsia="Times New Roman" w:hAnsi="Times New Roman" w:cs="Times New Roman"/>
        </w:rPr>
        <w:t xml:space="preserve">Aisha Coleman-Jensen, et al., </w:t>
      </w:r>
      <w:r w:rsidRPr="007A4D31">
        <w:rPr>
          <w:rFonts w:ascii="Times New Roman" w:eastAsia="Times New Roman" w:hAnsi="Times New Roman" w:cs="Times New Roman"/>
          <w:i/>
        </w:rPr>
        <w:t>Household Food Security in the United States in 2021</w:t>
      </w:r>
      <w:r w:rsidRPr="007A4D31">
        <w:rPr>
          <w:rFonts w:ascii="Times New Roman" w:eastAsia="Times New Roman" w:hAnsi="Times New Roman" w:cs="Times New Roman"/>
        </w:rPr>
        <w:t xml:space="preserve">, Economic Research Service, U.S. Department of Agriculture (Sept. 2022), </w:t>
      </w:r>
      <w:r w:rsidRPr="007A4D31">
        <w:rPr>
          <w:rFonts w:ascii="Times New Roman" w:eastAsia="Times New Roman" w:hAnsi="Times New Roman" w:cs="Times New Roman"/>
          <w:i/>
        </w:rPr>
        <w:t xml:space="preserve">available at </w:t>
      </w:r>
      <w:r w:rsidRPr="007A4D31">
        <w:rPr>
          <w:rFonts w:ascii="Times New Roman" w:eastAsia="Times New Roman" w:hAnsi="Times New Roman" w:cs="Times New Roman"/>
        </w:rPr>
        <w:t>https://www.ers.usda.gov/webdocs/publications/104656/err-309.pdf?v=9010.9.</w:t>
      </w:r>
    </w:p>
  </w:footnote>
  <w:footnote w:id="51">
    <w:p w14:paraId="36C269D0" w14:textId="52567B3E" w:rsidR="005A6A21" w:rsidRPr="00BB2336" w:rsidRDefault="005A6A21">
      <w:pPr>
        <w:pStyle w:val="FootnoteText"/>
        <w:rPr>
          <w:rFonts w:ascii="Times New Roman" w:hAnsi="Times New Roman" w:cs="Times New Roman"/>
        </w:rPr>
      </w:pPr>
      <w:r w:rsidRPr="00BB2336">
        <w:rPr>
          <w:rStyle w:val="FootnoteReference"/>
          <w:rFonts w:ascii="Times New Roman" w:hAnsi="Times New Roman" w:cs="Times New Roman"/>
        </w:rPr>
        <w:footnoteRef/>
      </w:r>
      <w:r w:rsidRPr="00BB2336">
        <w:rPr>
          <w:rFonts w:ascii="Times New Roman" w:hAnsi="Times New Roman" w:cs="Times New Roman"/>
        </w:rPr>
        <w:t xml:space="preserve"> </w:t>
      </w:r>
      <w:r w:rsidRPr="00BB2336">
        <w:rPr>
          <w:rFonts w:ascii="Times New Roman" w:hAnsi="Times New Roman" w:cs="Times New Roman"/>
          <w:i/>
          <w:iCs/>
        </w:rPr>
        <w:t>Id.</w:t>
      </w:r>
    </w:p>
  </w:footnote>
  <w:footnote w:id="52">
    <w:p w14:paraId="49F3D3FF" w14:textId="1D87E47D" w:rsidR="005A6A21" w:rsidRPr="00BB2336" w:rsidRDefault="005A6A21">
      <w:pPr>
        <w:pStyle w:val="FootnoteText"/>
        <w:rPr>
          <w:rFonts w:ascii="Times New Roman" w:hAnsi="Times New Roman" w:cs="Times New Roman"/>
        </w:rPr>
      </w:pPr>
      <w:r w:rsidRPr="00BB2336">
        <w:rPr>
          <w:rStyle w:val="FootnoteReference"/>
          <w:rFonts w:ascii="Times New Roman" w:hAnsi="Times New Roman" w:cs="Times New Roman"/>
        </w:rPr>
        <w:footnoteRef/>
      </w:r>
      <w:r w:rsidRPr="00BB2336">
        <w:rPr>
          <w:rFonts w:ascii="Times New Roman" w:hAnsi="Times New Roman" w:cs="Times New Roman"/>
        </w:rPr>
        <w:t xml:space="preserve"> Irene Lew, </w:t>
      </w:r>
      <w:r w:rsidRPr="00BB2336">
        <w:rPr>
          <w:rFonts w:ascii="Times New Roman" w:hAnsi="Times New Roman" w:cs="Times New Roman"/>
          <w:i/>
        </w:rPr>
        <w:t>Settlement Houses on the Frontlines of Alleviating Food Insecurity</w:t>
      </w:r>
      <w:r w:rsidRPr="00BB2336">
        <w:rPr>
          <w:rFonts w:ascii="Times New Roman" w:hAnsi="Times New Roman" w:cs="Times New Roman"/>
        </w:rPr>
        <w:t xml:space="preserve">, United Neighborhood Houses (Oct. 2022), </w:t>
      </w:r>
      <w:r w:rsidRPr="00BB2336">
        <w:rPr>
          <w:rFonts w:ascii="Times New Roman" w:hAnsi="Times New Roman" w:cs="Times New Roman"/>
          <w:i/>
        </w:rPr>
        <w:t>available at</w:t>
      </w:r>
      <w:r w:rsidRPr="00BB2336">
        <w:rPr>
          <w:rFonts w:ascii="Times New Roman" w:hAnsi="Times New Roman" w:cs="Times New Roman"/>
        </w:rPr>
        <w:t xml:space="preserve"> </w:t>
      </w:r>
      <w:hyperlink r:id="rId30" w:history="1">
        <w:r w:rsidRPr="00BB2336">
          <w:rPr>
            <w:rStyle w:val="Hyperlink"/>
            <w:rFonts w:ascii="Times New Roman" w:hAnsi="Times New Roman" w:cs="Times New Roman"/>
          </w:rPr>
          <w:t>https://uploads.prod01.oregon.platform-os.com/instances/542/assets/(FINAL)%20105%20-%20Food%20Insecurity%20Report%20-%20AS%20%20.pdf?updated=1664983862</w:t>
        </w:r>
      </w:hyperlink>
      <w:r w:rsidRPr="00BB2336">
        <w:rPr>
          <w:rFonts w:ascii="Times New Roman" w:hAnsi="Times New Roman" w:cs="Times New Roman"/>
        </w:rPr>
        <w:t xml:space="preserve">. </w:t>
      </w:r>
    </w:p>
  </w:footnote>
  <w:footnote w:id="53">
    <w:p w14:paraId="3628611B" w14:textId="33366622" w:rsidR="005A6A21" w:rsidRPr="00BB2336" w:rsidRDefault="005A6A21">
      <w:pPr>
        <w:pStyle w:val="FootnoteText"/>
        <w:rPr>
          <w:rFonts w:ascii="Times New Roman" w:hAnsi="Times New Roman" w:cs="Times New Roman"/>
        </w:rPr>
      </w:pPr>
      <w:r w:rsidRPr="00BB2336">
        <w:rPr>
          <w:rStyle w:val="FootnoteReference"/>
          <w:rFonts w:ascii="Times New Roman" w:hAnsi="Times New Roman" w:cs="Times New Roman"/>
        </w:rPr>
        <w:footnoteRef/>
      </w:r>
      <w:r w:rsidRPr="00BB2336">
        <w:rPr>
          <w:rFonts w:ascii="Times New Roman" w:hAnsi="Times New Roman" w:cs="Times New Roman"/>
        </w:rPr>
        <w:t xml:space="preserve"> Food Research &amp; Action Center, </w:t>
      </w:r>
      <w:r w:rsidRPr="00BB2336">
        <w:rPr>
          <w:rFonts w:ascii="Times New Roman" w:hAnsi="Times New Roman" w:cs="Times New Roman"/>
          <w:i/>
          <w:iCs/>
        </w:rPr>
        <w:t>New York: SNAP Matters for Seniors</w:t>
      </w:r>
      <w:r w:rsidRPr="00BB2336">
        <w:rPr>
          <w:rFonts w:ascii="Times New Roman" w:hAnsi="Times New Roman" w:cs="Times New Roman"/>
        </w:rPr>
        <w:t xml:space="preserve">, </w:t>
      </w:r>
      <w:hyperlink r:id="rId31" w:history="1">
        <w:r w:rsidRPr="00BB2336">
          <w:rPr>
            <w:rStyle w:val="Hyperlink"/>
            <w:rFonts w:ascii="Times New Roman" w:hAnsi="Times New Roman" w:cs="Times New Roman"/>
          </w:rPr>
          <w:t>https://frac.org/wp-content/uploads/senior_facts_NY.pdf</w:t>
        </w:r>
      </w:hyperlink>
      <w:r w:rsidRPr="00BB2336">
        <w:rPr>
          <w:rFonts w:ascii="Times New Roman" w:hAnsi="Times New Roman" w:cs="Times New Roman"/>
        </w:rPr>
        <w:t xml:space="preserve"> (updated Feb. 2019). </w:t>
      </w:r>
    </w:p>
  </w:footnote>
  <w:footnote w:id="54">
    <w:p w14:paraId="6B9E2E1D" w14:textId="46B87AF8" w:rsidR="005A6A21" w:rsidRPr="007A4D31" w:rsidRDefault="005A6A21">
      <w:pPr>
        <w:pStyle w:val="FootnoteText"/>
        <w:rPr>
          <w:rFonts w:ascii="Times New Roman" w:hAnsi="Times New Roman" w:cs="Times New Roman"/>
        </w:rPr>
      </w:pPr>
      <w:r w:rsidRPr="007A4D31">
        <w:rPr>
          <w:rStyle w:val="FootnoteReference"/>
          <w:rFonts w:ascii="Times New Roman" w:hAnsi="Times New Roman" w:cs="Times New Roman"/>
        </w:rPr>
        <w:footnoteRef/>
      </w:r>
      <w:r w:rsidRPr="007A4D31">
        <w:rPr>
          <w:rFonts w:ascii="Times New Roman" w:hAnsi="Times New Roman" w:cs="Times New Roman"/>
        </w:rPr>
        <w:t xml:space="preserve"> New York City Council, “Response to the Fiscal 2024 Preliminary Budget and Preliminary Mayor’s Management Report”, </w:t>
      </w:r>
      <w:r w:rsidRPr="007A4D31">
        <w:rPr>
          <w:rFonts w:ascii="Times New Roman" w:hAnsi="Times New Roman" w:cs="Times New Roman"/>
          <w:i/>
          <w:iCs/>
        </w:rPr>
        <w:t>see</w:t>
      </w:r>
      <w:r w:rsidRPr="007A4D31">
        <w:rPr>
          <w:rFonts w:ascii="Times New Roman" w:hAnsi="Times New Roman" w:cs="Times New Roman"/>
        </w:rPr>
        <w:t xml:space="preserve">: </w:t>
      </w:r>
      <w:hyperlink r:id="rId32" w:history="1">
        <w:r w:rsidRPr="007A4D31">
          <w:rPr>
            <w:rStyle w:val="Hyperlink"/>
            <w:rFonts w:ascii="Times New Roman" w:hAnsi="Times New Roman" w:cs="Times New Roman"/>
          </w:rPr>
          <w:t>https://council.nyc.gov/wp-content/uploads/sites/54/2023/04/Fiscal-2024-Preliminary-Budget-Response-Final-1.pdf</w:t>
        </w:r>
      </w:hyperlink>
      <w:r>
        <w:rPr>
          <w:rFonts w:ascii="Times New Roman" w:hAnsi="Times New Roman" w:cs="Times New Roman"/>
        </w:rPr>
        <w:t>.</w:t>
      </w:r>
    </w:p>
  </w:footnote>
  <w:footnote w:id="55">
    <w:p w14:paraId="747545B2" w14:textId="5A0D8888" w:rsidR="005A6A21" w:rsidRPr="00BB2336" w:rsidRDefault="005A6A21">
      <w:pPr>
        <w:pStyle w:val="FootnoteText"/>
        <w:rPr>
          <w:rFonts w:ascii="Times New Roman" w:hAnsi="Times New Roman" w:cs="Times New Roman"/>
        </w:rPr>
      </w:pPr>
      <w:r w:rsidRPr="00BB2336">
        <w:rPr>
          <w:rStyle w:val="FootnoteReference"/>
          <w:rFonts w:ascii="Times New Roman" w:hAnsi="Times New Roman" w:cs="Times New Roman"/>
        </w:rPr>
        <w:footnoteRef/>
      </w:r>
      <w:r w:rsidRPr="00BB2336">
        <w:rPr>
          <w:rFonts w:ascii="Times New Roman" w:hAnsi="Times New Roman" w:cs="Times New Roman"/>
        </w:rPr>
        <w:t xml:space="preserve"> NYC Mayor’s Office of Food Policy, </w:t>
      </w:r>
      <w:r w:rsidRPr="00BB2336">
        <w:rPr>
          <w:rFonts w:ascii="Times New Roman" w:hAnsi="Times New Roman" w:cs="Times New Roman"/>
          <w:i/>
        </w:rPr>
        <w:t xml:space="preserve">Food Metrics Report 2022 </w:t>
      </w:r>
      <w:r w:rsidRPr="00BB2336">
        <w:rPr>
          <w:rFonts w:ascii="Times New Roman" w:hAnsi="Times New Roman" w:cs="Times New Roman"/>
        </w:rPr>
        <w:t xml:space="preserve">1, 10 (Dec. 2022), </w:t>
      </w:r>
      <w:hyperlink r:id="rId33" w:history="1">
        <w:r w:rsidRPr="00BB2336">
          <w:rPr>
            <w:rStyle w:val="Hyperlink"/>
            <w:rFonts w:ascii="Times New Roman" w:hAnsi="Times New Roman" w:cs="Times New Roman"/>
          </w:rPr>
          <w:t>https://www.nyc.gov/assets/foodpolicy/downloads/pdf/Food%20Metrics%20Report%20FY%202022_FINAL.pdf</w:t>
        </w:r>
      </w:hyperlink>
      <w:r w:rsidRPr="00BB2336">
        <w:rPr>
          <w:rFonts w:ascii="Times New Roman" w:hAnsi="Times New Roman" w:cs="Times New Roman"/>
        </w:rPr>
        <w:t>.</w:t>
      </w:r>
      <w:r w:rsidRPr="007A4D31">
        <w:rPr>
          <w:rFonts w:ascii="Times New Roman" w:hAnsi="Times New Roman" w:cs="Times New Roman"/>
        </w:rPr>
        <w:t xml:space="preserve"> </w:t>
      </w:r>
    </w:p>
  </w:footnote>
  <w:footnote w:id="56">
    <w:p w14:paraId="701C32CD" w14:textId="77777777" w:rsidR="005A6A21" w:rsidRPr="00BB2336" w:rsidRDefault="005A6A21" w:rsidP="0094567F">
      <w:pPr>
        <w:pStyle w:val="FootnoteText"/>
        <w:rPr>
          <w:rFonts w:ascii="Times New Roman" w:hAnsi="Times New Roman" w:cs="Times New Roman"/>
        </w:rPr>
      </w:pPr>
      <w:r w:rsidRPr="00BB2336">
        <w:rPr>
          <w:rStyle w:val="FootnoteReference"/>
          <w:rFonts w:ascii="Times New Roman" w:hAnsi="Times New Roman" w:cs="Times New Roman"/>
        </w:rPr>
        <w:footnoteRef/>
      </w:r>
      <w:r w:rsidRPr="00BB2336">
        <w:rPr>
          <w:rFonts w:ascii="Times New Roman" w:hAnsi="Times New Roman" w:cs="Times New Roman"/>
        </w:rPr>
        <w:t xml:space="preserve"> Hunger Solutions New York, </w:t>
      </w:r>
      <w:r w:rsidRPr="00BB2336">
        <w:rPr>
          <w:rFonts w:ascii="Times New Roman" w:hAnsi="Times New Roman" w:cs="Times New Roman"/>
          <w:i/>
        </w:rPr>
        <w:t>SNAP &amp; Seniors Professional Network</w:t>
      </w:r>
      <w:r w:rsidRPr="00BB2336">
        <w:rPr>
          <w:rFonts w:ascii="Times New Roman" w:hAnsi="Times New Roman" w:cs="Times New Roman"/>
        </w:rPr>
        <w:t>, https://hungersolutionsny.org/federal-nutrition-programs/snap/snap-and-seniors/ (last visited Dec. 8, 2022).</w:t>
      </w:r>
    </w:p>
  </w:footnote>
  <w:footnote w:id="57">
    <w:p w14:paraId="33B7DFDD" w14:textId="42E5F2D5" w:rsidR="005A6A21" w:rsidRPr="008642B1" w:rsidRDefault="005A6A21">
      <w:pPr>
        <w:pStyle w:val="FootnoteText"/>
        <w:rPr>
          <w:rFonts w:ascii="Times New Roman" w:hAnsi="Times New Roman" w:cs="Times New Roman"/>
        </w:rPr>
      </w:pPr>
      <w:r w:rsidRPr="008642B1">
        <w:rPr>
          <w:rStyle w:val="FootnoteReference"/>
          <w:rFonts w:ascii="Times New Roman" w:hAnsi="Times New Roman" w:cs="Times New Roman"/>
        </w:rPr>
        <w:footnoteRef/>
      </w:r>
      <w:r w:rsidRPr="008642B1">
        <w:rPr>
          <w:rFonts w:ascii="Times New Roman" w:hAnsi="Times New Roman" w:cs="Times New Roman"/>
        </w:rPr>
        <w:t xml:space="preserve"> New York State Comptroller Thomas DiNapoli, </w:t>
      </w:r>
      <w:r w:rsidRPr="008642B1">
        <w:rPr>
          <w:rFonts w:ascii="Times New Roman" w:hAnsi="Times New Roman" w:cs="Times New Roman"/>
          <w:i/>
        </w:rPr>
        <w:t>New Yorkers in Need:</w:t>
      </w:r>
      <w:r w:rsidRPr="008642B1">
        <w:rPr>
          <w:rFonts w:ascii="Times New Roman" w:hAnsi="Times New Roman" w:cs="Times New Roman"/>
        </w:rPr>
        <w:t xml:space="preserve"> </w:t>
      </w:r>
      <w:r w:rsidRPr="008642B1">
        <w:rPr>
          <w:rFonts w:ascii="Times New Roman" w:hAnsi="Times New Roman" w:cs="Times New Roman"/>
          <w:i/>
        </w:rPr>
        <w:t>Food Insecurity and Nutritional Assistance Programs</w:t>
      </w:r>
      <w:r>
        <w:rPr>
          <w:rFonts w:ascii="Times New Roman" w:hAnsi="Times New Roman" w:cs="Times New Roman"/>
        </w:rPr>
        <w:t xml:space="preserve"> (Mar. 2023),</w:t>
      </w:r>
      <w:r w:rsidRPr="008642B1">
        <w:rPr>
          <w:rFonts w:ascii="Times New Roman" w:hAnsi="Times New Roman" w:cs="Times New Roman"/>
        </w:rPr>
        <w:t xml:space="preserve"> </w:t>
      </w:r>
      <w:hyperlink r:id="rId34" w:history="1">
        <w:r w:rsidRPr="008642B1">
          <w:rPr>
            <w:rStyle w:val="Hyperlink"/>
            <w:rFonts w:ascii="Times New Roman" w:hAnsi="Times New Roman" w:cs="Times New Roman"/>
          </w:rPr>
          <w:t>https://www.osc.state.ny.us/files/reports/pdf/new-yorkers-in-need-food-insecurity.pdf</w:t>
        </w:r>
      </w:hyperlink>
      <w:r w:rsidRPr="008642B1">
        <w:rPr>
          <w:rFonts w:ascii="Times New Roman" w:hAnsi="Times New Roman" w:cs="Times New Roman"/>
        </w:rPr>
        <w:t xml:space="preserve">. </w:t>
      </w:r>
    </w:p>
  </w:footnote>
  <w:footnote w:id="58">
    <w:p w14:paraId="41878770" w14:textId="315C9487" w:rsidR="005A6A21" w:rsidRPr="00BB2336" w:rsidRDefault="005A6A21">
      <w:pPr>
        <w:pStyle w:val="FootnoteText"/>
        <w:rPr>
          <w:rFonts w:ascii="Times New Roman" w:hAnsi="Times New Roman" w:cs="Times New Roman"/>
        </w:rPr>
      </w:pPr>
      <w:r w:rsidRPr="00BB2336">
        <w:rPr>
          <w:rStyle w:val="FootnoteReference"/>
          <w:rFonts w:ascii="Times New Roman" w:hAnsi="Times New Roman" w:cs="Times New Roman"/>
        </w:rPr>
        <w:footnoteRef/>
      </w:r>
      <w:r w:rsidRPr="00BB2336">
        <w:rPr>
          <w:rFonts w:ascii="Times New Roman" w:hAnsi="Times New Roman" w:cs="Times New Roman"/>
        </w:rPr>
        <w:t xml:space="preserve"> Stratman, Josephine, </w:t>
      </w:r>
      <w:r w:rsidRPr="00BB2336">
        <w:rPr>
          <w:rFonts w:ascii="Times New Roman" w:hAnsi="Times New Roman" w:cs="Times New Roman"/>
          <w:i/>
          <w:iCs/>
        </w:rPr>
        <w:t xml:space="preserve">More than 1.5 million in NYC facing hunger, shortages with March 1 end of pandemic-era SNAP benefits, </w:t>
      </w:r>
      <w:r w:rsidRPr="00BB2336">
        <w:rPr>
          <w:rFonts w:ascii="Times New Roman" w:hAnsi="Times New Roman" w:cs="Times New Roman"/>
        </w:rPr>
        <w:t xml:space="preserve">N.Y. Daily News (Feb. 28, 2023, 4:10 PM), </w:t>
      </w:r>
      <w:hyperlink r:id="rId35" w:history="1">
        <w:r w:rsidRPr="00BB2336">
          <w:rPr>
            <w:rStyle w:val="Hyperlink"/>
            <w:rFonts w:ascii="Times New Roman" w:hAnsi="Times New Roman" w:cs="Times New Roman"/>
          </w:rPr>
          <w:t>https://www.nydailynews.com/new-york/ny-pandemic-grocery-help-snap-ending-20230228-tjkci34u55cdvdsdx6wqwcsmja-story.html</w:t>
        </w:r>
      </w:hyperlink>
      <w:r w:rsidRPr="00BB2336">
        <w:rPr>
          <w:rFonts w:ascii="Times New Roman" w:hAnsi="Times New Roman" w:cs="Times New Roman"/>
        </w:rPr>
        <w:t>.</w:t>
      </w:r>
      <w:r w:rsidRPr="007A4D31">
        <w:rPr>
          <w:rFonts w:ascii="Times New Roman" w:hAnsi="Times New Roman" w:cs="Times New Roman"/>
        </w:rPr>
        <w:t xml:space="preserve"> </w:t>
      </w:r>
    </w:p>
  </w:footnote>
  <w:footnote w:id="59">
    <w:p w14:paraId="02D80606" w14:textId="2D75E4BA" w:rsidR="005A6A21" w:rsidRPr="008F2D6E" w:rsidRDefault="005A6A21">
      <w:pPr>
        <w:pStyle w:val="FootnoteText"/>
        <w:rPr>
          <w:rFonts w:ascii="Times New Roman" w:hAnsi="Times New Roman" w:cs="Times New Roman"/>
        </w:rPr>
      </w:pPr>
      <w:r w:rsidRPr="008F2D6E">
        <w:rPr>
          <w:rStyle w:val="FootnoteReference"/>
          <w:rFonts w:ascii="Times New Roman" w:hAnsi="Times New Roman" w:cs="Times New Roman"/>
        </w:rPr>
        <w:footnoteRef/>
      </w:r>
      <w:r w:rsidRPr="008F2D6E">
        <w:rPr>
          <w:rFonts w:ascii="Times New Roman" w:hAnsi="Times New Roman" w:cs="Times New Roman"/>
        </w:rPr>
        <w:t xml:space="preserve"> </w:t>
      </w:r>
      <w:r w:rsidRPr="008F2D6E">
        <w:rPr>
          <w:rFonts w:ascii="Times New Roman" w:hAnsi="Times New Roman" w:cs="Times New Roman"/>
          <w:i/>
        </w:rPr>
        <w:t>Id.</w:t>
      </w:r>
    </w:p>
  </w:footnote>
  <w:footnote w:id="60">
    <w:p w14:paraId="05C81001" w14:textId="6F48B0A7" w:rsidR="005A6A21" w:rsidRPr="009575E6" w:rsidRDefault="005A6A21">
      <w:pPr>
        <w:pStyle w:val="FootnoteText"/>
        <w:rPr>
          <w:rFonts w:ascii="Times New Roman" w:hAnsi="Times New Roman" w:cs="Times New Roman"/>
        </w:rPr>
      </w:pPr>
      <w:r w:rsidRPr="009575E6">
        <w:rPr>
          <w:rStyle w:val="FootnoteReference"/>
          <w:rFonts w:ascii="Times New Roman" w:hAnsi="Times New Roman" w:cs="Times New Roman"/>
        </w:rPr>
        <w:footnoteRef/>
      </w:r>
      <w:r w:rsidRPr="009575E6">
        <w:rPr>
          <w:rFonts w:ascii="Times New Roman" w:hAnsi="Times New Roman" w:cs="Times New Roman"/>
        </w:rPr>
        <w:t xml:space="preserve"> </w:t>
      </w:r>
      <w:r w:rsidRPr="009575E6">
        <w:rPr>
          <w:rFonts w:ascii="Times New Roman" w:hAnsi="Times New Roman" w:cs="Times New Roman"/>
          <w:i/>
        </w:rPr>
        <w:t>Id.</w:t>
      </w:r>
    </w:p>
  </w:footnote>
  <w:footnote w:id="61">
    <w:p w14:paraId="2F2B4EDF" w14:textId="77777777" w:rsidR="005A6A21" w:rsidRPr="007A4D31" w:rsidRDefault="005A6A21" w:rsidP="0094567F">
      <w:pPr>
        <w:pStyle w:val="FootnoteText"/>
        <w:rPr>
          <w:rFonts w:ascii="Times New Roman" w:hAnsi="Times New Roman" w:cs="Times New Roman"/>
        </w:rPr>
      </w:pPr>
      <w:r w:rsidRPr="007A4D31">
        <w:rPr>
          <w:rStyle w:val="FootnoteReference"/>
          <w:rFonts w:ascii="Times New Roman" w:hAnsi="Times New Roman" w:cs="Times New Roman"/>
        </w:rPr>
        <w:footnoteRef/>
      </w:r>
      <w:r w:rsidRPr="007A4D31">
        <w:rPr>
          <w:rFonts w:ascii="Times New Roman" w:hAnsi="Times New Roman" w:cs="Times New Roman"/>
        </w:rPr>
        <w:t xml:space="preserve"> Goshgarian, Mark, </w:t>
      </w:r>
      <w:r w:rsidRPr="007A4D31">
        <w:rPr>
          <w:rFonts w:ascii="Times New Roman" w:hAnsi="Times New Roman" w:cs="Times New Roman"/>
          <w:i/>
          <w:iCs/>
        </w:rPr>
        <w:t xml:space="preserve">New York’s seniors, low-income families prepare for end of SNAP emergency benefit, </w:t>
      </w:r>
      <w:r w:rsidRPr="007A4D31">
        <w:rPr>
          <w:rFonts w:ascii="Times New Roman" w:hAnsi="Times New Roman" w:cs="Times New Roman"/>
        </w:rPr>
        <w:t xml:space="preserve">Spectrum Local News (Feb. 1, 2023, 10:24AM), </w:t>
      </w:r>
      <w:hyperlink r:id="rId36" w:history="1">
        <w:r w:rsidRPr="007A4D31">
          <w:rPr>
            <w:rStyle w:val="Hyperlink"/>
            <w:rFonts w:ascii="Times New Roman" w:hAnsi="Times New Roman" w:cs="Times New Roman"/>
          </w:rPr>
          <w:t>https://spectrumlocalnews.com/nys/buffalo/news/2023/02/01/new-york-s-seniors--low-income-families-prepare-for-end-of-snap-emergency-benefit</w:t>
        </w:r>
      </w:hyperlink>
      <w:r w:rsidRPr="007A4D31">
        <w:rPr>
          <w:rFonts w:ascii="Times New Roman" w:hAnsi="Times New Roman" w:cs="Times New Roman"/>
        </w:rPr>
        <w:t xml:space="preserve">. </w:t>
      </w:r>
    </w:p>
  </w:footnote>
  <w:footnote w:id="62">
    <w:p w14:paraId="1DC3FC10" w14:textId="77777777" w:rsidR="005A6A21" w:rsidRPr="007A4D31" w:rsidRDefault="005A6A21" w:rsidP="007A4D31">
      <w:pPr>
        <w:rPr>
          <w:sz w:val="20"/>
          <w:szCs w:val="20"/>
        </w:rPr>
      </w:pPr>
      <w:r w:rsidRPr="007A4D31">
        <w:rPr>
          <w:rStyle w:val="FootnoteReference"/>
          <w:sz w:val="20"/>
          <w:szCs w:val="20"/>
        </w:rPr>
        <w:footnoteRef/>
      </w:r>
      <w:r w:rsidRPr="007A4D31">
        <w:rPr>
          <w:sz w:val="20"/>
          <w:szCs w:val="20"/>
        </w:rPr>
        <w:t xml:space="preserve"> Office of Comptroller Thomas P. DiNapoli, </w:t>
      </w:r>
      <w:r w:rsidRPr="007A4D31">
        <w:rPr>
          <w:i/>
          <w:sz w:val="20"/>
          <w:szCs w:val="20"/>
        </w:rPr>
        <w:t>Congregate Meal Services for the Elderly</w:t>
      </w:r>
      <w:r w:rsidRPr="007A4D31">
        <w:rPr>
          <w:sz w:val="20"/>
          <w:szCs w:val="20"/>
        </w:rPr>
        <w:t xml:space="preserve">, Jan. 2018, </w:t>
      </w:r>
      <w:r w:rsidRPr="007A4D31">
        <w:rPr>
          <w:i/>
          <w:sz w:val="20"/>
          <w:szCs w:val="20"/>
        </w:rPr>
        <w:t xml:space="preserve">available at </w:t>
      </w:r>
      <w:r w:rsidRPr="007A4D31">
        <w:rPr>
          <w:sz w:val="20"/>
          <w:szCs w:val="20"/>
        </w:rPr>
        <w:t>http://osc.state.ny.us/audits/allaudits/093018/sga-2018-16n5.pdf at p. 1.</w:t>
      </w:r>
    </w:p>
  </w:footnote>
  <w:footnote w:id="63">
    <w:p w14:paraId="02A9BAF2" w14:textId="77777777" w:rsidR="005A6A21" w:rsidRPr="007A4D31" w:rsidRDefault="005A6A21" w:rsidP="007A4D31">
      <w:pPr>
        <w:rPr>
          <w:sz w:val="20"/>
          <w:szCs w:val="20"/>
        </w:rPr>
      </w:pPr>
      <w:r w:rsidRPr="007A4D31">
        <w:rPr>
          <w:rStyle w:val="FootnoteReference"/>
          <w:sz w:val="20"/>
          <w:szCs w:val="20"/>
        </w:rPr>
        <w:footnoteRef/>
      </w:r>
      <w:r w:rsidRPr="007A4D31">
        <w:rPr>
          <w:sz w:val="20"/>
          <w:szCs w:val="20"/>
        </w:rPr>
        <w:t xml:space="preserve"> DFTA, “Older Adult Centers,” </w:t>
      </w:r>
      <w:r w:rsidRPr="007A4D31">
        <w:rPr>
          <w:i/>
          <w:sz w:val="20"/>
          <w:szCs w:val="20"/>
        </w:rPr>
        <w:t>available at</w:t>
      </w:r>
      <w:r w:rsidRPr="007A4D31">
        <w:rPr>
          <w:sz w:val="20"/>
          <w:szCs w:val="20"/>
        </w:rPr>
        <w:t xml:space="preserve"> http://www1.nyc.gov/site/dfta/services/senior-centers.page.</w:t>
      </w:r>
    </w:p>
  </w:footnote>
  <w:footnote w:id="64">
    <w:p w14:paraId="4475942E" w14:textId="77777777" w:rsidR="005A6A21" w:rsidRPr="007A4D31" w:rsidRDefault="005A6A21" w:rsidP="007A4D31">
      <w:pPr>
        <w:pStyle w:val="FootnoteText"/>
        <w:rPr>
          <w:rFonts w:ascii="Times New Roman" w:hAnsi="Times New Roman" w:cs="Times New Roman"/>
        </w:rPr>
      </w:pPr>
      <w:r w:rsidRPr="007A4D31">
        <w:rPr>
          <w:rStyle w:val="FootnoteReference"/>
          <w:rFonts w:ascii="Times New Roman" w:hAnsi="Times New Roman" w:cs="Times New Roman"/>
        </w:rPr>
        <w:footnoteRef/>
      </w:r>
      <w:r w:rsidRPr="007A4D31">
        <w:rPr>
          <w:rFonts w:ascii="Times New Roman" w:hAnsi="Times New Roman" w:cs="Times New Roman"/>
        </w:rPr>
        <w:t xml:space="preserve"> </w:t>
      </w:r>
      <w:r w:rsidRPr="007A4D31">
        <w:rPr>
          <w:rFonts w:ascii="Times New Roman" w:hAnsi="Times New Roman" w:cs="Times New Roman"/>
          <w:i/>
        </w:rPr>
        <w:t>Id.</w:t>
      </w:r>
    </w:p>
  </w:footnote>
  <w:footnote w:id="65">
    <w:p w14:paraId="6DC28060" w14:textId="77777777" w:rsidR="005A6A21" w:rsidRPr="007A4D31" w:rsidRDefault="005A6A21" w:rsidP="007A4D31">
      <w:pPr>
        <w:pStyle w:val="FootnoteText"/>
        <w:rPr>
          <w:rFonts w:ascii="Times New Roman" w:hAnsi="Times New Roman" w:cs="Times New Roman"/>
        </w:rPr>
      </w:pPr>
      <w:r w:rsidRPr="007A4D31">
        <w:rPr>
          <w:rStyle w:val="FootnoteReference"/>
          <w:rFonts w:ascii="Times New Roman" w:hAnsi="Times New Roman" w:cs="Times New Roman"/>
        </w:rPr>
        <w:footnoteRef/>
      </w:r>
      <w:r w:rsidRPr="007A4D31">
        <w:rPr>
          <w:rFonts w:ascii="Times New Roman" w:hAnsi="Times New Roman" w:cs="Times New Roman"/>
        </w:rPr>
        <w:t xml:space="preserve"> United Neighborhood Houses, “Response to DFTA’s Older Adult Center (formerly Senior Centers) Concept Paper,” available at https://bklyner.s3.us-east-1.amazonaws.com/bklyner/wp-content/uploads/2020/10/Older-Adult-Center-Concept-Paper-Feedback-UNH-Oct-20201.pdf at p. 2.</w:t>
      </w:r>
    </w:p>
  </w:footnote>
  <w:footnote w:id="66">
    <w:p w14:paraId="59C3E7A6" w14:textId="77777777" w:rsidR="005A6A21" w:rsidRPr="007A4D31" w:rsidRDefault="005A6A21" w:rsidP="007A4D31">
      <w:pPr>
        <w:pStyle w:val="FootnoteText"/>
        <w:rPr>
          <w:rFonts w:ascii="Times New Roman" w:hAnsi="Times New Roman" w:cs="Times New Roman"/>
        </w:rPr>
      </w:pPr>
      <w:r w:rsidRPr="007A4D31">
        <w:rPr>
          <w:rStyle w:val="FootnoteReference"/>
          <w:rFonts w:ascii="Times New Roman" w:hAnsi="Times New Roman" w:cs="Times New Roman"/>
        </w:rPr>
        <w:footnoteRef/>
      </w:r>
      <w:r w:rsidRPr="007A4D31">
        <w:rPr>
          <w:rFonts w:ascii="Times New Roman" w:hAnsi="Times New Roman" w:cs="Times New Roman"/>
        </w:rPr>
        <w:t xml:space="preserve"> </w:t>
      </w:r>
      <w:r w:rsidRPr="007A4D31">
        <w:rPr>
          <w:rFonts w:ascii="Times New Roman" w:hAnsi="Times New Roman" w:cs="Times New Roman"/>
          <w:i/>
        </w:rPr>
        <w:t xml:space="preserve">Supra </w:t>
      </w:r>
      <w:r w:rsidRPr="007A4D31">
        <w:rPr>
          <w:rFonts w:ascii="Times New Roman" w:hAnsi="Times New Roman" w:cs="Times New Roman"/>
        </w:rPr>
        <w:t xml:space="preserve">note 19. </w:t>
      </w:r>
    </w:p>
  </w:footnote>
  <w:footnote w:id="67">
    <w:p w14:paraId="4B9AA00C" w14:textId="77777777" w:rsidR="005A6A21" w:rsidRPr="007A4D31" w:rsidRDefault="005A6A21" w:rsidP="007A4D31">
      <w:pPr>
        <w:pStyle w:val="FootnoteText"/>
        <w:rPr>
          <w:rFonts w:ascii="Times New Roman" w:hAnsi="Times New Roman" w:cs="Times New Roman"/>
        </w:rPr>
      </w:pPr>
      <w:r w:rsidRPr="007A4D31">
        <w:rPr>
          <w:rStyle w:val="FootnoteReference"/>
          <w:rFonts w:ascii="Times New Roman" w:hAnsi="Times New Roman" w:cs="Times New Roman"/>
        </w:rPr>
        <w:footnoteRef/>
      </w:r>
      <w:r w:rsidRPr="007A4D31">
        <w:rPr>
          <w:rFonts w:ascii="Times New Roman" w:hAnsi="Times New Roman" w:cs="Times New Roman"/>
        </w:rPr>
        <w:t xml:space="preserve"> </w:t>
      </w:r>
      <w:r w:rsidRPr="007A4D31">
        <w:rPr>
          <w:rFonts w:ascii="Times New Roman" w:hAnsi="Times New Roman" w:cs="Times New Roman"/>
          <w:i/>
        </w:rPr>
        <w:t>Id.</w:t>
      </w:r>
    </w:p>
  </w:footnote>
  <w:footnote w:id="68">
    <w:p w14:paraId="05FAD6E9" w14:textId="77777777" w:rsidR="005A6A21" w:rsidRPr="007A4D31" w:rsidRDefault="005A6A21" w:rsidP="007A4D31">
      <w:pPr>
        <w:pStyle w:val="FootnoteText"/>
        <w:rPr>
          <w:rFonts w:ascii="Times New Roman" w:hAnsi="Times New Roman" w:cs="Times New Roman"/>
        </w:rPr>
      </w:pPr>
      <w:r w:rsidRPr="007A4D31">
        <w:rPr>
          <w:rStyle w:val="FootnoteReference"/>
          <w:rFonts w:ascii="Times New Roman" w:hAnsi="Times New Roman" w:cs="Times New Roman"/>
        </w:rPr>
        <w:footnoteRef/>
      </w:r>
      <w:r w:rsidRPr="007A4D31">
        <w:rPr>
          <w:rFonts w:ascii="Times New Roman" w:hAnsi="Times New Roman" w:cs="Times New Roman"/>
        </w:rPr>
        <w:t xml:space="preserve"> </w:t>
      </w:r>
      <w:r w:rsidRPr="007A4D31">
        <w:rPr>
          <w:rFonts w:ascii="Times New Roman" w:hAnsi="Times New Roman" w:cs="Times New Roman"/>
          <w:i/>
        </w:rPr>
        <w:t>Id.</w:t>
      </w:r>
    </w:p>
  </w:footnote>
  <w:footnote w:id="69">
    <w:p w14:paraId="0313675D" w14:textId="77777777" w:rsidR="005A6A21" w:rsidRPr="007A4D31" w:rsidRDefault="005A6A21" w:rsidP="007A4D31">
      <w:pPr>
        <w:pStyle w:val="FootnoteText"/>
        <w:rPr>
          <w:rFonts w:ascii="Times New Roman" w:hAnsi="Times New Roman" w:cs="Times New Roman"/>
        </w:rPr>
      </w:pPr>
      <w:r w:rsidRPr="007A4D31">
        <w:rPr>
          <w:rStyle w:val="FootnoteReference"/>
          <w:rFonts w:ascii="Times New Roman" w:hAnsi="Times New Roman" w:cs="Times New Roman"/>
        </w:rPr>
        <w:footnoteRef/>
      </w:r>
      <w:r w:rsidRPr="007A4D31">
        <w:rPr>
          <w:rFonts w:ascii="Times New Roman" w:hAnsi="Times New Roman" w:cs="Times New Roman"/>
        </w:rPr>
        <w:t xml:space="preserve"> </w:t>
      </w:r>
      <w:r w:rsidRPr="007A4D31">
        <w:rPr>
          <w:rFonts w:ascii="Times New Roman" w:hAnsi="Times New Roman" w:cs="Times New Roman"/>
          <w:i/>
        </w:rPr>
        <w:t>Id.</w:t>
      </w:r>
    </w:p>
  </w:footnote>
  <w:footnote w:id="70">
    <w:p w14:paraId="1A710F8A" w14:textId="2D1DD7B3" w:rsidR="005A6A21" w:rsidRPr="007A4D31" w:rsidRDefault="005A6A21" w:rsidP="007A4D31">
      <w:pPr>
        <w:pStyle w:val="FootnoteText"/>
        <w:rPr>
          <w:rFonts w:ascii="Times New Roman" w:hAnsi="Times New Roman" w:cs="Times New Roman"/>
        </w:rPr>
      </w:pPr>
      <w:r w:rsidRPr="007A4D31">
        <w:rPr>
          <w:rStyle w:val="FootnoteReference"/>
          <w:rFonts w:ascii="Times New Roman" w:hAnsi="Times New Roman" w:cs="Times New Roman"/>
        </w:rPr>
        <w:footnoteRef/>
      </w:r>
      <w:r w:rsidRPr="007A4D31">
        <w:rPr>
          <w:rFonts w:ascii="Times New Roman" w:hAnsi="Times New Roman" w:cs="Times New Roman"/>
        </w:rPr>
        <w:t xml:space="preserve"> LiveOn-NY, </w:t>
      </w:r>
      <w:r w:rsidRPr="007A4D31">
        <w:rPr>
          <w:rFonts w:ascii="Times New Roman" w:hAnsi="Times New Roman" w:cs="Times New Roman"/>
          <w:i/>
        </w:rPr>
        <w:t>Testimony before the New York City Council Committee on Aging</w:t>
      </w:r>
      <w:r w:rsidRPr="007A4D31">
        <w:rPr>
          <w:rFonts w:ascii="Times New Roman" w:hAnsi="Times New Roman" w:cs="Times New Roman"/>
        </w:rPr>
        <w:t xml:space="preserve"> (Sep. 21, 2021), </w:t>
      </w:r>
      <w:r w:rsidRPr="007A4D31">
        <w:rPr>
          <w:rFonts w:ascii="Times New Roman" w:hAnsi="Times New Roman" w:cs="Times New Roman"/>
          <w:i/>
        </w:rPr>
        <w:t xml:space="preserve">available at </w:t>
      </w:r>
      <w:r w:rsidRPr="007A4D31">
        <w:rPr>
          <w:rFonts w:ascii="Times New Roman" w:hAnsi="Times New Roman" w:cs="Times New Roman"/>
        </w:rPr>
        <w:t>https://static1.squarespace.com/static/562a3197e4b0493d4ffd3105/t/6148c0f6993f891460db6af6/1632157942506/LiveOn+NY+Aging+Testimony+FINAL+9.20.21.pdf (last visited Dec. 8, 2022).</w:t>
      </w:r>
    </w:p>
  </w:footnote>
  <w:footnote w:id="71">
    <w:p w14:paraId="7E6DCFD0" w14:textId="77777777" w:rsidR="005A6A21" w:rsidRPr="007A4D31" w:rsidRDefault="005A6A21" w:rsidP="007A4D31">
      <w:pPr>
        <w:pStyle w:val="FootnoteText"/>
        <w:rPr>
          <w:rFonts w:ascii="Times New Roman" w:hAnsi="Times New Roman" w:cs="Times New Roman"/>
        </w:rPr>
      </w:pPr>
      <w:r w:rsidRPr="007A4D31">
        <w:rPr>
          <w:rStyle w:val="FootnoteReference"/>
          <w:rFonts w:ascii="Times New Roman" w:hAnsi="Times New Roman" w:cs="Times New Roman"/>
        </w:rPr>
        <w:footnoteRef/>
      </w:r>
      <w:r w:rsidRPr="007A4D31">
        <w:rPr>
          <w:rFonts w:ascii="Times New Roman" w:hAnsi="Times New Roman" w:cs="Times New Roman"/>
        </w:rPr>
        <w:t xml:space="preserve"> Testimony of DFTA Comm’r Lorraine Cortés-Vázquez before the N.Y.C. Council Cmt’e on Aging and Subcmt’e on Senior Centers and Food Insecurity (Apr. 6, 2022).</w:t>
      </w:r>
    </w:p>
  </w:footnote>
  <w:footnote w:id="72">
    <w:p w14:paraId="55CA559F" w14:textId="77777777" w:rsidR="005A6A21" w:rsidRPr="007A4D31" w:rsidRDefault="005A6A21" w:rsidP="007A4D31">
      <w:pPr>
        <w:pStyle w:val="FootnoteText"/>
        <w:rPr>
          <w:rFonts w:ascii="Times New Roman" w:hAnsi="Times New Roman" w:cs="Times New Roman"/>
        </w:rPr>
      </w:pPr>
      <w:r w:rsidRPr="007A4D31">
        <w:rPr>
          <w:rStyle w:val="FootnoteReference"/>
          <w:rFonts w:ascii="Times New Roman" w:hAnsi="Times New Roman" w:cs="Times New Roman"/>
        </w:rPr>
        <w:footnoteRef/>
      </w:r>
      <w:r w:rsidRPr="007A4D31">
        <w:rPr>
          <w:rFonts w:ascii="Times New Roman" w:hAnsi="Times New Roman" w:cs="Times New Roman"/>
        </w:rPr>
        <w:t xml:space="preserve"> DFTA Email to Providers, Subject: DFTA Contract Providers - Updated DOHMH Guidance: Capacity Limits, Mar. 21, 2022.</w:t>
      </w:r>
    </w:p>
  </w:footnote>
  <w:footnote w:id="73">
    <w:p w14:paraId="4E43A6BA" w14:textId="77777777" w:rsidR="005A6A21" w:rsidRPr="007A4D31" w:rsidRDefault="005A6A21" w:rsidP="007A4D31">
      <w:pPr>
        <w:pStyle w:val="FootnoteText"/>
        <w:rPr>
          <w:rFonts w:ascii="Times New Roman" w:hAnsi="Times New Roman" w:cs="Times New Roman"/>
        </w:rPr>
      </w:pPr>
      <w:r w:rsidRPr="007A4D31">
        <w:rPr>
          <w:rStyle w:val="FootnoteReference"/>
          <w:rFonts w:ascii="Times New Roman" w:hAnsi="Times New Roman" w:cs="Times New Roman"/>
        </w:rPr>
        <w:footnoteRef/>
      </w:r>
      <w:r w:rsidRPr="007A4D31">
        <w:rPr>
          <w:rFonts w:ascii="Times New Roman" w:hAnsi="Times New Roman" w:cs="Times New Roman"/>
        </w:rPr>
        <w:t xml:space="preserve"> </w:t>
      </w:r>
      <w:r w:rsidRPr="007A4D31">
        <w:rPr>
          <w:rFonts w:ascii="Times New Roman" w:hAnsi="Times New Roman" w:cs="Times New Roman"/>
          <w:i/>
        </w:rPr>
        <w:t>See e.g.</w:t>
      </w:r>
      <w:r w:rsidRPr="007A4D31">
        <w:rPr>
          <w:rFonts w:ascii="Times New Roman" w:hAnsi="Times New Roman" w:cs="Times New Roman"/>
        </w:rPr>
        <w:t xml:space="preserve"> BronxWorks, </w:t>
      </w:r>
      <w:r w:rsidRPr="007A4D31">
        <w:rPr>
          <w:rFonts w:ascii="Times New Roman" w:hAnsi="Times New Roman" w:cs="Times New Roman"/>
          <w:i/>
        </w:rPr>
        <w:t>Older Adult Centers</w:t>
      </w:r>
      <w:r w:rsidRPr="007A4D31">
        <w:rPr>
          <w:rFonts w:ascii="Times New Roman" w:hAnsi="Times New Roman" w:cs="Times New Roman"/>
        </w:rPr>
        <w:t>, https://bronxworks.org/our-services/services-for-older-adults/older-adult-centers/ (last visited Dec. 8, 2022).</w:t>
      </w:r>
    </w:p>
  </w:footnote>
  <w:footnote w:id="74">
    <w:p w14:paraId="146011FA" w14:textId="77777777" w:rsidR="005A6A21" w:rsidRPr="007A4D31" w:rsidRDefault="005A6A21" w:rsidP="007A4D31">
      <w:pPr>
        <w:pStyle w:val="FootnoteText"/>
        <w:rPr>
          <w:rFonts w:ascii="Times New Roman" w:hAnsi="Times New Roman" w:cs="Times New Roman"/>
        </w:rPr>
      </w:pPr>
      <w:r w:rsidRPr="007A4D31">
        <w:rPr>
          <w:rStyle w:val="FootnoteReference"/>
          <w:rFonts w:ascii="Times New Roman" w:hAnsi="Times New Roman" w:cs="Times New Roman"/>
        </w:rPr>
        <w:footnoteRef/>
      </w:r>
      <w:r w:rsidRPr="007A4D31">
        <w:rPr>
          <w:rFonts w:ascii="Times New Roman" w:hAnsi="Times New Roman" w:cs="Times New Roman"/>
        </w:rPr>
        <w:t xml:space="preserve"> </w:t>
      </w:r>
      <w:r w:rsidRPr="007A4D31">
        <w:rPr>
          <w:rFonts w:ascii="Times New Roman" w:hAnsi="Times New Roman" w:cs="Times New Roman"/>
          <w:i/>
        </w:rPr>
        <w:t>Id.</w:t>
      </w:r>
    </w:p>
  </w:footnote>
  <w:footnote w:id="75">
    <w:p w14:paraId="449E6695" w14:textId="77777777" w:rsidR="005A6A21" w:rsidRPr="007A4D31" w:rsidRDefault="005A6A21" w:rsidP="007A4D31">
      <w:pPr>
        <w:pStyle w:val="FootnoteText"/>
        <w:rPr>
          <w:rFonts w:ascii="Times New Roman" w:hAnsi="Times New Roman" w:cs="Times New Roman"/>
        </w:rPr>
      </w:pPr>
      <w:r w:rsidRPr="007A4D31">
        <w:rPr>
          <w:rStyle w:val="FootnoteReference"/>
          <w:rFonts w:ascii="Times New Roman" w:hAnsi="Times New Roman" w:cs="Times New Roman"/>
        </w:rPr>
        <w:footnoteRef/>
      </w:r>
      <w:r w:rsidRPr="007A4D31">
        <w:rPr>
          <w:rFonts w:ascii="Times New Roman" w:hAnsi="Times New Roman" w:cs="Times New Roman"/>
        </w:rPr>
        <w:t xml:space="preserve"> </w:t>
      </w:r>
      <w:r w:rsidRPr="007A4D31">
        <w:rPr>
          <w:rFonts w:ascii="Times New Roman" w:hAnsi="Times New Roman" w:cs="Times New Roman"/>
          <w:i/>
        </w:rPr>
        <w:t>Supra</w:t>
      </w:r>
      <w:r w:rsidRPr="007A4D31">
        <w:rPr>
          <w:rFonts w:ascii="Times New Roman" w:hAnsi="Times New Roman" w:cs="Times New Roman"/>
        </w:rPr>
        <w:t xml:space="preserve"> note 9.</w:t>
      </w:r>
    </w:p>
  </w:footnote>
  <w:footnote w:id="76">
    <w:p w14:paraId="0BD235E7" w14:textId="77777777" w:rsidR="005A6A21" w:rsidRPr="007A4D31" w:rsidRDefault="005A6A21" w:rsidP="007A4D31">
      <w:pPr>
        <w:pStyle w:val="FootnoteText"/>
        <w:rPr>
          <w:rFonts w:ascii="Times New Roman" w:hAnsi="Times New Roman" w:cs="Times New Roman"/>
        </w:rPr>
      </w:pPr>
      <w:r w:rsidRPr="007A4D31">
        <w:rPr>
          <w:rStyle w:val="FootnoteReference"/>
          <w:rFonts w:ascii="Times New Roman" w:hAnsi="Times New Roman" w:cs="Times New Roman"/>
        </w:rPr>
        <w:footnoteRef/>
      </w:r>
      <w:r w:rsidRPr="007A4D31">
        <w:rPr>
          <w:rFonts w:ascii="Times New Roman" w:hAnsi="Times New Roman" w:cs="Times New Roman"/>
        </w:rPr>
        <w:t xml:space="preserve"> </w:t>
      </w:r>
      <w:r w:rsidRPr="007A4D31">
        <w:rPr>
          <w:rFonts w:ascii="Times New Roman" w:hAnsi="Times New Roman" w:cs="Times New Roman"/>
          <w:i/>
        </w:rPr>
        <w:t>Id.</w:t>
      </w:r>
    </w:p>
  </w:footnote>
  <w:footnote w:id="77">
    <w:p w14:paraId="1A6A953E" w14:textId="77777777" w:rsidR="005A6A21" w:rsidRPr="007A4D31" w:rsidRDefault="005A6A21" w:rsidP="007A4D31">
      <w:pPr>
        <w:pStyle w:val="FootnoteText"/>
        <w:rPr>
          <w:rFonts w:ascii="Times New Roman" w:hAnsi="Times New Roman" w:cs="Times New Roman"/>
        </w:rPr>
      </w:pPr>
      <w:r w:rsidRPr="007A4D31">
        <w:rPr>
          <w:rStyle w:val="FootnoteReference"/>
          <w:rFonts w:ascii="Times New Roman" w:hAnsi="Times New Roman" w:cs="Times New Roman"/>
        </w:rPr>
        <w:footnoteRef/>
      </w:r>
      <w:r w:rsidRPr="007A4D31">
        <w:rPr>
          <w:rFonts w:ascii="Times New Roman" w:hAnsi="Times New Roman" w:cs="Times New Roman"/>
        </w:rPr>
        <w:t xml:space="preserve"> </w:t>
      </w:r>
      <w:r w:rsidRPr="007A4D31">
        <w:rPr>
          <w:rFonts w:ascii="Times New Roman" w:hAnsi="Times New Roman" w:cs="Times New Roman"/>
          <w:i/>
        </w:rPr>
        <w:t>Id.</w:t>
      </w:r>
    </w:p>
  </w:footnote>
  <w:footnote w:id="78">
    <w:p w14:paraId="05EC3974" w14:textId="77777777" w:rsidR="005A6A21" w:rsidRPr="007A4D31" w:rsidRDefault="005A6A21" w:rsidP="007A4D31">
      <w:pPr>
        <w:pStyle w:val="FootnoteText"/>
        <w:rPr>
          <w:rFonts w:ascii="Times New Roman" w:hAnsi="Times New Roman" w:cs="Times New Roman"/>
        </w:rPr>
      </w:pPr>
      <w:r w:rsidRPr="007A4D31">
        <w:rPr>
          <w:rStyle w:val="FootnoteReference"/>
          <w:rFonts w:ascii="Times New Roman" w:hAnsi="Times New Roman" w:cs="Times New Roman"/>
        </w:rPr>
        <w:footnoteRef/>
      </w:r>
      <w:r w:rsidRPr="007A4D31">
        <w:rPr>
          <w:rFonts w:ascii="Times New Roman" w:hAnsi="Times New Roman" w:cs="Times New Roman"/>
        </w:rPr>
        <w:t xml:space="preserve"> </w:t>
      </w:r>
      <w:r w:rsidRPr="007A4D31">
        <w:rPr>
          <w:rFonts w:ascii="Times New Roman" w:hAnsi="Times New Roman" w:cs="Times New Roman"/>
          <w:i/>
          <w:iCs/>
        </w:rPr>
        <w:t xml:space="preserve">In-Home Services, </w:t>
      </w:r>
      <w:r w:rsidRPr="007A4D31">
        <w:rPr>
          <w:rFonts w:ascii="Times New Roman" w:hAnsi="Times New Roman" w:cs="Times New Roman"/>
          <w:u w:val="single"/>
        </w:rPr>
        <w:t>NYC Department for the Aging</w:t>
      </w:r>
      <w:r w:rsidRPr="007A4D31">
        <w:rPr>
          <w:rFonts w:ascii="Times New Roman" w:hAnsi="Times New Roman" w:cs="Times New Roman"/>
        </w:rPr>
        <w:t xml:space="preserve">, </w:t>
      </w:r>
      <w:r w:rsidRPr="007A4D31">
        <w:rPr>
          <w:rFonts w:ascii="Times New Roman" w:hAnsi="Times New Roman" w:cs="Times New Roman"/>
          <w:i/>
          <w:iCs/>
        </w:rPr>
        <w:t xml:space="preserve">available at </w:t>
      </w:r>
      <w:r w:rsidRPr="007A4D31">
        <w:rPr>
          <w:rFonts w:ascii="Times New Roman" w:hAnsi="Times New Roman" w:cs="Times New Roman"/>
        </w:rPr>
        <w:t>https://www1.nyc.gov/site/dfta/services/in-home-services.page</w:t>
      </w:r>
      <w:r w:rsidRPr="007A4D31">
        <w:rPr>
          <w:rStyle w:val="Hyperlink"/>
          <w:rFonts w:ascii="Times New Roman" w:hAnsi="Times New Roman" w:cs="Times New Roman"/>
        </w:rPr>
        <w:t>; see also</w:t>
      </w:r>
      <w:r w:rsidRPr="007A4D31">
        <w:rPr>
          <w:rStyle w:val="Hyperlink"/>
          <w:rFonts w:ascii="Times New Roman" w:hAnsi="Times New Roman" w:cs="Times New Roman"/>
          <w:i/>
        </w:rPr>
        <w:t xml:space="preserve"> </w:t>
      </w:r>
      <w:r w:rsidRPr="007A4D31">
        <w:rPr>
          <w:rFonts w:ascii="Times New Roman" w:hAnsi="Times New Roman" w:cs="Times New Roman"/>
          <w:i/>
          <w:iCs/>
        </w:rPr>
        <w:t>Free Meals Delivered Directly to NYC Seniors Through Senior Centers and DFTA,</w:t>
      </w:r>
      <w:r w:rsidRPr="007A4D31">
        <w:rPr>
          <w:rFonts w:ascii="Times New Roman" w:hAnsi="Times New Roman" w:cs="Times New Roman"/>
        </w:rPr>
        <w:t xml:space="preserve"> </w:t>
      </w:r>
      <w:r w:rsidRPr="007A4D31">
        <w:rPr>
          <w:rFonts w:ascii="Times New Roman" w:hAnsi="Times New Roman" w:cs="Times New Roman"/>
          <w:u w:val="single"/>
        </w:rPr>
        <w:t>EastNewYork</w:t>
      </w:r>
      <w:r w:rsidRPr="007A4D31">
        <w:rPr>
          <w:rFonts w:ascii="Times New Roman" w:hAnsi="Times New Roman" w:cs="Times New Roman"/>
        </w:rPr>
        <w:t xml:space="preserve">, Mar. 31, 2020, </w:t>
      </w:r>
      <w:r w:rsidRPr="007A4D31">
        <w:rPr>
          <w:rFonts w:ascii="Times New Roman" w:hAnsi="Times New Roman" w:cs="Times New Roman"/>
          <w:i/>
          <w:iCs/>
        </w:rPr>
        <w:t>available at</w:t>
      </w:r>
      <w:r w:rsidRPr="007A4D31">
        <w:rPr>
          <w:rFonts w:ascii="Times New Roman" w:hAnsi="Times New Roman" w:cs="Times New Roman"/>
        </w:rPr>
        <w:t xml:space="preserve"> https://eastnewyork.com/free-meals-delivered-directly-to-nyc-seniors-through-senior-centers-and-dfta/. </w:t>
      </w:r>
    </w:p>
  </w:footnote>
  <w:footnote w:id="79">
    <w:p w14:paraId="5264C705" w14:textId="77777777" w:rsidR="005A6A21" w:rsidRPr="007A4D31" w:rsidRDefault="005A6A21" w:rsidP="007A4D31">
      <w:pPr>
        <w:pStyle w:val="FootnoteText"/>
        <w:rPr>
          <w:rFonts w:ascii="Times New Roman" w:hAnsi="Times New Roman" w:cs="Times New Roman"/>
        </w:rPr>
      </w:pPr>
      <w:r w:rsidRPr="007A4D31">
        <w:rPr>
          <w:rStyle w:val="FootnoteReference"/>
          <w:rFonts w:ascii="Times New Roman" w:hAnsi="Times New Roman" w:cs="Times New Roman"/>
        </w:rPr>
        <w:footnoteRef/>
      </w:r>
      <w:r w:rsidRPr="007A4D31">
        <w:rPr>
          <w:rFonts w:ascii="Times New Roman" w:hAnsi="Times New Roman" w:cs="Times New Roman"/>
        </w:rPr>
        <w:t xml:space="preserve"> U.S. Dep’t of Agriculture, </w:t>
      </w:r>
      <w:r w:rsidRPr="007A4D31">
        <w:rPr>
          <w:rFonts w:ascii="Times New Roman" w:hAnsi="Times New Roman" w:cs="Times New Roman"/>
          <w:i/>
        </w:rPr>
        <w:t>OAA Nutrition Programs Fact Sheet</w:t>
      </w:r>
      <w:r w:rsidRPr="007A4D31">
        <w:rPr>
          <w:rFonts w:ascii="Times New Roman" w:hAnsi="Times New Roman" w:cs="Times New Roman"/>
        </w:rPr>
        <w:t xml:space="preserve">, </w:t>
      </w:r>
      <w:r w:rsidRPr="007A4D31">
        <w:rPr>
          <w:rFonts w:ascii="Times New Roman" w:hAnsi="Times New Roman" w:cs="Times New Roman"/>
          <w:i/>
        </w:rPr>
        <w:t>available at</w:t>
      </w:r>
      <w:r w:rsidRPr="007A4D31">
        <w:rPr>
          <w:rFonts w:ascii="Times New Roman" w:hAnsi="Times New Roman" w:cs="Times New Roman"/>
        </w:rPr>
        <w:t xml:space="preserve"> https://acl.gov/sites/default/files/news%202017-03/OAA-Nutrition_Programs_Fact_Sheet.pdf</w:t>
      </w:r>
    </w:p>
  </w:footnote>
  <w:footnote w:id="80">
    <w:p w14:paraId="7F33E746" w14:textId="77777777" w:rsidR="005A6A21" w:rsidRPr="007A4D31" w:rsidRDefault="005A6A21" w:rsidP="007A4D31">
      <w:pPr>
        <w:pStyle w:val="FootnoteText"/>
        <w:rPr>
          <w:rFonts w:ascii="Times New Roman" w:hAnsi="Times New Roman" w:cs="Times New Roman"/>
        </w:rPr>
      </w:pPr>
      <w:r w:rsidRPr="007A4D31">
        <w:rPr>
          <w:rStyle w:val="FootnoteReference"/>
          <w:rFonts w:ascii="Times New Roman" w:hAnsi="Times New Roman" w:cs="Times New Roman"/>
        </w:rPr>
        <w:footnoteRef/>
      </w:r>
      <w:r w:rsidRPr="007A4D31">
        <w:rPr>
          <w:rFonts w:ascii="Times New Roman" w:hAnsi="Times New Roman" w:cs="Times New Roman"/>
        </w:rPr>
        <w:t xml:space="preserve"> </w:t>
      </w:r>
      <w:r w:rsidRPr="007A4D31">
        <w:rPr>
          <w:rFonts w:ascii="Times New Roman" w:hAnsi="Times New Roman" w:cs="Times New Roman"/>
          <w:i/>
        </w:rPr>
        <w:t>Id.</w:t>
      </w:r>
    </w:p>
  </w:footnote>
  <w:footnote w:id="81">
    <w:p w14:paraId="053C6E2E" w14:textId="77777777" w:rsidR="005A6A21" w:rsidRPr="007A4D31" w:rsidRDefault="005A6A21" w:rsidP="007A4D31">
      <w:pPr>
        <w:pStyle w:val="FootnoteText"/>
        <w:rPr>
          <w:rFonts w:ascii="Times New Roman" w:hAnsi="Times New Roman" w:cs="Times New Roman"/>
        </w:rPr>
      </w:pPr>
      <w:r w:rsidRPr="007A4D31">
        <w:rPr>
          <w:rStyle w:val="FootnoteReference"/>
          <w:rFonts w:ascii="Times New Roman" w:hAnsi="Times New Roman" w:cs="Times New Roman"/>
        </w:rPr>
        <w:footnoteRef/>
      </w:r>
      <w:r w:rsidRPr="007A4D31">
        <w:rPr>
          <w:rFonts w:ascii="Times New Roman" w:hAnsi="Times New Roman" w:cs="Times New Roman"/>
        </w:rPr>
        <w:t xml:space="preserve"> United Neighborhood Houses, “Investing in Home Delivered Meals for Older Adults in New York City” (May 2022), </w:t>
      </w:r>
      <w:r w:rsidRPr="007A4D31">
        <w:rPr>
          <w:rFonts w:ascii="Times New Roman" w:hAnsi="Times New Roman" w:cs="Times New Roman"/>
          <w:i/>
        </w:rPr>
        <w:t xml:space="preserve">available at </w:t>
      </w:r>
      <w:r w:rsidRPr="007A4D31">
        <w:rPr>
          <w:rFonts w:ascii="Times New Roman" w:hAnsi="Times New Roman" w:cs="Times New Roman"/>
        </w:rPr>
        <w:t>https://uploads.prod01.oregon.platform-os.com/instances/542/assets/HDM%20Brief%20-%20Final.pdf?updated=1654025329 (last visited Dec. 8, 2022).</w:t>
      </w:r>
    </w:p>
  </w:footnote>
  <w:footnote w:id="82">
    <w:p w14:paraId="7A5B9706" w14:textId="77777777" w:rsidR="005A6A21" w:rsidRPr="007A4D31" w:rsidRDefault="005A6A21" w:rsidP="007A4D31">
      <w:pPr>
        <w:pStyle w:val="FootnoteText"/>
        <w:rPr>
          <w:rFonts w:ascii="Times New Roman" w:hAnsi="Times New Roman" w:cs="Times New Roman"/>
        </w:rPr>
      </w:pPr>
      <w:r w:rsidRPr="007A4D31">
        <w:rPr>
          <w:rStyle w:val="FootnoteReference"/>
          <w:rFonts w:ascii="Times New Roman" w:hAnsi="Times New Roman" w:cs="Times New Roman"/>
        </w:rPr>
        <w:footnoteRef/>
      </w:r>
      <w:r w:rsidRPr="007A4D31">
        <w:rPr>
          <w:rFonts w:ascii="Times New Roman" w:hAnsi="Times New Roman" w:cs="Times New Roman"/>
        </w:rPr>
        <w:t xml:space="preserve"> </w:t>
      </w:r>
      <w:r w:rsidRPr="007A4D31">
        <w:rPr>
          <w:rFonts w:ascii="Times New Roman" w:hAnsi="Times New Roman" w:cs="Times New Roman"/>
          <w:i/>
        </w:rPr>
        <w:t>Id.</w:t>
      </w:r>
    </w:p>
  </w:footnote>
  <w:footnote w:id="83">
    <w:p w14:paraId="26BDC9DA" w14:textId="77777777" w:rsidR="005A6A21" w:rsidRPr="007A4D31" w:rsidRDefault="005A6A21" w:rsidP="007A4D31">
      <w:pPr>
        <w:pStyle w:val="FootnoteText"/>
        <w:rPr>
          <w:rFonts w:ascii="Times New Roman" w:hAnsi="Times New Roman" w:cs="Times New Roman"/>
        </w:rPr>
      </w:pPr>
      <w:r w:rsidRPr="007A4D31">
        <w:rPr>
          <w:rStyle w:val="FootnoteReference"/>
          <w:rFonts w:ascii="Times New Roman" w:hAnsi="Times New Roman" w:cs="Times New Roman"/>
        </w:rPr>
        <w:footnoteRef/>
      </w:r>
      <w:r w:rsidRPr="007A4D31">
        <w:rPr>
          <w:rFonts w:ascii="Times New Roman" w:hAnsi="Times New Roman" w:cs="Times New Roman"/>
        </w:rPr>
        <w:t xml:space="preserve"> </w:t>
      </w:r>
      <w:r w:rsidRPr="007A4D31">
        <w:rPr>
          <w:rFonts w:ascii="Times New Roman" w:hAnsi="Times New Roman" w:cs="Times New Roman"/>
          <w:i/>
        </w:rPr>
        <w:t>Id.</w:t>
      </w:r>
    </w:p>
  </w:footnote>
  <w:footnote w:id="84">
    <w:p w14:paraId="59F56FA9" w14:textId="77777777" w:rsidR="005A6A21" w:rsidRPr="007A4D31" w:rsidRDefault="005A6A21" w:rsidP="007A4D31">
      <w:pPr>
        <w:pStyle w:val="FootnoteText"/>
        <w:rPr>
          <w:rFonts w:ascii="Times New Roman" w:hAnsi="Times New Roman" w:cs="Times New Roman"/>
        </w:rPr>
      </w:pPr>
      <w:r w:rsidRPr="007A4D31">
        <w:rPr>
          <w:rStyle w:val="FootnoteReference"/>
          <w:rFonts w:ascii="Times New Roman" w:hAnsi="Times New Roman" w:cs="Times New Roman"/>
        </w:rPr>
        <w:footnoteRef/>
      </w:r>
      <w:r w:rsidRPr="007A4D31">
        <w:rPr>
          <w:rFonts w:ascii="Times New Roman" w:hAnsi="Times New Roman" w:cs="Times New Roman"/>
        </w:rPr>
        <w:t xml:space="preserve"> </w:t>
      </w:r>
      <w:r w:rsidRPr="007A4D31">
        <w:rPr>
          <w:rFonts w:ascii="Times New Roman" w:hAnsi="Times New Roman" w:cs="Times New Roman"/>
          <w:i/>
        </w:rPr>
        <w:t>Id.</w:t>
      </w:r>
    </w:p>
  </w:footnote>
  <w:footnote w:id="85">
    <w:p w14:paraId="37C97A77" w14:textId="77777777" w:rsidR="005A6A21" w:rsidRPr="007A4D31" w:rsidRDefault="005A6A21" w:rsidP="007A4D31">
      <w:pPr>
        <w:pStyle w:val="FootnoteText"/>
        <w:rPr>
          <w:rFonts w:ascii="Times New Roman" w:hAnsi="Times New Roman" w:cs="Times New Roman"/>
        </w:rPr>
      </w:pPr>
      <w:r w:rsidRPr="007A4D31">
        <w:rPr>
          <w:rStyle w:val="FootnoteReference"/>
          <w:rFonts w:ascii="Times New Roman" w:hAnsi="Times New Roman" w:cs="Times New Roman"/>
        </w:rPr>
        <w:footnoteRef/>
      </w:r>
      <w:r w:rsidRPr="007A4D31">
        <w:rPr>
          <w:rFonts w:ascii="Times New Roman" w:hAnsi="Times New Roman" w:cs="Times New Roman"/>
        </w:rPr>
        <w:t xml:space="preserve"> </w:t>
      </w:r>
      <w:r w:rsidRPr="007A4D31">
        <w:rPr>
          <w:rFonts w:ascii="Times New Roman" w:hAnsi="Times New Roman" w:cs="Times New Roman"/>
          <w:i/>
        </w:rPr>
        <w:t xml:space="preserve">Supra </w:t>
      </w:r>
      <w:r w:rsidRPr="007A4D31">
        <w:rPr>
          <w:rFonts w:ascii="Times New Roman" w:hAnsi="Times New Roman" w:cs="Times New Roman"/>
        </w:rPr>
        <w:t>note 9.</w:t>
      </w:r>
    </w:p>
  </w:footnote>
  <w:footnote w:id="86">
    <w:p w14:paraId="476BF96D" w14:textId="77777777" w:rsidR="005A6A21" w:rsidRPr="007A4D31" w:rsidRDefault="005A6A21" w:rsidP="007A4D31">
      <w:pPr>
        <w:pStyle w:val="FootnoteText"/>
        <w:rPr>
          <w:rFonts w:ascii="Times New Roman" w:hAnsi="Times New Roman" w:cs="Times New Roman"/>
        </w:rPr>
      </w:pPr>
      <w:r w:rsidRPr="007A4D31">
        <w:rPr>
          <w:rStyle w:val="FootnoteReference"/>
          <w:rFonts w:ascii="Times New Roman" w:hAnsi="Times New Roman" w:cs="Times New Roman"/>
        </w:rPr>
        <w:footnoteRef/>
      </w:r>
      <w:r w:rsidRPr="007A4D31">
        <w:rPr>
          <w:rFonts w:ascii="Times New Roman" w:hAnsi="Times New Roman" w:cs="Times New Roman"/>
        </w:rPr>
        <w:t xml:space="preserve"> </w:t>
      </w:r>
      <w:r w:rsidRPr="007A4D31">
        <w:rPr>
          <w:rFonts w:ascii="Times New Roman" w:hAnsi="Times New Roman" w:cs="Times New Roman"/>
          <w:i/>
        </w:rPr>
        <w:t>Id.</w:t>
      </w:r>
    </w:p>
  </w:footnote>
  <w:footnote w:id="87">
    <w:p w14:paraId="144CAE68" w14:textId="77777777" w:rsidR="005A6A21" w:rsidRPr="007A4D31" w:rsidRDefault="005A6A21" w:rsidP="007A4D31">
      <w:pPr>
        <w:pStyle w:val="FootnoteText"/>
        <w:rPr>
          <w:rFonts w:ascii="Times New Roman" w:hAnsi="Times New Roman" w:cs="Times New Roman"/>
        </w:rPr>
      </w:pPr>
      <w:r w:rsidRPr="007A4D31">
        <w:rPr>
          <w:rStyle w:val="FootnoteReference"/>
          <w:rFonts w:ascii="Times New Roman" w:hAnsi="Times New Roman" w:cs="Times New Roman"/>
        </w:rPr>
        <w:footnoteRef/>
      </w:r>
      <w:r w:rsidRPr="007A4D31">
        <w:rPr>
          <w:rFonts w:ascii="Times New Roman" w:hAnsi="Times New Roman" w:cs="Times New Roman"/>
        </w:rPr>
        <w:t xml:space="preserve"> </w:t>
      </w:r>
      <w:r w:rsidRPr="007A4D31">
        <w:rPr>
          <w:rFonts w:ascii="Times New Roman" w:hAnsi="Times New Roman" w:cs="Times New Roman"/>
          <w:i/>
        </w:rPr>
        <w:t>Id.</w:t>
      </w:r>
    </w:p>
  </w:footnote>
  <w:footnote w:id="88">
    <w:p w14:paraId="5CCB7D28" w14:textId="77777777" w:rsidR="005A6A21" w:rsidRPr="007A4D31" w:rsidRDefault="005A6A21" w:rsidP="007A4D31">
      <w:pPr>
        <w:pStyle w:val="FootnoteText"/>
        <w:rPr>
          <w:rFonts w:ascii="Times New Roman" w:hAnsi="Times New Roman" w:cs="Times New Roman"/>
        </w:rPr>
      </w:pPr>
      <w:r w:rsidRPr="007A4D31">
        <w:rPr>
          <w:rStyle w:val="FootnoteReference"/>
          <w:rFonts w:ascii="Times New Roman" w:hAnsi="Times New Roman" w:cs="Times New Roman"/>
        </w:rPr>
        <w:footnoteRef/>
      </w:r>
      <w:r w:rsidRPr="007A4D31">
        <w:rPr>
          <w:rFonts w:ascii="Times New Roman" w:hAnsi="Times New Roman" w:cs="Times New Roman"/>
        </w:rPr>
        <w:t xml:space="preserve"> </w:t>
      </w:r>
      <w:r w:rsidRPr="007A4D31">
        <w:rPr>
          <w:rFonts w:ascii="Times New Roman" w:hAnsi="Times New Roman" w:cs="Times New Roman"/>
          <w:i/>
        </w:rPr>
        <w:t>Id.</w:t>
      </w:r>
    </w:p>
  </w:footnote>
  <w:footnote w:id="89">
    <w:p w14:paraId="058D5C46" w14:textId="77777777" w:rsidR="005A6A21" w:rsidRPr="007A4D31" w:rsidRDefault="005A6A21" w:rsidP="007A4D31">
      <w:pPr>
        <w:pStyle w:val="FootnoteText"/>
        <w:rPr>
          <w:rFonts w:ascii="Times New Roman" w:hAnsi="Times New Roman" w:cs="Times New Roman"/>
        </w:rPr>
      </w:pPr>
      <w:r w:rsidRPr="007A4D31">
        <w:rPr>
          <w:rStyle w:val="FootnoteReference"/>
          <w:rFonts w:ascii="Times New Roman" w:hAnsi="Times New Roman" w:cs="Times New Roman"/>
        </w:rPr>
        <w:footnoteRef/>
      </w:r>
      <w:r w:rsidRPr="007A4D31">
        <w:rPr>
          <w:rFonts w:ascii="Times New Roman" w:hAnsi="Times New Roman" w:cs="Times New Roman"/>
        </w:rPr>
        <w:t xml:space="preserve"> LiveOn-NY, </w:t>
      </w:r>
      <w:r w:rsidRPr="007A4D31">
        <w:rPr>
          <w:rFonts w:ascii="Times New Roman" w:hAnsi="Times New Roman" w:cs="Times New Roman"/>
          <w:i/>
        </w:rPr>
        <w:t>Adopted FY 2023 City Budget Recap</w:t>
      </w:r>
      <w:r w:rsidRPr="007A4D31">
        <w:rPr>
          <w:rFonts w:ascii="Times New Roman" w:hAnsi="Times New Roman" w:cs="Times New Roman"/>
        </w:rPr>
        <w:t>, https://www.liveon-ny.org/news/2022/4/12/fy23-city-budget-recap (last visited Dec. 8, 2022).</w:t>
      </w:r>
    </w:p>
  </w:footnote>
  <w:footnote w:id="90">
    <w:p w14:paraId="1B199CC2" w14:textId="77777777" w:rsidR="005A6A21" w:rsidRPr="007A4D31" w:rsidRDefault="005A6A21" w:rsidP="007A4D31">
      <w:pPr>
        <w:pStyle w:val="FootnoteText"/>
        <w:rPr>
          <w:rFonts w:ascii="Times New Roman" w:hAnsi="Times New Roman" w:cs="Times New Roman"/>
        </w:rPr>
      </w:pPr>
      <w:r w:rsidRPr="007A4D31">
        <w:rPr>
          <w:rStyle w:val="FootnoteReference"/>
          <w:rFonts w:ascii="Times New Roman" w:hAnsi="Times New Roman" w:cs="Times New Roman"/>
        </w:rPr>
        <w:footnoteRef/>
      </w:r>
      <w:r w:rsidRPr="007A4D31">
        <w:rPr>
          <w:rFonts w:ascii="Times New Roman" w:hAnsi="Times New Roman" w:cs="Times New Roman"/>
        </w:rPr>
        <w:t xml:space="preserve"> </w:t>
      </w:r>
      <w:r w:rsidRPr="007A4D31">
        <w:rPr>
          <w:rFonts w:ascii="Times New Roman" w:hAnsi="Times New Roman" w:cs="Times New Roman"/>
          <w:i/>
        </w:rPr>
        <w:t xml:space="preserve">Supra </w:t>
      </w:r>
      <w:r w:rsidRPr="007A4D31">
        <w:rPr>
          <w:rFonts w:ascii="Times New Roman" w:hAnsi="Times New Roman" w:cs="Times New Roman"/>
        </w:rPr>
        <w:t>note 9.</w:t>
      </w:r>
    </w:p>
  </w:footnote>
  <w:footnote w:id="91">
    <w:p w14:paraId="409F8236" w14:textId="77777777" w:rsidR="005A6A21" w:rsidRPr="007A4D31" w:rsidRDefault="005A6A21" w:rsidP="007A4D31">
      <w:pPr>
        <w:pStyle w:val="FootnoteText"/>
        <w:rPr>
          <w:rFonts w:ascii="Times New Roman" w:hAnsi="Times New Roman" w:cs="Times New Roman"/>
        </w:rPr>
      </w:pPr>
      <w:r w:rsidRPr="007A4D31">
        <w:rPr>
          <w:rStyle w:val="FootnoteReference"/>
          <w:rFonts w:ascii="Times New Roman" w:hAnsi="Times New Roman" w:cs="Times New Roman"/>
        </w:rPr>
        <w:footnoteRef/>
      </w:r>
      <w:r w:rsidRPr="007A4D31">
        <w:rPr>
          <w:rFonts w:ascii="Times New Roman" w:hAnsi="Times New Roman" w:cs="Times New Roman"/>
        </w:rPr>
        <w:t xml:space="preserve"> </w:t>
      </w:r>
      <w:r w:rsidRPr="007A4D31">
        <w:rPr>
          <w:rFonts w:ascii="Times New Roman" w:hAnsi="Times New Roman" w:cs="Times New Roman"/>
          <w:i/>
        </w:rPr>
        <w:t>Id.</w:t>
      </w:r>
    </w:p>
  </w:footnote>
  <w:footnote w:id="92">
    <w:p w14:paraId="42533340" w14:textId="77777777" w:rsidR="005A6A21" w:rsidRPr="007A4D31" w:rsidRDefault="005A6A21" w:rsidP="007A4D31">
      <w:pPr>
        <w:pStyle w:val="FootnoteText"/>
        <w:rPr>
          <w:rFonts w:ascii="Times New Roman" w:hAnsi="Times New Roman" w:cs="Times New Roman"/>
        </w:rPr>
      </w:pPr>
      <w:r w:rsidRPr="007A4D31">
        <w:rPr>
          <w:rStyle w:val="FootnoteReference"/>
          <w:rFonts w:ascii="Times New Roman" w:hAnsi="Times New Roman" w:cs="Times New Roman"/>
        </w:rPr>
        <w:footnoteRef/>
      </w:r>
      <w:r w:rsidRPr="007A4D31">
        <w:rPr>
          <w:rFonts w:ascii="Times New Roman" w:hAnsi="Times New Roman" w:cs="Times New Roman"/>
        </w:rPr>
        <w:t xml:space="preserve"> </w:t>
      </w:r>
      <w:r w:rsidRPr="007A4D31">
        <w:rPr>
          <w:rFonts w:ascii="Times New Roman" w:hAnsi="Times New Roman" w:cs="Times New Roman"/>
          <w:i/>
        </w:rPr>
        <w:t>Id.</w:t>
      </w:r>
    </w:p>
  </w:footnote>
  <w:footnote w:id="93">
    <w:p w14:paraId="0CE1EBBB" w14:textId="77777777" w:rsidR="005A6A21" w:rsidRPr="007A4D31" w:rsidRDefault="005A6A21" w:rsidP="007A4D31">
      <w:pPr>
        <w:pStyle w:val="FootnoteText"/>
        <w:rPr>
          <w:rFonts w:ascii="Times New Roman" w:hAnsi="Times New Roman" w:cs="Times New Roman"/>
        </w:rPr>
      </w:pPr>
      <w:r w:rsidRPr="007A4D31">
        <w:rPr>
          <w:rStyle w:val="FootnoteReference"/>
          <w:rFonts w:ascii="Times New Roman" w:hAnsi="Times New Roman" w:cs="Times New Roman"/>
        </w:rPr>
        <w:footnoteRef/>
      </w:r>
      <w:r w:rsidRPr="007A4D31">
        <w:rPr>
          <w:rFonts w:ascii="Times New Roman" w:hAnsi="Times New Roman" w:cs="Times New Roman"/>
        </w:rPr>
        <w:t xml:space="preserve"> </w:t>
      </w:r>
      <w:r w:rsidRPr="007A4D31">
        <w:rPr>
          <w:rFonts w:ascii="Times New Roman" w:hAnsi="Times New Roman" w:cs="Times New Roman"/>
          <w:i/>
        </w:rPr>
        <w:t>Id.</w:t>
      </w:r>
    </w:p>
  </w:footnote>
  <w:footnote w:id="94">
    <w:p w14:paraId="521D115E" w14:textId="77777777" w:rsidR="005A6A21" w:rsidRPr="007A4D31" w:rsidRDefault="005A6A21" w:rsidP="007A4D31">
      <w:pPr>
        <w:pStyle w:val="FootnoteText"/>
        <w:rPr>
          <w:rFonts w:ascii="Times New Roman" w:hAnsi="Times New Roman" w:cs="Times New Roman"/>
        </w:rPr>
      </w:pPr>
      <w:r w:rsidRPr="007A4D31">
        <w:rPr>
          <w:rStyle w:val="FootnoteReference"/>
          <w:rFonts w:ascii="Times New Roman" w:hAnsi="Times New Roman" w:cs="Times New Roman"/>
        </w:rPr>
        <w:footnoteRef/>
      </w:r>
      <w:r w:rsidRPr="007A4D31">
        <w:rPr>
          <w:rFonts w:ascii="Times New Roman" w:hAnsi="Times New Roman" w:cs="Times New Roman"/>
        </w:rPr>
        <w:t xml:space="preserve"> </w:t>
      </w:r>
      <w:r w:rsidRPr="007A4D31">
        <w:rPr>
          <w:rFonts w:ascii="Times New Roman" w:hAnsi="Times New Roman" w:cs="Times New Roman"/>
          <w:i/>
        </w:rPr>
        <w:t>Id.</w:t>
      </w:r>
    </w:p>
  </w:footnote>
  <w:footnote w:id="95">
    <w:p w14:paraId="403011F9" w14:textId="77777777" w:rsidR="005A6A21" w:rsidRPr="007A4D31" w:rsidRDefault="005A6A21" w:rsidP="007A4D31">
      <w:pPr>
        <w:pStyle w:val="FootnoteText"/>
        <w:rPr>
          <w:rFonts w:ascii="Times New Roman" w:hAnsi="Times New Roman" w:cs="Times New Roman"/>
        </w:rPr>
      </w:pPr>
      <w:r w:rsidRPr="007A4D31">
        <w:rPr>
          <w:rStyle w:val="FootnoteReference"/>
          <w:rFonts w:ascii="Times New Roman" w:hAnsi="Times New Roman" w:cs="Times New Roman"/>
        </w:rPr>
        <w:footnoteRef/>
      </w:r>
      <w:r w:rsidRPr="007A4D31">
        <w:rPr>
          <w:rFonts w:ascii="Times New Roman" w:hAnsi="Times New Roman" w:cs="Times New Roman"/>
        </w:rPr>
        <w:t xml:space="preserve"> </w:t>
      </w:r>
      <w:r w:rsidRPr="007A4D31">
        <w:rPr>
          <w:rFonts w:ascii="Times New Roman" w:hAnsi="Times New Roman" w:cs="Times New Roman"/>
          <w:i/>
        </w:rPr>
        <w:t>Id.</w:t>
      </w:r>
    </w:p>
  </w:footnote>
  <w:footnote w:id="96">
    <w:p w14:paraId="0F2E5A99" w14:textId="77777777" w:rsidR="005A6A21" w:rsidRPr="007A4D31" w:rsidRDefault="005A6A21" w:rsidP="007A4D31">
      <w:pPr>
        <w:pStyle w:val="FootnoteText"/>
        <w:rPr>
          <w:rFonts w:ascii="Times New Roman" w:hAnsi="Times New Roman" w:cs="Times New Roman"/>
        </w:rPr>
      </w:pPr>
      <w:r w:rsidRPr="007A4D31">
        <w:rPr>
          <w:rStyle w:val="FootnoteReference"/>
          <w:rFonts w:ascii="Times New Roman" w:hAnsi="Times New Roman" w:cs="Times New Roman"/>
        </w:rPr>
        <w:footnoteRef/>
      </w:r>
      <w:r w:rsidRPr="007A4D31">
        <w:rPr>
          <w:rFonts w:ascii="Times New Roman" w:hAnsi="Times New Roman" w:cs="Times New Roman"/>
        </w:rPr>
        <w:t xml:space="preserve"> </w:t>
      </w:r>
      <w:r w:rsidRPr="007A4D31">
        <w:rPr>
          <w:rFonts w:ascii="Times New Roman" w:hAnsi="Times New Roman" w:cs="Times New Roman"/>
          <w:i/>
        </w:rPr>
        <w:t>Supra</w:t>
      </w:r>
      <w:r w:rsidRPr="007A4D31">
        <w:rPr>
          <w:rFonts w:ascii="Times New Roman" w:hAnsi="Times New Roman" w:cs="Times New Roman"/>
        </w:rPr>
        <w:t xml:space="preserve"> note 9.</w:t>
      </w:r>
    </w:p>
  </w:footnote>
  <w:footnote w:id="97">
    <w:p w14:paraId="00564A98" w14:textId="77777777" w:rsidR="005A6A21" w:rsidRPr="007A4D31" w:rsidRDefault="005A6A21" w:rsidP="007A4D31">
      <w:pPr>
        <w:pStyle w:val="FootnoteText"/>
        <w:rPr>
          <w:rFonts w:ascii="Times New Roman" w:hAnsi="Times New Roman" w:cs="Times New Roman"/>
        </w:rPr>
      </w:pPr>
      <w:r w:rsidRPr="007A4D31">
        <w:rPr>
          <w:rStyle w:val="FootnoteReference"/>
          <w:rFonts w:ascii="Times New Roman" w:hAnsi="Times New Roman" w:cs="Times New Roman"/>
        </w:rPr>
        <w:footnoteRef/>
      </w:r>
      <w:r w:rsidRPr="007A4D31">
        <w:rPr>
          <w:rFonts w:ascii="Times New Roman" w:hAnsi="Times New Roman" w:cs="Times New Roman"/>
        </w:rPr>
        <w:t xml:space="preserve"> </w:t>
      </w:r>
      <w:r w:rsidRPr="007A4D31">
        <w:rPr>
          <w:rFonts w:ascii="Times New Roman" w:hAnsi="Times New Roman" w:cs="Times New Roman"/>
          <w:i/>
        </w:rPr>
        <w:t>Id.</w:t>
      </w:r>
    </w:p>
  </w:footnote>
  <w:footnote w:id="98">
    <w:p w14:paraId="270D0BD0" w14:textId="77777777" w:rsidR="005A6A21" w:rsidRDefault="005A6A21" w:rsidP="00832066">
      <w:pPr>
        <w:pStyle w:val="FootnoteText"/>
      </w:pPr>
      <w:r>
        <w:rPr>
          <w:rStyle w:val="FootnoteReference"/>
        </w:rPr>
        <w:footnoteRef/>
      </w:r>
      <w:r>
        <w:t xml:space="preserve"> </w:t>
      </w:r>
      <w:r w:rsidRPr="006E5E4B">
        <w:rPr>
          <w:rFonts w:ascii="Times New Roman" w:hAnsi="Times New Roman" w:cs="Times New Roman"/>
        </w:rPr>
        <w:t>NYC Aging, Fiscal 2024 Preliminary Budget Hearing Testimony</w:t>
      </w:r>
      <w:r>
        <w:rPr>
          <w:rFonts w:ascii="Times New Roman" w:hAnsi="Times New Roman" w:cs="Times New Roman"/>
        </w:rPr>
        <w:t xml:space="preserve">, </w:t>
      </w:r>
      <w:r w:rsidRPr="006E5E4B">
        <w:rPr>
          <w:rFonts w:ascii="Times New Roman" w:hAnsi="Times New Roman" w:cs="Times New Roman"/>
          <w:i/>
        </w:rPr>
        <w:t>see</w:t>
      </w:r>
      <w:r w:rsidRPr="006E5E4B">
        <w:rPr>
          <w:rFonts w:ascii="Times New Roman" w:hAnsi="Times New Roman" w:cs="Times New Roman"/>
        </w:rPr>
        <w:t xml:space="preserve">: </w:t>
      </w:r>
      <w:hyperlink r:id="rId37" w:history="1">
        <w:r w:rsidRPr="006E5E4B">
          <w:rPr>
            <w:rStyle w:val="Hyperlink"/>
            <w:rFonts w:ascii="Times New Roman" w:hAnsi="Times New Roman" w:cs="Times New Roman"/>
          </w:rPr>
          <w:t>https://legistar.council.nyc.gov/LegislationDetail.aspx?ID=6028024&amp;GUID=8663C62A-20E0-4CD5-8ED2-5B9A1E0D3DAE&amp;Options=&amp;Search</w:t>
        </w:r>
      </w:hyperlink>
      <w:r w:rsidRPr="006E5E4B">
        <w:rPr>
          <w:rFonts w:ascii="Times New Roman" w:hAnsi="Times New Roman" w:cs="Times New Roman"/>
        </w:rPr>
        <w:t>=</w:t>
      </w:r>
      <w:r>
        <w:t xml:space="preserve"> </w:t>
      </w:r>
    </w:p>
  </w:footnote>
  <w:footnote w:id="99">
    <w:p w14:paraId="3A8AF3C5" w14:textId="77777777" w:rsidR="005A6A21" w:rsidRDefault="005A6A21" w:rsidP="00832066">
      <w:pPr>
        <w:pStyle w:val="FootnoteText"/>
      </w:pPr>
      <w:r>
        <w:rPr>
          <w:rStyle w:val="FootnoteReference"/>
        </w:rPr>
        <w:footnoteRef/>
      </w:r>
      <w:r w:rsidRPr="00D310B6">
        <w:rPr>
          <w:rFonts w:ascii="Times New Roman" w:hAnsi="Times New Roman" w:cs="Times New Roman"/>
        </w:rPr>
        <w:t xml:space="preserve"> Fiscal 2023 Preliminary Mayor’s Management Report</w:t>
      </w:r>
      <w:r>
        <w:rPr>
          <w:rFonts w:ascii="Times New Roman" w:hAnsi="Times New Roman" w:cs="Times New Roman"/>
        </w:rPr>
        <w:t xml:space="preserve">, </w:t>
      </w:r>
      <w:r w:rsidRPr="00D310B6">
        <w:rPr>
          <w:rFonts w:ascii="Times New Roman" w:hAnsi="Times New Roman" w:cs="Times New Roman"/>
          <w:i/>
        </w:rPr>
        <w:t>see</w:t>
      </w:r>
      <w:r w:rsidRPr="00D310B6">
        <w:rPr>
          <w:rFonts w:ascii="Times New Roman" w:hAnsi="Times New Roman" w:cs="Times New Roman"/>
        </w:rPr>
        <w:t xml:space="preserve">: </w:t>
      </w:r>
      <w:hyperlink r:id="rId38" w:history="1">
        <w:r w:rsidRPr="00BB6B96">
          <w:rPr>
            <w:rStyle w:val="Hyperlink"/>
            <w:rFonts w:ascii="Times New Roman" w:hAnsi="Times New Roman" w:cs="Times New Roman"/>
          </w:rPr>
          <w:t>https://www.nyc.gov/assets/operations/downloads/pdf/pmmr2023/2023_pmmr.pdf</w:t>
        </w:r>
      </w:hyperlink>
      <w:r>
        <w:rPr>
          <w:rFonts w:ascii="Times New Roman" w:hAnsi="Times New Roman" w:cs="Times New Roman"/>
        </w:rPr>
        <w:t xml:space="preserve">. </w:t>
      </w:r>
    </w:p>
  </w:footnote>
  <w:footnote w:id="100">
    <w:p w14:paraId="1CCE90F0" w14:textId="68BD3522" w:rsidR="005A6A21" w:rsidRPr="007A4D31" w:rsidRDefault="005A6A21" w:rsidP="00BB2336">
      <w:pPr>
        <w:pStyle w:val="FootnoteText"/>
        <w:rPr>
          <w:rFonts w:ascii="Times New Roman" w:hAnsi="Times New Roman" w:cs="Times New Roman"/>
        </w:rPr>
      </w:pPr>
      <w:r w:rsidRPr="007A4D31">
        <w:rPr>
          <w:rStyle w:val="FootnoteReference"/>
          <w:rFonts w:ascii="Times New Roman" w:hAnsi="Times New Roman" w:cs="Times New Roman"/>
        </w:rPr>
        <w:footnoteRef/>
      </w:r>
      <w:r w:rsidRPr="007A4D31">
        <w:rPr>
          <w:rFonts w:ascii="Times New Roman" w:hAnsi="Times New Roman" w:cs="Times New Roman"/>
        </w:rPr>
        <w:t xml:space="preserve"> New York City Council, “Response to the Fiscal 2024 Preliminary Budget and Preliminary Mayor’s Management Report”, </w:t>
      </w:r>
      <w:r w:rsidRPr="007A4D31">
        <w:rPr>
          <w:rFonts w:ascii="Times New Roman" w:hAnsi="Times New Roman" w:cs="Times New Roman"/>
          <w:i/>
          <w:iCs/>
        </w:rPr>
        <w:t>see</w:t>
      </w:r>
      <w:r w:rsidRPr="007A4D31">
        <w:rPr>
          <w:rFonts w:ascii="Times New Roman" w:hAnsi="Times New Roman" w:cs="Times New Roman"/>
        </w:rPr>
        <w:t xml:space="preserve">: </w:t>
      </w:r>
      <w:hyperlink r:id="rId39" w:history="1">
        <w:r w:rsidRPr="007A4D31">
          <w:rPr>
            <w:rStyle w:val="Hyperlink"/>
            <w:rFonts w:ascii="Times New Roman" w:hAnsi="Times New Roman" w:cs="Times New Roman"/>
          </w:rPr>
          <w:t>https://council.nyc.gov/wp-content/uploads/sites/54/2023/04/Fiscal-2024-Preliminary-Budget-Response-Final-1.pdf</w:t>
        </w:r>
      </w:hyperlink>
      <w:r>
        <w:rPr>
          <w:rFonts w:ascii="Times New Roman" w:hAnsi="Times New Roman" w:cs="Times New Roman"/>
        </w:rPr>
        <w:t>.</w:t>
      </w:r>
    </w:p>
  </w:footnote>
  <w:footnote w:id="101">
    <w:p w14:paraId="54165D33" w14:textId="03065BBF" w:rsidR="005A6A21" w:rsidRDefault="005A6A21">
      <w:pPr>
        <w:pStyle w:val="FootnoteText"/>
      </w:pPr>
      <w:r>
        <w:rPr>
          <w:rStyle w:val="FootnoteReference"/>
        </w:rPr>
        <w:footnoteRef/>
      </w:r>
      <w:r>
        <w:t xml:space="preserve"> </w:t>
      </w:r>
      <w:r w:rsidRPr="00E43A30">
        <w:rPr>
          <w:rFonts w:ascii="Times New Roman" w:hAnsi="Times New Roman" w:cs="Times New Roman"/>
        </w:rPr>
        <w:t>On file with New York City Council Finance Division.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464EF1"/>
    <w:multiLevelType w:val="hybridMultilevel"/>
    <w:tmpl w:val="6F686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92027D"/>
    <w:multiLevelType w:val="multilevel"/>
    <w:tmpl w:val="6D62C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64D0E83"/>
    <w:multiLevelType w:val="multilevel"/>
    <w:tmpl w:val="D9483D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28AE56FA"/>
    <w:multiLevelType w:val="multilevel"/>
    <w:tmpl w:val="E8C2E79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2B9C4C14"/>
    <w:multiLevelType w:val="hybridMultilevel"/>
    <w:tmpl w:val="FFFFFFFF"/>
    <w:lvl w:ilvl="0" w:tplc="2E26D58E">
      <w:start w:val="1"/>
      <w:numFmt w:val="upperRoman"/>
      <w:lvlText w:val="%1."/>
      <w:lvlJc w:val="left"/>
      <w:pPr>
        <w:ind w:left="720" w:hanging="720"/>
      </w:pPr>
      <w:rPr>
        <w:rFonts w:cs="Times New Roman" w:hint="default"/>
      </w:rPr>
    </w:lvl>
    <w:lvl w:ilvl="1" w:tplc="FBF8F8E6">
      <w:start w:val="1"/>
      <w:numFmt w:val="lowerLetter"/>
      <w:lvlText w:val="%2."/>
      <w:lvlJc w:val="left"/>
      <w:pPr>
        <w:ind w:left="1080" w:hanging="360"/>
      </w:pPr>
      <w:rPr>
        <w:rFonts w:cs="Times New Roman"/>
        <w:b/>
      </w:rPr>
    </w:lvl>
    <w:lvl w:ilvl="2" w:tplc="0409001B">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5" w15:restartNumberingAfterBreak="0">
    <w:nsid w:val="37847540"/>
    <w:multiLevelType w:val="multilevel"/>
    <w:tmpl w:val="F4A85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D49048D"/>
    <w:multiLevelType w:val="multilevel"/>
    <w:tmpl w:val="69AC5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862579F"/>
    <w:multiLevelType w:val="multilevel"/>
    <w:tmpl w:val="90187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3A66D35"/>
    <w:multiLevelType w:val="multilevel"/>
    <w:tmpl w:val="ACA0E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C757438"/>
    <w:multiLevelType w:val="multilevel"/>
    <w:tmpl w:val="A860E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E0961AF"/>
    <w:multiLevelType w:val="hybridMultilevel"/>
    <w:tmpl w:val="84AAE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6"/>
  </w:num>
  <w:num w:numId="4">
    <w:abstractNumId w:val="9"/>
  </w:num>
  <w:num w:numId="5">
    <w:abstractNumId w:val="8"/>
  </w:num>
  <w:num w:numId="6">
    <w:abstractNumId w:val="1"/>
  </w:num>
  <w:num w:numId="7">
    <w:abstractNumId w:val="10"/>
  </w:num>
  <w:num w:numId="8">
    <w:abstractNumId w:val="2"/>
  </w:num>
  <w:num w:numId="9">
    <w:abstractNumId w:val="3"/>
  </w:num>
  <w:num w:numId="10">
    <w:abstractNumId w:val="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2C42"/>
    <w:rsid w:val="000000E7"/>
    <w:rsid w:val="000007EB"/>
    <w:rsid w:val="0000241F"/>
    <w:rsid w:val="000027C7"/>
    <w:rsid w:val="00002B66"/>
    <w:rsid w:val="00026D58"/>
    <w:rsid w:val="000301CC"/>
    <w:rsid w:val="00031C6E"/>
    <w:rsid w:val="0004237B"/>
    <w:rsid w:val="00042A05"/>
    <w:rsid w:val="000472BD"/>
    <w:rsid w:val="00050A8C"/>
    <w:rsid w:val="000669FA"/>
    <w:rsid w:val="00077E02"/>
    <w:rsid w:val="00080BEE"/>
    <w:rsid w:val="0008265D"/>
    <w:rsid w:val="0008502D"/>
    <w:rsid w:val="00087584"/>
    <w:rsid w:val="00092C12"/>
    <w:rsid w:val="00092F1F"/>
    <w:rsid w:val="00092F34"/>
    <w:rsid w:val="00095721"/>
    <w:rsid w:val="000B03A8"/>
    <w:rsid w:val="000B4A77"/>
    <w:rsid w:val="000C1291"/>
    <w:rsid w:val="000D28E0"/>
    <w:rsid w:val="000D3347"/>
    <w:rsid w:val="000D3767"/>
    <w:rsid w:val="000D4F28"/>
    <w:rsid w:val="000E0435"/>
    <w:rsid w:val="000E449D"/>
    <w:rsid w:val="000F052A"/>
    <w:rsid w:val="000F4D2B"/>
    <w:rsid w:val="000F7708"/>
    <w:rsid w:val="001065FC"/>
    <w:rsid w:val="0011170D"/>
    <w:rsid w:val="00112838"/>
    <w:rsid w:val="0011499C"/>
    <w:rsid w:val="001205B5"/>
    <w:rsid w:val="001260F4"/>
    <w:rsid w:val="00126609"/>
    <w:rsid w:val="00137256"/>
    <w:rsid w:val="00137891"/>
    <w:rsid w:val="00150373"/>
    <w:rsid w:val="001537AD"/>
    <w:rsid w:val="00156EEA"/>
    <w:rsid w:val="001664F7"/>
    <w:rsid w:val="00167CE3"/>
    <w:rsid w:val="00172A6F"/>
    <w:rsid w:val="001775E3"/>
    <w:rsid w:val="0018092A"/>
    <w:rsid w:val="00183730"/>
    <w:rsid w:val="001967E3"/>
    <w:rsid w:val="001A1F15"/>
    <w:rsid w:val="001A20ED"/>
    <w:rsid w:val="001A2CCA"/>
    <w:rsid w:val="001A4063"/>
    <w:rsid w:val="001B010D"/>
    <w:rsid w:val="001B3405"/>
    <w:rsid w:val="001B47F8"/>
    <w:rsid w:val="001C2009"/>
    <w:rsid w:val="001C2FC0"/>
    <w:rsid w:val="001C3808"/>
    <w:rsid w:val="001C3CCF"/>
    <w:rsid w:val="001D0F55"/>
    <w:rsid w:val="001D2902"/>
    <w:rsid w:val="001E18B9"/>
    <w:rsid w:val="001E1E54"/>
    <w:rsid w:val="001E7240"/>
    <w:rsid w:val="001F566D"/>
    <w:rsid w:val="001F7B88"/>
    <w:rsid w:val="0020256B"/>
    <w:rsid w:val="00205DE1"/>
    <w:rsid w:val="00211C66"/>
    <w:rsid w:val="00213A7E"/>
    <w:rsid w:val="002229EA"/>
    <w:rsid w:val="00224CEB"/>
    <w:rsid w:val="00227F6C"/>
    <w:rsid w:val="00234044"/>
    <w:rsid w:val="002352DE"/>
    <w:rsid w:val="00235855"/>
    <w:rsid w:val="00246C00"/>
    <w:rsid w:val="00247C47"/>
    <w:rsid w:val="00257BE0"/>
    <w:rsid w:val="0026168A"/>
    <w:rsid w:val="00261E08"/>
    <w:rsid w:val="0027031C"/>
    <w:rsid w:val="00297EC3"/>
    <w:rsid w:val="002A492C"/>
    <w:rsid w:val="002A51BA"/>
    <w:rsid w:val="002B1276"/>
    <w:rsid w:val="002C38E8"/>
    <w:rsid w:val="002C396B"/>
    <w:rsid w:val="002C51AB"/>
    <w:rsid w:val="002C7D68"/>
    <w:rsid w:val="002E5C63"/>
    <w:rsid w:val="002E7B0F"/>
    <w:rsid w:val="003012BE"/>
    <w:rsid w:val="003034AD"/>
    <w:rsid w:val="0030651D"/>
    <w:rsid w:val="00311C06"/>
    <w:rsid w:val="00314433"/>
    <w:rsid w:val="00315746"/>
    <w:rsid w:val="0031745F"/>
    <w:rsid w:val="00334C75"/>
    <w:rsid w:val="003368A8"/>
    <w:rsid w:val="00340092"/>
    <w:rsid w:val="00341F79"/>
    <w:rsid w:val="00342885"/>
    <w:rsid w:val="00347F35"/>
    <w:rsid w:val="003507D3"/>
    <w:rsid w:val="0035221C"/>
    <w:rsid w:val="00367CBC"/>
    <w:rsid w:val="00392E2B"/>
    <w:rsid w:val="00395858"/>
    <w:rsid w:val="00397AC5"/>
    <w:rsid w:val="003A4521"/>
    <w:rsid w:val="003A5D52"/>
    <w:rsid w:val="003A6B80"/>
    <w:rsid w:val="003B007B"/>
    <w:rsid w:val="003B1286"/>
    <w:rsid w:val="003B5682"/>
    <w:rsid w:val="003B6194"/>
    <w:rsid w:val="003C090A"/>
    <w:rsid w:val="003C16CD"/>
    <w:rsid w:val="003C187F"/>
    <w:rsid w:val="003C571C"/>
    <w:rsid w:val="003C77CD"/>
    <w:rsid w:val="003D19B8"/>
    <w:rsid w:val="003D3013"/>
    <w:rsid w:val="003D6F0C"/>
    <w:rsid w:val="003E2AF7"/>
    <w:rsid w:val="003E3C2B"/>
    <w:rsid w:val="003E55F5"/>
    <w:rsid w:val="003F6252"/>
    <w:rsid w:val="00403C7E"/>
    <w:rsid w:val="00412173"/>
    <w:rsid w:val="00415CFB"/>
    <w:rsid w:val="00423955"/>
    <w:rsid w:val="004326FF"/>
    <w:rsid w:val="00435578"/>
    <w:rsid w:val="004427E7"/>
    <w:rsid w:val="00443261"/>
    <w:rsid w:val="00447CCB"/>
    <w:rsid w:val="0045312A"/>
    <w:rsid w:val="00453A54"/>
    <w:rsid w:val="0045737D"/>
    <w:rsid w:val="00470A3F"/>
    <w:rsid w:val="00472099"/>
    <w:rsid w:val="00480BBC"/>
    <w:rsid w:val="0048260E"/>
    <w:rsid w:val="00487D15"/>
    <w:rsid w:val="004A7B0D"/>
    <w:rsid w:val="004B40A1"/>
    <w:rsid w:val="004B5300"/>
    <w:rsid w:val="004B68AD"/>
    <w:rsid w:val="004C3FCD"/>
    <w:rsid w:val="004D3D54"/>
    <w:rsid w:val="004F11AA"/>
    <w:rsid w:val="004F12E1"/>
    <w:rsid w:val="004F59BC"/>
    <w:rsid w:val="004F648A"/>
    <w:rsid w:val="004F74F1"/>
    <w:rsid w:val="005012DE"/>
    <w:rsid w:val="005024A0"/>
    <w:rsid w:val="00510B4E"/>
    <w:rsid w:val="00511790"/>
    <w:rsid w:val="00512136"/>
    <w:rsid w:val="00512F8D"/>
    <w:rsid w:val="00514270"/>
    <w:rsid w:val="00515B59"/>
    <w:rsid w:val="00517312"/>
    <w:rsid w:val="00521DCC"/>
    <w:rsid w:val="005370C1"/>
    <w:rsid w:val="00550B3D"/>
    <w:rsid w:val="00553C8E"/>
    <w:rsid w:val="00564FC7"/>
    <w:rsid w:val="005652B4"/>
    <w:rsid w:val="00567A6E"/>
    <w:rsid w:val="00571F7A"/>
    <w:rsid w:val="00572B1B"/>
    <w:rsid w:val="00572E4C"/>
    <w:rsid w:val="00575267"/>
    <w:rsid w:val="00575DB1"/>
    <w:rsid w:val="00576790"/>
    <w:rsid w:val="00581297"/>
    <w:rsid w:val="0058761A"/>
    <w:rsid w:val="00594DEB"/>
    <w:rsid w:val="00596BB4"/>
    <w:rsid w:val="00597815"/>
    <w:rsid w:val="005A36A8"/>
    <w:rsid w:val="005A6A21"/>
    <w:rsid w:val="005A6E8D"/>
    <w:rsid w:val="005B4DE6"/>
    <w:rsid w:val="005C5A1C"/>
    <w:rsid w:val="005C612C"/>
    <w:rsid w:val="005C7D1E"/>
    <w:rsid w:val="005D02D8"/>
    <w:rsid w:val="005D1577"/>
    <w:rsid w:val="005D27E0"/>
    <w:rsid w:val="005E7B25"/>
    <w:rsid w:val="005F0870"/>
    <w:rsid w:val="005F08AA"/>
    <w:rsid w:val="00601FE9"/>
    <w:rsid w:val="00604F97"/>
    <w:rsid w:val="006077F6"/>
    <w:rsid w:val="00607F1D"/>
    <w:rsid w:val="0062321F"/>
    <w:rsid w:val="00625845"/>
    <w:rsid w:val="00626869"/>
    <w:rsid w:val="00633441"/>
    <w:rsid w:val="00634660"/>
    <w:rsid w:val="00643809"/>
    <w:rsid w:val="006513F5"/>
    <w:rsid w:val="006529BD"/>
    <w:rsid w:val="00660D8C"/>
    <w:rsid w:val="00661516"/>
    <w:rsid w:val="00667CDE"/>
    <w:rsid w:val="00672B2B"/>
    <w:rsid w:val="006750A8"/>
    <w:rsid w:val="00677D94"/>
    <w:rsid w:val="0068526E"/>
    <w:rsid w:val="00691814"/>
    <w:rsid w:val="00694114"/>
    <w:rsid w:val="00695D7C"/>
    <w:rsid w:val="006A0356"/>
    <w:rsid w:val="006A050E"/>
    <w:rsid w:val="006A0AB3"/>
    <w:rsid w:val="006A2D49"/>
    <w:rsid w:val="006A7846"/>
    <w:rsid w:val="006B5AEC"/>
    <w:rsid w:val="006C27E6"/>
    <w:rsid w:val="006C2AB0"/>
    <w:rsid w:val="006D6476"/>
    <w:rsid w:val="006D7923"/>
    <w:rsid w:val="006E2214"/>
    <w:rsid w:val="006E3000"/>
    <w:rsid w:val="006E5E3C"/>
    <w:rsid w:val="006E5E4B"/>
    <w:rsid w:val="006F1FF8"/>
    <w:rsid w:val="006F2726"/>
    <w:rsid w:val="006F27A5"/>
    <w:rsid w:val="006F345C"/>
    <w:rsid w:val="006F499B"/>
    <w:rsid w:val="006F5324"/>
    <w:rsid w:val="00700242"/>
    <w:rsid w:val="00703DFF"/>
    <w:rsid w:val="00710A21"/>
    <w:rsid w:val="00726338"/>
    <w:rsid w:val="00732D16"/>
    <w:rsid w:val="00734C89"/>
    <w:rsid w:val="00741AF4"/>
    <w:rsid w:val="00750199"/>
    <w:rsid w:val="007501DE"/>
    <w:rsid w:val="007615DD"/>
    <w:rsid w:val="00771669"/>
    <w:rsid w:val="00772E5C"/>
    <w:rsid w:val="00774A9A"/>
    <w:rsid w:val="00775C5B"/>
    <w:rsid w:val="0077681B"/>
    <w:rsid w:val="00781BA7"/>
    <w:rsid w:val="0078672B"/>
    <w:rsid w:val="007A4D31"/>
    <w:rsid w:val="007B6EE8"/>
    <w:rsid w:val="007C6BCC"/>
    <w:rsid w:val="007D69D9"/>
    <w:rsid w:val="007E0D28"/>
    <w:rsid w:val="007E4374"/>
    <w:rsid w:val="007E4A8E"/>
    <w:rsid w:val="007E5780"/>
    <w:rsid w:val="007E5F7A"/>
    <w:rsid w:val="007E6F3D"/>
    <w:rsid w:val="00801C11"/>
    <w:rsid w:val="00802E14"/>
    <w:rsid w:val="008043DD"/>
    <w:rsid w:val="0082404E"/>
    <w:rsid w:val="00832066"/>
    <w:rsid w:val="008330F8"/>
    <w:rsid w:val="0083709E"/>
    <w:rsid w:val="008375D0"/>
    <w:rsid w:val="008433D9"/>
    <w:rsid w:val="00847C18"/>
    <w:rsid w:val="0085279A"/>
    <w:rsid w:val="0085490E"/>
    <w:rsid w:val="00856BE2"/>
    <w:rsid w:val="008642B1"/>
    <w:rsid w:val="00873549"/>
    <w:rsid w:val="008870E4"/>
    <w:rsid w:val="008941C3"/>
    <w:rsid w:val="00894E07"/>
    <w:rsid w:val="008A2B10"/>
    <w:rsid w:val="008A73AC"/>
    <w:rsid w:val="008B42AD"/>
    <w:rsid w:val="008B6418"/>
    <w:rsid w:val="008C7465"/>
    <w:rsid w:val="008D5327"/>
    <w:rsid w:val="008F2D6E"/>
    <w:rsid w:val="009008CA"/>
    <w:rsid w:val="0090724F"/>
    <w:rsid w:val="009122DD"/>
    <w:rsid w:val="00915B64"/>
    <w:rsid w:val="009171C7"/>
    <w:rsid w:val="009234DD"/>
    <w:rsid w:val="009258F1"/>
    <w:rsid w:val="00925C5A"/>
    <w:rsid w:val="0094567F"/>
    <w:rsid w:val="00946563"/>
    <w:rsid w:val="00950DA1"/>
    <w:rsid w:val="009555AF"/>
    <w:rsid w:val="009575E6"/>
    <w:rsid w:val="009601FA"/>
    <w:rsid w:val="009659D3"/>
    <w:rsid w:val="0096692B"/>
    <w:rsid w:val="00966C49"/>
    <w:rsid w:val="00967C6D"/>
    <w:rsid w:val="00972877"/>
    <w:rsid w:val="00974A82"/>
    <w:rsid w:val="0097506E"/>
    <w:rsid w:val="00981C04"/>
    <w:rsid w:val="009844CE"/>
    <w:rsid w:val="0099390F"/>
    <w:rsid w:val="009A0385"/>
    <w:rsid w:val="009A6A39"/>
    <w:rsid w:val="009B1B43"/>
    <w:rsid w:val="009B55A7"/>
    <w:rsid w:val="009C07FE"/>
    <w:rsid w:val="009D1B96"/>
    <w:rsid w:val="009D7580"/>
    <w:rsid w:val="009D7C80"/>
    <w:rsid w:val="009F1B01"/>
    <w:rsid w:val="009F553F"/>
    <w:rsid w:val="00A12729"/>
    <w:rsid w:val="00A23585"/>
    <w:rsid w:val="00A24C6B"/>
    <w:rsid w:val="00A26074"/>
    <w:rsid w:val="00A331E9"/>
    <w:rsid w:val="00A3619C"/>
    <w:rsid w:val="00A600D5"/>
    <w:rsid w:val="00A65029"/>
    <w:rsid w:val="00A72CEE"/>
    <w:rsid w:val="00A73CF9"/>
    <w:rsid w:val="00A74772"/>
    <w:rsid w:val="00A85C5D"/>
    <w:rsid w:val="00A874FA"/>
    <w:rsid w:val="00A9036C"/>
    <w:rsid w:val="00AA3F59"/>
    <w:rsid w:val="00AB2B02"/>
    <w:rsid w:val="00AB2C42"/>
    <w:rsid w:val="00AB7FE6"/>
    <w:rsid w:val="00AD2657"/>
    <w:rsid w:val="00AE1AB6"/>
    <w:rsid w:val="00AE412F"/>
    <w:rsid w:val="00AE501E"/>
    <w:rsid w:val="00AE5D31"/>
    <w:rsid w:val="00AF0C0A"/>
    <w:rsid w:val="00AF2B48"/>
    <w:rsid w:val="00AF2B76"/>
    <w:rsid w:val="00AF63B3"/>
    <w:rsid w:val="00B00355"/>
    <w:rsid w:val="00B01D58"/>
    <w:rsid w:val="00B30DE5"/>
    <w:rsid w:val="00B44C60"/>
    <w:rsid w:val="00B4745F"/>
    <w:rsid w:val="00B54DCD"/>
    <w:rsid w:val="00B576F7"/>
    <w:rsid w:val="00B6684C"/>
    <w:rsid w:val="00B81B65"/>
    <w:rsid w:val="00B83AC6"/>
    <w:rsid w:val="00B95397"/>
    <w:rsid w:val="00BA5340"/>
    <w:rsid w:val="00BB2336"/>
    <w:rsid w:val="00BB289C"/>
    <w:rsid w:val="00BB45C9"/>
    <w:rsid w:val="00BB47E1"/>
    <w:rsid w:val="00BB5260"/>
    <w:rsid w:val="00BB7ED7"/>
    <w:rsid w:val="00BC1251"/>
    <w:rsid w:val="00BD5B0D"/>
    <w:rsid w:val="00BE47B5"/>
    <w:rsid w:val="00BE4801"/>
    <w:rsid w:val="00BF0F3F"/>
    <w:rsid w:val="00BF1ABD"/>
    <w:rsid w:val="00C01C9F"/>
    <w:rsid w:val="00C03107"/>
    <w:rsid w:val="00C142E1"/>
    <w:rsid w:val="00C206BD"/>
    <w:rsid w:val="00C215EB"/>
    <w:rsid w:val="00C222D6"/>
    <w:rsid w:val="00C235E6"/>
    <w:rsid w:val="00C2477E"/>
    <w:rsid w:val="00C24C08"/>
    <w:rsid w:val="00C27CF0"/>
    <w:rsid w:val="00C35751"/>
    <w:rsid w:val="00C36535"/>
    <w:rsid w:val="00C3704E"/>
    <w:rsid w:val="00C379F8"/>
    <w:rsid w:val="00C5681F"/>
    <w:rsid w:val="00C732F1"/>
    <w:rsid w:val="00C74012"/>
    <w:rsid w:val="00C7425C"/>
    <w:rsid w:val="00C77022"/>
    <w:rsid w:val="00C81CDF"/>
    <w:rsid w:val="00C904AD"/>
    <w:rsid w:val="00C935F2"/>
    <w:rsid w:val="00C953E6"/>
    <w:rsid w:val="00CA1159"/>
    <w:rsid w:val="00CA2FAF"/>
    <w:rsid w:val="00CA3958"/>
    <w:rsid w:val="00CA5967"/>
    <w:rsid w:val="00CB19C4"/>
    <w:rsid w:val="00CD078A"/>
    <w:rsid w:val="00CD0DBB"/>
    <w:rsid w:val="00CD4C6D"/>
    <w:rsid w:val="00CE2EB3"/>
    <w:rsid w:val="00CE3462"/>
    <w:rsid w:val="00CE43A4"/>
    <w:rsid w:val="00CF1BA7"/>
    <w:rsid w:val="00CF4725"/>
    <w:rsid w:val="00D00587"/>
    <w:rsid w:val="00D028F5"/>
    <w:rsid w:val="00D14021"/>
    <w:rsid w:val="00D1707A"/>
    <w:rsid w:val="00D23721"/>
    <w:rsid w:val="00D253D4"/>
    <w:rsid w:val="00D26AAE"/>
    <w:rsid w:val="00D310B6"/>
    <w:rsid w:val="00D3178D"/>
    <w:rsid w:val="00D33EC3"/>
    <w:rsid w:val="00D361B7"/>
    <w:rsid w:val="00D502F7"/>
    <w:rsid w:val="00D51C31"/>
    <w:rsid w:val="00D54E94"/>
    <w:rsid w:val="00D7263E"/>
    <w:rsid w:val="00D76C81"/>
    <w:rsid w:val="00D81F95"/>
    <w:rsid w:val="00D9247B"/>
    <w:rsid w:val="00D93B42"/>
    <w:rsid w:val="00DA04A3"/>
    <w:rsid w:val="00DA33A8"/>
    <w:rsid w:val="00DA65E8"/>
    <w:rsid w:val="00DC09E3"/>
    <w:rsid w:val="00DC44BF"/>
    <w:rsid w:val="00DC4A8A"/>
    <w:rsid w:val="00DD11A5"/>
    <w:rsid w:val="00DE064B"/>
    <w:rsid w:val="00DF793D"/>
    <w:rsid w:val="00E10ADE"/>
    <w:rsid w:val="00E11342"/>
    <w:rsid w:val="00E31994"/>
    <w:rsid w:val="00E41C77"/>
    <w:rsid w:val="00E43A30"/>
    <w:rsid w:val="00E43F2F"/>
    <w:rsid w:val="00E71A6A"/>
    <w:rsid w:val="00E735CB"/>
    <w:rsid w:val="00E75713"/>
    <w:rsid w:val="00E76F61"/>
    <w:rsid w:val="00E80FF1"/>
    <w:rsid w:val="00E96D25"/>
    <w:rsid w:val="00EA2732"/>
    <w:rsid w:val="00EA6806"/>
    <w:rsid w:val="00EB33CA"/>
    <w:rsid w:val="00ED43E5"/>
    <w:rsid w:val="00ED6CD5"/>
    <w:rsid w:val="00ED7069"/>
    <w:rsid w:val="00EE417D"/>
    <w:rsid w:val="00EF07C2"/>
    <w:rsid w:val="00EF323F"/>
    <w:rsid w:val="00F01E4A"/>
    <w:rsid w:val="00F02990"/>
    <w:rsid w:val="00F02DA2"/>
    <w:rsid w:val="00F038C3"/>
    <w:rsid w:val="00F0711D"/>
    <w:rsid w:val="00F15F40"/>
    <w:rsid w:val="00F30A35"/>
    <w:rsid w:val="00F3426E"/>
    <w:rsid w:val="00F365C3"/>
    <w:rsid w:val="00F416BB"/>
    <w:rsid w:val="00F439B3"/>
    <w:rsid w:val="00F44AE1"/>
    <w:rsid w:val="00F45CCF"/>
    <w:rsid w:val="00F464F5"/>
    <w:rsid w:val="00F55EDA"/>
    <w:rsid w:val="00F56707"/>
    <w:rsid w:val="00F601C7"/>
    <w:rsid w:val="00F66CD5"/>
    <w:rsid w:val="00F76135"/>
    <w:rsid w:val="00F84464"/>
    <w:rsid w:val="00F86A11"/>
    <w:rsid w:val="00F871F6"/>
    <w:rsid w:val="00F87E80"/>
    <w:rsid w:val="00F91310"/>
    <w:rsid w:val="00F93B78"/>
    <w:rsid w:val="00FA11FB"/>
    <w:rsid w:val="00FC0270"/>
    <w:rsid w:val="00FC554D"/>
    <w:rsid w:val="00FE0470"/>
    <w:rsid w:val="00FE09A3"/>
    <w:rsid w:val="00FE5A98"/>
    <w:rsid w:val="00FE60F2"/>
    <w:rsid w:val="00FF0D8C"/>
    <w:rsid w:val="00FF0EAD"/>
    <w:rsid w:val="00FF3DAC"/>
    <w:rsid w:val="00FF6E79"/>
    <w:rsid w:val="023B39F7"/>
    <w:rsid w:val="04F2813F"/>
    <w:rsid w:val="05B1D3FC"/>
    <w:rsid w:val="0D31CAE5"/>
    <w:rsid w:val="12410700"/>
    <w:rsid w:val="1499657E"/>
    <w:rsid w:val="151AF931"/>
    <w:rsid w:val="1891143F"/>
    <w:rsid w:val="1CFDC057"/>
    <w:rsid w:val="1DE5FCDF"/>
    <w:rsid w:val="1EDAF13A"/>
    <w:rsid w:val="1FEC5787"/>
    <w:rsid w:val="243B8201"/>
    <w:rsid w:val="246996CC"/>
    <w:rsid w:val="24DBD038"/>
    <w:rsid w:val="26A53A15"/>
    <w:rsid w:val="2C8ED092"/>
    <w:rsid w:val="2CFC302D"/>
    <w:rsid w:val="2D4A3372"/>
    <w:rsid w:val="30254A9A"/>
    <w:rsid w:val="31EFDA42"/>
    <w:rsid w:val="31F1D280"/>
    <w:rsid w:val="34DAC960"/>
    <w:rsid w:val="34E8CFFA"/>
    <w:rsid w:val="3519DAB5"/>
    <w:rsid w:val="364F8CD2"/>
    <w:rsid w:val="36F79DFA"/>
    <w:rsid w:val="38A66F9A"/>
    <w:rsid w:val="3D1CDBBA"/>
    <w:rsid w:val="3F727F95"/>
    <w:rsid w:val="40B7ED69"/>
    <w:rsid w:val="47C39A12"/>
    <w:rsid w:val="56726CA7"/>
    <w:rsid w:val="5AFAD474"/>
    <w:rsid w:val="5E0630A2"/>
    <w:rsid w:val="6050D3F1"/>
    <w:rsid w:val="63143549"/>
    <w:rsid w:val="65A0808B"/>
    <w:rsid w:val="67D18158"/>
    <w:rsid w:val="72541F33"/>
    <w:rsid w:val="73CDACB7"/>
    <w:rsid w:val="73E071D0"/>
    <w:rsid w:val="77204016"/>
    <w:rsid w:val="77F91B04"/>
    <w:rsid w:val="7AA05788"/>
    <w:rsid w:val="7BCE7E62"/>
    <w:rsid w:val="7F4C80C0"/>
    <w:rsid w:val="7F5427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6CD338"/>
  <w15:chartTrackingRefBased/>
  <w15:docId w15:val="{68225804-DF16-AC45-8FD0-75AA968B0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651D"/>
    <w:rPr>
      <w:rFonts w:ascii="Times New Roman" w:eastAsia="Times New Roman" w:hAnsi="Times New Roman" w:cs="Times New Roman"/>
    </w:rPr>
  </w:style>
  <w:style w:type="paragraph" w:styleId="Heading1">
    <w:name w:val="heading 1"/>
    <w:basedOn w:val="Normal"/>
    <w:next w:val="Normal"/>
    <w:link w:val="Heading1Char"/>
    <w:uiPriority w:val="9"/>
    <w:qFormat/>
    <w:rsid w:val="0011283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C44B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205DE1"/>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26168A"/>
  </w:style>
  <w:style w:type="paragraph" w:styleId="ListParagraph">
    <w:name w:val="List Paragraph"/>
    <w:basedOn w:val="Normal"/>
    <w:uiPriority w:val="34"/>
    <w:qFormat/>
    <w:rsid w:val="0026168A"/>
    <w:pPr>
      <w:spacing w:before="100" w:beforeAutospacing="1" w:after="100" w:afterAutospacing="1"/>
    </w:pPr>
  </w:style>
  <w:style w:type="character" w:styleId="Hyperlink">
    <w:name w:val="Hyperlink"/>
    <w:basedOn w:val="DefaultParagraphFont"/>
    <w:uiPriority w:val="99"/>
    <w:unhideWhenUsed/>
    <w:rsid w:val="0026168A"/>
    <w:rPr>
      <w:color w:val="0000FF"/>
      <w:u w:val="single"/>
    </w:rPr>
  </w:style>
  <w:style w:type="character" w:styleId="Strong">
    <w:name w:val="Strong"/>
    <w:basedOn w:val="DefaultParagraphFont"/>
    <w:uiPriority w:val="22"/>
    <w:qFormat/>
    <w:rsid w:val="00597815"/>
    <w:rPr>
      <w:b/>
      <w:bCs/>
    </w:rPr>
  </w:style>
  <w:style w:type="paragraph" w:styleId="FootnoteText">
    <w:name w:val="footnote text"/>
    <w:aliases w:val="FT"/>
    <w:basedOn w:val="Normal"/>
    <w:link w:val="FootnoteTextChar"/>
    <w:uiPriority w:val="99"/>
    <w:unhideWhenUsed/>
    <w:qFormat/>
    <w:rsid w:val="00597815"/>
    <w:rPr>
      <w:rFonts w:asciiTheme="minorHAnsi" w:eastAsiaTheme="minorHAnsi" w:hAnsiTheme="minorHAnsi" w:cstheme="minorBidi"/>
      <w:sz w:val="20"/>
      <w:szCs w:val="20"/>
    </w:rPr>
  </w:style>
  <w:style w:type="character" w:customStyle="1" w:styleId="FootnoteTextChar">
    <w:name w:val="Footnote Text Char"/>
    <w:aliases w:val="FT Char"/>
    <w:basedOn w:val="DefaultParagraphFont"/>
    <w:link w:val="FootnoteText"/>
    <w:uiPriority w:val="99"/>
    <w:rsid w:val="00597815"/>
    <w:rPr>
      <w:sz w:val="20"/>
      <w:szCs w:val="20"/>
    </w:rPr>
  </w:style>
  <w:style w:type="character" w:styleId="FootnoteReference">
    <w:name w:val="footnote reference"/>
    <w:basedOn w:val="DefaultParagraphFont"/>
    <w:uiPriority w:val="99"/>
    <w:unhideWhenUsed/>
    <w:rsid w:val="00597815"/>
    <w:rPr>
      <w:vertAlign w:val="superscript"/>
    </w:rPr>
  </w:style>
  <w:style w:type="paragraph" w:styleId="Footer">
    <w:name w:val="footer"/>
    <w:basedOn w:val="Normal"/>
    <w:link w:val="FooterChar"/>
    <w:uiPriority w:val="99"/>
    <w:unhideWhenUsed/>
    <w:rsid w:val="004B40A1"/>
    <w:pPr>
      <w:tabs>
        <w:tab w:val="center" w:pos="4680"/>
        <w:tab w:val="right" w:pos="9360"/>
      </w:tabs>
    </w:pPr>
    <w:rPr>
      <w:rFonts w:ascii="Calibri" w:eastAsia="Calibri" w:hAnsi="Calibri"/>
      <w:sz w:val="22"/>
      <w:szCs w:val="22"/>
    </w:rPr>
  </w:style>
  <w:style w:type="character" w:customStyle="1" w:styleId="FooterChar">
    <w:name w:val="Footer Char"/>
    <w:basedOn w:val="DefaultParagraphFont"/>
    <w:link w:val="Footer"/>
    <w:uiPriority w:val="99"/>
    <w:rsid w:val="004B40A1"/>
    <w:rPr>
      <w:rFonts w:ascii="Calibri" w:eastAsia="Calibri" w:hAnsi="Calibri" w:cs="Times New Roman"/>
      <w:sz w:val="22"/>
      <w:szCs w:val="22"/>
    </w:rPr>
  </w:style>
  <w:style w:type="paragraph" w:styleId="BalloonText">
    <w:name w:val="Balloon Text"/>
    <w:basedOn w:val="Normal"/>
    <w:link w:val="BalloonTextChar"/>
    <w:uiPriority w:val="99"/>
    <w:semiHidden/>
    <w:unhideWhenUsed/>
    <w:rsid w:val="002E7B0F"/>
    <w:rPr>
      <w:rFonts w:eastAsiaTheme="minorHAnsi"/>
      <w:sz w:val="18"/>
      <w:szCs w:val="18"/>
    </w:rPr>
  </w:style>
  <w:style w:type="character" w:customStyle="1" w:styleId="BalloonTextChar">
    <w:name w:val="Balloon Text Char"/>
    <w:basedOn w:val="DefaultParagraphFont"/>
    <w:link w:val="BalloonText"/>
    <w:uiPriority w:val="99"/>
    <w:semiHidden/>
    <w:rsid w:val="002E7B0F"/>
    <w:rPr>
      <w:rFonts w:ascii="Times New Roman" w:hAnsi="Times New Roman" w:cs="Times New Roman"/>
      <w:sz w:val="18"/>
      <w:szCs w:val="18"/>
    </w:rPr>
  </w:style>
  <w:style w:type="character" w:customStyle="1" w:styleId="UnresolvedMention1">
    <w:name w:val="Unresolved Mention1"/>
    <w:basedOn w:val="DefaultParagraphFont"/>
    <w:uiPriority w:val="99"/>
    <w:semiHidden/>
    <w:unhideWhenUsed/>
    <w:rsid w:val="00C35751"/>
    <w:rPr>
      <w:color w:val="605E5C"/>
      <w:shd w:val="clear" w:color="auto" w:fill="E1DFDD"/>
    </w:rPr>
  </w:style>
  <w:style w:type="character" w:styleId="FollowedHyperlink">
    <w:name w:val="FollowedHyperlink"/>
    <w:basedOn w:val="DefaultParagraphFont"/>
    <w:uiPriority w:val="99"/>
    <w:semiHidden/>
    <w:unhideWhenUsed/>
    <w:rsid w:val="00C35751"/>
    <w:rPr>
      <w:color w:val="954F72" w:themeColor="followedHyperlink"/>
      <w:u w:val="single"/>
    </w:rPr>
  </w:style>
  <w:style w:type="character" w:customStyle="1" w:styleId="Heading2Char">
    <w:name w:val="Heading 2 Char"/>
    <w:basedOn w:val="DefaultParagraphFont"/>
    <w:link w:val="Heading2"/>
    <w:uiPriority w:val="9"/>
    <w:rsid w:val="00DC44BF"/>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1537AD"/>
    <w:rPr>
      <w:sz w:val="16"/>
      <w:szCs w:val="16"/>
    </w:rPr>
  </w:style>
  <w:style w:type="paragraph" w:styleId="CommentText">
    <w:name w:val="annotation text"/>
    <w:basedOn w:val="Normal"/>
    <w:link w:val="CommentTextChar"/>
    <w:uiPriority w:val="99"/>
    <w:unhideWhenUsed/>
    <w:rsid w:val="001537AD"/>
    <w:rPr>
      <w:sz w:val="20"/>
      <w:szCs w:val="20"/>
    </w:rPr>
  </w:style>
  <w:style w:type="character" w:customStyle="1" w:styleId="CommentTextChar">
    <w:name w:val="Comment Text Char"/>
    <w:basedOn w:val="DefaultParagraphFont"/>
    <w:link w:val="CommentText"/>
    <w:uiPriority w:val="99"/>
    <w:rsid w:val="001537A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537AD"/>
    <w:rPr>
      <w:b/>
      <w:bCs/>
    </w:rPr>
  </w:style>
  <w:style w:type="character" w:customStyle="1" w:styleId="CommentSubjectChar">
    <w:name w:val="Comment Subject Char"/>
    <w:basedOn w:val="CommentTextChar"/>
    <w:link w:val="CommentSubject"/>
    <w:uiPriority w:val="99"/>
    <w:semiHidden/>
    <w:rsid w:val="001537AD"/>
    <w:rPr>
      <w:rFonts w:ascii="Times New Roman" w:eastAsia="Times New Roman" w:hAnsi="Times New Roman" w:cs="Times New Roman"/>
      <w:b/>
      <w:bCs/>
      <w:sz w:val="20"/>
      <w:szCs w:val="20"/>
    </w:rPr>
  </w:style>
  <w:style w:type="character" w:customStyle="1" w:styleId="Heading1Char">
    <w:name w:val="Heading 1 Char"/>
    <w:basedOn w:val="DefaultParagraphFont"/>
    <w:link w:val="Heading1"/>
    <w:uiPriority w:val="9"/>
    <w:rsid w:val="00112838"/>
    <w:rPr>
      <w:rFonts w:asciiTheme="majorHAnsi" w:eastAsiaTheme="majorEastAsia" w:hAnsiTheme="majorHAnsi" w:cstheme="majorBidi"/>
      <w:color w:val="2F5496" w:themeColor="accent1" w:themeShade="BF"/>
      <w:sz w:val="32"/>
      <w:szCs w:val="32"/>
    </w:rPr>
  </w:style>
  <w:style w:type="character" w:customStyle="1" w:styleId="Heading4Char">
    <w:name w:val="Heading 4 Char"/>
    <w:basedOn w:val="DefaultParagraphFont"/>
    <w:link w:val="Heading4"/>
    <w:uiPriority w:val="9"/>
    <w:semiHidden/>
    <w:rsid w:val="00205DE1"/>
    <w:rPr>
      <w:rFonts w:asciiTheme="majorHAnsi" w:eastAsiaTheme="majorEastAsia" w:hAnsiTheme="majorHAnsi" w:cstheme="majorBidi"/>
      <w:i/>
      <w:iCs/>
      <w:color w:val="2F5496" w:themeColor="accent1" w:themeShade="BF"/>
    </w:rPr>
  </w:style>
  <w:style w:type="paragraph" w:styleId="Revision">
    <w:name w:val="Revision"/>
    <w:hidden/>
    <w:uiPriority w:val="99"/>
    <w:semiHidden/>
    <w:rsid w:val="008B6418"/>
    <w:rPr>
      <w:rFonts w:ascii="Times New Roman" w:eastAsia="Times New Roman" w:hAnsi="Times New Roman" w:cs="Times New Roman"/>
    </w:rPr>
  </w:style>
  <w:style w:type="character" w:customStyle="1" w:styleId="UnresolvedMention2">
    <w:name w:val="Unresolved Mention2"/>
    <w:basedOn w:val="DefaultParagraphFont"/>
    <w:uiPriority w:val="99"/>
    <w:semiHidden/>
    <w:unhideWhenUsed/>
    <w:rsid w:val="000F4D2B"/>
    <w:rPr>
      <w:color w:val="605E5C"/>
      <w:shd w:val="clear" w:color="auto" w:fill="E1DFDD"/>
    </w:rPr>
  </w:style>
  <w:style w:type="character" w:customStyle="1" w:styleId="UnresolvedMention3">
    <w:name w:val="Unresolved Mention3"/>
    <w:basedOn w:val="DefaultParagraphFont"/>
    <w:uiPriority w:val="99"/>
    <w:semiHidden/>
    <w:unhideWhenUsed/>
    <w:rsid w:val="00E10ADE"/>
    <w:rPr>
      <w:color w:val="605E5C"/>
      <w:shd w:val="clear" w:color="auto" w:fill="E1DFDD"/>
    </w:rPr>
  </w:style>
  <w:style w:type="paragraph" w:styleId="Header">
    <w:name w:val="header"/>
    <w:basedOn w:val="Normal"/>
    <w:link w:val="HeaderChar"/>
    <w:uiPriority w:val="99"/>
    <w:unhideWhenUsed/>
    <w:rsid w:val="00E43A30"/>
    <w:pPr>
      <w:tabs>
        <w:tab w:val="center" w:pos="4680"/>
        <w:tab w:val="right" w:pos="9360"/>
      </w:tabs>
    </w:pPr>
  </w:style>
  <w:style w:type="character" w:customStyle="1" w:styleId="HeaderChar">
    <w:name w:val="Header Char"/>
    <w:basedOn w:val="DefaultParagraphFont"/>
    <w:link w:val="Header"/>
    <w:uiPriority w:val="99"/>
    <w:rsid w:val="00E43A30"/>
    <w:rPr>
      <w:rFonts w:ascii="Times New Roman" w:eastAsia="Times New Roman" w:hAnsi="Times New Roman" w:cs="Times New Roman"/>
    </w:rPr>
  </w:style>
  <w:style w:type="character" w:customStyle="1" w:styleId="ui-provider">
    <w:name w:val="ui-provider"/>
    <w:basedOn w:val="DefaultParagraphFont"/>
    <w:rsid w:val="00E80FF1"/>
  </w:style>
  <w:style w:type="paragraph" w:styleId="NormalWeb">
    <w:name w:val="Normal (Web)"/>
    <w:basedOn w:val="Normal"/>
    <w:uiPriority w:val="99"/>
    <w:semiHidden/>
    <w:unhideWhenUsed/>
    <w:rsid w:val="00F55ED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032105">
      <w:bodyDiv w:val="1"/>
      <w:marLeft w:val="0"/>
      <w:marRight w:val="0"/>
      <w:marTop w:val="0"/>
      <w:marBottom w:val="0"/>
      <w:divBdr>
        <w:top w:val="none" w:sz="0" w:space="0" w:color="auto"/>
        <w:left w:val="none" w:sz="0" w:space="0" w:color="auto"/>
        <w:bottom w:val="none" w:sz="0" w:space="0" w:color="auto"/>
        <w:right w:val="none" w:sz="0" w:space="0" w:color="auto"/>
      </w:divBdr>
    </w:div>
    <w:div w:id="50427133">
      <w:bodyDiv w:val="1"/>
      <w:marLeft w:val="0"/>
      <w:marRight w:val="0"/>
      <w:marTop w:val="0"/>
      <w:marBottom w:val="0"/>
      <w:divBdr>
        <w:top w:val="none" w:sz="0" w:space="0" w:color="auto"/>
        <w:left w:val="none" w:sz="0" w:space="0" w:color="auto"/>
        <w:bottom w:val="none" w:sz="0" w:space="0" w:color="auto"/>
        <w:right w:val="none" w:sz="0" w:space="0" w:color="auto"/>
      </w:divBdr>
    </w:div>
    <w:div w:id="52967323">
      <w:bodyDiv w:val="1"/>
      <w:marLeft w:val="0"/>
      <w:marRight w:val="0"/>
      <w:marTop w:val="0"/>
      <w:marBottom w:val="0"/>
      <w:divBdr>
        <w:top w:val="none" w:sz="0" w:space="0" w:color="auto"/>
        <w:left w:val="none" w:sz="0" w:space="0" w:color="auto"/>
        <w:bottom w:val="none" w:sz="0" w:space="0" w:color="auto"/>
        <w:right w:val="none" w:sz="0" w:space="0" w:color="auto"/>
      </w:divBdr>
    </w:div>
    <w:div w:id="104740473">
      <w:bodyDiv w:val="1"/>
      <w:marLeft w:val="0"/>
      <w:marRight w:val="0"/>
      <w:marTop w:val="0"/>
      <w:marBottom w:val="0"/>
      <w:divBdr>
        <w:top w:val="none" w:sz="0" w:space="0" w:color="auto"/>
        <w:left w:val="none" w:sz="0" w:space="0" w:color="auto"/>
        <w:bottom w:val="none" w:sz="0" w:space="0" w:color="auto"/>
        <w:right w:val="none" w:sz="0" w:space="0" w:color="auto"/>
      </w:divBdr>
      <w:divsChild>
        <w:div w:id="684283348">
          <w:marLeft w:val="0"/>
          <w:marRight w:val="0"/>
          <w:marTop w:val="0"/>
          <w:marBottom w:val="0"/>
          <w:divBdr>
            <w:top w:val="none" w:sz="0" w:space="0" w:color="auto"/>
            <w:left w:val="none" w:sz="0" w:space="0" w:color="auto"/>
            <w:bottom w:val="none" w:sz="0" w:space="0" w:color="auto"/>
            <w:right w:val="none" w:sz="0" w:space="0" w:color="auto"/>
          </w:divBdr>
          <w:divsChild>
            <w:div w:id="490218977">
              <w:marLeft w:val="0"/>
              <w:marRight w:val="0"/>
              <w:marTop w:val="0"/>
              <w:marBottom w:val="0"/>
              <w:divBdr>
                <w:top w:val="none" w:sz="0" w:space="0" w:color="auto"/>
                <w:left w:val="none" w:sz="0" w:space="0" w:color="auto"/>
                <w:bottom w:val="none" w:sz="0" w:space="0" w:color="auto"/>
                <w:right w:val="none" w:sz="0" w:space="0" w:color="auto"/>
              </w:divBdr>
              <w:divsChild>
                <w:div w:id="2044555376">
                  <w:marLeft w:val="0"/>
                  <w:marRight w:val="0"/>
                  <w:marTop w:val="0"/>
                  <w:marBottom w:val="0"/>
                  <w:divBdr>
                    <w:top w:val="none" w:sz="0" w:space="0" w:color="auto"/>
                    <w:left w:val="none" w:sz="0" w:space="0" w:color="auto"/>
                    <w:bottom w:val="none" w:sz="0" w:space="0" w:color="auto"/>
                    <w:right w:val="none" w:sz="0" w:space="0" w:color="auto"/>
                  </w:divBdr>
                  <w:divsChild>
                    <w:div w:id="2077775701">
                      <w:marLeft w:val="0"/>
                      <w:marRight w:val="0"/>
                      <w:marTop w:val="0"/>
                      <w:marBottom w:val="0"/>
                      <w:divBdr>
                        <w:top w:val="none" w:sz="0" w:space="0" w:color="auto"/>
                        <w:left w:val="none" w:sz="0" w:space="0" w:color="auto"/>
                        <w:bottom w:val="none" w:sz="0" w:space="0" w:color="auto"/>
                        <w:right w:val="none" w:sz="0" w:space="0" w:color="auto"/>
                      </w:divBdr>
                      <w:divsChild>
                        <w:div w:id="112034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083078">
          <w:marLeft w:val="0"/>
          <w:marRight w:val="0"/>
          <w:marTop w:val="0"/>
          <w:marBottom w:val="0"/>
          <w:divBdr>
            <w:top w:val="none" w:sz="0" w:space="0" w:color="auto"/>
            <w:left w:val="none" w:sz="0" w:space="0" w:color="auto"/>
            <w:bottom w:val="none" w:sz="0" w:space="0" w:color="auto"/>
            <w:right w:val="none" w:sz="0" w:space="0" w:color="auto"/>
          </w:divBdr>
          <w:divsChild>
            <w:div w:id="151279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1909">
      <w:bodyDiv w:val="1"/>
      <w:marLeft w:val="0"/>
      <w:marRight w:val="0"/>
      <w:marTop w:val="0"/>
      <w:marBottom w:val="0"/>
      <w:divBdr>
        <w:top w:val="none" w:sz="0" w:space="0" w:color="auto"/>
        <w:left w:val="none" w:sz="0" w:space="0" w:color="auto"/>
        <w:bottom w:val="none" w:sz="0" w:space="0" w:color="auto"/>
        <w:right w:val="none" w:sz="0" w:space="0" w:color="auto"/>
      </w:divBdr>
    </w:div>
    <w:div w:id="116948727">
      <w:bodyDiv w:val="1"/>
      <w:marLeft w:val="0"/>
      <w:marRight w:val="0"/>
      <w:marTop w:val="0"/>
      <w:marBottom w:val="0"/>
      <w:divBdr>
        <w:top w:val="none" w:sz="0" w:space="0" w:color="auto"/>
        <w:left w:val="none" w:sz="0" w:space="0" w:color="auto"/>
        <w:bottom w:val="none" w:sz="0" w:space="0" w:color="auto"/>
        <w:right w:val="none" w:sz="0" w:space="0" w:color="auto"/>
      </w:divBdr>
    </w:div>
    <w:div w:id="120348759">
      <w:bodyDiv w:val="1"/>
      <w:marLeft w:val="0"/>
      <w:marRight w:val="0"/>
      <w:marTop w:val="0"/>
      <w:marBottom w:val="0"/>
      <w:divBdr>
        <w:top w:val="none" w:sz="0" w:space="0" w:color="auto"/>
        <w:left w:val="none" w:sz="0" w:space="0" w:color="auto"/>
        <w:bottom w:val="none" w:sz="0" w:space="0" w:color="auto"/>
        <w:right w:val="none" w:sz="0" w:space="0" w:color="auto"/>
      </w:divBdr>
    </w:div>
    <w:div w:id="125852837">
      <w:bodyDiv w:val="1"/>
      <w:marLeft w:val="0"/>
      <w:marRight w:val="0"/>
      <w:marTop w:val="0"/>
      <w:marBottom w:val="0"/>
      <w:divBdr>
        <w:top w:val="none" w:sz="0" w:space="0" w:color="auto"/>
        <w:left w:val="none" w:sz="0" w:space="0" w:color="auto"/>
        <w:bottom w:val="none" w:sz="0" w:space="0" w:color="auto"/>
        <w:right w:val="none" w:sz="0" w:space="0" w:color="auto"/>
      </w:divBdr>
    </w:div>
    <w:div w:id="150754780">
      <w:bodyDiv w:val="1"/>
      <w:marLeft w:val="0"/>
      <w:marRight w:val="0"/>
      <w:marTop w:val="0"/>
      <w:marBottom w:val="0"/>
      <w:divBdr>
        <w:top w:val="none" w:sz="0" w:space="0" w:color="auto"/>
        <w:left w:val="none" w:sz="0" w:space="0" w:color="auto"/>
        <w:bottom w:val="none" w:sz="0" w:space="0" w:color="auto"/>
        <w:right w:val="none" w:sz="0" w:space="0" w:color="auto"/>
      </w:divBdr>
    </w:div>
    <w:div w:id="174806442">
      <w:bodyDiv w:val="1"/>
      <w:marLeft w:val="0"/>
      <w:marRight w:val="0"/>
      <w:marTop w:val="0"/>
      <w:marBottom w:val="0"/>
      <w:divBdr>
        <w:top w:val="none" w:sz="0" w:space="0" w:color="auto"/>
        <w:left w:val="none" w:sz="0" w:space="0" w:color="auto"/>
        <w:bottom w:val="none" w:sz="0" w:space="0" w:color="auto"/>
        <w:right w:val="none" w:sz="0" w:space="0" w:color="auto"/>
      </w:divBdr>
    </w:div>
    <w:div w:id="194461959">
      <w:bodyDiv w:val="1"/>
      <w:marLeft w:val="0"/>
      <w:marRight w:val="0"/>
      <w:marTop w:val="0"/>
      <w:marBottom w:val="0"/>
      <w:divBdr>
        <w:top w:val="none" w:sz="0" w:space="0" w:color="auto"/>
        <w:left w:val="none" w:sz="0" w:space="0" w:color="auto"/>
        <w:bottom w:val="none" w:sz="0" w:space="0" w:color="auto"/>
        <w:right w:val="none" w:sz="0" w:space="0" w:color="auto"/>
      </w:divBdr>
    </w:div>
    <w:div w:id="233593270">
      <w:bodyDiv w:val="1"/>
      <w:marLeft w:val="0"/>
      <w:marRight w:val="0"/>
      <w:marTop w:val="0"/>
      <w:marBottom w:val="0"/>
      <w:divBdr>
        <w:top w:val="none" w:sz="0" w:space="0" w:color="auto"/>
        <w:left w:val="none" w:sz="0" w:space="0" w:color="auto"/>
        <w:bottom w:val="none" w:sz="0" w:space="0" w:color="auto"/>
        <w:right w:val="none" w:sz="0" w:space="0" w:color="auto"/>
      </w:divBdr>
    </w:div>
    <w:div w:id="246110777">
      <w:bodyDiv w:val="1"/>
      <w:marLeft w:val="0"/>
      <w:marRight w:val="0"/>
      <w:marTop w:val="0"/>
      <w:marBottom w:val="0"/>
      <w:divBdr>
        <w:top w:val="none" w:sz="0" w:space="0" w:color="auto"/>
        <w:left w:val="none" w:sz="0" w:space="0" w:color="auto"/>
        <w:bottom w:val="none" w:sz="0" w:space="0" w:color="auto"/>
        <w:right w:val="none" w:sz="0" w:space="0" w:color="auto"/>
      </w:divBdr>
    </w:div>
    <w:div w:id="409080667">
      <w:bodyDiv w:val="1"/>
      <w:marLeft w:val="0"/>
      <w:marRight w:val="0"/>
      <w:marTop w:val="0"/>
      <w:marBottom w:val="0"/>
      <w:divBdr>
        <w:top w:val="none" w:sz="0" w:space="0" w:color="auto"/>
        <w:left w:val="none" w:sz="0" w:space="0" w:color="auto"/>
        <w:bottom w:val="none" w:sz="0" w:space="0" w:color="auto"/>
        <w:right w:val="none" w:sz="0" w:space="0" w:color="auto"/>
      </w:divBdr>
    </w:div>
    <w:div w:id="437523549">
      <w:bodyDiv w:val="1"/>
      <w:marLeft w:val="0"/>
      <w:marRight w:val="0"/>
      <w:marTop w:val="0"/>
      <w:marBottom w:val="0"/>
      <w:divBdr>
        <w:top w:val="none" w:sz="0" w:space="0" w:color="auto"/>
        <w:left w:val="none" w:sz="0" w:space="0" w:color="auto"/>
        <w:bottom w:val="none" w:sz="0" w:space="0" w:color="auto"/>
        <w:right w:val="none" w:sz="0" w:space="0" w:color="auto"/>
      </w:divBdr>
    </w:div>
    <w:div w:id="487793829">
      <w:bodyDiv w:val="1"/>
      <w:marLeft w:val="0"/>
      <w:marRight w:val="0"/>
      <w:marTop w:val="0"/>
      <w:marBottom w:val="0"/>
      <w:divBdr>
        <w:top w:val="none" w:sz="0" w:space="0" w:color="auto"/>
        <w:left w:val="none" w:sz="0" w:space="0" w:color="auto"/>
        <w:bottom w:val="none" w:sz="0" w:space="0" w:color="auto"/>
        <w:right w:val="none" w:sz="0" w:space="0" w:color="auto"/>
      </w:divBdr>
    </w:div>
    <w:div w:id="490144759">
      <w:bodyDiv w:val="1"/>
      <w:marLeft w:val="0"/>
      <w:marRight w:val="0"/>
      <w:marTop w:val="0"/>
      <w:marBottom w:val="0"/>
      <w:divBdr>
        <w:top w:val="none" w:sz="0" w:space="0" w:color="auto"/>
        <w:left w:val="none" w:sz="0" w:space="0" w:color="auto"/>
        <w:bottom w:val="none" w:sz="0" w:space="0" w:color="auto"/>
        <w:right w:val="none" w:sz="0" w:space="0" w:color="auto"/>
      </w:divBdr>
      <w:divsChild>
        <w:div w:id="2067607486">
          <w:marLeft w:val="0"/>
          <w:marRight w:val="0"/>
          <w:marTop w:val="0"/>
          <w:marBottom w:val="0"/>
          <w:divBdr>
            <w:top w:val="none" w:sz="0" w:space="0" w:color="auto"/>
            <w:left w:val="none" w:sz="0" w:space="0" w:color="auto"/>
            <w:bottom w:val="none" w:sz="0" w:space="0" w:color="auto"/>
            <w:right w:val="none" w:sz="0" w:space="0" w:color="auto"/>
          </w:divBdr>
        </w:div>
      </w:divsChild>
    </w:div>
    <w:div w:id="536043245">
      <w:bodyDiv w:val="1"/>
      <w:marLeft w:val="0"/>
      <w:marRight w:val="0"/>
      <w:marTop w:val="0"/>
      <w:marBottom w:val="0"/>
      <w:divBdr>
        <w:top w:val="none" w:sz="0" w:space="0" w:color="auto"/>
        <w:left w:val="none" w:sz="0" w:space="0" w:color="auto"/>
        <w:bottom w:val="none" w:sz="0" w:space="0" w:color="auto"/>
        <w:right w:val="none" w:sz="0" w:space="0" w:color="auto"/>
      </w:divBdr>
    </w:div>
    <w:div w:id="552621873">
      <w:bodyDiv w:val="1"/>
      <w:marLeft w:val="0"/>
      <w:marRight w:val="0"/>
      <w:marTop w:val="0"/>
      <w:marBottom w:val="0"/>
      <w:divBdr>
        <w:top w:val="none" w:sz="0" w:space="0" w:color="auto"/>
        <w:left w:val="none" w:sz="0" w:space="0" w:color="auto"/>
        <w:bottom w:val="none" w:sz="0" w:space="0" w:color="auto"/>
        <w:right w:val="none" w:sz="0" w:space="0" w:color="auto"/>
      </w:divBdr>
    </w:div>
    <w:div w:id="553008266">
      <w:bodyDiv w:val="1"/>
      <w:marLeft w:val="0"/>
      <w:marRight w:val="0"/>
      <w:marTop w:val="0"/>
      <w:marBottom w:val="0"/>
      <w:divBdr>
        <w:top w:val="none" w:sz="0" w:space="0" w:color="auto"/>
        <w:left w:val="none" w:sz="0" w:space="0" w:color="auto"/>
        <w:bottom w:val="none" w:sz="0" w:space="0" w:color="auto"/>
        <w:right w:val="none" w:sz="0" w:space="0" w:color="auto"/>
      </w:divBdr>
    </w:div>
    <w:div w:id="565917764">
      <w:bodyDiv w:val="1"/>
      <w:marLeft w:val="0"/>
      <w:marRight w:val="0"/>
      <w:marTop w:val="0"/>
      <w:marBottom w:val="0"/>
      <w:divBdr>
        <w:top w:val="none" w:sz="0" w:space="0" w:color="auto"/>
        <w:left w:val="none" w:sz="0" w:space="0" w:color="auto"/>
        <w:bottom w:val="none" w:sz="0" w:space="0" w:color="auto"/>
        <w:right w:val="none" w:sz="0" w:space="0" w:color="auto"/>
      </w:divBdr>
    </w:div>
    <w:div w:id="613824991">
      <w:bodyDiv w:val="1"/>
      <w:marLeft w:val="0"/>
      <w:marRight w:val="0"/>
      <w:marTop w:val="0"/>
      <w:marBottom w:val="0"/>
      <w:divBdr>
        <w:top w:val="none" w:sz="0" w:space="0" w:color="auto"/>
        <w:left w:val="none" w:sz="0" w:space="0" w:color="auto"/>
        <w:bottom w:val="none" w:sz="0" w:space="0" w:color="auto"/>
        <w:right w:val="none" w:sz="0" w:space="0" w:color="auto"/>
      </w:divBdr>
    </w:div>
    <w:div w:id="624044834">
      <w:bodyDiv w:val="1"/>
      <w:marLeft w:val="0"/>
      <w:marRight w:val="0"/>
      <w:marTop w:val="0"/>
      <w:marBottom w:val="0"/>
      <w:divBdr>
        <w:top w:val="none" w:sz="0" w:space="0" w:color="auto"/>
        <w:left w:val="none" w:sz="0" w:space="0" w:color="auto"/>
        <w:bottom w:val="none" w:sz="0" w:space="0" w:color="auto"/>
        <w:right w:val="none" w:sz="0" w:space="0" w:color="auto"/>
      </w:divBdr>
    </w:div>
    <w:div w:id="708647290">
      <w:bodyDiv w:val="1"/>
      <w:marLeft w:val="0"/>
      <w:marRight w:val="0"/>
      <w:marTop w:val="0"/>
      <w:marBottom w:val="0"/>
      <w:divBdr>
        <w:top w:val="none" w:sz="0" w:space="0" w:color="auto"/>
        <w:left w:val="none" w:sz="0" w:space="0" w:color="auto"/>
        <w:bottom w:val="none" w:sz="0" w:space="0" w:color="auto"/>
        <w:right w:val="none" w:sz="0" w:space="0" w:color="auto"/>
      </w:divBdr>
    </w:div>
    <w:div w:id="726994494">
      <w:bodyDiv w:val="1"/>
      <w:marLeft w:val="0"/>
      <w:marRight w:val="0"/>
      <w:marTop w:val="0"/>
      <w:marBottom w:val="0"/>
      <w:divBdr>
        <w:top w:val="none" w:sz="0" w:space="0" w:color="auto"/>
        <w:left w:val="none" w:sz="0" w:space="0" w:color="auto"/>
        <w:bottom w:val="none" w:sz="0" w:space="0" w:color="auto"/>
        <w:right w:val="none" w:sz="0" w:space="0" w:color="auto"/>
      </w:divBdr>
    </w:div>
    <w:div w:id="741410307">
      <w:bodyDiv w:val="1"/>
      <w:marLeft w:val="0"/>
      <w:marRight w:val="0"/>
      <w:marTop w:val="0"/>
      <w:marBottom w:val="0"/>
      <w:divBdr>
        <w:top w:val="none" w:sz="0" w:space="0" w:color="auto"/>
        <w:left w:val="none" w:sz="0" w:space="0" w:color="auto"/>
        <w:bottom w:val="none" w:sz="0" w:space="0" w:color="auto"/>
        <w:right w:val="none" w:sz="0" w:space="0" w:color="auto"/>
      </w:divBdr>
    </w:div>
    <w:div w:id="790439624">
      <w:bodyDiv w:val="1"/>
      <w:marLeft w:val="0"/>
      <w:marRight w:val="0"/>
      <w:marTop w:val="0"/>
      <w:marBottom w:val="0"/>
      <w:divBdr>
        <w:top w:val="none" w:sz="0" w:space="0" w:color="auto"/>
        <w:left w:val="none" w:sz="0" w:space="0" w:color="auto"/>
        <w:bottom w:val="none" w:sz="0" w:space="0" w:color="auto"/>
        <w:right w:val="none" w:sz="0" w:space="0" w:color="auto"/>
      </w:divBdr>
      <w:divsChild>
        <w:div w:id="1378550996">
          <w:marLeft w:val="0"/>
          <w:marRight w:val="0"/>
          <w:marTop w:val="0"/>
          <w:marBottom w:val="0"/>
          <w:divBdr>
            <w:top w:val="none" w:sz="0" w:space="0" w:color="auto"/>
            <w:left w:val="none" w:sz="0" w:space="0" w:color="auto"/>
            <w:bottom w:val="none" w:sz="0" w:space="0" w:color="auto"/>
            <w:right w:val="none" w:sz="0" w:space="0" w:color="auto"/>
          </w:divBdr>
          <w:divsChild>
            <w:div w:id="1724712136">
              <w:marLeft w:val="0"/>
              <w:marRight w:val="0"/>
              <w:marTop w:val="0"/>
              <w:marBottom w:val="0"/>
              <w:divBdr>
                <w:top w:val="none" w:sz="0" w:space="0" w:color="auto"/>
                <w:left w:val="none" w:sz="0" w:space="0" w:color="auto"/>
                <w:bottom w:val="none" w:sz="0" w:space="0" w:color="auto"/>
                <w:right w:val="none" w:sz="0" w:space="0" w:color="auto"/>
              </w:divBdr>
            </w:div>
            <w:div w:id="2081903854">
              <w:marLeft w:val="0"/>
              <w:marRight w:val="0"/>
              <w:marTop w:val="0"/>
              <w:marBottom w:val="0"/>
              <w:divBdr>
                <w:top w:val="none" w:sz="0" w:space="0" w:color="auto"/>
                <w:left w:val="none" w:sz="0" w:space="0" w:color="auto"/>
                <w:bottom w:val="none" w:sz="0" w:space="0" w:color="auto"/>
                <w:right w:val="none" w:sz="0" w:space="0" w:color="auto"/>
              </w:divBdr>
            </w:div>
            <w:div w:id="1181776238">
              <w:marLeft w:val="0"/>
              <w:marRight w:val="0"/>
              <w:marTop w:val="0"/>
              <w:marBottom w:val="0"/>
              <w:divBdr>
                <w:top w:val="none" w:sz="0" w:space="0" w:color="auto"/>
                <w:left w:val="none" w:sz="0" w:space="0" w:color="auto"/>
                <w:bottom w:val="none" w:sz="0" w:space="0" w:color="auto"/>
                <w:right w:val="none" w:sz="0" w:space="0" w:color="auto"/>
              </w:divBdr>
            </w:div>
            <w:div w:id="2063866421">
              <w:marLeft w:val="0"/>
              <w:marRight w:val="0"/>
              <w:marTop w:val="0"/>
              <w:marBottom w:val="0"/>
              <w:divBdr>
                <w:top w:val="none" w:sz="0" w:space="0" w:color="auto"/>
                <w:left w:val="none" w:sz="0" w:space="0" w:color="auto"/>
                <w:bottom w:val="none" w:sz="0" w:space="0" w:color="auto"/>
                <w:right w:val="none" w:sz="0" w:space="0" w:color="auto"/>
              </w:divBdr>
            </w:div>
            <w:div w:id="1832328927">
              <w:marLeft w:val="0"/>
              <w:marRight w:val="0"/>
              <w:marTop w:val="0"/>
              <w:marBottom w:val="0"/>
              <w:divBdr>
                <w:top w:val="none" w:sz="0" w:space="0" w:color="auto"/>
                <w:left w:val="none" w:sz="0" w:space="0" w:color="auto"/>
                <w:bottom w:val="none" w:sz="0" w:space="0" w:color="auto"/>
                <w:right w:val="none" w:sz="0" w:space="0" w:color="auto"/>
              </w:divBdr>
            </w:div>
          </w:divsChild>
        </w:div>
        <w:div w:id="1192651378">
          <w:marLeft w:val="0"/>
          <w:marRight w:val="0"/>
          <w:marTop w:val="0"/>
          <w:marBottom w:val="0"/>
          <w:divBdr>
            <w:top w:val="none" w:sz="0" w:space="0" w:color="auto"/>
            <w:left w:val="none" w:sz="0" w:space="0" w:color="auto"/>
            <w:bottom w:val="none" w:sz="0" w:space="0" w:color="auto"/>
            <w:right w:val="none" w:sz="0" w:space="0" w:color="auto"/>
          </w:divBdr>
          <w:divsChild>
            <w:div w:id="869269649">
              <w:marLeft w:val="0"/>
              <w:marRight w:val="0"/>
              <w:marTop w:val="0"/>
              <w:marBottom w:val="0"/>
              <w:divBdr>
                <w:top w:val="none" w:sz="0" w:space="0" w:color="auto"/>
                <w:left w:val="none" w:sz="0" w:space="0" w:color="auto"/>
                <w:bottom w:val="none" w:sz="0" w:space="0" w:color="auto"/>
                <w:right w:val="none" w:sz="0" w:space="0" w:color="auto"/>
              </w:divBdr>
            </w:div>
            <w:div w:id="1189679435">
              <w:marLeft w:val="0"/>
              <w:marRight w:val="0"/>
              <w:marTop w:val="0"/>
              <w:marBottom w:val="0"/>
              <w:divBdr>
                <w:top w:val="none" w:sz="0" w:space="0" w:color="auto"/>
                <w:left w:val="none" w:sz="0" w:space="0" w:color="auto"/>
                <w:bottom w:val="none" w:sz="0" w:space="0" w:color="auto"/>
                <w:right w:val="none" w:sz="0" w:space="0" w:color="auto"/>
              </w:divBdr>
            </w:div>
            <w:div w:id="1902599409">
              <w:marLeft w:val="0"/>
              <w:marRight w:val="0"/>
              <w:marTop w:val="0"/>
              <w:marBottom w:val="0"/>
              <w:divBdr>
                <w:top w:val="none" w:sz="0" w:space="0" w:color="auto"/>
                <w:left w:val="none" w:sz="0" w:space="0" w:color="auto"/>
                <w:bottom w:val="none" w:sz="0" w:space="0" w:color="auto"/>
                <w:right w:val="none" w:sz="0" w:space="0" w:color="auto"/>
              </w:divBdr>
            </w:div>
            <w:div w:id="1733890780">
              <w:marLeft w:val="0"/>
              <w:marRight w:val="0"/>
              <w:marTop w:val="0"/>
              <w:marBottom w:val="0"/>
              <w:divBdr>
                <w:top w:val="none" w:sz="0" w:space="0" w:color="auto"/>
                <w:left w:val="none" w:sz="0" w:space="0" w:color="auto"/>
                <w:bottom w:val="none" w:sz="0" w:space="0" w:color="auto"/>
                <w:right w:val="none" w:sz="0" w:space="0" w:color="auto"/>
              </w:divBdr>
            </w:div>
            <w:div w:id="494028623">
              <w:marLeft w:val="0"/>
              <w:marRight w:val="0"/>
              <w:marTop w:val="0"/>
              <w:marBottom w:val="0"/>
              <w:divBdr>
                <w:top w:val="none" w:sz="0" w:space="0" w:color="auto"/>
                <w:left w:val="none" w:sz="0" w:space="0" w:color="auto"/>
                <w:bottom w:val="none" w:sz="0" w:space="0" w:color="auto"/>
                <w:right w:val="none" w:sz="0" w:space="0" w:color="auto"/>
              </w:divBdr>
            </w:div>
          </w:divsChild>
        </w:div>
        <w:div w:id="825170537">
          <w:marLeft w:val="0"/>
          <w:marRight w:val="0"/>
          <w:marTop w:val="0"/>
          <w:marBottom w:val="0"/>
          <w:divBdr>
            <w:top w:val="none" w:sz="0" w:space="0" w:color="auto"/>
            <w:left w:val="none" w:sz="0" w:space="0" w:color="auto"/>
            <w:bottom w:val="none" w:sz="0" w:space="0" w:color="auto"/>
            <w:right w:val="none" w:sz="0" w:space="0" w:color="auto"/>
          </w:divBdr>
        </w:div>
        <w:div w:id="968585663">
          <w:marLeft w:val="0"/>
          <w:marRight w:val="0"/>
          <w:marTop w:val="0"/>
          <w:marBottom w:val="0"/>
          <w:divBdr>
            <w:top w:val="none" w:sz="0" w:space="0" w:color="auto"/>
            <w:left w:val="none" w:sz="0" w:space="0" w:color="auto"/>
            <w:bottom w:val="none" w:sz="0" w:space="0" w:color="auto"/>
            <w:right w:val="none" w:sz="0" w:space="0" w:color="auto"/>
          </w:divBdr>
        </w:div>
        <w:div w:id="1169062516">
          <w:marLeft w:val="0"/>
          <w:marRight w:val="0"/>
          <w:marTop w:val="0"/>
          <w:marBottom w:val="0"/>
          <w:divBdr>
            <w:top w:val="none" w:sz="0" w:space="0" w:color="auto"/>
            <w:left w:val="none" w:sz="0" w:space="0" w:color="auto"/>
            <w:bottom w:val="none" w:sz="0" w:space="0" w:color="auto"/>
            <w:right w:val="none" w:sz="0" w:space="0" w:color="auto"/>
          </w:divBdr>
        </w:div>
        <w:div w:id="1826163881">
          <w:marLeft w:val="0"/>
          <w:marRight w:val="0"/>
          <w:marTop w:val="0"/>
          <w:marBottom w:val="0"/>
          <w:divBdr>
            <w:top w:val="none" w:sz="0" w:space="0" w:color="auto"/>
            <w:left w:val="none" w:sz="0" w:space="0" w:color="auto"/>
            <w:bottom w:val="none" w:sz="0" w:space="0" w:color="auto"/>
            <w:right w:val="none" w:sz="0" w:space="0" w:color="auto"/>
          </w:divBdr>
        </w:div>
      </w:divsChild>
    </w:div>
    <w:div w:id="796069676">
      <w:bodyDiv w:val="1"/>
      <w:marLeft w:val="0"/>
      <w:marRight w:val="0"/>
      <w:marTop w:val="0"/>
      <w:marBottom w:val="0"/>
      <w:divBdr>
        <w:top w:val="none" w:sz="0" w:space="0" w:color="auto"/>
        <w:left w:val="none" w:sz="0" w:space="0" w:color="auto"/>
        <w:bottom w:val="none" w:sz="0" w:space="0" w:color="auto"/>
        <w:right w:val="none" w:sz="0" w:space="0" w:color="auto"/>
      </w:divBdr>
    </w:div>
    <w:div w:id="802115608">
      <w:bodyDiv w:val="1"/>
      <w:marLeft w:val="0"/>
      <w:marRight w:val="0"/>
      <w:marTop w:val="0"/>
      <w:marBottom w:val="0"/>
      <w:divBdr>
        <w:top w:val="none" w:sz="0" w:space="0" w:color="auto"/>
        <w:left w:val="none" w:sz="0" w:space="0" w:color="auto"/>
        <w:bottom w:val="none" w:sz="0" w:space="0" w:color="auto"/>
        <w:right w:val="none" w:sz="0" w:space="0" w:color="auto"/>
      </w:divBdr>
    </w:div>
    <w:div w:id="809131085">
      <w:bodyDiv w:val="1"/>
      <w:marLeft w:val="0"/>
      <w:marRight w:val="0"/>
      <w:marTop w:val="0"/>
      <w:marBottom w:val="0"/>
      <w:divBdr>
        <w:top w:val="none" w:sz="0" w:space="0" w:color="auto"/>
        <w:left w:val="none" w:sz="0" w:space="0" w:color="auto"/>
        <w:bottom w:val="none" w:sz="0" w:space="0" w:color="auto"/>
        <w:right w:val="none" w:sz="0" w:space="0" w:color="auto"/>
      </w:divBdr>
    </w:div>
    <w:div w:id="832989151">
      <w:bodyDiv w:val="1"/>
      <w:marLeft w:val="0"/>
      <w:marRight w:val="0"/>
      <w:marTop w:val="0"/>
      <w:marBottom w:val="0"/>
      <w:divBdr>
        <w:top w:val="none" w:sz="0" w:space="0" w:color="auto"/>
        <w:left w:val="none" w:sz="0" w:space="0" w:color="auto"/>
        <w:bottom w:val="none" w:sz="0" w:space="0" w:color="auto"/>
        <w:right w:val="none" w:sz="0" w:space="0" w:color="auto"/>
      </w:divBdr>
    </w:div>
    <w:div w:id="842360462">
      <w:bodyDiv w:val="1"/>
      <w:marLeft w:val="0"/>
      <w:marRight w:val="0"/>
      <w:marTop w:val="0"/>
      <w:marBottom w:val="0"/>
      <w:divBdr>
        <w:top w:val="none" w:sz="0" w:space="0" w:color="auto"/>
        <w:left w:val="none" w:sz="0" w:space="0" w:color="auto"/>
        <w:bottom w:val="none" w:sz="0" w:space="0" w:color="auto"/>
        <w:right w:val="none" w:sz="0" w:space="0" w:color="auto"/>
      </w:divBdr>
    </w:div>
    <w:div w:id="885489083">
      <w:bodyDiv w:val="1"/>
      <w:marLeft w:val="0"/>
      <w:marRight w:val="0"/>
      <w:marTop w:val="0"/>
      <w:marBottom w:val="0"/>
      <w:divBdr>
        <w:top w:val="none" w:sz="0" w:space="0" w:color="auto"/>
        <w:left w:val="none" w:sz="0" w:space="0" w:color="auto"/>
        <w:bottom w:val="none" w:sz="0" w:space="0" w:color="auto"/>
        <w:right w:val="none" w:sz="0" w:space="0" w:color="auto"/>
      </w:divBdr>
    </w:div>
    <w:div w:id="916980029">
      <w:bodyDiv w:val="1"/>
      <w:marLeft w:val="0"/>
      <w:marRight w:val="0"/>
      <w:marTop w:val="0"/>
      <w:marBottom w:val="0"/>
      <w:divBdr>
        <w:top w:val="none" w:sz="0" w:space="0" w:color="auto"/>
        <w:left w:val="none" w:sz="0" w:space="0" w:color="auto"/>
        <w:bottom w:val="none" w:sz="0" w:space="0" w:color="auto"/>
        <w:right w:val="none" w:sz="0" w:space="0" w:color="auto"/>
      </w:divBdr>
    </w:div>
    <w:div w:id="990477238">
      <w:bodyDiv w:val="1"/>
      <w:marLeft w:val="0"/>
      <w:marRight w:val="0"/>
      <w:marTop w:val="0"/>
      <w:marBottom w:val="0"/>
      <w:divBdr>
        <w:top w:val="none" w:sz="0" w:space="0" w:color="auto"/>
        <w:left w:val="none" w:sz="0" w:space="0" w:color="auto"/>
        <w:bottom w:val="none" w:sz="0" w:space="0" w:color="auto"/>
        <w:right w:val="none" w:sz="0" w:space="0" w:color="auto"/>
      </w:divBdr>
    </w:div>
    <w:div w:id="1123617638">
      <w:bodyDiv w:val="1"/>
      <w:marLeft w:val="0"/>
      <w:marRight w:val="0"/>
      <w:marTop w:val="0"/>
      <w:marBottom w:val="0"/>
      <w:divBdr>
        <w:top w:val="none" w:sz="0" w:space="0" w:color="auto"/>
        <w:left w:val="none" w:sz="0" w:space="0" w:color="auto"/>
        <w:bottom w:val="none" w:sz="0" w:space="0" w:color="auto"/>
        <w:right w:val="none" w:sz="0" w:space="0" w:color="auto"/>
      </w:divBdr>
    </w:div>
    <w:div w:id="1141771315">
      <w:bodyDiv w:val="1"/>
      <w:marLeft w:val="0"/>
      <w:marRight w:val="0"/>
      <w:marTop w:val="0"/>
      <w:marBottom w:val="0"/>
      <w:divBdr>
        <w:top w:val="none" w:sz="0" w:space="0" w:color="auto"/>
        <w:left w:val="none" w:sz="0" w:space="0" w:color="auto"/>
        <w:bottom w:val="none" w:sz="0" w:space="0" w:color="auto"/>
        <w:right w:val="none" w:sz="0" w:space="0" w:color="auto"/>
      </w:divBdr>
    </w:div>
    <w:div w:id="1179273178">
      <w:bodyDiv w:val="1"/>
      <w:marLeft w:val="0"/>
      <w:marRight w:val="0"/>
      <w:marTop w:val="0"/>
      <w:marBottom w:val="0"/>
      <w:divBdr>
        <w:top w:val="none" w:sz="0" w:space="0" w:color="auto"/>
        <w:left w:val="none" w:sz="0" w:space="0" w:color="auto"/>
        <w:bottom w:val="none" w:sz="0" w:space="0" w:color="auto"/>
        <w:right w:val="none" w:sz="0" w:space="0" w:color="auto"/>
      </w:divBdr>
    </w:div>
    <w:div w:id="1193300506">
      <w:bodyDiv w:val="1"/>
      <w:marLeft w:val="0"/>
      <w:marRight w:val="0"/>
      <w:marTop w:val="0"/>
      <w:marBottom w:val="0"/>
      <w:divBdr>
        <w:top w:val="none" w:sz="0" w:space="0" w:color="auto"/>
        <w:left w:val="none" w:sz="0" w:space="0" w:color="auto"/>
        <w:bottom w:val="none" w:sz="0" w:space="0" w:color="auto"/>
        <w:right w:val="none" w:sz="0" w:space="0" w:color="auto"/>
      </w:divBdr>
    </w:div>
    <w:div w:id="1201012821">
      <w:bodyDiv w:val="1"/>
      <w:marLeft w:val="0"/>
      <w:marRight w:val="0"/>
      <w:marTop w:val="0"/>
      <w:marBottom w:val="0"/>
      <w:divBdr>
        <w:top w:val="none" w:sz="0" w:space="0" w:color="auto"/>
        <w:left w:val="none" w:sz="0" w:space="0" w:color="auto"/>
        <w:bottom w:val="none" w:sz="0" w:space="0" w:color="auto"/>
        <w:right w:val="none" w:sz="0" w:space="0" w:color="auto"/>
      </w:divBdr>
    </w:div>
    <w:div w:id="1250888819">
      <w:bodyDiv w:val="1"/>
      <w:marLeft w:val="0"/>
      <w:marRight w:val="0"/>
      <w:marTop w:val="0"/>
      <w:marBottom w:val="0"/>
      <w:divBdr>
        <w:top w:val="none" w:sz="0" w:space="0" w:color="auto"/>
        <w:left w:val="none" w:sz="0" w:space="0" w:color="auto"/>
        <w:bottom w:val="none" w:sz="0" w:space="0" w:color="auto"/>
        <w:right w:val="none" w:sz="0" w:space="0" w:color="auto"/>
      </w:divBdr>
    </w:div>
    <w:div w:id="1268735207">
      <w:bodyDiv w:val="1"/>
      <w:marLeft w:val="0"/>
      <w:marRight w:val="0"/>
      <w:marTop w:val="0"/>
      <w:marBottom w:val="0"/>
      <w:divBdr>
        <w:top w:val="none" w:sz="0" w:space="0" w:color="auto"/>
        <w:left w:val="none" w:sz="0" w:space="0" w:color="auto"/>
        <w:bottom w:val="none" w:sz="0" w:space="0" w:color="auto"/>
        <w:right w:val="none" w:sz="0" w:space="0" w:color="auto"/>
      </w:divBdr>
    </w:div>
    <w:div w:id="1273240926">
      <w:bodyDiv w:val="1"/>
      <w:marLeft w:val="0"/>
      <w:marRight w:val="0"/>
      <w:marTop w:val="0"/>
      <w:marBottom w:val="0"/>
      <w:divBdr>
        <w:top w:val="none" w:sz="0" w:space="0" w:color="auto"/>
        <w:left w:val="none" w:sz="0" w:space="0" w:color="auto"/>
        <w:bottom w:val="none" w:sz="0" w:space="0" w:color="auto"/>
        <w:right w:val="none" w:sz="0" w:space="0" w:color="auto"/>
      </w:divBdr>
    </w:div>
    <w:div w:id="1310524233">
      <w:bodyDiv w:val="1"/>
      <w:marLeft w:val="0"/>
      <w:marRight w:val="0"/>
      <w:marTop w:val="0"/>
      <w:marBottom w:val="0"/>
      <w:divBdr>
        <w:top w:val="none" w:sz="0" w:space="0" w:color="auto"/>
        <w:left w:val="none" w:sz="0" w:space="0" w:color="auto"/>
        <w:bottom w:val="none" w:sz="0" w:space="0" w:color="auto"/>
        <w:right w:val="none" w:sz="0" w:space="0" w:color="auto"/>
      </w:divBdr>
    </w:div>
    <w:div w:id="1318925231">
      <w:bodyDiv w:val="1"/>
      <w:marLeft w:val="0"/>
      <w:marRight w:val="0"/>
      <w:marTop w:val="0"/>
      <w:marBottom w:val="0"/>
      <w:divBdr>
        <w:top w:val="none" w:sz="0" w:space="0" w:color="auto"/>
        <w:left w:val="none" w:sz="0" w:space="0" w:color="auto"/>
        <w:bottom w:val="none" w:sz="0" w:space="0" w:color="auto"/>
        <w:right w:val="none" w:sz="0" w:space="0" w:color="auto"/>
      </w:divBdr>
    </w:div>
    <w:div w:id="1426028282">
      <w:bodyDiv w:val="1"/>
      <w:marLeft w:val="0"/>
      <w:marRight w:val="0"/>
      <w:marTop w:val="0"/>
      <w:marBottom w:val="0"/>
      <w:divBdr>
        <w:top w:val="none" w:sz="0" w:space="0" w:color="auto"/>
        <w:left w:val="none" w:sz="0" w:space="0" w:color="auto"/>
        <w:bottom w:val="none" w:sz="0" w:space="0" w:color="auto"/>
        <w:right w:val="none" w:sz="0" w:space="0" w:color="auto"/>
      </w:divBdr>
    </w:div>
    <w:div w:id="1476682046">
      <w:bodyDiv w:val="1"/>
      <w:marLeft w:val="0"/>
      <w:marRight w:val="0"/>
      <w:marTop w:val="0"/>
      <w:marBottom w:val="0"/>
      <w:divBdr>
        <w:top w:val="none" w:sz="0" w:space="0" w:color="auto"/>
        <w:left w:val="none" w:sz="0" w:space="0" w:color="auto"/>
        <w:bottom w:val="none" w:sz="0" w:space="0" w:color="auto"/>
        <w:right w:val="none" w:sz="0" w:space="0" w:color="auto"/>
      </w:divBdr>
    </w:div>
    <w:div w:id="1567645360">
      <w:bodyDiv w:val="1"/>
      <w:marLeft w:val="0"/>
      <w:marRight w:val="0"/>
      <w:marTop w:val="0"/>
      <w:marBottom w:val="0"/>
      <w:divBdr>
        <w:top w:val="none" w:sz="0" w:space="0" w:color="auto"/>
        <w:left w:val="none" w:sz="0" w:space="0" w:color="auto"/>
        <w:bottom w:val="none" w:sz="0" w:space="0" w:color="auto"/>
        <w:right w:val="none" w:sz="0" w:space="0" w:color="auto"/>
      </w:divBdr>
    </w:div>
    <w:div w:id="1587500683">
      <w:bodyDiv w:val="1"/>
      <w:marLeft w:val="0"/>
      <w:marRight w:val="0"/>
      <w:marTop w:val="0"/>
      <w:marBottom w:val="0"/>
      <w:divBdr>
        <w:top w:val="none" w:sz="0" w:space="0" w:color="auto"/>
        <w:left w:val="none" w:sz="0" w:space="0" w:color="auto"/>
        <w:bottom w:val="none" w:sz="0" w:space="0" w:color="auto"/>
        <w:right w:val="none" w:sz="0" w:space="0" w:color="auto"/>
      </w:divBdr>
    </w:div>
    <w:div w:id="1618104942">
      <w:bodyDiv w:val="1"/>
      <w:marLeft w:val="0"/>
      <w:marRight w:val="0"/>
      <w:marTop w:val="0"/>
      <w:marBottom w:val="0"/>
      <w:divBdr>
        <w:top w:val="none" w:sz="0" w:space="0" w:color="auto"/>
        <w:left w:val="none" w:sz="0" w:space="0" w:color="auto"/>
        <w:bottom w:val="none" w:sz="0" w:space="0" w:color="auto"/>
        <w:right w:val="none" w:sz="0" w:space="0" w:color="auto"/>
      </w:divBdr>
    </w:div>
    <w:div w:id="1629892296">
      <w:bodyDiv w:val="1"/>
      <w:marLeft w:val="0"/>
      <w:marRight w:val="0"/>
      <w:marTop w:val="0"/>
      <w:marBottom w:val="0"/>
      <w:divBdr>
        <w:top w:val="none" w:sz="0" w:space="0" w:color="auto"/>
        <w:left w:val="none" w:sz="0" w:space="0" w:color="auto"/>
        <w:bottom w:val="none" w:sz="0" w:space="0" w:color="auto"/>
        <w:right w:val="none" w:sz="0" w:space="0" w:color="auto"/>
      </w:divBdr>
    </w:div>
    <w:div w:id="1634099720">
      <w:bodyDiv w:val="1"/>
      <w:marLeft w:val="0"/>
      <w:marRight w:val="0"/>
      <w:marTop w:val="0"/>
      <w:marBottom w:val="0"/>
      <w:divBdr>
        <w:top w:val="none" w:sz="0" w:space="0" w:color="auto"/>
        <w:left w:val="none" w:sz="0" w:space="0" w:color="auto"/>
        <w:bottom w:val="none" w:sz="0" w:space="0" w:color="auto"/>
        <w:right w:val="none" w:sz="0" w:space="0" w:color="auto"/>
      </w:divBdr>
    </w:div>
    <w:div w:id="1646159767">
      <w:bodyDiv w:val="1"/>
      <w:marLeft w:val="0"/>
      <w:marRight w:val="0"/>
      <w:marTop w:val="0"/>
      <w:marBottom w:val="0"/>
      <w:divBdr>
        <w:top w:val="none" w:sz="0" w:space="0" w:color="auto"/>
        <w:left w:val="none" w:sz="0" w:space="0" w:color="auto"/>
        <w:bottom w:val="none" w:sz="0" w:space="0" w:color="auto"/>
        <w:right w:val="none" w:sz="0" w:space="0" w:color="auto"/>
      </w:divBdr>
    </w:div>
    <w:div w:id="1820883471">
      <w:bodyDiv w:val="1"/>
      <w:marLeft w:val="0"/>
      <w:marRight w:val="0"/>
      <w:marTop w:val="0"/>
      <w:marBottom w:val="0"/>
      <w:divBdr>
        <w:top w:val="none" w:sz="0" w:space="0" w:color="auto"/>
        <w:left w:val="none" w:sz="0" w:space="0" w:color="auto"/>
        <w:bottom w:val="none" w:sz="0" w:space="0" w:color="auto"/>
        <w:right w:val="none" w:sz="0" w:space="0" w:color="auto"/>
      </w:divBdr>
      <w:divsChild>
        <w:div w:id="95903140">
          <w:marLeft w:val="0"/>
          <w:marRight w:val="0"/>
          <w:marTop w:val="0"/>
          <w:marBottom w:val="0"/>
          <w:divBdr>
            <w:top w:val="none" w:sz="0" w:space="0" w:color="auto"/>
            <w:left w:val="none" w:sz="0" w:space="0" w:color="auto"/>
            <w:bottom w:val="none" w:sz="0" w:space="0" w:color="auto"/>
            <w:right w:val="none" w:sz="0" w:space="0" w:color="auto"/>
          </w:divBdr>
        </w:div>
        <w:div w:id="72316581">
          <w:marLeft w:val="0"/>
          <w:marRight w:val="0"/>
          <w:marTop w:val="0"/>
          <w:marBottom w:val="0"/>
          <w:divBdr>
            <w:top w:val="none" w:sz="0" w:space="0" w:color="auto"/>
            <w:left w:val="none" w:sz="0" w:space="0" w:color="auto"/>
            <w:bottom w:val="none" w:sz="0" w:space="0" w:color="auto"/>
            <w:right w:val="none" w:sz="0" w:space="0" w:color="auto"/>
          </w:divBdr>
        </w:div>
        <w:div w:id="1432699060">
          <w:marLeft w:val="0"/>
          <w:marRight w:val="0"/>
          <w:marTop w:val="0"/>
          <w:marBottom w:val="0"/>
          <w:divBdr>
            <w:top w:val="none" w:sz="0" w:space="0" w:color="auto"/>
            <w:left w:val="none" w:sz="0" w:space="0" w:color="auto"/>
            <w:bottom w:val="none" w:sz="0" w:space="0" w:color="auto"/>
            <w:right w:val="none" w:sz="0" w:space="0" w:color="auto"/>
          </w:divBdr>
        </w:div>
        <w:div w:id="1171602564">
          <w:marLeft w:val="0"/>
          <w:marRight w:val="0"/>
          <w:marTop w:val="0"/>
          <w:marBottom w:val="0"/>
          <w:divBdr>
            <w:top w:val="none" w:sz="0" w:space="0" w:color="auto"/>
            <w:left w:val="none" w:sz="0" w:space="0" w:color="auto"/>
            <w:bottom w:val="none" w:sz="0" w:space="0" w:color="auto"/>
            <w:right w:val="none" w:sz="0" w:space="0" w:color="auto"/>
          </w:divBdr>
        </w:div>
        <w:div w:id="976373852">
          <w:marLeft w:val="0"/>
          <w:marRight w:val="0"/>
          <w:marTop w:val="0"/>
          <w:marBottom w:val="0"/>
          <w:divBdr>
            <w:top w:val="none" w:sz="0" w:space="0" w:color="auto"/>
            <w:left w:val="none" w:sz="0" w:space="0" w:color="auto"/>
            <w:bottom w:val="none" w:sz="0" w:space="0" w:color="auto"/>
            <w:right w:val="none" w:sz="0" w:space="0" w:color="auto"/>
          </w:divBdr>
        </w:div>
        <w:div w:id="440880266">
          <w:marLeft w:val="0"/>
          <w:marRight w:val="0"/>
          <w:marTop w:val="0"/>
          <w:marBottom w:val="0"/>
          <w:divBdr>
            <w:top w:val="none" w:sz="0" w:space="0" w:color="auto"/>
            <w:left w:val="none" w:sz="0" w:space="0" w:color="auto"/>
            <w:bottom w:val="none" w:sz="0" w:space="0" w:color="auto"/>
            <w:right w:val="none" w:sz="0" w:space="0" w:color="auto"/>
          </w:divBdr>
          <w:divsChild>
            <w:div w:id="337969702">
              <w:marLeft w:val="0"/>
              <w:marRight w:val="0"/>
              <w:marTop w:val="0"/>
              <w:marBottom w:val="0"/>
              <w:divBdr>
                <w:top w:val="none" w:sz="0" w:space="0" w:color="auto"/>
                <w:left w:val="none" w:sz="0" w:space="0" w:color="auto"/>
                <w:bottom w:val="none" w:sz="0" w:space="0" w:color="auto"/>
                <w:right w:val="none" w:sz="0" w:space="0" w:color="auto"/>
              </w:divBdr>
            </w:div>
            <w:div w:id="1824076595">
              <w:marLeft w:val="0"/>
              <w:marRight w:val="0"/>
              <w:marTop w:val="0"/>
              <w:marBottom w:val="0"/>
              <w:divBdr>
                <w:top w:val="none" w:sz="0" w:space="0" w:color="auto"/>
                <w:left w:val="none" w:sz="0" w:space="0" w:color="auto"/>
                <w:bottom w:val="none" w:sz="0" w:space="0" w:color="auto"/>
                <w:right w:val="none" w:sz="0" w:space="0" w:color="auto"/>
              </w:divBdr>
            </w:div>
            <w:div w:id="853609929">
              <w:marLeft w:val="0"/>
              <w:marRight w:val="0"/>
              <w:marTop w:val="0"/>
              <w:marBottom w:val="0"/>
              <w:divBdr>
                <w:top w:val="none" w:sz="0" w:space="0" w:color="auto"/>
                <w:left w:val="none" w:sz="0" w:space="0" w:color="auto"/>
                <w:bottom w:val="none" w:sz="0" w:space="0" w:color="auto"/>
                <w:right w:val="none" w:sz="0" w:space="0" w:color="auto"/>
              </w:divBdr>
            </w:div>
            <w:div w:id="1556627543">
              <w:marLeft w:val="0"/>
              <w:marRight w:val="0"/>
              <w:marTop w:val="0"/>
              <w:marBottom w:val="0"/>
              <w:divBdr>
                <w:top w:val="none" w:sz="0" w:space="0" w:color="auto"/>
                <w:left w:val="none" w:sz="0" w:space="0" w:color="auto"/>
                <w:bottom w:val="none" w:sz="0" w:space="0" w:color="auto"/>
                <w:right w:val="none" w:sz="0" w:space="0" w:color="auto"/>
              </w:divBdr>
            </w:div>
            <w:div w:id="1839422307">
              <w:marLeft w:val="0"/>
              <w:marRight w:val="0"/>
              <w:marTop w:val="0"/>
              <w:marBottom w:val="0"/>
              <w:divBdr>
                <w:top w:val="none" w:sz="0" w:space="0" w:color="auto"/>
                <w:left w:val="none" w:sz="0" w:space="0" w:color="auto"/>
                <w:bottom w:val="none" w:sz="0" w:space="0" w:color="auto"/>
                <w:right w:val="none" w:sz="0" w:space="0" w:color="auto"/>
              </w:divBdr>
            </w:div>
          </w:divsChild>
        </w:div>
        <w:div w:id="357316680">
          <w:marLeft w:val="0"/>
          <w:marRight w:val="0"/>
          <w:marTop w:val="0"/>
          <w:marBottom w:val="0"/>
          <w:divBdr>
            <w:top w:val="none" w:sz="0" w:space="0" w:color="auto"/>
            <w:left w:val="none" w:sz="0" w:space="0" w:color="auto"/>
            <w:bottom w:val="none" w:sz="0" w:space="0" w:color="auto"/>
            <w:right w:val="none" w:sz="0" w:space="0" w:color="auto"/>
          </w:divBdr>
          <w:divsChild>
            <w:div w:id="1697733307">
              <w:marLeft w:val="0"/>
              <w:marRight w:val="0"/>
              <w:marTop w:val="0"/>
              <w:marBottom w:val="0"/>
              <w:divBdr>
                <w:top w:val="none" w:sz="0" w:space="0" w:color="auto"/>
                <w:left w:val="none" w:sz="0" w:space="0" w:color="auto"/>
                <w:bottom w:val="none" w:sz="0" w:space="0" w:color="auto"/>
                <w:right w:val="none" w:sz="0" w:space="0" w:color="auto"/>
              </w:divBdr>
            </w:div>
            <w:div w:id="1354766908">
              <w:marLeft w:val="0"/>
              <w:marRight w:val="0"/>
              <w:marTop w:val="0"/>
              <w:marBottom w:val="0"/>
              <w:divBdr>
                <w:top w:val="none" w:sz="0" w:space="0" w:color="auto"/>
                <w:left w:val="none" w:sz="0" w:space="0" w:color="auto"/>
                <w:bottom w:val="none" w:sz="0" w:space="0" w:color="auto"/>
                <w:right w:val="none" w:sz="0" w:space="0" w:color="auto"/>
              </w:divBdr>
            </w:div>
            <w:div w:id="1125587550">
              <w:marLeft w:val="0"/>
              <w:marRight w:val="0"/>
              <w:marTop w:val="0"/>
              <w:marBottom w:val="0"/>
              <w:divBdr>
                <w:top w:val="none" w:sz="0" w:space="0" w:color="auto"/>
                <w:left w:val="none" w:sz="0" w:space="0" w:color="auto"/>
                <w:bottom w:val="none" w:sz="0" w:space="0" w:color="auto"/>
                <w:right w:val="none" w:sz="0" w:space="0" w:color="auto"/>
              </w:divBdr>
            </w:div>
            <w:div w:id="492260952">
              <w:marLeft w:val="0"/>
              <w:marRight w:val="0"/>
              <w:marTop w:val="0"/>
              <w:marBottom w:val="0"/>
              <w:divBdr>
                <w:top w:val="none" w:sz="0" w:space="0" w:color="auto"/>
                <w:left w:val="none" w:sz="0" w:space="0" w:color="auto"/>
                <w:bottom w:val="none" w:sz="0" w:space="0" w:color="auto"/>
                <w:right w:val="none" w:sz="0" w:space="0" w:color="auto"/>
              </w:divBdr>
            </w:div>
            <w:div w:id="640963977">
              <w:marLeft w:val="0"/>
              <w:marRight w:val="0"/>
              <w:marTop w:val="0"/>
              <w:marBottom w:val="0"/>
              <w:divBdr>
                <w:top w:val="none" w:sz="0" w:space="0" w:color="auto"/>
                <w:left w:val="none" w:sz="0" w:space="0" w:color="auto"/>
                <w:bottom w:val="none" w:sz="0" w:space="0" w:color="auto"/>
                <w:right w:val="none" w:sz="0" w:space="0" w:color="auto"/>
              </w:divBdr>
            </w:div>
          </w:divsChild>
        </w:div>
        <w:div w:id="963850392">
          <w:marLeft w:val="0"/>
          <w:marRight w:val="0"/>
          <w:marTop w:val="0"/>
          <w:marBottom w:val="0"/>
          <w:divBdr>
            <w:top w:val="none" w:sz="0" w:space="0" w:color="auto"/>
            <w:left w:val="none" w:sz="0" w:space="0" w:color="auto"/>
            <w:bottom w:val="none" w:sz="0" w:space="0" w:color="auto"/>
            <w:right w:val="none" w:sz="0" w:space="0" w:color="auto"/>
          </w:divBdr>
        </w:div>
        <w:div w:id="1133254253">
          <w:marLeft w:val="0"/>
          <w:marRight w:val="0"/>
          <w:marTop w:val="0"/>
          <w:marBottom w:val="0"/>
          <w:divBdr>
            <w:top w:val="none" w:sz="0" w:space="0" w:color="auto"/>
            <w:left w:val="none" w:sz="0" w:space="0" w:color="auto"/>
            <w:bottom w:val="none" w:sz="0" w:space="0" w:color="auto"/>
            <w:right w:val="none" w:sz="0" w:space="0" w:color="auto"/>
          </w:divBdr>
        </w:div>
        <w:div w:id="1870099974">
          <w:marLeft w:val="0"/>
          <w:marRight w:val="0"/>
          <w:marTop w:val="0"/>
          <w:marBottom w:val="0"/>
          <w:divBdr>
            <w:top w:val="none" w:sz="0" w:space="0" w:color="auto"/>
            <w:left w:val="none" w:sz="0" w:space="0" w:color="auto"/>
            <w:bottom w:val="none" w:sz="0" w:space="0" w:color="auto"/>
            <w:right w:val="none" w:sz="0" w:space="0" w:color="auto"/>
          </w:divBdr>
        </w:div>
      </w:divsChild>
    </w:div>
    <w:div w:id="1859076688">
      <w:bodyDiv w:val="1"/>
      <w:marLeft w:val="0"/>
      <w:marRight w:val="0"/>
      <w:marTop w:val="0"/>
      <w:marBottom w:val="0"/>
      <w:divBdr>
        <w:top w:val="none" w:sz="0" w:space="0" w:color="auto"/>
        <w:left w:val="none" w:sz="0" w:space="0" w:color="auto"/>
        <w:bottom w:val="none" w:sz="0" w:space="0" w:color="auto"/>
        <w:right w:val="none" w:sz="0" w:space="0" w:color="auto"/>
      </w:divBdr>
    </w:div>
    <w:div w:id="1872645919">
      <w:bodyDiv w:val="1"/>
      <w:marLeft w:val="0"/>
      <w:marRight w:val="0"/>
      <w:marTop w:val="0"/>
      <w:marBottom w:val="0"/>
      <w:divBdr>
        <w:top w:val="none" w:sz="0" w:space="0" w:color="auto"/>
        <w:left w:val="none" w:sz="0" w:space="0" w:color="auto"/>
        <w:bottom w:val="none" w:sz="0" w:space="0" w:color="auto"/>
        <w:right w:val="none" w:sz="0" w:space="0" w:color="auto"/>
      </w:divBdr>
    </w:div>
    <w:div w:id="1875655337">
      <w:bodyDiv w:val="1"/>
      <w:marLeft w:val="0"/>
      <w:marRight w:val="0"/>
      <w:marTop w:val="0"/>
      <w:marBottom w:val="0"/>
      <w:divBdr>
        <w:top w:val="none" w:sz="0" w:space="0" w:color="auto"/>
        <w:left w:val="none" w:sz="0" w:space="0" w:color="auto"/>
        <w:bottom w:val="none" w:sz="0" w:space="0" w:color="auto"/>
        <w:right w:val="none" w:sz="0" w:space="0" w:color="auto"/>
      </w:divBdr>
    </w:div>
    <w:div w:id="1881673121">
      <w:bodyDiv w:val="1"/>
      <w:marLeft w:val="0"/>
      <w:marRight w:val="0"/>
      <w:marTop w:val="0"/>
      <w:marBottom w:val="0"/>
      <w:divBdr>
        <w:top w:val="none" w:sz="0" w:space="0" w:color="auto"/>
        <w:left w:val="none" w:sz="0" w:space="0" w:color="auto"/>
        <w:bottom w:val="none" w:sz="0" w:space="0" w:color="auto"/>
        <w:right w:val="none" w:sz="0" w:space="0" w:color="auto"/>
      </w:divBdr>
    </w:div>
    <w:div w:id="1914119553">
      <w:bodyDiv w:val="1"/>
      <w:marLeft w:val="0"/>
      <w:marRight w:val="0"/>
      <w:marTop w:val="0"/>
      <w:marBottom w:val="0"/>
      <w:divBdr>
        <w:top w:val="none" w:sz="0" w:space="0" w:color="auto"/>
        <w:left w:val="none" w:sz="0" w:space="0" w:color="auto"/>
        <w:bottom w:val="none" w:sz="0" w:space="0" w:color="auto"/>
        <w:right w:val="none" w:sz="0" w:space="0" w:color="auto"/>
      </w:divBdr>
    </w:div>
    <w:div w:id="1930842660">
      <w:bodyDiv w:val="1"/>
      <w:marLeft w:val="0"/>
      <w:marRight w:val="0"/>
      <w:marTop w:val="0"/>
      <w:marBottom w:val="0"/>
      <w:divBdr>
        <w:top w:val="none" w:sz="0" w:space="0" w:color="auto"/>
        <w:left w:val="none" w:sz="0" w:space="0" w:color="auto"/>
        <w:bottom w:val="none" w:sz="0" w:space="0" w:color="auto"/>
        <w:right w:val="none" w:sz="0" w:space="0" w:color="auto"/>
      </w:divBdr>
    </w:div>
    <w:div w:id="1935160605">
      <w:bodyDiv w:val="1"/>
      <w:marLeft w:val="0"/>
      <w:marRight w:val="0"/>
      <w:marTop w:val="0"/>
      <w:marBottom w:val="0"/>
      <w:divBdr>
        <w:top w:val="none" w:sz="0" w:space="0" w:color="auto"/>
        <w:left w:val="none" w:sz="0" w:space="0" w:color="auto"/>
        <w:bottom w:val="none" w:sz="0" w:space="0" w:color="auto"/>
        <w:right w:val="none" w:sz="0" w:space="0" w:color="auto"/>
      </w:divBdr>
    </w:div>
    <w:div w:id="2017270796">
      <w:bodyDiv w:val="1"/>
      <w:marLeft w:val="0"/>
      <w:marRight w:val="0"/>
      <w:marTop w:val="0"/>
      <w:marBottom w:val="0"/>
      <w:divBdr>
        <w:top w:val="none" w:sz="0" w:space="0" w:color="auto"/>
        <w:left w:val="none" w:sz="0" w:space="0" w:color="auto"/>
        <w:bottom w:val="none" w:sz="0" w:space="0" w:color="auto"/>
        <w:right w:val="none" w:sz="0" w:space="0" w:color="auto"/>
      </w:divBdr>
    </w:div>
    <w:div w:id="2018073585">
      <w:bodyDiv w:val="1"/>
      <w:marLeft w:val="0"/>
      <w:marRight w:val="0"/>
      <w:marTop w:val="0"/>
      <w:marBottom w:val="0"/>
      <w:divBdr>
        <w:top w:val="none" w:sz="0" w:space="0" w:color="auto"/>
        <w:left w:val="none" w:sz="0" w:space="0" w:color="auto"/>
        <w:bottom w:val="none" w:sz="0" w:space="0" w:color="auto"/>
        <w:right w:val="none" w:sz="0" w:space="0" w:color="auto"/>
      </w:divBdr>
    </w:div>
    <w:div w:id="2053647267">
      <w:bodyDiv w:val="1"/>
      <w:marLeft w:val="0"/>
      <w:marRight w:val="0"/>
      <w:marTop w:val="0"/>
      <w:marBottom w:val="0"/>
      <w:divBdr>
        <w:top w:val="none" w:sz="0" w:space="0" w:color="auto"/>
        <w:left w:val="none" w:sz="0" w:space="0" w:color="auto"/>
        <w:bottom w:val="none" w:sz="0" w:space="0" w:color="auto"/>
        <w:right w:val="none" w:sz="0" w:space="0" w:color="auto"/>
      </w:divBdr>
    </w:div>
    <w:div w:id="2063559073">
      <w:bodyDiv w:val="1"/>
      <w:marLeft w:val="0"/>
      <w:marRight w:val="0"/>
      <w:marTop w:val="0"/>
      <w:marBottom w:val="0"/>
      <w:divBdr>
        <w:top w:val="none" w:sz="0" w:space="0" w:color="auto"/>
        <w:left w:val="none" w:sz="0" w:space="0" w:color="auto"/>
        <w:bottom w:val="none" w:sz="0" w:space="0" w:color="auto"/>
        <w:right w:val="none" w:sz="0" w:space="0" w:color="auto"/>
      </w:divBdr>
    </w:div>
    <w:div w:id="2068455815">
      <w:bodyDiv w:val="1"/>
      <w:marLeft w:val="0"/>
      <w:marRight w:val="0"/>
      <w:marTop w:val="0"/>
      <w:marBottom w:val="0"/>
      <w:divBdr>
        <w:top w:val="none" w:sz="0" w:space="0" w:color="auto"/>
        <w:left w:val="none" w:sz="0" w:space="0" w:color="auto"/>
        <w:bottom w:val="none" w:sz="0" w:space="0" w:color="auto"/>
        <w:right w:val="none" w:sz="0" w:space="0" w:color="auto"/>
      </w:divBdr>
    </w:div>
    <w:div w:id="2070614878">
      <w:bodyDiv w:val="1"/>
      <w:marLeft w:val="0"/>
      <w:marRight w:val="0"/>
      <w:marTop w:val="0"/>
      <w:marBottom w:val="0"/>
      <w:divBdr>
        <w:top w:val="none" w:sz="0" w:space="0" w:color="auto"/>
        <w:left w:val="none" w:sz="0" w:space="0" w:color="auto"/>
        <w:bottom w:val="none" w:sz="0" w:space="0" w:color="auto"/>
        <w:right w:val="none" w:sz="0" w:space="0" w:color="auto"/>
      </w:divBdr>
    </w:div>
    <w:div w:id="2101834662">
      <w:bodyDiv w:val="1"/>
      <w:marLeft w:val="0"/>
      <w:marRight w:val="0"/>
      <w:marTop w:val="0"/>
      <w:marBottom w:val="0"/>
      <w:divBdr>
        <w:top w:val="none" w:sz="0" w:space="0" w:color="auto"/>
        <w:left w:val="none" w:sz="0" w:space="0" w:color="auto"/>
        <w:bottom w:val="none" w:sz="0" w:space="0" w:color="auto"/>
        <w:right w:val="none" w:sz="0" w:space="0" w:color="auto"/>
      </w:divBdr>
    </w:div>
    <w:div w:id="2144614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data.cityofnewyork.us/Social-Services/Borough-Community-District-Report-SNAP-Population/jye8-4d7"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footnotes.xml.rels><?xml version="1.0" encoding="UTF-8" standalone="yes"?>
<Relationships xmlns="http://schemas.openxmlformats.org/package/2006/relationships"><Relationship Id="rId13" Type="http://schemas.openxmlformats.org/officeDocument/2006/relationships/hyperlink" Target="https://otda.ny.gov/programs/snap/%20/" TargetMode="External"/><Relationship Id="rId18" Type="http://schemas.openxmlformats.org/officeDocument/2006/relationships/hyperlink" Target="https://www.nyc.gov/site/hra/about/facts.page" TargetMode="External"/><Relationship Id="rId26" Type="http://schemas.openxmlformats.org/officeDocument/2006/relationships/hyperlink" Target="https://feednyc.org/resources" TargetMode="External"/><Relationship Id="rId39" Type="http://schemas.openxmlformats.org/officeDocument/2006/relationships/hyperlink" Target="https://council.nyc.gov/wp-content/uploads/sites/54/2023/04/Fiscal-2024-Preliminary-Budget-Response-Final-1.pdf" TargetMode="External"/><Relationship Id="rId21" Type="http://schemas.openxmlformats.org/officeDocument/2006/relationships/hyperlink" Target="https://www.nyc.gov/assets/hra/downloads/pdf/news/testimonies/2014/may_2014/HRA_Executive_Budget_Testimony_2015.pdf" TargetMode="External"/><Relationship Id="rId34" Type="http://schemas.openxmlformats.org/officeDocument/2006/relationships/hyperlink" Target="https://www.osc.state.ny.us/files/reports/pdf/new-yorkers-in-need-food-insecurity.pdf" TargetMode="External"/><Relationship Id="rId7" Type="http://schemas.openxmlformats.org/officeDocument/2006/relationships/hyperlink" Target="https://www.nyc.gov/assets/foodpolicy/downloads/pdf/Food%20Metrics%20Report%20FY%202022_FINAL.pdf" TargetMode="External"/><Relationship Id="rId12" Type="http://schemas.openxmlformats.org/officeDocument/2006/relationships/hyperlink" Target="http://www.cbpp.org/research/snap-is-effective-and-efficient" TargetMode="External"/><Relationship Id="rId17" Type="http://schemas.openxmlformats.org/officeDocument/2006/relationships/hyperlink" Target="https://www.census.gov/content/dam/Census/library/publications/2021/demo/p60-275.pdf" TargetMode="External"/><Relationship Id="rId25" Type="http://schemas.openxmlformats.org/officeDocument/2006/relationships/hyperlink" Target="https://data.cityofnewyork.us/Social-Services/Community-Food-Connection-CFC-/mpqk-skis" TargetMode="External"/><Relationship Id="rId33" Type="http://schemas.openxmlformats.org/officeDocument/2006/relationships/hyperlink" Target="https://www.nyc.gov/assets/foodpolicy/downloads/pdf/Food%20Metrics%20Report%20FY%202022_FINAL.pdf" TargetMode="External"/><Relationship Id="rId38" Type="http://schemas.openxmlformats.org/officeDocument/2006/relationships/hyperlink" Target="https://www.nyc.gov/assets/operations/downloads/pdf/pmmr2023/2023_pmmr.pdf" TargetMode="External"/><Relationship Id="rId2" Type="http://schemas.openxmlformats.org/officeDocument/2006/relationships/hyperlink" Target="https://www.robinhood.org/wp-content/themes/robinhood/images/poverty-tracker/pdfs/POVERTY_TRACKER_REPORT38.pdf" TargetMode="External"/><Relationship Id="rId16" Type="http://schemas.openxmlformats.org/officeDocument/2006/relationships/hyperlink" Target="https://www.ers.usda.gov/amber-waves/2019/july/quantifying-the-impact-of-snap-benefits-on-the-us-economy-and-jobs/" TargetMode="External"/><Relationship Id="rId20" Type="http://schemas.openxmlformats.org/officeDocument/2006/relationships/hyperlink" Target="http://www.fns.usda.gov/snap/able-bodied-adults-without-dependents-abawds" TargetMode="External"/><Relationship Id="rId29" Type="http://schemas.openxmlformats.org/officeDocument/2006/relationships/hyperlink" Target="https://www.foodbanknyc.org/state-of-hunger-in-nyc-new-data-from-food-bank-for-new-york-city/" TargetMode="External"/><Relationship Id="rId1" Type="http://schemas.openxmlformats.org/officeDocument/2006/relationships/hyperlink" Target="http://www.nationalhomeless.org/factsheets/hunger.html" TargetMode="External"/><Relationship Id="rId6" Type="http://schemas.openxmlformats.org/officeDocument/2006/relationships/hyperlink" Target="https://www.ers.usda.gov/webdocs/publications/104656/err-309.pdf?v=3913.5" TargetMode="External"/><Relationship Id="rId11" Type="http://schemas.openxmlformats.org/officeDocument/2006/relationships/hyperlink" Target="https://www.feedingamerica.org/sites/default/files/2022-09/Map%20the%20Meal%20Gap%202022%20Report_0.pdf?s_src=W234REFER&amp;s_referrer=https%3A%2F%2Fmap.feedingamerica.org%2F&amp;s_channel=https%3A%2F%2Fmap.feedingamerica.org%2F&amp;s_subsrc=https%3A%2F%2Fwww.feedingamerica.org%2Fresearch%2Fmap-the-meal-gap%2Foverall-executive-summary%3F_ga%3D2.171176544.1371052009.1680805257-1849911243.1680805257" TargetMode="External"/><Relationship Id="rId24" Type="http://schemas.openxmlformats.org/officeDocument/2006/relationships/hyperlink" Target="https://www.nyc.gov/site/hra/help/food-assistance.page" TargetMode="External"/><Relationship Id="rId32" Type="http://schemas.openxmlformats.org/officeDocument/2006/relationships/hyperlink" Target="https://council.nyc.gov/wp-content/uploads/sites/54/2023/04/Fiscal-2024-Preliminary-Budget-Response-Final-1.pdf" TargetMode="External"/><Relationship Id="rId37" Type="http://schemas.openxmlformats.org/officeDocument/2006/relationships/hyperlink" Target="https://legistar.council.nyc.gov/LegislationDetail.aspx?ID=6028024&amp;GUID=8663C62A-20E0-4CD5-8ED2-5B9A1E0D3DAE&amp;Options=&amp;Search" TargetMode="External"/><Relationship Id="rId5" Type="http://schemas.openxmlformats.org/officeDocument/2006/relationships/hyperlink" Target="https://www.nyc.gov/assets/opportunity/pdf/21_poverty_measure_report.pdf" TargetMode="External"/><Relationship Id="rId15" Type="http://schemas.openxmlformats.org/officeDocument/2006/relationships/hyperlink" Target="https://otda.ny.gov/programs/snap/" TargetMode="External"/><Relationship Id="rId23" Type="http://schemas.openxmlformats.org/officeDocument/2006/relationships/hyperlink" Target="https://otda.ny.gov/programs/snap/qanda.asp" TargetMode="External"/><Relationship Id="rId28" Type="http://schemas.openxmlformats.org/officeDocument/2006/relationships/hyperlink" Target="https://fbnyc.wpenginepowered.com/wp-content/uploads/Hunger-Cannot-Afford-to-Be-Hidden-2019-Research-Report_Food-Bank-For-New-York-City-11.25.19.pdf" TargetMode="External"/><Relationship Id="rId36" Type="http://schemas.openxmlformats.org/officeDocument/2006/relationships/hyperlink" Target="https://spectrumlocalnews.com/nys/buffalo/news/2023/02/01/new-york-s-seniors--low-income-families-prepare-for-end-of-snap-emergency-benefit" TargetMode="External"/><Relationship Id="rId10" Type="http://schemas.openxmlformats.org/officeDocument/2006/relationships/hyperlink" Target="https://www.foodbanknyc.org/research-reports/" TargetMode="External"/><Relationship Id="rId19" Type="http://schemas.openxmlformats.org/officeDocument/2006/relationships/hyperlink" Target="https://data.cityofnewyork.us/Social-Services/Borough-Community-District-Report-SNAP-Population/jye8-4d7" TargetMode="External"/><Relationship Id="rId31" Type="http://schemas.openxmlformats.org/officeDocument/2006/relationships/hyperlink" Target="https://frac.org/wp-content/uploads/senior_facts_NY.pdf" TargetMode="External"/><Relationship Id="rId4" Type="http://schemas.openxmlformats.org/officeDocument/2006/relationships/hyperlink" Target="https://www.census.gov/quickfacts/fact/table/NY/IPE120221" TargetMode="External"/><Relationship Id="rId9" Type="http://schemas.openxmlformats.org/officeDocument/2006/relationships/hyperlink" Target="https://www.feedingamerica.org/hunger-in-america/new-york" TargetMode="External"/><Relationship Id="rId14" Type="http://schemas.openxmlformats.org/officeDocument/2006/relationships/hyperlink" Target="http://www.cbpp.org/research/a-quick-guide-to-snap-eligibility-and-benefits" TargetMode="External"/><Relationship Id="rId22" Type="http://schemas.openxmlformats.org/officeDocument/2006/relationships/hyperlink" Target="https://www.cbpp.org/research/food-assistance/understanding-the-impact-of-the-end-of-the-public-health-emergency-and" TargetMode="External"/><Relationship Id="rId27" Type="http://schemas.openxmlformats.org/officeDocument/2006/relationships/hyperlink" Target="https://www.nyc.gov/assets/hra/downloads/pdf/services/efap/CFC_ACTIVE.pdf" TargetMode="External"/><Relationship Id="rId30" Type="http://schemas.openxmlformats.org/officeDocument/2006/relationships/hyperlink" Target="https://uploads.prod01.oregon.platform-os.com/instances/542/assets/(FINAL)%20105%20-%20Food%20Insecurity%20Report%20-%20AS%20%20.pdf?updated=1664983862" TargetMode="External"/><Relationship Id="rId35" Type="http://schemas.openxmlformats.org/officeDocument/2006/relationships/hyperlink" Target="https://www.nydailynews.com/new-york/ny-pandemic-grocery-help-snap-ending-20230228-tjkci34u55cdvdsdx6wqwcsmja-story.html" TargetMode="External"/><Relationship Id="rId8" Type="http://schemas.openxmlformats.org/officeDocument/2006/relationships/hyperlink" Target="https://www.foodbanknyc.org/research-reports/" TargetMode="External"/><Relationship Id="rId3" Type="http://schemas.openxmlformats.org/officeDocument/2006/relationships/hyperlink" Target="https://static1.squarespace.com/static/610831a16c95260dbd68934a/t/6113f3b27a11e63e811521a9/1628697527573/POVERTY_TRACKER_REPORT25.pdf"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en-US" sz="1200" b="1">
                <a:solidFill>
                  <a:sysClr val="windowText" lastClr="000000"/>
                </a:solidFill>
              </a:rPr>
              <a:t>SNAP Recipients,</a:t>
            </a:r>
            <a:r>
              <a:rPr lang="en-US" sz="1200" b="1" baseline="0">
                <a:solidFill>
                  <a:sysClr val="windowText" lastClr="000000"/>
                </a:solidFill>
              </a:rPr>
              <a:t> Over the Past 10 Years</a:t>
            </a:r>
            <a:endParaRPr lang="en-US" sz="1200" b="1">
              <a:solidFill>
                <a:sysClr val="windowText" lastClr="000000"/>
              </a:solidFill>
            </a:endParaRPr>
          </a:p>
        </c:rich>
      </c:tx>
      <c:layout/>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4"/>
          <c:order val="0"/>
          <c:spPr>
            <a:ln w="28575" cap="rnd">
              <a:solidFill>
                <a:schemeClr val="accent1"/>
              </a:solidFill>
              <a:round/>
            </a:ln>
            <a:effectLst/>
          </c:spPr>
          <c:marker>
            <c:symbol val="none"/>
          </c:marker>
          <c:dPt>
            <c:idx val="72"/>
            <c:marker>
              <c:symbol val="none"/>
            </c:marker>
            <c:bubble3D val="0"/>
            <c:extLst xmlns:c15="http://schemas.microsoft.com/office/drawing/2012/chart">
              <c:ext xmlns:c16="http://schemas.microsoft.com/office/drawing/2014/chart" uri="{C3380CC4-5D6E-409C-BE32-E72D297353CC}">
                <c16:uniqueId val="{00000000-0EBC-413A-9759-44F9D7666649}"/>
              </c:ext>
            </c:extLst>
          </c:dPt>
          <c:dPt>
            <c:idx val="144"/>
            <c:marker>
              <c:symbol val="none"/>
            </c:marker>
            <c:bubble3D val="0"/>
            <c:extLst xmlns:c15="http://schemas.microsoft.com/office/drawing/2012/chart">
              <c:ext xmlns:c16="http://schemas.microsoft.com/office/drawing/2014/chart" uri="{C3380CC4-5D6E-409C-BE32-E72D297353CC}">
                <c16:uniqueId val="{00000001-0EBC-413A-9759-44F9D7666649}"/>
              </c:ext>
            </c:extLst>
          </c:dPt>
          <c:dPt>
            <c:idx val="155"/>
            <c:marker>
              <c:symbol val="none"/>
            </c:marker>
            <c:bubble3D val="0"/>
            <c:extLst xmlns:c15="http://schemas.microsoft.com/office/drawing/2012/chart">
              <c:ext xmlns:c16="http://schemas.microsoft.com/office/drawing/2014/chart" uri="{C3380CC4-5D6E-409C-BE32-E72D297353CC}">
                <c16:uniqueId val="{00000002-0EBC-413A-9759-44F9D7666649}"/>
              </c:ext>
            </c:extLst>
          </c:dPt>
          <c:dPt>
            <c:idx val="156"/>
            <c:marker>
              <c:symbol val="none"/>
            </c:marker>
            <c:bubble3D val="0"/>
            <c:extLst xmlns:c15="http://schemas.microsoft.com/office/drawing/2012/chart">
              <c:ext xmlns:c16="http://schemas.microsoft.com/office/drawing/2014/chart" uri="{C3380CC4-5D6E-409C-BE32-E72D297353CC}">
                <c16:uniqueId val="{00000003-0EBC-413A-9759-44F9D7666649}"/>
              </c:ext>
            </c:extLst>
          </c:dPt>
          <c:cat>
            <c:numRef>
              <c:f>'SNAP Recipients'!$A$45:$A$178</c:f>
              <c:numCache>
                <c:formatCode>m/d/yyyy</c:formatCode>
                <c:ptCount val="134"/>
                <c:pt idx="0">
                  <c:v>40909</c:v>
                </c:pt>
                <c:pt idx="1">
                  <c:v>40940</c:v>
                </c:pt>
                <c:pt idx="2">
                  <c:v>40969</c:v>
                </c:pt>
                <c:pt idx="3">
                  <c:v>41000</c:v>
                </c:pt>
                <c:pt idx="4">
                  <c:v>41030</c:v>
                </c:pt>
                <c:pt idx="5">
                  <c:v>41061</c:v>
                </c:pt>
                <c:pt idx="6">
                  <c:v>41091</c:v>
                </c:pt>
                <c:pt idx="7">
                  <c:v>41122</c:v>
                </c:pt>
                <c:pt idx="8">
                  <c:v>41153</c:v>
                </c:pt>
                <c:pt idx="9">
                  <c:v>41183</c:v>
                </c:pt>
                <c:pt idx="10">
                  <c:v>41214</c:v>
                </c:pt>
                <c:pt idx="11">
                  <c:v>41244</c:v>
                </c:pt>
                <c:pt idx="12">
                  <c:v>41275</c:v>
                </c:pt>
                <c:pt idx="13">
                  <c:v>41306</c:v>
                </c:pt>
                <c:pt idx="14">
                  <c:v>41334</c:v>
                </c:pt>
                <c:pt idx="15">
                  <c:v>41365</c:v>
                </c:pt>
                <c:pt idx="16">
                  <c:v>41395</c:v>
                </c:pt>
                <c:pt idx="17">
                  <c:v>41426</c:v>
                </c:pt>
                <c:pt idx="18">
                  <c:v>41456</c:v>
                </c:pt>
                <c:pt idx="19">
                  <c:v>41487</c:v>
                </c:pt>
                <c:pt idx="20">
                  <c:v>41518</c:v>
                </c:pt>
                <c:pt idx="21">
                  <c:v>41548</c:v>
                </c:pt>
                <c:pt idx="22">
                  <c:v>41579</c:v>
                </c:pt>
                <c:pt idx="23">
                  <c:v>41609</c:v>
                </c:pt>
                <c:pt idx="24">
                  <c:v>41640</c:v>
                </c:pt>
                <c:pt idx="25">
                  <c:v>41671</c:v>
                </c:pt>
                <c:pt idx="26">
                  <c:v>41699</c:v>
                </c:pt>
                <c:pt idx="27">
                  <c:v>41730</c:v>
                </c:pt>
                <c:pt idx="28">
                  <c:v>41760</c:v>
                </c:pt>
                <c:pt idx="29">
                  <c:v>41791</c:v>
                </c:pt>
                <c:pt idx="30">
                  <c:v>41821</c:v>
                </c:pt>
                <c:pt idx="31">
                  <c:v>41852</c:v>
                </c:pt>
                <c:pt idx="32">
                  <c:v>41883</c:v>
                </c:pt>
                <c:pt idx="33">
                  <c:v>41913</c:v>
                </c:pt>
                <c:pt idx="34">
                  <c:v>41944</c:v>
                </c:pt>
                <c:pt idx="35">
                  <c:v>41974</c:v>
                </c:pt>
                <c:pt idx="36">
                  <c:v>42005</c:v>
                </c:pt>
                <c:pt idx="37">
                  <c:v>42036</c:v>
                </c:pt>
                <c:pt idx="38">
                  <c:v>42064</c:v>
                </c:pt>
                <c:pt idx="39">
                  <c:v>42095</c:v>
                </c:pt>
                <c:pt idx="40">
                  <c:v>42125</c:v>
                </c:pt>
                <c:pt idx="41">
                  <c:v>42156</c:v>
                </c:pt>
                <c:pt idx="42">
                  <c:v>42186</c:v>
                </c:pt>
                <c:pt idx="43">
                  <c:v>42217</c:v>
                </c:pt>
                <c:pt idx="44">
                  <c:v>42248</c:v>
                </c:pt>
                <c:pt idx="45">
                  <c:v>42278</c:v>
                </c:pt>
                <c:pt idx="46">
                  <c:v>42309</c:v>
                </c:pt>
                <c:pt idx="47">
                  <c:v>42339</c:v>
                </c:pt>
                <c:pt idx="48">
                  <c:v>42370</c:v>
                </c:pt>
                <c:pt idx="49">
                  <c:v>42401</c:v>
                </c:pt>
                <c:pt idx="50">
                  <c:v>42430</c:v>
                </c:pt>
                <c:pt idx="51">
                  <c:v>42461</c:v>
                </c:pt>
                <c:pt idx="52">
                  <c:v>42491</c:v>
                </c:pt>
                <c:pt idx="53">
                  <c:v>42522</c:v>
                </c:pt>
                <c:pt idx="54">
                  <c:v>42552</c:v>
                </c:pt>
                <c:pt idx="55">
                  <c:v>42583</c:v>
                </c:pt>
                <c:pt idx="56">
                  <c:v>42614</c:v>
                </c:pt>
                <c:pt idx="57">
                  <c:v>42644</c:v>
                </c:pt>
                <c:pt idx="58">
                  <c:v>42675</c:v>
                </c:pt>
                <c:pt idx="59">
                  <c:v>42705</c:v>
                </c:pt>
                <c:pt idx="60">
                  <c:v>42736</c:v>
                </c:pt>
                <c:pt idx="61">
                  <c:v>42767</c:v>
                </c:pt>
                <c:pt idx="62">
                  <c:v>42795</c:v>
                </c:pt>
                <c:pt idx="63">
                  <c:v>42826</c:v>
                </c:pt>
                <c:pt idx="64">
                  <c:v>42856</c:v>
                </c:pt>
                <c:pt idx="65">
                  <c:v>42887</c:v>
                </c:pt>
                <c:pt idx="66">
                  <c:v>42917</c:v>
                </c:pt>
                <c:pt idx="67">
                  <c:v>42948</c:v>
                </c:pt>
                <c:pt idx="68">
                  <c:v>42979</c:v>
                </c:pt>
                <c:pt idx="69">
                  <c:v>43009</c:v>
                </c:pt>
                <c:pt idx="70">
                  <c:v>43040</c:v>
                </c:pt>
                <c:pt idx="71">
                  <c:v>43070</c:v>
                </c:pt>
                <c:pt idx="72">
                  <c:v>43101</c:v>
                </c:pt>
                <c:pt idx="73">
                  <c:v>43132</c:v>
                </c:pt>
                <c:pt idx="74">
                  <c:v>43160</c:v>
                </c:pt>
                <c:pt idx="75">
                  <c:v>43191</c:v>
                </c:pt>
                <c:pt idx="76">
                  <c:v>43221</c:v>
                </c:pt>
                <c:pt idx="77">
                  <c:v>43252</c:v>
                </c:pt>
                <c:pt idx="78">
                  <c:v>43282</c:v>
                </c:pt>
                <c:pt idx="79">
                  <c:v>43313</c:v>
                </c:pt>
                <c:pt idx="80">
                  <c:v>43344</c:v>
                </c:pt>
                <c:pt idx="81">
                  <c:v>43374</c:v>
                </c:pt>
                <c:pt idx="82">
                  <c:v>43405</c:v>
                </c:pt>
                <c:pt idx="83">
                  <c:v>43435</c:v>
                </c:pt>
                <c:pt idx="84">
                  <c:v>43466</c:v>
                </c:pt>
                <c:pt idx="85">
                  <c:v>43497</c:v>
                </c:pt>
                <c:pt idx="86">
                  <c:v>43525</c:v>
                </c:pt>
                <c:pt idx="87">
                  <c:v>43556</c:v>
                </c:pt>
                <c:pt idx="88">
                  <c:v>43586</c:v>
                </c:pt>
                <c:pt idx="89">
                  <c:v>43617</c:v>
                </c:pt>
                <c:pt idx="90">
                  <c:v>43647</c:v>
                </c:pt>
                <c:pt idx="91">
                  <c:v>43678</c:v>
                </c:pt>
                <c:pt idx="92">
                  <c:v>43709</c:v>
                </c:pt>
                <c:pt idx="93">
                  <c:v>43739</c:v>
                </c:pt>
                <c:pt idx="94">
                  <c:v>43770</c:v>
                </c:pt>
                <c:pt idx="95">
                  <c:v>43800</c:v>
                </c:pt>
                <c:pt idx="96">
                  <c:v>43831</c:v>
                </c:pt>
                <c:pt idx="97">
                  <c:v>43862</c:v>
                </c:pt>
                <c:pt idx="98">
                  <c:v>43891</c:v>
                </c:pt>
                <c:pt idx="99">
                  <c:v>43922</c:v>
                </c:pt>
                <c:pt idx="100">
                  <c:v>43952</c:v>
                </c:pt>
                <c:pt idx="101">
                  <c:v>43983</c:v>
                </c:pt>
                <c:pt idx="102">
                  <c:v>44013</c:v>
                </c:pt>
                <c:pt idx="103">
                  <c:v>44044</c:v>
                </c:pt>
                <c:pt idx="104">
                  <c:v>44075</c:v>
                </c:pt>
                <c:pt idx="105">
                  <c:v>44105</c:v>
                </c:pt>
                <c:pt idx="106">
                  <c:v>44136</c:v>
                </c:pt>
                <c:pt idx="107">
                  <c:v>44166</c:v>
                </c:pt>
                <c:pt idx="108">
                  <c:v>44197</c:v>
                </c:pt>
                <c:pt idx="109">
                  <c:v>44228</c:v>
                </c:pt>
                <c:pt idx="110">
                  <c:v>44256</c:v>
                </c:pt>
                <c:pt idx="111">
                  <c:v>44287</c:v>
                </c:pt>
                <c:pt idx="112">
                  <c:v>44317</c:v>
                </c:pt>
                <c:pt idx="113">
                  <c:v>44348</c:v>
                </c:pt>
                <c:pt idx="114">
                  <c:v>44378</c:v>
                </c:pt>
                <c:pt idx="115">
                  <c:v>44409</c:v>
                </c:pt>
                <c:pt idx="116">
                  <c:v>44440</c:v>
                </c:pt>
                <c:pt idx="117">
                  <c:v>44470</c:v>
                </c:pt>
                <c:pt idx="118">
                  <c:v>44501</c:v>
                </c:pt>
                <c:pt idx="119">
                  <c:v>44531</c:v>
                </c:pt>
                <c:pt idx="120">
                  <c:v>44562</c:v>
                </c:pt>
                <c:pt idx="121">
                  <c:v>44593</c:v>
                </c:pt>
                <c:pt idx="122">
                  <c:v>44621</c:v>
                </c:pt>
                <c:pt idx="123">
                  <c:v>44652</c:v>
                </c:pt>
                <c:pt idx="124">
                  <c:v>44682</c:v>
                </c:pt>
                <c:pt idx="125">
                  <c:v>44713</c:v>
                </c:pt>
                <c:pt idx="126">
                  <c:v>44743</c:v>
                </c:pt>
                <c:pt idx="127">
                  <c:v>44774</c:v>
                </c:pt>
                <c:pt idx="128">
                  <c:v>44805</c:v>
                </c:pt>
                <c:pt idx="129">
                  <c:v>44835</c:v>
                </c:pt>
                <c:pt idx="130">
                  <c:v>44866</c:v>
                </c:pt>
                <c:pt idx="131">
                  <c:v>44896</c:v>
                </c:pt>
                <c:pt idx="132">
                  <c:v>44927</c:v>
                </c:pt>
                <c:pt idx="133">
                  <c:v>44958</c:v>
                </c:pt>
              </c:numCache>
            </c:numRef>
          </c:cat>
          <c:val>
            <c:numRef>
              <c:f>'SNAP Recipients'!$B$45:$B$178</c:f>
              <c:numCache>
                <c:formatCode>#,##0</c:formatCode>
                <c:ptCount val="134"/>
                <c:pt idx="0">
                  <c:v>1815175</c:v>
                </c:pt>
                <c:pt idx="1">
                  <c:v>1811369</c:v>
                </c:pt>
                <c:pt idx="2">
                  <c:v>1821023</c:v>
                </c:pt>
                <c:pt idx="3">
                  <c:v>1810179</c:v>
                </c:pt>
                <c:pt idx="4">
                  <c:v>1825013</c:v>
                </c:pt>
                <c:pt idx="5">
                  <c:v>1834161</c:v>
                </c:pt>
                <c:pt idx="6">
                  <c:v>1837299</c:v>
                </c:pt>
                <c:pt idx="7">
                  <c:v>1844896</c:v>
                </c:pt>
                <c:pt idx="8">
                  <c:v>1836249</c:v>
                </c:pt>
                <c:pt idx="9">
                  <c:v>1838911</c:v>
                </c:pt>
                <c:pt idx="10">
                  <c:v>1864472</c:v>
                </c:pt>
                <c:pt idx="11">
                  <c:v>1906610</c:v>
                </c:pt>
                <c:pt idx="12">
                  <c:v>1864854</c:v>
                </c:pt>
                <c:pt idx="13">
                  <c:v>1858529</c:v>
                </c:pt>
                <c:pt idx="14">
                  <c:v>1872945</c:v>
                </c:pt>
                <c:pt idx="15">
                  <c:v>1872839</c:v>
                </c:pt>
                <c:pt idx="16">
                  <c:v>1871135</c:v>
                </c:pt>
                <c:pt idx="17">
                  <c:v>1873527</c:v>
                </c:pt>
                <c:pt idx="18">
                  <c:v>1880790</c:v>
                </c:pt>
                <c:pt idx="19">
                  <c:v>1869226</c:v>
                </c:pt>
                <c:pt idx="20">
                  <c:v>1855649</c:v>
                </c:pt>
                <c:pt idx="21">
                  <c:v>1850432</c:v>
                </c:pt>
                <c:pt idx="22">
                  <c:v>1836252</c:v>
                </c:pt>
                <c:pt idx="23">
                  <c:v>1838337</c:v>
                </c:pt>
                <c:pt idx="24">
                  <c:v>1821535</c:v>
                </c:pt>
                <c:pt idx="25">
                  <c:v>1785876</c:v>
                </c:pt>
                <c:pt idx="26">
                  <c:v>1769583</c:v>
                </c:pt>
                <c:pt idx="27">
                  <c:v>1762745</c:v>
                </c:pt>
                <c:pt idx="28">
                  <c:v>1758889</c:v>
                </c:pt>
                <c:pt idx="29">
                  <c:v>1755806</c:v>
                </c:pt>
                <c:pt idx="30">
                  <c:v>1751949</c:v>
                </c:pt>
                <c:pt idx="31">
                  <c:v>1743729</c:v>
                </c:pt>
                <c:pt idx="32">
                  <c:v>1739660</c:v>
                </c:pt>
                <c:pt idx="33">
                  <c:v>1738405</c:v>
                </c:pt>
                <c:pt idx="34">
                  <c:v>1732347</c:v>
                </c:pt>
                <c:pt idx="35">
                  <c:v>1742730</c:v>
                </c:pt>
                <c:pt idx="36">
                  <c:v>1722856</c:v>
                </c:pt>
                <c:pt idx="37">
                  <c:v>1716588</c:v>
                </c:pt>
                <c:pt idx="38">
                  <c:v>1716035</c:v>
                </c:pt>
                <c:pt idx="39">
                  <c:v>1709929</c:v>
                </c:pt>
                <c:pt idx="40">
                  <c:v>1701527</c:v>
                </c:pt>
                <c:pt idx="41">
                  <c:v>1706657</c:v>
                </c:pt>
                <c:pt idx="42">
                  <c:v>1699730</c:v>
                </c:pt>
                <c:pt idx="43">
                  <c:v>1692560</c:v>
                </c:pt>
                <c:pt idx="44">
                  <c:v>1696174</c:v>
                </c:pt>
                <c:pt idx="45">
                  <c:v>1694576</c:v>
                </c:pt>
                <c:pt idx="46">
                  <c:v>1686941</c:v>
                </c:pt>
                <c:pt idx="47">
                  <c:v>1688470</c:v>
                </c:pt>
                <c:pt idx="48">
                  <c:v>1676822</c:v>
                </c:pt>
                <c:pt idx="49">
                  <c:v>1679814</c:v>
                </c:pt>
                <c:pt idx="50">
                  <c:v>1678033</c:v>
                </c:pt>
                <c:pt idx="51">
                  <c:v>1677093</c:v>
                </c:pt>
                <c:pt idx="52">
                  <c:v>1694747</c:v>
                </c:pt>
                <c:pt idx="53">
                  <c:v>1693156</c:v>
                </c:pt>
                <c:pt idx="54">
                  <c:v>1690283</c:v>
                </c:pt>
                <c:pt idx="55">
                  <c:v>1707718</c:v>
                </c:pt>
                <c:pt idx="56">
                  <c:v>1702125</c:v>
                </c:pt>
                <c:pt idx="57">
                  <c:v>1692789</c:v>
                </c:pt>
                <c:pt idx="58">
                  <c:v>1698133</c:v>
                </c:pt>
                <c:pt idx="59">
                  <c:v>1698771</c:v>
                </c:pt>
                <c:pt idx="60">
                  <c:v>1696761</c:v>
                </c:pt>
                <c:pt idx="61">
                  <c:v>1678623</c:v>
                </c:pt>
                <c:pt idx="62">
                  <c:v>1682786</c:v>
                </c:pt>
                <c:pt idx="63">
                  <c:v>1669824</c:v>
                </c:pt>
                <c:pt idx="64">
                  <c:v>1682555</c:v>
                </c:pt>
                <c:pt idx="65">
                  <c:v>1676347</c:v>
                </c:pt>
                <c:pt idx="66">
                  <c:v>1670141</c:v>
                </c:pt>
                <c:pt idx="67">
                  <c:v>1662817</c:v>
                </c:pt>
                <c:pt idx="68">
                  <c:v>1655650</c:v>
                </c:pt>
                <c:pt idx="69">
                  <c:v>1636416</c:v>
                </c:pt>
                <c:pt idx="70">
                  <c:v>1640403</c:v>
                </c:pt>
                <c:pt idx="71">
                  <c:v>1635635</c:v>
                </c:pt>
                <c:pt idx="72">
                  <c:v>1635537</c:v>
                </c:pt>
                <c:pt idx="73">
                  <c:v>1620356</c:v>
                </c:pt>
                <c:pt idx="74">
                  <c:v>1633962</c:v>
                </c:pt>
                <c:pt idx="75">
                  <c:v>1618824</c:v>
                </c:pt>
                <c:pt idx="76">
                  <c:v>1618164</c:v>
                </c:pt>
                <c:pt idx="77">
                  <c:v>1607466</c:v>
                </c:pt>
                <c:pt idx="78">
                  <c:v>1603658</c:v>
                </c:pt>
                <c:pt idx="79">
                  <c:v>1604622</c:v>
                </c:pt>
                <c:pt idx="80">
                  <c:v>1594530</c:v>
                </c:pt>
                <c:pt idx="81">
                  <c:v>1590812</c:v>
                </c:pt>
                <c:pt idx="82">
                  <c:v>1577524</c:v>
                </c:pt>
                <c:pt idx="83">
                  <c:v>1571790</c:v>
                </c:pt>
                <c:pt idx="84">
                  <c:v>1570537</c:v>
                </c:pt>
                <c:pt idx="85">
                  <c:v>1564537</c:v>
                </c:pt>
                <c:pt idx="86">
                  <c:v>1561666</c:v>
                </c:pt>
                <c:pt idx="87">
                  <c:v>1550397</c:v>
                </c:pt>
                <c:pt idx="88">
                  <c:v>1535328</c:v>
                </c:pt>
                <c:pt idx="89">
                  <c:v>1523502</c:v>
                </c:pt>
                <c:pt idx="90">
                  <c:v>1519574</c:v>
                </c:pt>
                <c:pt idx="91">
                  <c:v>1511568</c:v>
                </c:pt>
                <c:pt idx="92">
                  <c:v>1503369</c:v>
                </c:pt>
                <c:pt idx="93">
                  <c:v>1492469</c:v>
                </c:pt>
                <c:pt idx="94">
                  <c:v>1493365</c:v>
                </c:pt>
                <c:pt idx="95">
                  <c:v>1490158</c:v>
                </c:pt>
                <c:pt idx="96">
                  <c:v>1487820</c:v>
                </c:pt>
                <c:pt idx="97">
                  <c:v>1481257</c:v>
                </c:pt>
                <c:pt idx="98">
                  <c:v>1483230</c:v>
                </c:pt>
                <c:pt idx="99">
                  <c:v>1551944</c:v>
                </c:pt>
                <c:pt idx="100">
                  <c:v>1589098</c:v>
                </c:pt>
                <c:pt idx="101">
                  <c:v>1642256</c:v>
                </c:pt>
                <c:pt idx="102">
                  <c:v>1664464</c:v>
                </c:pt>
                <c:pt idx="103">
                  <c:v>1683674</c:v>
                </c:pt>
                <c:pt idx="104">
                  <c:v>1705337</c:v>
                </c:pt>
                <c:pt idx="105">
                  <c:v>1694036</c:v>
                </c:pt>
                <c:pt idx="106">
                  <c:v>1635286</c:v>
                </c:pt>
                <c:pt idx="107">
                  <c:v>1645956</c:v>
                </c:pt>
                <c:pt idx="108">
                  <c:v>1664807</c:v>
                </c:pt>
                <c:pt idx="109">
                  <c:v>1663125</c:v>
                </c:pt>
                <c:pt idx="110">
                  <c:v>1688057</c:v>
                </c:pt>
                <c:pt idx="111">
                  <c:v>1720400</c:v>
                </c:pt>
                <c:pt idx="112">
                  <c:v>1720443</c:v>
                </c:pt>
                <c:pt idx="113">
                  <c:v>1734160</c:v>
                </c:pt>
                <c:pt idx="114">
                  <c:v>1708727</c:v>
                </c:pt>
                <c:pt idx="115">
                  <c:v>1692686</c:v>
                </c:pt>
                <c:pt idx="116">
                  <c:v>1688738</c:v>
                </c:pt>
                <c:pt idx="117">
                  <c:v>1669658</c:v>
                </c:pt>
                <c:pt idx="118">
                  <c:v>1670259</c:v>
                </c:pt>
                <c:pt idx="119">
                  <c:v>1661199</c:v>
                </c:pt>
                <c:pt idx="120">
                  <c:v>1680144</c:v>
                </c:pt>
                <c:pt idx="121">
                  <c:v>1698693</c:v>
                </c:pt>
                <c:pt idx="122">
                  <c:v>1723618</c:v>
                </c:pt>
                <c:pt idx="123">
                  <c:v>1717524</c:v>
                </c:pt>
                <c:pt idx="124">
                  <c:v>1719652</c:v>
                </c:pt>
                <c:pt idx="125">
                  <c:v>1713373</c:v>
                </c:pt>
                <c:pt idx="126">
                  <c:v>1735517</c:v>
                </c:pt>
                <c:pt idx="127">
                  <c:v>1731318</c:v>
                </c:pt>
                <c:pt idx="128">
                  <c:v>1707485</c:v>
                </c:pt>
                <c:pt idx="129">
                  <c:v>1687963</c:v>
                </c:pt>
                <c:pt idx="130">
                  <c:v>1692031</c:v>
                </c:pt>
                <c:pt idx="131">
                  <c:v>1733885</c:v>
                </c:pt>
                <c:pt idx="132">
                  <c:v>1767422</c:v>
                </c:pt>
                <c:pt idx="133">
                  <c:v>1754927</c:v>
                </c:pt>
              </c:numCache>
            </c:numRef>
          </c:val>
          <c:smooth val="0"/>
          <c:extLst xmlns:c15="http://schemas.microsoft.com/office/drawing/2012/chart">
            <c:ext xmlns:c16="http://schemas.microsoft.com/office/drawing/2014/chart" uri="{C3380CC4-5D6E-409C-BE32-E72D297353CC}">
              <c16:uniqueId val="{00000004-0EBC-413A-9759-44F9D7666649}"/>
            </c:ext>
          </c:extLst>
        </c:ser>
        <c:dLbls>
          <c:showLegendKey val="0"/>
          <c:showVal val="0"/>
          <c:showCatName val="0"/>
          <c:showSerName val="0"/>
          <c:showPercent val="0"/>
          <c:showBubbleSize val="0"/>
        </c:dLbls>
        <c:smooth val="0"/>
        <c:axId val="316626464"/>
        <c:axId val="316629792"/>
        <c:extLst/>
      </c:lineChart>
      <c:dateAx>
        <c:axId val="31662646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sz="800" i="1">
                    <a:solidFill>
                      <a:sysClr val="windowText" lastClr="000000"/>
                    </a:solidFill>
                  </a:rPr>
                  <a:t>Source: NYC Open</a:t>
                </a:r>
                <a:r>
                  <a:rPr lang="en-US" sz="800" i="1" baseline="0">
                    <a:solidFill>
                      <a:sysClr val="windowText" lastClr="000000"/>
                    </a:solidFill>
                  </a:rPr>
                  <a:t> Data and HRA Monthly Fact Sheet</a:t>
                </a:r>
              </a:p>
            </c:rich>
          </c:tx>
          <c:layout>
            <c:manualLayout>
              <c:xMode val="edge"/>
              <c:yMode val="edge"/>
              <c:x val="9.6934591639994839E-3"/>
              <c:y val="0.94749378672798634"/>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yy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316629792"/>
        <c:crosses val="autoZero"/>
        <c:auto val="1"/>
        <c:lblOffset val="100"/>
        <c:baseTimeUnit val="months"/>
        <c:majorUnit val="1"/>
        <c:majorTimeUnit val="years"/>
      </c:dateAx>
      <c:valAx>
        <c:axId val="316629792"/>
        <c:scaling>
          <c:orientation val="minMax"/>
          <c:min val="120000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3166264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0.74321</cdr:x>
      <cdr:y>0.07345</cdr:y>
    </cdr:from>
    <cdr:to>
      <cdr:x>0.74713</cdr:x>
      <cdr:y>0.86991</cdr:y>
    </cdr:to>
    <cdr:cxnSp macro="">
      <cdr:nvCxnSpPr>
        <cdr:cNvPr id="3" name="Straight Connector 2"/>
        <cdr:cNvCxnSpPr/>
      </cdr:nvCxnSpPr>
      <cdr:spPr>
        <a:xfrm xmlns:a="http://schemas.openxmlformats.org/drawingml/2006/main" flipH="1">
          <a:off x="5419725" y="316231"/>
          <a:ext cx="28575" cy="3429000"/>
        </a:xfrm>
        <a:prstGeom xmlns:a="http://schemas.openxmlformats.org/drawingml/2006/main" prst="line">
          <a:avLst/>
        </a:prstGeom>
        <a:ln xmlns:a="http://schemas.openxmlformats.org/drawingml/2006/main">
          <a:solidFill>
            <a:schemeClr val="bg1">
              <a:lumMod val="50000"/>
            </a:schemeClr>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0.40667</cdr:x>
      <cdr:y>0.19316</cdr:y>
    </cdr:from>
    <cdr:to>
      <cdr:x>0.74233</cdr:x>
      <cdr:y>0.2697</cdr:y>
    </cdr:to>
    <cdr:sp macro="" textlink="">
      <cdr:nvSpPr>
        <cdr:cNvPr id="2" name="Text Box 1"/>
        <cdr:cNvSpPr txBox="1"/>
      </cdr:nvSpPr>
      <cdr:spPr>
        <a:xfrm xmlns:a="http://schemas.openxmlformats.org/drawingml/2006/main">
          <a:off x="2417085" y="677807"/>
          <a:ext cx="1995055" cy="26856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US" sz="1000" i="1"/>
            <a:t>Start</a:t>
          </a:r>
          <a:r>
            <a:rPr lang="en-US" sz="1000" i="1" baseline="0"/>
            <a:t> of the COVID-19 pandemic </a:t>
          </a:r>
          <a:r>
            <a:rPr lang="en-US" sz="1000" i="1">
              <a:solidFill>
                <a:schemeClr val="dk1"/>
              </a:solidFill>
              <a:effectLst/>
              <a:latin typeface="+mn-lt"/>
              <a:ea typeface="+mn-ea"/>
              <a:cs typeface="+mn-cs"/>
              <a:sym typeface="Wingdings" panose="05000000000000000000" pitchFamily="2" charset="2"/>
            </a:rPr>
            <a:t></a:t>
          </a:r>
          <a:endParaRPr lang="en-US" sz="1000" i="1"/>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B13DF2F2F924C45BE2DC96C0B0B1202" ma:contentTypeVersion="8" ma:contentTypeDescription="Create a new document." ma:contentTypeScope="" ma:versionID="dcc5d74bb33d5bff4d5bf3a5dbf3ceca">
  <xsd:schema xmlns:xsd="http://www.w3.org/2001/XMLSchema" xmlns:xs="http://www.w3.org/2001/XMLSchema" xmlns:p="http://schemas.microsoft.com/office/2006/metadata/properties" xmlns:ns2="630f5d4e-3604-4c8a-aa1d-ce86a9268ab9" targetNamespace="http://schemas.microsoft.com/office/2006/metadata/properties" ma:root="true" ma:fieldsID="8b5542c7309b40baa208598fd1aed5e9" ns2:_="">
    <xsd:import namespace="630f5d4e-3604-4c8a-aa1d-ce86a9268ab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0f5d4e-3604-4c8a-aa1d-ce86a9268a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0B1099C7-0A7A-493B-B008-6122F4BA704B}">
  <ds:schemaRefs>
    <ds:schemaRef ds:uri="http://schemas.microsoft.com/sharepoint/v3/contenttype/forms"/>
  </ds:schemaRefs>
</ds:datastoreItem>
</file>

<file path=customXml/itemProps2.xml><?xml version="1.0" encoding="utf-8"?>
<ds:datastoreItem xmlns:ds="http://schemas.openxmlformats.org/officeDocument/2006/customXml" ds:itemID="{718897F7-1EA6-475F-9A0C-64E504C63C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0f5d4e-3604-4c8a-aa1d-ce86a9268a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6F4D42-881D-4B79-B308-C633DA825C4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FF701D0-4414-44B9-AC9F-48D10E3DA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4720</Words>
  <Characters>26906</Characters>
  <Application>Microsoft Office Word</Application>
  <DocSecurity>4</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Aminta Kilawan</dc:creator>
  <cp:keywords/>
  <dc:description/>
  <cp:lastModifiedBy>DelFranco, Ruthie</cp:lastModifiedBy>
  <cp:revision>2</cp:revision>
  <cp:lastPrinted>2023-04-17T21:42:00Z</cp:lastPrinted>
  <dcterms:created xsi:type="dcterms:W3CDTF">2023-04-18T16:23:00Z</dcterms:created>
  <dcterms:modified xsi:type="dcterms:W3CDTF">2023-04-18T16:23:00Z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0x0101007B13DF2F2F924C45BE2DC96C0B0B1202</vt:lpwstr>
  </property>
</Properties>
</file>