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390F88" w:rsidTr="00A75E43">
        <w:trPr>
          <w:jc w:val="center"/>
        </w:trPr>
        <w:tc>
          <w:tcPr>
            <w:tcW w:w="6006" w:type="dxa"/>
            <w:tcBorders>
              <w:top w:val="nil"/>
              <w:left w:val="nil"/>
              <w:bottom w:val="single" w:sz="4" w:space="0" w:color="auto"/>
              <w:right w:val="nil"/>
            </w:tcBorders>
          </w:tcPr>
          <w:p w:rsidR="00390F88" w:rsidRDefault="00390F88" w:rsidP="00A75E43">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CF16D05" wp14:editId="44F014FC">
                  <wp:extent cx="1363345" cy="137160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l="-1396" t="-970" r="-1396" b="-970"/>
                          <a:stretch>
                            <a:fillRect/>
                          </a:stretch>
                        </pic:blipFill>
                        <pic:spPr>
                          <a:xfrm>
                            <a:off x="0" y="0"/>
                            <a:ext cx="1363345" cy="1371600"/>
                          </a:xfrm>
                          <a:prstGeom prst="rect">
                            <a:avLst/>
                          </a:prstGeom>
                        </pic:spPr>
                      </pic:pic>
                    </a:graphicData>
                  </a:graphic>
                </wp:inline>
              </w:drawing>
            </w:r>
          </w:p>
          <w:p w:rsidR="00390F88" w:rsidRDefault="00390F88" w:rsidP="00A75E43"/>
        </w:tc>
        <w:tc>
          <w:tcPr>
            <w:tcW w:w="4869" w:type="dxa"/>
            <w:tcBorders>
              <w:top w:val="nil"/>
              <w:left w:val="nil"/>
              <w:bottom w:val="single" w:sz="4" w:space="0" w:color="auto"/>
              <w:right w:val="nil"/>
            </w:tcBorders>
          </w:tcPr>
          <w:p w:rsidR="00390F88" w:rsidRDefault="00390F88" w:rsidP="00A75E43">
            <w:pPr>
              <w:rPr>
                <w:b/>
                <w:bCs/>
                <w:smallCaps/>
              </w:rPr>
            </w:pPr>
            <w:r>
              <w:rPr>
                <w:b/>
                <w:bCs/>
                <w:smallCaps/>
              </w:rPr>
              <w:t>The Council of the City of New York</w:t>
            </w:r>
          </w:p>
          <w:p w:rsidR="00390F88" w:rsidRDefault="00390F88" w:rsidP="00A75E43">
            <w:pPr>
              <w:rPr>
                <w:b/>
                <w:bCs/>
                <w:smallCaps/>
              </w:rPr>
            </w:pPr>
            <w:r>
              <w:rPr>
                <w:b/>
                <w:bCs/>
                <w:smallCaps/>
              </w:rPr>
              <w:t>Finance Division</w:t>
            </w:r>
          </w:p>
          <w:p w:rsidR="00390F88" w:rsidRDefault="00390F88" w:rsidP="00A75E43">
            <w:pPr>
              <w:spacing w:before="120"/>
              <w:rPr>
                <w:b/>
                <w:bCs/>
                <w:smallCaps/>
              </w:rPr>
            </w:pPr>
            <w:r>
              <w:rPr>
                <w:b/>
                <w:bCs/>
                <w:smallCaps/>
              </w:rPr>
              <w:t>Tanisha S. Edwards, Esq., Chief Financial Officer, and Deputy Chief of Staff to the Speaker</w:t>
            </w:r>
          </w:p>
          <w:p w:rsidR="00390F88" w:rsidRDefault="00390F88" w:rsidP="00A75E43">
            <w:pPr>
              <w:spacing w:before="120"/>
              <w:rPr>
                <w:b/>
                <w:bCs/>
                <w:smallCaps/>
              </w:rPr>
            </w:pPr>
            <w:r>
              <w:rPr>
                <w:b/>
                <w:bCs/>
                <w:smallCaps/>
              </w:rPr>
              <w:t>Richard Lee, Director</w:t>
            </w:r>
          </w:p>
          <w:p w:rsidR="00390F88" w:rsidRDefault="00390F88" w:rsidP="00A75E43">
            <w:pPr>
              <w:spacing w:before="120"/>
            </w:pPr>
            <w:r>
              <w:rPr>
                <w:b/>
                <w:bCs/>
                <w:smallCaps/>
              </w:rPr>
              <w:t>Fiscal Impact Statement</w:t>
            </w:r>
          </w:p>
          <w:p w:rsidR="00390F88" w:rsidRDefault="00390F88" w:rsidP="00A75E43">
            <w:pPr>
              <w:rPr>
                <w:b/>
                <w:bCs/>
              </w:rPr>
            </w:pPr>
          </w:p>
          <w:p w:rsidR="00390F88" w:rsidRDefault="00F67945" w:rsidP="00A75E43">
            <w:pPr>
              <w:rPr>
                <w:b/>
                <w:bCs/>
              </w:rPr>
            </w:pPr>
            <w:r>
              <w:rPr>
                <w:b/>
                <w:bCs/>
                <w:smallCaps/>
              </w:rPr>
              <w:t xml:space="preserve">Proposed </w:t>
            </w:r>
            <w:r w:rsidR="00390F88">
              <w:rPr>
                <w:b/>
                <w:bCs/>
                <w:smallCaps/>
              </w:rPr>
              <w:t>Intro. No</w:t>
            </w:r>
            <w:r w:rsidR="00390F88">
              <w:rPr>
                <w:b/>
                <w:bCs/>
              </w:rPr>
              <w:t xml:space="preserve">:  </w:t>
            </w:r>
            <w:r w:rsidR="007F3D44">
              <w:rPr>
                <w:b/>
                <w:bCs/>
              </w:rPr>
              <w:t>675</w:t>
            </w:r>
            <w:r w:rsidR="00390F88">
              <w:rPr>
                <w:b/>
                <w:bCs/>
              </w:rPr>
              <w:t>-A</w:t>
            </w:r>
          </w:p>
          <w:p w:rsidR="00390F88" w:rsidRDefault="00390F88" w:rsidP="00A75E43">
            <w:pPr>
              <w:rPr>
                <w:color w:val="FF0000"/>
                <w:sz w:val="16"/>
                <w:szCs w:val="16"/>
              </w:rPr>
            </w:pPr>
          </w:p>
          <w:p w:rsidR="00390F88" w:rsidRDefault="00390F88" w:rsidP="00390F88">
            <w:pPr>
              <w:tabs>
                <w:tab w:val="left" w:pos="-1440"/>
              </w:tabs>
              <w:spacing w:after="120"/>
              <w:ind w:left="1440" w:hanging="1440"/>
              <w:jc w:val="left"/>
            </w:pPr>
            <w:r>
              <w:rPr>
                <w:b/>
                <w:bCs/>
                <w:smallCaps/>
              </w:rPr>
              <w:t>Committee</w:t>
            </w:r>
            <w:r>
              <w:rPr>
                <w:b/>
                <w:bCs/>
              </w:rPr>
              <w:t>:</w:t>
            </w:r>
            <w:r>
              <w:rPr>
                <w:bCs/>
              </w:rPr>
              <w:t xml:space="preserve"> </w:t>
            </w:r>
            <w:r w:rsidRPr="00257994">
              <w:t>Health</w:t>
            </w:r>
          </w:p>
        </w:tc>
      </w:tr>
      <w:tr w:rsidR="00390F88" w:rsidTr="00A75E43">
        <w:trPr>
          <w:jc w:val="center"/>
        </w:trPr>
        <w:tc>
          <w:tcPr>
            <w:tcW w:w="6006" w:type="dxa"/>
            <w:tcBorders>
              <w:top w:val="single" w:sz="4" w:space="0" w:color="auto"/>
              <w:left w:val="nil"/>
              <w:bottom w:val="nil"/>
              <w:right w:val="nil"/>
            </w:tcBorders>
            <w:hideMark/>
          </w:tcPr>
          <w:p w:rsidR="00390F88" w:rsidRPr="005B2FFE" w:rsidRDefault="00390F88" w:rsidP="00A75E43">
            <w:pPr>
              <w:pStyle w:val="BodyText"/>
              <w:spacing w:before="80" w:line="240" w:lineRule="auto"/>
              <w:ind w:firstLine="0"/>
            </w:pPr>
            <w:r>
              <w:rPr>
                <w:b/>
                <w:bCs/>
                <w:smallCaps/>
              </w:rPr>
              <w:t>Title:</w:t>
            </w:r>
            <w:r>
              <w:rPr>
                <w:bCs/>
              </w:rPr>
              <w:t xml:space="preserve"> </w:t>
            </w:r>
            <w:r w:rsidR="007F3D44" w:rsidRPr="008B0E58">
              <w:t xml:space="preserve">A </w:t>
            </w:r>
            <w:r w:rsidR="007F3D44" w:rsidRPr="006E68AF">
              <w:t xml:space="preserve">Local Law to </w:t>
            </w:r>
            <w:r w:rsidR="007F3D44" w:rsidRPr="00905A2F">
              <w:rPr>
                <w:color w:val="000000"/>
              </w:rPr>
              <w:t xml:space="preserve">amend the </w:t>
            </w:r>
            <w:r w:rsidR="007F3D44">
              <w:rPr>
                <w:color w:val="000000"/>
              </w:rPr>
              <w:t>administrative code of the city of New York</w:t>
            </w:r>
            <w:r w:rsidR="007F3D44" w:rsidRPr="00D00CCB">
              <w:rPr>
                <w:szCs w:val="22"/>
              </w:rPr>
              <w:t xml:space="preserve">, in relation </w:t>
            </w:r>
            <w:r w:rsidR="007F3D44" w:rsidRPr="003525C7">
              <w:rPr>
                <w:szCs w:val="22"/>
              </w:rPr>
              <w:t xml:space="preserve">to </w:t>
            </w:r>
            <w:r w:rsidR="007F3D44">
              <w:t>the creation of a telemedicine accessibility plan.</w:t>
            </w:r>
          </w:p>
        </w:tc>
        <w:tc>
          <w:tcPr>
            <w:tcW w:w="4869" w:type="dxa"/>
            <w:tcBorders>
              <w:top w:val="single" w:sz="4" w:space="0" w:color="auto"/>
              <w:left w:val="nil"/>
              <w:bottom w:val="nil"/>
              <w:right w:val="nil"/>
            </w:tcBorders>
            <w:hideMark/>
          </w:tcPr>
          <w:p w:rsidR="00390F88" w:rsidRPr="007F3D44" w:rsidRDefault="00390F88" w:rsidP="00015EAB">
            <w:pPr>
              <w:autoSpaceDE w:val="0"/>
              <w:autoSpaceDN w:val="0"/>
              <w:adjustRightInd w:val="0"/>
              <w:rPr>
                <w:rFonts w:eastAsia="Calibri"/>
              </w:rPr>
            </w:pPr>
            <w:r>
              <w:rPr>
                <w:b/>
                <w:bCs/>
                <w:smallCaps/>
              </w:rPr>
              <w:t>Sponsor(S)</w:t>
            </w:r>
            <w:r>
              <w:rPr>
                <w:b/>
                <w:bCs/>
              </w:rPr>
              <w:t>:</w:t>
            </w:r>
            <w:r>
              <w:rPr>
                <w:color w:val="000000" w:themeColor="text1"/>
              </w:rPr>
              <w:t xml:space="preserve"> </w:t>
            </w:r>
            <w:r w:rsidR="007F3D44">
              <w:rPr>
                <w:rFonts w:eastAsia="Calibri"/>
              </w:rPr>
              <w:t>By Council Members Hudson, Louis, Restler, Hanif, Brewer, Sanchez, Velázquez, Barron, Stevens, Avilés, Won, Krishnan, Gutiérrez, Narcisse, De La Rosa, Abreu, Ossé, Cabán, Nurse, Joseph, Bottcher, Lee, Brooks-Powers, Ung, Brannan, Riley, Williams, Powers, Farías, Schulman, Salamanca</w:t>
            </w:r>
            <w:r w:rsidR="0091098F">
              <w:rPr>
                <w:rFonts w:eastAsia="Calibri"/>
              </w:rPr>
              <w:t xml:space="preserve"> Jr.</w:t>
            </w:r>
            <w:r w:rsidR="007F3D44">
              <w:rPr>
                <w:rFonts w:eastAsia="Calibri"/>
              </w:rPr>
              <w:t xml:space="preserve"> and Ayala (by request of the Manhattan Borough President)</w:t>
            </w:r>
          </w:p>
        </w:tc>
      </w:tr>
    </w:tbl>
    <w:p w:rsidR="00390F88" w:rsidRPr="007F3D44" w:rsidRDefault="00390F88" w:rsidP="007F3D44">
      <w:pPr>
        <w:pStyle w:val="NoSpacing"/>
        <w:jc w:val="both"/>
        <w:rPr>
          <w:szCs w:val="24"/>
        </w:rPr>
      </w:pPr>
      <w:r w:rsidRPr="48417E39">
        <w:rPr>
          <w:b/>
          <w:bCs/>
          <w:smallCaps/>
        </w:rPr>
        <w:t>Summary of Legislation:</w:t>
      </w:r>
      <w:r>
        <w:t xml:space="preserve"> </w:t>
      </w:r>
      <w:r w:rsidR="0091098F">
        <w:rPr>
          <w:szCs w:val="24"/>
        </w:rPr>
        <w:t>This bill would require that the Department of Health and Mental Hygiene</w:t>
      </w:r>
      <w:r w:rsidR="00EA547C">
        <w:rPr>
          <w:szCs w:val="24"/>
        </w:rPr>
        <w:t xml:space="preserve"> (DOHMH)</w:t>
      </w:r>
      <w:r w:rsidR="0091098F">
        <w:rPr>
          <w:szCs w:val="24"/>
        </w:rPr>
        <w:t xml:space="preserve"> create a telemedicine accessibility plan to improve the availability and accessibility of portable monitoring devices and telehealth devices for populations that could be better served by telemedicine services. In addition, DOHMH would be required to </w:t>
      </w:r>
      <w:r w:rsidR="0091098F" w:rsidRPr="00566D8B">
        <w:rPr>
          <w:szCs w:val="24"/>
        </w:rPr>
        <w:t>report on the telemedicine plan, including the number and type of portable monitoring devices and telehealth devices it has provided or made available, and the locations where such devices were provided or made available</w:t>
      </w:r>
      <w:r w:rsidR="0091098F">
        <w:rPr>
          <w:szCs w:val="24"/>
        </w:rPr>
        <w:t>. This report is due no later than a year after the effective date of the local law.</w:t>
      </w:r>
    </w:p>
    <w:p w:rsidR="00390F88" w:rsidRDefault="00390F88" w:rsidP="00390F88">
      <w:pPr>
        <w:spacing w:before="100" w:beforeAutospacing="1"/>
        <w:contextualSpacing/>
      </w:pPr>
      <w:r>
        <w:rPr>
          <w:b/>
          <w:smallCaps/>
        </w:rPr>
        <w:t>Effective Date:</w:t>
      </w:r>
      <w:r>
        <w:t xml:space="preserve"> This local law would take effect immediately.</w:t>
      </w:r>
    </w:p>
    <w:p w:rsidR="00390F88" w:rsidRDefault="00390F88" w:rsidP="00390F88">
      <w:pPr>
        <w:spacing w:before="100" w:beforeAutospacing="1"/>
        <w:contextualSpacing/>
        <w:rPr>
          <w:sz w:val="22"/>
          <w:szCs w:val="22"/>
        </w:rPr>
      </w:pPr>
    </w:p>
    <w:p w:rsidR="00390F88" w:rsidRDefault="00390F88" w:rsidP="00390F88">
      <w:pPr>
        <w:spacing w:before="100" w:beforeAutospacing="1"/>
        <w:contextualSpacing/>
      </w:pPr>
      <w:r>
        <w:rPr>
          <w:b/>
          <w:smallCaps/>
        </w:rPr>
        <w:t>Fiscal Year In Which Full Fiscal Impact Anticipated:</w:t>
      </w:r>
      <w:r>
        <w:t xml:space="preserve"> Fiscal 2024</w:t>
      </w:r>
    </w:p>
    <w:p w:rsidR="00390F88" w:rsidRDefault="00390F88" w:rsidP="00390F88">
      <w:pPr>
        <w:pBdr>
          <w:top w:val="single" w:sz="4" w:space="1" w:color="auto"/>
        </w:pBdr>
        <w:spacing w:before="240"/>
        <w:rPr>
          <w:b/>
          <w:smallCaps/>
        </w:rPr>
      </w:pPr>
      <w:r>
        <w:rPr>
          <w:b/>
          <w:smallCaps/>
        </w:rPr>
        <w:t>Fiscal Impact Statement:</w:t>
      </w:r>
    </w:p>
    <w:p w:rsidR="00390F88" w:rsidRDefault="00390F88" w:rsidP="00390F88">
      <w:pPr>
        <w:pBdr>
          <w:top w:val="single" w:sz="4" w:space="1" w:color="auto"/>
        </w:pBdr>
        <w:rPr>
          <w:b/>
          <w:smallCaps/>
          <w:sz w:val="21"/>
          <w:szCs w:val="21"/>
        </w:rPr>
      </w:pPr>
    </w:p>
    <w:tbl>
      <w:tblPr>
        <w:tblW w:w="0" w:type="auto"/>
        <w:jc w:val="center"/>
        <w:tblCellMar>
          <w:left w:w="141" w:type="dxa"/>
          <w:right w:w="141" w:type="dxa"/>
        </w:tblCellMar>
        <w:tblLook w:val="04A0" w:firstRow="1" w:lastRow="0" w:firstColumn="1" w:lastColumn="0" w:noHBand="0" w:noVBand="1"/>
      </w:tblPr>
      <w:tblGrid>
        <w:gridCol w:w="1692"/>
        <w:gridCol w:w="1754"/>
        <w:gridCol w:w="1754"/>
        <w:gridCol w:w="1754"/>
      </w:tblGrid>
      <w:tr w:rsidR="00390F88" w:rsidTr="00A75E43">
        <w:trPr>
          <w:jc w:val="center"/>
        </w:trPr>
        <w:tc>
          <w:tcPr>
            <w:tcW w:w="1692" w:type="dxa"/>
            <w:tcBorders>
              <w:top w:val="double" w:sz="6" w:space="0" w:color="000000"/>
              <w:left w:val="double" w:sz="6" w:space="0" w:color="000000"/>
              <w:bottom w:val="single" w:sz="6" w:space="0" w:color="FFFFFF"/>
              <w:right w:val="single" w:sz="6" w:space="0" w:color="FFFFFF"/>
            </w:tcBorders>
            <w:vAlign w:val="center"/>
          </w:tcPr>
          <w:p w:rsidR="00390F88" w:rsidRDefault="00390F88" w:rsidP="00A75E43">
            <w:pPr>
              <w:spacing w:line="201" w:lineRule="exact"/>
              <w:jc w:val="center"/>
              <w:rPr>
                <w:sz w:val="20"/>
                <w:szCs w:val="20"/>
              </w:rPr>
            </w:pPr>
          </w:p>
          <w:p w:rsidR="00390F88" w:rsidRDefault="00390F88" w:rsidP="00A75E43">
            <w:pPr>
              <w:jc w:val="center"/>
              <w:rPr>
                <w:b/>
                <w:bCs/>
                <w:sz w:val="20"/>
                <w:szCs w:val="20"/>
              </w:rPr>
            </w:pPr>
          </w:p>
        </w:tc>
        <w:tc>
          <w:tcPr>
            <w:tcW w:w="1754" w:type="dxa"/>
            <w:tcBorders>
              <w:top w:val="double" w:sz="6"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Effective FY23</w:t>
            </w:r>
          </w:p>
        </w:tc>
        <w:tc>
          <w:tcPr>
            <w:tcW w:w="1754" w:type="dxa"/>
            <w:tcBorders>
              <w:top w:val="double" w:sz="6"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FY Succeeding Effective FY24</w:t>
            </w:r>
          </w:p>
        </w:tc>
        <w:tc>
          <w:tcPr>
            <w:tcW w:w="1754" w:type="dxa"/>
            <w:tcBorders>
              <w:top w:val="double" w:sz="6" w:space="0" w:color="000000"/>
              <w:left w:val="single" w:sz="8" w:space="0" w:color="000000"/>
              <w:bottom w:val="single" w:sz="6" w:space="0" w:color="FFFFFF"/>
              <w:right w:val="double" w:sz="6" w:space="0" w:color="000000"/>
            </w:tcBorders>
            <w:vAlign w:val="center"/>
            <w:hideMark/>
          </w:tcPr>
          <w:p w:rsidR="00390F88" w:rsidRDefault="00390F88" w:rsidP="00A75E43">
            <w:pPr>
              <w:jc w:val="center"/>
              <w:rPr>
                <w:b/>
                <w:bCs/>
                <w:sz w:val="20"/>
                <w:szCs w:val="20"/>
              </w:rPr>
            </w:pPr>
            <w:r>
              <w:rPr>
                <w:b/>
                <w:bCs/>
                <w:sz w:val="20"/>
                <w:szCs w:val="20"/>
              </w:rPr>
              <w:t>Full Fiscal Impact FY24</w:t>
            </w:r>
          </w:p>
        </w:tc>
      </w:tr>
      <w:tr w:rsidR="00390F88" w:rsidTr="00A75E43">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Revenues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rsidR="00390F88" w:rsidRDefault="00390F88" w:rsidP="00A75E43">
            <w:pPr>
              <w:jc w:val="center"/>
              <w:rPr>
                <w:bCs/>
                <w:sz w:val="20"/>
                <w:szCs w:val="20"/>
              </w:rPr>
            </w:pPr>
            <w:r>
              <w:rPr>
                <w:bCs/>
                <w:sz w:val="20"/>
                <w:szCs w:val="20"/>
              </w:rPr>
              <w:t>$0</w:t>
            </w:r>
          </w:p>
        </w:tc>
      </w:tr>
      <w:tr w:rsidR="00390F88" w:rsidTr="00A75E43">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rsidR="00390F88" w:rsidRDefault="00390F88" w:rsidP="00A75E43">
            <w:pPr>
              <w:jc w:val="center"/>
              <w:rPr>
                <w:b/>
                <w:bCs/>
                <w:sz w:val="20"/>
                <w:szCs w:val="20"/>
              </w:rPr>
            </w:pPr>
            <w:r>
              <w:rPr>
                <w:b/>
                <w:bCs/>
                <w:sz w:val="20"/>
                <w:szCs w:val="20"/>
              </w:rPr>
              <w:t>Expenditures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rsidR="00390F88" w:rsidRDefault="00390F88" w:rsidP="00A75E43">
            <w:pPr>
              <w:jc w:val="center"/>
              <w:rPr>
                <w:bCs/>
                <w:sz w:val="20"/>
                <w:szCs w:val="20"/>
              </w:rPr>
            </w:pPr>
            <w:r>
              <w:rPr>
                <w:bCs/>
                <w:sz w:val="20"/>
                <w:szCs w:val="20"/>
              </w:rPr>
              <w:t>$0</w:t>
            </w:r>
          </w:p>
        </w:tc>
      </w:tr>
      <w:tr w:rsidR="00390F88" w:rsidTr="00A75E43">
        <w:trPr>
          <w:jc w:val="center"/>
        </w:trPr>
        <w:tc>
          <w:tcPr>
            <w:tcW w:w="1692" w:type="dxa"/>
            <w:tcBorders>
              <w:top w:val="single" w:sz="8" w:space="0" w:color="000000"/>
              <w:left w:val="double" w:sz="6" w:space="0" w:color="000000"/>
              <w:bottom w:val="single" w:sz="8" w:space="0" w:color="000000"/>
              <w:right w:val="single" w:sz="6" w:space="0" w:color="FFFFFF"/>
            </w:tcBorders>
            <w:vAlign w:val="center"/>
            <w:hideMark/>
          </w:tcPr>
          <w:p w:rsidR="00390F88" w:rsidRDefault="00390F88" w:rsidP="00A75E43">
            <w:pPr>
              <w:spacing w:after="58"/>
              <w:jc w:val="center"/>
              <w:rPr>
                <w:b/>
                <w:bCs/>
                <w:sz w:val="20"/>
                <w:szCs w:val="20"/>
              </w:rPr>
            </w:pPr>
            <w:r>
              <w:rPr>
                <w:b/>
                <w:bCs/>
                <w:sz w:val="20"/>
                <w:szCs w:val="20"/>
              </w:rPr>
              <w:t>Net</w:t>
            </w:r>
          </w:p>
        </w:tc>
        <w:tc>
          <w:tcPr>
            <w:tcW w:w="1754" w:type="dxa"/>
            <w:tcBorders>
              <w:top w:val="single" w:sz="8" w:space="0" w:color="000000"/>
              <w:left w:val="single" w:sz="8" w:space="0" w:color="000000"/>
              <w:bottom w:val="single" w:sz="8" w:space="0" w:color="000000"/>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single" w:sz="6" w:space="0" w:color="FFFFFF"/>
            </w:tcBorders>
            <w:vAlign w:val="center"/>
            <w:hideMark/>
          </w:tcPr>
          <w:p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double" w:sz="6" w:space="0" w:color="000000"/>
            </w:tcBorders>
            <w:vAlign w:val="center"/>
            <w:hideMark/>
          </w:tcPr>
          <w:p w:rsidR="00390F88" w:rsidRDefault="00390F88" w:rsidP="00A75E43">
            <w:pPr>
              <w:jc w:val="center"/>
              <w:rPr>
                <w:bCs/>
                <w:sz w:val="20"/>
                <w:szCs w:val="20"/>
              </w:rPr>
            </w:pPr>
            <w:r>
              <w:rPr>
                <w:bCs/>
                <w:sz w:val="20"/>
                <w:szCs w:val="20"/>
              </w:rPr>
              <w:t>$0</w:t>
            </w:r>
          </w:p>
        </w:tc>
      </w:tr>
    </w:tbl>
    <w:p w:rsidR="00390F88" w:rsidRDefault="00390F88" w:rsidP="00390F88">
      <w:pPr>
        <w:rPr>
          <w:sz w:val="21"/>
          <w:szCs w:val="21"/>
        </w:rPr>
      </w:pPr>
    </w:p>
    <w:p w:rsidR="00390F88" w:rsidRDefault="00390F88" w:rsidP="00390F88">
      <w:pPr>
        <w:rPr>
          <w:spacing w:val="-3"/>
        </w:rPr>
      </w:pPr>
      <w:r>
        <w:rPr>
          <w:b/>
          <w:smallCaps/>
        </w:rPr>
        <w:t xml:space="preserve">Impact on Revenues: </w:t>
      </w:r>
      <w:r w:rsidRPr="00C840A3">
        <w:t>It is anticipated that this legislation would not affect revenues.</w:t>
      </w:r>
    </w:p>
    <w:p w:rsidR="00390F88" w:rsidRDefault="00390F88" w:rsidP="00390F88">
      <w:pPr>
        <w:rPr>
          <w:b/>
          <w:smallCaps/>
          <w:sz w:val="22"/>
          <w:szCs w:val="22"/>
        </w:rPr>
      </w:pPr>
    </w:p>
    <w:p w:rsidR="00390F88" w:rsidRDefault="00390F88" w:rsidP="00390F88">
      <w:r>
        <w:rPr>
          <w:b/>
          <w:smallCaps/>
        </w:rPr>
        <w:t>Impact on Expenditures:</w:t>
      </w:r>
      <w:r>
        <w:t xml:space="preserve"> It is anticipated that there would be no impact on expenditures resulting from the enactment of this legislation because DOHMH would utilize existing resources to fulfill the requirements.</w:t>
      </w:r>
    </w:p>
    <w:p w:rsidR="00390F88" w:rsidRDefault="00390F88" w:rsidP="00390F88"/>
    <w:p w:rsidR="00390F88" w:rsidRDefault="00390F88" w:rsidP="00390F88">
      <w:r>
        <w:rPr>
          <w:b/>
          <w:smallCaps/>
        </w:rPr>
        <w:t>Source of Funds To Cover Estimated Costs:</w:t>
      </w:r>
      <w:r>
        <w:t xml:space="preserve"> N</w:t>
      </w:r>
      <w:r w:rsidR="006E34B2">
        <w:t>/</w:t>
      </w:r>
      <w:r>
        <w:t>A</w:t>
      </w:r>
    </w:p>
    <w:p w:rsidR="00390F88" w:rsidRDefault="00390F88" w:rsidP="00390F88"/>
    <w:p w:rsidR="00390F88" w:rsidRDefault="00390F88" w:rsidP="00390F88">
      <w:pPr>
        <w:ind w:left="2880" w:hanging="2880"/>
      </w:pPr>
      <w:r>
        <w:rPr>
          <w:b/>
          <w:smallCaps/>
        </w:rPr>
        <w:t>Source of Information:</w:t>
      </w:r>
      <w:r>
        <w:t xml:space="preserve"> </w:t>
      </w:r>
      <w:r>
        <w:tab/>
        <w:t xml:space="preserve">New York </w:t>
      </w:r>
      <w:r w:rsidRPr="00970BA7">
        <w:t xml:space="preserve">City Council Finance Division </w:t>
      </w:r>
    </w:p>
    <w:p w:rsidR="00390F88" w:rsidRDefault="00390F88" w:rsidP="00390F88">
      <w:pPr>
        <w:ind w:left="2880"/>
      </w:pPr>
      <w:r>
        <w:t>New York City Office of Management and Budget</w:t>
      </w:r>
    </w:p>
    <w:p w:rsidR="00390F88" w:rsidRPr="00954004" w:rsidRDefault="00390F88" w:rsidP="00390F88">
      <w:pPr>
        <w:spacing w:before="240"/>
        <w:rPr>
          <w:bCs/>
        </w:rPr>
      </w:pPr>
      <w:r>
        <w:rPr>
          <w:b/>
          <w:smallCaps/>
        </w:rPr>
        <w:lastRenderedPageBreak/>
        <w:t xml:space="preserve">Estimate Prepared By: </w:t>
      </w:r>
      <w:r>
        <w:rPr>
          <w:b/>
          <w:smallCaps/>
        </w:rPr>
        <w:tab/>
      </w:r>
      <w:r>
        <w:rPr>
          <w:bCs/>
        </w:rPr>
        <w:t xml:space="preserve">Danielle Glants, Financial Analyst, NYC Council Finance Division </w:t>
      </w:r>
    </w:p>
    <w:p w:rsidR="00390F88" w:rsidRDefault="00390F88" w:rsidP="00390F88">
      <w:r>
        <w:rPr>
          <w:b/>
          <w:smallCaps/>
        </w:rPr>
        <w:tab/>
      </w:r>
      <w:r>
        <w:rPr>
          <w:b/>
          <w:smallCaps/>
        </w:rPr>
        <w:tab/>
      </w:r>
      <w:r>
        <w:rPr>
          <w:b/>
          <w:smallCaps/>
        </w:rPr>
        <w:tab/>
      </w:r>
      <w:r>
        <w:rPr>
          <w:b/>
          <w:smallCaps/>
        </w:rPr>
        <w:tab/>
      </w:r>
      <w:r>
        <w:rPr>
          <w:b/>
          <w:smallCaps/>
        </w:rPr>
        <w:tab/>
      </w:r>
    </w:p>
    <w:p w:rsidR="00390F88" w:rsidRDefault="00390F88" w:rsidP="00390F88">
      <w:pPr>
        <w:spacing w:after="160" w:line="259" w:lineRule="auto"/>
        <w:jc w:val="left"/>
        <w:rPr>
          <w:b/>
          <w:bCs/>
          <w:smallCaps/>
        </w:rPr>
      </w:pPr>
      <w:r>
        <w:rPr>
          <w:b/>
          <w:bCs/>
          <w:smallCaps/>
        </w:rPr>
        <w:br w:type="page"/>
      </w:r>
    </w:p>
    <w:p w:rsidR="00390F88" w:rsidRDefault="00390F88" w:rsidP="006A4D24">
      <w:pPr>
        <w:ind w:left="2880" w:hanging="2880"/>
      </w:pPr>
      <w:r w:rsidRPr="48417E39">
        <w:rPr>
          <w:b/>
          <w:bCs/>
          <w:smallCaps/>
        </w:rPr>
        <w:t>Estimate Reviewed By:</w:t>
      </w:r>
      <w:r w:rsidR="00954FA7">
        <w:rPr>
          <w:b/>
          <w:bCs/>
          <w:smallCaps/>
        </w:rPr>
        <w:tab/>
      </w:r>
      <w:r>
        <w:t>Crilhien R. Francisco, Assistant Director, NYC Council Finance Division</w:t>
      </w:r>
    </w:p>
    <w:p w:rsidR="00390F88" w:rsidRDefault="00390F88" w:rsidP="00390F88">
      <w:pPr>
        <w:ind w:left="2880"/>
      </w:pPr>
      <w:r>
        <w:t xml:space="preserve">Jonathan Rosenberg, Managing Deputy Director, NYC Council Finance Division </w:t>
      </w:r>
    </w:p>
    <w:p w:rsidR="00390F88" w:rsidRDefault="00390F88" w:rsidP="00390F88">
      <w:pPr>
        <w:spacing w:before="240" w:after="240"/>
      </w:pPr>
      <w:r w:rsidRPr="48417E39">
        <w:rPr>
          <w:b/>
          <w:bCs/>
          <w:smallCaps/>
        </w:rPr>
        <w:t>Legislative History:</w:t>
      </w:r>
      <w:r>
        <w:t xml:space="preserve"> The legislation was introduced to the full Council on </w:t>
      </w:r>
      <w:r w:rsidR="00547059">
        <w:t>September 14, 2022</w:t>
      </w:r>
      <w:r>
        <w:t xml:space="preserve"> as Intro. </w:t>
      </w:r>
      <w:r w:rsidR="00547059">
        <w:t>675</w:t>
      </w:r>
      <w:r>
        <w:t xml:space="preserve"> and referred to the Committee on </w:t>
      </w:r>
      <w:r w:rsidR="00954FA7">
        <w:t>Health</w:t>
      </w:r>
      <w:r>
        <w:t xml:space="preserve"> (Committee). The legislation was considered by the Committee on </w:t>
      </w:r>
      <w:r w:rsidR="00737EB3">
        <w:t>February</w:t>
      </w:r>
      <w:r w:rsidR="00547059">
        <w:t>1</w:t>
      </w:r>
      <w:r w:rsidR="00737EB3">
        <w:t>, 2023</w:t>
      </w:r>
      <w:r>
        <w:t xml:space="preserve"> and was subsequently amended to Proposed Intro. </w:t>
      </w:r>
      <w:r w:rsidR="00547059">
        <w:t>675</w:t>
      </w:r>
      <w:r>
        <w:t>-A. T</w:t>
      </w:r>
      <w:r w:rsidRPr="48417E39">
        <w:rPr>
          <w:color w:val="000000" w:themeColor="text1"/>
        </w:rPr>
        <w:t>he amended</w:t>
      </w:r>
      <w:r>
        <w:rPr>
          <w:color w:val="000000" w:themeColor="text1"/>
        </w:rPr>
        <w:t xml:space="preserve"> version, Proposed Into. No. </w:t>
      </w:r>
      <w:r w:rsidR="00547059">
        <w:rPr>
          <w:color w:val="000000" w:themeColor="text1"/>
        </w:rPr>
        <w:t>675</w:t>
      </w:r>
      <w:r w:rsidRPr="48417E39">
        <w:rPr>
          <w:color w:val="000000" w:themeColor="text1"/>
        </w:rPr>
        <w:t xml:space="preserve">-A will be considered by the Committee on </w:t>
      </w:r>
      <w:r w:rsidR="00547059">
        <w:rPr>
          <w:color w:val="000000" w:themeColor="text1"/>
        </w:rPr>
        <w:t>April</w:t>
      </w:r>
      <w:r w:rsidR="00954FA7">
        <w:rPr>
          <w:color w:val="000000" w:themeColor="text1"/>
        </w:rPr>
        <w:t xml:space="preserve"> </w:t>
      </w:r>
      <w:r w:rsidR="00F67945">
        <w:rPr>
          <w:color w:val="000000" w:themeColor="text1"/>
        </w:rPr>
        <w:t>1</w:t>
      </w:r>
      <w:r w:rsidR="00547059">
        <w:rPr>
          <w:color w:val="000000" w:themeColor="text1"/>
        </w:rPr>
        <w:t>1</w:t>
      </w:r>
      <w:r w:rsidR="00954FA7">
        <w:rPr>
          <w:color w:val="000000" w:themeColor="text1"/>
        </w:rPr>
        <w:t>, 2023</w:t>
      </w:r>
      <w:r w:rsidRPr="48417E39">
        <w:rPr>
          <w:color w:val="000000" w:themeColor="text1"/>
        </w:rPr>
        <w:t>.</w:t>
      </w:r>
      <w:r w:rsidRPr="48417E39">
        <w:t xml:space="preserve"> </w:t>
      </w:r>
      <w:r>
        <w:t xml:space="preserve">Upon successful vote by the Committee, Proposed Intro. No. </w:t>
      </w:r>
      <w:r w:rsidR="00547059">
        <w:t>675</w:t>
      </w:r>
      <w:r>
        <w:t xml:space="preserve">-A will be submitted to the full Council for a vote on </w:t>
      </w:r>
      <w:r w:rsidR="00547059">
        <w:t>April</w:t>
      </w:r>
      <w:r w:rsidR="00954FA7">
        <w:t xml:space="preserve"> </w:t>
      </w:r>
      <w:r w:rsidR="00F67945">
        <w:t>1</w:t>
      </w:r>
      <w:r w:rsidR="00547059">
        <w:t>1</w:t>
      </w:r>
      <w:r w:rsidR="00F67945">
        <w:t>, 2023</w:t>
      </w:r>
      <w:r>
        <w:t>.</w:t>
      </w:r>
    </w:p>
    <w:p w:rsidR="00390F88" w:rsidRPr="005B2FFE" w:rsidRDefault="00390F88" w:rsidP="00390F88">
      <w:pPr>
        <w:spacing w:before="120"/>
      </w:pPr>
      <w:r>
        <w:rPr>
          <w:b/>
          <w:smallCaps/>
        </w:rPr>
        <w:t>Date Prepared:</w:t>
      </w:r>
      <w:r>
        <w:t xml:space="preserve"> </w:t>
      </w:r>
      <w:r w:rsidR="00547059">
        <w:t xml:space="preserve">April </w:t>
      </w:r>
      <w:r>
        <w:t>4, 2023</w:t>
      </w:r>
    </w:p>
    <w:p w:rsidR="001C2D2E" w:rsidRDefault="001C2D2E"/>
    <w:sectPr w:rsidR="001C2D2E"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88" w:rsidRDefault="00390F88" w:rsidP="00390F88">
      <w:r>
        <w:separator/>
      </w:r>
    </w:p>
  </w:endnote>
  <w:endnote w:type="continuationSeparator" w:id="0">
    <w:p w:rsidR="00390F88" w:rsidRDefault="00390F88" w:rsidP="0039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015EA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Intro. </w:t>
    </w:r>
    <w:r w:rsidR="00547059">
      <w:rPr>
        <w:rFonts w:asciiTheme="majorHAnsi" w:eastAsiaTheme="majorEastAsia" w:hAnsiTheme="majorHAnsi" w:cstheme="majorBidi"/>
      </w:rPr>
      <w:t>675</w:t>
    </w:r>
    <w:r>
      <w:rPr>
        <w:rFonts w:asciiTheme="majorHAnsi" w:eastAsiaTheme="majorEastAsia" w:hAnsiTheme="majorHAnsi" w:cstheme="majorBidi"/>
      </w:rPr>
      <w: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507F" w:rsidRPr="0066507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88" w:rsidRDefault="00390F88" w:rsidP="00390F88">
      <w:r>
        <w:separator/>
      </w:r>
    </w:p>
  </w:footnote>
  <w:footnote w:type="continuationSeparator" w:id="0">
    <w:p w:rsidR="00390F88" w:rsidRDefault="00390F88" w:rsidP="00390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8"/>
    <w:rsid w:val="00015EAB"/>
    <w:rsid w:val="0008403F"/>
    <w:rsid w:val="001C2D2E"/>
    <w:rsid w:val="00390F88"/>
    <w:rsid w:val="003B7D1D"/>
    <w:rsid w:val="00547059"/>
    <w:rsid w:val="0066507F"/>
    <w:rsid w:val="006A4D24"/>
    <w:rsid w:val="006E34B2"/>
    <w:rsid w:val="00737EB3"/>
    <w:rsid w:val="007F3D44"/>
    <w:rsid w:val="0091098F"/>
    <w:rsid w:val="00954FA7"/>
    <w:rsid w:val="00CC1B0E"/>
    <w:rsid w:val="00D41C05"/>
    <w:rsid w:val="00DC6DEB"/>
    <w:rsid w:val="00EA547C"/>
    <w:rsid w:val="00F67945"/>
    <w:rsid w:val="00FB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0E37F-1901-4B91-9DEF-DBD488C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F88"/>
    <w:pPr>
      <w:tabs>
        <w:tab w:val="center" w:pos="4680"/>
        <w:tab w:val="right" w:pos="9360"/>
      </w:tabs>
    </w:pPr>
  </w:style>
  <w:style w:type="character" w:customStyle="1" w:styleId="FooterChar">
    <w:name w:val="Footer Char"/>
    <w:basedOn w:val="DefaultParagraphFont"/>
    <w:link w:val="Footer"/>
    <w:uiPriority w:val="99"/>
    <w:rsid w:val="00390F88"/>
    <w:rPr>
      <w:rFonts w:ascii="Times New Roman" w:eastAsia="Times New Roman" w:hAnsi="Times New Roman" w:cs="Times New Roman"/>
      <w:sz w:val="24"/>
      <w:szCs w:val="24"/>
    </w:rPr>
  </w:style>
  <w:style w:type="paragraph" w:styleId="NoSpacing">
    <w:name w:val="No Spacing"/>
    <w:uiPriority w:val="99"/>
    <w:qFormat/>
    <w:rsid w:val="00390F88"/>
    <w:pPr>
      <w:spacing w:after="0" w:line="240" w:lineRule="auto"/>
    </w:pPr>
    <w:rPr>
      <w:rFonts w:ascii="Times New Roman" w:hAnsi="Times New Roman"/>
      <w:sz w:val="24"/>
    </w:rPr>
  </w:style>
  <w:style w:type="paragraph" w:styleId="BodyText">
    <w:name w:val="Body Text"/>
    <w:basedOn w:val="Normal"/>
    <w:link w:val="BodyTextChar"/>
    <w:uiPriority w:val="99"/>
    <w:rsid w:val="00390F88"/>
    <w:pPr>
      <w:spacing w:line="480" w:lineRule="auto"/>
      <w:ind w:firstLine="720"/>
    </w:pPr>
  </w:style>
  <w:style w:type="character" w:customStyle="1" w:styleId="BodyTextChar">
    <w:name w:val="Body Text Char"/>
    <w:basedOn w:val="DefaultParagraphFont"/>
    <w:link w:val="BodyText"/>
    <w:uiPriority w:val="99"/>
    <w:rsid w:val="00390F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F88"/>
    <w:pPr>
      <w:tabs>
        <w:tab w:val="center" w:pos="4680"/>
        <w:tab w:val="right" w:pos="9360"/>
      </w:tabs>
    </w:pPr>
  </w:style>
  <w:style w:type="character" w:customStyle="1" w:styleId="HeaderChar">
    <w:name w:val="Header Char"/>
    <w:basedOn w:val="DefaultParagraphFont"/>
    <w:link w:val="Header"/>
    <w:uiPriority w:val="99"/>
    <w:rsid w:val="00390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278B-2F94-44D4-90FD-3820EC2D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Glants</dc:creator>
  <cp:keywords/>
  <dc:description/>
  <cp:lastModifiedBy>DelFranco, Ruthie</cp:lastModifiedBy>
  <cp:revision>2</cp:revision>
  <dcterms:created xsi:type="dcterms:W3CDTF">2023-04-05T18:49:00Z</dcterms:created>
  <dcterms:modified xsi:type="dcterms:W3CDTF">2023-04-05T18:49:00Z</dcterms:modified>
</cp:coreProperties>
</file>