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545C3" w14:textId="77777777" w:rsidR="0062350F" w:rsidRPr="000850B9" w:rsidRDefault="0062350F" w:rsidP="0062350F">
      <w:pPr>
        <w:ind w:left="5040" w:firstLine="0"/>
        <w:jc w:val="right"/>
        <w:rPr>
          <w:spacing w:val="-3"/>
          <w:u w:val="single"/>
        </w:rPr>
      </w:pPr>
      <w:bookmarkStart w:id="0" w:name="_GoBack"/>
      <w:bookmarkEnd w:id="0"/>
      <w:r>
        <w:rPr>
          <w:spacing w:val="-3"/>
          <w:u w:val="single"/>
        </w:rPr>
        <w:t xml:space="preserve">Environmental Protection </w:t>
      </w:r>
      <w:r w:rsidRPr="000850B9">
        <w:rPr>
          <w:spacing w:val="-3"/>
          <w:u w:val="single"/>
        </w:rPr>
        <w:t>Committee Staff</w:t>
      </w:r>
    </w:p>
    <w:p w14:paraId="354209AE" w14:textId="76D766F5" w:rsidR="0062350F" w:rsidRDefault="009402CF" w:rsidP="0062350F">
      <w:pPr>
        <w:ind w:left="5040" w:firstLine="0"/>
        <w:jc w:val="right"/>
        <w:rPr>
          <w:spacing w:val="-3"/>
        </w:rPr>
      </w:pPr>
      <w:r>
        <w:rPr>
          <w:spacing w:val="-3"/>
        </w:rPr>
        <w:t xml:space="preserve">    </w:t>
      </w:r>
      <w:r w:rsidR="0062350F">
        <w:rPr>
          <w:spacing w:val="-3"/>
        </w:rPr>
        <w:t>Samara Swans</w:t>
      </w:r>
      <w:r>
        <w:rPr>
          <w:spacing w:val="-3"/>
        </w:rPr>
        <w:t>t</w:t>
      </w:r>
      <w:r w:rsidR="0062350F">
        <w:rPr>
          <w:spacing w:val="-3"/>
        </w:rPr>
        <w:t xml:space="preserve">on, </w:t>
      </w:r>
      <w:r w:rsidR="00FB18E5">
        <w:rPr>
          <w:i/>
          <w:iCs/>
          <w:spacing w:val="-3"/>
        </w:rPr>
        <w:t xml:space="preserve">Legislative </w:t>
      </w:r>
      <w:r w:rsidR="0062350F" w:rsidRPr="00300C15">
        <w:rPr>
          <w:i/>
          <w:iCs/>
          <w:spacing w:val="-3"/>
        </w:rPr>
        <w:t>Counsel</w:t>
      </w:r>
    </w:p>
    <w:p w14:paraId="417A28C2" w14:textId="169F4891" w:rsidR="0062350F" w:rsidRDefault="0062350F" w:rsidP="0062350F">
      <w:pPr>
        <w:ind w:left="5040" w:firstLine="0"/>
        <w:jc w:val="right"/>
        <w:rPr>
          <w:i/>
          <w:iCs/>
          <w:spacing w:val="-3"/>
        </w:rPr>
      </w:pPr>
      <w:r>
        <w:rPr>
          <w:spacing w:val="-3"/>
        </w:rPr>
        <w:t xml:space="preserve">Ricky Chawla, </w:t>
      </w:r>
      <w:r w:rsidR="004909F9" w:rsidRPr="009402CF">
        <w:rPr>
          <w:i/>
          <w:spacing w:val="-3"/>
        </w:rPr>
        <w:t>Senior</w:t>
      </w:r>
      <w:r w:rsidR="004909F9">
        <w:rPr>
          <w:spacing w:val="-3"/>
        </w:rPr>
        <w:t xml:space="preserve"> </w:t>
      </w:r>
      <w:r w:rsidR="00FB18E5">
        <w:rPr>
          <w:i/>
          <w:iCs/>
          <w:spacing w:val="-3"/>
        </w:rPr>
        <w:t xml:space="preserve">Legislative </w:t>
      </w:r>
      <w:r w:rsidRPr="00300C15">
        <w:rPr>
          <w:i/>
          <w:iCs/>
          <w:spacing w:val="-3"/>
        </w:rPr>
        <w:t>Policy Analyst</w:t>
      </w:r>
    </w:p>
    <w:p w14:paraId="77AF9660" w14:textId="385CE922" w:rsidR="004909F9" w:rsidRDefault="004909F9" w:rsidP="0062350F">
      <w:pPr>
        <w:ind w:left="5040" w:firstLine="0"/>
        <w:jc w:val="right"/>
        <w:rPr>
          <w:spacing w:val="-3"/>
        </w:rPr>
      </w:pPr>
      <w:r w:rsidRPr="009402CF">
        <w:rPr>
          <w:iCs/>
          <w:spacing w:val="-3"/>
        </w:rPr>
        <w:t>Andrew Bourne</w:t>
      </w:r>
      <w:r>
        <w:rPr>
          <w:i/>
          <w:iCs/>
          <w:spacing w:val="-3"/>
        </w:rPr>
        <w:t>, Legislative Policy Analyst</w:t>
      </w:r>
    </w:p>
    <w:p w14:paraId="067A7E6F" w14:textId="22076EB5" w:rsidR="0062350F" w:rsidRDefault="004909F9" w:rsidP="0062350F">
      <w:pPr>
        <w:ind w:left="5040" w:firstLine="0"/>
        <w:jc w:val="right"/>
        <w:rPr>
          <w:spacing w:val="-3"/>
        </w:rPr>
      </w:pPr>
      <w:r>
        <w:rPr>
          <w:spacing w:val="-3"/>
        </w:rPr>
        <w:t xml:space="preserve">Andrew Lane-Lawless, </w:t>
      </w:r>
      <w:r w:rsidR="0062350F" w:rsidRPr="00300C15">
        <w:rPr>
          <w:i/>
          <w:iCs/>
          <w:spacing w:val="-3"/>
        </w:rPr>
        <w:t>Financial Analyst</w:t>
      </w:r>
    </w:p>
    <w:p w14:paraId="245127A4" w14:textId="77777777" w:rsidR="0062350F" w:rsidRDefault="0062350F" w:rsidP="0062350F">
      <w:pPr>
        <w:ind w:left="5040" w:firstLine="0"/>
        <w:rPr>
          <w:spacing w:val="-3"/>
        </w:rPr>
      </w:pPr>
    </w:p>
    <w:p w14:paraId="3E695C9C" w14:textId="77777777" w:rsidR="0062350F" w:rsidRDefault="0062350F" w:rsidP="0062350F">
      <w:pPr>
        <w:ind w:left="5040"/>
        <w:rPr>
          <w:spacing w:val="-3"/>
        </w:rPr>
      </w:pPr>
    </w:p>
    <w:p w14:paraId="6B12AA41" w14:textId="77777777" w:rsidR="0062350F" w:rsidRPr="000850B9" w:rsidRDefault="0062350F" w:rsidP="0062350F">
      <w:pPr>
        <w:ind w:left="5040"/>
        <w:rPr>
          <w:b/>
          <w:spacing w:val="-3"/>
          <w:u w:val="single"/>
        </w:rPr>
      </w:pPr>
    </w:p>
    <w:p w14:paraId="461A7ACC" w14:textId="77777777" w:rsidR="0062350F" w:rsidRPr="000850B9" w:rsidRDefault="0062350F" w:rsidP="0062350F">
      <w:pPr>
        <w:keepNext/>
        <w:tabs>
          <w:tab w:val="center" w:pos="4680"/>
        </w:tabs>
        <w:suppressAutoHyphens/>
        <w:ind w:firstLine="0"/>
        <w:jc w:val="center"/>
        <w:outlineLvl w:val="3"/>
        <w:rPr>
          <w:b/>
          <w:spacing w:val="-3"/>
          <w:u w:val="single"/>
        </w:rPr>
      </w:pPr>
    </w:p>
    <w:p w14:paraId="00E5AF44" w14:textId="77777777" w:rsidR="0062350F" w:rsidRPr="000850B9" w:rsidRDefault="0062350F" w:rsidP="0062350F">
      <w:pPr>
        <w:ind w:firstLine="0"/>
        <w:jc w:val="center"/>
      </w:pPr>
      <w:r w:rsidRPr="000850B9">
        <w:rPr>
          <w:noProof/>
        </w:rPr>
        <w:drawing>
          <wp:inline distT="0" distB="0" distL="0" distR="0" wp14:anchorId="1DECFFDE" wp14:editId="2820A6E4">
            <wp:extent cx="1009650" cy="1033145"/>
            <wp:effectExtent l="0" t="0" r="0" b="0"/>
            <wp:docPr id="1" name="Picture 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06817E4D" w14:textId="77777777" w:rsidR="0062350F" w:rsidRPr="000850B9" w:rsidRDefault="0062350F" w:rsidP="0062350F">
      <w:pPr>
        <w:ind w:firstLine="0"/>
      </w:pPr>
    </w:p>
    <w:p w14:paraId="30D70519" w14:textId="77777777" w:rsidR="0062350F" w:rsidRPr="00581DCF" w:rsidRDefault="0062350F" w:rsidP="0062350F">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43EB6D1A" w14:textId="77777777" w:rsidR="0062350F" w:rsidRPr="00581DCF" w:rsidRDefault="0062350F" w:rsidP="0062350F">
      <w:pPr>
        <w:tabs>
          <w:tab w:val="center" w:pos="4680"/>
        </w:tabs>
        <w:ind w:firstLine="0"/>
        <w:jc w:val="center"/>
        <w:rPr>
          <w:iCs/>
        </w:rPr>
      </w:pPr>
      <w:r w:rsidRPr="00581DCF">
        <w:rPr>
          <w:iCs/>
        </w:rPr>
        <w:t xml:space="preserve"> </w:t>
      </w:r>
      <w:r>
        <w:rPr>
          <w:iCs/>
        </w:rPr>
        <w:t>Andrea Vazquez</w:t>
      </w:r>
      <w:r w:rsidRPr="00581DCF">
        <w:rPr>
          <w:iCs/>
        </w:rPr>
        <w:t>, Legislative Director</w:t>
      </w:r>
    </w:p>
    <w:p w14:paraId="39C550E8" w14:textId="77777777" w:rsidR="0062350F" w:rsidRPr="00581DCF" w:rsidRDefault="0062350F" w:rsidP="0062350F">
      <w:pPr>
        <w:tabs>
          <w:tab w:val="left" w:pos="-1440"/>
        </w:tabs>
        <w:ind w:left="4320"/>
        <w:rPr>
          <w:b/>
        </w:rPr>
      </w:pPr>
    </w:p>
    <w:p w14:paraId="61BD96F7" w14:textId="77777777" w:rsidR="0062350F" w:rsidRPr="00581DCF" w:rsidRDefault="0062350F" w:rsidP="0062350F">
      <w:pPr>
        <w:widowControl w:val="0"/>
        <w:ind w:firstLine="0"/>
        <w:jc w:val="center"/>
        <w:outlineLvl w:val="5"/>
        <w:rPr>
          <w:rFonts w:ascii="Times New Roman Bold"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56154244" w14:textId="089C066B" w:rsidR="00751DE2" w:rsidRDefault="0062350F" w:rsidP="00751DE2">
      <w:pPr>
        <w:tabs>
          <w:tab w:val="center" w:pos="4680"/>
        </w:tabs>
        <w:ind w:firstLine="0"/>
        <w:jc w:val="center"/>
        <w:rPr>
          <w:iCs/>
        </w:rPr>
      </w:pPr>
      <w:r>
        <w:rPr>
          <w:iCs/>
        </w:rPr>
        <w:t>Brad</w:t>
      </w:r>
      <w:r w:rsidRPr="00581DCF">
        <w:rPr>
          <w:iCs/>
        </w:rPr>
        <w:t xml:space="preserve"> </w:t>
      </w:r>
      <w:r>
        <w:rPr>
          <w:iCs/>
        </w:rPr>
        <w:t>Reid</w:t>
      </w:r>
      <w:r w:rsidRPr="00581DCF">
        <w:rPr>
          <w:iCs/>
        </w:rPr>
        <w:t>, Deputy Director</w:t>
      </w:r>
    </w:p>
    <w:p w14:paraId="06725601" w14:textId="77777777" w:rsidR="0062350F" w:rsidRPr="00581DCF" w:rsidRDefault="0062350F" w:rsidP="00751DE2">
      <w:pPr>
        <w:tabs>
          <w:tab w:val="left" w:pos="-1440"/>
        </w:tabs>
        <w:ind w:firstLine="0"/>
        <w:rPr>
          <w:b/>
        </w:rPr>
      </w:pPr>
    </w:p>
    <w:p w14:paraId="6B5A0B8C" w14:textId="77777777" w:rsidR="0062350F" w:rsidRPr="00581DCF" w:rsidRDefault="0062350F" w:rsidP="0062350F">
      <w:pPr>
        <w:tabs>
          <w:tab w:val="center" w:pos="4680"/>
        </w:tabs>
        <w:ind w:firstLine="0"/>
        <w:jc w:val="center"/>
        <w:rPr>
          <w:rFonts w:ascii="Times New Roman Bold" w:hAnsi="Times New Roman Bold"/>
          <w:b/>
          <w:smallCaps/>
          <w:u w:val="single"/>
        </w:rPr>
      </w:pPr>
      <w:r w:rsidRPr="00581DCF">
        <w:rPr>
          <w:rFonts w:ascii="Times New Roman Bold" w:hAnsi="Times New Roman Bold"/>
          <w:b/>
          <w:smallCaps/>
          <w:u w:val="single"/>
        </w:rPr>
        <w:t>Committee on Environmental Protection</w:t>
      </w:r>
    </w:p>
    <w:p w14:paraId="7879F9FC" w14:textId="77777777" w:rsidR="0062350F" w:rsidRDefault="0062350F" w:rsidP="0062350F">
      <w:pPr>
        <w:ind w:firstLine="0"/>
        <w:jc w:val="center"/>
      </w:pPr>
      <w:r w:rsidRPr="00581DCF">
        <w:t xml:space="preserve">Hon. </w:t>
      </w:r>
      <w:r>
        <w:t>James F. Gennaro</w:t>
      </w:r>
      <w:r w:rsidRPr="00581DCF">
        <w:t>, Chair</w:t>
      </w:r>
    </w:p>
    <w:p w14:paraId="7A7829C3" w14:textId="77777777" w:rsidR="0062350F" w:rsidRDefault="0062350F" w:rsidP="0062350F">
      <w:pPr>
        <w:ind w:firstLine="0"/>
        <w:jc w:val="center"/>
      </w:pPr>
    </w:p>
    <w:p w14:paraId="47C6F8A2" w14:textId="77777777" w:rsidR="0062350F" w:rsidRPr="00581DCF" w:rsidRDefault="0062350F" w:rsidP="0062350F">
      <w:pPr>
        <w:jc w:val="center"/>
      </w:pPr>
    </w:p>
    <w:p w14:paraId="373D3B9D" w14:textId="60CCEDAC" w:rsidR="0062350F" w:rsidRPr="00581DCF" w:rsidRDefault="004909F9" w:rsidP="0062350F">
      <w:pPr>
        <w:keepNext/>
        <w:ind w:firstLine="0"/>
        <w:jc w:val="center"/>
        <w:outlineLvl w:val="3"/>
        <w:rPr>
          <w:b/>
          <w:bCs/>
        </w:rPr>
      </w:pPr>
      <w:r>
        <w:rPr>
          <w:b/>
          <w:bCs/>
        </w:rPr>
        <w:t>February 24</w:t>
      </w:r>
      <w:r w:rsidR="0062350F">
        <w:rPr>
          <w:b/>
          <w:bCs/>
        </w:rPr>
        <w:t>, 202</w:t>
      </w:r>
      <w:r>
        <w:rPr>
          <w:b/>
          <w:bCs/>
        </w:rPr>
        <w:t>3</w:t>
      </w:r>
    </w:p>
    <w:p w14:paraId="4324CAEE" w14:textId="77777777" w:rsidR="0062350F" w:rsidRDefault="0062350F" w:rsidP="0062350F">
      <w:pPr>
        <w:ind w:left="4320" w:hanging="4320"/>
        <w:jc w:val="both"/>
        <w:rPr>
          <w:bCs/>
        </w:rPr>
      </w:pPr>
    </w:p>
    <w:p w14:paraId="7589DE94" w14:textId="77777777" w:rsidR="0062350F" w:rsidRDefault="0062350F" w:rsidP="0062350F">
      <w:pPr>
        <w:ind w:left="4320" w:hanging="4320"/>
        <w:jc w:val="both"/>
        <w:rPr>
          <w:bCs/>
        </w:rPr>
      </w:pPr>
    </w:p>
    <w:p w14:paraId="452CD6F7" w14:textId="5E21DFE7" w:rsidR="0062350F" w:rsidRPr="0025785A" w:rsidRDefault="004909F9" w:rsidP="0062350F">
      <w:pPr>
        <w:tabs>
          <w:tab w:val="center" w:pos="4680"/>
        </w:tabs>
        <w:ind w:firstLine="0"/>
        <w:jc w:val="center"/>
        <w:rPr>
          <w:bCs/>
        </w:rPr>
      </w:pPr>
      <w:r w:rsidRPr="004909F9">
        <w:rPr>
          <w:rFonts w:ascii="Times New Roman Bold" w:hAnsi="Times New Roman Bold"/>
          <w:b/>
          <w:smallCaps/>
        </w:rPr>
        <w:tab/>
        <w:t>Oversight - New York City’s Water and Sewage Testing Infrastructure</w:t>
      </w:r>
    </w:p>
    <w:p w14:paraId="7D421171" w14:textId="77777777" w:rsidR="0062350F" w:rsidRDefault="0062350F" w:rsidP="0062350F">
      <w:pPr>
        <w:pStyle w:val="NoSpacing"/>
        <w:rPr>
          <w:rFonts w:ascii="Times New Roman" w:hAnsi="Times New Roman" w:cs="Times New Roman"/>
          <w:sz w:val="24"/>
          <w:szCs w:val="24"/>
        </w:rPr>
      </w:pPr>
    </w:p>
    <w:p w14:paraId="17248C9A" w14:textId="72A52838" w:rsidR="009402CF" w:rsidRDefault="009402CF" w:rsidP="009402CF">
      <w:pPr>
        <w:autoSpaceDE w:val="0"/>
        <w:autoSpaceDN w:val="0"/>
        <w:adjustRightInd w:val="0"/>
        <w:spacing w:after="120"/>
        <w:ind w:left="4320" w:hanging="4320"/>
        <w:jc w:val="both"/>
        <w:rPr>
          <w:color w:val="000000"/>
          <w:shd w:val="clear" w:color="auto" w:fill="FFFFFF"/>
        </w:rPr>
      </w:pPr>
      <w:r w:rsidRPr="009402CF">
        <w:rPr>
          <w:rFonts w:eastAsia="Calibri"/>
          <w:b/>
          <w:smallCaps/>
          <w:color w:val="000000"/>
          <w:u w:val="single"/>
        </w:rPr>
        <w:t xml:space="preserve">Int. No. </w:t>
      </w:r>
      <w:r>
        <w:rPr>
          <w:rFonts w:eastAsia="Calibri"/>
          <w:b/>
          <w:smallCaps/>
          <w:color w:val="000000"/>
          <w:u w:val="single"/>
        </w:rPr>
        <w:t>530</w:t>
      </w:r>
      <w:r w:rsidRPr="009402CF">
        <w:rPr>
          <w:rFonts w:eastAsia="Calibri"/>
          <w:b/>
          <w:smallCaps/>
          <w:color w:val="000000"/>
          <w:u w:val="single"/>
        </w:rPr>
        <w:t>:</w:t>
      </w:r>
      <w:r w:rsidRPr="009402CF">
        <w:rPr>
          <w:rFonts w:eastAsia="Calibri"/>
          <w:b/>
          <w:smallCaps/>
          <w:color w:val="000000"/>
        </w:rPr>
        <w:tab/>
      </w:r>
      <w:r w:rsidRPr="009402CF">
        <w:rPr>
          <w:rFonts w:eastAsia="Calibri"/>
          <w:color w:val="000000"/>
        </w:rPr>
        <w:t xml:space="preserve">By Council Members </w:t>
      </w:r>
      <w:r>
        <w:rPr>
          <w:color w:val="000000"/>
          <w:shd w:val="clear" w:color="auto" w:fill="FFFFFF"/>
        </w:rPr>
        <w:t>Gennaro, Hanif, Gutiérrez, Restler, Sanchez and De La Rosa</w:t>
      </w:r>
    </w:p>
    <w:p w14:paraId="7670D2A9" w14:textId="5B5F2F52" w:rsidR="009402CF" w:rsidRPr="009402CF" w:rsidRDefault="009402CF" w:rsidP="009402CF">
      <w:pPr>
        <w:autoSpaceDE w:val="0"/>
        <w:autoSpaceDN w:val="0"/>
        <w:adjustRightInd w:val="0"/>
        <w:spacing w:after="120"/>
        <w:ind w:left="4320" w:hanging="4320"/>
        <w:jc w:val="both"/>
        <w:rPr>
          <w:rFonts w:eastAsia="Calibri"/>
          <w:szCs w:val="22"/>
        </w:rPr>
      </w:pPr>
      <w:r w:rsidRPr="009402CF">
        <w:rPr>
          <w:rFonts w:eastAsia="Calibri"/>
          <w:b/>
          <w:smallCaps/>
          <w:u w:val="single"/>
        </w:rPr>
        <w:t>Title:</w:t>
      </w:r>
      <w:r w:rsidRPr="009402CF">
        <w:rPr>
          <w:rFonts w:eastAsia="Calibri"/>
          <w:bCs/>
          <w:smallCaps/>
        </w:rPr>
        <w:tab/>
      </w:r>
      <w:r>
        <w:rPr>
          <w:color w:val="000000"/>
          <w:shd w:val="clear" w:color="auto" w:fill="FFFFFF"/>
        </w:rPr>
        <w:t>A Local Law to amend the administrative code of the city of New York, in relation to notification of discolored water or reduction of water pressure</w:t>
      </w:r>
    </w:p>
    <w:p w14:paraId="614E9BA6" w14:textId="6DA753B3" w:rsidR="009402CF" w:rsidRPr="009402CF" w:rsidRDefault="009402CF" w:rsidP="009402CF">
      <w:pPr>
        <w:autoSpaceDE w:val="0"/>
        <w:autoSpaceDN w:val="0"/>
        <w:adjustRightInd w:val="0"/>
        <w:spacing w:after="120"/>
        <w:ind w:left="4320" w:hanging="4320"/>
        <w:jc w:val="both"/>
        <w:rPr>
          <w:rFonts w:eastAsia="Calibri"/>
          <w:szCs w:val="22"/>
        </w:rPr>
      </w:pPr>
      <w:r w:rsidRPr="009402CF">
        <w:rPr>
          <w:rFonts w:eastAsia="Calibri"/>
          <w:b/>
          <w:smallCaps/>
          <w:u w:val="single"/>
        </w:rPr>
        <w:t>Administrative Code:</w:t>
      </w:r>
      <w:r w:rsidRPr="009402CF">
        <w:rPr>
          <w:rFonts w:eastAsia="Calibri"/>
          <w:b/>
        </w:rPr>
        <w:tab/>
      </w:r>
      <w:r w:rsidRPr="009402CF">
        <w:rPr>
          <w:rFonts w:eastAsia="Calibri"/>
          <w:szCs w:val="22"/>
        </w:rPr>
        <w:t xml:space="preserve">Adds new section </w:t>
      </w:r>
      <w:r>
        <w:rPr>
          <w:rFonts w:eastAsia="Calibri"/>
          <w:szCs w:val="22"/>
        </w:rPr>
        <w:t>24-370</w:t>
      </w:r>
    </w:p>
    <w:p w14:paraId="1EAB7D22" w14:textId="5BFE33C8" w:rsidR="0062350F" w:rsidRDefault="0062350F" w:rsidP="0062350F">
      <w:pPr>
        <w:pStyle w:val="NoSpacing"/>
        <w:rPr>
          <w:rFonts w:ascii="Times New Roman" w:hAnsi="Times New Roman" w:cs="Times New Roman"/>
          <w:sz w:val="24"/>
          <w:szCs w:val="24"/>
        </w:rPr>
      </w:pPr>
    </w:p>
    <w:p w14:paraId="10011B0E" w14:textId="4742DDFB" w:rsidR="009402CF" w:rsidRDefault="009402CF" w:rsidP="009402CF">
      <w:pPr>
        <w:autoSpaceDE w:val="0"/>
        <w:autoSpaceDN w:val="0"/>
        <w:adjustRightInd w:val="0"/>
        <w:spacing w:after="120"/>
        <w:ind w:left="4320" w:hanging="4320"/>
        <w:jc w:val="both"/>
        <w:rPr>
          <w:rFonts w:eastAsia="Calibri"/>
          <w:color w:val="000000"/>
        </w:rPr>
      </w:pPr>
      <w:r w:rsidRPr="009402CF">
        <w:rPr>
          <w:rFonts w:eastAsia="Calibri"/>
          <w:b/>
          <w:smallCaps/>
          <w:color w:val="000000"/>
          <w:u w:val="single"/>
        </w:rPr>
        <w:t xml:space="preserve">Int. No. </w:t>
      </w:r>
      <w:r>
        <w:rPr>
          <w:rFonts w:eastAsia="Calibri"/>
          <w:b/>
          <w:smallCaps/>
          <w:color w:val="000000"/>
          <w:u w:val="single"/>
        </w:rPr>
        <w:t>633</w:t>
      </w:r>
      <w:r w:rsidRPr="009402CF">
        <w:rPr>
          <w:rFonts w:eastAsia="Calibri"/>
          <w:b/>
          <w:smallCaps/>
          <w:color w:val="000000"/>
          <w:u w:val="single"/>
        </w:rPr>
        <w:t>:</w:t>
      </w:r>
      <w:r w:rsidRPr="009402CF">
        <w:rPr>
          <w:rFonts w:eastAsia="Calibri"/>
          <w:b/>
          <w:smallCaps/>
          <w:color w:val="000000"/>
        </w:rPr>
        <w:tab/>
      </w:r>
      <w:r w:rsidRPr="009402CF">
        <w:rPr>
          <w:rFonts w:eastAsia="Calibri"/>
          <w:color w:val="000000"/>
        </w:rPr>
        <w:t>By Council Members Powers, Bottcher, Brewer, Restler, Hanif, Nurse, Gutiérrez, Yeger, Sanchez and De La Rosa</w:t>
      </w:r>
    </w:p>
    <w:p w14:paraId="27E1A1BA" w14:textId="11C5EE3E" w:rsidR="009402CF" w:rsidRPr="009402CF" w:rsidRDefault="009402CF" w:rsidP="009402CF">
      <w:pPr>
        <w:autoSpaceDE w:val="0"/>
        <w:autoSpaceDN w:val="0"/>
        <w:adjustRightInd w:val="0"/>
        <w:spacing w:after="120"/>
        <w:ind w:left="4320" w:hanging="4320"/>
        <w:jc w:val="both"/>
        <w:rPr>
          <w:rFonts w:eastAsia="Calibri"/>
          <w:szCs w:val="22"/>
        </w:rPr>
      </w:pPr>
      <w:r w:rsidRPr="009402CF">
        <w:rPr>
          <w:rFonts w:eastAsia="Calibri"/>
          <w:b/>
          <w:smallCaps/>
          <w:u w:val="single"/>
        </w:rPr>
        <w:t>Title:</w:t>
      </w:r>
      <w:r w:rsidRPr="009402CF">
        <w:rPr>
          <w:rFonts w:eastAsia="Calibri"/>
          <w:bCs/>
          <w:smallCaps/>
        </w:rPr>
        <w:tab/>
      </w:r>
      <w:r>
        <w:rPr>
          <w:color w:val="000000"/>
          <w:shd w:val="clear" w:color="auto" w:fill="FFFFFF"/>
        </w:rPr>
        <w:t xml:space="preserve">A Local Law to amend the administrative code of the city of New York, in relation to the creation of a permanent COVID-19 wastewater testing program and the reporting of testing results, and to repeal section 24-531 </w:t>
      </w:r>
      <w:r>
        <w:rPr>
          <w:color w:val="000000"/>
          <w:shd w:val="clear" w:color="auto" w:fill="FFFFFF"/>
        </w:rPr>
        <w:lastRenderedPageBreak/>
        <w:t>of such code, relating to the creation of a pilot program to test sewage for SARS-CoV-2 RNA</w:t>
      </w:r>
    </w:p>
    <w:p w14:paraId="16062195" w14:textId="71518BE6" w:rsidR="009402CF" w:rsidRPr="009402CF" w:rsidRDefault="009402CF" w:rsidP="009402CF">
      <w:pPr>
        <w:autoSpaceDE w:val="0"/>
        <w:autoSpaceDN w:val="0"/>
        <w:adjustRightInd w:val="0"/>
        <w:spacing w:after="120"/>
        <w:ind w:left="4320" w:hanging="4320"/>
        <w:jc w:val="both"/>
        <w:rPr>
          <w:rFonts w:eastAsia="Calibri"/>
          <w:szCs w:val="22"/>
        </w:rPr>
      </w:pPr>
      <w:r w:rsidRPr="009402CF">
        <w:rPr>
          <w:rFonts w:eastAsia="Calibri"/>
          <w:b/>
          <w:smallCaps/>
          <w:u w:val="single"/>
        </w:rPr>
        <w:t>Administrative Code:</w:t>
      </w:r>
      <w:r w:rsidRPr="009402CF">
        <w:rPr>
          <w:rFonts w:eastAsia="Calibri"/>
          <w:b/>
        </w:rPr>
        <w:tab/>
      </w:r>
      <w:r w:rsidRPr="009402CF">
        <w:rPr>
          <w:rFonts w:eastAsia="Calibri"/>
          <w:szCs w:val="22"/>
        </w:rPr>
        <w:t xml:space="preserve">Adds new section </w:t>
      </w:r>
      <w:r>
        <w:rPr>
          <w:rFonts w:eastAsia="Calibri"/>
          <w:szCs w:val="22"/>
        </w:rPr>
        <w:t>24-531</w:t>
      </w:r>
    </w:p>
    <w:p w14:paraId="42156A5B" w14:textId="7377FCD5" w:rsidR="009402CF" w:rsidRDefault="009402CF" w:rsidP="0062350F">
      <w:pPr>
        <w:pStyle w:val="NoSpacing"/>
        <w:rPr>
          <w:rFonts w:ascii="Times New Roman" w:hAnsi="Times New Roman" w:cs="Times New Roman"/>
          <w:sz w:val="24"/>
          <w:szCs w:val="24"/>
        </w:rPr>
      </w:pPr>
    </w:p>
    <w:p w14:paraId="0F07A0C0" w14:textId="6070EC6A" w:rsidR="009402CF" w:rsidRDefault="009402CF" w:rsidP="009402CF">
      <w:pPr>
        <w:autoSpaceDE w:val="0"/>
        <w:autoSpaceDN w:val="0"/>
        <w:adjustRightInd w:val="0"/>
        <w:spacing w:after="120"/>
        <w:ind w:left="4320" w:hanging="4320"/>
        <w:jc w:val="both"/>
        <w:rPr>
          <w:color w:val="000000"/>
          <w:shd w:val="clear" w:color="auto" w:fill="FFFFFF"/>
        </w:rPr>
      </w:pPr>
      <w:r w:rsidRPr="009402CF">
        <w:rPr>
          <w:rFonts w:eastAsia="Calibri"/>
          <w:b/>
          <w:smallCaps/>
          <w:color w:val="000000"/>
          <w:u w:val="single"/>
        </w:rPr>
        <w:t xml:space="preserve">Int. No. </w:t>
      </w:r>
      <w:r>
        <w:rPr>
          <w:rFonts w:eastAsia="Calibri"/>
          <w:b/>
          <w:smallCaps/>
          <w:color w:val="000000"/>
          <w:u w:val="single"/>
        </w:rPr>
        <w:t>797</w:t>
      </w:r>
      <w:r w:rsidRPr="009402CF">
        <w:rPr>
          <w:rFonts w:eastAsia="Calibri"/>
          <w:b/>
          <w:smallCaps/>
          <w:color w:val="000000"/>
          <w:u w:val="single"/>
        </w:rPr>
        <w:t>:</w:t>
      </w:r>
      <w:r w:rsidRPr="009402CF">
        <w:rPr>
          <w:rFonts w:eastAsia="Calibri"/>
          <w:b/>
          <w:smallCaps/>
          <w:color w:val="000000"/>
        </w:rPr>
        <w:tab/>
      </w:r>
      <w:r w:rsidRPr="009402CF">
        <w:rPr>
          <w:rFonts w:eastAsia="Calibri"/>
          <w:color w:val="000000"/>
        </w:rPr>
        <w:t xml:space="preserve">By Council Members </w:t>
      </w:r>
      <w:r>
        <w:rPr>
          <w:color w:val="000000"/>
          <w:shd w:val="clear" w:color="auto" w:fill="FFFFFF"/>
        </w:rPr>
        <w:t>Nurse, Louis, Hanif, Avilés, Brewer, Cabán, Dinowitz, Joseph, Ayala, Williams, Abreu, Restler, Marte, Hudson, Ossé, Gutiérrez and De La Rosa</w:t>
      </w:r>
    </w:p>
    <w:p w14:paraId="58B29D82" w14:textId="77777777" w:rsidR="009402CF" w:rsidRDefault="009402CF" w:rsidP="009402CF">
      <w:pPr>
        <w:autoSpaceDE w:val="0"/>
        <w:autoSpaceDN w:val="0"/>
        <w:adjustRightInd w:val="0"/>
        <w:spacing w:after="120"/>
        <w:ind w:left="4320" w:hanging="4320"/>
        <w:jc w:val="both"/>
        <w:rPr>
          <w:color w:val="000000"/>
          <w:shd w:val="clear" w:color="auto" w:fill="FFFFFF"/>
        </w:rPr>
      </w:pPr>
      <w:r w:rsidRPr="009402CF">
        <w:rPr>
          <w:rFonts w:eastAsia="Calibri"/>
          <w:b/>
          <w:smallCaps/>
          <w:u w:val="single"/>
        </w:rPr>
        <w:t>Title:</w:t>
      </w:r>
      <w:r w:rsidRPr="009402CF">
        <w:rPr>
          <w:rFonts w:eastAsia="Calibri"/>
          <w:bCs/>
          <w:smallCaps/>
        </w:rPr>
        <w:tab/>
      </w:r>
      <w:r>
        <w:rPr>
          <w:color w:val="000000"/>
          <w:shd w:val="clear" w:color="auto" w:fill="FFFFFF"/>
        </w:rPr>
        <w:t>A Local Law to amend the administrative code of the city of New York, in relation to testing drinking water for the presence of microplastics</w:t>
      </w:r>
    </w:p>
    <w:p w14:paraId="64DFDEFC" w14:textId="29AE085D" w:rsidR="009402CF" w:rsidRPr="009402CF" w:rsidRDefault="009402CF" w:rsidP="009402CF">
      <w:pPr>
        <w:autoSpaceDE w:val="0"/>
        <w:autoSpaceDN w:val="0"/>
        <w:adjustRightInd w:val="0"/>
        <w:spacing w:after="120"/>
        <w:ind w:left="4320" w:hanging="4320"/>
        <w:jc w:val="both"/>
        <w:rPr>
          <w:rFonts w:eastAsia="Calibri"/>
          <w:szCs w:val="22"/>
        </w:rPr>
      </w:pPr>
      <w:r w:rsidRPr="009402CF">
        <w:rPr>
          <w:rFonts w:eastAsia="Calibri"/>
          <w:b/>
          <w:smallCaps/>
          <w:u w:val="single"/>
        </w:rPr>
        <w:t>Administrative Code:</w:t>
      </w:r>
      <w:r w:rsidRPr="009402CF">
        <w:rPr>
          <w:rFonts w:eastAsia="Calibri"/>
          <w:b/>
        </w:rPr>
        <w:tab/>
      </w:r>
      <w:r w:rsidRPr="009402CF">
        <w:rPr>
          <w:rFonts w:eastAsia="Calibri"/>
          <w:szCs w:val="22"/>
        </w:rPr>
        <w:t>Adds new section</w:t>
      </w:r>
      <w:r>
        <w:rPr>
          <w:rFonts w:eastAsia="Calibri"/>
          <w:szCs w:val="22"/>
        </w:rPr>
        <w:t xml:space="preserve"> 24-370</w:t>
      </w:r>
    </w:p>
    <w:p w14:paraId="5D2B5C9B" w14:textId="77777777" w:rsidR="009402CF" w:rsidRDefault="009402CF" w:rsidP="0062350F">
      <w:pPr>
        <w:pStyle w:val="NoSpacing"/>
        <w:rPr>
          <w:rFonts w:ascii="Times New Roman" w:hAnsi="Times New Roman" w:cs="Times New Roman"/>
          <w:sz w:val="24"/>
          <w:szCs w:val="24"/>
        </w:rPr>
      </w:pPr>
    </w:p>
    <w:p w14:paraId="33EC4F6E" w14:textId="77777777" w:rsidR="0062350F" w:rsidRPr="00BD1477" w:rsidRDefault="0062350F" w:rsidP="0062350F">
      <w:pPr>
        <w:pStyle w:val="NoSpacing"/>
        <w:rPr>
          <w:rFonts w:ascii="Times New Roman" w:hAnsi="Times New Roman" w:cs="Times New Roman"/>
          <w:sz w:val="24"/>
          <w:szCs w:val="24"/>
        </w:rPr>
      </w:pPr>
    </w:p>
    <w:p w14:paraId="0BAFECC8" w14:textId="77777777" w:rsidR="0062350F" w:rsidRPr="00B96377" w:rsidRDefault="0062350F" w:rsidP="0062350F">
      <w:pPr>
        <w:pStyle w:val="BodyText"/>
        <w:numPr>
          <w:ilvl w:val="0"/>
          <w:numId w:val="1"/>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771B6282" w14:textId="77777777" w:rsidR="0062350F" w:rsidRDefault="0062350F" w:rsidP="0062350F">
      <w:pPr>
        <w:spacing w:line="480" w:lineRule="auto"/>
        <w:ind w:firstLine="0"/>
        <w:jc w:val="both"/>
      </w:pPr>
    </w:p>
    <w:p w14:paraId="709F1BB8" w14:textId="336E60DE" w:rsidR="0062350F" w:rsidRDefault="0062350F" w:rsidP="0062350F">
      <w:pPr>
        <w:spacing w:line="480" w:lineRule="auto"/>
        <w:jc w:val="both"/>
      </w:pPr>
      <w:r>
        <w:t xml:space="preserve">On </w:t>
      </w:r>
      <w:r w:rsidR="004909F9">
        <w:t>February 24</w:t>
      </w:r>
      <w:r>
        <w:t>, 202</w:t>
      </w:r>
      <w:r w:rsidR="004909F9">
        <w:t>3</w:t>
      </w:r>
      <w:r w:rsidRPr="00212B92">
        <w:t xml:space="preserve">, the Committee on Environmental Protection, chaired by Council Member </w:t>
      </w:r>
      <w:r>
        <w:t>James F. Gennaro, will hold an oversight hearing on “</w:t>
      </w:r>
      <w:r w:rsidR="004909F9" w:rsidRPr="004909F9">
        <w:t>New York City’s Water and Sewage Testing Infrastructure</w:t>
      </w:r>
      <w:r>
        <w:t>”.</w:t>
      </w:r>
      <w:r w:rsidR="004909F9">
        <w:t xml:space="preserve"> The Committee will also hear Int. No 530, in relation to notifications of discolored water and reduced water pressure ; Int. No. 633 in relation to the creation of a permanent COVID-19 wastewater testing program; and Int. No.797 in relation to testing New York City drinking water for the presence of micro-plastics</w:t>
      </w:r>
      <w:r w:rsidR="00D31227">
        <w:t>.</w:t>
      </w:r>
      <w:r>
        <w:t xml:space="preserve"> </w:t>
      </w:r>
      <w:r w:rsidRPr="00D00960">
        <w:t xml:space="preserve">Those invited to testify include representatives from the Department </w:t>
      </w:r>
      <w:r>
        <w:t>of Environmental Protection</w:t>
      </w:r>
      <w:r w:rsidR="00B22400">
        <w:t xml:space="preserve"> (DEP)</w:t>
      </w:r>
      <w:r>
        <w:t xml:space="preserve">, academics in the field of microbiology, </w:t>
      </w:r>
      <w:r w:rsidRPr="00D00960">
        <w:t xml:space="preserve">environmental advocates, </w:t>
      </w:r>
      <w:r>
        <w:t xml:space="preserve">public health advocates, </w:t>
      </w:r>
      <w:r w:rsidRPr="00D00960">
        <w:t>and other interested parties.</w:t>
      </w:r>
    </w:p>
    <w:p w14:paraId="22F763D9" w14:textId="77777777" w:rsidR="0062350F" w:rsidRPr="00D00960" w:rsidRDefault="0062350F" w:rsidP="0062350F">
      <w:pPr>
        <w:spacing w:line="480" w:lineRule="auto"/>
        <w:jc w:val="both"/>
      </w:pPr>
    </w:p>
    <w:p w14:paraId="07BE3502" w14:textId="77777777" w:rsidR="0062350F" w:rsidRDefault="0062350F" w:rsidP="0062350F">
      <w:pPr>
        <w:pStyle w:val="BodyText"/>
        <w:numPr>
          <w:ilvl w:val="0"/>
          <w:numId w:val="1"/>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Background</w:t>
      </w:r>
    </w:p>
    <w:p w14:paraId="2704318B" w14:textId="77777777" w:rsidR="0062350F" w:rsidRDefault="0062350F" w:rsidP="0062350F">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firstLine="0"/>
        <w:jc w:val="left"/>
        <w:rPr>
          <w:b/>
          <w:bCs/>
          <w:smallCaps/>
        </w:rPr>
      </w:pPr>
    </w:p>
    <w:p w14:paraId="66ED7497" w14:textId="2C86F8B8" w:rsidR="0062350F" w:rsidRDefault="0062350F" w:rsidP="0062350F">
      <w:pPr>
        <w:spacing w:line="480" w:lineRule="auto"/>
        <w:jc w:val="both"/>
      </w:pPr>
      <w:r w:rsidRPr="0018411E">
        <w:t xml:space="preserve">As of </w:t>
      </w:r>
      <w:r w:rsidR="00433164">
        <w:t>February 17</w:t>
      </w:r>
      <w:r>
        <w:t>, 202</w:t>
      </w:r>
      <w:r w:rsidR="00433164">
        <w:t>3</w:t>
      </w:r>
      <w:r>
        <w:t>,</w:t>
      </w:r>
      <w:r w:rsidRPr="0018411E">
        <w:t xml:space="preserve"> there have been more than </w:t>
      </w:r>
      <w:r w:rsidR="00433164" w:rsidRPr="00433164">
        <w:t>678,346,543</w:t>
      </w:r>
      <w:r w:rsidR="00433164">
        <w:t xml:space="preserve"> </w:t>
      </w:r>
      <w:r w:rsidRPr="0018411E">
        <w:t xml:space="preserve">confirmed COVID-19 cases and more than </w:t>
      </w:r>
      <w:r w:rsidR="00433164" w:rsidRPr="00433164">
        <w:t>6,788,139</w:t>
      </w:r>
      <w:r w:rsidR="00433164">
        <w:t xml:space="preserve"> </w:t>
      </w:r>
      <w:r w:rsidRPr="0018411E">
        <w:t xml:space="preserve">deaths worldwide, including more than </w:t>
      </w:r>
      <w:r w:rsidR="00433164" w:rsidRPr="00433164">
        <w:t>104,918,830</w:t>
      </w:r>
      <w:r w:rsidR="00433164">
        <w:t xml:space="preserve"> </w:t>
      </w:r>
      <w:r w:rsidRPr="0018411E">
        <w:t>cases and more than</w:t>
      </w:r>
      <w:r>
        <w:t xml:space="preserve"> </w:t>
      </w:r>
      <w:r w:rsidR="00433164" w:rsidRPr="00433164">
        <w:t>1,141,862</w:t>
      </w:r>
      <w:r w:rsidR="00433164">
        <w:t xml:space="preserve"> </w:t>
      </w:r>
      <w:r w:rsidRPr="0018411E">
        <w:t xml:space="preserve">deaths in </w:t>
      </w:r>
      <w:r>
        <w:t xml:space="preserve">the </w:t>
      </w:r>
      <w:r w:rsidRPr="0018411E">
        <w:t>Unite</w:t>
      </w:r>
      <w:r>
        <w:t>d</w:t>
      </w:r>
      <w:r w:rsidRPr="0018411E">
        <w:t xml:space="preserve"> States.</w:t>
      </w:r>
      <w:r w:rsidRPr="0018411E">
        <w:rPr>
          <w:rStyle w:val="FootnoteReference"/>
        </w:rPr>
        <w:footnoteReference w:id="1"/>
      </w:r>
      <w:r w:rsidRPr="0018411E">
        <w:t xml:space="preserve"> As of </w:t>
      </w:r>
      <w:r w:rsidR="00D31227">
        <w:t>that date</w:t>
      </w:r>
      <w:r w:rsidRPr="00D734C8">
        <w:t>,</w:t>
      </w:r>
      <w:r w:rsidRPr="0018411E">
        <w:t xml:space="preserve"> there have been more than </w:t>
      </w:r>
      <w:r w:rsidR="00433164" w:rsidRPr="00433164">
        <w:t>6,927,861</w:t>
      </w:r>
      <w:r w:rsidR="00433164">
        <w:t xml:space="preserve"> </w:t>
      </w:r>
      <w:r w:rsidRPr="0018411E">
        <w:t xml:space="preserve">cases and more than </w:t>
      </w:r>
      <w:r w:rsidR="00433164" w:rsidRPr="00433164">
        <w:t>76,895</w:t>
      </w:r>
      <w:r w:rsidR="00433164">
        <w:t xml:space="preserve"> </w:t>
      </w:r>
      <w:r w:rsidRPr="0018411E">
        <w:t xml:space="preserve">deaths in </w:t>
      </w:r>
      <w:r w:rsidR="0035491B">
        <w:t>New York</w:t>
      </w:r>
      <w:r w:rsidRPr="0018411E">
        <w:t xml:space="preserve"> State,</w:t>
      </w:r>
      <w:r w:rsidR="00526AAC">
        <w:rPr>
          <w:rStyle w:val="FootnoteReference"/>
        </w:rPr>
        <w:footnoteReference w:id="2"/>
      </w:r>
      <w:r w:rsidRPr="0018411E">
        <w:t xml:space="preserve"> including more than </w:t>
      </w:r>
      <w:r w:rsidRPr="000644D0">
        <w:t>2,2</w:t>
      </w:r>
      <w:r>
        <w:t>82</w:t>
      </w:r>
      <w:r w:rsidRPr="000644D0">
        <w:t>,</w:t>
      </w:r>
      <w:r>
        <w:t>831</w:t>
      </w:r>
      <w:r w:rsidRPr="0018411E">
        <w:t xml:space="preserve"> cases and </w:t>
      </w:r>
      <w:r w:rsidRPr="000644D0">
        <w:t>39,</w:t>
      </w:r>
      <w:r>
        <w:t>927</w:t>
      </w:r>
      <w:r w:rsidRPr="000644D0">
        <w:t xml:space="preserve"> confirmed</w:t>
      </w:r>
      <w:r w:rsidRPr="0018411E">
        <w:t xml:space="preserve"> deaths in New York City.</w:t>
      </w:r>
      <w:r w:rsidRPr="0018411E">
        <w:rPr>
          <w:rStyle w:val="FootnoteReference"/>
        </w:rPr>
        <w:footnoteReference w:id="3"/>
      </w:r>
      <w:r w:rsidRPr="0018411E">
        <w:t xml:space="preserve"> </w:t>
      </w:r>
      <w:r>
        <w:t>A</w:t>
      </w:r>
      <w:r w:rsidR="00781205">
        <w:t>pproximately</w:t>
      </w:r>
      <w:r>
        <w:t xml:space="preserve"> </w:t>
      </w:r>
      <w:r w:rsidR="00781205">
        <w:t>90.3%</w:t>
      </w:r>
      <w:r>
        <w:t xml:space="preserve"> percent of all New York City residents have received at least one dose of a COVID-19 vaccine, </w:t>
      </w:r>
      <w:r w:rsidR="00781205">
        <w:t xml:space="preserve">while </w:t>
      </w:r>
      <w:r>
        <w:t xml:space="preserve">roughly </w:t>
      </w:r>
      <w:r w:rsidR="00781205">
        <w:t>9.7</w:t>
      </w:r>
      <w:r>
        <w:t xml:space="preserve"> percent of the population remaining unvaccinated.</w:t>
      </w:r>
      <w:r>
        <w:rPr>
          <w:rStyle w:val="FootnoteReference"/>
        </w:rPr>
        <w:footnoteReference w:id="4"/>
      </w:r>
      <w:r>
        <w:t xml:space="preserve"> Of all adults in New York City, nearly 9</w:t>
      </w:r>
      <w:r w:rsidR="00781205">
        <w:t>9</w:t>
      </w:r>
      <w:r>
        <w:t xml:space="preserve"> percent have received at least one dose of a vaccine.</w:t>
      </w:r>
      <w:r>
        <w:rPr>
          <w:rStyle w:val="FootnoteReference"/>
        </w:rPr>
        <w:footnoteReference w:id="5"/>
      </w:r>
      <w:r>
        <w:t xml:space="preserve"> According to </w:t>
      </w:r>
      <w:r w:rsidR="00D31227">
        <w:t>Department of Health and Mental Hygiene (</w:t>
      </w:r>
      <w:r>
        <w:t>DOHMH</w:t>
      </w:r>
      <w:r w:rsidR="00D31227">
        <w:t>)</w:t>
      </w:r>
      <w:r>
        <w:t xml:space="preserve"> data, those who are unvaccinated are about </w:t>
      </w:r>
      <w:r w:rsidR="00781205">
        <w:t xml:space="preserve">5 </w:t>
      </w:r>
      <w:r>
        <w:t>times more likely to be hospitalized</w:t>
      </w:r>
      <w:r w:rsidR="00781205">
        <w:t xml:space="preserve"> or </w:t>
      </w:r>
      <w:r>
        <w:t>die from COVID-19</w:t>
      </w:r>
      <w:r w:rsidR="00781205">
        <w:t xml:space="preserve"> than individuals who are vaccinated but not boosted</w:t>
      </w:r>
      <w:r>
        <w:t>.</w:t>
      </w:r>
      <w:r>
        <w:rPr>
          <w:rStyle w:val="FootnoteReference"/>
        </w:rPr>
        <w:footnoteReference w:id="6"/>
      </w:r>
      <w:r>
        <w:t xml:space="preserve"> There are severe equity concerns when examining COVID-19 data and the impact of the pandemic on communities that are marginalized.</w:t>
      </w:r>
      <w:r>
        <w:rPr>
          <w:rStyle w:val="FootnoteReference"/>
        </w:rPr>
        <w:footnoteReference w:id="7"/>
      </w:r>
      <w:r>
        <w:t xml:space="preserve"> Available COVID-19 data</w:t>
      </w:r>
      <w:r>
        <w:rPr>
          <w:rStyle w:val="FootnoteReference"/>
        </w:rPr>
        <w:footnoteReference w:id="8"/>
      </w:r>
      <w:r>
        <w:t xml:space="preserve"> indicates that those living in high poverty areas and/or the Bronx as well as those who are Black/African American, Hispanic/Latino, and/or older are more likely to be hospitalized and die from COVID-19.</w:t>
      </w:r>
      <w:r>
        <w:rPr>
          <w:rStyle w:val="FootnoteReference"/>
        </w:rPr>
        <w:footnoteReference w:id="9"/>
      </w:r>
      <w:r>
        <w:t xml:space="preserve"> </w:t>
      </w:r>
    </w:p>
    <w:p w14:paraId="1E96AE79" w14:textId="77777777" w:rsidR="00CA5946" w:rsidRDefault="00CA5946" w:rsidP="0062350F">
      <w:pPr>
        <w:spacing w:line="480" w:lineRule="auto"/>
        <w:jc w:val="both"/>
      </w:pPr>
    </w:p>
    <w:p w14:paraId="3E9EAF8E" w14:textId="77777777" w:rsidR="0062350F" w:rsidRDefault="0062350F" w:rsidP="0062350F">
      <w:pPr>
        <w:spacing w:line="480" w:lineRule="auto"/>
        <w:ind w:firstLine="0"/>
        <w:jc w:val="both"/>
        <w:rPr>
          <w:i/>
          <w:iCs/>
          <w:u w:val="single"/>
        </w:rPr>
      </w:pPr>
      <w:r w:rsidRPr="00F97DDC">
        <w:rPr>
          <w:i/>
          <w:iCs/>
          <w:u w:val="single"/>
        </w:rPr>
        <w:t>COVID Testing in Wastewater</w:t>
      </w:r>
    </w:p>
    <w:p w14:paraId="68C1A73C" w14:textId="306D0B04" w:rsidR="0062350F" w:rsidRDefault="0062350F" w:rsidP="0062350F">
      <w:pPr>
        <w:pStyle w:val="Default"/>
        <w:spacing w:line="480" w:lineRule="auto"/>
        <w:ind w:firstLine="720"/>
        <w:jc w:val="both"/>
        <w:rPr>
          <w:bCs/>
        </w:rPr>
      </w:pPr>
      <w:r>
        <w:rPr>
          <w:bCs/>
        </w:rPr>
        <w:t>Wastewater monitoring for SARS-CoV-2</w:t>
      </w:r>
      <w:r w:rsidR="00137E26">
        <w:rPr>
          <w:bCs/>
        </w:rPr>
        <w:t>, the virus that causes COVID-19,</w:t>
      </w:r>
      <w:r>
        <w:rPr>
          <w:bCs/>
        </w:rPr>
        <w:t xml:space="preserve"> RNA presents an opportunity for pooled testing that tracks changes in COVID-19 infection levels through </w:t>
      </w:r>
      <w:r w:rsidR="006C5B1D">
        <w:rPr>
          <w:bCs/>
        </w:rPr>
        <w:t xml:space="preserve">a </w:t>
      </w:r>
      <w:r>
        <w:rPr>
          <w:bCs/>
        </w:rPr>
        <w:t>community.</w:t>
      </w:r>
      <w:r>
        <w:rPr>
          <w:rStyle w:val="FootnoteReference"/>
          <w:bCs/>
        </w:rPr>
        <w:footnoteReference w:id="10"/>
      </w:r>
      <w:r>
        <w:rPr>
          <w:bCs/>
        </w:rPr>
        <w:t xml:space="preserve"> </w:t>
      </w:r>
      <w:r w:rsidRPr="00693CB4">
        <w:rPr>
          <w:bCs/>
        </w:rPr>
        <w:t>New York City has 14 wastewater treatment plants,</w:t>
      </w:r>
      <w:r w:rsidR="00FD5CF1">
        <w:rPr>
          <w:bCs/>
        </w:rPr>
        <w:t xml:space="preserve"> also known as </w:t>
      </w:r>
      <w:r w:rsidR="00FD5CF1">
        <w:t>w</w:t>
      </w:r>
      <w:r w:rsidR="00FD5CF1" w:rsidRPr="003643C2">
        <w:t xml:space="preserve">astewater </w:t>
      </w:r>
      <w:r w:rsidR="00FD5CF1">
        <w:t>r</w:t>
      </w:r>
      <w:r w:rsidR="00FD5CF1" w:rsidRPr="003643C2">
        <w:t xml:space="preserve">esource </w:t>
      </w:r>
      <w:r w:rsidR="00FD5CF1">
        <w:t>r</w:t>
      </w:r>
      <w:r w:rsidR="00FD5CF1" w:rsidRPr="003643C2">
        <w:t xml:space="preserve">ecovery </w:t>
      </w:r>
      <w:r w:rsidR="00FD5CF1">
        <w:t>f</w:t>
      </w:r>
      <w:r w:rsidR="00FD5CF1" w:rsidRPr="003643C2">
        <w:t>acilities (WRRF)</w:t>
      </w:r>
      <w:r w:rsidR="00FD5CF1">
        <w:t xml:space="preserve">, </w:t>
      </w:r>
      <w:r w:rsidR="00FD5CF1" w:rsidRPr="003643C2">
        <w:t xml:space="preserve"> </w:t>
      </w:r>
      <w:r w:rsidRPr="00693CB4">
        <w:rPr>
          <w:bCs/>
        </w:rPr>
        <w:t xml:space="preserve"> categorized into </w:t>
      </w:r>
      <w:r>
        <w:rPr>
          <w:bCs/>
        </w:rPr>
        <w:t>three</w:t>
      </w:r>
      <w:r w:rsidRPr="00693CB4">
        <w:rPr>
          <w:bCs/>
        </w:rPr>
        <w:t xml:space="preserve"> regional areas</w:t>
      </w:r>
      <w:r>
        <w:rPr>
          <w:bCs/>
        </w:rPr>
        <w:t>:</w:t>
      </w:r>
      <w:r w:rsidRPr="00693CB4">
        <w:rPr>
          <w:bCs/>
        </w:rPr>
        <w:t xml:space="preserve"> north, south, and east.</w:t>
      </w:r>
      <w:r w:rsidRPr="00693CB4">
        <w:rPr>
          <w:rStyle w:val="FootnoteReference"/>
          <w:bCs/>
        </w:rPr>
        <w:footnoteReference w:id="11"/>
      </w:r>
      <w:r>
        <w:rPr>
          <w:bCs/>
        </w:rPr>
        <w:t xml:space="preserve"> Each of the 14 plants serves a distinct geographical area,</w:t>
      </w:r>
      <w:r>
        <w:rPr>
          <w:rStyle w:val="FootnoteReference"/>
          <w:bCs/>
        </w:rPr>
        <w:footnoteReference w:id="12"/>
      </w:r>
      <w:r>
        <w:rPr>
          <w:bCs/>
        </w:rPr>
        <w:t xml:space="preserve"> referred to as a sewershed.</w:t>
      </w:r>
      <w:r>
        <w:rPr>
          <w:rStyle w:val="FootnoteReference"/>
          <w:bCs/>
        </w:rPr>
        <w:footnoteReference w:id="13"/>
      </w:r>
      <w:r w:rsidRPr="00693CB4">
        <w:rPr>
          <w:bCs/>
        </w:rPr>
        <w:t xml:space="preserve"> In total, these plants </w:t>
      </w:r>
      <w:r w:rsidRPr="00460B52">
        <w:rPr>
          <w:bCs/>
          <w:color w:val="000000" w:themeColor="text1"/>
        </w:rPr>
        <w:t>have</w:t>
      </w:r>
      <w:r w:rsidRPr="00693CB4">
        <w:rPr>
          <w:bCs/>
        </w:rPr>
        <w:t xml:space="preserve"> a combined treatment capacity of 1</w:t>
      </w:r>
      <w:r>
        <w:rPr>
          <w:bCs/>
        </w:rPr>
        <w:t xml:space="preserve">.3 billion </w:t>
      </w:r>
      <w:r w:rsidRPr="00693CB4">
        <w:rPr>
          <w:bCs/>
        </w:rPr>
        <w:t>gallons per day.</w:t>
      </w:r>
      <w:r w:rsidRPr="00693CB4">
        <w:rPr>
          <w:rStyle w:val="FootnoteReference"/>
          <w:bCs/>
        </w:rPr>
        <w:footnoteReference w:id="14"/>
      </w:r>
      <w:r w:rsidRPr="00693CB4">
        <w:rPr>
          <w:bCs/>
        </w:rPr>
        <w:t xml:space="preserve"> </w:t>
      </w:r>
      <w:r>
        <w:rPr>
          <w:bCs/>
        </w:rPr>
        <w:t>Wastewater monitoring for SARS-CoV-2 RNA at the treatment plant level can provide trend data for COVID-19 infections that is specific to the communities serviced by each facility.</w:t>
      </w:r>
      <w:r>
        <w:rPr>
          <w:rStyle w:val="FootnoteReference"/>
          <w:bCs/>
        </w:rPr>
        <w:footnoteReference w:id="15"/>
      </w:r>
      <w:r>
        <w:rPr>
          <w:bCs/>
        </w:rPr>
        <w:t xml:space="preserve"> It is not currently possible to extrapolate sewage testing data into specific numbers of infected individuals, and testing at the treatment plant level would not capture evidence of infected individuals not serviced by the municipal sewer system.</w:t>
      </w:r>
      <w:r>
        <w:rPr>
          <w:rStyle w:val="FootnoteReference"/>
          <w:bCs/>
        </w:rPr>
        <w:footnoteReference w:id="16"/>
      </w:r>
    </w:p>
    <w:p w14:paraId="6839A207" w14:textId="77777777" w:rsidR="0062350F" w:rsidRDefault="0062350F" w:rsidP="0062350F">
      <w:pPr>
        <w:pStyle w:val="Default"/>
        <w:spacing w:line="480" w:lineRule="auto"/>
        <w:ind w:firstLine="720"/>
        <w:jc w:val="both"/>
        <w:rPr>
          <w:bCs/>
        </w:rPr>
      </w:pPr>
    </w:p>
    <w:p w14:paraId="0609E2B4" w14:textId="77777777" w:rsidR="0062350F" w:rsidRDefault="0062350F" w:rsidP="0062350F">
      <w:pPr>
        <w:pStyle w:val="Default"/>
        <w:spacing w:line="480" w:lineRule="auto"/>
        <w:ind w:firstLine="720"/>
        <w:jc w:val="both"/>
        <w:rPr>
          <w:bCs/>
        </w:rPr>
      </w:pPr>
      <w:r>
        <w:rPr>
          <w:bCs/>
          <w:noProof/>
        </w:rPr>
        <w:drawing>
          <wp:inline distT="0" distB="0" distL="0" distR="0" wp14:anchorId="07AF37FF" wp14:editId="1E5543B1">
            <wp:extent cx="4932947" cy="5757219"/>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66390" cy="5796250"/>
                    </a:xfrm>
                    <a:prstGeom prst="rect">
                      <a:avLst/>
                    </a:prstGeom>
                  </pic:spPr>
                </pic:pic>
              </a:graphicData>
            </a:graphic>
          </wp:inline>
        </w:drawing>
      </w:r>
      <w:r>
        <w:rPr>
          <w:rStyle w:val="FootnoteReference"/>
          <w:bCs/>
        </w:rPr>
        <w:footnoteReference w:id="17"/>
      </w:r>
    </w:p>
    <w:p w14:paraId="444AC60B" w14:textId="12B92432" w:rsidR="0062350F" w:rsidRDefault="0062350F" w:rsidP="0062350F">
      <w:pPr>
        <w:pStyle w:val="Default"/>
        <w:jc w:val="both"/>
        <w:rPr>
          <w:bCs/>
          <w:sz w:val="20"/>
        </w:rPr>
      </w:pPr>
      <w:r w:rsidRPr="00C221B0">
        <w:rPr>
          <w:bCs/>
          <w:sz w:val="20"/>
        </w:rPr>
        <w:t>The above map shows the location of wastewater treatment plants</w:t>
      </w:r>
      <w:r>
        <w:rPr>
          <w:bCs/>
          <w:sz w:val="20"/>
        </w:rPr>
        <w:t xml:space="preserve">, their processing </w:t>
      </w:r>
      <w:r w:rsidRPr="00C221B0">
        <w:rPr>
          <w:bCs/>
          <w:sz w:val="20"/>
        </w:rPr>
        <w:t xml:space="preserve">capacity, as well </w:t>
      </w:r>
      <w:r>
        <w:rPr>
          <w:bCs/>
          <w:sz w:val="20"/>
        </w:rPr>
        <w:t>the area served by each plant.</w:t>
      </w:r>
      <w:r w:rsidR="00137E26">
        <w:rPr>
          <w:bCs/>
          <w:sz w:val="20"/>
        </w:rPr>
        <w:t xml:space="preserve"> Each sewershed covers the area of several community districts; and the capacity of treatment plants varies from Newtown Creek’s 310 MGD at the high end to Oakwood Beach’s 40 MGD at the low end.</w:t>
      </w:r>
    </w:p>
    <w:p w14:paraId="14A88878" w14:textId="36534069" w:rsidR="00CA5946" w:rsidRDefault="00CA5946" w:rsidP="0062350F">
      <w:pPr>
        <w:pStyle w:val="Default"/>
        <w:jc w:val="both"/>
        <w:rPr>
          <w:bCs/>
          <w:sz w:val="20"/>
        </w:rPr>
      </w:pPr>
    </w:p>
    <w:p w14:paraId="32DAC8CC" w14:textId="77777777" w:rsidR="00137E26" w:rsidRPr="00205184" w:rsidRDefault="00137E26" w:rsidP="0062350F">
      <w:pPr>
        <w:pStyle w:val="Default"/>
        <w:jc w:val="both"/>
        <w:rPr>
          <w:bCs/>
          <w:sz w:val="20"/>
        </w:rPr>
      </w:pPr>
    </w:p>
    <w:p w14:paraId="039C65BF" w14:textId="77777777" w:rsidR="0062350F" w:rsidRDefault="0062350F" w:rsidP="0062350F">
      <w:pPr>
        <w:pStyle w:val="Default"/>
        <w:spacing w:line="480" w:lineRule="auto"/>
        <w:jc w:val="both"/>
        <w:rPr>
          <w:i/>
          <w:iCs/>
          <w:u w:val="single"/>
        </w:rPr>
      </w:pPr>
      <w:r>
        <w:rPr>
          <w:i/>
          <w:iCs/>
          <w:u w:val="single"/>
        </w:rPr>
        <w:t xml:space="preserve">Wastewater Based Epidemiology and </w:t>
      </w:r>
      <w:r w:rsidRPr="003C276E">
        <w:rPr>
          <w:i/>
          <w:iCs/>
          <w:u w:val="single"/>
        </w:rPr>
        <w:t xml:space="preserve">Metagenomic Next Gen Sequencing </w:t>
      </w:r>
    </w:p>
    <w:p w14:paraId="21F80A62" w14:textId="24DC8D66" w:rsidR="0062350F" w:rsidRPr="006A5DF2" w:rsidRDefault="0062350F" w:rsidP="0062350F">
      <w:pPr>
        <w:pStyle w:val="Default"/>
        <w:spacing w:line="480" w:lineRule="auto"/>
        <w:jc w:val="both"/>
      </w:pPr>
      <w:r>
        <w:tab/>
        <w:t xml:space="preserve">Wastewater based epidemiology is based on the assumption that </w:t>
      </w:r>
      <w:r w:rsidRPr="006A5DF2">
        <w:t xml:space="preserve">any substance that is excreted by humans and is stable in wastewater can be used to calculate the original concentration excreted by </w:t>
      </w:r>
      <w:r>
        <w:t>a given population</w:t>
      </w:r>
      <w:r w:rsidRPr="006A5DF2">
        <w:t>.</w:t>
      </w:r>
      <w:r>
        <w:rPr>
          <w:rStyle w:val="FootnoteReference"/>
        </w:rPr>
        <w:footnoteReference w:id="18"/>
      </w:r>
      <w:r>
        <w:t xml:space="preserve"> In the past, this framework has been used to calculate illicit drug use, prevalence of Tamiflu use during the 2009 influenza pandemic, and to monitor the prevalence of diseases such as polio.</w:t>
      </w:r>
      <w:r>
        <w:rPr>
          <w:rStyle w:val="FootnoteReference"/>
        </w:rPr>
        <w:footnoteReference w:id="19"/>
      </w:r>
      <w:r>
        <w:t xml:space="preserve"> Because viruses do not grow outside of host cells, changes in concentration of viral particles in wastewater can be used for detection of new viral outbreaks, the emergence of new viral strains, and potentially be extrapolated to determine the extent of infection in a given population.</w:t>
      </w:r>
      <w:r>
        <w:rPr>
          <w:rStyle w:val="FootnoteReference"/>
        </w:rPr>
        <w:footnoteReference w:id="20"/>
      </w:r>
      <w:r>
        <w:t xml:space="preserve"> In the early days of the COVID-19 pandemic, wastewater monitoring was hypothesized as a means of near-real-time outbreak data monitoring due to the continual supply of viral particles shed by infected humans in their urine and feces, regardless of whether individuals were showing symptoms or asymptomatic.</w:t>
      </w:r>
      <w:r>
        <w:rPr>
          <w:rStyle w:val="FootnoteReference"/>
        </w:rPr>
        <w:footnoteReference w:id="21"/>
      </w:r>
      <w:r>
        <w:t xml:space="preserve"> </w:t>
      </w:r>
    </w:p>
    <w:p w14:paraId="43B31BB5" w14:textId="3F3A4EC1" w:rsidR="0062350F" w:rsidRDefault="0062350F" w:rsidP="0062350F">
      <w:pPr>
        <w:pStyle w:val="Default"/>
        <w:spacing w:line="480" w:lineRule="auto"/>
        <w:jc w:val="both"/>
      </w:pPr>
      <w:r>
        <w:tab/>
        <w:t xml:space="preserve">Metagenomic next generation (“next gen”) sequencing refers to any </w:t>
      </w:r>
      <w:r w:rsidRPr="003C276E">
        <w:t xml:space="preserve">high-throughput </w:t>
      </w:r>
      <w:r>
        <w:t xml:space="preserve">genetic </w:t>
      </w:r>
      <w:r w:rsidRPr="003C276E">
        <w:t xml:space="preserve">sequencing methods </w:t>
      </w:r>
      <w:r>
        <w:t>that allow</w:t>
      </w:r>
      <w:r w:rsidRPr="003C276E">
        <w:t xml:space="preserve"> billions of nucleic acid fragments </w:t>
      </w:r>
      <w:r>
        <w:t>to</w:t>
      </w:r>
      <w:r w:rsidRPr="003C276E">
        <w:t xml:space="preserve"> be simultaneously and independently sequenced.</w:t>
      </w:r>
      <w:r>
        <w:rPr>
          <w:rStyle w:val="FootnoteReference"/>
        </w:rPr>
        <w:footnoteReference w:id="22"/>
      </w:r>
      <w:r w:rsidRPr="003C276E">
        <w:t xml:space="preserve"> </w:t>
      </w:r>
      <w:r>
        <w:t>Using computational approaches, overlapping gene sequences are identified, pieced together, then compared to a library of reference genomes in order to show which organisms have contributed genetic material to the sample.</w:t>
      </w:r>
      <w:r>
        <w:rPr>
          <w:rStyle w:val="FootnoteReference"/>
        </w:rPr>
        <w:footnoteReference w:id="23"/>
      </w:r>
      <w:r>
        <w:t xml:space="preserve">  This method of sequencing can simultaneously identify genetic material from completely different kingdoms of organisms, and provide data pertaining to what microbes are present in a given sample, and in what proportions.</w:t>
      </w:r>
      <w:r>
        <w:rPr>
          <w:rStyle w:val="FootnoteReference"/>
        </w:rPr>
        <w:footnoteReference w:id="24"/>
      </w:r>
      <w:r>
        <w:t xml:space="preserve"> As such, its utility in wastewater based epidemiology is not limited to COVID-19 detection, but potentially a wide range of infectious diseases and pathogens.</w:t>
      </w:r>
    </w:p>
    <w:p w14:paraId="415401A4" w14:textId="77777777" w:rsidR="00CA5946" w:rsidRPr="00C54913" w:rsidRDefault="00CA5946" w:rsidP="0062350F">
      <w:pPr>
        <w:pStyle w:val="Default"/>
        <w:spacing w:line="480" w:lineRule="auto"/>
        <w:jc w:val="both"/>
      </w:pPr>
    </w:p>
    <w:p w14:paraId="1F2E6E1B" w14:textId="77777777" w:rsidR="00CA5946" w:rsidRDefault="00CA5946" w:rsidP="0062350F">
      <w:pPr>
        <w:spacing w:line="480" w:lineRule="auto"/>
        <w:jc w:val="both"/>
      </w:pPr>
    </w:p>
    <w:p w14:paraId="4AC4919D" w14:textId="77777777" w:rsidR="0062350F" w:rsidRDefault="0062350F" w:rsidP="0062350F">
      <w:pPr>
        <w:spacing w:line="480" w:lineRule="auto"/>
        <w:ind w:firstLine="0"/>
        <w:jc w:val="both"/>
        <w:rPr>
          <w:i/>
          <w:iCs/>
          <w:u w:val="single"/>
        </w:rPr>
      </w:pPr>
      <w:r w:rsidRPr="008F6A6D">
        <w:rPr>
          <w:i/>
          <w:iCs/>
          <w:u w:val="single"/>
        </w:rPr>
        <w:t>New York City’s SARS -CoV-2 Wastewater Monitoring Pilot Program</w:t>
      </w:r>
    </w:p>
    <w:p w14:paraId="72130601" w14:textId="3396AAE7" w:rsidR="0062350F" w:rsidRDefault="0062350F" w:rsidP="0062350F">
      <w:pPr>
        <w:spacing w:line="480" w:lineRule="auto"/>
        <w:ind w:firstLine="0"/>
        <w:jc w:val="both"/>
      </w:pPr>
      <w:r>
        <w:tab/>
        <w:t xml:space="preserve">Local Law 28 of 2021 </w:t>
      </w:r>
      <w:r w:rsidRPr="008F6A6D">
        <w:rPr>
          <w:color w:val="000000"/>
          <w:shd w:val="clear" w:color="auto" w:fill="FFFFFF"/>
        </w:rPr>
        <w:t>require</w:t>
      </w:r>
      <w:r>
        <w:rPr>
          <w:color w:val="000000"/>
          <w:shd w:val="clear" w:color="auto" w:fill="FFFFFF"/>
        </w:rPr>
        <w:t>d</w:t>
      </w:r>
      <w:r w:rsidRPr="008F6A6D">
        <w:rPr>
          <w:color w:val="000000"/>
          <w:shd w:val="clear" w:color="auto" w:fill="FFFFFF"/>
        </w:rPr>
        <w:t xml:space="preserve"> the Commissioner of Environmental Protection, in consultation with the Commissioner of Health and Mental Hygiene to create a pilot program to test the city’s wastewater treatment plants for the presence of SARS-CoV-2</w:t>
      </w:r>
      <w:r>
        <w:rPr>
          <w:color w:val="000000"/>
          <w:shd w:val="clear" w:color="auto" w:fill="FFFFFF"/>
        </w:rPr>
        <w:t xml:space="preserve"> </w:t>
      </w:r>
      <w:r w:rsidRPr="008F6A6D">
        <w:rPr>
          <w:color w:val="000000"/>
          <w:shd w:val="clear" w:color="auto" w:fill="FFFFFF"/>
        </w:rPr>
        <w:t>and submit a report with the results of the program</w:t>
      </w:r>
      <w:r>
        <w:rPr>
          <w:color w:val="000000"/>
          <w:shd w:val="clear" w:color="auto" w:fill="FFFFFF"/>
        </w:rPr>
        <w:t xml:space="preserve"> to the New York City Council.</w:t>
      </w:r>
      <w:r>
        <w:rPr>
          <w:rStyle w:val="FootnoteReference"/>
          <w:color w:val="000000"/>
          <w:shd w:val="clear" w:color="auto" w:fill="FFFFFF"/>
        </w:rPr>
        <w:footnoteReference w:id="25"/>
      </w:r>
      <w:r>
        <w:rPr>
          <w:color w:val="000000"/>
          <w:shd w:val="clear" w:color="auto" w:fill="FFFFFF"/>
        </w:rPr>
        <w:t xml:space="preserve"> On February 17</w:t>
      </w:r>
      <w:r w:rsidRPr="00FB0BD8">
        <w:rPr>
          <w:color w:val="000000"/>
          <w:shd w:val="clear" w:color="auto" w:fill="FFFFFF"/>
          <w:vertAlign w:val="superscript"/>
        </w:rPr>
        <w:t>th</w:t>
      </w:r>
      <w:r>
        <w:rPr>
          <w:color w:val="000000"/>
          <w:shd w:val="clear" w:color="auto" w:fill="FFFFFF"/>
        </w:rPr>
        <w:t xml:space="preserve"> of 2022, a report titled “Analysis of the effectiveness of a pilot program to monitor SARS-CoV-2 presence in wastewater in New York City” was submitted to the Council, with a summary of responses to the LL 28 reporting requirements, and outlining the findings of the pilot program study.</w:t>
      </w:r>
      <w:r>
        <w:rPr>
          <w:rStyle w:val="FootnoteReference"/>
          <w:color w:val="000000"/>
          <w:shd w:val="clear" w:color="auto" w:fill="FFFFFF"/>
        </w:rPr>
        <w:footnoteReference w:id="26"/>
      </w:r>
      <w:r>
        <w:rPr>
          <w:color w:val="000000"/>
          <w:shd w:val="clear" w:color="auto" w:fill="FFFFFF"/>
        </w:rPr>
        <w:t xml:space="preserve"> </w:t>
      </w:r>
      <w:r>
        <w:t>While the report state</w:t>
      </w:r>
      <w:r w:rsidR="003E0863">
        <w:t>d</w:t>
      </w:r>
      <w:r>
        <w:t xml:space="preserve"> that the pilot was highly effective in developing NYC’s capacity for WBE (wastewater based epidemiology), and allowing DEP to establish methods of measuring SARS-CoV-2 levels, detect</w:t>
      </w:r>
      <w:r w:rsidR="000A7285">
        <w:t>ing</w:t>
      </w:r>
      <w:r>
        <w:t xml:space="preserve"> SARS-CoV-2 variants in wastewater, and </w:t>
      </w:r>
      <w:r w:rsidR="000A7285">
        <w:t>for</w:t>
      </w:r>
      <w:r>
        <w:t xml:space="preserve"> develop</w:t>
      </w:r>
      <w:r w:rsidR="000A7285">
        <w:t>ing</w:t>
      </w:r>
      <w:r>
        <w:t xml:space="preserve"> strong relationships with academic, state, and federal partners, initial expectations about the utility of WBE for providing a leading indicator of COVID-19 infection rates were not borne out.</w:t>
      </w:r>
      <w:r>
        <w:rPr>
          <w:rStyle w:val="FootnoteReference"/>
        </w:rPr>
        <w:footnoteReference w:id="27"/>
      </w:r>
      <w:r>
        <w:t xml:space="preserve">  </w:t>
      </w:r>
    </w:p>
    <w:p w14:paraId="4D3D5780" w14:textId="48399925" w:rsidR="0062350F" w:rsidRPr="003643C2" w:rsidRDefault="0062350F" w:rsidP="003643C2">
      <w:pPr>
        <w:spacing w:line="480" w:lineRule="auto"/>
        <w:jc w:val="both"/>
      </w:pPr>
      <w:r w:rsidRPr="003643C2">
        <w:t xml:space="preserve">For the purposes of the pilot program, DEP collected samples of wastewater entering each of NYC’s 14 </w:t>
      </w:r>
      <w:r w:rsidR="00FD5CF1">
        <w:t>w</w:t>
      </w:r>
      <w:r w:rsidR="00B22400" w:rsidRPr="003643C2">
        <w:t xml:space="preserve">astewater </w:t>
      </w:r>
      <w:r w:rsidR="00FD5CF1">
        <w:t>r</w:t>
      </w:r>
      <w:r w:rsidR="00B22400" w:rsidRPr="003643C2">
        <w:t xml:space="preserve">esource </w:t>
      </w:r>
      <w:r w:rsidR="00FD5CF1">
        <w:t>r</w:t>
      </w:r>
      <w:r w:rsidR="00B22400" w:rsidRPr="003643C2">
        <w:t xml:space="preserve">ecovery </w:t>
      </w:r>
      <w:r w:rsidR="00FD5CF1">
        <w:t>f</w:t>
      </w:r>
      <w:r w:rsidR="00B22400" w:rsidRPr="003643C2">
        <w:t>acilitie</w:t>
      </w:r>
      <w:r w:rsidRPr="003643C2">
        <w:t>s  every three hours over a 24-hour period, then combined those samples into one sample corresponding to a 24-hour period.</w:t>
      </w:r>
      <w:r w:rsidR="003643C2">
        <w:rPr>
          <w:rStyle w:val="FootnoteReference"/>
        </w:rPr>
        <w:footnoteReference w:id="28"/>
      </w:r>
      <w:r w:rsidR="00CA5946" w:rsidRPr="003643C2">
        <w:t xml:space="preserve"> Samples were tested using reverse-transcriptase quantitative polymerase chain reaction (RT-qPCR) twice weekly beginning August 31, 2020, then reduced to once weekly from January 31, 2021 to April 18, 2021.</w:t>
      </w:r>
      <w:r w:rsidR="003643C2">
        <w:rPr>
          <w:rStyle w:val="FootnoteReference"/>
        </w:rPr>
        <w:footnoteReference w:id="29"/>
      </w:r>
      <w:r w:rsidRPr="003643C2">
        <w:t xml:space="preserve"> DEP also carried out localized monitoring in two NYC sewersheds in order to establish protocols.</w:t>
      </w:r>
      <w:r w:rsidR="003643C2">
        <w:rPr>
          <w:rStyle w:val="FootnoteReference"/>
        </w:rPr>
        <w:footnoteReference w:id="30"/>
      </w:r>
      <w:r w:rsidR="003643C2">
        <w:t xml:space="preserve"> </w:t>
      </w:r>
      <w:r w:rsidRPr="003643C2">
        <w:t>While DEP was able to demonstrate the utility of subsewershed monitoring in producing locali</w:t>
      </w:r>
      <w:r w:rsidR="00CA5946" w:rsidRPr="003643C2">
        <w:t>zed</w:t>
      </w:r>
    </w:p>
    <w:p w14:paraId="0AAE7253" w14:textId="77777777" w:rsidR="00CA5946" w:rsidRDefault="00CA5946" w:rsidP="00CA5946">
      <w:pPr>
        <w:spacing w:line="480" w:lineRule="auto"/>
        <w:ind w:firstLine="0"/>
        <w:jc w:val="both"/>
      </w:pPr>
      <w:r w:rsidRPr="003435A2">
        <w:rPr>
          <w:color w:val="201F1E"/>
        </w:rPr>
        <w:t>measurements of SARS-CoV-2 RNA</w:t>
      </w:r>
      <w:r>
        <w:rPr>
          <w:color w:val="201F1E"/>
        </w:rPr>
        <w:t xml:space="preserve">, the agency ultimately determined that </w:t>
      </w:r>
      <w:r w:rsidRPr="003435A2">
        <w:rPr>
          <w:color w:val="201F1E"/>
        </w:rPr>
        <w:t xml:space="preserve">localized sampling </w:t>
      </w:r>
      <w:r>
        <w:rPr>
          <w:color w:val="201F1E"/>
        </w:rPr>
        <w:t>was</w:t>
      </w:r>
      <w:r w:rsidRPr="003435A2">
        <w:rPr>
          <w:color w:val="201F1E"/>
        </w:rPr>
        <w:t xml:space="preserve"> </w:t>
      </w:r>
      <w:r>
        <w:rPr>
          <w:color w:val="201F1E"/>
        </w:rPr>
        <w:t xml:space="preserve">too </w:t>
      </w:r>
      <w:r w:rsidRPr="003435A2">
        <w:rPr>
          <w:color w:val="201F1E"/>
        </w:rPr>
        <w:t>labor intensive</w:t>
      </w:r>
      <w:r>
        <w:rPr>
          <w:color w:val="201F1E"/>
        </w:rPr>
        <w:t>,</w:t>
      </w:r>
      <w:r w:rsidRPr="003435A2">
        <w:rPr>
          <w:color w:val="201F1E"/>
        </w:rPr>
        <w:t xml:space="preserve"> and diverted staff from </w:t>
      </w:r>
      <w:r>
        <w:rPr>
          <w:color w:val="201F1E"/>
        </w:rPr>
        <w:t>other</w:t>
      </w:r>
      <w:r w:rsidRPr="003435A2">
        <w:rPr>
          <w:color w:val="201F1E"/>
        </w:rPr>
        <w:t xml:space="preserve"> monitoring duties required for DEP’s regulatory compliance.</w:t>
      </w:r>
      <w:r>
        <w:rPr>
          <w:rStyle w:val="FootnoteReference"/>
          <w:color w:val="201F1E"/>
        </w:rPr>
        <w:footnoteReference w:id="31"/>
      </w:r>
      <w:r>
        <w:rPr>
          <w:color w:val="201F1E"/>
        </w:rPr>
        <w:t xml:space="preserve"> </w:t>
      </w:r>
      <w:r>
        <w:t>Due to the need to test each round of sampling to verify results, and the effort involved in reconnaissance of manhole sites, and coordination of traffic control needed to safely undergo sampling, DEP found that the localized sampling would best be utilized in very limited fashion, over small areas, and under specific circumstances.</w:t>
      </w:r>
      <w:r>
        <w:rPr>
          <w:rStyle w:val="FootnoteReference"/>
        </w:rPr>
        <w:footnoteReference w:id="32"/>
      </w:r>
    </w:p>
    <w:p w14:paraId="61649E43" w14:textId="48EC1EB7" w:rsidR="00CA5946" w:rsidRDefault="00CA5946" w:rsidP="00CA5946">
      <w:pPr>
        <w:spacing w:line="480" w:lineRule="auto"/>
        <w:ind w:right="220"/>
        <w:jc w:val="both"/>
      </w:pPr>
      <w:r>
        <w:t>DEP and its partners at CUNY (City University of New York) utilized a targeted sequencing approach to identify variants within sewersheds.</w:t>
      </w:r>
      <w:r>
        <w:rPr>
          <w:rStyle w:val="FootnoteReference"/>
        </w:rPr>
        <w:footnoteReference w:id="33"/>
      </w:r>
      <w:r>
        <w:t xml:space="preserve"> Because the approach only sequenced a portion of the SARS-COV-2 genome, it could not distinguish between all the known SARS-COV-2 variants, but was able to detect the most prevalent variants, such as Alpha, Delta, and Omicron in NYC’s wastewater.</w:t>
      </w:r>
      <w:r>
        <w:rPr>
          <w:rStyle w:val="FootnoteReference"/>
        </w:rPr>
        <w:footnoteReference w:id="34"/>
      </w:r>
      <w:r>
        <w:t xml:space="preserve"> Additionally, DEP was able to identify  SARS-C</w:t>
      </w:r>
      <w:r w:rsidR="000128DF">
        <w:t>o</w:t>
      </w:r>
      <w:r>
        <w:t>V-2 mutations that were not detected in sequencing of clinical specimens in NYC,  specifically in the sewersheds of Oakwood Beach and Owls Head.  Localized sampling was utilized to pinpoint the origin of some mutations to one of the nine subsewersheds served by the Oakwood Beach WRRF in Staten Island.</w:t>
      </w:r>
      <w:r>
        <w:rPr>
          <w:rStyle w:val="FootnoteReference"/>
        </w:rPr>
        <w:footnoteReference w:id="35"/>
      </w:r>
      <w:r>
        <w:t xml:space="preserve"> </w:t>
      </w:r>
    </w:p>
    <w:p w14:paraId="6C184E73" w14:textId="00A72B44" w:rsidR="00CA5946" w:rsidRDefault="00CA5946" w:rsidP="00CA5946">
      <w:pPr>
        <w:spacing w:line="480" w:lineRule="auto"/>
        <w:ind w:right="60"/>
        <w:jc w:val="both"/>
      </w:pPr>
      <w:r>
        <w:t xml:space="preserve">In order to be useful as a leading indicator, data from wastewater </w:t>
      </w:r>
      <w:r w:rsidR="00BB6C52">
        <w:t xml:space="preserve">testing </w:t>
      </w:r>
      <w:r>
        <w:t>would need to</w:t>
      </w:r>
      <w:r w:rsidR="00BB6C52">
        <w:t xml:space="preserve"> be able to</w:t>
      </w:r>
      <w:r>
        <w:t xml:space="preserve"> identify peaks in advance of the percent positivity rate of the City’s testing apparatus.</w:t>
      </w:r>
      <w:r>
        <w:rPr>
          <w:rStyle w:val="FootnoteReference"/>
        </w:rPr>
        <w:footnoteReference w:id="36"/>
      </w:r>
      <w:r>
        <w:t xml:space="preserve"> However, the study found that while the figures from wastewater testing tended to corroborate the percent positivity rate, there was a lag of about two weeks in the wastewater data as compared to the percent positivity data.</w:t>
      </w:r>
      <w:r>
        <w:rPr>
          <w:rStyle w:val="FootnoteReference"/>
        </w:rPr>
        <w:footnoteReference w:id="37"/>
      </w:r>
      <w:r>
        <w:t xml:space="preserve"> The sensitivity level of current testing methods and the high rate of dilution of potential samples was identified as a potential reason for this lag, though evaluation of how trends in SARS-CoV-2 RNA levels can be used as a leading indicator is still ongoing.</w:t>
      </w:r>
      <w:r>
        <w:rPr>
          <w:rStyle w:val="FootnoteReference"/>
        </w:rPr>
        <w:footnoteReference w:id="38"/>
      </w:r>
      <w:r>
        <w:t xml:space="preserve"> </w:t>
      </w:r>
    </w:p>
    <w:p w14:paraId="27A06186" w14:textId="47AD9B6B" w:rsidR="00CC0CDC" w:rsidRDefault="00AA3684" w:rsidP="00CC0CDC">
      <w:pPr>
        <w:pStyle w:val="BodyText"/>
        <w:suppressLineNumbers/>
        <w:tabs>
          <w:tab w:val="left" w:pos="0"/>
        </w:tabs>
      </w:pPr>
      <w:r>
        <w:t xml:space="preserve">In August of 2022, </w:t>
      </w:r>
      <w:r w:rsidR="00BB6C52">
        <w:t>t</w:t>
      </w:r>
      <w:r w:rsidRPr="00AA3684">
        <w:t>he New York State Department of Health (NYSDOH) and the DOHMH </w:t>
      </w:r>
      <w:r>
        <w:t>announced that poliovirus had been detected in New York City wastewater samples, urging</w:t>
      </w:r>
      <w:r w:rsidR="00CC0CDC">
        <w:t xml:space="preserve"> local residents who had not been vaccinated against the virus to consider doing so. </w:t>
      </w:r>
      <w:r w:rsidR="00CC0CDC">
        <w:rPr>
          <w:rStyle w:val="FootnoteReference"/>
        </w:rPr>
        <w:footnoteReference w:id="39"/>
      </w:r>
      <w:r w:rsidR="00CC0CDC">
        <w:t xml:space="preserve"> On September 9, 2022, Governor Kathy Hochul announced a state of emergency in response to the evidence of community spread of the virus, after poliovirus was detected in wastewater samples </w:t>
      </w:r>
      <w:r w:rsidR="00CC0CDC" w:rsidRPr="00CC0CDC">
        <w:t>collected from Rockland County, Orange County, Sullivan County, New York City, and</w:t>
      </w:r>
      <w:r w:rsidR="00CC0CDC">
        <w:t xml:space="preserve"> </w:t>
      </w:r>
      <w:r w:rsidR="00CC0CDC" w:rsidRPr="00CC0CDC">
        <w:t>Nassau County</w:t>
      </w:r>
      <w:r w:rsidR="00CC0CDC">
        <w:t>.</w:t>
      </w:r>
      <w:r w:rsidR="00CC0CDC">
        <w:rPr>
          <w:rStyle w:val="FootnoteReference"/>
        </w:rPr>
        <w:footnoteReference w:id="40"/>
      </w:r>
      <w:r w:rsidR="00C00951">
        <w:t xml:space="preserve"> A permanent monitoring program that tests New York City wastewater for pathogens and viruses of concern may be useful in monitoring public health trends for emerging risks. </w:t>
      </w:r>
    </w:p>
    <w:p w14:paraId="6A3033A8" w14:textId="77777777" w:rsidR="002A2760" w:rsidRDefault="002A2760" w:rsidP="00CC0CDC">
      <w:pPr>
        <w:pStyle w:val="BodyText"/>
        <w:suppressLineNumbers/>
        <w:tabs>
          <w:tab w:val="left" w:pos="0"/>
        </w:tabs>
      </w:pPr>
    </w:p>
    <w:p w14:paraId="2E20E399" w14:textId="58429C44" w:rsidR="00FD5CF1" w:rsidRPr="005A6373" w:rsidRDefault="00FD5CF1" w:rsidP="00FD5CF1">
      <w:pPr>
        <w:pStyle w:val="BodyText"/>
        <w:suppressLineNumbers/>
        <w:tabs>
          <w:tab w:val="left" w:pos="0"/>
        </w:tabs>
        <w:ind w:firstLine="0"/>
        <w:rPr>
          <w:i/>
          <w:iCs/>
          <w:u w:val="single"/>
        </w:rPr>
      </w:pPr>
      <w:r w:rsidRPr="005A6373">
        <w:rPr>
          <w:i/>
          <w:iCs/>
          <w:u w:val="single"/>
        </w:rPr>
        <w:t>Microplastics</w:t>
      </w:r>
    </w:p>
    <w:p w14:paraId="345F6967" w14:textId="530FA733" w:rsidR="00AA3684" w:rsidRPr="00AA3684" w:rsidRDefault="006A765C" w:rsidP="005A6373">
      <w:pPr>
        <w:pStyle w:val="BodyText"/>
        <w:suppressLineNumbers/>
        <w:tabs>
          <w:tab w:val="left" w:pos="0"/>
        </w:tabs>
        <w:ind w:firstLine="0"/>
      </w:pPr>
      <w:r>
        <w:tab/>
        <w:t xml:space="preserve">According to the United States National Oceanic and Atmospheric Administration, microplastics are </w:t>
      </w:r>
      <w:r w:rsidR="00580A75">
        <w:t xml:space="preserve">categorized </w:t>
      </w:r>
      <w:r w:rsidR="002A2760">
        <w:t xml:space="preserve">as </w:t>
      </w:r>
      <w:r>
        <w:t xml:space="preserve">small pieces of </w:t>
      </w:r>
      <w:r w:rsidR="00580A75">
        <w:t xml:space="preserve">any </w:t>
      </w:r>
      <w:r>
        <w:t>plastic material under 5 millimeters in length.</w:t>
      </w:r>
      <w:r>
        <w:rPr>
          <w:rStyle w:val="FootnoteReference"/>
        </w:rPr>
        <w:footnoteReference w:id="41"/>
      </w:r>
      <w:r>
        <w:t xml:space="preserve"> Microplastics are ubiquitous in the environment, having been found in both marine and freshwater habitats, in the atmosphere, in food and water systems, </w:t>
      </w:r>
      <w:r w:rsidR="002A2760">
        <w:t xml:space="preserve">and </w:t>
      </w:r>
      <w:r>
        <w:t xml:space="preserve">even </w:t>
      </w:r>
      <w:r w:rsidR="002A2760">
        <w:t xml:space="preserve">being found as far as </w:t>
      </w:r>
      <w:r>
        <w:t>both the north and south poles.</w:t>
      </w:r>
      <w:r>
        <w:rPr>
          <w:rStyle w:val="FootnoteReference"/>
        </w:rPr>
        <w:footnoteReference w:id="42"/>
      </w:r>
      <w:r w:rsidR="00580A75">
        <w:t xml:space="preserve"> While the health ramifications of microplastic exposure in humans are still unclear,</w:t>
      </w:r>
      <w:r w:rsidR="00580A75">
        <w:rPr>
          <w:rStyle w:val="FootnoteReference"/>
        </w:rPr>
        <w:footnoteReference w:id="43"/>
      </w:r>
      <w:r w:rsidR="00580A75">
        <w:t xml:space="preserve"> in </w:t>
      </w:r>
      <w:r w:rsidR="00580A75" w:rsidRPr="002F4A97">
        <w:rPr>
          <w:rFonts w:eastAsia="Times New Roman"/>
        </w:rPr>
        <w:t>2022</w:t>
      </w:r>
      <w:r w:rsidR="00580A75">
        <w:rPr>
          <w:rFonts w:eastAsia="Times New Roman"/>
        </w:rPr>
        <w:t xml:space="preserve">, a </w:t>
      </w:r>
      <w:r w:rsidR="00580A75" w:rsidRPr="002F4A97">
        <w:rPr>
          <w:rFonts w:eastAsia="Times New Roman"/>
        </w:rPr>
        <w:t>study analyzing blood samples from 22 anonymous donors found the presence of microplastics in 80% of the individuals tested</w:t>
      </w:r>
      <w:r w:rsidR="00580A75">
        <w:rPr>
          <w:rFonts w:eastAsia="Times New Roman"/>
        </w:rPr>
        <w:t>.</w:t>
      </w:r>
      <w:r w:rsidR="00580A75">
        <w:rPr>
          <w:rStyle w:val="FootnoteReference"/>
          <w:rFonts w:eastAsia="Times New Roman"/>
        </w:rPr>
        <w:footnoteReference w:id="44"/>
      </w:r>
      <w:r w:rsidR="00580A75">
        <w:rPr>
          <w:rFonts w:eastAsia="Times New Roman"/>
        </w:rPr>
        <w:t xml:space="preserve"> M</w:t>
      </w:r>
      <w:r w:rsidR="00580A75" w:rsidRPr="002F4A97">
        <w:rPr>
          <w:rFonts w:eastAsia="Times New Roman"/>
        </w:rPr>
        <w:t>icroplastic particles can latch onto red blood cells, potentially limiting their ability to transport oxygen, can accumulate in the placentas of pregnant individuals, and can collect in the hearts, brains, and organs of rat fetuses</w:t>
      </w:r>
      <w:r w:rsidR="00580A75">
        <w:rPr>
          <w:rFonts w:eastAsia="Times New Roman"/>
        </w:rPr>
        <w:t>.</w:t>
      </w:r>
      <w:r w:rsidR="00580A75">
        <w:rPr>
          <w:rStyle w:val="FootnoteReference"/>
          <w:rFonts w:eastAsia="Times New Roman"/>
        </w:rPr>
        <w:footnoteReference w:id="45"/>
      </w:r>
      <w:r w:rsidR="00580A75">
        <w:rPr>
          <w:rFonts w:eastAsia="Times New Roman"/>
        </w:rPr>
        <w:t xml:space="preserve"> A 2017 study undertaken by environmental advocacy group Orb Media analyzing 159 samples of tap and bottled water from 14 countries found that </w:t>
      </w:r>
      <w:r w:rsidR="00CE65C8">
        <w:rPr>
          <w:rFonts w:eastAsia="Times New Roman"/>
        </w:rPr>
        <w:t>over 80% of specimens tested were contaminated with microplastics, with 94% of samples from the United States found to be contaminated.</w:t>
      </w:r>
      <w:r w:rsidR="00CE65C8">
        <w:rPr>
          <w:rStyle w:val="FootnoteReference"/>
          <w:rFonts w:eastAsia="Times New Roman"/>
        </w:rPr>
        <w:footnoteReference w:id="46"/>
      </w:r>
    </w:p>
    <w:p w14:paraId="6FAA54D5" w14:textId="77777777" w:rsidR="00CA5946" w:rsidRDefault="00CA5946" w:rsidP="00CA5946">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445E82E0" w14:textId="6BDA7E8D" w:rsidR="004909F9" w:rsidRPr="009402CF" w:rsidRDefault="004909F9">
      <w:pPr>
        <w:spacing w:line="480" w:lineRule="auto"/>
        <w:ind w:firstLine="0"/>
        <w:jc w:val="both"/>
        <w:rPr>
          <w:rFonts w:ascii="Times New Roman Bold" w:hAnsi="Times New Roman Bold"/>
          <w:b/>
          <w:smallCaps/>
        </w:rPr>
      </w:pPr>
      <w:r w:rsidRPr="004909F9">
        <w:rPr>
          <w:b/>
        </w:rPr>
        <w:t>IV.</w:t>
      </w:r>
      <w:r>
        <w:rPr>
          <w:b/>
        </w:rPr>
        <w:tab/>
      </w:r>
      <w:r w:rsidR="00CA5946" w:rsidRPr="009402CF">
        <w:rPr>
          <w:rFonts w:ascii="Times New Roman Bold" w:hAnsi="Times New Roman Bold"/>
          <w:b/>
          <w:smallCaps/>
        </w:rPr>
        <w:t>Conclusio</w:t>
      </w:r>
      <w:r>
        <w:rPr>
          <w:rFonts w:ascii="Times New Roman Bold" w:hAnsi="Times New Roman Bold"/>
          <w:b/>
          <w:smallCaps/>
        </w:rPr>
        <w:t>n</w:t>
      </w:r>
    </w:p>
    <w:p w14:paraId="3ADA9E1F" w14:textId="0AA7871A" w:rsidR="00CA5946" w:rsidRDefault="004909F9" w:rsidP="009402CF">
      <w:pPr>
        <w:autoSpaceDE w:val="0"/>
        <w:autoSpaceDN w:val="0"/>
        <w:adjustRightInd w:val="0"/>
        <w:spacing w:before="120" w:after="120" w:line="480" w:lineRule="auto"/>
        <w:ind w:firstLine="0"/>
        <w:jc w:val="both"/>
      </w:pPr>
      <w:r>
        <w:tab/>
      </w:r>
      <w:r w:rsidR="00CA5946">
        <w:t>During today’s hearing, the Committee hopes to hear testimony from representatives of the relevant City agencies on the utility and limits of New York City’s wastewater based epidemiology program. The Committee would like to hear from academics in the field of wastewater based epidemiology,</w:t>
      </w:r>
      <w:r w:rsidR="00AA3684">
        <w:t xml:space="preserve"> environmental advocates,</w:t>
      </w:r>
      <w:r w:rsidR="00CA5946">
        <w:t xml:space="preserve"> and other interested partie</w:t>
      </w:r>
      <w:r>
        <w:t>s</w:t>
      </w:r>
    </w:p>
    <w:p w14:paraId="3AD5DC27" w14:textId="76B8E93C" w:rsidR="004909F9" w:rsidRPr="009402CF" w:rsidRDefault="004909F9" w:rsidP="009402CF">
      <w:pPr>
        <w:ind w:firstLine="0"/>
        <w:rPr>
          <w:b/>
        </w:rPr>
      </w:pPr>
      <w:r w:rsidRPr="009402CF">
        <w:rPr>
          <w:b/>
        </w:rPr>
        <w:t xml:space="preserve">V. </w:t>
      </w:r>
      <w:r>
        <w:rPr>
          <w:b/>
        </w:rPr>
        <w:tab/>
      </w:r>
      <w:r w:rsidRPr="009402CF">
        <w:rPr>
          <w:rFonts w:ascii="Times New Roman Bold" w:hAnsi="Times New Roman Bold"/>
          <w:b/>
          <w:smallCaps/>
        </w:rPr>
        <w:t>Legislation</w:t>
      </w:r>
    </w:p>
    <w:p w14:paraId="7747634D" w14:textId="6D559378" w:rsidR="00CA5946" w:rsidRDefault="00CA5946" w:rsidP="00CA5946">
      <w:pPr>
        <w:spacing w:line="480" w:lineRule="auto"/>
        <w:ind w:right="480" w:firstLine="0"/>
        <w:jc w:val="both"/>
      </w:pPr>
    </w:p>
    <w:p w14:paraId="6E3D0009" w14:textId="104CE2C0" w:rsidR="004909F9" w:rsidRDefault="004909F9" w:rsidP="00CA5946">
      <w:pPr>
        <w:spacing w:line="480" w:lineRule="auto"/>
        <w:ind w:right="480" w:firstLine="0"/>
        <w:jc w:val="both"/>
      </w:pPr>
      <w:r>
        <w:tab/>
      </w:r>
      <w:r w:rsidRPr="009402CF">
        <w:rPr>
          <w:b/>
        </w:rPr>
        <w:t>Int. No.  530</w:t>
      </w:r>
      <w:r>
        <w:t xml:space="preserve"> would require DEP to notify</w:t>
      </w:r>
      <w:r w:rsidRPr="004909F9">
        <w:t xml:space="preserve"> relevant community boards and district offices of </w:t>
      </w:r>
      <w:r>
        <w:t>affected</w:t>
      </w:r>
      <w:r w:rsidRPr="004909F9">
        <w:t xml:space="preserve"> council members 48 hours in advance of any work </w:t>
      </w:r>
      <w:r>
        <w:t>the agency might do</w:t>
      </w:r>
      <w:r w:rsidRPr="004909F9">
        <w:t xml:space="preserve"> that could lead to discolored water or the reduction or loss of water pressure</w:t>
      </w:r>
      <w:r>
        <w:t>, except for in cases of emergency work due to imminent risks to public health and safety, where DEP will be required to inform the relevant community boards and members offices via e-mail within 5 days of the conclusion of the work</w:t>
      </w:r>
      <w:r w:rsidRPr="004909F9">
        <w:t>.</w:t>
      </w:r>
      <w:r>
        <w:t xml:space="preserve"> This local law would take effect immediately. </w:t>
      </w:r>
    </w:p>
    <w:p w14:paraId="0CC3F342" w14:textId="64B5025F" w:rsidR="00DF57DC" w:rsidRDefault="004909F9" w:rsidP="00DF57DC">
      <w:pPr>
        <w:spacing w:line="480" w:lineRule="auto"/>
        <w:ind w:right="480"/>
        <w:jc w:val="both"/>
      </w:pPr>
      <w:r w:rsidRPr="00DF57DC">
        <w:rPr>
          <w:b/>
          <w:bCs/>
        </w:rPr>
        <w:t xml:space="preserve">Int No. </w:t>
      </w:r>
      <w:r w:rsidR="009402CF" w:rsidRPr="00DF57DC">
        <w:rPr>
          <w:b/>
          <w:bCs/>
        </w:rPr>
        <w:t>633</w:t>
      </w:r>
      <w:r w:rsidR="009402CF">
        <w:t xml:space="preserve"> would </w:t>
      </w:r>
      <w:r w:rsidR="00DF57DC" w:rsidRPr="00DF57DC">
        <w:t>require DEP and the Department of Health and Mental Hygiene to permanently establish the COVID-19 Wastewater Testing Program initially established through Local Law 28 of 2021</w:t>
      </w:r>
      <w:r w:rsidR="00DF57DC">
        <w:t xml:space="preserve">. The bill would also require the DOHMH to publish results on a public facing website on a weekly basis,  and submit a report in consultation with DEP to the Mayor and the Speaker of the City Council by August 31 of </w:t>
      </w:r>
      <w:r w:rsidR="00BB6C52">
        <w:t xml:space="preserve">each </w:t>
      </w:r>
      <w:r w:rsidR="00DF57DC">
        <w:t>year. This local law would take effect immediately.</w:t>
      </w:r>
    </w:p>
    <w:p w14:paraId="45A1F395" w14:textId="75447513" w:rsidR="00DF57DC" w:rsidRPr="003435A2" w:rsidRDefault="00DF57DC" w:rsidP="00DF57DC">
      <w:pPr>
        <w:spacing w:line="480" w:lineRule="auto"/>
        <w:ind w:right="480"/>
        <w:jc w:val="both"/>
        <w:sectPr w:rsidR="00DF57DC" w:rsidRPr="003435A2" w:rsidSect="003643C2">
          <w:footerReference w:type="default" r:id="rId10"/>
          <w:type w:val="continuous"/>
          <w:pgSz w:w="12240" w:h="15840"/>
          <w:pgMar w:top="1440" w:right="1440" w:bottom="1440" w:left="1440" w:header="0" w:footer="0" w:gutter="0"/>
          <w:cols w:space="0" w:equalWidth="0">
            <w:col w:w="9720"/>
          </w:cols>
          <w:docGrid w:linePitch="360"/>
        </w:sectPr>
      </w:pPr>
      <w:r w:rsidRPr="00DF57DC">
        <w:rPr>
          <w:b/>
          <w:bCs/>
        </w:rPr>
        <w:t>Int. No.  797</w:t>
      </w:r>
      <w:r>
        <w:t xml:space="preserve">  would require the DEP to add microplastics testing to its standard drinking water testing of street-side drinking water sample testing stations, and to post the resulting tests online. The bill would also require  DEP to promulgate regulations or create standards  for testing the city’s drinking water for microplastics.  This local law would take effect 180 days after it becomes law.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909F9" w:rsidRPr="004909F9" w14:paraId="3EB9FD68" w14:textId="77777777" w:rsidTr="004909F9">
        <w:trPr>
          <w:tblCellSpacing w:w="0" w:type="dxa"/>
        </w:trPr>
        <w:tc>
          <w:tcPr>
            <w:tcW w:w="0" w:type="auto"/>
            <w:shd w:val="clear" w:color="auto" w:fill="FFFFFF"/>
            <w:vAlign w:val="center"/>
            <w:hideMark/>
          </w:tcPr>
          <w:p w14:paraId="06A1E3C4" w14:textId="77777777" w:rsidR="00CE65C8" w:rsidRDefault="00CE65C8" w:rsidP="004909F9">
            <w:pPr>
              <w:shd w:val="clear" w:color="auto" w:fill="FFFFFF"/>
              <w:ind w:firstLine="0"/>
              <w:jc w:val="center"/>
              <w:rPr>
                <w:color w:val="000000"/>
              </w:rPr>
            </w:pPr>
            <w:bookmarkStart w:id="1" w:name="page3"/>
            <w:bookmarkEnd w:id="1"/>
          </w:p>
          <w:p w14:paraId="4CF35F39" w14:textId="77777777" w:rsidR="00CE65C8" w:rsidRDefault="00CE65C8" w:rsidP="004909F9">
            <w:pPr>
              <w:shd w:val="clear" w:color="auto" w:fill="FFFFFF"/>
              <w:ind w:firstLine="0"/>
              <w:jc w:val="center"/>
              <w:rPr>
                <w:color w:val="000000"/>
              </w:rPr>
            </w:pPr>
          </w:p>
          <w:p w14:paraId="16512A8C" w14:textId="77777777" w:rsidR="00CE65C8" w:rsidRDefault="00CE65C8" w:rsidP="004909F9">
            <w:pPr>
              <w:shd w:val="clear" w:color="auto" w:fill="FFFFFF"/>
              <w:ind w:firstLine="0"/>
              <w:jc w:val="center"/>
              <w:rPr>
                <w:color w:val="000000"/>
              </w:rPr>
            </w:pPr>
          </w:p>
          <w:p w14:paraId="3CA11387" w14:textId="77777777" w:rsidR="00CE65C8" w:rsidRDefault="00CE65C8" w:rsidP="004909F9">
            <w:pPr>
              <w:shd w:val="clear" w:color="auto" w:fill="FFFFFF"/>
              <w:ind w:firstLine="0"/>
              <w:jc w:val="center"/>
              <w:rPr>
                <w:color w:val="000000"/>
              </w:rPr>
            </w:pPr>
          </w:p>
          <w:p w14:paraId="1264B65F" w14:textId="77777777" w:rsidR="00CE65C8" w:rsidRDefault="00CE65C8" w:rsidP="004909F9">
            <w:pPr>
              <w:shd w:val="clear" w:color="auto" w:fill="FFFFFF"/>
              <w:ind w:firstLine="0"/>
              <w:jc w:val="center"/>
              <w:rPr>
                <w:color w:val="000000"/>
              </w:rPr>
            </w:pPr>
          </w:p>
          <w:p w14:paraId="08EF1433" w14:textId="77777777" w:rsidR="00CE65C8" w:rsidRDefault="00CE65C8" w:rsidP="004909F9">
            <w:pPr>
              <w:shd w:val="clear" w:color="auto" w:fill="FFFFFF"/>
              <w:ind w:firstLine="0"/>
              <w:jc w:val="center"/>
              <w:rPr>
                <w:color w:val="000000"/>
              </w:rPr>
            </w:pPr>
          </w:p>
          <w:p w14:paraId="66101A26" w14:textId="77777777" w:rsidR="00CE65C8" w:rsidRDefault="00CE65C8" w:rsidP="004909F9">
            <w:pPr>
              <w:shd w:val="clear" w:color="auto" w:fill="FFFFFF"/>
              <w:ind w:firstLine="0"/>
              <w:jc w:val="center"/>
              <w:rPr>
                <w:color w:val="000000"/>
              </w:rPr>
            </w:pPr>
          </w:p>
          <w:p w14:paraId="1F687CF3" w14:textId="77777777" w:rsidR="00CE65C8" w:rsidRDefault="00CE65C8" w:rsidP="004909F9">
            <w:pPr>
              <w:shd w:val="clear" w:color="auto" w:fill="FFFFFF"/>
              <w:ind w:firstLine="0"/>
              <w:jc w:val="center"/>
              <w:rPr>
                <w:color w:val="000000"/>
              </w:rPr>
            </w:pPr>
          </w:p>
          <w:p w14:paraId="18CA6CEF" w14:textId="77777777" w:rsidR="00CE65C8" w:rsidRDefault="00CE65C8" w:rsidP="004909F9">
            <w:pPr>
              <w:shd w:val="clear" w:color="auto" w:fill="FFFFFF"/>
              <w:ind w:firstLine="0"/>
              <w:jc w:val="center"/>
              <w:rPr>
                <w:color w:val="000000"/>
              </w:rPr>
            </w:pPr>
          </w:p>
          <w:p w14:paraId="2B06C6A4" w14:textId="77777777" w:rsidR="00CE65C8" w:rsidRDefault="00CE65C8" w:rsidP="004909F9">
            <w:pPr>
              <w:shd w:val="clear" w:color="auto" w:fill="FFFFFF"/>
              <w:ind w:firstLine="0"/>
              <w:jc w:val="center"/>
              <w:rPr>
                <w:color w:val="000000"/>
              </w:rPr>
            </w:pPr>
          </w:p>
          <w:p w14:paraId="035283DF" w14:textId="77777777" w:rsidR="00CE65C8" w:rsidRDefault="00CE65C8" w:rsidP="004909F9">
            <w:pPr>
              <w:shd w:val="clear" w:color="auto" w:fill="FFFFFF"/>
              <w:ind w:firstLine="0"/>
              <w:jc w:val="center"/>
              <w:rPr>
                <w:color w:val="000000"/>
              </w:rPr>
            </w:pPr>
          </w:p>
          <w:p w14:paraId="1955513F" w14:textId="77777777" w:rsidR="00CE65C8" w:rsidRDefault="00CE65C8" w:rsidP="004909F9">
            <w:pPr>
              <w:shd w:val="clear" w:color="auto" w:fill="FFFFFF"/>
              <w:ind w:firstLine="0"/>
              <w:jc w:val="center"/>
              <w:rPr>
                <w:color w:val="000000"/>
              </w:rPr>
            </w:pPr>
          </w:p>
          <w:p w14:paraId="0EEAC48F" w14:textId="77777777" w:rsidR="00CE65C8" w:rsidRDefault="00CE65C8" w:rsidP="004909F9">
            <w:pPr>
              <w:shd w:val="clear" w:color="auto" w:fill="FFFFFF"/>
              <w:ind w:firstLine="0"/>
              <w:jc w:val="center"/>
              <w:rPr>
                <w:color w:val="000000"/>
              </w:rPr>
            </w:pPr>
          </w:p>
          <w:p w14:paraId="4D84FBDB" w14:textId="77777777" w:rsidR="00CE65C8" w:rsidRDefault="00CE65C8" w:rsidP="004909F9">
            <w:pPr>
              <w:shd w:val="clear" w:color="auto" w:fill="FFFFFF"/>
              <w:ind w:firstLine="0"/>
              <w:jc w:val="center"/>
              <w:rPr>
                <w:color w:val="000000"/>
              </w:rPr>
            </w:pPr>
          </w:p>
          <w:p w14:paraId="0FF02233" w14:textId="77777777" w:rsidR="00CE65C8" w:rsidRDefault="00CE65C8" w:rsidP="004909F9">
            <w:pPr>
              <w:shd w:val="clear" w:color="auto" w:fill="FFFFFF"/>
              <w:ind w:firstLine="0"/>
              <w:jc w:val="center"/>
              <w:rPr>
                <w:color w:val="000000"/>
              </w:rPr>
            </w:pPr>
          </w:p>
          <w:p w14:paraId="201D44F0" w14:textId="77777777" w:rsidR="00CE65C8" w:rsidRDefault="00CE65C8" w:rsidP="004909F9">
            <w:pPr>
              <w:shd w:val="clear" w:color="auto" w:fill="FFFFFF"/>
              <w:ind w:firstLine="0"/>
              <w:jc w:val="center"/>
              <w:rPr>
                <w:color w:val="000000"/>
              </w:rPr>
            </w:pPr>
          </w:p>
          <w:p w14:paraId="46E4A766" w14:textId="77777777" w:rsidR="00CE65C8" w:rsidRDefault="00CE65C8" w:rsidP="004909F9">
            <w:pPr>
              <w:shd w:val="clear" w:color="auto" w:fill="FFFFFF"/>
              <w:ind w:firstLine="0"/>
              <w:jc w:val="center"/>
              <w:rPr>
                <w:color w:val="000000"/>
              </w:rPr>
            </w:pPr>
          </w:p>
          <w:p w14:paraId="33B5B6D2" w14:textId="77777777" w:rsidR="00CE65C8" w:rsidRPr="00CE65C8" w:rsidRDefault="00CE65C8" w:rsidP="004909F9">
            <w:pPr>
              <w:shd w:val="clear" w:color="auto" w:fill="FFFFFF"/>
              <w:ind w:firstLine="0"/>
              <w:jc w:val="center"/>
              <w:rPr>
                <w:smallCaps/>
                <w:color w:val="000000"/>
              </w:rPr>
            </w:pPr>
          </w:p>
          <w:p w14:paraId="183960FC" w14:textId="61FA8AE4" w:rsidR="00CE65C8" w:rsidRPr="00CE65C8" w:rsidRDefault="00CE65C8" w:rsidP="004909F9">
            <w:pPr>
              <w:shd w:val="clear" w:color="auto" w:fill="FFFFFF"/>
              <w:ind w:firstLine="0"/>
              <w:jc w:val="center"/>
              <w:rPr>
                <w:smallCaps/>
                <w:color w:val="000000"/>
              </w:rPr>
            </w:pPr>
            <w:r w:rsidRPr="00CE65C8">
              <w:rPr>
                <w:smallCaps/>
                <w:color w:val="000000"/>
              </w:rPr>
              <w:t>[This Page Intentionally Left Blank]</w:t>
            </w:r>
          </w:p>
          <w:p w14:paraId="7B46EF5B" w14:textId="77777777" w:rsidR="00CE65C8" w:rsidRDefault="00CE65C8" w:rsidP="004909F9">
            <w:pPr>
              <w:shd w:val="clear" w:color="auto" w:fill="FFFFFF"/>
              <w:ind w:firstLine="0"/>
              <w:jc w:val="center"/>
              <w:rPr>
                <w:color w:val="000000"/>
              </w:rPr>
            </w:pPr>
          </w:p>
          <w:p w14:paraId="629EF423" w14:textId="77777777" w:rsidR="00CE65C8" w:rsidRDefault="00CE65C8" w:rsidP="004909F9">
            <w:pPr>
              <w:shd w:val="clear" w:color="auto" w:fill="FFFFFF"/>
              <w:ind w:firstLine="0"/>
              <w:jc w:val="center"/>
              <w:rPr>
                <w:color w:val="000000"/>
              </w:rPr>
            </w:pPr>
          </w:p>
          <w:p w14:paraId="768995FF" w14:textId="77777777" w:rsidR="00CE65C8" w:rsidRDefault="00CE65C8" w:rsidP="004909F9">
            <w:pPr>
              <w:shd w:val="clear" w:color="auto" w:fill="FFFFFF"/>
              <w:ind w:firstLine="0"/>
              <w:jc w:val="center"/>
              <w:rPr>
                <w:color w:val="000000"/>
              </w:rPr>
            </w:pPr>
          </w:p>
          <w:p w14:paraId="62DED260" w14:textId="77777777" w:rsidR="00CE65C8" w:rsidRDefault="00CE65C8" w:rsidP="004909F9">
            <w:pPr>
              <w:shd w:val="clear" w:color="auto" w:fill="FFFFFF"/>
              <w:ind w:firstLine="0"/>
              <w:jc w:val="center"/>
              <w:rPr>
                <w:color w:val="000000"/>
              </w:rPr>
            </w:pPr>
          </w:p>
          <w:p w14:paraId="4ED80D51" w14:textId="77777777" w:rsidR="00CE65C8" w:rsidRDefault="00CE65C8" w:rsidP="004909F9">
            <w:pPr>
              <w:shd w:val="clear" w:color="auto" w:fill="FFFFFF"/>
              <w:ind w:firstLine="0"/>
              <w:jc w:val="center"/>
              <w:rPr>
                <w:color w:val="000000"/>
              </w:rPr>
            </w:pPr>
          </w:p>
          <w:p w14:paraId="44B20359" w14:textId="77777777" w:rsidR="00CE65C8" w:rsidRDefault="00CE65C8" w:rsidP="004909F9">
            <w:pPr>
              <w:shd w:val="clear" w:color="auto" w:fill="FFFFFF"/>
              <w:ind w:firstLine="0"/>
              <w:jc w:val="center"/>
              <w:rPr>
                <w:color w:val="000000"/>
              </w:rPr>
            </w:pPr>
          </w:p>
          <w:p w14:paraId="7255B643" w14:textId="77777777" w:rsidR="00CE65C8" w:rsidRDefault="00CE65C8" w:rsidP="004909F9">
            <w:pPr>
              <w:shd w:val="clear" w:color="auto" w:fill="FFFFFF"/>
              <w:ind w:firstLine="0"/>
              <w:jc w:val="center"/>
              <w:rPr>
                <w:color w:val="000000"/>
              </w:rPr>
            </w:pPr>
          </w:p>
          <w:p w14:paraId="33307F0E" w14:textId="77777777" w:rsidR="00CE65C8" w:rsidRDefault="00CE65C8" w:rsidP="004909F9">
            <w:pPr>
              <w:shd w:val="clear" w:color="auto" w:fill="FFFFFF"/>
              <w:ind w:firstLine="0"/>
              <w:jc w:val="center"/>
              <w:rPr>
                <w:color w:val="000000"/>
              </w:rPr>
            </w:pPr>
          </w:p>
          <w:p w14:paraId="68274DD8" w14:textId="77777777" w:rsidR="00CE65C8" w:rsidRDefault="00CE65C8" w:rsidP="004909F9">
            <w:pPr>
              <w:shd w:val="clear" w:color="auto" w:fill="FFFFFF"/>
              <w:ind w:firstLine="0"/>
              <w:jc w:val="center"/>
              <w:rPr>
                <w:color w:val="000000"/>
              </w:rPr>
            </w:pPr>
          </w:p>
          <w:p w14:paraId="71DA6F38" w14:textId="77777777" w:rsidR="00CE65C8" w:rsidRDefault="00CE65C8" w:rsidP="004909F9">
            <w:pPr>
              <w:shd w:val="clear" w:color="auto" w:fill="FFFFFF"/>
              <w:ind w:firstLine="0"/>
              <w:jc w:val="center"/>
              <w:rPr>
                <w:color w:val="000000"/>
              </w:rPr>
            </w:pPr>
          </w:p>
          <w:p w14:paraId="142B55F6" w14:textId="77777777" w:rsidR="00CE65C8" w:rsidRDefault="00CE65C8" w:rsidP="004909F9">
            <w:pPr>
              <w:shd w:val="clear" w:color="auto" w:fill="FFFFFF"/>
              <w:ind w:firstLine="0"/>
              <w:jc w:val="center"/>
              <w:rPr>
                <w:color w:val="000000"/>
              </w:rPr>
            </w:pPr>
          </w:p>
          <w:p w14:paraId="1982B88B" w14:textId="77777777" w:rsidR="00CE65C8" w:rsidRDefault="00CE65C8" w:rsidP="004909F9">
            <w:pPr>
              <w:shd w:val="clear" w:color="auto" w:fill="FFFFFF"/>
              <w:ind w:firstLine="0"/>
              <w:jc w:val="center"/>
              <w:rPr>
                <w:color w:val="000000"/>
              </w:rPr>
            </w:pPr>
          </w:p>
          <w:p w14:paraId="4545DE34" w14:textId="77777777" w:rsidR="00CE65C8" w:rsidRDefault="00CE65C8" w:rsidP="004909F9">
            <w:pPr>
              <w:shd w:val="clear" w:color="auto" w:fill="FFFFFF"/>
              <w:ind w:firstLine="0"/>
              <w:jc w:val="center"/>
              <w:rPr>
                <w:color w:val="000000"/>
              </w:rPr>
            </w:pPr>
          </w:p>
          <w:p w14:paraId="1AC4F080" w14:textId="77777777" w:rsidR="00CE65C8" w:rsidRDefault="00CE65C8" w:rsidP="004909F9">
            <w:pPr>
              <w:shd w:val="clear" w:color="auto" w:fill="FFFFFF"/>
              <w:ind w:firstLine="0"/>
              <w:jc w:val="center"/>
              <w:rPr>
                <w:color w:val="000000"/>
              </w:rPr>
            </w:pPr>
          </w:p>
          <w:p w14:paraId="2B00555D" w14:textId="77777777" w:rsidR="00CE65C8" w:rsidRDefault="00CE65C8" w:rsidP="004909F9">
            <w:pPr>
              <w:shd w:val="clear" w:color="auto" w:fill="FFFFFF"/>
              <w:ind w:firstLine="0"/>
              <w:jc w:val="center"/>
              <w:rPr>
                <w:color w:val="000000"/>
              </w:rPr>
            </w:pPr>
          </w:p>
          <w:p w14:paraId="5A0A35AF" w14:textId="77777777" w:rsidR="00CE65C8" w:rsidRDefault="00CE65C8" w:rsidP="004909F9">
            <w:pPr>
              <w:shd w:val="clear" w:color="auto" w:fill="FFFFFF"/>
              <w:ind w:firstLine="0"/>
              <w:jc w:val="center"/>
              <w:rPr>
                <w:color w:val="000000"/>
              </w:rPr>
            </w:pPr>
          </w:p>
          <w:p w14:paraId="0E61745C" w14:textId="77777777" w:rsidR="00CE65C8" w:rsidRDefault="00CE65C8" w:rsidP="004909F9">
            <w:pPr>
              <w:shd w:val="clear" w:color="auto" w:fill="FFFFFF"/>
              <w:ind w:firstLine="0"/>
              <w:jc w:val="center"/>
              <w:rPr>
                <w:color w:val="000000"/>
              </w:rPr>
            </w:pPr>
          </w:p>
          <w:p w14:paraId="2CB479D7" w14:textId="77777777" w:rsidR="00CE65C8" w:rsidRDefault="00CE65C8" w:rsidP="004909F9">
            <w:pPr>
              <w:shd w:val="clear" w:color="auto" w:fill="FFFFFF"/>
              <w:ind w:firstLine="0"/>
              <w:jc w:val="center"/>
              <w:rPr>
                <w:color w:val="000000"/>
              </w:rPr>
            </w:pPr>
          </w:p>
          <w:p w14:paraId="448C5839" w14:textId="77777777" w:rsidR="00CE65C8" w:rsidRDefault="00CE65C8" w:rsidP="004909F9">
            <w:pPr>
              <w:shd w:val="clear" w:color="auto" w:fill="FFFFFF"/>
              <w:ind w:firstLine="0"/>
              <w:jc w:val="center"/>
              <w:rPr>
                <w:color w:val="000000"/>
              </w:rPr>
            </w:pPr>
          </w:p>
          <w:p w14:paraId="343BEBCD" w14:textId="77777777" w:rsidR="00CE65C8" w:rsidRDefault="00CE65C8" w:rsidP="004909F9">
            <w:pPr>
              <w:shd w:val="clear" w:color="auto" w:fill="FFFFFF"/>
              <w:ind w:firstLine="0"/>
              <w:jc w:val="center"/>
              <w:rPr>
                <w:color w:val="000000"/>
              </w:rPr>
            </w:pPr>
          </w:p>
          <w:p w14:paraId="061ABC20" w14:textId="77777777" w:rsidR="00CE65C8" w:rsidRDefault="00CE65C8" w:rsidP="004909F9">
            <w:pPr>
              <w:shd w:val="clear" w:color="auto" w:fill="FFFFFF"/>
              <w:ind w:firstLine="0"/>
              <w:jc w:val="center"/>
              <w:rPr>
                <w:color w:val="000000"/>
              </w:rPr>
            </w:pPr>
          </w:p>
          <w:p w14:paraId="56DB616D" w14:textId="77777777" w:rsidR="00CE65C8" w:rsidRDefault="00CE65C8" w:rsidP="004909F9">
            <w:pPr>
              <w:shd w:val="clear" w:color="auto" w:fill="FFFFFF"/>
              <w:ind w:firstLine="0"/>
              <w:jc w:val="center"/>
              <w:rPr>
                <w:color w:val="000000"/>
              </w:rPr>
            </w:pPr>
          </w:p>
          <w:p w14:paraId="5068A38D" w14:textId="77777777" w:rsidR="00CE65C8" w:rsidRDefault="00CE65C8" w:rsidP="004909F9">
            <w:pPr>
              <w:shd w:val="clear" w:color="auto" w:fill="FFFFFF"/>
              <w:ind w:firstLine="0"/>
              <w:jc w:val="center"/>
              <w:rPr>
                <w:color w:val="000000"/>
              </w:rPr>
            </w:pPr>
          </w:p>
          <w:p w14:paraId="00D7E51C" w14:textId="77777777" w:rsidR="00CE65C8" w:rsidRDefault="00CE65C8" w:rsidP="004909F9">
            <w:pPr>
              <w:shd w:val="clear" w:color="auto" w:fill="FFFFFF"/>
              <w:ind w:firstLine="0"/>
              <w:jc w:val="center"/>
              <w:rPr>
                <w:color w:val="000000"/>
              </w:rPr>
            </w:pPr>
          </w:p>
          <w:p w14:paraId="5AD4F03C" w14:textId="77777777" w:rsidR="00CE65C8" w:rsidRDefault="00CE65C8" w:rsidP="004909F9">
            <w:pPr>
              <w:shd w:val="clear" w:color="auto" w:fill="FFFFFF"/>
              <w:ind w:firstLine="0"/>
              <w:jc w:val="center"/>
              <w:rPr>
                <w:color w:val="000000"/>
              </w:rPr>
            </w:pPr>
          </w:p>
          <w:p w14:paraId="49446885" w14:textId="77777777" w:rsidR="00CE65C8" w:rsidRDefault="00CE65C8" w:rsidP="004909F9">
            <w:pPr>
              <w:shd w:val="clear" w:color="auto" w:fill="FFFFFF"/>
              <w:ind w:firstLine="0"/>
              <w:jc w:val="center"/>
              <w:rPr>
                <w:color w:val="000000"/>
              </w:rPr>
            </w:pPr>
          </w:p>
          <w:p w14:paraId="74BB8E18" w14:textId="77777777" w:rsidR="00CE65C8" w:rsidRDefault="00CE65C8" w:rsidP="004909F9">
            <w:pPr>
              <w:shd w:val="clear" w:color="auto" w:fill="FFFFFF"/>
              <w:ind w:firstLine="0"/>
              <w:jc w:val="center"/>
              <w:rPr>
                <w:color w:val="000000"/>
              </w:rPr>
            </w:pPr>
          </w:p>
          <w:p w14:paraId="5DC68B7E" w14:textId="606A9AA5" w:rsidR="004909F9" w:rsidRPr="004909F9" w:rsidRDefault="004909F9" w:rsidP="004909F9">
            <w:pPr>
              <w:shd w:val="clear" w:color="auto" w:fill="FFFFFF"/>
              <w:ind w:firstLine="0"/>
              <w:jc w:val="center"/>
              <w:rPr>
                <w:color w:val="000000"/>
                <w:sz w:val="27"/>
                <w:szCs w:val="27"/>
              </w:rPr>
            </w:pPr>
            <w:r w:rsidRPr="004909F9">
              <w:rPr>
                <w:color w:val="000000"/>
              </w:rPr>
              <w:t>Int. No. 530</w:t>
            </w:r>
          </w:p>
          <w:p w14:paraId="24E243AE" w14:textId="77777777" w:rsidR="004909F9" w:rsidRPr="004909F9" w:rsidRDefault="004909F9" w:rsidP="004909F9">
            <w:pPr>
              <w:shd w:val="clear" w:color="auto" w:fill="FFFFFF"/>
              <w:ind w:firstLine="0"/>
              <w:jc w:val="center"/>
              <w:rPr>
                <w:color w:val="000000"/>
                <w:sz w:val="27"/>
                <w:szCs w:val="27"/>
              </w:rPr>
            </w:pPr>
            <w:r w:rsidRPr="004909F9">
              <w:rPr>
                <w:color w:val="000000"/>
              </w:rPr>
              <w:t> </w:t>
            </w:r>
          </w:p>
          <w:p w14:paraId="174B3B10" w14:textId="77777777" w:rsidR="004909F9" w:rsidRPr="004909F9" w:rsidRDefault="004909F9" w:rsidP="004909F9">
            <w:pPr>
              <w:shd w:val="clear" w:color="auto" w:fill="FFFFFF"/>
              <w:ind w:firstLine="0"/>
              <w:jc w:val="both"/>
              <w:rPr>
                <w:color w:val="000000"/>
                <w:sz w:val="27"/>
                <w:szCs w:val="27"/>
              </w:rPr>
            </w:pPr>
            <w:r w:rsidRPr="004909F9">
              <w:rPr>
                <w:color w:val="000000"/>
              </w:rPr>
              <w:t>By Council Members Gennaro, Hanif, Gutiérrez, Restler, Sanchez and De La Rosa</w:t>
            </w:r>
          </w:p>
          <w:p w14:paraId="3C2587EA" w14:textId="77777777" w:rsidR="004909F9" w:rsidRPr="004909F9" w:rsidRDefault="004909F9" w:rsidP="004909F9">
            <w:pPr>
              <w:shd w:val="clear" w:color="auto" w:fill="FFFFFF"/>
              <w:ind w:firstLine="0"/>
              <w:jc w:val="both"/>
              <w:rPr>
                <w:color w:val="000000"/>
                <w:sz w:val="27"/>
                <w:szCs w:val="27"/>
              </w:rPr>
            </w:pPr>
            <w:r w:rsidRPr="004909F9">
              <w:rPr>
                <w:color w:val="000000"/>
              </w:rPr>
              <w:t> </w:t>
            </w:r>
          </w:p>
          <w:p w14:paraId="06DBF135" w14:textId="77777777" w:rsidR="004909F9" w:rsidRPr="004909F9" w:rsidRDefault="004909F9" w:rsidP="004909F9">
            <w:pPr>
              <w:shd w:val="clear" w:color="auto" w:fill="FFFFFF"/>
              <w:ind w:firstLine="0"/>
              <w:jc w:val="both"/>
              <w:rPr>
                <w:color w:val="000000"/>
                <w:sz w:val="27"/>
                <w:szCs w:val="27"/>
              </w:rPr>
            </w:pPr>
            <w:r w:rsidRPr="004909F9">
              <w:rPr>
                <w:color w:val="000000"/>
              </w:rPr>
              <w:t>A Local Law to amend the administrative code of the city of New York, in relation to notification of discolored water or reduction of water pressure</w:t>
            </w:r>
          </w:p>
          <w:p w14:paraId="3EC11F86" w14:textId="77777777" w:rsidR="004909F9" w:rsidRPr="004909F9" w:rsidRDefault="004909F9" w:rsidP="004909F9">
            <w:pPr>
              <w:shd w:val="clear" w:color="auto" w:fill="FFFFFF"/>
              <w:ind w:firstLine="0"/>
              <w:jc w:val="both"/>
              <w:rPr>
                <w:color w:val="000000"/>
                <w:sz w:val="27"/>
                <w:szCs w:val="27"/>
              </w:rPr>
            </w:pPr>
            <w:r w:rsidRPr="004909F9">
              <w:rPr>
                <w:color w:val="000000"/>
              </w:rPr>
              <w:t> </w:t>
            </w:r>
          </w:p>
          <w:p w14:paraId="11E32409" w14:textId="77777777" w:rsidR="004909F9" w:rsidRPr="004909F9" w:rsidRDefault="004909F9" w:rsidP="004909F9">
            <w:pPr>
              <w:shd w:val="clear" w:color="auto" w:fill="FFFFFF"/>
              <w:ind w:firstLine="0"/>
              <w:jc w:val="both"/>
              <w:rPr>
                <w:color w:val="000000"/>
                <w:sz w:val="27"/>
                <w:szCs w:val="27"/>
              </w:rPr>
            </w:pPr>
            <w:r w:rsidRPr="004909F9">
              <w:rPr>
                <w:color w:val="000000"/>
                <w:u w:val="single"/>
              </w:rPr>
              <w:t>Be it enacted by the Council as follows:</w:t>
            </w:r>
          </w:p>
          <w:p w14:paraId="51EA2444" w14:textId="77777777" w:rsidR="004909F9" w:rsidRPr="004909F9" w:rsidRDefault="004909F9" w:rsidP="004909F9">
            <w:pPr>
              <w:shd w:val="clear" w:color="auto" w:fill="FFFFFF"/>
              <w:jc w:val="both"/>
              <w:rPr>
                <w:color w:val="000000"/>
                <w:sz w:val="27"/>
                <w:szCs w:val="27"/>
              </w:rPr>
            </w:pPr>
            <w:r w:rsidRPr="004909F9">
              <w:rPr>
                <w:color w:val="000000"/>
              </w:rPr>
              <w:t> </w:t>
            </w:r>
          </w:p>
          <w:p w14:paraId="1E7E2AFC" w14:textId="77777777" w:rsidR="004909F9" w:rsidRPr="004909F9" w:rsidRDefault="004909F9" w:rsidP="004909F9">
            <w:pPr>
              <w:shd w:val="clear" w:color="auto" w:fill="FFFFFF"/>
              <w:spacing w:line="480" w:lineRule="auto"/>
              <w:jc w:val="both"/>
              <w:rPr>
                <w:color w:val="000000"/>
                <w:sz w:val="27"/>
                <w:szCs w:val="27"/>
              </w:rPr>
            </w:pPr>
            <w:r w:rsidRPr="004909F9">
              <w:rPr>
                <w:color w:val="000000"/>
              </w:rPr>
              <w:t>Section 1. Subchapter 4 of chapter 3 of title 24 of the administrative code of the city of New York is amended by adding a new section 24-370 to read as follows:</w:t>
            </w:r>
          </w:p>
          <w:p w14:paraId="6943B6B3" w14:textId="77777777" w:rsidR="004909F9" w:rsidRPr="004909F9" w:rsidRDefault="004909F9" w:rsidP="004909F9">
            <w:pPr>
              <w:shd w:val="clear" w:color="auto" w:fill="FFFFFF"/>
              <w:spacing w:line="480" w:lineRule="auto"/>
              <w:jc w:val="both"/>
              <w:rPr>
                <w:color w:val="000000"/>
                <w:sz w:val="27"/>
                <w:szCs w:val="27"/>
              </w:rPr>
            </w:pPr>
            <w:r w:rsidRPr="004909F9">
              <w:rPr>
                <w:color w:val="000000"/>
                <w:u w:val="single"/>
              </w:rPr>
              <w:t>§ 24-370 Notification of discolored water or reduction of water pressure. a. Except as provided herein, the department shall notify via electronic mail all relevant community boards and all district offices of relevant council members at least 48 hours prior to the undertaking of any work by the department or at the request of the department which the department reasonably knows could lead to discolored water, or the reduction or loss of water pressure at water faucets within such district.</w:t>
            </w:r>
          </w:p>
          <w:p w14:paraId="65C4D0DC" w14:textId="77777777" w:rsidR="004909F9" w:rsidRPr="004909F9" w:rsidRDefault="004909F9" w:rsidP="004909F9">
            <w:pPr>
              <w:shd w:val="clear" w:color="auto" w:fill="FFFFFF"/>
              <w:spacing w:line="480" w:lineRule="auto"/>
              <w:jc w:val="both"/>
              <w:rPr>
                <w:color w:val="000000"/>
                <w:sz w:val="27"/>
                <w:szCs w:val="27"/>
              </w:rPr>
            </w:pPr>
            <w:r w:rsidRPr="004909F9">
              <w:rPr>
                <w:color w:val="000000"/>
                <w:u w:val="single"/>
              </w:rPr>
              <w:t>b. The notice requirements of subdivision a of this section shall not apply in situations where such work must proceed due to an imminent risk to public health or public safety.  In such cases, where such 48-hour notice is not given, the department shall within five days of the conclusion of such work inform via electronic mail all such relevant community boards and district offices of relevant council members of the reason that the notice was not provided.</w:t>
            </w:r>
          </w:p>
          <w:p w14:paraId="4A8D6DF9" w14:textId="77777777" w:rsidR="004909F9" w:rsidRPr="004909F9" w:rsidRDefault="004909F9" w:rsidP="004909F9">
            <w:pPr>
              <w:shd w:val="clear" w:color="auto" w:fill="FFFFFF"/>
              <w:spacing w:line="480" w:lineRule="auto"/>
              <w:jc w:val="both"/>
              <w:rPr>
                <w:color w:val="000000"/>
                <w:sz w:val="27"/>
                <w:szCs w:val="27"/>
              </w:rPr>
            </w:pPr>
            <w:r w:rsidRPr="004909F9">
              <w:rPr>
                <w:color w:val="000000"/>
              </w:rPr>
              <w:t>§ 2. This local law takes effect immediately.</w:t>
            </w:r>
          </w:p>
          <w:p w14:paraId="2EC0D26F" w14:textId="77777777" w:rsidR="004909F9" w:rsidRPr="004909F9" w:rsidRDefault="004909F9" w:rsidP="004909F9">
            <w:pPr>
              <w:shd w:val="clear" w:color="auto" w:fill="FFFFFF"/>
              <w:ind w:firstLine="0"/>
              <w:jc w:val="both"/>
              <w:rPr>
                <w:color w:val="000000"/>
                <w:sz w:val="27"/>
                <w:szCs w:val="27"/>
              </w:rPr>
            </w:pPr>
            <w:r w:rsidRPr="004909F9">
              <w:rPr>
                <w:color w:val="000000"/>
                <w:sz w:val="18"/>
                <w:szCs w:val="18"/>
              </w:rPr>
              <w:t> </w:t>
            </w:r>
          </w:p>
          <w:p w14:paraId="3655B229"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 </w:t>
            </w:r>
          </w:p>
          <w:p w14:paraId="10A08D76"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 </w:t>
            </w:r>
          </w:p>
          <w:p w14:paraId="7A5FB50A"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 </w:t>
            </w:r>
          </w:p>
          <w:p w14:paraId="44B14448"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 </w:t>
            </w:r>
          </w:p>
          <w:p w14:paraId="5F955D8A"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u w:val="single"/>
              </w:rPr>
              <w:t>Session 12</w:t>
            </w:r>
          </w:p>
          <w:p w14:paraId="003259BE"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MHL</w:t>
            </w:r>
          </w:p>
          <w:p w14:paraId="26A98300"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LS #8569</w:t>
            </w:r>
          </w:p>
          <w:p w14:paraId="50135A96"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6/10/22</w:t>
            </w:r>
          </w:p>
          <w:p w14:paraId="11870E94"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 </w:t>
            </w:r>
          </w:p>
          <w:p w14:paraId="0546EE54"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u w:val="single"/>
              </w:rPr>
              <w:t>Session 11</w:t>
            </w:r>
          </w:p>
          <w:p w14:paraId="0D31C697"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SS, MMB</w:t>
            </w:r>
          </w:p>
          <w:p w14:paraId="499C3990" w14:textId="77777777" w:rsidR="004909F9" w:rsidRPr="004909F9" w:rsidRDefault="004909F9" w:rsidP="004909F9">
            <w:pPr>
              <w:shd w:val="clear" w:color="auto" w:fill="FFFFFF"/>
              <w:ind w:firstLine="0"/>
              <w:jc w:val="both"/>
              <w:rPr>
                <w:color w:val="000000"/>
                <w:sz w:val="27"/>
                <w:szCs w:val="27"/>
              </w:rPr>
            </w:pPr>
            <w:r w:rsidRPr="004909F9">
              <w:rPr>
                <w:color w:val="000000"/>
                <w:sz w:val="20"/>
                <w:szCs w:val="20"/>
              </w:rPr>
              <w:t>LS #545</w:t>
            </w:r>
          </w:p>
          <w:p w14:paraId="5D2D0B61" w14:textId="77777777" w:rsidR="004909F9" w:rsidRDefault="004909F9" w:rsidP="004909F9">
            <w:pPr>
              <w:shd w:val="clear" w:color="auto" w:fill="FFFFFF"/>
              <w:ind w:firstLine="0"/>
              <w:jc w:val="both"/>
              <w:rPr>
                <w:color w:val="000000"/>
                <w:sz w:val="20"/>
                <w:szCs w:val="20"/>
              </w:rPr>
            </w:pPr>
            <w:r w:rsidRPr="004909F9">
              <w:rPr>
                <w:color w:val="000000"/>
                <w:sz w:val="20"/>
                <w:szCs w:val="20"/>
              </w:rPr>
              <w:t>Int. 701-2018</w:t>
            </w:r>
          </w:p>
          <w:p w14:paraId="10ACCF82" w14:textId="77777777" w:rsidR="009402CF" w:rsidRDefault="009402CF" w:rsidP="004909F9">
            <w:pPr>
              <w:shd w:val="clear" w:color="auto" w:fill="FFFFFF"/>
              <w:ind w:firstLine="0"/>
              <w:jc w:val="both"/>
              <w:rPr>
                <w:color w:val="000000"/>
                <w:sz w:val="20"/>
                <w:szCs w:val="20"/>
              </w:rPr>
            </w:pPr>
          </w:p>
          <w:p w14:paraId="406A784F" w14:textId="77777777" w:rsidR="009402CF" w:rsidRDefault="009402CF" w:rsidP="004909F9">
            <w:pPr>
              <w:shd w:val="clear" w:color="auto" w:fill="FFFFFF"/>
              <w:ind w:firstLine="0"/>
              <w:jc w:val="both"/>
              <w:rPr>
                <w:color w:val="000000"/>
                <w:sz w:val="20"/>
                <w:szCs w:val="20"/>
              </w:rPr>
            </w:pPr>
          </w:p>
          <w:p w14:paraId="66AD3EF7" w14:textId="77777777" w:rsidR="009402CF" w:rsidRDefault="009402CF" w:rsidP="004909F9">
            <w:pPr>
              <w:shd w:val="clear" w:color="auto" w:fill="FFFFFF"/>
              <w:ind w:firstLine="0"/>
              <w:jc w:val="both"/>
              <w:rPr>
                <w:color w:val="000000"/>
                <w:sz w:val="20"/>
                <w:szCs w:val="20"/>
              </w:rPr>
            </w:pPr>
          </w:p>
          <w:p w14:paraId="093BD6DB" w14:textId="77777777" w:rsidR="009402CF" w:rsidRDefault="009402CF" w:rsidP="004909F9">
            <w:pPr>
              <w:shd w:val="clear" w:color="auto" w:fill="FFFFFF"/>
              <w:ind w:firstLine="0"/>
              <w:jc w:val="both"/>
              <w:rPr>
                <w:color w:val="000000"/>
                <w:sz w:val="20"/>
                <w:szCs w:val="20"/>
              </w:rPr>
            </w:pPr>
          </w:p>
          <w:p w14:paraId="5D2BA8F8" w14:textId="77777777" w:rsidR="009402CF" w:rsidRDefault="009402CF" w:rsidP="004909F9">
            <w:pPr>
              <w:shd w:val="clear" w:color="auto" w:fill="FFFFFF"/>
              <w:ind w:firstLine="0"/>
              <w:jc w:val="both"/>
              <w:rPr>
                <w:color w:val="000000"/>
                <w:sz w:val="20"/>
                <w:szCs w:val="20"/>
              </w:rPr>
            </w:pPr>
          </w:p>
          <w:p w14:paraId="3D2AA010" w14:textId="77777777" w:rsidR="009402CF" w:rsidRDefault="009402CF" w:rsidP="004909F9">
            <w:pPr>
              <w:shd w:val="clear" w:color="auto" w:fill="FFFFFF"/>
              <w:ind w:firstLine="0"/>
              <w:jc w:val="both"/>
              <w:rPr>
                <w:color w:val="000000"/>
                <w:sz w:val="20"/>
                <w:szCs w:val="20"/>
              </w:rPr>
            </w:pPr>
          </w:p>
          <w:p w14:paraId="0DEF5FB6" w14:textId="77777777" w:rsidR="009402CF" w:rsidRDefault="009402CF" w:rsidP="004909F9">
            <w:pPr>
              <w:shd w:val="clear" w:color="auto" w:fill="FFFFFF"/>
              <w:ind w:firstLine="0"/>
              <w:jc w:val="both"/>
              <w:rPr>
                <w:color w:val="000000"/>
                <w:sz w:val="20"/>
                <w:szCs w:val="20"/>
              </w:rPr>
            </w:pPr>
          </w:p>
          <w:p w14:paraId="6C9CC10B" w14:textId="77777777" w:rsidR="009402CF" w:rsidRDefault="009402CF" w:rsidP="004909F9">
            <w:pPr>
              <w:shd w:val="clear" w:color="auto" w:fill="FFFFFF"/>
              <w:ind w:firstLine="0"/>
              <w:jc w:val="both"/>
              <w:rPr>
                <w:color w:val="000000"/>
                <w:sz w:val="20"/>
                <w:szCs w:val="20"/>
              </w:rPr>
            </w:pPr>
          </w:p>
          <w:p w14:paraId="515E3A09" w14:textId="77777777" w:rsidR="009402CF" w:rsidRDefault="009402CF" w:rsidP="004909F9">
            <w:pPr>
              <w:shd w:val="clear" w:color="auto" w:fill="FFFFFF"/>
              <w:ind w:firstLine="0"/>
              <w:jc w:val="both"/>
              <w:rPr>
                <w:color w:val="000000"/>
                <w:sz w:val="20"/>
                <w:szCs w:val="20"/>
              </w:rPr>
            </w:pPr>
          </w:p>
          <w:p w14:paraId="0347D71E" w14:textId="77777777" w:rsidR="009402CF" w:rsidRDefault="009402CF" w:rsidP="004909F9">
            <w:pPr>
              <w:shd w:val="clear" w:color="auto" w:fill="FFFFFF"/>
              <w:ind w:firstLine="0"/>
              <w:jc w:val="both"/>
              <w:rPr>
                <w:color w:val="000000"/>
                <w:sz w:val="20"/>
                <w:szCs w:val="20"/>
              </w:rPr>
            </w:pPr>
          </w:p>
          <w:p w14:paraId="61744F0D" w14:textId="77777777" w:rsidR="009402CF" w:rsidRDefault="009402CF" w:rsidP="004909F9">
            <w:pPr>
              <w:shd w:val="clear" w:color="auto" w:fill="FFFFFF"/>
              <w:ind w:firstLine="0"/>
              <w:jc w:val="both"/>
              <w:rPr>
                <w:color w:val="000000"/>
                <w:sz w:val="20"/>
                <w:szCs w:val="20"/>
              </w:rPr>
            </w:pPr>
          </w:p>
          <w:p w14:paraId="5D410DD2" w14:textId="77777777" w:rsidR="009402CF" w:rsidRDefault="009402CF" w:rsidP="004909F9">
            <w:pPr>
              <w:shd w:val="clear" w:color="auto" w:fill="FFFFFF"/>
              <w:ind w:firstLine="0"/>
              <w:jc w:val="both"/>
              <w:rPr>
                <w:color w:val="000000"/>
                <w:sz w:val="20"/>
                <w:szCs w:val="20"/>
              </w:rPr>
            </w:pPr>
          </w:p>
          <w:p w14:paraId="29E40431" w14:textId="77777777" w:rsidR="009402CF" w:rsidRDefault="009402CF" w:rsidP="004909F9">
            <w:pPr>
              <w:shd w:val="clear" w:color="auto" w:fill="FFFFFF"/>
              <w:ind w:firstLine="0"/>
              <w:jc w:val="both"/>
              <w:rPr>
                <w:color w:val="000000"/>
                <w:sz w:val="20"/>
                <w:szCs w:val="20"/>
              </w:rPr>
            </w:pPr>
          </w:p>
          <w:p w14:paraId="15A0029D" w14:textId="77777777" w:rsidR="009402CF" w:rsidRDefault="009402CF" w:rsidP="004909F9">
            <w:pPr>
              <w:shd w:val="clear" w:color="auto" w:fill="FFFFFF"/>
              <w:ind w:firstLine="0"/>
              <w:jc w:val="both"/>
              <w:rPr>
                <w:color w:val="000000"/>
                <w:sz w:val="20"/>
                <w:szCs w:val="20"/>
              </w:rPr>
            </w:pPr>
          </w:p>
          <w:p w14:paraId="423BA09C" w14:textId="77777777" w:rsidR="009402CF" w:rsidRDefault="009402CF" w:rsidP="004909F9">
            <w:pPr>
              <w:shd w:val="clear" w:color="auto" w:fill="FFFFFF"/>
              <w:ind w:firstLine="0"/>
              <w:jc w:val="both"/>
              <w:rPr>
                <w:color w:val="000000"/>
                <w:sz w:val="20"/>
                <w:szCs w:val="20"/>
              </w:rPr>
            </w:pPr>
          </w:p>
          <w:p w14:paraId="5DA38A50" w14:textId="77777777" w:rsidR="009402CF" w:rsidRDefault="009402CF" w:rsidP="004909F9">
            <w:pPr>
              <w:shd w:val="clear" w:color="auto" w:fill="FFFFFF"/>
              <w:ind w:firstLine="0"/>
              <w:jc w:val="both"/>
              <w:rPr>
                <w:color w:val="000000"/>
                <w:sz w:val="20"/>
                <w:szCs w:val="20"/>
              </w:rPr>
            </w:pPr>
          </w:p>
          <w:p w14:paraId="1FE3C05A" w14:textId="77777777" w:rsidR="009402CF" w:rsidRDefault="009402CF" w:rsidP="004909F9">
            <w:pPr>
              <w:shd w:val="clear" w:color="auto" w:fill="FFFFFF"/>
              <w:ind w:firstLine="0"/>
              <w:jc w:val="both"/>
              <w:rPr>
                <w:color w:val="000000"/>
                <w:sz w:val="20"/>
                <w:szCs w:val="20"/>
              </w:rPr>
            </w:pPr>
          </w:p>
          <w:p w14:paraId="50BEBCB9" w14:textId="77777777" w:rsidR="009402CF" w:rsidRDefault="009402CF" w:rsidP="004909F9">
            <w:pPr>
              <w:shd w:val="clear" w:color="auto" w:fill="FFFFFF"/>
              <w:ind w:firstLine="0"/>
              <w:jc w:val="both"/>
              <w:rPr>
                <w:color w:val="000000"/>
                <w:sz w:val="20"/>
                <w:szCs w:val="20"/>
              </w:rPr>
            </w:pPr>
          </w:p>
          <w:p w14:paraId="5437003E" w14:textId="77777777" w:rsidR="009402CF" w:rsidRDefault="009402CF" w:rsidP="004909F9">
            <w:pPr>
              <w:shd w:val="clear" w:color="auto" w:fill="FFFFFF"/>
              <w:ind w:firstLine="0"/>
              <w:jc w:val="both"/>
              <w:rPr>
                <w:color w:val="000000"/>
                <w:sz w:val="20"/>
                <w:szCs w:val="20"/>
              </w:rPr>
            </w:pPr>
          </w:p>
          <w:p w14:paraId="0FD81B05" w14:textId="77777777" w:rsidR="009402CF" w:rsidRDefault="009402CF" w:rsidP="004909F9">
            <w:pPr>
              <w:shd w:val="clear" w:color="auto" w:fill="FFFFFF"/>
              <w:ind w:firstLine="0"/>
              <w:jc w:val="both"/>
              <w:rPr>
                <w:color w:val="000000"/>
                <w:sz w:val="20"/>
                <w:szCs w:val="20"/>
              </w:rPr>
            </w:pPr>
          </w:p>
          <w:p w14:paraId="63BCDF34" w14:textId="77777777" w:rsidR="009402CF" w:rsidRDefault="009402CF" w:rsidP="004909F9">
            <w:pPr>
              <w:shd w:val="clear" w:color="auto" w:fill="FFFFFF"/>
              <w:ind w:firstLine="0"/>
              <w:jc w:val="both"/>
              <w:rPr>
                <w:color w:val="000000"/>
                <w:sz w:val="20"/>
                <w:szCs w:val="20"/>
              </w:rPr>
            </w:pPr>
          </w:p>
          <w:p w14:paraId="5C8DE668" w14:textId="77777777" w:rsidR="009402CF" w:rsidRDefault="009402CF" w:rsidP="004909F9">
            <w:pPr>
              <w:shd w:val="clear" w:color="auto" w:fill="FFFFFF"/>
              <w:ind w:firstLine="0"/>
              <w:jc w:val="both"/>
              <w:rPr>
                <w:color w:val="000000"/>
                <w:sz w:val="20"/>
                <w:szCs w:val="20"/>
              </w:rPr>
            </w:pPr>
          </w:p>
          <w:p w14:paraId="4E1A0ACC" w14:textId="77777777" w:rsidR="009402CF" w:rsidRDefault="009402CF" w:rsidP="004909F9">
            <w:pPr>
              <w:shd w:val="clear" w:color="auto" w:fill="FFFFFF"/>
              <w:ind w:firstLine="0"/>
              <w:jc w:val="both"/>
              <w:rPr>
                <w:color w:val="000000"/>
                <w:sz w:val="20"/>
                <w:szCs w:val="20"/>
              </w:rPr>
            </w:pPr>
          </w:p>
          <w:p w14:paraId="4CD25F6C" w14:textId="77777777" w:rsidR="009402CF" w:rsidRDefault="009402CF" w:rsidP="004909F9">
            <w:pPr>
              <w:shd w:val="clear" w:color="auto" w:fill="FFFFFF"/>
              <w:ind w:firstLine="0"/>
              <w:jc w:val="both"/>
              <w:rPr>
                <w:color w:val="000000"/>
                <w:sz w:val="20"/>
                <w:szCs w:val="20"/>
              </w:rPr>
            </w:pPr>
          </w:p>
          <w:p w14:paraId="14F6B09B" w14:textId="77777777" w:rsidR="009402CF" w:rsidRDefault="009402CF" w:rsidP="004909F9">
            <w:pPr>
              <w:shd w:val="clear" w:color="auto" w:fill="FFFFFF"/>
              <w:ind w:firstLine="0"/>
              <w:jc w:val="both"/>
              <w:rPr>
                <w:color w:val="000000"/>
                <w:sz w:val="20"/>
                <w:szCs w:val="20"/>
              </w:rPr>
            </w:pPr>
          </w:p>
          <w:p w14:paraId="17481027" w14:textId="77777777" w:rsidR="009402CF" w:rsidRDefault="009402CF" w:rsidP="004909F9">
            <w:pPr>
              <w:shd w:val="clear" w:color="auto" w:fill="FFFFFF"/>
              <w:ind w:firstLine="0"/>
              <w:jc w:val="both"/>
              <w:rPr>
                <w:color w:val="000000"/>
                <w:sz w:val="20"/>
                <w:szCs w:val="20"/>
              </w:rPr>
            </w:pPr>
          </w:p>
          <w:p w14:paraId="62C55C8E" w14:textId="77777777" w:rsidR="009402CF" w:rsidRDefault="009402CF" w:rsidP="004909F9">
            <w:pPr>
              <w:shd w:val="clear" w:color="auto" w:fill="FFFFFF"/>
              <w:ind w:firstLine="0"/>
              <w:jc w:val="both"/>
              <w:rPr>
                <w:color w:val="000000"/>
                <w:sz w:val="20"/>
                <w:szCs w:val="20"/>
              </w:rPr>
            </w:pPr>
          </w:p>
          <w:p w14:paraId="37A94707" w14:textId="77777777" w:rsidR="009402CF" w:rsidRDefault="009402CF" w:rsidP="004909F9">
            <w:pPr>
              <w:shd w:val="clear" w:color="auto" w:fill="FFFFFF"/>
              <w:ind w:firstLine="0"/>
              <w:jc w:val="both"/>
              <w:rPr>
                <w:color w:val="000000"/>
                <w:sz w:val="20"/>
                <w:szCs w:val="20"/>
              </w:rPr>
            </w:pPr>
          </w:p>
          <w:p w14:paraId="4EAF6A98" w14:textId="77777777" w:rsidR="009402CF" w:rsidRDefault="009402CF" w:rsidP="004909F9">
            <w:pPr>
              <w:shd w:val="clear" w:color="auto" w:fill="FFFFFF"/>
              <w:ind w:firstLine="0"/>
              <w:jc w:val="both"/>
              <w:rPr>
                <w:color w:val="000000"/>
                <w:sz w:val="20"/>
                <w:szCs w:val="20"/>
              </w:rPr>
            </w:pPr>
          </w:p>
          <w:p w14:paraId="17CD3A9B" w14:textId="77777777" w:rsidR="009402CF" w:rsidRDefault="009402CF" w:rsidP="004909F9">
            <w:pPr>
              <w:shd w:val="clear" w:color="auto" w:fill="FFFFFF"/>
              <w:ind w:firstLine="0"/>
              <w:jc w:val="both"/>
              <w:rPr>
                <w:color w:val="000000"/>
                <w:sz w:val="20"/>
                <w:szCs w:val="20"/>
              </w:rPr>
            </w:pPr>
          </w:p>
          <w:p w14:paraId="33C3E22C" w14:textId="77777777" w:rsidR="009402CF" w:rsidRDefault="009402CF" w:rsidP="004909F9">
            <w:pPr>
              <w:shd w:val="clear" w:color="auto" w:fill="FFFFFF"/>
              <w:ind w:firstLine="0"/>
              <w:jc w:val="both"/>
              <w:rPr>
                <w:color w:val="000000"/>
                <w:sz w:val="20"/>
                <w:szCs w:val="20"/>
              </w:rPr>
            </w:pPr>
          </w:p>
          <w:p w14:paraId="67751D9E" w14:textId="77777777" w:rsidR="009402CF" w:rsidRDefault="009402CF" w:rsidP="004909F9">
            <w:pPr>
              <w:shd w:val="clear" w:color="auto" w:fill="FFFFFF"/>
              <w:ind w:firstLine="0"/>
              <w:jc w:val="both"/>
              <w:rPr>
                <w:color w:val="000000"/>
                <w:sz w:val="20"/>
                <w:szCs w:val="20"/>
              </w:rPr>
            </w:pPr>
          </w:p>
          <w:p w14:paraId="42F741CD" w14:textId="77777777" w:rsidR="009402CF" w:rsidRDefault="009402CF" w:rsidP="004909F9">
            <w:pPr>
              <w:shd w:val="clear" w:color="auto" w:fill="FFFFFF"/>
              <w:ind w:firstLine="0"/>
              <w:jc w:val="both"/>
              <w:rPr>
                <w:color w:val="000000"/>
                <w:sz w:val="20"/>
                <w:szCs w:val="20"/>
              </w:rPr>
            </w:pPr>
          </w:p>
          <w:p w14:paraId="1D98D0D0" w14:textId="77777777" w:rsidR="009402CF" w:rsidRDefault="009402CF" w:rsidP="004909F9">
            <w:pPr>
              <w:shd w:val="clear" w:color="auto" w:fill="FFFFFF"/>
              <w:ind w:firstLine="0"/>
              <w:jc w:val="both"/>
              <w:rPr>
                <w:color w:val="000000"/>
                <w:sz w:val="20"/>
                <w:szCs w:val="20"/>
              </w:rPr>
            </w:pPr>
          </w:p>
          <w:p w14:paraId="34D3D43A" w14:textId="77777777" w:rsidR="009402CF" w:rsidRDefault="009402CF" w:rsidP="004909F9">
            <w:pPr>
              <w:shd w:val="clear" w:color="auto" w:fill="FFFFFF"/>
              <w:ind w:firstLine="0"/>
              <w:jc w:val="both"/>
              <w:rPr>
                <w:color w:val="000000"/>
                <w:sz w:val="20"/>
                <w:szCs w:val="20"/>
              </w:rPr>
            </w:pPr>
          </w:p>
          <w:p w14:paraId="48DA0060" w14:textId="77777777" w:rsidR="009402CF" w:rsidRDefault="009402CF" w:rsidP="004909F9">
            <w:pPr>
              <w:shd w:val="clear" w:color="auto" w:fill="FFFFFF"/>
              <w:ind w:firstLine="0"/>
              <w:jc w:val="both"/>
              <w:rPr>
                <w:color w:val="000000"/>
                <w:sz w:val="20"/>
                <w:szCs w:val="20"/>
              </w:rPr>
            </w:pPr>
          </w:p>
          <w:p w14:paraId="4DCE7003" w14:textId="77777777" w:rsidR="009402CF" w:rsidRDefault="009402CF" w:rsidP="004909F9">
            <w:pPr>
              <w:shd w:val="clear" w:color="auto" w:fill="FFFFFF"/>
              <w:ind w:firstLine="0"/>
              <w:jc w:val="both"/>
              <w:rPr>
                <w:color w:val="000000"/>
                <w:sz w:val="20"/>
                <w:szCs w:val="20"/>
              </w:rPr>
            </w:pPr>
          </w:p>
          <w:p w14:paraId="0B740005" w14:textId="77777777" w:rsidR="009402CF" w:rsidRDefault="009402CF" w:rsidP="004909F9">
            <w:pPr>
              <w:shd w:val="clear" w:color="auto" w:fill="FFFFFF"/>
              <w:ind w:firstLine="0"/>
              <w:jc w:val="both"/>
              <w:rPr>
                <w:color w:val="000000"/>
                <w:sz w:val="20"/>
                <w:szCs w:val="20"/>
              </w:rPr>
            </w:pPr>
          </w:p>
          <w:p w14:paraId="14AA5790" w14:textId="77777777" w:rsidR="009402CF" w:rsidRDefault="009402CF" w:rsidP="004909F9">
            <w:pPr>
              <w:shd w:val="clear" w:color="auto" w:fill="FFFFFF"/>
              <w:ind w:firstLine="0"/>
              <w:jc w:val="both"/>
              <w:rPr>
                <w:color w:val="000000"/>
                <w:sz w:val="20"/>
                <w:szCs w:val="20"/>
              </w:rPr>
            </w:pPr>
          </w:p>
          <w:p w14:paraId="5EDF28D7" w14:textId="77777777" w:rsidR="009402CF" w:rsidRDefault="009402CF" w:rsidP="004909F9">
            <w:pPr>
              <w:shd w:val="clear" w:color="auto" w:fill="FFFFFF"/>
              <w:ind w:firstLine="0"/>
              <w:jc w:val="both"/>
              <w:rPr>
                <w:color w:val="000000"/>
                <w:sz w:val="20"/>
                <w:szCs w:val="20"/>
              </w:rPr>
            </w:pPr>
          </w:p>
          <w:p w14:paraId="5CD74008" w14:textId="77777777" w:rsidR="009402CF" w:rsidRDefault="009402CF" w:rsidP="004909F9">
            <w:pPr>
              <w:shd w:val="clear" w:color="auto" w:fill="FFFFFF"/>
              <w:ind w:firstLine="0"/>
              <w:jc w:val="both"/>
              <w:rPr>
                <w:color w:val="000000"/>
                <w:sz w:val="20"/>
                <w:szCs w:val="20"/>
              </w:rPr>
            </w:pPr>
          </w:p>
          <w:p w14:paraId="6E240488" w14:textId="77777777" w:rsidR="009402CF" w:rsidRDefault="009402CF" w:rsidP="004909F9">
            <w:pPr>
              <w:shd w:val="clear" w:color="auto" w:fill="FFFFFF"/>
              <w:ind w:firstLine="0"/>
              <w:jc w:val="both"/>
              <w:rPr>
                <w:color w:val="000000"/>
                <w:sz w:val="20"/>
                <w:szCs w:val="20"/>
              </w:rPr>
            </w:pPr>
          </w:p>
          <w:p w14:paraId="4CDC67A7" w14:textId="77777777" w:rsidR="009402CF" w:rsidRDefault="009402CF" w:rsidP="004909F9">
            <w:pPr>
              <w:shd w:val="clear" w:color="auto" w:fill="FFFFFF"/>
              <w:ind w:firstLine="0"/>
              <w:jc w:val="both"/>
              <w:rPr>
                <w:color w:val="000000"/>
                <w:sz w:val="20"/>
                <w:szCs w:val="20"/>
              </w:rPr>
            </w:pPr>
          </w:p>
          <w:p w14:paraId="2AA62667" w14:textId="77777777" w:rsidR="009402CF" w:rsidRDefault="009402CF" w:rsidP="004909F9">
            <w:pPr>
              <w:shd w:val="clear" w:color="auto" w:fill="FFFFFF"/>
              <w:ind w:firstLine="0"/>
              <w:jc w:val="both"/>
              <w:rPr>
                <w:color w:val="000000"/>
                <w:sz w:val="20"/>
                <w:szCs w:val="20"/>
              </w:rPr>
            </w:pPr>
          </w:p>
          <w:p w14:paraId="3BE85D0C" w14:textId="77777777" w:rsidR="009402CF" w:rsidRDefault="009402CF" w:rsidP="004909F9">
            <w:pPr>
              <w:shd w:val="clear" w:color="auto" w:fill="FFFFFF"/>
              <w:ind w:firstLine="0"/>
              <w:jc w:val="both"/>
              <w:rPr>
                <w:color w:val="000000"/>
                <w:sz w:val="20"/>
                <w:szCs w:val="20"/>
              </w:rPr>
            </w:pPr>
          </w:p>
          <w:p w14:paraId="21A18195" w14:textId="77777777" w:rsidR="009402CF" w:rsidRDefault="009402CF" w:rsidP="004909F9">
            <w:pPr>
              <w:shd w:val="clear" w:color="auto" w:fill="FFFFFF"/>
              <w:ind w:firstLine="0"/>
              <w:jc w:val="both"/>
              <w:rPr>
                <w:color w:val="000000"/>
                <w:sz w:val="20"/>
                <w:szCs w:val="20"/>
              </w:rPr>
            </w:pPr>
          </w:p>
          <w:p w14:paraId="5ECF8ED2" w14:textId="77777777" w:rsidR="009402CF" w:rsidRDefault="009402CF" w:rsidP="004909F9">
            <w:pPr>
              <w:shd w:val="clear" w:color="auto" w:fill="FFFFFF"/>
              <w:ind w:firstLine="0"/>
              <w:jc w:val="both"/>
              <w:rPr>
                <w:color w:val="000000"/>
                <w:sz w:val="20"/>
                <w:szCs w:val="20"/>
              </w:rPr>
            </w:pPr>
          </w:p>
          <w:p w14:paraId="031CC196" w14:textId="77777777" w:rsidR="009402CF" w:rsidRDefault="009402CF" w:rsidP="004909F9">
            <w:pPr>
              <w:shd w:val="clear" w:color="auto" w:fill="FFFFFF"/>
              <w:ind w:firstLine="0"/>
              <w:jc w:val="both"/>
              <w:rPr>
                <w:color w:val="000000"/>
                <w:sz w:val="20"/>
                <w:szCs w:val="20"/>
              </w:rPr>
            </w:pPr>
          </w:p>
          <w:p w14:paraId="22057DDA" w14:textId="77777777" w:rsidR="009402CF" w:rsidRDefault="009402CF" w:rsidP="004909F9">
            <w:pPr>
              <w:shd w:val="clear" w:color="auto" w:fill="FFFFFF"/>
              <w:ind w:firstLine="0"/>
              <w:jc w:val="both"/>
              <w:rPr>
                <w:color w:val="000000"/>
                <w:sz w:val="20"/>
                <w:szCs w:val="20"/>
              </w:rPr>
            </w:pPr>
          </w:p>
          <w:p w14:paraId="04FF8128" w14:textId="77777777" w:rsidR="009402CF" w:rsidRDefault="009402CF" w:rsidP="004909F9">
            <w:pPr>
              <w:shd w:val="clear" w:color="auto" w:fill="FFFFFF"/>
              <w:ind w:firstLine="0"/>
              <w:jc w:val="both"/>
              <w:rPr>
                <w:color w:val="000000"/>
                <w:sz w:val="20"/>
                <w:szCs w:val="20"/>
              </w:rPr>
            </w:pPr>
          </w:p>
          <w:p w14:paraId="4F04C9CD" w14:textId="77777777" w:rsidR="009402CF" w:rsidRDefault="009402CF" w:rsidP="004909F9">
            <w:pPr>
              <w:shd w:val="clear" w:color="auto" w:fill="FFFFFF"/>
              <w:ind w:firstLine="0"/>
              <w:jc w:val="both"/>
              <w:rPr>
                <w:color w:val="000000"/>
                <w:sz w:val="20"/>
                <w:szCs w:val="20"/>
              </w:rPr>
            </w:pPr>
          </w:p>
          <w:p w14:paraId="18FC19B0" w14:textId="77777777" w:rsidR="009402CF" w:rsidRDefault="009402CF" w:rsidP="004909F9">
            <w:pPr>
              <w:shd w:val="clear" w:color="auto" w:fill="FFFFFF"/>
              <w:ind w:firstLine="0"/>
              <w:jc w:val="both"/>
              <w:rPr>
                <w:color w:val="000000"/>
                <w:sz w:val="20"/>
                <w:szCs w:val="20"/>
              </w:rPr>
            </w:pPr>
          </w:p>
          <w:p w14:paraId="504BC34A" w14:textId="77777777" w:rsidR="009402CF" w:rsidRDefault="009402CF" w:rsidP="004909F9">
            <w:pPr>
              <w:shd w:val="clear" w:color="auto" w:fill="FFFFFF"/>
              <w:ind w:firstLine="0"/>
              <w:jc w:val="both"/>
              <w:rPr>
                <w:color w:val="000000"/>
                <w:sz w:val="20"/>
                <w:szCs w:val="20"/>
              </w:rPr>
            </w:pPr>
          </w:p>
          <w:p w14:paraId="05D4891B" w14:textId="77777777" w:rsidR="009402CF" w:rsidRDefault="009402CF" w:rsidP="004909F9">
            <w:pPr>
              <w:shd w:val="clear" w:color="auto" w:fill="FFFFFF"/>
              <w:ind w:firstLine="0"/>
              <w:jc w:val="both"/>
              <w:rPr>
                <w:color w:val="000000"/>
                <w:sz w:val="20"/>
                <w:szCs w:val="20"/>
              </w:rPr>
            </w:pPr>
          </w:p>
          <w:p w14:paraId="095937AF" w14:textId="144DC03C" w:rsidR="009402CF" w:rsidRPr="004909F9" w:rsidRDefault="009402CF" w:rsidP="004909F9">
            <w:pPr>
              <w:shd w:val="clear" w:color="auto" w:fill="FFFFFF"/>
              <w:ind w:firstLine="0"/>
              <w:jc w:val="both"/>
              <w:rPr>
                <w:color w:val="000000"/>
                <w:sz w:val="27"/>
                <w:szCs w:val="27"/>
              </w:rPr>
            </w:pPr>
          </w:p>
        </w:tc>
      </w:tr>
      <w:tr w:rsidR="009402CF" w:rsidRPr="009402CF" w14:paraId="5765A930" w14:textId="77777777" w:rsidTr="009402CF">
        <w:trPr>
          <w:tblCellSpacing w:w="0" w:type="dxa"/>
        </w:trPr>
        <w:tc>
          <w:tcPr>
            <w:tcW w:w="0" w:type="auto"/>
            <w:shd w:val="clear" w:color="auto" w:fill="FFFFFF"/>
            <w:vAlign w:val="center"/>
            <w:hideMark/>
          </w:tcPr>
          <w:p w14:paraId="5607110C" w14:textId="77777777" w:rsidR="009402CF" w:rsidRPr="009402CF" w:rsidRDefault="009402CF" w:rsidP="009402CF">
            <w:pPr>
              <w:shd w:val="clear" w:color="auto" w:fill="FFFFFF"/>
              <w:ind w:firstLine="0"/>
              <w:jc w:val="center"/>
              <w:rPr>
                <w:color w:val="000000"/>
                <w:sz w:val="27"/>
                <w:szCs w:val="27"/>
              </w:rPr>
            </w:pPr>
            <w:r w:rsidRPr="009402CF">
              <w:rPr>
                <w:color w:val="000000"/>
              </w:rPr>
              <w:t>Int. No. 633</w:t>
            </w:r>
          </w:p>
          <w:p w14:paraId="6825D149" w14:textId="77777777" w:rsidR="009402CF" w:rsidRPr="009402CF" w:rsidRDefault="009402CF" w:rsidP="009402CF">
            <w:pPr>
              <w:shd w:val="clear" w:color="auto" w:fill="FFFFFF"/>
              <w:ind w:firstLine="0"/>
              <w:jc w:val="center"/>
              <w:rPr>
                <w:color w:val="000000"/>
                <w:sz w:val="27"/>
                <w:szCs w:val="27"/>
              </w:rPr>
            </w:pPr>
            <w:r w:rsidRPr="009402CF">
              <w:rPr>
                <w:color w:val="000000"/>
              </w:rPr>
              <w:t> </w:t>
            </w:r>
          </w:p>
          <w:p w14:paraId="0DDAD077" w14:textId="77777777" w:rsidR="009402CF" w:rsidRPr="009402CF" w:rsidRDefault="009402CF" w:rsidP="009402CF">
            <w:pPr>
              <w:shd w:val="clear" w:color="auto" w:fill="FFFFFF"/>
              <w:ind w:firstLine="0"/>
              <w:jc w:val="both"/>
              <w:rPr>
                <w:color w:val="000000"/>
                <w:sz w:val="27"/>
                <w:szCs w:val="27"/>
              </w:rPr>
            </w:pPr>
            <w:r w:rsidRPr="009402CF">
              <w:rPr>
                <w:color w:val="000000"/>
              </w:rPr>
              <w:t>By Council Members Powers, Bottcher, Brewer, Restler, Hanif, Nurse, Gutiérrez, Yeger, Sanchez and De La Rosa</w:t>
            </w:r>
          </w:p>
          <w:p w14:paraId="1E7C0AC6" w14:textId="77777777" w:rsidR="009402CF" w:rsidRPr="009402CF" w:rsidRDefault="009402CF" w:rsidP="009402CF">
            <w:pPr>
              <w:shd w:val="clear" w:color="auto" w:fill="FFFFFF"/>
              <w:ind w:firstLine="0"/>
              <w:jc w:val="both"/>
              <w:rPr>
                <w:color w:val="000000"/>
                <w:sz w:val="27"/>
                <w:szCs w:val="27"/>
              </w:rPr>
            </w:pPr>
            <w:r w:rsidRPr="009402CF">
              <w:rPr>
                <w:color w:val="000000"/>
              </w:rPr>
              <w:t> </w:t>
            </w:r>
          </w:p>
          <w:p w14:paraId="17B6017C" w14:textId="77777777" w:rsidR="009402CF" w:rsidRPr="009402CF" w:rsidRDefault="009402CF" w:rsidP="009402CF">
            <w:pPr>
              <w:shd w:val="clear" w:color="auto" w:fill="FFFFFF"/>
              <w:ind w:firstLine="0"/>
              <w:jc w:val="both"/>
              <w:rPr>
                <w:color w:val="000000"/>
                <w:sz w:val="27"/>
                <w:szCs w:val="27"/>
              </w:rPr>
            </w:pPr>
            <w:r w:rsidRPr="009402CF">
              <w:rPr>
                <w:color w:val="000000"/>
              </w:rPr>
              <w:t>A Local Law to amend the administrative code of the city of New York, in relation to the creation of a permanent COVID-19 wastewater testing program and the reporting of testing results, and to repeal section 24-531 of such code, relating to the creation of a pilot program to test sewage for SARS-CoV-2 RNA</w:t>
            </w:r>
          </w:p>
          <w:p w14:paraId="3C63A453" w14:textId="77777777" w:rsidR="009402CF" w:rsidRPr="009402CF" w:rsidRDefault="009402CF" w:rsidP="009402CF">
            <w:pPr>
              <w:shd w:val="clear" w:color="auto" w:fill="FFFFFF"/>
              <w:ind w:firstLine="0"/>
              <w:jc w:val="both"/>
              <w:rPr>
                <w:color w:val="000000"/>
                <w:sz w:val="27"/>
                <w:szCs w:val="27"/>
              </w:rPr>
            </w:pPr>
            <w:r w:rsidRPr="009402CF">
              <w:rPr>
                <w:color w:val="000000"/>
              </w:rPr>
              <w:t> </w:t>
            </w:r>
          </w:p>
          <w:p w14:paraId="55A3D96B" w14:textId="77777777" w:rsidR="009402CF" w:rsidRPr="009402CF" w:rsidRDefault="009402CF" w:rsidP="009402CF">
            <w:pPr>
              <w:shd w:val="clear" w:color="auto" w:fill="FFFFFF"/>
              <w:ind w:firstLine="0"/>
              <w:jc w:val="both"/>
              <w:rPr>
                <w:color w:val="000000"/>
                <w:sz w:val="27"/>
                <w:szCs w:val="27"/>
              </w:rPr>
            </w:pPr>
            <w:r w:rsidRPr="009402CF">
              <w:rPr>
                <w:color w:val="000000"/>
                <w:u w:val="single"/>
              </w:rPr>
              <w:t>Be it enacted by the Council as follows:</w:t>
            </w:r>
          </w:p>
          <w:p w14:paraId="09D8D2D6" w14:textId="77777777" w:rsidR="009402CF" w:rsidRPr="009402CF" w:rsidRDefault="009402CF" w:rsidP="009402CF">
            <w:pPr>
              <w:shd w:val="clear" w:color="auto" w:fill="FFFFFF"/>
              <w:jc w:val="both"/>
              <w:rPr>
                <w:color w:val="000000"/>
                <w:sz w:val="27"/>
                <w:szCs w:val="27"/>
              </w:rPr>
            </w:pPr>
            <w:r w:rsidRPr="009402CF">
              <w:rPr>
                <w:color w:val="000000"/>
              </w:rPr>
              <w:t> </w:t>
            </w:r>
          </w:p>
          <w:p w14:paraId="5E1D23F9" w14:textId="77777777" w:rsidR="009402CF" w:rsidRPr="009402CF" w:rsidRDefault="009402CF" w:rsidP="009402CF">
            <w:pPr>
              <w:shd w:val="clear" w:color="auto" w:fill="FFFFFF"/>
              <w:spacing w:line="480" w:lineRule="auto"/>
              <w:jc w:val="both"/>
              <w:rPr>
                <w:color w:val="000000"/>
                <w:sz w:val="27"/>
                <w:szCs w:val="27"/>
              </w:rPr>
            </w:pPr>
            <w:r w:rsidRPr="009402CF">
              <w:rPr>
                <w:color w:val="000000"/>
              </w:rPr>
              <w:t>Section 1. Section 24-531 of the administrative code of the city of New York is REPEALED and a new section 24-531 is added to read as follows:</w:t>
            </w:r>
          </w:p>
          <w:p w14:paraId="1EF9E532"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 24-531 COVID-19 wastewater testing program. a. Definitions. For the purposes of this section, the following terms have the following meanings:</w:t>
            </w:r>
          </w:p>
          <w:p w14:paraId="73DA6B8E"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PCR using N1 primer. The term “PCR using N1 primer” means the measurement of the copies of the targeted viral RNA segment in wastewater sample using a polymerase chain reaction based method.</w:t>
            </w:r>
          </w:p>
          <w:p w14:paraId="1D5D0FDD"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SARS-CoV-2. The term “SARS-CoV-2” means severe acute respiratory syndrome coronavirus 2, which is the strain of coronavirus that causes the disease COVID-19.</w:t>
            </w:r>
          </w:p>
          <w:p w14:paraId="16364CB5"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Wastewater-based epidemiology. The term “wastewater-based epidemiology” means the chemical analysis of pollutants, viruses, and biomarkers in raw wastewater to obtain qualitative and quantitative data on disease activity among inhabitants within a given wastewater catchment.</w:t>
            </w:r>
          </w:p>
          <w:p w14:paraId="3C2970CE"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b. Wastewater sampling and testing. The commissioner, in consultation with the commissioner of health and mental hygiene, shall conduct wastewater-based epidemiology sampling and testing to quantify the levels of SARS-CoV-2 RNA in wastewater at each city wastewater treatment plant in accordance with this section. Such sampling shall occur on a frequency of no less than twice per week and shall measure the number of copies of SARS-CoV-2 RNA levels through the PCR using N1 primer testing method or another testing method that reflects industry best practices.</w:t>
            </w:r>
          </w:p>
          <w:p w14:paraId="1CD95964"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c. Weekly publication of results. The commissioner of health and mental hygiene shall publish the results of testing provided for in subdivision b of this section no less than weekly on the department of health and mental hygiene’s website.</w:t>
            </w:r>
          </w:p>
          <w:p w14:paraId="594720E7"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d. Annual report. No later than August 31, 2023, and every year thereafter, the commissioner of health and mental hygiene, in consultation with the commissioner of environmental protection, shall submit to the mayor and the speaker of the council a report which shall include but not be limited to the following:</w:t>
            </w:r>
          </w:p>
          <w:p w14:paraId="18C61403"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1. Results of all sampling of SARS-CoV-2 conducted pursuant to this section, disaggregated by the site where the sample was collected, the date the sample was collected, and the date the sample was tested, in order to monitor the leading indicators of increases or decreases in SARS-CoV-2 present in each drainage area;</w:t>
            </w:r>
          </w:p>
          <w:p w14:paraId="01FA859E"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2. Any sequencing testing method other than PCR using N1 primer that the department used to test samples for SARS-CoV-2;</w:t>
            </w:r>
          </w:p>
          <w:p w14:paraId="02E4BFAA"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3. The total cost of the COVID-19 wastewater-based epidemiology testing program for the previous fiscal year; and</w:t>
            </w:r>
          </w:p>
          <w:p w14:paraId="1C999841" w14:textId="77777777" w:rsidR="009402CF" w:rsidRPr="009402CF" w:rsidRDefault="009402CF" w:rsidP="009402CF">
            <w:pPr>
              <w:shd w:val="clear" w:color="auto" w:fill="FFFFFF"/>
              <w:spacing w:line="480" w:lineRule="auto"/>
              <w:jc w:val="both"/>
              <w:rPr>
                <w:color w:val="000000"/>
                <w:sz w:val="27"/>
                <w:szCs w:val="27"/>
              </w:rPr>
            </w:pPr>
            <w:r w:rsidRPr="009402CF">
              <w:rPr>
                <w:color w:val="000000"/>
                <w:u w:val="single"/>
              </w:rPr>
              <w:t>4. Analysis of the effectiveness of the COVID-19 wastewater-based epidemiology testing program in testing for SARS-CoV-2.</w:t>
            </w:r>
          </w:p>
          <w:p w14:paraId="4B72C8A1" w14:textId="77777777" w:rsidR="009402CF" w:rsidRPr="009402CF" w:rsidRDefault="009402CF" w:rsidP="009402CF">
            <w:pPr>
              <w:shd w:val="clear" w:color="auto" w:fill="FFFFFF"/>
              <w:spacing w:line="480" w:lineRule="auto"/>
              <w:jc w:val="both"/>
              <w:rPr>
                <w:color w:val="000000"/>
                <w:sz w:val="27"/>
                <w:szCs w:val="27"/>
              </w:rPr>
            </w:pPr>
            <w:r w:rsidRPr="009402CF">
              <w:rPr>
                <w:color w:val="000000"/>
              </w:rPr>
              <w:t>§ 2. This local law takes effect immediately.</w:t>
            </w:r>
          </w:p>
          <w:p w14:paraId="0D87A494"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 </w:t>
            </w:r>
          </w:p>
          <w:p w14:paraId="27C17E4F"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 </w:t>
            </w:r>
          </w:p>
          <w:p w14:paraId="45176D8C"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 </w:t>
            </w:r>
          </w:p>
          <w:p w14:paraId="2ED26D53"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 </w:t>
            </w:r>
          </w:p>
          <w:p w14:paraId="59B8DE58"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 </w:t>
            </w:r>
          </w:p>
          <w:p w14:paraId="2436C3F7"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DPM</w:t>
            </w:r>
          </w:p>
          <w:p w14:paraId="6408A715" w14:textId="77777777" w:rsidR="009402CF" w:rsidRPr="009402CF" w:rsidRDefault="009402CF" w:rsidP="009402CF">
            <w:pPr>
              <w:shd w:val="clear" w:color="auto" w:fill="FFFFFF"/>
              <w:ind w:firstLine="0"/>
              <w:jc w:val="both"/>
              <w:rPr>
                <w:color w:val="000000"/>
                <w:sz w:val="27"/>
                <w:szCs w:val="27"/>
              </w:rPr>
            </w:pPr>
            <w:r w:rsidRPr="009402CF">
              <w:rPr>
                <w:color w:val="000000"/>
                <w:sz w:val="18"/>
                <w:szCs w:val="18"/>
              </w:rPr>
              <w:t>LS #6622, 7965, 8241</w:t>
            </w:r>
          </w:p>
          <w:p w14:paraId="3AFEADFD" w14:textId="77777777" w:rsidR="009402CF" w:rsidRPr="009402CF" w:rsidRDefault="009402CF" w:rsidP="009402CF">
            <w:pPr>
              <w:shd w:val="clear" w:color="auto" w:fill="FFFFFF"/>
              <w:ind w:firstLine="0"/>
              <w:rPr>
                <w:color w:val="000000"/>
                <w:sz w:val="27"/>
                <w:szCs w:val="27"/>
              </w:rPr>
            </w:pPr>
            <w:r w:rsidRPr="009402CF">
              <w:rPr>
                <w:color w:val="000000"/>
                <w:sz w:val="18"/>
                <w:szCs w:val="18"/>
              </w:rPr>
              <w:t>8/4/2022 4:32 PM</w:t>
            </w:r>
          </w:p>
        </w:tc>
      </w:tr>
      <w:tr w:rsidR="00DF57DC" w:rsidRPr="00DF57DC" w14:paraId="006380E3" w14:textId="77777777" w:rsidTr="00DF57DC">
        <w:trPr>
          <w:tblCellSpacing w:w="0" w:type="dxa"/>
        </w:trPr>
        <w:tc>
          <w:tcPr>
            <w:tcW w:w="0" w:type="auto"/>
            <w:shd w:val="clear" w:color="auto" w:fill="FFFFFF"/>
            <w:vAlign w:val="center"/>
            <w:hideMark/>
          </w:tcPr>
          <w:p w14:paraId="0CAFF30A" w14:textId="77777777" w:rsidR="00DF57DC" w:rsidRPr="00DF57DC" w:rsidRDefault="00DF57DC" w:rsidP="00DF57DC">
            <w:pPr>
              <w:shd w:val="clear" w:color="auto" w:fill="FFFFFF"/>
              <w:ind w:firstLine="0"/>
              <w:jc w:val="center"/>
              <w:rPr>
                <w:rFonts w:ascii="Times" w:hAnsi="Times"/>
                <w:color w:val="000000"/>
                <w:sz w:val="27"/>
                <w:szCs w:val="27"/>
              </w:rPr>
            </w:pPr>
            <w:r w:rsidRPr="00DF57DC">
              <w:rPr>
                <w:color w:val="000000"/>
              </w:rPr>
              <w:t>Int. No. 797</w:t>
            </w:r>
          </w:p>
          <w:p w14:paraId="550B9109" w14:textId="77777777" w:rsidR="00DF57DC" w:rsidRPr="00DF57DC" w:rsidRDefault="00DF57DC" w:rsidP="00DF57DC">
            <w:pPr>
              <w:shd w:val="clear" w:color="auto" w:fill="FFFFFF"/>
              <w:ind w:firstLine="0"/>
              <w:jc w:val="center"/>
              <w:rPr>
                <w:rFonts w:ascii="Times" w:hAnsi="Times"/>
                <w:color w:val="000000"/>
                <w:sz w:val="27"/>
                <w:szCs w:val="27"/>
              </w:rPr>
            </w:pPr>
            <w:r w:rsidRPr="00DF57DC">
              <w:rPr>
                <w:color w:val="000000"/>
              </w:rPr>
              <w:t> </w:t>
            </w:r>
          </w:p>
          <w:p w14:paraId="37C7EE45"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rPr>
              <w:t>By Council Members Nurse, Louis, Hanif, Avilés, Brewer, Cabán, Dinowitz, Joseph, Ayala, Williams, Abreu, Restler, Marte, Hudson, Ossé, Gutiérrez and De La Rosa</w:t>
            </w:r>
          </w:p>
          <w:p w14:paraId="0C0CAB68"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rPr>
              <w:t> </w:t>
            </w:r>
          </w:p>
          <w:p w14:paraId="5D185C31"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rPr>
              <w:t>A Local Law to amend the administrative code of the city of New York, in relation to testing drinking water for the presence of microplastics</w:t>
            </w:r>
          </w:p>
          <w:p w14:paraId="0A95B279"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rPr>
              <w:t> </w:t>
            </w:r>
          </w:p>
          <w:p w14:paraId="2BEC8A4D" w14:textId="77777777" w:rsidR="00DF57DC" w:rsidRPr="00DF57DC" w:rsidRDefault="00DF57DC" w:rsidP="00DF57DC">
            <w:pPr>
              <w:shd w:val="clear" w:color="auto" w:fill="FFFFFF"/>
              <w:spacing w:line="480" w:lineRule="auto"/>
              <w:ind w:firstLine="0"/>
              <w:jc w:val="both"/>
              <w:rPr>
                <w:rFonts w:ascii="Times" w:hAnsi="Times"/>
                <w:color w:val="000000"/>
                <w:sz w:val="27"/>
                <w:szCs w:val="27"/>
              </w:rPr>
            </w:pPr>
            <w:r w:rsidRPr="00DF57DC">
              <w:rPr>
                <w:color w:val="000000"/>
                <w:u w:val="single"/>
              </w:rPr>
              <w:t>Be it enacted by the Council as follows:</w:t>
            </w:r>
          </w:p>
          <w:p w14:paraId="2C82643F"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000000"/>
              </w:rPr>
              <w:t>Section 1. Subchapter 4 of chapter 3 of title 24 of the administrative code of the city of New York is amended by adding a new section 24-370 to read as follows:</w:t>
            </w:r>
          </w:p>
          <w:p w14:paraId="214C882D"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000000"/>
                <w:u w:val="single"/>
              </w:rPr>
              <w:t>§ 24-370 Testing drinking water for microplastics. a. Definitions. For the purposes of this section, the following terms have the following meanings:</w:t>
            </w:r>
          </w:p>
          <w:p w14:paraId="1010DE2C"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000000"/>
                <w:u w:val="single"/>
              </w:rPr>
              <w:t>Microplastic. The term “microplastic” means a piece of plastic that is one nanometer to five millimeters in size.</w:t>
            </w:r>
          </w:p>
          <w:p w14:paraId="7227FDD2"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000000"/>
                <w:u w:val="single"/>
              </w:rPr>
              <w:t>Street-side drinking water sampling station. The term “street-side drinking water sampling station” means a drinking water sampling station located at the end point of the city’s drinking water distribution system, before drinking water enters the local service line.</w:t>
            </w:r>
          </w:p>
          <w:p w14:paraId="03415834"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000000"/>
                <w:u w:val="single"/>
              </w:rPr>
              <w:t>b. The department, as part of its regular testing protocol, shall test for the presence of microplastics in drinking water at each street-side drinking water sampling station. Such testing results shall be included in any report the department prepares on the sampling, testing and monitoring of the city’s drinking water.  The department shall post on its website such testing results.</w:t>
            </w:r>
          </w:p>
          <w:p w14:paraId="7CE1808E"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212529"/>
                <w:u w:val="single"/>
              </w:rPr>
              <w:t>c. The department shall promulgate regulations to create standards or methods for testing the city’s drinking water for microplastics.</w:t>
            </w:r>
          </w:p>
          <w:p w14:paraId="720DB43B" w14:textId="77777777" w:rsidR="00DF57DC" w:rsidRPr="00DF57DC" w:rsidRDefault="00DF57DC" w:rsidP="00DF57DC">
            <w:pPr>
              <w:shd w:val="clear" w:color="auto" w:fill="FFFFFF"/>
              <w:spacing w:line="480" w:lineRule="auto"/>
              <w:jc w:val="both"/>
              <w:rPr>
                <w:rFonts w:ascii="Times" w:hAnsi="Times"/>
                <w:color w:val="000000"/>
                <w:sz w:val="27"/>
                <w:szCs w:val="27"/>
              </w:rPr>
            </w:pPr>
            <w:r w:rsidRPr="00DF57DC">
              <w:rPr>
                <w:color w:val="000000"/>
              </w:rPr>
              <w:t>§ 2. This local law takes effect 180 days after it becomes law.</w:t>
            </w:r>
          </w:p>
          <w:p w14:paraId="12C83AE4"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sz w:val="18"/>
                <w:szCs w:val="18"/>
              </w:rPr>
              <w:t> </w:t>
            </w:r>
          </w:p>
          <w:p w14:paraId="2687EF42"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sz w:val="18"/>
                <w:szCs w:val="18"/>
              </w:rPr>
              <w:t> </w:t>
            </w:r>
          </w:p>
          <w:p w14:paraId="47F273D1"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sz w:val="18"/>
                <w:szCs w:val="18"/>
              </w:rPr>
              <w:t> </w:t>
            </w:r>
          </w:p>
          <w:p w14:paraId="3B5205A6"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sz w:val="18"/>
                <w:szCs w:val="18"/>
              </w:rPr>
              <w:t> </w:t>
            </w:r>
          </w:p>
          <w:p w14:paraId="54AF7A49"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sz w:val="18"/>
                <w:szCs w:val="18"/>
              </w:rPr>
              <w:t>JSA</w:t>
            </w:r>
          </w:p>
          <w:p w14:paraId="6AF31936" w14:textId="77777777" w:rsidR="00DF57DC" w:rsidRPr="00DF57DC" w:rsidRDefault="00DF57DC" w:rsidP="00DF57DC">
            <w:pPr>
              <w:shd w:val="clear" w:color="auto" w:fill="FFFFFF"/>
              <w:ind w:firstLine="0"/>
              <w:jc w:val="both"/>
              <w:rPr>
                <w:rFonts w:ascii="Times" w:hAnsi="Times"/>
                <w:color w:val="000000"/>
                <w:sz w:val="27"/>
                <w:szCs w:val="27"/>
              </w:rPr>
            </w:pPr>
            <w:r w:rsidRPr="00DF57DC">
              <w:rPr>
                <w:color w:val="000000"/>
                <w:sz w:val="18"/>
                <w:szCs w:val="18"/>
              </w:rPr>
              <w:t>LS #8990</w:t>
            </w:r>
          </w:p>
          <w:p w14:paraId="0B1B0C87" w14:textId="77777777" w:rsidR="00DF57DC" w:rsidRPr="00DF57DC" w:rsidRDefault="00DF57DC" w:rsidP="00DF57DC">
            <w:pPr>
              <w:shd w:val="clear" w:color="auto" w:fill="FFFFFF"/>
              <w:ind w:firstLine="0"/>
              <w:rPr>
                <w:rFonts w:ascii="Times" w:hAnsi="Times"/>
                <w:color w:val="000000"/>
                <w:sz w:val="27"/>
                <w:szCs w:val="27"/>
              </w:rPr>
            </w:pPr>
            <w:r w:rsidRPr="00DF57DC">
              <w:rPr>
                <w:color w:val="000000"/>
                <w:sz w:val="18"/>
                <w:szCs w:val="18"/>
              </w:rPr>
              <w:t>10/12/2022</w:t>
            </w:r>
          </w:p>
          <w:p w14:paraId="27BC5DB4" w14:textId="77777777" w:rsidR="00DF57DC" w:rsidRPr="00DF57DC" w:rsidRDefault="00DF57DC" w:rsidP="00DF57DC">
            <w:pPr>
              <w:shd w:val="clear" w:color="auto" w:fill="FFFFFF"/>
              <w:ind w:firstLine="0"/>
              <w:rPr>
                <w:rFonts w:ascii="Times" w:hAnsi="Times"/>
                <w:color w:val="000000"/>
                <w:sz w:val="27"/>
                <w:szCs w:val="27"/>
              </w:rPr>
            </w:pPr>
            <w:r w:rsidRPr="00DF57DC">
              <w:rPr>
                <w:color w:val="000000"/>
                <w:sz w:val="18"/>
                <w:szCs w:val="18"/>
              </w:rPr>
              <w:t> </w:t>
            </w:r>
          </w:p>
        </w:tc>
      </w:tr>
    </w:tbl>
    <w:p w14:paraId="04542450" w14:textId="77777777" w:rsidR="00DF57DC" w:rsidRPr="00DF57DC" w:rsidRDefault="00DF57DC" w:rsidP="00DF57DC">
      <w:pPr>
        <w:ind w:firstLine="0"/>
      </w:pPr>
      <w:r w:rsidRPr="00DF57DC">
        <w:rPr>
          <w:rFonts w:ascii="Times" w:hAnsi="Times"/>
          <w:color w:val="000000"/>
          <w:sz w:val="27"/>
          <w:szCs w:val="27"/>
        </w:rPr>
        <w:br/>
      </w:r>
    </w:p>
    <w:p w14:paraId="376F7DC7" w14:textId="5BA445D0" w:rsidR="0062350F" w:rsidRDefault="009402CF" w:rsidP="003643C2">
      <w:pPr>
        <w:spacing w:line="480" w:lineRule="auto"/>
        <w:ind w:firstLine="0"/>
        <w:jc w:val="both"/>
      </w:pPr>
      <w:r w:rsidRPr="009402CF">
        <w:rPr>
          <w:color w:val="000000"/>
          <w:sz w:val="27"/>
          <w:szCs w:val="27"/>
        </w:rPr>
        <w:br/>
      </w:r>
    </w:p>
    <w:p w14:paraId="48171175" w14:textId="20BC3086" w:rsidR="009402CF" w:rsidRDefault="009402CF" w:rsidP="003643C2">
      <w:pPr>
        <w:spacing w:line="480" w:lineRule="auto"/>
        <w:ind w:firstLine="0"/>
        <w:jc w:val="both"/>
      </w:pPr>
    </w:p>
    <w:p w14:paraId="6E9E54ED" w14:textId="3699A1FC" w:rsidR="009402CF" w:rsidRDefault="009402CF" w:rsidP="003643C2">
      <w:pPr>
        <w:spacing w:line="480" w:lineRule="auto"/>
        <w:ind w:firstLine="0"/>
        <w:jc w:val="both"/>
      </w:pPr>
    </w:p>
    <w:p w14:paraId="3EE820D5" w14:textId="648F08F8" w:rsidR="009402CF" w:rsidRDefault="009402CF" w:rsidP="003643C2">
      <w:pPr>
        <w:spacing w:line="480" w:lineRule="auto"/>
        <w:ind w:firstLine="0"/>
        <w:jc w:val="both"/>
      </w:pPr>
    </w:p>
    <w:p w14:paraId="5E580841" w14:textId="66E2FBFD" w:rsidR="009402CF" w:rsidRDefault="009402CF" w:rsidP="003643C2">
      <w:pPr>
        <w:spacing w:line="480" w:lineRule="auto"/>
        <w:ind w:firstLine="0"/>
        <w:jc w:val="both"/>
      </w:pPr>
    </w:p>
    <w:p w14:paraId="2CE9F72C" w14:textId="533B7550" w:rsidR="009402CF" w:rsidRDefault="009402CF" w:rsidP="003643C2">
      <w:pPr>
        <w:spacing w:line="480" w:lineRule="auto"/>
        <w:ind w:firstLine="0"/>
        <w:jc w:val="both"/>
      </w:pPr>
    </w:p>
    <w:p w14:paraId="2B106038" w14:textId="27A7319F" w:rsidR="009402CF" w:rsidRDefault="009402CF" w:rsidP="003643C2">
      <w:pPr>
        <w:spacing w:line="480" w:lineRule="auto"/>
        <w:ind w:firstLine="0"/>
        <w:jc w:val="both"/>
      </w:pPr>
    </w:p>
    <w:p w14:paraId="5427653F" w14:textId="6BB3A6D1" w:rsidR="009402CF" w:rsidRDefault="009402CF" w:rsidP="003643C2">
      <w:pPr>
        <w:spacing w:line="480" w:lineRule="auto"/>
        <w:ind w:firstLine="0"/>
        <w:jc w:val="both"/>
      </w:pPr>
    </w:p>
    <w:p w14:paraId="66139842" w14:textId="331C12BD" w:rsidR="009402CF" w:rsidRDefault="009402CF" w:rsidP="003643C2">
      <w:pPr>
        <w:spacing w:line="480" w:lineRule="auto"/>
        <w:ind w:firstLine="0"/>
        <w:jc w:val="both"/>
      </w:pPr>
    </w:p>
    <w:p w14:paraId="04AB18BE" w14:textId="4553B713" w:rsidR="009402CF" w:rsidRDefault="009402CF" w:rsidP="00DF57DC">
      <w:pPr>
        <w:spacing w:line="480" w:lineRule="auto"/>
        <w:ind w:firstLine="0"/>
        <w:rPr>
          <w:rFonts w:ascii="Times New Roman Bold" w:hAnsi="Times New Roman Bold"/>
          <w:b/>
          <w:smallCaps/>
        </w:rPr>
      </w:pPr>
    </w:p>
    <w:p w14:paraId="37A3237A" w14:textId="3FDCA488" w:rsidR="009402CF" w:rsidRDefault="009402CF" w:rsidP="00433164">
      <w:pPr>
        <w:spacing w:line="480" w:lineRule="auto"/>
        <w:ind w:firstLine="0"/>
        <w:jc w:val="center"/>
        <w:rPr>
          <w:rFonts w:ascii="Times New Roman Bold" w:hAnsi="Times New Roman Bold"/>
          <w:b/>
          <w:smallCaps/>
        </w:rPr>
      </w:pPr>
    </w:p>
    <w:p w14:paraId="0EA0D744" w14:textId="670D0586" w:rsidR="009402CF" w:rsidRDefault="009402CF" w:rsidP="00433164">
      <w:pPr>
        <w:spacing w:line="480" w:lineRule="auto"/>
        <w:ind w:firstLine="0"/>
        <w:jc w:val="center"/>
        <w:rPr>
          <w:rFonts w:ascii="Times New Roman Bold" w:hAnsi="Times New Roman Bold"/>
          <w:b/>
          <w:smallCaps/>
        </w:rPr>
      </w:pPr>
    </w:p>
    <w:p w14:paraId="7999DEB0" w14:textId="4674F54A" w:rsidR="009402CF" w:rsidRDefault="009402CF" w:rsidP="00433164">
      <w:pPr>
        <w:spacing w:line="480" w:lineRule="auto"/>
        <w:ind w:firstLine="0"/>
        <w:jc w:val="center"/>
        <w:rPr>
          <w:rFonts w:ascii="Times New Roman Bold" w:hAnsi="Times New Roman Bold"/>
          <w:b/>
          <w:smallCaps/>
        </w:rPr>
      </w:pPr>
    </w:p>
    <w:p w14:paraId="0FF2FA91" w14:textId="4781BD69" w:rsidR="009402CF" w:rsidRDefault="009402CF" w:rsidP="00433164">
      <w:pPr>
        <w:spacing w:line="480" w:lineRule="auto"/>
        <w:ind w:firstLine="0"/>
        <w:jc w:val="center"/>
        <w:rPr>
          <w:rFonts w:ascii="Times New Roman Bold" w:hAnsi="Times New Roman Bold"/>
          <w:b/>
          <w:smallCaps/>
        </w:rPr>
      </w:pPr>
    </w:p>
    <w:p w14:paraId="574C4A4C" w14:textId="4796A524" w:rsidR="009402CF" w:rsidRDefault="009402CF" w:rsidP="00433164">
      <w:pPr>
        <w:spacing w:line="480" w:lineRule="auto"/>
        <w:ind w:firstLine="0"/>
        <w:jc w:val="center"/>
        <w:rPr>
          <w:rFonts w:ascii="Times New Roman Bold" w:hAnsi="Times New Roman Bold"/>
          <w:b/>
          <w:smallCaps/>
        </w:rPr>
      </w:pPr>
    </w:p>
    <w:p w14:paraId="794A2726" w14:textId="2AE2FB57" w:rsidR="009402CF" w:rsidRDefault="009402CF" w:rsidP="00433164">
      <w:pPr>
        <w:spacing w:line="480" w:lineRule="auto"/>
        <w:ind w:firstLine="0"/>
        <w:jc w:val="center"/>
        <w:rPr>
          <w:rFonts w:ascii="Times New Roman Bold" w:hAnsi="Times New Roman Bold"/>
          <w:b/>
          <w:smallCaps/>
        </w:rPr>
      </w:pPr>
    </w:p>
    <w:p w14:paraId="60D0F645" w14:textId="448BDB96" w:rsidR="009402CF" w:rsidRDefault="009402CF" w:rsidP="00433164">
      <w:pPr>
        <w:spacing w:line="480" w:lineRule="auto"/>
        <w:ind w:firstLine="0"/>
        <w:jc w:val="center"/>
        <w:rPr>
          <w:rFonts w:ascii="Times New Roman Bold" w:hAnsi="Times New Roman Bold"/>
          <w:b/>
          <w:smallCaps/>
        </w:rPr>
      </w:pPr>
    </w:p>
    <w:p w14:paraId="4473E907" w14:textId="0BC1E3AD" w:rsidR="009402CF" w:rsidRDefault="009402CF" w:rsidP="00433164">
      <w:pPr>
        <w:spacing w:line="480" w:lineRule="auto"/>
        <w:ind w:firstLine="0"/>
        <w:jc w:val="center"/>
        <w:rPr>
          <w:rFonts w:ascii="Times New Roman Bold" w:hAnsi="Times New Roman Bold"/>
          <w:b/>
          <w:smallCaps/>
        </w:rPr>
      </w:pPr>
    </w:p>
    <w:p w14:paraId="460397F3" w14:textId="06FAE8BB" w:rsidR="009402CF" w:rsidRDefault="009402CF" w:rsidP="00DF57DC">
      <w:pPr>
        <w:spacing w:line="480" w:lineRule="auto"/>
        <w:ind w:firstLine="0"/>
        <w:rPr>
          <w:rFonts w:ascii="Times New Roman Bold" w:hAnsi="Times New Roman Bold"/>
          <w:b/>
          <w:smallCaps/>
        </w:rPr>
      </w:pPr>
    </w:p>
    <w:p w14:paraId="62BF0C32" w14:textId="19596EC9" w:rsidR="009402CF" w:rsidRPr="00433164" w:rsidRDefault="009402CF">
      <w:pPr>
        <w:spacing w:line="480" w:lineRule="auto"/>
        <w:ind w:firstLine="0"/>
        <w:jc w:val="both"/>
        <w:rPr>
          <w:rFonts w:ascii="Times New Roman Bold" w:hAnsi="Times New Roman Bold"/>
          <w:smallCaps/>
        </w:rPr>
      </w:pPr>
    </w:p>
    <w:sectPr w:rsidR="009402CF" w:rsidRPr="00433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396E" w14:textId="77777777" w:rsidR="004328C7" w:rsidRDefault="004328C7" w:rsidP="0062350F">
      <w:r>
        <w:separator/>
      </w:r>
    </w:p>
  </w:endnote>
  <w:endnote w:type="continuationSeparator" w:id="0">
    <w:p w14:paraId="1F48CCCB" w14:textId="77777777" w:rsidR="004328C7" w:rsidRDefault="004328C7" w:rsidP="0062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87093"/>
      <w:docPartObj>
        <w:docPartGallery w:val="Page Numbers (Bottom of Page)"/>
        <w:docPartUnique/>
      </w:docPartObj>
    </w:sdtPr>
    <w:sdtEndPr>
      <w:rPr>
        <w:noProof/>
      </w:rPr>
    </w:sdtEndPr>
    <w:sdtContent>
      <w:p w14:paraId="1461CC43" w14:textId="603FCF47" w:rsidR="004909F9" w:rsidRDefault="004909F9">
        <w:pPr>
          <w:pStyle w:val="Footer"/>
          <w:jc w:val="center"/>
        </w:pPr>
        <w:r>
          <w:fldChar w:fldCharType="begin"/>
        </w:r>
        <w:r>
          <w:instrText xml:space="preserve"> PAGE   \* MERGEFORMAT </w:instrText>
        </w:r>
        <w:r>
          <w:fldChar w:fldCharType="separate"/>
        </w:r>
        <w:r w:rsidR="00E00853">
          <w:rPr>
            <w:noProof/>
          </w:rPr>
          <w:t>19</w:t>
        </w:r>
        <w:r>
          <w:rPr>
            <w:noProof/>
          </w:rPr>
          <w:fldChar w:fldCharType="end"/>
        </w:r>
      </w:p>
    </w:sdtContent>
  </w:sdt>
  <w:p w14:paraId="154B31E0" w14:textId="77777777" w:rsidR="00751DE2" w:rsidRDefault="0075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4357" w14:textId="77777777" w:rsidR="004328C7" w:rsidRDefault="004328C7" w:rsidP="0062350F">
      <w:r>
        <w:separator/>
      </w:r>
    </w:p>
  </w:footnote>
  <w:footnote w:type="continuationSeparator" w:id="0">
    <w:p w14:paraId="25DC5A66" w14:textId="77777777" w:rsidR="004328C7" w:rsidRDefault="004328C7" w:rsidP="0062350F">
      <w:r>
        <w:continuationSeparator/>
      </w:r>
    </w:p>
  </w:footnote>
  <w:footnote w:id="1">
    <w:p w14:paraId="792E730E" w14:textId="77777777" w:rsidR="0062350F" w:rsidRDefault="0062350F" w:rsidP="0062350F">
      <w:pPr>
        <w:pStyle w:val="FootnoteText"/>
        <w:ind w:firstLine="0"/>
      </w:pPr>
      <w:r>
        <w:rPr>
          <w:rStyle w:val="FootnoteReference"/>
        </w:rPr>
        <w:footnoteRef/>
      </w:r>
      <w:r>
        <w:t xml:space="preserve"> Worldometer, COVID-19 Coronavirus Pandemic, </w:t>
      </w:r>
      <w:hyperlink r:id="rId1" w:history="1">
        <w:r>
          <w:rPr>
            <w:rStyle w:val="Hyperlink"/>
            <w:rFonts w:eastAsia="Arial Unicode MS"/>
          </w:rPr>
          <w:t>https://www.worldometers.info/coronavirus/</w:t>
        </w:r>
      </w:hyperlink>
      <w:r>
        <w:t xml:space="preserve">. </w:t>
      </w:r>
    </w:p>
  </w:footnote>
  <w:footnote w:id="2">
    <w:p w14:paraId="31E87384" w14:textId="50540618" w:rsidR="00526AAC" w:rsidRDefault="00526AAC" w:rsidP="00DF57DC">
      <w:pPr>
        <w:pStyle w:val="FootnoteText"/>
        <w:ind w:firstLine="0"/>
      </w:pPr>
      <w:r>
        <w:rPr>
          <w:rStyle w:val="FootnoteReference"/>
        </w:rPr>
        <w:footnoteRef/>
      </w:r>
      <w:r>
        <w:t xml:space="preserve"> Id.</w:t>
      </w:r>
    </w:p>
  </w:footnote>
  <w:footnote w:id="3">
    <w:p w14:paraId="2866069F" w14:textId="77777777" w:rsidR="0062350F" w:rsidRDefault="0062350F" w:rsidP="0062350F">
      <w:pPr>
        <w:pStyle w:val="FootnoteText"/>
        <w:ind w:firstLine="0"/>
      </w:pPr>
      <w:r>
        <w:rPr>
          <w:rStyle w:val="FootnoteReference"/>
        </w:rPr>
        <w:footnoteRef/>
      </w:r>
      <w:r>
        <w:t xml:space="preserve"> NYC DOHMH, COVID-19: Data,</w:t>
      </w:r>
      <w:r w:rsidRPr="00B47353">
        <w:t xml:space="preserve"> </w:t>
      </w:r>
      <w:r w:rsidRPr="00DD3594">
        <w:t>https://www1.nyc.gov/site/doh/covid/covid-19-data.page</w:t>
      </w:r>
    </w:p>
  </w:footnote>
  <w:footnote w:id="4">
    <w:p w14:paraId="6D18D41B" w14:textId="77777777" w:rsidR="0062350F" w:rsidRPr="004D0709" w:rsidRDefault="0062350F" w:rsidP="0062350F">
      <w:pPr>
        <w:pStyle w:val="FootnoteText"/>
        <w:ind w:firstLine="0"/>
        <w:rPr>
          <w:i/>
          <w:iCs/>
        </w:rPr>
      </w:pPr>
      <w:r>
        <w:rPr>
          <w:rStyle w:val="FootnoteReference"/>
        </w:rPr>
        <w:footnoteRef/>
      </w:r>
      <w:r>
        <w:t xml:space="preserve"> </w:t>
      </w:r>
      <w:r>
        <w:rPr>
          <w:i/>
          <w:iCs/>
        </w:rPr>
        <w:t>Id.</w:t>
      </w:r>
    </w:p>
  </w:footnote>
  <w:footnote w:id="5">
    <w:p w14:paraId="6C8E018C" w14:textId="77777777" w:rsidR="0062350F" w:rsidRPr="003E3607" w:rsidRDefault="0062350F" w:rsidP="0062350F">
      <w:pPr>
        <w:pStyle w:val="FootnoteText"/>
        <w:ind w:firstLine="0"/>
        <w:rPr>
          <w:i/>
          <w:iCs/>
        </w:rPr>
      </w:pPr>
      <w:r>
        <w:rPr>
          <w:rStyle w:val="FootnoteReference"/>
        </w:rPr>
        <w:footnoteRef/>
      </w:r>
      <w:r>
        <w:t xml:space="preserve"> </w:t>
      </w:r>
      <w:r>
        <w:rPr>
          <w:i/>
          <w:iCs/>
        </w:rPr>
        <w:t>Id.</w:t>
      </w:r>
    </w:p>
  </w:footnote>
  <w:footnote w:id="6">
    <w:p w14:paraId="515E4126" w14:textId="77777777" w:rsidR="0062350F" w:rsidRPr="00886482" w:rsidRDefault="0062350F" w:rsidP="0062350F">
      <w:pPr>
        <w:pStyle w:val="FootnoteText"/>
        <w:ind w:firstLine="0"/>
        <w:rPr>
          <w:i/>
          <w:iCs/>
        </w:rPr>
      </w:pPr>
      <w:r>
        <w:rPr>
          <w:rStyle w:val="FootnoteReference"/>
        </w:rPr>
        <w:footnoteRef/>
      </w:r>
      <w:r>
        <w:t xml:space="preserve"> </w:t>
      </w:r>
      <w:r>
        <w:rPr>
          <w:i/>
          <w:iCs/>
        </w:rPr>
        <w:t xml:space="preserve">Id. </w:t>
      </w:r>
    </w:p>
  </w:footnote>
  <w:footnote w:id="7">
    <w:p w14:paraId="27F6202E" w14:textId="77777777" w:rsidR="0062350F" w:rsidRPr="00886482" w:rsidRDefault="0062350F" w:rsidP="0062350F">
      <w:pPr>
        <w:pStyle w:val="FootnoteText"/>
        <w:ind w:firstLine="0"/>
        <w:rPr>
          <w:i/>
          <w:iCs/>
        </w:rPr>
      </w:pPr>
      <w:r>
        <w:rPr>
          <w:rStyle w:val="FootnoteReference"/>
        </w:rPr>
        <w:footnoteRef/>
      </w:r>
      <w:r>
        <w:t xml:space="preserve"> </w:t>
      </w:r>
      <w:r>
        <w:rPr>
          <w:i/>
          <w:iCs/>
        </w:rPr>
        <w:t>Id.</w:t>
      </w:r>
    </w:p>
  </w:footnote>
  <w:footnote w:id="8">
    <w:p w14:paraId="283D423B" w14:textId="77777777" w:rsidR="0062350F" w:rsidRDefault="0062350F" w:rsidP="0062350F">
      <w:pPr>
        <w:pStyle w:val="FootnoteText"/>
        <w:ind w:firstLine="0"/>
      </w:pPr>
      <w:r>
        <w:rPr>
          <w:rStyle w:val="FootnoteReference"/>
        </w:rPr>
        <w:footnoteRef/>
      </w:r>
      <w:r>
        <w:t xml:space="preserve"> While DOHMH releases much data regarding COVID-19, the data does not capture the impact on certain communities, including immigrant, Asian, religious, disability, and limited English proficient communities.  </w:t>
      </w:r>
    </w:p>
  </w:footnote>
  <w:footnote w:id="9">
    <w:p w14:paraId="512289C7" w14:textId="77777777" w:rsidR="0062350F" w:rsidRDefault="0062350F" w:rsidP="0062350F">
      <w:pPr>
        <w:pStyle w:val="FootnoteText"/>
        <w:ind w:firstLine="0"/>
      </w:pPr>
      <w:r>
        <w:rPr>
          <w:rStyle w:val="FootnoteReference"/>
        </w:rPr>
        <w:footnoteRef/>
      </w:r>
      <w:r>
        <w:t xml:space="preserve"> NYC DOHMH, COVID-19: Data,</w:t>
      </w:r>
      <w:r w:rsidRPr="00B47353">
        <w:t xml:space="preserve"> </w:t>
      </w:r>
      <w:hyperlink r:id="rId2" w:history="1">
        <w:r>
          <w:rPr>
            <w:rStyle w:val="Hyperlink"/>
            <w:rFonts w:eastAsia="Arial Unicode MS"/>
          </w:rPr>
          <w:t>https://www1.nyc.gov/site/doh/covid/covid-19-data.page</w:t>
        </w:r>
      </w:hyperlink>
      <w:r>
        <w:t xml:space="preserve">. </w:t>
      </w:r>
    </w:p>
  </w:footnote>
  <w:footnote w:id="10">
    <w:p w14:paraId="350C87E9" w14:textId="251B0928" w:rsidR="0062350F" w:rsidRDefault="0062350F" w:rsidP="0062350F">
      <w:pPr>
        <w:pStyle w:val="FootnoteText"/>
        <w:ind w:firstLine="0"/>
      </w:pPr>
      <w:r>
        <w:rPr>
          <w:rStyle w:val="FootnoteReference"/>
        </w:rPr>
        <w:footnoteRef/>
      </w:r>
      <w:r>
        <w:t xml:space="preserve"> Centers for Disease Control and Prevention. National Wastewater Surveillance System. </w:t>
      </w:r>
      <w:hyperlink r:id="rId3" w:history="1">
        <w:r w:rsidR="00080A3D" w:rsidRPr="0057258E">
          <w:rPr>
            <w:rStyle w:val="Hyperlink"/>
          </w:rPr>
          <w:t>https://www.cdc.gov/amd/whats-new/wastewater-surveillance.html</w:t>
        </w:r>
      </w:hyperlink>
      <w:r w:rsidR="00080A3D">
        <w:t xml:space="preserve"> </w:t>
      </w:r>
      <w:r>
        <w:t xml:space="preserve">(last accessed </w:t>
      </w:r>
      <w:r w:rsidR="00080A3D">
        <w:t>2/21/23</w:t>
      </w:r>
      <w:r>
        <w:t>)</w:t>
      </w:r>
    </w:p>
  </w:footnote>
  <w:footnote w:id="11">
    <w:p w14:paraId="3CC6CFB5" w14:textId="77777777" w:rsidR="0062350F" w:rsidRPr="00460B52" w:rsidRDefault="0062350F" w:rsidP="0062350F">
      <w:pPr>
        <w:pStyle w:val="FootnoteText"/>
        <w:ind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otnoteReference"/>
        </w:rPr>
        <w:footnoteRef/>
      </w:r>
      <w:r>
        <w:t xml:space="preserve"> New York City Department Of Environmental Protection, “New York City’s Wastewater Treatment System” </w:t>
      </w:r>
      <w:r w:rsidRPr="006F69DC">
        <w:t>https://www1.nyc.gov/site/dep/water/wastewater-treatment-system.page</w:t>
      </w:r>
      <w:r>
        <w:rPr>
          <w:rStyle w:val="Hyperlink"/>
          <w:color w:val="000000" w:themeColor="text1"/>
        </w:rPr>
        <w:t>(last accessed 10/22/20)</w:t>
      </w:r>
    </w:p>
  </w:footnote>
  <w:footnote w:id="12">
    <w:p w14:paraId="321B3955" w14:textId="77777777" w:rsidR="0062350F" w:rsidRDefault="0062350F" w:rsidP="0062350F">
      <w:pPr>
        <w:pStyle w:val="FootnoteText"/>
        <w:ind w:firstLine="0"/>
      </w:pPr>
      <w:r>
        <w:rPr>
          <w:rStyle w:val="FootnoteReference"/>
        </w:rPr>
        <w:footnoteRef/>
      </w:r>
      <w:r>
        <w:t xml:space="preserve"> NYC Mayor’s Office of Environmental Coordination CEQR Technical Manual 2014. </w:t>
      </w:r>
      <w:hyperlink r:id="rId4" w:history="1">
        <w:r w:rsidRPr="00DE162D">
          <w:rPr>
            <w:rStyle w:val="Hyperlink"/>
          </w:rPr>
          <w:t>https://www1.nyc.gov/assets/oec/technical-manual/2014_ceqr_technical_manual_rev_04_27_2016.pdf</w:t>
        </w:r>
      </w:hyperlink>
      <w:r>
        <w:t xml:space="preserve"> (last accessed 10/22/20)</w:t>
      </w:r>
    </w:p>
  </w:footnote>
  <w:footnote w:id="13">
    <w:p w14:paraId="59733EE7" w14:textId="77777777" w:rsidR="0062350F" w:rsidRDefault="0062350F" w:rsidP="0062350F">
      <w:pPr>
        <w:pStyle w:val="FootnoteText"/>
        <w:ind w:firstLine="0"/>
      </w:pPr>
      <w:r>
        <w:rPr>
          <w:rStyle w:val="FootnoteReference"/>
        </w:rPr>
        <w:footnoteRef/>
      </w:r>
      <w:r>
        <w:t xml:space="preserve"> NYC Open Sewer Atlas. Sewersheds and Community boards. </w:t>
      </w:r>
      <w:hyperlink r:id="rId5" w:history="1">
        <w:r w:rsidRPr="00DE162D">
          <w:rPr>
            <w:rStyle w:val="Hyperlink"/>
          </w:rPr>
          <w:t>https://openseweratlas.tumblr.com/post/90255588644/sewersheds-and-community-boards</w:t>
        </w:r>
      </w:hyperlink>
      <w:r>
        <w:t xml:space="preserve"> (last accessed 10/22/20)</w:t>
      </w:r>
    </w:p>
  </w:footnote>
  <w:footnote w:id="14">
    <w:p w14:paraId="354119A2" w14:textId="77777777" w:rsidR="0062350F" w:rsidRDefault="0062350F" w:rsidP="0062350F">
      <w:pPr>
        <w:pStyle w:val="FootnoteText"/>
        <w:ind w:firstLine="0"/>
      </w:pPr>
      <w:r>
        <w:rPr>
          <w:rStyle w:val="FootnoteReference"/>
        </w:rPr>
        <w:footnoteRef/>
      </w:r>
      <w:r>
        <w:t xml:space="preserve"> Id.</w:t>
      </w:r>
    </w:p>
  </w:footnote>
  <w:footnote w:id="15">
    <w:p w14:paraId="1D811D0B" w14:textId="77777777" w:rsidR="0062350F" w:rsidRDefault="0062350F" w:rsidP="0062350F">
      <w:pPr>
        <w:pStyle w:val="FootnoteText"/>
        <w:ind w:firstLine="0"/>
      </w:pPr>
      <w:r>
        <w:rPr>
          <w:rStyle w:val="FootnoteReference"/>
        </w:rPr>
        <w:footnoteRef/>
      </w:r>
      <w:r>
        <w:t xml:space="preserve"> Centers for Disease Control and Prevention. National Wastewater Surveillance System. </w:t>
      </w:r>
      <w:hyperlink r:id="rId6" w:history="1">
        <w:r w:rsidRPr="00DE162D">
          <w:rPr>
            <w:rStyle w:val="Hyperlink"/>
          </w:rPr>
          <w:t>https://www.cdc.gov/coronavirus/2019-ncov/cases-updates/wastewater-surveillance.html</w:t>
        </w:r>
      </w:hyperlink>
      <w:r>
        <w:t xml:space="preserve"> (last accessed 10/22/20)</w:t>
      </w:r>
    </w:p>
  </w:footnote>
  <w:footnote w:id="16">
    <w:p w14:paraId="7D43E384" w14:textId="77777777" w:rsidR="0062350F" w:rsidRDefault="0062350F" w:rsidP="0062350F">
      <w:pPr>
        <w:pStyle w:val="FootnoteText"/>
        <w:ind w:firstLine="0"/>
      </w:pPr>
      <w:r>
        <w:rPr>
          <w:rStyle w:val="FootnoteReference"/>
        </w:rPr>
        <w:footnoteRef/>
      </w:r>
      <w:r>
        <w:t xml:space="preserve"> Id. </w:t>
      </w:r>
    </w:p>
  </w:footnote>
  <w:footnote w:id="17">
    <w:p w14:paraId="307C4BD2" w14:textId="77777777" w:rsidR="0062350F" w:rsidRDefault="0062350F" w:rsidP="0062350F">
      <w:pPr>
        <w:pStyle w:val="FootnoteText"/>
        <w:ind w:firstLine="0"/>
      </w:pPr>
      <w:r>
        <w:rPr>
          <w:rStyle w:val="FootnoteReference"/>
        </w:rPr>
        <w:footnoteRef/>
      </w:r>
      <w:r>
        <w:t xml:space="preserve"> NYC Mayor’s Office of Environmental Coordination CEQR Technical Manual 2014. </w:t>
      </w:r>
      <w:hyperlink r:id="rId7" w:history="1">
        <w:r w:rsidRPr="00DE162D">
          <w:rPr>
            <w:rStyle w:val="Hyperlink"/>
          </w:rPr>
          <w:t>https://www1.nyc.gov/assets/oec/technical-manual/2014_ceqr_technical_manual_rev_04_27_2016.pdf</w:t>
        </w:r>
      </w:hyperlink>
      <w:r>
        <w:t xml:space="preserve"> </w:t>
      </w:r>
    </w:p>
  </w:footnote>
  <w:footnote w:id="18">
    <w:p w14:paraId="2B757D59" w14:textId="77777777" w:rsidR="0062350F" w:rsidRDefault="0062350F" w:rsidP="0062350F">
      <w:pPr>
        <w:pStyle w:val="FootnoteText"/>
        <w:ind w:firstLine="0"/>
      </w:pPr>
      <w:r>
        <w:rPr>
          <w:rStyle w:val="FootnoteReference"/>
        </w:rPr>
        <w:footnoteRef/>
      </w:r>
      <w:r>
        <w:t xml:space="preserve"> </w:t>
      </w:r>
      <w:r w:rsidRPr="00C3078D">
        <w:t>Polo, David et al. “Making waves: Wastewater-based epidemiology for COVID-19 - approaches and challenges for surveillance and prediction.” </w:t>
      </w:r>
      <w:r w:rsidRPr="00C3078D">
        <w:rPr>
          <w:i/>
          <w:iCs/>
        </w:rPr>
        <w:t>Water research</w:t>
      </w:r>
      <w:r w:rsidRPr="00C3078D">
        <w:t>, vol. 186</w:t>
      </w:r>
      <w:r>
        <w:t xml:space="preserve">. </w:t>
      </w:r>
      <w:r w:rsidRPr="00C3078D">
        <w:t xml:space="preserve"> </w:t>
      </w:r>
      <w:r>
        <w:t>S</w:t>
      </w:r>
      <w:r w:rsidRPr="00C3078D">
        <w:t>ep</w:t>
      </w:r>
      <w:r>
        <w:t xml:space="preserve">tember 9, </w:t>
      </w:r>
      <w:r w:rsidRPr="00C3078D">
        <w:t xml:space="preserve"> 2020</w:t>
      </w:r>
      <w:r>
        <w:t xml:space="preserve"> </w:t>
      </w:r>
      <w:hyperlink r:id="rId8" w:history="1">
        <w:r w:rsidRPr="00DE162D">
          <w:rPr>
            <w:rStyle w:val="Hyperlink"/>
          </w:rPr>
          <w:t>https://www.ncbi.nlm.nih.gov/pmc/articles/PMC7480445/</w:t>
        </w:r>
      </w:hyperlink>
      <w:r>
        <w:t xml:space="preserve"> </w:t>
      </w:r>
    </w:p>
  </w:footnote>
  <w:footnote w:id="19">
    <w:p w14:paraId="555692CD" w14:textId="77777777" w:rsidR="0062350F" w:rsidRDefault="0062350F" w:rsidP="0062350F">
      <w:pPr>
        <w:pStyle w:val="FootnoteText"/>
        <w:ind w:firstLine="0"/>
      </w:pPr>
      <w:r>
        <w:rPr>
          <w:rStyle w:val="FootnoteReference"/>
        </w:rPr>
        <w:footnoteRef/>
      </w:r>
      <w:r>
        <w:t xml:space="preserve"> Id. </w:t>
      </w:r>
    </w:p>
  </w:footnote>
  <w:footnote w:id="20">
    <w:p w14:paraId="754AA9A5" w14:textId="77777777" w:rsidR="0062350F" w:rsidRDefault="0062350F" w:rsidP="0062350F">
      <w:pPr>
        <w:pStyle w:val="FootnoteText"/>
        <w:ind w:firstLine="0"/>
      </w:pPr>
      <w:r>
        <w:rPr>
          <w:rStyle w:val="FootnoteReference"/>
        </w:rPr>
        <w:footnoteRef/>
      </w:r>
      <w:r>
        <w:t xml:space="preserve"> Id. </w:t>
      </w:r>
    </w:p>
  </w:footnote>
  <w:footnote w:id="21">
    <w:p w14:paraId="4C5B23B7" w14:textId="77777777" w:rsidR="0062350F" w:rsidRDefault="0062350F" w:rsidP="0062350F">
      <w:pPr>
        <w:pStyle w:val="FootnoteText"/>
        <w:ind w:firstLine="0"/>
      </w:pPr>
      <w:r>
        <w:rPr>
          <w:rStyle w:val="FootnoteReference"/>
        </w:rPr>
        <w:footnoteRef/>
      </w:r>
      <w:r>
        <w:t xml:space="preserve"> Id. </w:t>
      </w:r>
    </w:p>
  </w:footnote>
  <w:footnote w:id="22">
    <w:p w14:paraId="5F75F839" w14:textId="77777777" w:rsidR="0062350F" w:rsidRDefault="0062350F" w:rsidP="0062350F">
      <w:pPr>
        <w:pStyle w:val="FootnoteText"/>
        <w:ind w:firstLine="0"/>
      </w:pPr>
      <w:r>
        <w:rPr>
          <w:rStyle w:val="FootnoteReference"/>
        </w:rPr>
        <w:footnoteRef/>
      </w:r>
      <w:r>
        <w:t xml:space="preserve"> American Society for Microbiology. Metagenomic Next Generation Sequencing: How Does It Work, and Is It Coming to Your Clinical Microbiology Lab? </w:t>
      </w:r>
      <w:hyperlink r:id="rId9" w:history="1">
        <w:r w:rsidRPr="00DE162D">
          <w:rPr>
            <w:rStyle w:val="Hyperlink"/>
          </w:rPr>
          <w:t>https://asm.org/Articles/2019/November/Metagenomic-Next-Generation-Sequencing-How-Does-It</w:t>
        </w:r>
      </w:hyperlink>
      <w:r>
        <w:t xml:space="preserve"> (last accessed 10/23/20)</w:t>
      </w:r>
    </w:p>
  </w:footnote>
  <w:footnote w:id="23">
    <w:p w14:paraId="4BC08D41" w14:textId="77777777" w:rsidR="0062350F" w:rsidRDefault="0062350F" w:rsidP="0062350F">
      <w:pPr>
        <w:pStyle w:val="FootnoteText"/>
        <w:ind w:firstLine="0"/>
      </w:pPr>
      <w:r>
        <w:rPr>
          <w:rStyle w:val="FootnoteReference"/>
        </w:rPr>
        <w:footnoteRef/>
      </w:r>
      <w:r>
        <w:t xml:space="preserve"> Id. </w:t>
      </w:r>
    </w:p>
  </w:footnote>
  <w:footnote w:id="24">
    <w:p w14:paraId="34F7DBB1" w14:textId="77777777" w:rsidR="0062350F" w:rsidRDefault="0062350F" w:rsidP="0062350F">
      <w:pPr>
        <w:pStyle w:val="FootnoteText"/>
        <w:ind w:firstLine="0"/>
      </w:pPr>
      <w:r>
        <w:rPr>
          <w:rStyle w:val="FootnoteReference"/>
        </w:rPr>
        <w:footnoteRef/>
      </w:r>
      <w:r>
        <w:t xml:space="preserve"> Id. </w:t>
      </w:r>
    </w:p>
  </w:footnote>
  <w:footnote w:id="25">
    <w:p w14:paraId="5D075955" w14:textId="77777777" w:rsidR="0062350F" w:rsidRDefault="0062350F" w:rsidP="0062350F">
      <w:pPr>
        <w:pStyle w:val="FootnoteText"/>
        <w:ind w:firstLine="0"/>
      </w:pPr>
      <w:r>
        <w:rPr>
          <w:rStyle w:val="FootnoteReference"/>
        </w:rPr>
        <w:footnoteRef/>
      </w:r>
      <w:r>
        <w:t xml:space="preserve"> Local Law 28 of 2021. New York City Council. </w:t>
      </w:r>
      <w:r w:rsidRPr="00FB0BD8">
        <w:t>https://legistar.council.nyc.gov/LegislationDetail.aspx?ID=4573811&amp;GUID=6711C617-20A6-4151-9F52-91267048E8A1&amp;Options=ID%7CText%7COther%7C&amp;Search=28</w:t>
      </w:r>
    </w:p>
  </w:footnote>
  <w:footnote w:id="26">
    <w:p w14:paraId="7DFB01AB" w14:textId="77777777" w:rsidR="0062350F" w:rsidRDefault="0062350F" w:rsidP="0062350F">
      <w:pPr>
        <w:pStyle w:val="FootnoteText"/>
        <w:ind w:firstLine="0"/>
      </w:pPr>
      <w:r>
        <w:rPr>
          <w:rStyle w:val="FootnoteReference"/>
        </w:rPr>
        <w:footnoteRef/>
      </w:r>
      <w:r>
        <w:t xml:space="preserve"> </w:t>
      </w:r>
      <w:r>
        <w:rPr>
          <w:color w:val="000000"/>
          <w:shd w:val="clear" w:color="auto" w:fill="FFFFFF"/>
        </w:rPr>
        <w:t xml:space="preserve">Analysis of the effectiveness of a pilot program to monitor SARS-CoV-2 presence in wastewater in New York City. New York City Department of Environmental Protection and New York City Department of Health and Mental Hygiene. February 17, 2022. </w:t>
      </w:r>
    </w:p>
  </w:footnote>
  <w:footnote w:id="27">
    <w:p w14:paraId="217BFDA0" w14:textId="77777777" w:rsidR="0062350F" w:rsidRDefault="0062350F" w:rsidP="0062350F">
      <w:pPr>
        <w:pStyle w:val="FootnoteText"/>
        <w:ind w:firstLine="0"/>
      </w:pPr>
      <w:r>
        <w:rPr>
          <w:rStyle w:val="FootnoteReference"/>
        </w:rPr>
        <w:footnoteRef/>
      </w:r>
      <w:r>
        <w:t xml:space="preserve"> Id.</w:t>
      </w:r>
    </w:p>
  </w:footnote>
  <w:footnote w:id="28">
    <w:p w14:paraId="37A05643" w14:textId="685F495E" w:rsidR="003643C2" w:rsidRDefault="003643C2" w:rsidP="003643C2">
      <w:pPr>
        <w:pStyle w:val="FootnoteText"/>
        <w:ind w:firstLine="0"/>
      </w:pPr>
      <w:r>
        <w:rPr>
          <w:rStyle w:val="FootnoteReference"/>
        </w:rPr>
        <w:footnoteRef/>
      </w:r>
      <w:r>
        <w:t xml:space="preserve"> Id.</w:t>
      </w:r>
    </w:p>
  </w:footnote>
  <w:footnote w:id="29">
    <w:p w14:paraId="6C4742D7" w14:textId="1DBBD1DA" w:rsidR="003643C2" w:rsidRDefault="003643C2" w:rsidP="003643C2">
      <w:pPr>
        <w:pStyle w:val="FootnoteText"/>
        <w:ind w:firstLine="0"/>
      </w:pPr>
      <w:r>
        <w:rPr>
          <w:rStyle w:val="FootnoteReference"/>
        </w:rPr>
        <w:footnoteRef/>
      </w:r>
      <w:r>
        <w:t xml:space="preserve"> Id. </w:t>
      </w:r>
    </w:p>
  </w:footnote>
  <w:footnote w:id="30">
    <w:p w14:paraId="778A5602" w14:textId="447E2303" w:rsidR="003643C2" w:rsidRDefault="003643C2" w:rsidP="003643C2">
      <w:pPr>
        <w:pStyle w:val="FootnoteText"/>
        <w:ind w:firstLine="0"/>
      </w:pPr>
      <w:r>
        <w:rPr>
          <w:rStyle w:val="FootnoteReference"/>
        </w:rPr>
        <w:footnoteRef/>
      </w:r>
      <w:r>
        <w:t xml:space="preserve"> Id. </w:t>
      </w:r>
    </w:p>
  </w:footnote>
  <w:footnote w:id="31">
    <w:p w14:paraId="0832E0E1" w14:textId="77777777" w:rsidR="00CA5946" w:rsidRDefault="00CA5946" w:rsidP="00CA5946">
      <w:pPr>
        <w:pStyle w:val="FootnoteText"/>
        <w:ind w:firstLine="0"/>
      </w:pPr>
      <w:r>
        <w:rPr>
          <w:rStyle w:val="FootnoteReference"/>
        </w:rPr>
        <w:footnoteRef/>
      </w:r>
      <w:r>
        <w:t xml:space="preserve"> Id.</w:t>
      </w:r>
    </w:p>
  </w:footnote>
  <w:footnote w:id="32">
    <w:p w14:paraId="22E9CA51" w14:textId="77777777" w:rsidR="00CA5946" w:rsidRDefault="00CA5946" w:rsidP="00CA5946">
      <w:pPr>
        <w:pStyle w:val="FootnoteText"/>
        <w:ind w:firstLine="0"/>
      </w:pPr>
      <w:r>
        <w:rPr>
          <w:rStyle w:val="FootnoteReference"/>
        </w:rPr>
        <w:footnoteRef/>
      </w:r>
      <w:r>
        <w:t xml:space="preserve"> Id. </w:t>
      </w:r>
    </w:p>
  </w:footnote>
  <w:footnote w:id="33">
    <w:p w14:paraId="7E035033" w14:textId="77777777" w:rsidR="00CA5946" w:rsidRDefault="00CA5946" w:rsidP="00CA5946">
      <w:pPr>
        <w:pStyle w:val="FootnoteText"/>
        <w:ind w:firstLine="0"/>
      </w:pPr>
      <w:r>
        <w:rPr>
          <w:rStyle w:val="FootnoteReference"/>
        </w:rPr>
        <w:footnoteRef/>
      </w:r>
      <w:r>
        <w:t xml:space="preserve"> Id.</w:t>
      </w:r>
    </w:p>
  </w:footnote>
  <w:footnote w:id="34">
    <w:p w14:paraId="6028BF5E" w14:textId="77777777" w:rsidR="00CA5946" w:rsidRDefault="00CA5946" w:rsidP="00CA5946">
      <w:pPr>
        <w:pStyle w:val="FootnoteText"/>
        <w:ind w:firstLine="0"/>
      </w:pPr>
      <w:r>
        <w:rPr>
          <w:rStyle w:val="FootnoteReference"/>
        </w:rPr>
        <w:footnoteRef/>
      </w:r>
      <w:r>
        <w:t xml:space="preserve"> Id</w:t>
      </w:r>
    </w:p>
  </w:footnote>
  <w:footnote w:id="35">
    <w:p w14:paraId="16426952" w14:textId="77777777" w:rsidR="00CA5946" w:rsidRDefault="00CA5946" w:rsidP="00CA5946">
      <w:pPr>
        <w:pStyle w:val="FootnoteText"/>
        <w:ind w:firstLine="0"/>
      </w:pPr>
      <w:r>
        <w:rPr>
          <w:rStyle w:val="FootnoteReference"/>
        </w:rPr>
        <w:footnoteRef/>
      </w:r>
      <w:r>
        <w:t xml:space="preserve"> Id.</w:t>
      </w:r>
    </w:p>
  </w:footnote>
  <w:footnote w:id="36">
    <w:p w14:paraId="0CCF1F0C" w14:textId="77777777" w:rsidR="00CA5946" w:rsidRDefault="00CA5946" w:rsidP="00CA5946">
      <w:pPr>
        <w:pStyle w:val="FootnoteText"/>
        <w:ind w:firstLine="0"/>
      </w:pPr>
      <w:r>
        <w:rPr>
          <w:rStyle w:val="FootnoteReference"/>
        </w:rPr>
        <w:footnoteRef/>
      </w:r>
      <w:r>
        <w:t xml:space="preserve"> Id. </w:t>
      </w:r>
    </w:p>
  </w:footnote>
  <w:footnote w:id="37">
    <w:p w14:paraId="00E6C1F1" w14:textId="77777777" w:rsidR="00CA5946" w:rsidRDefault="00CA5946" w:rsidP="00CA5946">
      <w:pPr>
        <w:pStyle w:val="FootnoteText"/>
        <w:ind w:firstLine="0"/>
      </w:pPr>
      <w:r>
        <w:rPr>
          <w:rStyle w:val="FootnoteReference"/>
        </w:rPr>
        <w:footnoteRef/>
      </w:r>
      <w:r>
        <w:t xml:space="preserve"> Id. </w:t>
      </w:r>
    </w:p>
  </w:footnote>
  <w:footnote w:id="38">
    <w:p w14:paraId="2FAADEF8" w14:textId="4202A37C" w:rsidR="00CA5946" w:rsidRDefault="00CA5946" w:rsidP="00CA5946">
      <w:pPr>
        <w:pStyle w:val="FootnoteText"/>
        <w:ind w:firstLine="0"/>
      </w:pPr>
      <w:r>
        <w:rPr>
          <w:rStyle w:val="FootnoteReference"/>
        </w:rPr>
        <w:footnoteRef/>
      </w:r>
      <w:r w:rsidR="00DB7A8A">
        <w:t xml:space="preserve"> </w:t>
      </w:r>
      <w:r>
        <w:t xml:space="preserve">Id. </w:t>
      </w:r>
    </w:p>
  </w:footnote>
  <w:footnote w:id="39">
    <w:p w14:paraId="63C91022" w14:textId="3AF867E3" w:rsidR="00CC0CDC" w:rsidRPr="00DF57DC" w:rsidRDefault="00CC0CDC" w:rsidP="00DF57DC">
      <w:pPr>
        <w:pStyle w:val="FootnoteText"/>
        <w:ind w:firstLine="0"/>
        <w:rPr>
          <w:b/>
          <w:bCs/>
        </w:rPr>
      </w:pPr>
      <w:r>
        <w:rPr>
          <w:rStyle w:val="FootnoteReference"/>
        </w:rPr>
        <w:footnoteRef/>
      </w:r>
      <w:r>
        <w:t xml:space="preserve"> </w:t>
      </w:r>
      <w:r w:rsidR="00C00951">
        <w:t>New York City Department of Health</w:t>
      </w:r>
      <w:r w:rsidR="00C00951" w:rsidRPr="00C00951">
        <w:t xml:space="preserve">. </w:t>
      </w:r>
      <w:r w:rsidR="00C00951" w:rsidRPr="00DF57DC">
        <w:t>NYSDOH and NYCDOHMH Wastewater Monitoring Identifies Polio in New York City and Urge Unvaccinated New Yorkers to Get Vaccinated Now</w:t>
      </w:r>
      <w:r w:rsidR="00C00951">
        <w:t xml:space="preserve">. August 12, 2022. </w:t>
      </w:r>
      <w:hyperlink r:id="rId10" w:history="1">
        <w:r w:rsidR="00C00951" w:rsidRPr="0057258E">
          <w:rPr>
            <w:rStyle w:val="Hyperlink"/>
          </w:rPr>
          <w:t>https://www.nyc.gov/site/doh/about/press/pr2022/nysdoh-and-nycdohm-wastewater-monitoring-finds-polio-urge-to-get-vaccinated.page</w:t>
        </w:r>
      </w:hyperlink>
      <w:r w:rsidR="00C00951">
        <w:t xml:space="preserve"> (last accessed 2/21/23)</w:t>
      </w:r>
    </w:p>
  </w:footnote>
  <w:footnote w:id="40">
    <w:p w14:paraId="78D7E83C" w14:textId="5754C8C3" w:rsidR="00CC0CDC" w:rsidRDefault="00CC0CDC" w:rsidP="00DF57DC">
      <w:pPr>
        <w:pStyle w:val="FootnoteText"/>
        <w:ind w:firstLine="0"/>
      </w:pPr>
      <w:r>
        <w:rPr>
          <w:rStyle w:val="FootnoteReference"/>
        </w:rPr>
        <w:footnoteRef/>
      </w:r>
      <w:r>
        <w:t xml:space="preserve"> </w:t>
      </w:r>
      <w:r w:rsidR="00C00951">
        <w:t xml:space="preserve">New York State Department of Health. </w:t>
      </w:r>
      <w:r w:rsidR="00C00951" w:rsidRPr="00C00951">
        <w:t>Protecting New Yorkers Through Immunization: State Department of Health Updates New Yorkers On Polio In New York State</w:t>
      </w:r>
      <w:r w:rsidR="00C00951">
        <w:t xml:space="preserve">. September 9, 2022. </w:t>
      </w:r>
      <w:hyperlink r:id="rId11" w:history="1">
        <w:r w:rsidR="00C00951" w:rsidRPr="0057258E">
          <w:rPr>
            <w:rStyle w:val="Hyperlink"/>
          </w:rPr>
          <w:t>https://health.ny.gov/press/releases/2022/2022-09-09_polio_immunization.htm</w:t>
        </w:r>
      </w:hyperlink>
      <w:r w:rsidR="00C00951">
        <w:t xml:space="preserve"> (last accessed 2/21/23)</w:t>
      </w:r>
    </w:p>
  </w:footnote>
  <w:footnote w:id="41">
    <w:p w14:paraId="094E60B1" w14:textId="55D66542" w:rsidR="006A765C" w:rsidRDefault="006A765C" w:rsidP="00CE65C8">
      <w:pPr>
        <w:pStyle w:val="FootnoteText"/>
        <w:ind w:firstLine="0"/>
      </w:pPr>
      <w:r>
        <w:rPr>
          <w:rStyle w:val="FootnoteReference"/>
        </w:rPr>
        <w:footnoteRef/>
      </w:r>
      <w:r>
        <w:t xml:space="preserve"> National Oceanic and Atmospheric Administration. What are microplastics? </w:t>
      </w:r>
      <w:hyperlink r:id="rId12" w:history="1">
        <w:r w:rsidRPr="0057258E">
          <w:rPr>
            <w:rStyle w:val="Hyperlink"/>
          </w:rPr>
          <w:t>https://oceanservice.noaa.gov/facts/microplastics.html</w:t>
        </w:r>
      </w:hyperlink>
      <w:r>
        <w:t xml:space="preserve"> (last accessed 2/21/23)</w:t>
      </w:r>
    </w:p>
  </w:footnote>
  <w:footnote w:id="42">
    <w:p w14:paraId="1A66F6E9" w14:textId="7787B1D7" w:rsidR="006A765C" w:rsidRDefault="006A765C" w:rsidP="00CE65C8">
      <w:pPr>
        <w:pStyle w:val="FootnoteText"/>
        <w:ind w:firstLine="0"/>
      </w:pPr>
      <w:r>
        <w:rPr>
          <w:rStyle w:val="FootnoteReference"/>
        </w:rPr>
        <w:footnoteRef/>
      </w:r>
      <w:r>
        <w:t xml:space="preserve">Claudia Campanale et al.  </w:t>
      </w:r>
      <w:r w:rsidRPr="006A765C">
        <w:t>A Detailed Review Study on Potential Effects of Microplastics and Additives of Concern on Human Health</w:t>
      </w:r>
      <w:r>
        <w:t xml:space="preserve">. International Journal of Environmental Research and Public Health. February, 2020. </w:t>
      </w:r>
      <w:hyperlink r:id="rId13" w:anchor="B11-ijerph-17-01212" w:history="1">
        <w:r w:rsidRPr="0057258E">
          <w:rPr>
            <w:rStyle w:val="Hyperlink"/>
          </w:rPr>
          <w:t>https://www.ncbi.nlm.nih.gov/pmc/articles/PMC7068600/#B11-ijerph-17-01212</w:t>
        </w:r>
      </w:hyperlink>
      <w:r>
        <w:t xml:space="preserve"> (last accessed 2/21/23)</w:t>
      </w:r>
    </w:p>
  </w:footnote>
  <w:footnote w:id="43">
    <w:p w14:paraId="4F6826E6" w14:textId="27796796" w:rsidR="00580A75" w:rsidRDefault="00580A75" w:rsidP="00CE65C8">
      <w:pPr>
        <w:pStyle w:val="FootnoteText"/>
        <w:ind w:firstLine="0"/>
      </w:pPr>
      <w:r>
        <w:rPr>
          <w:rStyle w:val="FootnoteReference"/>
        </w:rPr>
        <w:footnoteRef/>
      </w:r>
      <w:r>
        <w:t xml:space="preserve"> Id. </w:t>
      </w:r>
    </w:p>
  </w:footnote>
  <w:footnote w:id="44">
    <w:p w14:paraId="4EE4B5E3" w14:textId="4EBB2AA3" w:rsidR="00580A75" w:rsidRPr="00CE65C8" w:rsidRDefault="00580A75" w:rsidP="00CE65C8">
      <w:pPr>
        <w:pStyle w:val="FootnoteText"/>
        <w:ind w:firstLine="0"/>
        <w:rPr>
          <w:b/>
          <w:bCs/>
        </w:rPr>
      </w:pPr>
      <w:r>
        <w:rPr>
          <w:rStyle w:val="FootnoteReference"/>
        </w:rPr>
        <w:footnoteRef/>
      </w:r>
      <w:r>
        <w:t xml:space="preserve"> Heather A. Leslie et al. </w:t>
      </w:r>
      <w:r w:rsidRPr="00CE65C8">
        <w:t>Discovery and quantification of plastic particle pollution in human blood</w:t>
      </w:r>
      <w:r>
        <w:t xml:space="preserve">. Environment International. May, 2022. </w:t>
      </w:r>
      <w:hyperlink r:id="rId14" w:history="1">
        <w:r w:rsidRPr="0057258E">
          <w:rPr>
            <w:rStyle w:val="Hyperlink"/>
          </w:rPr>
          <w:t>https://www.sciencedirect.com/science/article/pii/S0160412022001258</w:t>
        </w:r>
      </w:hyperlink>
      <w:r>
        <w:t xml:space="preserve"> (last accessed 2/21/23)</w:t>
      </w:r>
    </w:p>
  </w:footnote>
  <w:footnote w:id="45">
    <w:p w14:paraId="1AFC1A44" w14:textId="10C1AD78" w:rsidR="00580A75" w:rsidRDefault="00580A75" w:rsidP="00CE65C8">
      <w:pPr>
        <w:pStyle w:val="FootnoteText"/>
        <w:ind w:firstLine="0"/>
      </w:pPr>
      <w:r>
        <w:rPr>
          <w:rStyle w:val="FootnoteReference"/>
        </w:rPr>
        <w:footnoteRef/>
      </w:r>
      <w:r>
        <w:t xml:space="preserve"> Id. </w:t>
      </w:r>
    </w:p>
  </w:footnote>
  <w:footnote w:id="46">
    <w:p w14:paraId="6F7B1A36" w14:textId="6AFDECCE" w:rsidR="00CE65C8" w:rsidRPr="00CE65C8" w:rsidRDefault="00CE65C8" w:rsidP="00CE65C8">
      <w:pPr>
        <w:pStyle w:val="FootnoteText"/>
        <w:ind w:firstLine="0"/>
      </w:pPr>
      <w:r>
        <w:rPr>
          <w:rStyle w:val="FootnoteReference"/>
        </w:rPr>
        <w:footnoteRef/>
      </w:r>
      <w:r>
        <w:t xml:space="preserve"> Mary Kosuth et al. </w:t>
      </w:r>
      <w:r w:rsidRPr="00CE65C8">
        <w:t>Synthetic Polymer Contamination in Global Drinking Water</w:t>
      </w:r>
      <w:r>
        <w:t xml:space="preserve">. May 16, 2017. </w:t>
      </w:r>
      <w:hyperlink r:id="rId15" w:history="1">
        <w:r w:rsidRPr="0057258E">
          <w:rPr>
            <w:rStyle w:val="Hyperlink"/>
          </w:rPr>
          <w:t>https://orbmedia.org/invisibles-final-report</w:t>
        </w:r>
      </w:hyperlink>
      <w:r>
        <w:t xml:space="preserve"> (last accessed 2/21/23)</w:t>
      </w:r>
    </w:p>
    <w:p w14:paraId="7983449D" w14:textId="60A973CA" w:rsidR="00CE65C8" w:rsidRPr="00CE65C8" w:rsidRDefault="00CE65C8" w:rsidP="00CE65C8">
      <w:pPr>
        <w:pStyle w:val="FootnoteText"/>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3F6AB60E"/>
    <w:lvl w:ilvl="0" w:tplc="FFFFFFFF">
      <w:start w:val="1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0F"/>
    <w:rsid w:val="000128DF"/>
    <w:rsid w:val="00025FA9"/>
    <w:rsid w:val="00080A3D"/>
    <w:rsid w:val="000A7285"/>
    <w:rsid w:val="00137E26"/>
    <w:rsid w:val="00180C1E"/>
    <w:rsid w:val="001B530A"/>
    <w:rsid w:val="0025440B"/>
    <w:rsid w:val="002A2760"/>
    <w:rsid w:val="0035491B"/>
    <w:rsid w:val="003643C2"/>
    <w:rsid w:val="003B6843"/>
    <w:rsid w:val="003E0863"/>
    <w:rsid w:val="003E30EF"/>
    <w:rsid w:val="00420BE6"/>
    <w:rsid w:val="004328C7"/>
    <w:rsid w:val="00433164"/>
    <w:rsid w:val="004909F9"/>
    <w:rsid w:val="004C2CDF"/>
    <w:rsid w:val="00511242"/>
    <w:rsid w:val="0052243F"/>
    <w:rsid w:val="00526AAC"/>
    <w:rsid w:val="00580A75"/>
    <w:rsid w:val="005A6373"/>
    <w:rsid w:val="006006C7"/>
    <w:rsid w:val="0062350F"/>
    <w:rsid w:val="006A765C"/>
    <w:rsid w:val="006C5B1D"/>
    <w:rsid w:val="006C7303"/>
    <w:rsid w:val="00751DE2"/>
    <w:rsid w:val="00757CE7"/>
    <w:rsid w:val="00781205"/>
    <w:rsid w:val="007A64D1"/>
    <w:rsid w:val="00813E05"/>
    <w:rsid w:val="009402CF"/>
    <w:rsid w:val="00AA3684"/>
    <w:rsid w:val="00B22400"/>
    <w:rsid w:val="00BA36EF"/>
    <w:rsid w:val="00BB6C52"/>
    <w:rsid w:val="00BD27EA"/>
    <w:rsid w:val="00BF4C68"/>
    <w:rsid w:val="00C00951"/>
    <w:rsid w:val="00C33D4C"/>
    <w:rsid w:val="00C71C07"/>
    <w:rsid w:val="00CA5946"/>
    <w:rsid w:val="00CA7F12"/>
    <w:rsid w:val="00CC0CDC"/>
    <w:rsid w:val="00CE65C8"/>
    <w:rsid w:val="00D06206"/>
    <w:rsid w:val="00D31227"/>
    <w:rsid w:val="00DB7A8A"/>
    <w:rsid w:val="00DF57DC"/>
    <w:rsid w:val="00E00853"/>
    <w:rsid w:val="00ED6B8E"/>
    <w:rsid w:val="00F40146"/>
    <w:rsid w:val="00FB18E5"/>
    <w:rsid w:val="00FB6468"/>
    <w:rsid w:val="00FD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9A8A"/>
  <w15:chartTrackingRefBased/>
  <w15:docId w15:val="{6552817B-E5B7-2A4F-8E79-D2B5F50B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0F"/>
    <w:pPr>
      <w:ind w:firstLine="720"/>
    </w:pPr>
    <w:rPr>
      <w:rFonts w:ascii="Times New Roman" w:eastAsia="Times New Roman" w:hAnsi="Times New Roman" w:cs="Times New Roman"/>
    </w:rPr>
  </w:style>
  <w:style w:type="paragraph" w:styleId="Heading1">
    <w:name w:val="heading 1"/>
    <w:basedOn w:val="Normal"/>
    <w:next w:val="Normal"/>
    <w:link w:val="Heading1Char"/>
    <w:uiPriority w:val="99"/>
    <w:qFormat/>
    <w:rsid w:val="00CA7F12"/>
    <w:pPr>
      <w:keepNext/>
      <w:keepLines/>
      <w:spacing w:before="480"/>
      <w:ind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62350F"/>
    <w:rPr>
      <w:sz w:val="20"/>
      <w:szCs w:val="20"/>
    </w:rPr>
  </w:style>
  <w:style w:type="character" w:customStyle="1" w:styleId="FootnoteTextChar">
    <w:name w:val="Footnote Text Char"/>
    <w:aliases w:val="FT Char"/>
    <w:basedOn w:val="DefaultParagraphFont"/>
    <w:link w:val="FootnoteText"/>
    <w:uiPriority w:val="99"/>
    <w:rsid w:val="0062350F"/>
    <w:rPr>
      <w:rFonts w:ascii="Times New Roman" w:eastAsia="Times New Roman" w:hAnsi="Times New Roman" w:cs="Times New Roman"/>
      <w:sz w:val="20"/>
      <w:szCs w:val="20"/>
    </w:rPr>
  </w:style>
  <w:style w:type="character" w:styleId="FootnoteReference">
    <w:name w:val="footnote reference"/>
    <w:uiPriority w:val="99"/>
    <w:unhideWhenUsed/>
    <w:qFormat/>
    <w:rsid w:val="0062350F"/>
    <w:rPr>
      <w:vertAlign w:val="superscript"/>
    </w:rPr>
  </w:style>
  <w:style w:type="character" w:styleId="Hyperlink">
    <w:name w:val="Hyperlink"/>
    <w:rsid w:val="0062350F"/>
    <w:rPr>
      <w:u w:val="single"/>
    </w:rPr>
  </w:style>
  <w:style w:type="paragraph" w:styleId="NoSpacing">
    <w:name w:val="No Spacing"/>
    <w:uiPriority w:val="1"/>
    <w:qFormat/>
    <w:rsid w:val="0062350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
    <w:name w:val="Body Text"/>
    <w:link w:val="BodyTextChar"/>
    <w:rsid w:val="0062350F"/>
    <w:pPr>
      <w:pBdr>
        <w:top w:val="nil"/>
        <w:left w:val="nil"/>
        <w:bottom w:val="nil"/>
        <w:right w:val="nil"/>
        <w:between w:val="nil"/>
        <w:bar w:val="nil"/>
      </w:pBdr>
      <w:spacing w:line="480" w:lineRule="auto"/>
      <w:ind w:firstLine="720"/>
      <w:jc w:val="both"/>
    </w:pPr>
    <w:rPr>
      <w:rFonts w:ascii="Times New Roman" w:eastAsia="Arial Unicode MS" w:hAnsi="Times New Roman" w:cs="Arial Unicode MS"/>
      <w:color w:val="000000"/>
      <w:u w:color="000000"/>
      <w:bdr w:val="nil"/>
    </w:rPr>
  </w:style>
  <w:style w:type="character" w:customStyle="1" w:styleId="BodyTextChar">
    <w:name w:val="Body Text Char"/>
    <w:basedOn w:val="DefaultParagraphFont"/>
    <w:link w:val="BodyText"/>
    <w:rsid w:val="0062350F"/>
    <w:rPr>
      <w:rFonts w:ascii="Times New Roman" w:eastAsia="Arial Unicode MS" w:hAnsi="Times New Roman" w:cs="Arial Unicode MS"/>
      <w:color w:val="000000"/>
      <w:u w:color="000000"/>
      <w:bdr w:val="nil"/>
    </w:rPr>
  </w:style>
  <w:style w:type="paragraph" w:customStyle="1" w:styleId="Default">
    <w:name w:val="Default"/>
    <w:rsid w:val="0062350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2350F"/>
    <w:rPr>
      <w:sz w:val="18"/>
      <w:szCs w:val="18"/>
    </w:rPr>
  </w:style>
  <w:style w:type="character" w:customStyle="1" w:styleId="BalloonTextChar">
    <w:name w:val="Balloon Text Char"/>
    <w:basedOn w:val="DefaultParagraphFont"/>
    <w:link w:val="BalloonText"/>
    <w:uiPriority w:val="99"/>
    <w:semiHidden/>
    <w:rsid w:val="0062350F"/>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2350F"/>
    <w:rPr>
      <w:color w:val="954F72" w:themeColor="followedHyperlink"/>
      <w:u w:val="single"/>
    </w:rPr>
  </w:style>
  <w:style w:type="character" w:customStyle="1" w:styleId="Heading1Char">
    <w:name w:val="Heading 1 Char"/>
    <w:basedOn w:val="DefaultParagraphFont"/>
    <w:link w:val="Heading1"/>
    <w:uiPriority w:val="99"/>
    <w:rsid w:val="00CA7F1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751DE2"/>
    <w:pPr>
      <w:tabs>
        <w:tab w:val="center" w:pos="4680"/>
        <w:tab w:val="right" w:pos="9360"/>
      </w:tabs>
    </w:pPr>
  </w:style>
  <w:style w:type="character" w:customStyle="1" w:styleId="HeaderChar">
    <w:name w:val="Header Char"/>
    <w:basedOn w:val="DefaultParagraphFont"/>
    <w:link w:val="Header"/>
    <w:uiPriority w:val="99"/>
    <w:rsid w:val="00751DE2"/>
    <w:rPr>
      <w:rFonts w:ascii="Times New Roman" w:eastAsia="Times New Roman" w:hAnsi="Times New Roman" w:cs="Times New Roman"/>
    </w:rPr>
  </w:style>
  <w:style w:type="paragraph" w:styleId="Footer">
    <w:name w:val="footer"/>
    <w:basedOn w:val="Normal"/>
    <w:link w:val="FooterChar"/>
    <w:uiPriority w:val="99"/>
    <w:unhideWhenUsed/>
    <w:rsid w:val="00751DE2"/>
    <w:pPr>
      <w:tabs>
        <w:tab w:val="center" w:pos="4680"/>
        <w:tab w:val="right" w:pos="9360"/>
      </w:tabs>
    </w:pPr>
  </w:style>
  <w:style w:type="character" w:customStyle="1" w:styleId="FooterChar">
    <w:name w:val="Footer Char"/>
    <w:basedOn w:val="DefaultParagraphFont"/>
    <w:link w:val="Footer"/>
    <w:uiPriority w:val="99"/>
    <w:rsid w:val="00751DE2"/>
    <w:rPr>
      <w:rFonts w:ascii="Times New Roman" w:eastAsia="Times New Roman" w:hAnsi="Times New Roman" w:cs="Times New Roman"/>
    </w:rPr>
  </w:style>
  <w:style w:type="paragraph" w:styleId="Revision">
    <w:name w:val="Revision"/>
    <w:hidden/>
    <w:uiPriority w:val="99"/>
    <w:semiHidden/>
    <w:rsid w:val="00FB18E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18E5"/>
    <w:rPr>
      <w:sz w:val="16"/>
      <w:szCs w:val="16"/>
    </w:rPr>
  </w:style>
  <w:style w:type="paragraph" w:styleId="CommentText">
    <w:name w:val="annotation text"/>
    <w:basedOn w:val="Normal"/>
    <w:link w:val="CommentTextChar"/>
    <w:uiPriority w:val="99"/>
    <w:semiHidden/>
    <w:unhideWhenUsed/>
    <w:rsid w:val="00FB18E5"/>
    <w:rPr>
      <w:sz w:val="20"/>
      <w:szCs w:val="20"/>
    </w:rPr>
  </w:style>
  <w:style w:type="character" w:customStyle="1" w:styleId="CommentTextChar">
    <w:name w:val="Comment Text Char"/>
    <w:basedOn w:val="DefaultParagraphFont"/>
    <w:link w:val="CommentText"/>
    <w:uiPriority w:val="99"/>
    <w:semiHidden/>
    <w:rsid w:val="00FB18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8E5"/>
    <w:rPr>
      <w:b/>
      <w:bCs/>
    </w:rPr>
  </w:style>
  <w:style w:type="character" w:customStyle="1" w:styleId="CommentSubjectChar">
    <w:name w:val="Comment Subject Char"/>
    <w:basedOn w:val="CommentTextChar"/>
    <w:link w:val="CommentSubject"/>
    <w:uiPriority w:val="99"/>
    <w:semiHidden/>
    <w:rsid w:val="00FB18E5"/>
    <w:rPr>
      <w:rFonts w:ascii="Times New Roman" w:eastAsia="Times New Roman" w:hAnsi="Times New Roman" w:cs="Times New Roman"/>
      <w:b/>
      <w:bCs/>
      <w:sz w:val="20"/>
      <w:szCs w:val="20"/>
    </w:rPr>
  </w:style>
  <w:style w:type="paragraph" w:styleId="ListParagraph">
    <w:name w:val="List Paragraph"/>
    <w:basedOn w:val="Normal"/>
    <w:uiPriority w:val="34"/>
    <w:qFormat/>
    <w:rsid w:val="004909F9"/>
    <w:pPr>
      <w:ind w:left="720"/>
      <w:contextualSpacing/>
    </w:pPr>
  </w:style>
  <w:style w:type="character" w:customStyle="1" w:styleId="UnresolvedMention">
    <w:name w:val="Unresolved Mention"/>
    <w:basedOn w:val="DefaultParagraphFont"/>
    <w:uiPriority w:val="99"/>
    <w:semiHidden/>
    <w:unhideWhenUsed/>
    <w:rsid w:val="00080A3D"/>
    <w:rPr>
      <w:color w:val="605E5C"/>
      <w:shd w:val="clear" w:color="auto" w:fill="E1DFDD"/>
    </w:rPr>
  </w:style>
  <w:style w:type="paragraph" w:styleId="NormalWeb">
    <w:name w:val="Normal (Web)"/>
    <w:basedOn w:val="Normal"/>
    <w:uiPriority w:val="99"/>
    <w:semiHidden/>
    <w:unhideWhenUsed/>
    <w:rsid w:val="00DF57DC"/>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265">
      <w:bodyDiv w:val="1"/>
      <w:marLeft w:val="0"/>
      <w:marRight w:val="0"/>
      <w:marTop w:val="0"/>
      <w:marBottom w:val="0"/>
      <w:divBdr>
        <w:top w:val="none" w:sz="0" w:space="0" w:color="auto"/>
        <w:left w:val="none" w:sz="0" w:space="0" w:color="auto"/>
        <w:bottom w:val="none" w:sz="0" w:space="0" w:color="auto"/>
        <w:right w:val="none" w:sz="0" w:space="0" w:color="auto"/>
      </w:divBdr>
    </w:div>
    <w:div w:id="330908818">
      <w:bodyDiv w:val="1"/>
      <w:marLeft w:val="0"/>
      <w:marRight w:val="0"/>
      <w:marTop w:val="0"/>
      <w:marBottom w:val="0"/>
      <w:divBdr>
        <w:top w:val="none" w:sz="0" w:space="0" w:color="auto"/>
        <w:left w:val="none" w:sz="0" w:space="0" w:color="auto"/>
        <w:bottom w:val="none" w:sz="0" w:space="0" w:color="auto"/>
        <w:right w:val="none" w:sz="0" w:space="0" w:color="auto"/>
      </w:divBdr>
      <w:divsChild>
        <w:div w:id="282154523">
          <w:marLeft w:val="0"/>
          <w:marRight w:val="0"/>
          <w:marTop w:val="0"/>
          <w:marBottom w:val="0"/>
          <w:divBdr>
            <w:top w:val="none" w:sz="0" w:space="0" w:color="auto"/>
            <w:left w:val="none" w:sz="0" w:space="0" w:color="auto"/>
            <w:bottom w:val="none" w:sz="0" w:space="0" w:color="auto"/>
            <w:right w:val="none" w:sz="0" w:space="0" w:color="auto"/>
          </w:divBdr>
          <w:divsChild>
            <w:div w:id="1152143186">
              <w:marLeft w:val="0"/>
              <w:marRight w:val="0"/>
              <w:marTop w:val="0"/>
              <w:marBottom w:val="0"/>
              <w:divBdr>
                <w:top w:val="none" w:sz="0" w:space="0" w:color="C0C0C0"/>
                <w:left w:val="none" w:sz="0" w:space="0" w:color="C0C0C0"/>
                <w:bottom w:val="none" w:sz="0" w:space="0" w:color="C0C0C0"/>
                <w:right w:val="none" w:sz="0" w:space="0" w:color="C0C0C0"/>
              </w:divBdr>
              <w:divsChild>
                <w:div w:id="878663871">
                  <w:marLeft w:val="0"/>
                  <w:marRight w:val="0"/>
                  <w:marTop w:val="0"/>
                  <w:marBottom w:val="0"/>
                  <w:divBdr>
                    <w:top w:val="none" w:sz="0" w:space="0" w:color="auto"/>
                    <w:left w:val="none" w:sz="0" w:space="0" w:color="auto"/>
                    <w:bottom w:val="none" w:sz="0" w:space="0" w:color="auto"/>
                    <w:right w:val="none" w:sz="0" w:space="0" w:color="auto"/>
                  </w:divBdr>
                  <w:divsChild>
                    <w:div w:id="2051031873">
                      <w:marLeft w:val="0"/>
                      <w:marRight w:val="0"/>
                      <w:marTop w:val="0"/>
                      <w:marBottom w:val="0"/>
                      <w:divBdr>
                        <w:top w:val="none" w:sz="0" w:space="0" w:color="auto"/>
                        <w:left w:val="none" w:sz="0" w:space="0" w:color="auto"/>
                        <w:bottom w:val="none" w:sz="0" w:space="0" w:color="auto"/>
                        <w:right w:val="none" w:sz="0" w:space="0" w:color="auto"/>
                      </w:divBdr>
                      <w:divsChild>
                        <w:div w:id="302586241">
                          <w:marLeft w:val="150"/>
                          <w:marRight w:val="150"/>
                          <w:marTop w:val="150"/>
                          <w:marBottom w:val="150"/>
                          <w:divBdr>
                            <w:top w:val="none" w:sz="0" w:space="0" w:color="auto"/>
                            <w:left w:val="none" w:sz="0" w:space="0" w:color="auto"/>
                            <w:bottom w:val="none" w:sz="0" w:space="0" w:color="auto"/>
                            <w:right w:val="none" w:sz="0" w:space="0" w:color="auto"/>
                          </w:divBdr>
                          <w:divsChild>
                            <w:div w:id="1395007497">
                              <w:marLeft w:val="0"/>
                              <w:marRight w:val="0"/>
                              <w:marTop w:val="0"/>
                              <w:marBottom w:val="0"/>
                              <w:divBdr>
                                <w:top w:val="none" w:sz="0" w:space="0" w:color="auto"/>
                                <w:left w:val="none" w:sz="0" w:space="0" w:color="auto"/>
                                <w:bottom w:val="none" w:sz="0" w:space="0" w:color="auto"/>
                                <w:right w:val="none" w:sz="0" w:space="0" w:color="auto"/>
                              </w:divBdr>
                              <w:divsChild>
                                <w:div w:id="19710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1935">
      <w:bodyDiv w:val="1"/>
      <w:marLeft w:val="0"/>
      <w:marRight w:val="0"/>
      <w:marTop w:val="0"/>
      <w:marBottom w:val="0"/>
      <w:divBdr>
        <w:top w:val="none" w:sz="0" w:space="0" w:color="auto"/>
        <w:left w:val="none" w:sz="0" w:space="0" w:color="auto"/>
        <w:bottom w:val="none" w:sz="0" w:space="0" w:color="auto"/>
        <w:right w:val="none" w:sz="0" w:space="0" w:color="auto"/>
      </w:divBdr>
    </w:div>
    <w:div w:id="676544431">
      <w:bodyDiv w:val="1"/>
      <w:marLeft w:val="0"/>
      <w:marRight w:val="0"/>
      <w:marTop w:val="0"/>
      <w:marBottom w:val="0"/>
      <w:divBdr>
        <w:top w:val="none" w:sz="0" w:space="0" w:color="auto"/>
        <w:left w:val="none" w:sz="0" w:space="0" w:color="auto"/>
        <w:bottom w:val="none" w:sz="0" w:space="0" w:color="auto"/>
        <w:right w:val="none" w:sz="0" w:space="0" w:color="auto"/>
      </w:divBdr>
      <w:divsChild>
        <w:div w:id="947588320">
          <w:marLeft w:val="0"/>
          <w:marRight w:val="0"/>
          <w:marTop w:val="0"/>
          <w:marBottom w:val="0"/>
          <w:divBdr>
            <w:top w:val="none" w:sz="0" w:space="0" w:color="auto"/>
            <w:left w:val="none" w:sz="0" w:space="0" w:color="auto"/>
            <w:bottom w:val="none" w:sz="0" w:space="0" w:color="auto"/>
            <w:right w:val="none" w:sz="0" w:space="0" w:color="auto"/>
          </w:divBdr>
          <w:divsChild>
            <w:div w:id="760443566">
              <w:marLeft w:val="0"/>
              <w:marRight w:val="0"/>
              <w:marTop w:val="0"/>
              <w:marBottom w:val="0"/>
              <w:divBdr>
                <w:top w:val="none" w:sz="0" w:space="0" w:color="C0C0C0"/>
                <w:left w:val="none" w:sz="0" w:space="0" w:color="C0C0C0"/>
                <w:bottom w:val="none" w:sz="0" w:space="0" w:color="C0C0C0"/>
                <w:right w:val="none" w:sz="0" w:space="0" w:color="C0C0C0"/>
              </w:divBdr>
              <w:divsChild>
                <w:div w:id="824474807">
                  <w:marLeft w:val="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sChild>
                        <w:div w:id="965893384">
                          <w:marLeft w:val="150"/>
                          <w:marRight w:val="150"/>
                          <w:marTop w:val="150"/>
                          <w:marBottom w:val="150"/>
                          <w:divBdr>
                            <w:top w:val="none" w:sz="0" w:space="0" w:color="auto"/>
                            <w:left w:val="none" w:sz="0" w:space="0" w:color="auto"/>
                            <w:bottom w:val="none" w:sz="0" w:space="0" w:color="auto"/>
                            <w:right w:val="none" w:sz="0" w:space="0" w:color="auto"/>
                          </w:divBdr>
                          <w:divsChild>
                            <w:div w:id="633100759">
                              <w:marLeft w:val="0"/>
                              <w:marRight w:val="0"/>
                              <w:marTop w:val="0"/>
                              <w:marBottom w:val="0"/>
                              <w:divBdr>
                                <w:top w:val="none" w:sz="0" w:space="0" w:color="auto"/>
                                <w:left w:val="none" w:sz="0" w:space="0" w:color="auto"/>
                                <w:bottom w:val="none" w:sz="0" w:space="0" w:color="auto"/>
                                <w:right w:val="none" w:sz="0" w:space="0" w:color="auto"/>
                              </w:divBdr>
                              <w:divsChild>
                                <w:div w:id="15087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03749">
      <w:bodyDiv w:val="1"/>
      <w:marLeft w:val="0"/>
      <w:marRight w:val="0"/>
      <w:marTop w:val="0"/>
      <w:marBottom w:val="0"/>
      <w:divBdr>
        <w:top w:val="none" w:sz="0" w:space="0" w:color="auto"/>
        <w:left w:val="none" w:sz="0" w:space="0" w:color="auto"/>
        <w:bottom w:val="none" w:sz="0" w:space="0" w:color="auto"/>
        <w:right w:val="none" w:sz="0" w:space="0" w:color="auto"/>
      </w:divBdr>
    </w:div>
    <w:div w:id="748382348">
      <w:bodyDiv w:val="1"/>
      <w:marLeft w:val="0"/>
      <w:marRight w:val="0"/>
      <w:marTop w:val="0"/>
      <w:marBottom w:val="0"/>
      <w:divBdr>
        <w:top w:val="none" w:sz="0" w:space="0" w:color="auto"/>
        <w:left w:val="none" w:sz="0" w:space="0" w:color="auto"/>
        <w:bottom w:val="none" w:sz="0" w:space="0" w:color="auto"/>
        <w:right w:val="none" w:sz="0" w:space="0" w:color="auto"/>
      </w:divBdr>
    </w:div>
    <w:div w:id="1065490166">
      <w:bodyDiv w:val="1"/>
      <w:marLeft w:val="0"/>
      <w:marRight w:val="0"/>
      <w:marTop w:val="0"/>
      <w:marBottom w:val="0"/>
      <w:divBdr>
        <w:top w:val="none" w:sz="0" w:space="0" w:color="auto"/>
        <w:left w:val="none" w:sz="0" w:space="0" w:color="auto"/>
        <w:bottom w:val="none" w:sz="0" w:space="0" w:color="auto"/>
        <w:right w:val="none" w:sz="0" w:space="0" w:color="auto"/>
      </w:divBdr>
    </w:div>
    <w:div w:id="1332682943">
      <w:bodyDiv w:val="1"/>
      <w:marLeft w:val="0"/>
      <w:marRight w:val="0"/>
      <w:marTop w:val="0"/>
      <w:marBottom w:val="0"/>
      <w:divBdr>
        <w:top w:val="none" w:sz="0" w:space="0" w:color="auto"/>
        <w:left w:val="none" w:sz="0" w:space="0" w:color="auto"/>
        <w:bottom w:val="none" w:sz="0" w:space="0" w:color="auto"/>
        <w:right w:val="none" w:sz="0" w:space="0" w:color="auto"/>
      </w:divBdr>
    </w:div>
    <w:div w:id="1595166283">
      <w:bodyDiv w:val="1"/>
      <w:marLeft w:val="0"/>
      <w:marRight w:val="0"/>
      <w:marTop w:val="0"/>
      <w:marBottom w:val="0"/>
      <w:divBdr>
        <w:top w:val="none" w:sz="0" w:space="0" w:color="auto"/>
        <w:left w:val="none" w:sz="0" w:space="0" w:color="auto"/>
        <w:bottom w:val="none" w:sz="0" w:space="0" w:color="auto"/>
        <w:right w:val="none" w:sz="0" w:space="0" w:color="auto"/>
      </w:divBdr>
    </w:div>
    <w:div w:id="1596474677">
      <w:bodyDiv w:val="1"/>
      <w:marLeft w:val="0"/>
      <w:marRight w:val="0"/>
      <w:marTop w:val="0"/>
      <w:marBottom w:val="0"/>
      <w:divBdr>
        <w:top w:val="none" w:sz="0" w:space="0" w:color="auto"/>
        <w:left w:val="none" w:sz="0" w:space="0" w:color="auto"/>
        <w:bottom w:val="none" w:sz="0" w:space="0" w:color="auto"/>
        <w:right w:val="none" w:sz="0" w:space="0" w:color="auto"/>
      </w:divBdr>
      <w:divsChild>
        <w:div w:id="184104018">
          <w:marLeft w:val="0"/>
          <w:marRight w:val="0"/>
          <w:marTop w:val="0"/>
          <w:marBottom w:val="0"/>
          <w:divBdr>
            <w:top w:val="none" w:sz="0" w:space="0" w:color="auto"/>
            <w:left w:val="none" w:sz="0" w:space="0" w:color="auto"/>
            <w:bottom w:val="none" w:sz="0" w:space="0" w:color="auto"/>
            <w:right w:val="none" w:sz="0" w:space="0" w:color="auto"/>
          </w:divBdr>
          <w:divsChild>
            <w:div w:id="1632204418">
              <w:marLeft w:val="0"/>
              <w:marRight w:val="0"/>
              <w:marTop w:val="0"/>
              <w:marBottom w:val="0"/>
              <w:divBdr>
                <w:top w:val="none" w:sz="0" w:space="0" w:color="C0C0C0"/>
                <w:left w:val="none" w:sz="0" w:space="0" w:color="C0C0C0"/>
                <w:bottom w:val="none" w:sz="0" w:space="0" w:color="C0C0C0"/>
                <w:right w:val="none" w:sz="0" w:space="0" w:color="C0C0C0"/>
              </w:divBdr>
              <w:divsChild>
                <w:div w:id="1811898440">
                  <w:marLeft w:val="0"/>
                  <w:marRight w:val="0"/>
                  <w:marTop w:val="0"/>
                  <w:marBottom w:val="0"/>
                  <w:divBdr>
                    <w:top w:val="none" w:sz="0" w:space="0" w:color="auto"/>
                    <w:left w:val="none" w:sz="0" w:space="0" w:color="auto"/>
                    <w:bottom w:val="none" w:sz="0" w:space="0" w:color="auto"/>
                    <w:right w:val="none" w:sz="0" w:space="0" w:color="auto"/>
                  </w:divBdr>
                  <w:divsChild>
                    <w:div w:id="1561869629">
                      <w:marLeft w:val="0"/>
                      <w:marRight w:val="0"/>
                      <w:marTop w:val="0"/>
                      <w:marBottom w:val="0"/>
                      <w:divBdr>
                        <w:top w:val="none" w:sz="0" w:space="0" w:color="auto"/>
                        <w:left w:val="none" w:sz="0" w:space="0" w:color="auto"/>
                        <w:bottom w:val="none" w:sz="0" w:space="0" w:color="auto"/>
                        <w:right w:val="none" w:sz="0" w:space="0" w:color="auto"/>
                      </w:divBdr>
                      <w:divsChild>
                        <w:div w:id="703217921">
                          <w:marLeft w:val="150"/>
                          <w:marRight w:val="150"/>
                          <w:marTop w:val="150"/>
                          <w:marBottom w:val="150"/>
                          <w:divBdr>
                            <w:top w:val="none" w:sz="0" w:space="0" w:color="auto"/>
                            <w:left w:val="none" w:sz="0" w:space="0" w:color="auto"/>
                            <w:bottom w:val="none" w:sz="0" w:space="0" w:color="auto"/>
                            <w:right w:val="none" w:sz="0" w:space="0" w:color="auto"/>
                          </w:divBdr>
                          <w:divsChild>
                            <w:div w:id="75906757">
                              <w:marLeft w:val="0"/>
                              <w:marRight w:val="0"/>
                              <w:marTop w:val="0"/>
                              <w:marBottom w:val="0"/>
                              <w:divBdr>
                                <w:top w:val="none" w:sz="0" w:space="0" w:color="auto"/>
                                <w:left w:val="none" w:sz="0" w:space="0" w:color="auto"/>
                                <w:bottom w:val="none" w:sz="0" w:space="0" w:color="auto"/>
                                <w:right w:val="none" w:sz="0" w:space="0" w:color="auto"/>
                              </w:divBdr>
                              <w:divsChild>
                                <w:div w:id="20425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500230">
      <w:bodyDiv w:val="1"/>
      <w:marLeft w:val="0"/>
      <w:marRight w:val="0"/>
      <w:marTop w:val="0"/>
      <w:marBottom w:val="0"/>
      <w:divBdr>
        <w:top w:val="none" w:sz="0" w:space="0" w:color="auto"/>
        <w:left w:val="none" w:sz="0" w:space="0" w:color="auto"/>
        <w:bottom w:val="none" w:sz="0" w:space="0" w:color="auto"/>
        <w:right w:val="none" w:sz="0" w:space="0" w:color="auto"/>
      </w:divBdr>
    </w:div>
    <w:div w:id="1938978174">
      <w:bodyDiv w:val="1"/>
      <w:marLeft w:val="0"/>
      <w:marRight w:val="0"/>
      <w:marTop w:val="0"/>
      <w:marBottom w:val="0"/>
      <w:divBdr>
        <w:top w:val="none" w:sz="0" w:space="0" w:color="auto"/>
        <w:left w:val="none" w:sz="0" w:space="0" w:color="auto"/>
        <w:bottom w:val="none" w:sz="0" w:space="0" w:color="auto"/>
        <w:right w:val="none" w:sz="0" w:space="0" w:color="auto"/>
      </w:divBdr>
    </w:div>
    <w:div w:id="1985160515">
      <w:bodyDiv w:val="1"/>
      <w:marLeft w:val="0"/>
      <w:marRight w:val="0"/>
      <w:marTop w:val="0"/>
      <w:marBottom w:val="0"/>
      <w:divBdr>
        <w:top w:val="none" w:sz="0" w:space="0" w:color="auto"/>
        <w:left w:val="none" w:sz="0" w:space="0" w:color="auto"/>
        <w:bottom w:val="none" w:sz="0" w:space="0" w:color="auto"/>
        <w:right w:val="none" w:sz="0" w:space="0" w:color="auto"/>
      </w:divBdr>
      <w:divsChild>
        <w:div w:id="1873180206">
          <w:marLeft w:val="0"/>
          <w:marRight w:val="0"/>
          <w:marTop w:val="0"/>
          <w:marBottom w:val="0"/>
          <w:divBdr>
            <w:top w:val="none" w:sz="0" w:space="0" w:color="auto"/>
            <w:left w:val="none" w:sz="0" w:space="0" w:color="auto"/>
            <w:bottom w:val="none" w:sz="0" w:space="0" w:color="auto"/>
            <w:right w:val="none" w:sz="0" w:space="0" w:color="auto"/>
          </w:divBdr>
          <w:divsChild>
            <w:div w:id="1670478259">
              <w:marLeft w:val="0"/>
              <w:marRight w:val="0"/>
              <w:marTop w:val="0"/>
              <w:marBottom w:val="0"/>
              <w:divBdr>
                <w:top w:val="none" w:sz="0" w:space="0" w:color="C0C0C0"/>
                <w:left w:val="none" w:sz="0" w:space="0" w:color="C0C0C0"/>
                <w:bottom w:val="none" w:sz="0" w:space="0" w:color="C0C0C0"/>
                <w:right w:val="none" w:sz="0" w:space="0" w:color="C0C0C0"/>
              </w:divBdr>
              <w:divsChild>
                <w:div w:id="1673022228">
                  <w:marLeft w:val="0"/>
                  <w:marRight w:val="0"/>
                  <w:marTop w:val="0"/>
                  <w:marBottom w:val="0"/>
                  <w:divBdr>
                    <w:top w:val="none" w:sz="0" w:space="0" w:color="auto"/>
                    <w:left w:val="none" w:sz="0" w:space="0" w:color="auto"/>
                    <w:bottom w:val="none" w:sz="0" w:space="0" w:color="auto"/>
                    <w:right w:val="none" w:sz="0" w:space="0" w:color="auto"/>
                  </w:divBdr>
                  <w:divsChild>
                    <w:div w:id="1848251683">
                      <w:marLeft w:val="0"/>
                      <w:marRight w:val="0"/>
                      <w:marTop w:val="0"/>
                      <w:marBottom w:val="0"/>
                      <w:divBdr>
                        <w:top w:val="none" w:sz="0" w:space="0" w:color="auto"/>
                        <w:left w:val="none" w:sz="0" w:space="0" w:color="auto"/>
                        <w:bottom w:val="none" w:sz="0" w:space="0" w:color="auto"/>
                        <w:right w:val="none" w:sz="0" w:space="0" w:color="auto"/>
                      </w:divBdr>
                      <w:divsChild>
                        <w:div w:id="1906793902">
                          <w:marLeft w:val="150"/>
                          <w:marRight w:val="150"/>
                          <w:marTop w:val="150"/>
                          <w:marBottom w:val="150"/>
                          <w:divBdr>
                            <w:top w:val="none" w:sz="0" w:space="0" w:color="auto"/>
                            <w:left w:val="none" w:sz="0" w:space="0" w:color="auto"/>
                            <w:bottom w:val="none" w:sz="0" w:space="0" w:color="auto"/>
                            <w:right w:val="none" w:sz="0" w:space="0" w:color="auto"/>
                          </w:divBdr>
                          <w:divsChild>
                            <w:div w:id="446781703">
                              <w:marLeft w:val="0"/>
                              <w:marRight w:val="0"/>
                              <w:marTop w:val="0"/>
                              <w:marBottom w:val="0"/>
                              <w:divBdr>
                                <w:top w:val="none" w:sz="0" w:space="0" w:color="auto"/>
                                <w:left w:val="none" w:sz="0" w:space="0" w:color="auto"/>
                                <w:bottom w:val="none" w:sz="0" w:space="0" w:color="auto"/>
                                <w:right w:val="none" w:sz="0" w:space="0" w:color="auto"/>
                              </w:divBdr>
                              <w:divsChild>
                                <w:div w:id="19849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7480445/" TargetMode="External"/><Relationship Id="rId13" Type="http://schemas.openxmlformats.org/officeDocument/2006/relationships/hyperlink" Target="https://www.ncbi.nlm.nih.gov/pmc/articles/PMC7068600/" TargetMode="External"/><Relationship Id="rId3" Type="http://schemas.openxmlformats.org/officeDocument/2006/relationships/hyperlink" Target="https://www.cdc.gov/amd/whats-new/wastewater-surveillance.html" TargetMode="External"/><Relationship Id="rId7" Type="http://schemas.openxmlformats.org/officeDocument/2006/relationships/hyperlink" Target="https://www1.nyc.gov/assets/oec/technical-manual/2014_ceqr_technical_manual_rev_04_27_2016.pdf" TargetMode="External"/><Relationship Id="rId12" Type="http://schemas.openxmlformats.org/officeDocument/2006/relationships/hyperlink" Target="https://oceanservice.noaa.gov/facts/microplastics.html" TargetMode="External"/><Relationship Id="rId2" Type="http://schemas.openxmlformats.org/officeDocument/2006/relationships/hyperlink" Target="https://www1.nyc.gov/site/doh/covid/covid-19-data.page" TargetMode="External"/><Relationship Id="rId1" Type="http://schemas.openxmlformats.org/officeDocument/2006/relationships/hyperlink" Target="https://www.worldometers.info/coronavirus/" TargetMode="External"/><Relationship Id="rId6" Type="http://schemas.openxmlformats.org/officeDocument/2006/relationships/hyperlink" Target="https://www.cdc.gov/coronavirus/2019-ncov/cases-updates/wastewater-surveillance.html" TargetMode="External"/><Relationship Id="rId11" Type="http://schemas.openxmlformats.org/officeDocument/2006/relationships/hyperlink" Target="https://health.ny.gov/press/releases/2022/2022-09-09_polio_immunization.htm" TargetMode="External"/><Relationship Id="rId5" Type="http://schemas.openxmlformats.org/officeDocument/2006/relationships/hyperlink" Target="https://openseweratlas.tumblr.com/post/90255588644/sewersheds-and-community-boards" TargetMode="External"/><Relationship Id="rId15" Type="http://schemas.openxmlformats.org/officeDocument/2006/relationships/hyperlink" Target="https://orbmedia.org/invisibles-final-report" TargetMode="External"/><Relationship Id="rId10" Type="http://schemas.openxmlformats.org/officeDocument/2006/relationships/hyperlink" Target="https://www.nyc.gov/site/doh/about/press/pr2022/nysdoh-and-nycdohm-wastewater-monitoring-finds-polio-urge-to-get-vaccinated.page" TargetMode="External"/><Relationship Id="rId4" Type="http://schemas.openxmlformats.org/officeDocument/2006/relationships/hyperlink" Target="https://www1.nyc.gov/assets/oec/technical-manual/2014_ceqr_technical_manual_rev_04_27_2016.pdf" TargetMode="External"/><Relationship Id="rId9" Type="http://schemas.openxmlformats.org/officeDocument/2006/relationships/hyperlink" Target="https://asm.org/Articles/2019/November/Metagenomic-Next-Generation-Sequencing-How-Does-It" TargetMode="External"/><Relationship Id="rId14" Type="http://schemas.openxmlformats.org/officeDocument/2006/relationships/hyperlink" Target="https://www.sciencedirect.com/science/article/pii/S0160412022001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B772-4428-4851-99B4-D0299CDB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3138</Words>
  <Characters>17891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Chawla</dc:creator>
  <cp:keywords/>
  <dc:description/>
  <cp:lastModifiedBy>DelFranco, Ruthie</cp:lastModifiedBy>
  <cp:revision>2</cp:revision>
  <cp:lastPrinted>2022-03-10T16:00:00Z</cp:lastPrinted>
  <dcterms:created xsi:type="dcterms:W3CDTF">2023-02-24T21:19:00Z</dcterms:created>
  <dcterms:modified xsi:type="dcterms:W3CDTF">2023-02-24T21:19:00Z</dcterms:modified>
</cp:coreProperties>
</file>