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740DA" w14:textId="5C9F6A6F" w:rsidR="002C5F31" w:rsidRDefault="002C5F31" w:rsidP="002C5F31">
      <w:pPr>
        <w:pStyle w:val="DoubleSpaceParagaph"/>
        <w:spacing w:line="240" w:lineRule="auto"/>
        <w:ind w:firstLine="720"/>
        <w:jc w:val="center"/>
      </w:pPr>
      <w:bookmarkStart w:id="0" w:name="_Hlk118708391"/>
      <w:r>
        <w:t xml:space="preserve">Int. No. </w:t>
      </w:r>
      <w:r w:rsidR="007172C6">
        <w:t>875</w:t>
      </w:r>
      <w:bookmarkStart w:id="1" w:name="_GoBack"/>
      <w:bookmarkEnd w:id="1"/>
    </w:p>
    <w:p w14:paraId="3AA2E148" w14:textId="15A9481F" w:rsidR="002C5F31" w:rsidRDefault="002C5F31" w:rsidP="002C5F31">
      <w:pPr>
        <w:pStyle w:val="DoubleSpaceParagaph"/>
        <w:spacing w:line="240" w:lineRule="auto"/>
        <w:ind w:firstLine="720"/>
        <w:jc w:val="center"/>
      </w:pPr>
    </w:p>
    <w:p w14:paraId="540DAED0" w14:textId="551F0C08" w:rsidR="002C5F31" w:rsidRDefault="002C5F31" w:rsidP="002C5F31">
      <w:pPr>
        <w:pStyle w:val="DoubleSpaceParagaph"/>
        <w:spacing w:line="240" w:lineRule="auto"/>
        <w:ind w:firstLine="0"/>
        <w:jc w:val="left"/>
      </w:pPr>
      <w:r>
        <w:t xml:space="preserve">By Council Member </w:t>
      </w:r>
      <w:r w:rsidR="0090770B">
        <w:t>Sanchez</w:t>
      </w:r>
      <w:r>
        <w:t xml:space="preserve"> (by request of the Mayor)</w:t>
      </w:r>
    </w:p>
    <w:p w14:paraId="2BF8472B" w14:textId="77777777" w:rsidR="002C5F31" w:rsidRDefault="002C5F31" w:rsidP="002C5F31">
      <w:pPr>
        <w:pStyle w:val="DoubleSpaceParagaph"/>
        <w:spacing w:line="240" w:lineRule="auto"/>
        <w:ind w:firstLine="0"/>
        <w:jc w:val="left"/>
      </w:pPr>
    </w:p>
    <w:p w14:paraId="5B888D70" w14:textId="36046133" w:rsidR="002C5F31" w:rsidRPr="002C5F31" w:rsidRDefault="002C5F31" w:rsidP="002C5F31">
      <w:pPr>
        <w:pStyle w:val="DoubleSpaceParagaph"/>
        <w:spacing w:line="240" w:lineRule="auto"/>
        <w:ind w:firstLine="0"/>
        <w:jc w:val="left"/>
        <w:rPr>
          <w:vanish/>
        </w:rPr>
      </w:pPr>
      <w:r w:rsidRPr="002C5F31">
        <w:rPr>
          <w:vanish/>
        </w:rPr>
        <w:t>..Title</w:t>
      </w:r>
    </w:p>
    <w:p w14:paraId="6A490847" w14:textId="77777777" w:rsidR="002C5F31" w:rsidRDefault="002C5F31" w:rsidP="002C5F31">
      <w:pPr>
        <w:pStyle w:val="DoubleSpaceParagaph"/>
        <w:spacing w:line="240" w:lineRule="auto"/>
        <w:ind w:firstLine="0"/>
      </w:pPr>
      <w:r>
        <w:t>A Local Law to amend the administrative code of the city of New York, the New York city plumbing code, the New York city building code, the New York city mechanical code and the New York city fuel gas code, in relation to</w:t>
      </w:r>
      <w:r w:rsidRPr="00462ACC">
        <w:t xml:space="preserve"> technical corrections,</w:t>
      </w:r>
      <w:r>
        <w:t xml:space="preserve"> </w:t>
      </w:r>
      <w:r w:rsidRPr="00462ACC">
        <w:t>clarifications and modifications to provisions of the New York city construction codes</w:t>
      </w:r>
    </w:p>
    <w:p w14:paraId="708109F5" w14:textId="0FFCA4C0" w:rsidR="002C5F31" w:rsidRPr="0090770B" w:rsidRDefault="002C5F31" w:rsidP="002C5F31">
      <w:pPr>
        <w:pStyle w:val="DoubleSpaceParagaph"/>
        <w:spacing w:line="240" w:lineRule="auto"/>
        <w:ind w:firstLine="0"/>
        <w:rPr>
          <w:vanish/>
        </w:rPr>
      </w:pPr>
      <w:r w:rsidRPr="002C5F31">
        <w:rPr>
          <w:vanish/>
        </w:rPr>
        <w:t>..Body</w:t>
      </w:r>
    </w:p>
    <w:p w14:paraId="159E2C95" w14:textId="77777777" w:rsidR="002C5F31" w:rsidRDefault="002C5F31" w:rsidP="002C5F31">
      <w:pPr>
        <w:pStyle w:val="DoubleSpaceParagaph"/>
        <w:spacing w:line="240" w:lineRule="auto"/>
        <w:ind w:firstLine="0"/>
        <w:jc w:val="left"/>
        <w:rPr>
          <w:u w:val="single"/>
        </w:rPr>
      </w:pPr>
    </w:p>
    <w:p w14:paraId="147D13A8" w14:textId="326D6ABF" w:rsidR="002C5F31" w:rsidRDefault="002C5F31" w:rsidP="002C5F31">
      <w:pPr>
        <w:pStyle w:val="DoubleSpaceParagaph"/>
        <w:ind w:firstLine="0"/>
        <w:jc w:val="left"/>
        <w:rPr>
          <w:u w:val="single"/>
        </w:rPr>
      </w:pPr>
      <w:r>
        <w:rPr>
          <w:u w:val="single"/>
        </w:rPr>
        <w:t>Be it enacted by the Council as follows:</w:t>
      </w:r>
    </w:p>
    <w:p w14:paraId="2AA4E0C7" w14:textId="77777777" w:rsidR="002C5F31" w:rsidRDefault="002C5F31" w:rsidP="002C5F31">
      <w:pPr>
        <w:pStyle w:val="DoubleSpaceParagaph"/>
        <w:ind w:firstLine="0"/>
        <w:jc w:val="left"/>
        <w:rPr>
          <w:u w:val="single"/>
        </w:rPr>
        <w:sectPr w:rsidR="002C5F31" w:rsidSect="002C5F31">
          <w:pgSz w:w="12240" w:h="15840"/>
          <w:pgMar w:top="1440" w:right="1440" w:bottom="1440" w:left="1440" w:header="720" w:footer="720" w:gutter="0"/>
          <w:cols w:space="720"/>
          <w:docGrid w:linePitch="326"/>
        </w:sectPr>
      </w:pPr>
    </w:p>
    <w:p w14:paraId="0EFCD28D" w14:textId="1A2FBDB4" w:rsidR="00140B7C" w:rsidRDefault="00140B7C" w:rsidP="002C5F31">
      <w:pPr>
        <w:pStyle w:val="DoubleSpaceParagaph"/>
        <w:spacing w:line="240" w:lineRule="auto"/>
        <w:ind w:firstLine="720"/>
        <w:jc w:val="left"/>
        <w:rPr>
          <w:sz w:val="23"/>
          <w:szCs w:val="23"/>
        </w:rPr>
      </w:pPr>
      <w:r w:rsidRPr="00EC4EC4">
        <w:t xml:space="preserve">Section 1. </w:t>
      </w:r>
      <w:r>
        <w:t xml:space="preserve">The definition of “CHARTER” set forth in </w:t>
      </w:r>
      <w:r>
        <w:rPr>
          <w:sz w:val="23"/>
          <w:szCs w:val="23"/>
        </w:rPr>
        <w:t>s</w:t>
      </w:r>
      <w:r w:rsidRPr="00EC4EC4">
        <w:rPr>
          <w:sz w:val="23"/>
          <w:szCs w:val="23"/>
        </w:rPr>
        <w:t>ection 28-101.5 of the administrative code of the city of New York, as amended by local law number 126 for the year 2021,</w:t>
      </w:r>
      <w:r>
        <w:rPr>
          <w:sz w:val="23"/>
          <w:szCs w:val="23"/>
        </w:rPr>
        <w:t xml:space="preserve"> shall be ordered in alphabetical order. </w:t>
      </w:r>
    </w:p>
    <w:bookmarkEnd w:id="0"/>
    <w:p w14:paraId="14262F8F" w14:textId="77777777" w:rsidR="00140B7C" w:rsidRPr="00EC4EC4" w:rsidRDefault="00140B7C" w:rsidP="00140B7C">
      <w:pPr>
        <w:pStyle w:val="DoubleSpaceParagaph"/>
        <w:spacing w:line="240" w:lineRule="auto"/>
        <w:ind w:firstLine="720"/>
        <w:rPr>
          <w:sz w:val="23"/>
          <w:szCs w:val="23"/>
        </w:rPr>
      </w:pPr>
    </w:p>
    <w:p w14:paraId="17FB4D9B" w14:textId="77777777" w:rsidR="00140B7C" w:rsidRDefault="00140B7C" w:rsidP="00140B7C">
      <w:pPr>
        <w:pStyle w:val="DoubleSpaceParagaph"/>
        <w:spacing w:line="240" w:lineRule="auto"/>
        <w:ind w:firstLine="720"/>
        <w:rPr>
          <w:sz w:val="23"/>
          <w:szCs w:val="23"/>
        </w:rPr>
      </w:pPr>
      <w:r w:rsidRPr="00EC4EC4">
        <w:rPr>
          <w:sz w:val="23"/>
          <w:szCs w:val="23"/>
        </w:rPr>
        <w:t>§</w:t>
      </w:r>
      <w:r>
        <w:rPr>
          <w:sz w:val="23"/>
          <w:szCs w:val="23"/>
        </w:rPr>
        <w:t>2</w:t>
      </w:r>
      <w:r w:rsidRPr="00EC4EC4">
        <w:rPr>
          <w:sz w:val="23"/>
          <w:szCs w:val="23"/>
        </w:rPr>
        <w:t xml:space="preserve">. </w:t>
      </w:r>
      <w:r>
        <w:rPr>
          <w:sz w:val="23"/>
          <w:szCs w:val="23"/>
        </w:rPr>
        <w:t xml:space="preserve">The </w:t>
      </w:r>
      <w:r w:rsidRPr="00EC4EC4">
        <w:rPr>
          <w:sz w:val="23"/>
          <w:szCs w:val="23"/>
        </w:rPr>
        <w:t>definitions of “</w:t>
      </w:r>
      <w:r w:rsidRPr="00EC4EC4">
        <w:rPr>
          <w:szCs w:val="24"/>
        </w:rPr>
        <w:t xml:space="preserve">LIMITED ALTERATION APPLICATION,” “LIMITED OIL-BURNING APPLIANCE ALTERATIONS,” “LIMITED PLUMBING ALTERATIONS,” and </w:t>
      </w:r>
      <w:r>
        <w:rPr>
          <w:szCs w:val="24"/>
        </w:rPr>
        <w:t>“</w:t>
      </w:r>
      <w:r w:rsidRPr="00EC4EC4">
        <w:rPr>
          <w:szCs w:val="24"/>
        </w:rPr>
        <w:t>MANUFACTURER’S DESIGNATION”</w:t>
      </w:r>
      <w:r w:rsidRPr="00EC4EC4">
        <w:rPr>
          <w:b/>
          <w:szCs w:val="24"/>
        </w:rPr>
        <w:t xml:space="preserve"> </w:t>
      </w:r>
      <w:r w:rsidRPr="009A3875">
        <w:rPr>
          <w:bCs/>
          <w:szCs w:val="24"/>
        </w:rPr>
        <w:t xml:space="preserve">set forth in section 28-101.5 of article 101 of chapter 1 of title 28 of the administrative code of the city of New York, as amended by local law number 126 for the year 2021, </w:t>
      </w:r>
      <w:r w:rsidRPr="00E5256D">
        <w:rPr>
          <w:bCs/>
          <w:sz w:val="23"/>
          <w:szCs w:val="23"/>
        </w:rPr>
        <w:t>a</w:t>
      </w:r>
      <w:r w:rsidRPr="00B04394">
        <w:rPr>
          <w:bCs/>
          <w:sz w:val="23"/>
          <w:szCs w:val="23"/>
        </w:rPr>
        <w:t>re</w:t>
      </w:r>
      <w:r w:rsidRPr="009A3875">
        <w:rPr>
          <w:bCs/>
          <w:sz w:val="23"/>
          <w:szCs w:val="23"/>
        </w:rPr>
        <w:t xml:space="preserve"> </w:t>
      </w:r>
      <w:r w:rsidRPr="00EC4EC4">
        <w:rPr>
          <w:sz w:val="23"/>
          <w:szCs w:val="23"/>
        </w:rPr>
        <w:t>amended to read as follows:</w:t>
      </w:r>
    </w:p>
    <w:p w14:paraId="1EDCDFD1" w14:textId="77777777" w:rsidR="00140B7C" w:rsidRPr="00EC4EC4" w:rsidRDefault="00140B7C" w:rsidP="00140B7C">
      <w:pPr>
        <w:pStyle w:val="DoubleSpaceParagaph"/>
        <w:spacing w:line="240" w:lineRule="auto"/>
        <w:ind w:firstLine="720"/>
        <w:rPr>
          <w:u w:val="single"/>
        </w:rPr>
      </w:pPr>
    </w:p>
    <w:p w14:paraId="1A832AB9" w14:textId="77777777" w:rsidR="00140B7C" w:rsidRPr="00EC4EC4" w:rsidRDefault="00140B7C" w:rsidP="00140B7C">
      <w:pPr>
        <w:pStyle w:val="FlushLeft"/>
        <w:rPr>
          <w:szCs w:val="24"/>
        </w:rPr>
      </w:pPr>
      <w:r w:rsidRPr="00EC4EC4">
        <w:rPr>
          <w:b/>
          <w:szCs w:val="24"/>
        </w:rPr>
        <w:t xml:space="preserve">LIMITED ALTERATION APPLICATION.  </w:t>
      </w:r>
      <w:r w:rsidRPr="00EC4EC4">
        <w:rPr>
          <w:szCs w:val="24"/>
        </w:rPr>
        <w:t>Application for</w:t>
      </w:r>
      <w:r w:rsidRPr="00EC4EC4">
        <w:rPr>
          <w:b/>
          <w:szCs w:val="24"/>
        </w:rPr>
        <w:t xml:space="preserve"> </w:t>
      </w:r>
      <w:r w:rsidRPr="00EC4EC4">
        <w:rPr>
          <w:spacing w:val="1"/>
          <w:szCs w:val="24"/>
        </w:rPr>
        <w:t>limited oil-burning appliance alterations, limited plumbing alterations, limited sprinkler alterations and limited standpipe alterations</w:t>
      </w:r>
      <w:r w:rsidRPr="00EC4EC4">
        <w:rPr>
          <w:szCs w:val="24"/>
        </w:rPr>
        <w:t xml:space="preserve"> submitted pursuant to exception 1 of section 28-104.6. Such work shall not include any associated work that would otherwise require an alteration permit including, but not limited to, any construction of [</w:t>
      </w:r>
      <w:r w:rsidRPr="00EC4EC4">
        <w:rPr>
          <w:strike/>
          <w:szCs w:val="24"/>
        </w:rPr>
        <w:t>fire rated</w:t>
      </w:r>
      <w:r w:rsidRPr="00EC4EC4">
        <w:rPr>
          <w:szCs w:val="24"/>
        </w:rPr>
        <w:t>]</w:t>
      </w:r>
      <w:r w:rsidRPr="00EC4EC4">
        <w:rPr>
          <w:szCs w:val="24"/>
          <w:u w:val="single"/>
        </w:rPr>
        <w:t>fire-rated</w:t>
      </w:r>
      <w:r w:rsidRPr="00EC4EC4">
        <w:rPr>
          <w:szCs w:val="24"/>
        </w:rPr>
        <w:t xml:space="preserve"> partitions and enclosures.</w:t>
      </w:r>
    </w:p>
    <w:p w14:paraId="350AADDC" w14:textId="77777777" w:rsidR="00140B7C" w:rsidRPr="00EC4EC4" w:rsidRDefault="00140B7C" w:rsidP="00140B7C">
      <w:pPr>
        <w:pStyle w:val="FlushLeftDouble"/>
        <w:rPr>
          <w:szCs w:val="24"/>
        </w:rPr>
      </w:pPr>
      <w:r w:rsidRPr="00EC4EC4">
        <w:rPr>
          <w:b/>
          <w:szCs w:val="24"/>
        </w:rPr>
        <w:t>Category 1</w:t>
      </w:r>
      <w:r w:rsidRPr="00EC4EC4">
        <w:rPr>
          <w:szCs w:val="24"/>
        </w:rPr>
        <w:t xml:space="preserve"> work shall be limited to a new installation into an existing building or system. The utilization of this category shall be limited by an annual monetary cap. </w:t>
      </w:r>
    </w:p>
    <w:p w14:paraId="75BCA2AA" w14:textId="77777777" w:rsidR="00140B7C" w:rsidRPr="00EC4EC4" w:rsidRDefault="00140B7C" w:rsidP="00140B7C">
      <w:pPr>
        <w:pStyle w:val="FlushLeftDouble"/>
        <w:rPr>
          <w:szCs w:val="24"/>
        </w:rPr>
      </w:pPr>
      <w:r w:rsidRPr="00EC4EC4">
        <w:rPr>
          <w:b/>
          <w:szCs w:val="24"/>
        </w:rPr>
        <w:t>Category 2</w:t>
      </w:r>
      <w:r w:rsidRPr="00EC4EC4">
        <w:rPr>
          <w:szCs w:val="24"/>
        </w:rPr>
        <w:t xml:space="preserve"> work shall include any existing system or component that is replaced, repaired or altered. This category shall not be limited by a monetary cap.</w:t>
      </w:r>
    </w:p>
    <w:p w14:paraId="60B95A7A" w14:textId="77777777" w:rsidR="00140B7C" w:rsidRPr="00EC4EC4" w:rsidRDefault="00140B7C" w:rsidP="00140B7C">
      <w:pPr>
        <w:pStyle w:val="FlushLeft"/>
        <w:rPr>
          <w:spacing w:val="1"/>
          <w:szCs w:val="24"/>
        </w:rPr>
      </w:pPr>
      <w:r w:rsidRPr="00EC4EC4">
        <w:rPr>
          <w:b/>
          <w:szCs w:val="24"/>
        </w:rPr>
        <w:t>LIMITED OIL-BURNING APPLIANCE ALTERATIONS.</w:t>
      </w:r>
      <w:r w:rsidRPr="00EC4EC4">
        <w:rPr>
          <w:spacing w:val="-6"/>
          <w:w w:val="115"/>
          <w:szCs w:val="24"/>
        </w:rPr>
        <w:t xml:space="preserve"> </w:t>
      </w:r>
      <w:r w:rsidRPr="00EC4EC4">
        <w:rPr>
          <w:spacing w:val="1"/>
          <w:szCs w:val="24"/>
        </w:rPr>
        <w:t>An alteration, installation, replacement or repair to an oil-burning appliance that is limited in scope, falling into one of the following categories. Any construction or alteration to fire-rated partitions or enclosures, with the exception of through-penetrations that are firestopped, shall require a separate application filed with the department.</w:t>
      </w:r>
    </w:p>
    <w:p w14:paraId="41D0EAF0" w14:textId="05E60030" w:rsidR="00140B7C" w:rsidRPr="00EC4EC4" w:rsidRDefault="00140B7C" w:rsidP="00140B7C">
      <w:pPr>
        <w:pStyle w:val="FlushLeftDouble"/>
        <w:rPr>
          <w:spacing w:val="1"/>
          <w:szCs w:val="24"/>
        </w:rPr>
      </w:pPr>
      <w:r w:rsidRPr="00EC4EC4">
        <w:rPr>
          <w:b/>
          <w:szCs w:val="24"/>
        </w:rPr>
        <w:t>Category 1.</w:t>
      </w:r>
      <w:r w:rsidRPr="00EC4EC4">
        <w:rPr>
          <w:spacing w:val="-6"/>
          <w:w w:val="115"/>
          <w:szCs w:val="24"/>
        </w:rPr>
        <w:t xml:space="preserve"> </w:t>
      </w:r>
      <w:r w:rsidRPr="00EC4EC4">
        <w:rPr>
          <w:spacing w:val="1"/>
          <w:szCs w:val="24"/>
        </w:rPr>
        <w:t>An addition to an existing oil-burning appliance where the total cost of the proposed [</w:t>
      </w:r>
      <w:r w:rsidRPr="00EC4EC4">
        <w:rPr>
          <w:strike/>
          <w:spacing w:val="1"/>
          <w:szCs w:val="24"/>
        </w:rPr>
        <w:t>category</w:t>
      </w:r>
      <w:r w:rsidRPr="00EC4EC4">
        <w:rPr>
          <w:spacing w:val="1"/>
          <w:szCs w:val="24"/>
        </w:rPr>
        <w:t xml:space="preserve">] </w:t>
      </w:r>
      <w:r w:rsidRPr="00EC4EC4">
        <w:rPr>
          <w:spacing w:val="1"/>
          <w:szCs w:val="24"/>
          <w:u w:val="single"/>
        </w:rPr>
        <w:t>Category</w:t>
      </w:r>
      <w:r w:rsidRPr="00EC4EC4">
        <w:rPr>
          <w:spacing w:val="1"/>
          <w:szCs w:val="24"/>
        </w:rPr>
        <w:t xml:space="preserve"> 1 work in the building does not exceed $50,000 in any 12-month period and where the proposed work is limited to the installation of:</w:t>
      </w:r>
    </w:p>
    <w:p w14:paraId="06D1D341"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oil equipment,</w:t>
      </w:r>
    </w:p>
    <w:p w14:paraId="3AA224D4"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oil-fired appliances, located within the same enclosure or room</w:t>
      </w:r>
      <w:r w:rsidRPr="00EC4EC4">
        <w:rPr>
          <w:rFonts w:eastAsia="Times New Roman" w:cs="Times New Roman"/>
          <w:szCs w:val="24"/>
        </w:rPr>
        <w:t xml:space="preserve"> </w:t>
      </w:r>
      <w:r w:rsidRPr="00EC4EC4">
        <w:rPr>
          <w:rFonts w:eastAsia="Times New Roman" w:cs="Times New Roman"/>
          <w:spacing w:val="1"/>
          <w:szCs w:val="24"/>
        </w:rPr>
        <w:t xml:space="preserve">as the existing oil-burning appliance, </w:t>
      </w:r>
    </w:p>
    <w:p w14:paraId="796BA60A"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lastRenderedPageBreak/>
        <w:t>3.</w:t>
      </w:r>
      <w:r w:rsidRPr="00EC4EC4">
        <w:rPr>
          <w:rFonts w:eastAsia="Times New Roman" w:cs="Times New Roman"/>
          <w:spacing w:val="1"/>
          <w:szCs w:val="24"/>
        </w:rPr>
        <w:tab/>
        <w:t xml:space="preserve">unit heaters, or </w:t>
      </w:r>
    </w:p>
    <w:p w14:paraId="31CDC359" w14:textId="77777777" w:rsidR="00140B7C" w:rsidRPr="00EC4EC4" w:rsidRDefault="00140B7C" w:rsidP="00140B7C">
      <w:pPr>
        <w:kinsoku w:val="0"/>
        <w:spacing w:before="120" w:after="120" w:line="240" w:lineRule="auto"/>
        <w:ind w:left="1080" w:hanging="360"/>
        <w:jc w:val="both"/>
        <w:rPr>
          <w:rFonts w:eastAsia="Times New Roman" w:cs="Times New Roman"/>
          <w:spacing w:val="-6"/>
          <w:w w:val="115"/>
          <w:szCs w:val="24"/>
        </w:rPr>
      </w:pPr>
      <w:r w:rsidRPr="00EC4EC4">
        <w:rPr>
          <w:rFonts w:eastAsia="Times New Roman" w:cs="Times New Roman"/>
          <w:spacing w:val="1"/>
          <w:szCs w:val="24"/>
        </w:rPr>
        <w:t xml:space="preserve">4. </w:t>
      </w:r>
      <w:r w:rsidRPr="00EC4EC4">
        <w:rPr>
          <w:rFonts w:eastAsia="Times New Roman" w:cs="Times New Roman"/>
          <w:spacing w:val="1"/>
          <w:szCs w:val="24"/>
        </w:rPr>
        <w:tab/>
        <w:t>oil piping including no more than two above-ground oil tanks each with a capacity of no more than 330 gallons (1250 L) provided such oil tanks also comply with the capacity limits established in section 1305.11 of the New York city mechanical code. The newly installed tanks shall have a UL listing, be labeled or meet the alternative tank design and construction standards contained in section 1305.14 of the New York city mechanical code.</w:t>
      </w:r>
    </w:p>
    <w:p w14:paraId="3DCBEE98" w14:textId="77777777" w:rsidR="00140B7C" w:rsidRPr="00EC4EC4" w:rsidRDefault="00140B7C" w:rsidP="00140B7C">
      <w:pPr>
        <w:pStyle w:val="FlushLeftDouble"/>
        <w:rPr>
          <w:spacing w:val="1"/>
          <w:szCs w:val="24"/>
        </w:rPr>
      </w:pPr>
      <w:r w:rsidRPr="00EC4EC4">
        <w:rPr>
          <w:b/>
          <w:szCs w:val="24"/>
        </w:rPr>
        <w:t>Category 2.</w:t>
      </w:r>
      <w:r w:rsidRPr="00EC4EC4">
        <w:rPr>
          <w:spacing w:val="-6"/>
          <w:w w:val="115"/>
          <w:szCs w:val="24"/>
        </w:rPr>
        <w:t xml:space="preserve"> </w:t>
      </w:r>
      <w:r w:rsidRPr="00EC4EC4">
        <w:rPr>
          <w:spacing w:val="1"/>
          <w:szCs w:val="24"/>
        </w:rPr>
        <w:t>An alteration, repair or replacement of an existing oil-burning appliance that is not subject to cost or duration limitations and that is limited to the following:</w:t>
      </w:r>
    </w:p>
    <w:p w14:paraId="538D1F13"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Replacement of oil burners, oil-burning appliances or water heaters in which the heat input per appliance does not exceed 3 million Btu/h (879 kW).</w:t>
      </w:r>
    </w:p>
    <w:p w14:paraId="67EDFE48" w14:textId="77777777" w:rsidR="00140B7C" w:rsidRPr="00EC4EC4" w:rsidRDefault="00140B7C" w:rsidP="00140B7C">
      <w:pPr>
        <w:tabs>
          <w:tab w:val="left" w:pos="-3240"/>
        </w:tabs>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Relocation of an oil burner or oil-burning appliance or water heater within the same enclosure or room.</w:t>
      </w:r>
    </w:p>
    <w:p w14:paraId="3040FCF4"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Placement of a temporary department of buildings registered [</w:t>
      </w:r>
      <w:r w:rsidRPr="00EC4EC4">
        <w:rPr>
          <w:rFonts w:eastAsia="Times New Roman" w:cs="Times New Roman"/>
          <w:strike/>
          <w:spacing w:val="1"/>
          <w:szCs w:val="24"/>
        </w:rPr>
        <w:t>oil fired</w:t>
      </w:r>
      <w:r w:rsidRPr="00EC4EC4">
        <w:rPr>
          <w:rFonts w:eastAsia="Times New Roman" w:cs="Times New Roman"/>
          <w:spacing w:val="1"/>
          <w:szCs w:val="24"/>
        </w:rPr>
        <w:t xml:space="preserve">] </w:t>
      </w:r>
      <w:r w:rsidRPr="00EC4EC4">
        <w:rPr>
          <w:rFonts w:eastAsia="Times New Roman" w:cs="Times New Roman"/>
          <w:spacing w:val="1"/>
          <w:szCs w:val="24"/>
          <w:u w:val="single"/>
        </w:rPr>
        <w:t>oil-fired</w:t>
      </w:r>
      <w:r w:rsidRPr="00EC4EC4">
        <w:rPr>
          <w:rFonts w:eastAsia="Times New Roman" w:cs="Times New Roman"/>
          <w:spacing w:val="1"/>
          <w:szCs w:val="24"/>
        </w:rPr>
        <w:t xml:space="preserve"> mobile boiler and corresponding fuel oil storage tank with associated piping at a site for emergency heating.</w:t>
      </w:r>
    </w:p>
    <w:p w14:paraId="4834EC97"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Placement of a temporary fuel oil storage tank with a capacity of 5,000 gallons (18 927 L) or less at a site for emergency use and connected to an existing oil-burning appliance.</w:t>
      </w:r>
    </w:p>
    <w:p w14:paraId="31652F6D" w14:textId="77777777" w:rsidR="00140B7C" w:rsidRPr="00EC4EC4" w:rsidRDefault="00140B7C" w:rsidP="00140B7C">
      <w:pPr>
        <w:kinsoku w:val="0"/>
        <w:spacing w:before="120" w:after="120" w:line="240" w:lineRule="auto"/>
        <w:ind w:left="1080" w:hanging="360"/>
        <w:jc w:val="both"/>
        <w:rPr>
          <w:rFonts w:cs="Times New Roman"/>
          <w:szCs w:val="24"/>
        </w:rPr>
      </w:pPr>
      <w:r w:rsidRPr="00EC4EC4">
        <w:rPr>
          <w:rFonts w:eastAsia="Times New Roman" w:cs="Times New Roman"/>
          <w:szCs w:val="24"/>
        </w:rPr>
        <w:t>5.</w:t>
      </w:r>
      <w:r w:rsidRPr="00EC4EC4">
        <w:rPr>
          <w:rFonts w:eastAsia="Times New Roman" w:cs="Times New Roman"/>
          <w:szCs w:val="24"/>
        </w:rPr>
        <w:tab/>
      </w:r>
      <w:r w:rsidRPr="00EC4EC4">
        <w:rPr>
          <w:rFonts w:cs="Times New Roman"/>
          <w:szCs w:val="24"/>
        </w:rPr>
        <w:t>Repair, replacement or relocation of oil equipment, appliances or oil piping including two above-ground oil tanks with 330 gallons (1250 L) provided such oil tanks also comply with the capacity limitations of section 1305.11 of the New York city mechanical code. The replacement tanks shall have a UL listing or labeling or meet the alternative tank design and construction standards contained in section 1305.14</w:t>
      </w:r>
      <w:r w:rsidRPr="00EC4EC4">
        <w:rPr>
          <w:rFonts w:eastAsia="Times New Roman" w:cs="Times New Roman"/>
          <w:spacing w:val="1"/>
          <w:szCs w:val="24"/>
        </w:rPr>
        <w:t xml:space="preserve"> </w:t>
      </w:r>
      <w:r w:rsidRPr="00EC4EC4">
        <w:rPr>
          <w:rFonts w:cs="Times New Roman"/>
          <w:szCs w:val="24"/>
        </w:rPr>
        <w:t>of the New York city mechanical code. Any such relocation shall be only within the same enclosure or room.</w:t>
      </w:r>
    </w:p>
    <w:p w14:paraId="11D948E2" w14:textId="77777777" w:rsidR="00140B7C" w:rsidRPr="00EC4EC4" w:rsidRDefault="00140B7C" w:rsidP="00140B7C">
      <w:pPr>
        <w:pStyle w:val="FlushLeft"/>
        <w:rPr>
          <w:szCs w:val="24"/>
        </w:rPr>
      </w:pPr>
      <w:r w:rsidRPr="00EC4EC4">
        <w:rPr>
          <w:b/>
          <w:szCs w:val="24"/>
        </w:rPr>
        <w:t>LIMITED PLUMBING ALTERATIONS.</w:t>
      </w:r>
      <w:r w:rsidRPr="00EC4EC4">
        <w:rPr>
          <w:szCs w:val="24"/>
        </w:rPr>
        <w:t xml:space="preserve"> An installation, replacement, repair or alteration to a plumbing or fuel gas piping system, including fixtures and appliances, that is limited in scope, falling into one of the following categories:</w:t>
      </w:r>
    </w:p>
    <w:p w14:paraId="57CDC93C" w14:textId="77777777" w:rsidR="00140B7C" w:rsidRPr="00EC4EC4" w:rsidRDefault="00140B7C" w:rsidP="00140B7C">
      <w:pPr>
        <w:pStyle w:val="FlushLeftDouble"/>
        <w:rPr>
          <w:szCs w:val="24"/>
        </w:rPr>
      </w:pPr>
      <w:r w:rsidRPr="00EC4EC4">
        <w:rPr>
          <w:b/>
          <w:szCs w:val="24"/>
        </w:rPr>
        <w:t>Category 1.</w:t>
      </w:r>
      <w:r w:rsidRPr="00EC4EC4">
        <w:rPr>
          <w:szCs w:val="24"/>
        </w:rPr>
        <w:t xml:space="preserve"> An addition to an existing plumbing or fuel gas piping system or service where the total cost of the proposed Category 1 work in the building does not exceed $50,000 in any 12-month period and where the proposed work is limited to the following:</w:t>
      </w:r>
    </w:p>
    <w:p w14:paraId="0CADF969"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The addition of not more than five plumbing fixtures or fixture connections in a building within any 12-month period, including any associated plumbing necessary to serve such additional fixtures or fixture connections;</w:t>
      </w:r>
    </w:p>
    <w:p w14:paraId="0945F93B" w14:textId="77777777" w:rsidR="00140B7C" w:rsidRPr="00EC4EC4" w:rsidRDefault="00140B7C" w:rsidP="00140B7C">
      <w:pPr>
        <w:tabs>
          <w:tab w:val="left" w:pos="-1440"/>
        </w:tabs>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 xml:space="preserve">The installation of new fuel gas piping in conjunction with the addition of not more than five gas appliances or six unit heaters, limited to residential gas barbecue, Category 1 vented hot water heater, gas infrared heater, gas light, gas oil burner pilot, gas pool heater in conjunction with an R-3 occupancy group, one commercial gas </w:t>
      </w:r>
      <w:r w:rsidRPr="00EC4EC4">
        <w:rPr>
          <w:rFonts w:eastAsia="Times New Roman" w:cs="Times New Roman"/>
          <w:szCs w:val="24"/>
        </w:rPr>
        <w:lastRenderedPageBreak/>
        <w:t>appliance and gas unit heater, including any associated fuel gas piping necessary to serve such additional appliances;</w:t>
      </w:r>
    </w:p>
    <w:p w14:paraId="5C76F5DE"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The installation of up to five new sprinkler heads off of an existing domestic water system within any 12-month period;</w:t>
      </w:r>
    </w:p>
    <w:p w14:paraId="5AC330A5"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 xml:space="preserve">Installation of a new single domestic gas dryer that is vented directly through an exterior wall in buildings occupied exclusively as one- or two-family dwellings not more than three stories in height, as provided for in </w:t>
      </w:r>
      <w:r w:rsidRPr="00EC4EC4">
        <w:rPr>
          <w:rFonts w:eastAsia="Times New Roman" w:cs="Times New Roman"/>
          <w:szCs w:val="24"/>
          <w:u w:val="single"/>
        </w:rPr>
        <w:t>the</w:t>
      </w:r>
      <w:r w:rsidRPr="00EC4EC4">
        <w:rPr>
          <w:rFonts w:eastAsia="Times New Roman" w:cs="Times New Roman"/>
          <w:szCs w:val="24"/>
        </w:rPr>
        <w:t xml:space="preserve"> rules of the department.</w:t>
      </w:r>
    </w:p>
    <w:p w14:paraId="0D2E1278" w14:textId="77777777" w:rsidR="00140B7C" w:rsidRPr="00EC4EC4" w:rsidRDefault="00140B7C" w:rsidP="00140B7C">
      <w:pPr>
        <w:pStyle w:val="FlushLeftDouble"/>
        <w:rPr>
          <w:szCs w:val="24"/>
        </w:rPr>
      </w:pPr>
      <w:r w:rsidRPr="00EC4EC4">
        <w:rPr>
          <w:b/>
          <w:szCs w:val="24"/>
        </w:rPr>
        <w:t>Category 2.</w:t>
      </w:r>
      <w:r w:rsidRPr="00EC4EC4">
        <w:rPr>
          <w:szCs w:val="24"/>
        </w:rPr>
        <w:t xml:space="preserve">  The repair, replacement of or alteration to an existing plumbing or fuel gas piping system that is not subject to cost or duration limitations and that is limited to the following:</w:t>
      </w:r>
    </w:p>
    <w:p w14:paraId="3B8747FB" w14:textId="77777777" w:rsidR="00140B7C" w:rsidRPr="00EC4EC4" w:rsidRDefault="00140B7C" w:rsidP="00226293">
      <w:pPr>
        <w:numPr>
          <w:ilvl w:val="0"/>
          <w:numId w:val="18"/>
        </w:numPr>
        <w:kinsoku w:val="0"/>
        <w:spacing w:before="120" w:after="120" w:line="240" w:lineRule="auto"/>
        <w:ind w:left="1080"/>
        <w:jc w:val="both"/>
        <w:rPr>
          <w:rFonts w:eastAsia="Times New Roman" w:cs="Times New Roman"/>
          <w:szCs w:val="24"/>
        </w:rPr>
      </w:pPr>
      <w:r w:rsidRPr="00EC4EC4">
        <w:rPr>
          <w:rFonts w:eastAsia="Times New Roman" w:cs="Times New Roman"/>
          <w:szCs w:val="24"/>
        </w:rPr>
        <w:t>The repair, replacement of or alteration of existing plumbing or fuel gas piping to serve the same number of fixtures and appliances;</w:t>
      </w:r>
    </w:p>
    <w:p w14:paraId="4FE13F79" w14:textId="77777777" w:rsidR="00140B7C" w:rsidRPr="00EC4EC4" w:rsidRDefault="00140B7C" w:rsidP="00226293">
      <w:pPr>
        <w:numPr>
          <w:ilvl w:val="0"/>
          <w:numId w:val="18"/>
        </w:numPr>
        <w:kinsoku w:val="0"/>
        <w:spacing w:before="120" w:after="120" w:line="240" w:lineRule="auto"/>
        <w:ind w:left="1080"/>
        <w:jc w:val="both"/>
        <w:rPr>
          <w:rFonts w:eastAsia="Times New Roman" w:cs="Times New Roman"/>
          <w:szCs w:val="24"/>
        </w:rPr>
      </w:pPr>
      <w:r w:rsidRPr="00EC4EC4">
        <w:rPr>
          <w:rFonts w:eastAsia="Times New Roman" w:cs="Times New Roman"/>
          <w:szCs w:val="24"/>
        </w:rPr>
        <w:t>The in-kind replacement of plumbing fixtures and gas appliances that do not provide heat or hot water when not constituting a minor alteration or ordinary repair under this code. This shall not preclude plumbing work that is a minor alteration or ordinary repair from being filed as a limited alteration application;</w:t>
      </w:r>
    </w:p>
    <w:p w14:paraId="0F4CF640" w14:textId="77777777" w:rsidR="00140B7C" w:rsidRPr="00EC4EC4" w:rsidRDefault="00140B7C" w:rsidP="00226293">
      <w:pPr>
        <w:numPr>
          <w:ilvl w:val="0"/>
          <w:numId w:val="18"/>
        </w:numPr>
        <w:kinsoku w:val="0"/>
        <w:spacing w:before="120" w:after="120" w:line="240" w:lineRule="auto"/>
        <w:ind w:left="1080"/>
        <w:jc w:val="both"/>
        <w:rPr>
          <w:rFonts w:eastAsia="Times New Roman" w:cs="Times New Roman"/>
          <w:szCs w:val="24"/>
        </w:rPr>
      </w:pPr>
      <w:r w:rsidRPr="00EC4EC4">
        <w:rPr>
          <w:rFonts w:eastAsia="Times New Roman" w:cs="Times New Roman"/>
          <w:szCs w:val="24"/>
        </w:rPr>
        <w:t>The relocation and replacement of plumbing fixtures, other than the mere replacement of existing fixtures constituting a minor alteration or ordinary repair under this code. This shall not preclude the relocation and replacement of plumbing fixtures that is a minor alteration or ordinary repair from being filed as a limited alteration application;</w:t>
      </w:r>
    </w:p>
    <w:p w14:paraId="168FC14E" w14:textId="77777777" w:rsidR="00140B7C" w:rsidRPr="00EC4EC4" w:rsidRDefault="00140B7C" w:rsidP="00226293">
      <w:pPr>
        <w:numPr>
          <w:ilvl w:val="0"/>
          <w:numId w:val="18"/>
        </w:numPr>
        <w:kinsoku w:val="0"/>
        <w:spacing w:before="120" w:after="120" w:line="240" w:lineRule="auto"/>
        <w:ind w:left="1080"/>
        <w:jc w:val="both"/>
        <w:rPr>
          <w:rFonts w:eastAsia="Times New Roman" w:cs="Times New Roman"/>
          <w:szCs w:val="24"/>
        </w:rPr>
      </w:pPr>
      <w:r w:rsidRPr="00EC4EC4">
        <w:rPr>
          <w:rFonts w:eastAsia="Times New Roman" w:cs="Times New Roman"/>
          <w:szCs w:val="24"/>
        </w:rPr>
        <w:t>The installation or replacement of primary backflow preventers;</w:t>
      </w:r>
    </w:p>
    <w:p w14:paraId="23F78ED3" w14:textId="77777777" w:rsidR="00140B7C" w:rsidRPr="00EC4EC4" w:rsidRDefault="00140B7C" w:rsidP="00226293">
      <w:pPr>
        <w:numPr>
          <w:ilvl w:val="0"/>
          <w:numId w:val="18"/>
        </w:numPr>
        <w:kinsoku w:val="0"/>
        <w:spacing w:before="120" w:after="120" w:line="240" w:lineRule="auto"/>
        <w:ind w:left="1080"/>
        <w:jc w:val="both"/>
        <w:rPr>
          <w:rFonts w:eastAsia="Times New Roman" w:cs="Times New Roman"/>
          <w:szCs w:val="24"/>
        </w:rPr>
      </w:pPr>
      <w:r w:rsidRPr="00EC4EC4">
        <w:rPr>
          <w:rFonts w:eastAsia="Times New Roman" w:cs="Times New Roman"/>
          <w:szCs w:val="24"/>
        </w:rPr>
        <w:t xml:space="preserve"> In-kind replacement of gas-fired appliances with a combined heat input of 3 million Btu/h (879kW) or less;</w:t>
      </w:r>
    </w:p>
    <w:p w14:paraId="6B2F050C" w14:textId="77777777" w:rsidR="00140B7C" w:rsidRPr="00EC4EC4" w:rsidRDefault="00140B7C" w:rsidP="00226293">
      <w:pPr>
        <w:numPr>
          <w:ilvl w:val="0"/>
          <w:numId w:val="18"/>
        </w:numPr>
        <w:kinsoku w:val="0"/>
        <w:spacing w:before="120" w:after="120" w:line="240" w:lineRule="auto"/>
        <w:ind w:left="1080"/>
        <w:jc w:val="both"/>
        <w:rPr>
          <w:rFonts w:eastAsia="Times New Roman" w:cs="Times New Roman"/>
          <w:szCs w:val="24"/>
        </w:rPr>
      </w:pPr>
      <w:r w:rsidRPr="00EC4EC4">
        <w:rPr>
          <w:rFonts w:eastAsia="Times New Roman" w:cs="Times New Roman"/>
          <w:szCs w:val="24"/>
        </w:rPr>
        <w:t>Replacement of gas burners with heat input of 3 million Btu/h (879 kW) or less;</w:t>
      </w:r>
    </w:p>
    <w:p w14:paraId="05E199BF" w14:textId="77777777" w:rsidR="00140B7C" w:rsidRPr="00EC4EC4" w:rsidRDefault="00140B7C" w:rsidP="00226293">
      <w:pPr>
        <w:numPr>
          <w:ilvl w:val="0"/>
          <w:numId w:val="18"/>
        </w:numPr>
        <w:kinsoku w:val="0"/>
        <w:spacing w:before="120" w:after="120" w:line="240" w:lineRule="auto"/>
        <w:ind w:left="1080"/>
        <w:jc w:val="both"/>
        <w:rPr>
          <w:rFonts w:eastAsia="Times New Roman" w:cs="Times New Roman"/>
          <w:szCs w:val="24"/>
        </w:rPr>
      </w:pPr>
      <w:r w:rsidRPr="00EC4EC4">
        <w:rPr>
          <w:rFonts w:eastAsia="Times New Roman" w:cs="Times New Roman"/>
          <w:szCs w:val="24"/>
        </w:rPr>
        <w:t>Relocation of a gas burner/boiler within the same, unaltered fire-rated enclosure or room</w:t>
      </w:r>
      <w:r w:rsidRPr="00EC4EC4">
        <w:rPr>
          <w:rFonts w:eastAsia="Times New Roman" w:cs="Times New Roman"/>
          <w:spacing w:val="1"/>
          <w:szCs w:val="24"/>
        </w:rPr>
        <w:t>, with the exception of through-penetrations that are firestopped</w:t>
      </w:r>
      <w:r w:rsidRPr="00EC4EC4">
        <w:rPr>
          <w:rFonts w:eastAsia="Times New Roman" w:cs="Times New Roman"/>
          <w:szCs w:val="24"/>
        </w:rPr>
        <w:t>;</w:t>
      </w:r>
    </w:p>
    <w:p w14:paraId="3AD3D595"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8.</w:t>
      </w:r>
      <w:r w:rsidRPr="00EC4EC4">
        <w:rPr>
          <w:rFonts w:eastAsia="Times New Roman" w:cs="Times New Roman"/>
          <w:szCs w:val="24"/>
        </w:rPr>
        <w:tab/>
        <w:t>In-kind replacement with the following direct-vent appliances with heat input of 350,000 Btu/h (103 kW) or less that are vented directly through exterior walls serving buildings occupied exclusively as one- or two-family dwellings not more than four stories in height:</w:t>
      </w:r>
    </w:p>
    <w:p w14:paraId="6BB57A83" w14:textId="77777777" w:rsidR="00140B7C" w:rsidRPr="00EC4EC4" w:rsidRDefault="00140B7C" w:rsidP="00140B7C">
      <w:pPr>
        <w:kinsoku w:val="0"/>
        <w:spacing w:before="120" w:after="120" w:line="240" w:lineRule="auto"/>
        <w:ind w:left="1620" w:hanging="540"/>
        <w:jc w:val="both"/>
        <w:rPr>
          <w:rFonts w:eastAsia="Times New Roman" w:cs="Times New Roman"/>
          <w:szCs w:val="24"/>
        </w:rPr>
      </w:pPr>
      <w:r w:rsidRPr="00EC4EC4">
        <w:rPr>
          <w:rFonts w:eastAsia="Times New Roman" w:cs="Times New Roman"/>
          <w:szCs w:val="24"/>
        </w:rPr>
        <w:t>8.1.</w:t>
      </w:r>
      <w:r w:rsidRPr="00EC4EC4">
        <w:rPr>
          <w:rFonts w:eastAsia="Times New Roman" w:cs="Times New Roman"/>
          <w:szCs w:val="24"/>
        </w:rPr>
        <w:tab/>
        <w:t xml:space="preserve">gas-fired boilers, </w:t>
      </w:r>
    </w:p>
    <w:p w14:paraId="2C29D513" w14:textId="77777777" w:rsidR="00140B7C" w:rsidRPr="00EC4EC4" w:rsidRDefault="00140B7C" w:rsidP="00140B7C">
      <w:pPr>
        <w:kinsoku w:val="0"/>
        <w:spacing w:before="120" w:after="120" w:line="240" w:lineRule="auto"/>
        <w:ind w:left="1620" w:hanging="540"/>
        <w:jc w:val="both"/>
        <w:rPr>
          <w:rFonts w:eastAsia="Times New Roman" w:cs="Times New Roman"/>
          <w:szCs w:val="24"/>
        </w:rPr>
      </w:pPr>
      <w:r w:rsidRPr="00EC4EC4">
        <w:rPr>
          <w:rFonts w:eastAsia="Times New Roman" w:cs="Times New Roman"/>
          <w:szCs w:val="24"/>
        </w:rPr>
        <w:t>8.2.</w:t>
      </w:r>
      <w:r w:rsidRPr="00EC4EC4">
        <w:rPr>
          <w:rFonts w:eastAsia="Times New Roman" w:cs="Times New Roman"/>
          <w:szCs w:val="24"/>
        </w:rPr>
        <w:tab/>
        <w:t xml:space="preserve">hot water heaters and </w:t>
      </w:r>
    </w:p>
    <w:p w14:paraId="5BDFF984" w14:textId="77777777" w:rsidR="00140B7C" w:rsidRPr="00EC4EC4" w:rsidRDefault="00140B7C" w:rsidP="00140B7C">
      <w:pPr>
        <w:kinsoku w:val="0"/>
        <w:spacing w:before="120" w:after="120" w:line="240" w:lineRule="auto"/>
        <w:ind w:left="1620" w:hanging="540"/>
        <w:jc w:val="both"/>
        <w:rPr>
          <w:rFonts w:eastAsia="Times New Roman" w:cs="Times New Roman"/>
          <w:szCs w:val="24"/>
        </w:rPr>
      </w:pPr>
      <w:r w:rsidRPr="00EC4EC4">
        <w:rPr>
          <w:rFonts w:eastAsia="Times New Roman" w:cs="Times New Roman"/>
          <w:szCs w:val="24"/>
        </w:rPr>
        <w:t>8.3.</w:t>
      </w:r>
      <w:r w:rsidRPr="00EC4EC4">
        <w:rPr>
          <w:rFonts w:eastAsia="Times New Roman" w:cs="Times New Roman"/>
          <w:szCs w:val="24"/>
        </w:rPr>
        <w:tab/>
        <w:t>furnaces;</w:t>
      </w:r>
    </w:p>
    <w:p w14:paraId="3A741EF6"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9.</w:t>
      </w:r>
      <w:r w:rsidRPr="00EC4EC4">
        <w:rPr>
          <w:rFonts w:eastAsia="Times New Roman" w:cs="Times New Roman"/>
          <w:szCs w:val="24"/>
        </w:rPr>
        <w:tab/>
        <w:t>In-kind direct replacement of gas-fired boilers, hot water heaters and furnaces with heat input of 350,000 Btu/h (103 kW) or less; that are vented directly through exterior walls;</w:t>
      </w:r>
    </w:p>
    <w:p w14:paraId="13D48D53"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10.</w:t>
      </w:r>
      <w:r w:rsidRPr="00EC4EC4">
        <w:rPr>
          <w:rFonts w:eastAsia="Times New Roman" w:cs="Times New Roman"/>
          <w:szCs w:val="24"/>
        </w:rPr>
        <w:tab/>
        <w:t>Placement of a registered [</w:t>
      </w:r>
      <w:r w:rsidRPr="00EC4EC4">
        <w:rPr>
          <w:rFonts w:eastAsia="Times New Roman" w:cs="Times New Roman"/>
          <w:strike/>
          <w:szCs w:val="24"/>
        </w:rPr>
        <w:t>gas fired</w:t>
      </w:r>
      <w:r w:rsidRPr="00EC4EC4">
        <w:rPr>
          <w:rFonts w:eastAsia="Times New Roman" w:cs="Times New Roman"/>
          <w:szCs w:val="24"/>
        </w:rPr>
        <w:t>]</w:t>
      </w:r>
      <w:r w:rsidRPr="00EC4EC4">
        <w:rPr>
          <w:rFonts w:eastAsia="Times New Roman" w:cs="Times New Roman"/>
          <w:szCs w:val="24"/>
          <w:u w:val="single"/>
        </w:rPr>
        <w:t>gas-fired</w:t>
      </w:r>
      <w:r w:rsidRPr="00EC4EC4">
        <w:rPr>
          <w:rFonts w:eastAsia="Times New Roman" w:cs="Times New Roman"/>
          <w:szCs w:val="24"/>
        </w:rPr>
        <w:t xml:space="preserve"> temporary boiler with associated gas piping at a site for emergency heating and/or hot water;  </w:t>
      </w:r>
    </w:p>
    <w:p w14:paraId="5C3E6757"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11.</w:t>
      </w:r>
      <w:r w:rsidRPr="00EC4EC4">
        <w:rPr>
          <w:rFonts w:eastAsia="Times New Roman" w:cs="Times New Roman"/>
          <w:szCs w:val="24"/>
        </w:rPr>
        <w:tab/>
        <w:t>Replacement of up to thirty existing sprinkler heads providing that orifice sizes, type and deflector positions remain the same, and all such sprinkler heads are off of a domestic water system;</w:t>
      </w:r>
    </w:p>
    <w:p w14:paraId="610F6BAA"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lastRenderedPageBreak/>
        <w:t>12.</w:t>
      </w:r>
      <w:r w:rsidRPr="00EC4EC4">
        <w:rPr>
          <w:rFonts w:eastAsia="Times New Roman" w:cs="Times New Roman"/>
          <w:szCs w:val="24"/>
        </w:rPr>
        <w:tab/>
        <w:t>Rearrangement of not more than 20 sprinkler heads in areas classified in light hazard occupancy, as such term is defined in NFPA 13 as amended by appendix Q of the New York city building code, provided such areas are already sprinklered and such areas will remain in such occupancy, and provided further that all such sprinkler heads were legally installed off of a domestic water system;</w:t>
      </w:r>
    </w:p>
    <w:p w14:paraId="27A24AA7"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13.</w:t>
      </w:r>
      <w:r w:rsidRPr="00EC4EC4">
        <w:rPr>
          <w:rFonts w:eastAsia="Times New Roman" w:cs="Times New Roman"/>
          <w:szCs w:val="24"/>
        </w:rPr>
        <w:tab/>
        <w:t xml:space="preserve">Rearrangement of not more than 20 sprinkler heads in restaurant service areas classified in Group 1 ordinary hazard occupancy, as such term is defined by NFPA 13 as amended by appendix Q of the New York city building code, provided such areas are already sprinklered and such areas will remain in such occupancy, and provided further that all such sprinkler heads were legally installed off of a domestic water system; and </w:t>
      </w:r>
    </w:p>
    <w:p w14:paraId="18169FBE"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14.</w:t>
      </w:r>
      <w:r w:rsidRPr="00EC4EC4">
        <w:rPr>
          <w:rFonts w:eastAsia="Times New Roman" w:cs="Times New Roman"/>
          <w:szCs w:val="24"/>
        </w:rPr>
        <w:tab/>
        <w:t>Rearrangement of not more than 20 sprinkler heads in mercantile areas classified in Group 2 ordinary hazard occupancy, as such term is defined by NFPA 13 as amended by appendix Q of the New York city building code, provided such areas are already sprinklered and such areas will remain in such occupancy, and provided further that all such sprinkler heads were legally installed off of a domestic water system.</w:t>
      </w:r>
    </w:p>
    <w:p w14:paraId="36FB02E8" w14:textId="77777777" w:rsidR="00140B7C" w:rsidRPr="00EC4EC4" w:rsidRDefault="00140B7C" w:rsidP="00140B7C">
      <w:pPr>
        <w:pStyle w:val="FlushLeft"/>
        <w:rPr>
          <w:spacing w:val="3"/>
          <w:szCs w:val="24"/>
        </w:rPr>
      </w:pPr>
      <w:r w:rsidRPr="00EC4EC4">
        <w:rPr>
          <w:b/>
          <w:szCs w:val="24"/>
        </w:rPr>
        <w:t>MANUFACTURER’S DESIGNATION.</w:t>
      </w:r>
      <w:r w:rsidRPr="00EC4EC4">
        <w:rPr>
          <w:b/>
          <w:bCs/>
          <w:spacing w:val="1"/>
          <w:w w:val="105"/>
          <w:szCs w:val="24"/>
        </w:rPr>
        <w:t xml:space="preserve"> </w:t>
      </w:r>
      <w:r w:rsidRPr="00EC4EC4">
        <w:rPr>
          <w:spacing w:val="1"/>
          <w:szCs w:val="24"/>
        </w:rPr>
        <w:t>Identification applied to material by the manufacturer indicating that the material complies with a specified standard or set of rules (see “[</w:t>
      </w:r>
      <w:r w:rsidRPr="00EC4EC4">
        <w:rPr>
          <w:strike/>
          <w:spacing w:val="1"/>
          <w:szCs w:val="24"/>
        </w:rPr>
        <w:t>label</w:t>
      </w:r>
      <w:r w:rsidRPr="00EC4EC4">
        <w:rPr>
          <w:spacing w:val="1"/>
          <w:szCs w:val="24"/>
        </w:rPr>
        <w:t>]</w:t>
      </w:r>
      <w:r w:rsidRPr="00EC4EC4">
        <w:rPr>
          <w:spacing w:val="1"/>
          <w:szCs w:val="24"/>
          <w:u w:val="single"/>
        </w:rPr>
        <w:t>Label</w:t>
      </w:r>
      <w:r w:rsidRPr="00EC4EC4">
        <w:rPr>
          <w:spacing w:val="1"/>
          <w:szCs w:val="24"/>
        </w:rPr>
        <w:t>” and “[</w:t>
      </w:r>
      <w:r w:rsidRPr="00EC4EC4">
        <w:rPr>
          <w:strike/>
          <w:spacing w:val="1"/>
          <w:szCs w:val="24"/>
        </w:rPr>
        <w:t>mark</w:t>
      </w:r>
      <w:r w:rsidRPr="00EC4EC4">
        <w:rPr>
          <w:spacing w:val="1"/>
          <w:szCs w:val="24"/>
        </w:rPr>
        <w:t>]</w:t>
      </w:r>
      <w:r w:rsidRPr="00EC4EC4">
        <w:rPr>
          <w:spacing w:val="1"/>
          <w:szCs w:val="24"/>
          <w:u w:val="single"/>
        </w:rPr>
        <w:t>Mark</w:t>
      </w:r>
      <w:r w:rsidRPr="00EC4EC4">
        <w:rPr>
          <w:spacing w:val="1"/>
          <w:szCs w:val="24"/>
        </w:rPr>
        <w:t>”).</w:t>
      </w:r>
    </w:p>
    <w:p w14:paraId="56AB51AD" w14:textId="77777777" w:rsidR="00140B7C" w:rsidRPr="00EC4EC4" w:rsidRDefault="00140B7C" w:rsidP="00140B7C">
      <w:pPr>
        <w:kinsoku w:val="0"/>
        <w:spacing w:after="240" w:line="240" w:lineRule="auto"/>
        <w:ind w:firstLine="720"/>
        <w:jc w:val="both"/>
        <w:rPr>
          <w:rFonts w:eastAsia="Times New Roman" w:cs="Times New Roman"/>
          <w:b/>
          <w:bCs/>
          <w:szCs w:val="24"/>
        </w:rPr>
      </w:pPr>
      <w:bookmarkStart w:id="2" w:name="_Hlk83738483"/>
      <w:r w:rsidRPr="00EC4EC4">
        <w:rPr>
          <w:rFonts w:cs="Times New Roman"/>
          <w:sz w:val="23"/>
          <w:szCs w:val="23"/>
        </w:rPr>
        <w:t>§</w:t>
      </w:r>
      <w:r>
        <w:rPr>
          <w:rFonts w:cs="Times New Roman"/>
          <w:sz w:val="23"/>
          <w:szCs w:val="23"/>
        </w:rPr>
        <w:t>3</w:t>
      </w:r>
      <w:r w:rsidRPr="00EC4EC4">
        <w:rPr>
          <w:rFonts w:cs="Times New Roman"/>
          <w:sz w:val="23"/>
          <w:szCs w:val="23"/>
        </w:rPr>
        <w:t>. Section 28-104.6 of the administrative code of the city of New York, as amended by local law number 126 for the year 2021, is amended to read as follows:</w:t>
      </w:r>
    </w:p>
    <w:p w14:paraId="05693A0F" w14:textId="77777777" w:rsidR="00140B7C" w:rsidRPr="00EC4EC4" w:rsidRDefault="00140B7C" w:rsidP="00140B7C">
      <w:pPr>
        <w:pStyle w:val="FlushLeft"/>
        <w:rPr>
          <w:spacing w:val="3"/>
          <w:szCs w:val="24"/>
        </w:rPr>
      </w:pPr>
      <w:r w:rsidRPr="00EC4EC4">
        <w:rPr>
          <w:b/>
          <w:szCs w:val="24"/>
        </w:rPr>
        <w:t>§28-104.6 Applicant.</w:t>
      </w:r>
      <w:r w:rsidRPr="00EC4EC4">
        <w:rPr>
          <w:b/>
          <w:bCs/>
          <w:spacing w:val="-2"/>
          <w:w w:val="110"/>
          <w:szCs w:val="24"/>
        </w:rPr>
        <w:t xml:space="preserve"> </w:t>
      </w:r>
      <w:bookmarkEnd w:id="2"/>
      <w:r w:rsidRPr="00EC4EC4">
        <w:rPr>
          <w:spacing w:val="1"/>
          <w:szCs w:val="24"/>
        </w:rPr>
        <w:t>The applicant for approval of construction documents shall be the registered design professional who prepared or supervised the preparation of the construction documents on behalf of the owner.</w:t>
      </w:r>
    </w:p>
    <w:p w14:paraId="30E50D9E" w14:textId="77777777" w:rsidR="00140B7C" w:rsidRPr="00EC4EC4" w:rsidRDefault="00140B7C" w:rsidP="00140B7C">
      <w:pPr>
        <w:kinsoku w:val="0"/>
        <w:spacing w:before="120" w:after="120" w:line="240" w:lineRule="auto"/>
        <w:ind w:left="360"/>
        <w:jc w:val="both"/>
        <w:rPr>
          <w:rFonts w:eastAsia="Times New Roman" w:cs="Times New Roman"/>
          <w:spacing w:val="4"/>
          <w:szCs w:val="24"/>
        </w:rPr>
      </w:pPr>
      <w:r w:rsidRPr="00EC4EC4">
        <w:rPr>
          <w:rFonts w:eastAsia="Times New Roman" w:cs="Times New Roman"/>
          <w:b/>
          <w:szCs w:val="24"/>
        </w:rPr>
        <w:t>Exception:</w:t>
      </w:r>
      <w:r w:rsidRPr="00EC4EC4">
        <w:rPr>
          <w:rFonts w:eastAsia="Times New Roman" w:cs="Times New Roman"/>
          <w:b/>
          <w:bCs/>
          <w:spacing w:val="4"/>
          <w:w w:val="110"/>
          <w:szCs w:val="24"/>
        </w:rPr>
        <w:t xml:space="preserve"> </w:t>
      </w:r>
      <w:r w:rsidRPr="00EC4EC4">
        <w:rPr>
          <w:rFonts w:eastAsia="Times New Roman" w:cs="Times New Roman"/>
          <w:spacing w:val="1"/>
          <w:szCs w:val="24"/>
        </w:rPr>
        <w:t>The applicant may be other than a registered design professional for:</w:t>
      </w:r>
    </w:p>
    <w:p w14:paraId="5E483AC4"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r>
      <w:r w:rsidRPr="00B04394">
        <w:rPr>
          <w:rFonts w:eastAsia="Times New Roman" w:cs="Times New Roman"/>
          <w:szCs w:val="24"/>
        </w:rPr>
        <w:t>Limited oil-burning appliance alterations, limited plumbing alterations, limited sprinkler alterations, and limited standpipe alterations (limited [</w:t>
      </w:r>
      <w:r w:rsidRPr="00B04394">
        <w:rPr>
          <w:rFonts w:eastAsia="Times New Roman" w:cs="Times New Roman"/>
          <w:strike/>
          <w:szCs w:val="24"/>
        </w:rPr>
        <w:t>alteration application)]</w:t>
      </w:r>
      <w:r w:rsidRPr="00B04394">
        <w:rPr>
          <w:rFonts w:eastAsia="Times New Roman" w:cs="Times New Roman"/>
          <w:szCs w:val="24"/>
        </w:rPr>
        <w:t>] alteration applications</w:t>
      </w:r>
      <w:r w:rsidRPr="00B04394">
        <w:rPr>
          <w:rFonts w:eastAsia="Times New Roman" w:cs="Times New Roman"/>
          <w:szCs w:val="24"/>
          <w:u w:val="single"/>
        </w:rPr>
        <w:t>)</w:t>
      </w:r>
      <w:r w:rsidRPr="00B04394">
        <w:rPr>
          <w:rFonts w:eastAsia="Times New Roman" w:cs="Times New Roman"/>
          <w:szCs w:val="24"/>
        </w:rPr>
        <w:t>, where the applicant is licensed to perform such work pursuant to this code;</w:t>
      </w:r>
    </w:p>
    <w:p w14:paraId="14035F47"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Demolition applications other than those specified in section 3306.5 of the New York city building code, where the applicant is the demolition contractor performing such demolition. In such cases, the commissioner may require structural plans designed by a registered design professional to address any critical structural, sequencing or site safety items;</w:t>
      </w:r>
    </w:p>
    <w:p w14:paraId="606AD3C0"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Elevator applications;</w:t>
      </w:r>
    </w:p>
    <w:p w14:paraId="7D4A45FC"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Applications for work falling within the practice of landscape architecture as defined by the New York state education law, including but not limited to landscaping and vegetation plans, tree protection plans, erosion and sedimentation plans, grading and drainage plans, curb cuts, pavement plans, and site plans for urban plazas and parking lots, where the applicant is a landscape architect. Landscape architects shall not file plans for stormwater management and plumbing systems;</w:t>
      </w:r>
    </w:p>
    <w:p w14:paraId="256BE190" w14:textId="77777777" w:rsidR="00140B7C" w:rsidRPr="00EC4EC4" w:rsidRDefault="00140B7C" w:rsidP="00140B7C">
      <w:pPr>
        <w:tabs>
          <w:tab w:val="num" w:pos="1080"/>
        </w:tabs>
        <w:kinsoku w:val="0"/>
        <w:spacing w:after="0" w:line="240" w:lineRule="auto"/>
        <w:ind w:left="1080" w:hanging="360"/>
        <w:jc w:val="both"/>
        <w:rPr>
          <w:rFonts w:eastAsia="Times New Roman" w:cs="Times New Roman"/>
          <w:spacing w:val="1"/>
          <w:szCs w:val="24"/>
        </w:rPr>
      </w:pPr>
      <w:r w:rsidRPr="00EC4EC4">
        <w:rPr>
          <w:rFonts w:eastAsia="Times New Roman" w:cs="Times New Roman"/>
          <w:szCs w:val="24"/>
        </w:rPr>
        <w:lastRenderedPageBreak/>
        <w:t>5.</w:t>
      </w:r>
      <w:r w:rsidRPr="00EC4EC4">
        <w:rPr>
          <w:rFonts w:eastAsia="Times New Roman" w:cs="Times New Roman"/>
          <w:szCs w:val="24"/>
        </w:rPr>
        <w:tab/>
        <w:t xml:space="preserve"> Other categories of work consistent with rules promulgated by the commissioner.</w:t>
      </w:r>
    </w:p>
    <w:p w14:paraId="36B92575" w14:textId="77777777" w:rsidR="00140B7C" w:rsidRPr="00EC4EC4" w:rsidRDefault="00140B7C" w:rsidP="00140B7C">
      <w:pPr>
        <w:kinsoku w:val="0"/>
        <w:spacing w:after="0" w:line="240" w:lineRule="auto"/>
        <w:ind w:firstLine="360"/>
        <w:jc w:val="both"/>
        <w:rPr>
          <w:rFonts w:cs="Times New Roman"/>
          <w:sz w:val="23"/>
          <w:szCs w:val="23"/>
        </w:rPr>
      </w:pPr>
    </w:p>
    <w:p w14:paraId="77DED2AA" w14:textId="77777777" w:rsidR="00140B7C" w:rsidRPr="00EC4EC4" w:rsidRDefault="00140B7C" w:rsidP="00140B7C">
      <w:pPr>
        <w:kinsoku w:val="0"/>
        <w:spacing w:after="0" w:line="240" w:lineRule="auto"/>
        <w:ind w:firstLine="360"/>
        <w:jc w:val="both"/>
        <w:rPr>
          <w:rFonts w:eastAsia="Times New Roman" w:cs="Times New Roman"/>
          <w:b/>
          <w:bCs/>
          <w:szCs w:val="24"/>
        </w:rPr>
      </w:pPr>
      <w:bookmarkStart w:id="3" w:name="_Hlk118708201"/>
      <w:r w:rsidRPr="002365D9">
        <w:rPr>
          <w:rFonts w:cs="Times New Roman"/>
          <w:sz w:val="23"/>
          <w:szCs w:val="23"/>
        </w:rPr>
        <w:t>§</w:t>
      </w:r>
      <w:r>
        <w:rPr>
          <w:rFonts w:cs="Times New Roman"/>
          <w:sz w:val="23"/>
          <w:szCs w:val="23"/>
        </w:rPr>
        <w:t>4</w:t>
      </w:r>
      <w:r w:rsidRPr="002365D9">
        <w:rPr>
          <w:rFonts w:cs="Times New Roman"/>
          <w:sz w:val="23"/>
          <w:szCs w:val="23"/>
        </w:rPr>
        <w:t>. Section 28-104.7.6 of the administrative code of the city of New York, as amended by local law number 126 for the year 2021, is amended to read as follows:</w:t>
      </w:r>
    </w:p>
    <w:p w14:paraId="3A44C9CE" w14:textId="77777777" w:rsidR="00140B7C" w:rsidRPr="00EC4EC4" w:rsidRDefault="00140B7C" w:rsidP="00140B7C">
      <w:pPr>
        <w:kinsoku w:val="0"/>
        <w:spacing w:before="120" w:after="120" w:line="240" w:lineRule="auto"/>
        <w:jc w:val="both"/>
        <w:rPr>
          <w:rFonts w:eastAsia="Times New Roman" w:cs="Times New Roman"/>
          <w:spacing w:val="1"/>
          <w:szCs w:val="24"/>
        </w:rPr>
      </w:pPr>
      <w:r w:rsidRPr="00EC4EC4">
        <w:rPr>
          <w:rFonts w:eastAsia="Times New Roman" w:cs="Times New Roman"/>
          <w:b/>
          <w:szCs w:val="24"/>
        </w:rPr>
        <w:t>§28-104.7.6 City datum.</w:t>
      </w:r>
      <w:r w:rsidRPr="00EC4EC4">
        <w:rPr>
          <w:rFonts w:eastAsia="Times New Roman" w:cs="Times New Roman"/>
          <w:b/>
          <w:bCs/>
          <w:spacing w:val="-4"/>
          <w:w w:val="110"/>
          <w:szCs w:val="24"/>
        </w:rPr>
        <w:t xml:space="preserve"> </w:t>
      </w:r>
      <w:r w:rsidRPr="00EC4EC4">
        <w:rPr>
          <w:rFonts w:eastAsia="Times New Roman" w:cs="Times New Roman"/>
          <w:spacing w:val="1"/>
          <w:szCs w:val="24"/>
        </w:rPr>
        <w:t>All elevations noted in the construction documents shall be referred to and clearly identified as the North American vertical datum of 1988 (NAVD) as established and maintained by National Geodetic Survey of the National Ocean Service, National Oceanic and Atmospheric Administration or successor agency, which is hereby established as the city datum. Neither the United States coast and geodetic survey mean sea level datum of 1929</w:t>
      </w:r>
      <w:r w:rsidRPr="00EC4EC4">
        <w:rPr>
          <w:rFonts w:eastAsia="Times New Roman" w:cs="Times New Roman"/>
          <w:spacing w:val="1"/>
          <w:szCs w:val="24"/>
          <w:u w:val="single"/>
        </w:rPr>
        <w:t>,</w:t>
      </w:r>
      <w:r w:rsidRPr="00EC4EC4">
        <w:rPr>
          <w:rFonts w:eastAsia="Times New Roman" w:cs="Times New Roman"/>
          <w:spacing w:val="1"/>
          <w:szCs w:val="24"/>
        </w:rPr>
        <w:t xml:space="preserve"> [</w:t>
      </w:r>
      <w:r w:rsidRPr="00EC4EC4">
        <w:rPr>
          <w:rFonts w:eastAsia="Times New Roman" w:cs="Times New Roman"/>
          <w:strike/>
          <w:spacing w:val="1"/>
          <w:szCs w:val="24"/>
        </w:rPr>
        <w:t>(</w:t>
      </w:r>
      <w:r w:rsidRPr="00EC4EC4">
        <w:rPr>
          <w:rFonts w:eastAsia="Times New Roman" w:cs="Times New Roman"/>
          <w:spacing w:val="1"/>
          <w:szCs w:val="24"/>
        </w:rPr>
        <w:t>]national geodetic vertical datum[</w:t>
      </w:r>
      <w:r w:rsidRPr="00EC4EC4">
        <w:rPr>
          <w:rFonts w:eastAsia="Times New Roman" w:cs="Times New Roman"/>
          <w:strike/>
          <w:spacing w:val="1"/>
          <w:szCs w:val="24"/>
        </w:rPr>
        <w:t>,</w:t>
      </w:r>
      <w:r w:rsidRPr="00EC4EC4">
        <w:rPr>
          <w:rFonts w:eastAsia="Times New Roman" w:cs="Times New Roman"/>
          <w:spacing w:val="1"/>
          <w:szCs w:val="24"/>
        </w:rPr>
        <w:t>] (NGVD) nor any of the five borough data as established by the former Board of Estimate and Apportionment shall be referred to in construction documents except as may be required for the purpose of demonstrating conversion to the NAVD. Conversions to NAVD shall be performed by registered design professionals or surveyors. Conversion to and from borough data, NGVD and NAVD shall be performed using tables 104.7.6.1 through 104.7.6.5.</w:t>
      </w:r>
    </w:p>
    <w:bookmarkEnd w:id="3"/>
    <w:p w14:paraId="7BFEBC06"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5</w:t>
      </w:r>
      <w:r w:rsidRPr="00EC4EC4">
        <w:rPr>
          <w:rFonts w:cs="Times New Roman"/>
          <w:sz w:val="23"/>
          <w:szCs w:val="23"/>
        </w:rPr>
        <w:t>. Section 28-104.7.18.1 of the administrative code of the city of New York, as added by local law number 126 for the year 2021, is amended to read as follows:</w:t>
      </w:r>
    </w:p>
    <w:p w14:paraId="76802A5D" w14:textId="77777777" w:rsidR="00140B7C" w:rsidRPr="00EC4EC4" w:rsidRDefault="00140B7C" w:rsidP="00140B7C">
      <w:pPr>
        <w:spacing w:before="120" w:after="120" w:line="240" w:lineRule="auto"/>
        <w:jc w:val="both"/>
        <w:rPr>
          <w:rFonts w:eastAsia="Calibri" w:cs="Times New Roman"/>
          <w:szCs w:val="24"/>
        </w:rPr>
      </w:pPr>
      <w:r w:rsidRPr="00EC4EC4">
        <w:rPr>
          <w:rFonts w:eastAsia="Calibri" w:cs="Times New Roman"/>
          <w:b/>
          <w:bCs/>
          <w:szCs w:val="24"/>
        </w:rPr>
        <w:t>§</w:t>
      </w:r>
      <w:r w:rsidRPr="00EC4EC4">
        <w:rPr>
          <w:rFonts w:eastAsia="Calibri" w:cs="Times New Roman"/>
          <w:b/>
          <w:szCs w:val="24"/>
        </w:rPr>
        <w:t>28-104.7.18.1 Obligations of owners of other tax lot.</w:t>
      </w:r>
      <w:r w:rsidRPr="00EC4EC4">
        <w:rPr>
          <w:rFonts w:eastAsia="Calibri" w:cs="Times New Roman"/>
          <w:szCs w:val="24"/>
        </w:rPr>
        <w:t xml:space="preserve"> Within one year from the approval of construction documents for a new building or enlargement on a zoning lot consisting of multiple tax lots, the owners of all tax lots on the zoning lot shall comply with sections 28-118.3.2.1, 28-118.3.3 and 28-118.3.5.1 as applicable.</w:t>
      </w:r>
    </w:p>
    <w:p w14:paraId="2DE6191D" w14:textId="77777777" w:rsidR="00140B7C" w:rsidRPr="00EC4EC4" w:rsidRDefault="00140B7C" w:rsidP="00140B7C">
      <w:pPr>
        <w:spacing w:before="120" w:after="120" w:line="240" w:lineRule="auto"/>
        <w:ind w:left="1080"/>
        <w:jc w:val="both"/>
        <w:rPr>
          <w:rFonts w:eastAsia="Calibri" w:cs="Times New Roman"/>
          <w:szCs w:val="24"/>
        </w:rPr>
      </w:pPr>
      <w:r w:rsidRPr="00EC4EC4">
        <w:rPr>
          <w:rFonts w:eastAsia="Calibri" w:cs="Times New Roman"/>
          <w:b/>
          <w:bCs/>
          <w:szCs w:val="24"/>
        </w:rPr>
        <w:t>Exception[</w:t>
      </w:r>
      <w:r w:rsidRPr="00EC4EC4">
        <w:rPr>
          <w:rFonts w:eastAsia="Calibri" w:cs="Times New Roman"/>
          <w:b/>
          <w:bCs/>
          <w:strike/>
          <w:szCs w:val="24"/>
        </w:rPr>
        <w:t>.</w:t>
      </w:r>
      <w:r w:rsidRPr="00EC4EC4">
        <w:rPr>
          <w:rFonts w:eastAsia="Calibri" w:cs="Times New Roman"/>
          <w:b/>
          <w:bCs/>
          <w:szCs w:val="24"/>
        </w:rPr>
        <w:t>]</w:t>
      </w:r>
      <w:r w:rsidRPr="00EC4EC4">
        <w:rPr>
          <w:rFonts w:eastAsia="Calibri" w:cs="Times New Roman"/>
          <w:b/>
          <w:bCs/>
          <w:szCs w:val="24"/>
          <w:u w:val="single"/>
        </w:rPr>
        <w:t>:</w:t>
      </w:r>
      <w:r w:rsidRPr="00EC4EC4">
        <w:rPr>
          <w:rFonts w:eastAsia="Calibri" w:cs="Times New Roman"/>
          <w:szCs w:val="24"/>
        </w:rPr>
        <w:t xml:space="preserve"> For the purpose of this section, condominium tax lots and air parcel tax lots shall not be deemed to be multiple tax lots.</w:t>
      </w:r>
    </w:p>
    <w:p w14:paraId="6F5E3397" w14:textId="4081005E"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6</w:t>
      </w:r>
      <w:r w:rsidRPr="00EC4EC4">
        <w:rPr>
          <w:rFonts w:cs="Times New Roman"/>
          <w:sz w:val="23"/>
          <w:szCs w:val="23"/>
        </w:rPr>
        <w:t>. Section 28-104.9.1 of the administrative code of the city of New York, as amended by local law number 126 for the year 2021,</w:t>
      </w:r>
      <w:r>
        <w:rPr>
          <w:rFonts w:cs="Times New Roman"/>
          <w:sz w:val="23"/>
          <w:szCs w:val="23"/>
        </w:rPr>
        <w:t xml:space="preserve"> is amended by deleting the </w:t>
      </w:r>
      <w:r w:rsidRPr="00EC4EC4">
        <w:rPr>
          <w:rFonts w:cs="Times New Roman"/>
          <w:sz w:val="23"/>
          <w:szCs w:val="23"/>
        </w:rPr>
        <w:t xml:space="preserve">definition of </w:t>
      </w:r>
      <w:bookmarkStart w:id="4" w:name="_Hlk118708534"/>
      <w:r w:rsidRPr="00EC4EC4">
        <w:rPr>
          <w:rFonts w:cs="Times New Roman"/>
          <w:sz w:val="23"/>
          <w:szCs w:val="23"/>
        </w:rPr>
        <w:t>“</w:t>
      </w:r>
      <w:r w:rsidRPr="00EC4EC4">
        <w:rPr>
          <w:spacing w:val="1"/>
          <w:szCs w:val="24"/>
        </w:rPr>
        <w:t>COASTAL SPECIAL FLOOD HAZARD AREAS</w:t>
      </w:r>
      <w:r w:rsidRPr="00EC4EC4">
        <w:rPr>
          <w:rFonts w:cs="Times New Roman"/>
          <w:sz w:val="23"/>
          <w:szCs w:val="23"/>
        </w:rPr>
        <w:t>”</w:t>
      </w:r>
      <w:bookmarkEnd w:id="4"/>
      <w:r w:rsidRPr="00EC4EC4">
        <w:rPr>
          <w:rFonts w:cs="Times New Roman"/>
          <w:sz w:val="23"/>
          <w:szCs w:val="23"/>
        </w:rPr>
        <w:t xml:space="preserve"> </w:t>
      </w:r>
      <w:r>
        <w:rPr>
          <w:rFonts w:cs="Times New Roman"/>
          <w:sz w:val="23"/>
          <w:szCs w:val="23"/>
        </w:rPr>
        <w:t xml:space="preserve">and adding a new definition of </w:t>
      </w:r>
      <w:r w:rsidRPr="00827DF3">
        <w:rPr>
          <w:rFonts w:cs="Times New Roman"/>
          <w:sz w:val="23"/>
          <w:szCs w:val="23"/>
        </w:rPr>
        <w:t>“COASTAL SPECIAL FLOOD HAZARD AREAS”</w:t>
      </w:r>
      <w:r w:rsidRPr="00EC4EC4">
        <w:rPr>
          <w:rFonts w:cs="Times New Roman"/>
          <w:sz w:val="23"/>
          <w:szCs w:val="23"/>
        </w:rPr>
        <w:t xml:space="preserve"> in alphabetical order </w:t>
      </w:r>
      <w:r>
        <w:rPr>
          <w:rFonts w:cs="Times New Roman"/>
          <w:sz w:val="23"/>
          <w:szCs w:val="23"/>
        </w:rPr>
        <w:t>to read</w:t>
      </w:r>
      <w:r w:rsidRPr="00EC4EC4">
        <w:rPr>
          <w:rFonts w:cs="Times New Roman"/>
          <w:sz w:val="23"/>
          <w:szCs w:val="23"/>
        </w:rPr>
        <w:t xml:space="preserve"> as follows:</w:t>
      </w:r>
    </w:p>
    <w:p w14:paraId="0BEE21B1" w14:textId="77777777" w:rsidR="00140B7C" w:rsidRPr="00EC4EC4" w:rsidRDefault="00140B7C" w:rsidP="00140B7C">
      <w:pPr>
        <w:pStyle w:val="FlushLeftDouble"/>
        <w:rPr>
          <w:spacing w:val="1"/>
          <w:szCs w:val="24"/>
        </w:rPr>
      </w:pPr>
      <w:r w:rsidRPr="00EC4EC4">
        <w:rPr>
          <w:b/>
          <w:szCs w:val="24"/>
        </w:rPr>
        <w:t>COASTAL EROSION HAZARD AREAS</w:t>
      </w:r>
      <w:r w:rsidRPr="00EC4EC4">
        <w:rPr>
          <w:b/>
          <w:bCs/>
          <w:spacing w:val="3"/>
          <w:szCs w:val="24"/>
        </w:rPr>
        <w:t xml:space="preserve">. </w:t>
      </w:r>
      <w:r w:rsidRPr="00EC4EC4">
        <w:rPr>
          <w:spacing w:val="1"/>
          <w:szCs w:val="24"/>
        </w:rPr>
        <w:t>Areas of land as identified on the final map issued by the New York state department of environmental conservation in accordance with section 34-0104 of the New York state environmental conservation law.</w:t>
      </w:r>
    </w:p>
    <w:p w14:paraId="498F4443" w14:textId="77777777" w:rsidR="00140B7C" w:rsidRPr="00EC4EC4" w:rsidRDefault="00140B7C" w:rsidP="00140B7C">
      <w:pPr>
        <w:pStyle w:val="FlushLeftDouble"/>
        <w:rPr>
          <w:spacing w:val="1"/>
          <w:szCs w:val="24"/>
          <w:u w:val="single"/>
        </w:rPr>
      </w:pPr>
      <w:r w:rsidRPr="00EC4EC4">
        <w:rPr>
          <w:b/>
          <w:bCs/>
          <w:spacing w:val="1"/>
          <w:szCs w:val="24"/>
          <w:u w:val="single"/>
        </w:rPr>
        <w:t>COASTAL SPECIAL FLOOD HAZARD AREAS.</w:t>
      </w:r>
      <w:r w:rsidRPr="00EC4EC4">
        <w:rPr>
          <w:spacing w:val="1"/>
          <w:szCs w:val="24"/>
          <w:u w:val="single"/>
        </w:rPr>
        <w:t xml:space="preserve"> Areas of land as identified on the flood insurance rate maps referenced in New York city building code section G402 of appendix G pursuant to article 36 of the New York state environmental conservation law.</w:t>
      </w:r>
    </w:p>
    <w:p w14:paraId="183AAAB0" w14:textId="77777777" w:rsidR="00140B7C" w:rsidRPr="00EC4EC4" w:rsidRDefault="00140B7C" w:rsidP="00140B7C">
      <w:pPr>
        <w:kinsoku w:val="0"/>
        <w:spacing w:after="240" w:line="240" w:lineRule="auto"/>
        <w:ind w:firstLine="720"/>
        <w:jc w:val="both"/>
        <w:rPr>
          <w:rFonts w:eastAsia="Times New Roman" w:cs="Times New Roman"/>
          <w:b/>
          <w:bCs/>
          <w:szCs w:val="24"/>
        </w:rPr>
      </w:pPr>
      <w:bookmarkStart w:id="5" w:name="_Hlk115780281"/>
      <w:r w:rsidRPr="00EC4EC4">
        <w:rPr>
          <w:rFonts w:cs="Times New Roman"/>
          <w:sz w:val="23"/>
          <w:szCs w:val="23"/>
        </w:rPr>
        <w:t>§</w:t>
      </w:r>
      <w:r>
        <w:rPr>
          <w:rFonts w:cs="Times New Roman"/>
          <w:sz w:val="23"/>
          <w:szCs w:val="23"/>
        </w:rPr>
        <w:t>7</w:t>
      </w:r>
      <w:r w:rsidRPr="00EC4EC4">
        <w:rPr>
          <w:rFonts w:cs="Times New Roman"/>
          <w:sz w:val="23"/>
          <w:szCs w:val="23"/>
        </w:rPr>
        <w:t xml:space="preserve">. Section </w:t>
      </w:r>
      <w:bookmarkEnd w:id="5"/>
      <w:r w:rsidRPr="00EC4EC4">
        <w:rPr>
          <w:rFonts w:cs="Times New Roman"/>
          <w:sz w:val="23"/>
          <w:szCs w:val="23"/>
        </w:rPr>
        <w:t>28-104.9.4 of the administrative code of the city of New York, as amended by local law number 126 for the year 2021, is amended to read as follows:</w:t>
      </w:r>
    </w:p>
    <w:p w14:paraId="1DB2EE71" w14:textId="77777777" w:rsidR="00140B7C" w:rsidRPr="00EC4EC4" w:rsidRDefault="00140B7C" w:rsidP="00140B7C">
      <w:pPr>
        <w:pStyle w:val="FlushLeftDouble"/>
        <w:rPr>
          <w:spacing w:val="3"/>
          <w:szCs w:val="24"/>
        </w:rPr>
      </w:pPr>
      <w:r w:rsidRPr="00EC4EC4">
        <w:rPr>
          <w:b/>
          <w:szCs w:val="24"/>
        </w:rPr>
        <w:t>§28-104.9.4 Compliance with special flood hazard area requirements mandated within special flood hazard areas.</w:t>
      </w:r>
      <w:r w:rsidRPr="00EC4EC4">
        <w:rPr>
          <w:b/>
          <w:bCs/>
          <w:spacing w:val="3"/>
          <w:szCs w:val="24"/>
        </w:rPr>
        <w:t xml:space="preserve"> </w:t>
      </w:r>
      <w:r w:rsidRPr="00EC4EC4">
        <w:rPr>
          <w:spacing w:val="1"/>
          <w:szCs w:val="24"/>
        </w:rPr>
        <w:t>Within coastal special flood hazard areas and special flood hazard areas, the commissioner shall not approve construction documents for construction or alteration of buildings or structures, including alterations pursuant to section 28-101.4.3 of this code, or for any other activity regulated by section G201 of appendix [</w:t>
      </w:r>
      <w:r w:rsidRPr="00EC4EC4">
        <w:rPr>
          <w:strike/>
          <w:spacing w:val="1"/>
          <w:szCs w:val="24"/>
        </w:rPr>
        <w:t>F</w:t>
      </w:r>
      <w:r w:rsidRPr="00EC4EC4">
        <w:rPr>
          <w:spacing w:val="1"/>
          <w:szCs w:val="24"/>
        </w:rPr>
        <w:t>]</w:t>
      </w:r>
      <w:r w:rsidRPr="00EC4EC4">
        <w:rPr>
          <w:spacing w:val="1"/>
          <w:szCs w:val="24"/>
          <w:u w:val="single"/>
        </w:rPr>
        <w:t>G</w:t>
      </w:r>
      <w:r w:rsidRPr="00EC4EC4">
        <w:rPr>
          <w:spacing w:val="1"/>
          <w:szCs w:val="24"/>
        </w:rPr>
        <w:t xml:space="preserve"> of the New </w:t>
      </w:r>
      <w:r w:rsidRPr="00EC4EC4">
        <w:rPr>
          <w:spacing w:val="1"/>
          <w:szCs w:val="24"/>
        </w:rPr>
        <w:lastRenderedPageBreak/>
        <w:t>York city building code, unless the application complies with the requirements of appendix G of the New York city building code.</w:t>
      </w:r>
    </w:p>
    <w:p w14:paraId="747229FB"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8</w:t>
      </w:r>
      <w:r w:rsidRPr="00EC4EC4">
        <w:rPr>
          <w:rFonts w:cs="Times New Roman"/>
          <w:sz w:val="23"/>
          <w:szCs w:val="23"/>
        </w:rPr>
        <w:t>. Section 28-105.2 of the administrative code of the city of New York, as amended by local law number 126 for the year 2021, is amended to read as follows:</w:t>
      </w:r>
    </w:p>
    <w:p w14:paraId="5AC18695" w14:textId="77777777" w:rsidR="00140B7C" w:rsidRPr="00EC4EC4" w:rsidRDefault="00140B7C" w:rsidP="00140B7C">
      <w:pPr>
        <w:pStyle w:val="FlushLeft"/>
        <w:rPr>
          <w:spacing w:val="1"/>
          <w:szCs w:val="24"/>
        </w:rPr>
      </w:pPr>
      <w:r w:rsidRPr="00EC4EC4">
        <w:rPr>
          <w:b/>
          <w:szCs w:val="24"/>
        </w:rPr>
        <w:t>§28-105.2 Classification of work permits.</w:t>
      </w:r>
      <w:r w:rsidRPr="00EC4EC4">
        <w:rPr>
          <w:b/>
          <w:bCs/>
          <w:spacing w:val="-5"/>
          <w:w w:val="110"/>
          <w:szCs w:val="24"/>
        </w:rPr>
        <w:t xml:space="preserve"> </w:t>
      </w:r>
      <w:r w:rsidRPr="00EC4EC4">
        <w:rPr>
          <w:spacing w:val="1"/>
          <w:szCs w:val="24"/>
        </w:rPr>
        <w:t>For the purposes of this code, work permits shall be classified as follows:</w:t>
      </w:r>
    </w:p>
    <w:p w14:paraId="4D54DA78" w14:textId="77777777" w:rsidR="00140B7C" w:rsidRPr="00EC4EC4" w:rsidRDefault="00140B7C" w:rsidP="00140B7C">
      <w:pPr>
        <w:kinsoku w:val="0"/>
        <w:spacing w:before="120" w:after="120" w:line="240" w:lineRule="auto"/>
        <w:ind w:left="72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b/>
          <w:szCs w:val="24"/>
        </w:rPr>
        <w:tab/>
        <w:t>New building permits:</w:t>
      </w:r>
      <w:r w:rsidRPr="00EC4EC4">
        <w:rPr>
          <w:rFonts w:eastAsia="Times New Roman" w:cs="Times New Roman"/>
          <w:b/>
          <w:bCs/>
          <w:spacing w:val="-3"/>
          <w:w w:val="110"/>
          <w:szCs w:val="24"/>
        </w:rPr>
        <w:t xml:space="preserve"> </w:t>
      </w:r>
      <w:r w:rsidRPr="00EC4EC4">
        <w:rPr>
          <w:rFonts w:eastAsia="Times New Roman" w:cs="Times New Roman"/>
          <w:spacing w:val="1"/>
          <w:szCs w:val="24"/>
        </w:rPr>
        <w:t>for the construction of new buildings, including as provided for in section 28-101.4.5.</w:t>
      </w:r>
    </w:p>
    <w:p w14:paraId="4B4E0D5A" w14:textId="77777777" w:rsidR="00140B7C" w:rsidRPr="00EC4EC4" w:rsidRDefault="00140B7C" w:rsidP="00140B7C">
      <w:pPr>
        <w:kinsoku w:val="0"/>
        <w:spacing w:before="120" w:after="120" w:line="240" w:lineRule="auto"/>
        <w:ind w:left="72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b/>
          <w:szCs w:val="24"/>
        </w:rPr>
        <w:tab/>
        <w:t>Alteration permits:</w:t>
      </w:r>
      <w:r w:rsidRPr="00EC4EC4">
        <w:rPr>
          <w:rFonts w:eastAsia="Times New Roman" w:cs="Times New Roman"/>
          <w:b/>
          <w:bCs/>
          <w:spacing w:val="-5"/>
          <w:w w:val="110"/>
          <w:szCs w:val="24"/>
        </w:rPr>
        <w:t xml:space="preserve"> </w:t>
      </w:r>
      <w:r w:rsidRPr="00EC4EC4">
        <w:rPr>
          <w:rFonts w:eastAsia="Times New Roman" w:cs="Times New Roman"/>
          <w:spacing w:val="1"/>
          <w:szCs w:val="24"/>
        </w:rPr>
        <w:t xml:space="preserve">for the alteration of buildings or structures, including new and existing sign structures and partial demolition in conjunction with such buildings or structures. </w:t>
      </w:r>
    </w:p>
    <w:p w14:paraId="0C6314C8" w14:textId="77777777" w:rsidR="00140B7C" w:rsidRPr="00EC4EC4" w:rsidRDefault="00140B7C" w:rsidP="00140B7C">
      <w:pPr>
        <w:kinsoku w:val="0"/>
        <w:spacing w:before="120" w:after="120" w:line="240" w:lineRule="auto"/>
        <w:ind w:left="720" w:hanging="360"/>
        <w:jc w:val="both"/>
        <w:rPr>
          <w:rFonts w:eastAsia="Times New Roman" w:cs="Times New Roman"/>
          <w:spacing w:val="2"/>
          <w:szCs w:val="24"/>
        </w:rPr>
      </w:pPr>
      <w:r w:rsidRPr="00EC4EC4">
        <w:rPr>
          <w:rFonts w:eastAsia="Times New Roman" w:cs="Times New Roman"/>
          <w:szCs w:val="24"/>
        </w:rPr>
        <w:t>3.</w:t>
      </w:r>
      <w:r w:rsidRPr="00EC4EC4">
        <w:rPr>
          <w:rFonts w:eastAsia="Times New Roman" w:cs="Times New Roman"/>
          <w:b/>
          <w:szCs w:val="24"/>
        </w:rPr>
        <w:tab/>
        <w:t>Foundation and earthwork permits</w:t>
      </w:r>
      <w:r w:rsidRPr="00EC4EC4">
        <w:rPr>
          <w:rFonts w:eastAsia="Times New Roman" w:cs="Times New Roman"/>
          <w:b/>
          <w:bCs/>
          <w:spacing w:val="-5"/>
          <w:w w:val="110"/>
          <w:szCs w:val="24"/>
        </w:rPr>
        <w:t xml:space="preserve">: </w:t>
      </w:r>
      <w:r w:rsidRPr="00EC4EC4">
        <w:rPr>
          <w:rFonts w:eastAsia="Times New Roman" w:cs="Times New Roman"/>
          <w:spacing w:val="1"/>
          <w:szCs w:val="24"/>
        </w:rPr>
        <w:t>for the construction or alteration of foundations, including earthwork, excavation, fill, and foundation insulation.</w:t>
      </w:r>
    </w:p>
    <w:p w14:paraId="50210363" w14:textId="77777777" w:rsidR="00140B7C" w:rsidRPr="00EC4EC4" w:rsidRDefault="00140B7C" w:rsidP="00140B7C">
      <w:pPr>
        <w:kinsoku w:val="0"/>
        <w:spacing w:before="120" w:after="120" w:line="240" w:lineRule="auto"/>
        <w:ind w:left="720" w:hanging="360"/>
        <w:jc w:val="both"/>
        <w:rPr>
          <w:rFonts w:eastAsia="Times New Roman" w:cs="Times New Roman"/>
          <w:spacing w:val="2"/>
          <w:szCs w:val="24"/>
        </w:rPr>
      </w:pPr>
      <w:r w:rsidRPr="00EC4EC4">
        <w:rPr>
          <w:rFonts w:eastAsia="Times New Roman" w:cs="Times New Roman"/>
          <w:spacing w:val="2"/>
          <w:szCs w:val="24"/>
        </w:rPr>
        <w:t>4.</w:t>
      </w:r>
      <w:r w:rsidRPr="00EC4EC4">
        <w:rPr>
          <w:rFonts w:eastAsia="Times New Roman" w:cs="Times New Roman"/>
          <w:b/>
          <w:spacing w:val="2"/>
          <w:szCs w:val="24"/>
        </w:rPr>
        <w:tab/>
        <w:t>Earthwork permits:</w:t>
      </w:r>
      <w:r w:rsidRPr="00EC4EC4">
        <w:rPr>
          <w:rFonts w:eastAsia="Times New Roman" w:cs="Times New Roman"/>
          <w:spacing w:val="2"/>
          <w:szCs w:val="24"/>
        </w:rPr>
        <w:t xml:space="preserve"> for work solely involving earthwork, excavation, or fill operations.</w:t>
      </w:r>
    </w:p>
    <w:p w14:paraId="1D8BD8CA" w14:textId="77777777" w:rsidR="00140B7C" w:rsidRPr="00EC4EC4" w:rsidRDefault="00140B7C" w:rsidP="00140B7C">
      <w:pPr>
        <w:kinsoku w:val="0"/>
        <w:spacing w:before="120" w:after="120" w:line="240" w:lineRule="auto"/>
        <w:ind w:left="720" w:hanging="360"/>
        <w:jc w:val="both"/>
        <w:rPr>
          <w:rFonts w:eastAsia="Times New Roman" w:cs="Times New Roman"/>
          <w:spacing w:val="1"/>
          <w:szCs w:val="24"/>
        </w:rPr>
      </w:pPr>
      <w:r w:rsidRPr="00EC4EC4">
        <w:rPr>
          <w:rFonts w:eastAsia="Times New Roman" w:cs="Times New Roman"/>
          <w:szCs w:val="24"/>
        </w:rPr>
        <w:t>5.</w:t>
      </w:r>
      <w:r w:rsidRPr="00EC4EC4">
        <w:rPr>
          <w:rFonts w:eastAsia="Times New Roman" w:cs="Times New Roman"/>
          <w:b/>
          <w:szCs w:val="24"/>
        </w:rPr>
        <w:tab/>
        <w:t>Full demolition permits:</w:t>
      </w:r>
      <w:r w:rsidRPr="00EC4EC4">
        <w:rPr>
          <w:rFonts w:eastAsia="Times New Roman" w:cs="Times New Roman"/>
          <w:b/>
          <w:bCs/>
          <w:spacing w:val="-4"/>
          <w:w w:val="110"/>
          <w:szCs w:val="24"/>
        </w:rPr>
        <w:t xml:space="preserve"> </w:t>
      </w:r>
      <w:r w:rsidRPr="00EC4EC4">
        <w:rPr>
          <w:rFonts w:eastAsia="Times New Roman" w:cs="Times New Roman"/>
          <w:spacing w:val="1"/>
          <w:szCs w:val="24"/>
        </w:rPr>
        <w:t>for the full demolition and removal of buildings or structures.</w:t>
      </w:r>
    </w:p>
    <w:p w14:paraId="19087F79" w14:textId="77777777" w:rsidR="00140B7C" w:rsidRPr="00EC4EC4" w:rsidRDefault="00140B7C" w:rsidP="00140B7C">
      <w:pPr>
        <w:kinsoku w:val="0"/>
        <w:spacing w:before="120" w:after="120" w:line="240" w:lineRule="auto"/>
        <w:ind w:left="720" w:hanging="360"/>
        <w:jc w:val="both"/>
        <w:rPr>
          <w:rFonts w:eastAsia="Times New Roman" w:cs="Times New Roman"/>
          <w:spacing w:val="1"/>
          <w:szCs w:val="24"/>
        </w:rPr>
      </w:pPr>
      <w:r w:rsidRPr="00EC4EC4">
        <w:rPr>
          <w:rFonts w:eastAsia="Times New Roman" w:cs="Times New Roman"/>
          <w:szCs w:val="24"/>
        </w:rPr>
        <w:t>6.</w:t>
      </w:r>
      <w:r w:rsidRPr="00EC4EC4">
        <w:rPr>
          <w:rFonts w:eastAsia="Times New Roman" w:cs="Times New Roman"/>
          <w:szCs w:val="24"/>
        </w:rPr>
        <w:tab/>
      </w:r>
      <w:r w:rsidRPr="00EC4EC4">
        <w:rPr>
          <w:rFonts w:eastAsia="Times New Roman" w:cs="Times New Roman"/>
          <w:b/>
          <w:szCs w:val="24"/>
        </w:rPr>
        <w:t>Plumbing permits:</w:t>
      </w:r>
      <w:r w:rsidRPr="00EC4EC4">
        <w:rPr>
          <w:rFonts w:eastAsia="Times New Roman" w:cs="Times New Roman"/>
          <w:b/>
          <w:bCs/>
          <w:spacing w:val="-6"/>
          <w:w w:val="110"/>
          <w:szCs w:val="24"/>
        </w:rPr>
        <w:t xml:space="preserve"> </w:t>
      </w:r>
      <w:r w:rsidRPr="00EC4EC4">
        <w:rPr>
          <w:rFonts w:eastAsia="Times New Roman" w:cs="Times New Roman"/>
          <w:spacing w:val="1"/>
          <w:szCs w:val="24"/>
        </w:rPr>
        <w:t>for the installation or alteration of plumbing and plumbing systems, including gas piping. Such permits shall include permits for limited plumbing alterations.</w:t>
      </w:r>
    </w:p>
    <w:p w14:paraId="760F005F" w14:textId="77777777" w:rsidR="00140B7C" w:rsidRPr="00EC4EC4" w:rsidRDefault="00140B7C" w:rsidP="00140B7C">
      <w:pPr>
        <w:kinsoku w:val="0"/>
        <w:spacing w:before="120" w:after="120" w:line="240" w:lineRule="auto"/>
        <w:ind w:left="720" w:hanging="360"/>
        <w:jc w:val="both"/>
        <w:rPr>
          <w:rFonts w:eastAsia="Times New Roman" w:cs="Times New Roman"/>
          <w:spacing w:val="1"/>
          <w:szCs w:val="24"/>
        </w:rPr>
      </w:pPr>
      <w:r w:rsidRPr="00EC4EC4">
        <w:rPr>
          <w:rFonts w:eastAsia="Times New Roman" w:cs="Times New Roman"/>
          <w:szCs w:val="24"/>
        </w:rPr>
        <w:t xml:space="preserve">7. </w:t>
      </w:r>
      <w:r w:rsidRPr="00EC4EC4">
        <w:rPr>
          <w:rFonts w:eastAsia="Times New Roman" w:cs="Times New Roman"/>
          <w:szCs w:val="24"/>
        </w:rPr>
        <w:tab/>
      </w:r>
      <w:r w:rsidRPr="00EC4EC4">
        <w:rPr>
          <w:rFonts w:eastAsia="Times New Roman" w:cs="Times New Roman"/>
          <w:b/>
          <w:szCs w:val="24"/>
        </w:rPr>
        <w:t>Sign permits</w:t>
      </w:r>
      <w:r w:rsidRPr="00EC4EC4">
        <w:rPr>
          <w:rFonts w:eastAsia="Times New Roman" w:cs="Times New Roman"/>
          <w:b/>
          <w:bCs/>
          <w:spacing w:val="-4"/>
          <w:w w:val="110"/>
          <w:szCs w:val="24"/>
        </w:rPr>
        <w:t xml:space="preserve">: </w:t>
      </w:r>
      <w:r w:rsidRPr="00EC4EC4">
        <w:rPr>
          <w:rFonts w:eastAsia="Times New Roman" w:cs="Times New Roman"/>
          <w:spacing w:val="1"/>
          <w:szCs w:val="24"/>
        </w:rPr>
        <w:t>for the erection, installation, display or alteration of signs.</w:t>
      </w:r>
    </w:p>
    <w:p w14:paraId="388E3E4A" w14:textId="77777777" w:rsidR="00140B7C" w:rsidRPr="00EC4EC4" w:rsidRDefault="00140B7C" w:rsidP="00140B7C">
      <w:pPr>
        <w:kinsoku w:val="0"/>
        <w:spacing w:before="120" w:after="120" w:line="240" w:lineRule="auto"/>
        <w:ind w:left="810" w:hanging="450"/>
        <w:jc w:val="both"/>
        <w:rPr>
          <w:rFonts w:eastAsia="Times New Roman" w:cs="Times New Roman"/>
          <w:spacing w:val="1"/>
          <w:szCs w:val="24"/>
        </w:rPr>
      </w:pPr>
      <w:r w:rsidRPr="00EC4EC4">
        <w:rPr>
          <w:rFonts w:eastAsia="Times New Roman" w:cs="Times New Roman"/>
          <w:szCs w:val="24"/>
        </w:rPr>
        <w:t>8.</w:t>
      </w:r>
      <w:r w:rsidRPr="00EC4EC4">
        <w:rPr>
          <w:rFonts w:eastAsia="Times New Roman" w:cs="Times New Roman"/>
          <w:szCs w:val="24"/>
        </w:rPr>
        <w:tab/>
      </w:r>
      <w:r w:rsidRPr="00EC4EC4">
        <w:rPr>
          <w:rFonts w:eastAsia="Times New Roman" w:cs="Times New Roman"/>
          <w:b/>
          <w:szCs w:val="24"/>
        </w:rPr>
        <w:t>Service equipment permits</w:t>
      </w:r>
      <w:r w:rsidRPr="00EC4EC4">
        <w:rPr>
          <w:rFonts w:eastAsia="Times New Roman" w:cs="Times New Roman"/>
          <w:b/>
          <w:bCs/>
          <w:spacing w:val="-4"/>
          <w:w w:val="110"/>
          <w:szCs w:val="24"/>
        </w:rPr>
        <w:t xml:space="preserve">: </w:t>
      </w:r>
      <w:r w:rsidRPr="00EC4EC4">
        <w:rPr>
          <w:rFonts w:eastAsia="Times New Roman" w:cs="Times New Roman"/>
          <w:spacing w:val="1"/>
          <w:szCs w:val="24"/>
        </w:rPr>
        <w:t>for the installation or alteration of service equipment, including but not limited to air conditioning and ventilating systems, boilers, elevators, escalators, moving walkways, dumbwaiters, mobile boilers and mobile oil tanks. Such permits shall include permits for limited oil-burning appliance alterations.</w:t>
      </w:r>
    </w:p>
    <w:p w14:paraId="43F86770" w14:textId="77777777" w:rsidR="00140B7C" w:rsidRPr="00EC4EC4" w:rsidRDefault="00140B7C" w:rsidP="00140B7C">
      <w:pPr>
        <w:kinsoku w:val="0"/>
        <w:spacing w:before="120" w:after="120" w:line="240" w:lineRule="auto"/>
        <w:ind w:left="720" w:hanging="360"/>
        <w:jc w:val="both"/>
        <w:rPr>
          <w:rFonts w:eastAsia="Times New Roman" w:cs="Times New Roman"/>
          <w:spacing w:val="1"/>
          <w:szCs w:val="24"/>
        </w:rPr>
      </w:pPr>
      <w:r w:rsidRPr="00EC4EC4">
        <w:rPr>
          <w:rFonts w:eastAsia="Times New Roman" w:cs="Times New Roman"/>
          <w:szCs w:val="24"/>
        </w:rPr>
        <w:t>9.</w:t>
      </w:r>
      <w:r w:rsidRPr="00EC4EC4">
        <w:rPr>
          <w:rFonts w:eastAsia="Times New Roman" w:cs="Times New Roman"/>
          <w:szCs w:val="24"/>
        </w:rPr>
        <w:tab/>
      </w:r>
      <w:r w:rsidRPr="00EC4EC4">
        <w:rPr>
          <w:rFonts w:eastAsia="Times New Roman" w:cs="Times New Roman"/>
          <w:b/>
          <w:szCs w:val="24"/>
        </w:rPr>
        <w:t>Temporary construction installation permits</w:t>
      </w:r>
      <w:r w:rsidRPr="00EC4EC4">
        <w:rPr>
          <w:rFonts w:eastAsia="Times New Roman" w:cs="Times New Roman"/>
          <w:b/>
          <w:bCs/>
          <w:spacing w:val="-13"/>
          <w:w w:val="110"/>
          <w:szCs w:val="24"/>
        </w:rPr>
        <w:t xml:space="preserve">: </w:t>
      </w:r>
      <w:r w:rsidRPr="00EC4EC4">
        <w:rPr>
          <w:rFonts w:eastAsia="Times New Roman" w:cs="Times New Roman"/>
          <w:spacing w:val="1"/>
          <w:szCs w:val="24"/>
        </w:rPr>
        <w:t>for the erection, installation and use of temporary construction installations to facilitate construction and/or safety during construction, including but not limited to temporary fences, railings, catch platforms, over-the-sidewalk chutes, footbridges, sidewalk sheds, and scaffolds.</w:t>
      </w:r>
    </w:p>
    <w:p w14:paraId="2BA50343" w14:textId="77777777" w:rsidR="00140B7C" w:rsidRPr="00EC4EC4" w:rsidRDefault="00140B7C" w:rsidP="00140B7C">
      <w:pPr>
        <w:kinsoku w:val="0"/>
        <w:spacing w:before="120" w:after="120" w:line="240" w:lineRule="auto"/>
        <w:ind w:left="720" w:hanging="360"/>
        <w:jc w:val="both"/>
        <w:rPr>
          <w:rFonts w:eastAsia="Times New Roman" w:cs="Times New Roman"/>
          <w:spacing w:val="1"/>
          <w:szCs w:val="24"/>
        </w:rPr>
      </w:pPr>
      <w:r w:rsidRPr="00EC4EC4">
        <w:rPr>
          <w:rFonts w:eastAsia="Times New Roman" w:cs="Times New Roman"/>
          <w:szCs w:val="24"/>
        </w:rPr>
        <w:t>10.</w:t>
      </w:r>
      <w:r w:rsidRPr="00EC4EC4">
        <w:rPr>
          <w:rFonts w:eastAsia="Times New Roman" w:cs="Times New Roman"/>
          <w:szCs w:val="24"/>
        </w:rPr>
        <w:tab/>
      </w:r>
      <w:r w:rsidRPr="00EC4EC4">
        <w:rPr>
          <w:rFonts w:eastAsia="Times New Roman" w:cs="Times New Roman"/>
          <w:b/>
          <w:szCs w:val="24"/>
        </w:rPr>
        <w:t>Fire protection and suppression system permits</w:t>
      </w:r>
      <w:r w:rsidRPr="00EC4EC4">
        <w:rPr>
          <w:rFonts w:eastAsia="Times New Roman" w:cs="Times New Roman"/>
          <w:b/>
          <w:bCs/>
          <w:spacing w:val="-6"/>
          <w:w w:val="110"/>
          <w:szCs w:val="24"/>
        </w:rPr>
        <w:t xml:space="preserve">: </w:t>
      </w:r>
      <w:r w:rsidRPr="00EC4EC4">
        <w:rPr>
          <w:rFonts w:eastAsia="Times New Roman" w:cs="Times New Roman"/>
          <w:spacing w:val="1"/>
          <w:szCs w:val="24"/>
        </w:rPr>
        <w:t>for the installation and alteration of fire protection and suppression systems, including sprinkler systems and standpipe systems. Such permits shall include permits for limited sprinkler alterations and limited standpipe alterations.</w:t>
      </w:r>
    </w:p>
    <w:p w14:paraId="747AF76E" w14:textId="77777777" w:rsidR="00140B7C" w:rsidRPr="00EC4EC4" w:rsidRDefault="00140B7C" w:rsidP="00140B7C">
      <w:pPr>
        <w:kinsoku w:val="0"/>
        <w:spacing w:before="120" w:after="120" w:line="240" w:lineRule="auto"/>
        <w:ind w:left="720" w:hanging="360"/>
        <w:jc w:val="both"/>
        <w:rPr>
          <w:rFonts w:eastAsia="Times New Roman" w:cs="Times New Roman"/>
          <w:spacing w:val="1"/>
          <w:szCs w:val="24"/>
        </w:rPr>
      </w:pPr>
      <w:r w:rsidRPr="00EC4EC4">
        <w:rPr>
          <w:rFonts w:eastAsia="Times New Roman" w:cs="Times New Roman"/>
          <w:szCs w:val="24"/>
        </w:rPr>
        <w:t>11.</w:t>
      </w:r>
      <w:r w:rsidRPr="00EC4EC4">
        <w:rPr>
          <w:rFonts w:eastAsia="Times New Roman" w:cs="Times New Roman"/>
          <w:szCs w:val="24"/>
        </w:rPr>
        <w:tab/>
      </w:r>
      <w:r w:rsidRPr="00EC4EC4">
        <w:rPr>
          <w:rFonts w:eastAsia="Times New Roman" w:cs="Times New Roman"/>
          <w:b/>
          <w:szCs w:val="24"/>
        </w:rPr>
        <w:t>Crane and derrick permits</w:t>
      </w:r>
      <w:r w:rsidRPr="00EC4EC4">
        <w:rPr>
          <w:rFonts w:eastAsia="Times New Roman" w:cs="Times New Roman"/>
          <w:b/>
          <w:bCs/>
          <w:spacing w:val="-2"/>
          <w:w w:val="110"/>
          <w:szCs w:val="24"/>
        </w:rPr>
        <w:t xml:space="preserve">: </w:t>
      </w:r>
      <w:r w:rsidRPr="00EC4EC4">
        <w:rPr>
          <w:rFonts w:eastAsia="Times New Roman" w:cs="Times New Roman"/>
          <w:spacing w:val="1"/>
          <w:szCs w:val="24"/>
        </w:rPr>
        <w:t>for the use of [</w:t>
      </w:r>
      <w:r w:rsidRPr="00EC4EC4">
        <w:rPr>
          <w:rFonts w:eastAsia="Times New Roman" w:cs="Times New Roman"/>
          <w:strike/>
          <w:spacing w:val="1"/>
          <w:szCs w:val="24"/>
        </w:rPr>
        <w:t>power operated</w:t>
      </w:r>
      <w:r w:rsidRPr="00EC4EC4">
        <w:rPr>
          <w:rFonts w:eastAsia="Times New Roman" w:cs="Times New Roman"/>
          <w:spacing w:val="1"/>
          <w:szCs w:val="24"/>
        </w:rPr>
        <w:t>]</w:t>
      </w:r>
      <w:r w:rsidRPr="00EC4EC4">
        <w:rPr>
          <w:rFonts w:eastAsia="Times New Roman" w:cs="Times New Roman"/>
          <w:spacing w:val="1"/>
          <w:szCs w:val="24"/>
          <w:u w:val="single"/>
        </w:rPr>
        <w:t>power-operated</w:t>
      </w:r>
      <w:r w:rsidRPr="00EC4EC4">
        <w:rPr>
          <w:rFonts w:eastAsia="Times New Roman" w:cs="Times New Roman"/>
          <w:spacing w:val="1"/>
          <w:szCs w:val="24"/>
        </w:rPr>
        <w:t xml:space="preserve"> cranes and derricks during construction.</w:t>
      </w:r>
    </w:p>
    <w:p w14:paraId="2C732BDA" w14:textId="77777777" w:rsidR="00140B7C" w:rsidRPr="00EC4EC4" w:rsidRDefault="00140B7C" w:rsidP="00140B7C">
      <w:pPr>
        <w:kinsoku w:val="0"/>
        <w:spacing w:before="120" w:after="120" w:line="240" w:lineRule="auto"/>
        <w:ind w:left="720" w:hanging="360"/>
        <w:rPr>
          <w:rFonts w:eastAsia="Times New Roman" w:cs="Times New Roman"/>
          <w:spacing w:val="1"/>
          <w:szCs w:val="24"/>
        </w:rPr>
      </w:pPr>
      <w:r w:rsidRPr="00EC4EC4">
        <w:rPr>
          <w:rFonts w:eastAsia="Times New Roman" w:cs="Times New Roman"/>
          <w:spacing w:val="1"/>
          <w:szCs w:val="24"/>
        </w:rPr>
        <w:t>12.</w:t>
      </w:r>
      <w:r w:rsidRPr="00EC4EC4">
        <w:rPr>
          <w:rFonts w:eastAsia="Times New Roman" w:cs="Times New Roman"/>
          <w:spacing w:val="1"/>
          <w:szCs w:val="24"/>
        </w:rPr>
        <w:tab/>
      </w:r>
      <w:r w:rsidRPr="00EC4EC4">
        <w:rPr>
          <w:rFonts w:eastAsia="Times New Roman" w:cs="Times New Roman"/>
          <w:b/>
          <w:spacing w:val="1"/>
          <w:szCs w:val="24"/>
        </w:rPr>
        <w:t>Temporary structure permits and temporary use authorizations:</w:t>
      </w:r>
      <w:r w:rsidRPr="00EC4EC4">
        <w:rPr>
          <w:rFonts w:eastAsia="Times New Roman" w:cs="Times New Roman"/>
          <w:spacing w:val="1"/>
          <w:szCs w:val="24"/>
        </w:rPr>
        <w:t xml:space="preserve"> for temporary structures and uses, see article 111.</w:t>
      </w:r>
    </w:p>
    <w:p w14:paraId="59660B75"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9</w:t>
      </w:r>
      <w:r w:rsidRPr="00EC4EC4">
        <w:rPr>
          <w:rFonts w:cs="Times New Roman"/>
          <w:sz w:val="23"/>
          <w:szCs w:val="23"/>
        </w:rPr>
        <w:t>. Section 28-105.4.1 of the administrative code of the city of New York, as amended by local law number 126 for the year 2021, is amended to read as follows:</w:t>
      </w:r>
    </w:p>
    <w:p w14:paraId="3AD2695C" w14:textId="77777777" w:rsidR="00140B7C" w:rsidRPr="00EC4EC4" w:rsidRDefault="00140B7C" w:rsidP="00140B7C">
      <w:pPr>
        <w:kinsoku w:val="0"/>
        <w:spacing w:before="120" w:after="120" w:line="240" w:lineRule="auto"/>
        <w:ind w:left="360"/>
        <w:jc w:val="both"/>
        <w:rPr>
          <w:rFonts w:eastAsia="Times New Roman" w:cs="Times New Roman"/>
          <w:spacing w:val="3"/>
          <w:szCs w:val="24"/>
        </w:rPr>
      </w:pPr>
      <w:r w:rsidRPr="00EC4EC4">
        <w:rPr>
          <w:rFonts w:eastAsia="Times New Roman" w:cs="Times New Roman"/>
          <w:b/>
          <w:szCs w:val="24"/>
        </w:rPr>
        <w:t>§28-105.4.1 Emergency work.</w:t>
      </w:r>
      <w:r w:rsidRPr="00EC4EC4">
        <w:rPr>
          <w:rFonts w:eastAsia="Times New Roman" w:cs="Times New Roman"/>
          <w:b/>
          <w:bCs/>
          <w:spacing w:val="-7"/>
          <w:w w:val="110"/>
          <w:szCs w:val="24"/>
        </w:rPr>
        <w:t xml:space="preserve"> </w:t>
      </w:r>
      <w:r w:rsidRPr="00EC4EC4">
        <w:rPr>
          <w:rFonts w:eastAsia="Times New Roman" w:cs="Times New Roman"/>
          <w:spacing w:val="1"/>
          <w:szCs w:val="24"/>
        </w:rPr>
        <w:t xml:space="preserve">Work that would otherwise require a permit may be performed without a permit to the extent necessary to relieve an emergency condition. An </w:t>
      </w:r>
      <w:r w:rsidRPr="00EC4EC4">
        <w:rPr>
          <w:rFonts w:eastAsia="Times New Roman" w:cs="Times New Roman"/>
          <w:spacing w:val="1"/>
          <w:szCs w:val="24"/>
        </w:rPr>
        <w:lastRenderedPageBreak/>
        <w:t>application for a permit shall be submitted within 2 business days after the commencement of the emergency work and shall include written description of the emergency condition and the measures undertaken to mitigate the hazard. Emergency work may include but shall not be limited to:</w:t>
      </w:r>
    </w:p>
    <w:p w14:paraId="3520D0CE"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Erection of sidewalk sheds, fences, or other similar structures to protect the public from an unsafe condition.</w:t>
      </w:r>
    </w:p>
    <w:p w14:paraId="46F73545"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Stabilization of unsafe structural conditions.</w:t>
      </w:r>
    </w:p>
    <w:p w14:paraId="14C36805"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Repair of gas leaks.</w:t>
      </w:r>
    </w:p>
    <w:p w14:paraId="277A3407"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BF36B6">
        <w:rPr>
          <w:rFonts w:eastAsia="Times New Roman" w:cs="Times New Roman"/>
          <w:spacing w:val="1"/>
          <w:szCs w:val="24"/>
        </w:rPr>
        <w:t>4.</w:t>
      </w:r>
      <w:r w:rsidRPr="00BF36B6">
        <w:rPr>
          <w:rFonts w:eastAsia="Times New Roman" w:cs="Times New Roman"/>
          <w:spacing w:val="1"/>
          <w:szCs w:val="24"/>
        </w:rPr>
        <w:tab/>
        <w:t>Repair or replacement of heating or hot water equip</w:t>
      </w:r>
      <w:r w:rsidRPr="00BF36B6">
        <w:rPr>
          <w:rFonts w:eastAsia="Times New Roman" w:cs="Times New Roman"/>
          <w:spacing w:val="1"/>
          <w:szCs w:val="24"/>
        </w:rPr>
        <w:softHyphen/>
        <w:t>ment servicing education or</w:t>
      </w:r>
      <w:r w:rsidRPr="00BF36B6">
        <w:rPr>
          <w:rFonts w:eastAsia="Times New Roman" w:cs="Times New Roman"/>
          <w:spacing w:val="1"/>
          <w:szCs w:val="24"/>
          <w:u w:val="single"/>
        </w:rPr>
        <w:t xml:space="preserve"> </w:t>
      </w:r>
      <w:r w:rsidRPr="00BF36B6">
        <w:rPr>
          <w:rFonts w:eastAsia="Times New Roman" w:cs="Times New Roman"/>
          <w:spacing w:val="1"/>
          <w:szCs w:val="24"/>
        </w:rPr>
        <w:t>residential occupancies [</w:t>
      </w:r>
      <w:r w:rsidRPr="00BF36B6">
        <w:rPr>
          <w:rFonts w:eastAsia="Times New Roman" w:cs="Times New Roman"/>
          <w:strike/>
          <w:spacing w:val="1"/>
          <w:szCs w:val="24"/>
        </w:rPr>
        <w:t>during the heating season, which is between</w:t>
      </w:r>
      <w:r w:rsidRPr="00BF36B6">
        <w:rPr>
          <w:rFonts w:eastAsia="Times New Roman" w:cs="Times New Roman"/>
          <w:spacing w:val="1"/>
          <w:szCs w:val="24"/>
        </w:rPr>
        <w:t xml:space="preserve">] </w:t>
      </w:r>
      <w:r w:rsidRPr="00BF36B6">
        <w:rPr>
          <w:rFonts w:eastAsia="Times New Roman" w:cs="Times New Roman"/>
          <w:spacing w:val="1"/>
          <w:szCs w:val="24"/>
          <w:u w:val="single"/>
        </w:rPr>
        <w:t>from</w:t>
      </w:r>
      <w:r w:rsidRPr="00BF36B6">
        <w:rPr>
          <w:rFonts w:eastAsia="Times New Roman" w:cs="Times New Roman"/>
          <w:spacing w:val="1"/>
          <w:szCs w:val="24"/>
        </w:rPr>
        <w:t xml:space="preserve"> October 1 [</w:t>
      </w:r>
      <w:r w:rsidRPr="00BF36B6">
        <w:rPr>
          <w:rFonts w:eastAsia="Times New Roman" w:cs="Times New Roman"/>
          <w:strike/>
          <w:spacing w:val="1"/>
          <w:szCs w:val="24"/>
        </w:rPr>
        <w:t>and</w:t>
      </w:r>
      <w:r w:rsidRPr="00BF36B6">
        <w:rPr>
          <w:rFonts w:eastAsia="Times New Roman" w:cs="Times New Roman"/>
          <w:spacing w:val="1"/>
          <w:szCs w:val="24"/>
        </w:rPr>
        <w:t xml:space="preserve">] </w:t>
      </w:r>
      <w:r w:rsidRPr="00BF36B6">
        <w:rPr>
          <w:rFonts w:eastAsia="Times New Roman" w:cs="Times New Roman"/>
          <w:spacing w:val="1"/>
          <w:szCs w:val="24"/>
          <w:u w:val="single"/>
        </w:rPr>
        <w:t>through</w:t>
      </w:r>
      <w:r w:rsidRPr="00BF36B6">
        <w:rPr>
          <w:rFonts w:eastAsia="Times New Roman" w:cs="Times New Roman"/>
          <w:spacing w:val="1"/>
          <w:szCs w:val="24"/>
        </w:rPr>
        <w:t xml:space="preserve"> May 31</w:t>
      </w:r>
      <w:r w:rsidRPr="00BF36B6">
        <w:rPr>
          <w:rFonts w:eastAsia="Times New Roman" w:cs="Times New Roman"/>
          <w:strike/>
          <w:spacing w:val="1"/>
          <w:szCs w:val="24"/>
        </w:rPr>
        <w:t>[, as established by the New York city housing maintenance code or education occupancies</w:t>
      </w:r>
      <w:r w:rsidRPr="00BF36B6">
        <w:rPr>
          <w:rFonts w:eastAsia="Times New Roman" w:cs="Times New Roman"/>
          <w:spacing w:val="1"/>
          <w:szCs w:val="24"/>
        </w:rPr>
        <w:t xml:space="preserve"> </w:t>
      </w:r>
      <w:r w:rsidRPr="00BF36B6">
        <w:rPr>
          <w:rFonts w:eastAsia="Times New Roman" w:cs="Times New Roman"/>
          <w:strike/>
          <w:spacing w:val="1"/>
          <w:szCs w:val="24"/>
        </w:rPr>
        <w:t>between</w:t>
      </w:r>
      <w:r w:rsidRPr="00BF36B6">
        <w:rPr>
          <w:rFonts w:eastAsia="Times New Roman" w:cs="Times New Roman"/>
          <w:spacing w:val="1"/>
          <w:szCs w:val="24"/>
        </w:rPr>
        <w:t>].</w:t>
      </w:r>
    </w:p>
    <w:p w14:paraId="162AAA77"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Replacement of parts required for the operation of a combined standpipe or sprinkler system.</w:t>
      </w:r>
    </w:p>
    <w:p w14:paraId="7DDA5A5D"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10</w:t>
      </w:r>
      <w:r w:rsidRPr="00EC4EC4">
        <w:rPr>
          <w:rFonts w:cs="Times New Roman"/>
          <w:sz w:val="23"/>
          <w:szCs w:val="23"/>
        </w:rPr>
        <w:t>. Section 28-105.4.4 of the administrative code of the city of New York, as amended by local law number 126 for the year 2021, is amended to read as follows:</w:t>
      </w:r>
    </w:p>
    <w:p w14:paraId="3CC99866" w14:textId="77777777" w:rsidR="00140B7C" w:rsidRPr="00EC4EC4" w:rsidRDefault="00140B7C" w:rsidP="00140B7C">
      <w:pPr>
        <w:pStyle w:val="FlushLeftDouble"/>
        <w:ind w:left="0"/>
        <w:rPr>
          <w:spacing w:val="1"/>
          <w:szCs w:val="24"/>
        </w:rPr>
      </w:pPr>
      <w:r w:rsidRPr="00EC4EC4">
        <w:rPr>
          <w:b/>
          <w:szCs w:val="24"/>
        </w:rPr>
        <w:t>§28-105.4.4 Ordinary plumbing work.</w:t>
      </w:r>
      <w:r w:rsidRPr="00EC4EC4">
        <w:rPr>
          <w:b/>
          <w:bCs/>
          <w:spacing w:val="2"/>
          <w:w w:val="105"/>
          <w:szCs w:val="24"/>
        </w:rPr>
        <w:t xml:space="preserve"> </w:t>
      </w:r>
      <w:r w:rsidRPr="00EC4EC4">
        <w:rPr>
          <w:spacing w:val="1"/>
          <w:szCs w:val="24"/>
        </w:rPr>
        <w:t>The following ordinary plumbing work may be performed without a permit, provided that the licensed plumber performing such work: (i) provides a monthly report listing completed work and work in progress during the preceding month, including the block, lot and address of each job, a description of the work performed or in progress at each address, and the location in each building where the work was performed or is in progress; (ii) pays the fees for such work in accordance with this code; and (iii) submits to the department a certification that the work was performed in accordance with this code and all applicable laws and rules. Ordinary plumbing work shall include:</w:t>
      </w:r>
    </w:p>
    <w:p w14:paraId="1CE84937"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The removal of a domestic plumbing system not connected to a fire suppression or fire protection system, or the removal of a portion of such system.</w:t>
      </w:r>
    </w:p>
    <w:p w14:paraId="164D7363"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The relocation of up to two plumbing fixtures within the same room to a maximum of 10 feet (3048 mm) distant from the original location, except in health care facilities.</w:t>
      </w:r>
    </w:p>
    <w:p w14:paraId="34505D7B"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The installation, replacement or repair of a food waste grinder (food waste disposal) or secondary back flow preventer and the replacement or repair of a sump pump.</w:t>
      </w:r>
    </w:p>
    <w:p w14:paraId="0A1EFA39"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The replacement of closet bends.</w:t>
      </w:r>
    </w:p>
    <w:p w14:paraId="61721B92"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In buildings in occupancy group R-2 occupied by fewer than six families or in buildings in occupancy group [</w:t>
      </w:r>
      <w:r w:rsidRPr="00EC4EC4">
        <w:rPr>
          <w:rFonts w:eastAsia="Times New Roman" w:cs="Times New Roman"/>
          <w:strike/>
          <w:spacing w:val="1"/>
          <w:szCs w:val="24"/>
        </w:rPr>
        <w:t>R3</w:t>
      </w:r>
      <w:r w:rsidRPr="00EC4EC4">
        <w:rPr>
          <w:rFonts w:eastAsia="Times New Roman" w:cs="Times New Roman"/>
          <w:spacing w:val="1"/>
          <w:szCs w:val="24"/>
        </w:rPr>
        <w:t>]</w:t>
      </w:r>
      <w:r w:rsidRPr="00EC4EC4">
        <w:rPr>
          <w:rFonts w:eastAsia="Times New Roman" w:cs="Times New Roman"/>
          <w:spacing w:val="1"/>
          <w:szCs w:val="24"/>
          <w:u w:val="single"/>
        </w:rPr>
        <w:t>R-3</w:t>
      </w:r>
      <w:r w:rsidRPr="00EC4EC4">
        <w:rPr>
          <w:rFonts w:eastAsia="Times New Roman" w:cs="Times New Roman"/>
          <w:spacing w:val="1"/>
          <w:szCs w:val="24"/>
        </w:rPr>
        <w:t>, the replacement of a gas water heater or a [</w:t>
      </w:r>
      <w:r w:rsidRPr="00EC4EC4">
        <w:rPr>
          <w:rFonts w:eastAsia="Times New Roman" w:cs="Times New Roman"/>
          <w:strike/>
          <w:spacing w:val="1"/>
          <w:szCs w:val="24"/>
        </w:rPr>
        <w:t>gas fired</w:t>
      </w:r>
      <w:r w:rsidRPr="00EC4EC4">
        <w:rPr>
          <w:rFonts w:eastAsia="Times New Roman" w:cs="Times New Roman"/>
          <w:spacing w:val="1"/>
          <w:szCs w:val="24"/>
        </w:rPr>
        <w:t>]</w:t>
      </w:r>
      <w:r w:rsidRPr="00EC4EC4">
        <w:rPr>
          <w:rFonts w:eastAsia="Times New Roman" w:cs="Times New Roman"/>
          <w:spacing w:val="1"/>
          <w:szCs w:val="24"/>
          <w:u w:val="single"/>
        </w:rPr>
        <w:t>gas-fired</w:t>
      </w:r>
      <w:r w:rsidRPr="00EC4EC4">
        <w:rPr>
          <w:rFonts w:eastAsia="Times New Roman" w:cs="Times New Roman"/>
          <w:spacing w:val="1"/>
          <w:szCs w:val="24"/>
        </w:rPr>
        <w:t xml:space="preserve"> boiler with a capacity of 350,000 BTU (103 kW) or less where the existing appliance gas cock is not moved, provided that the plumber has inspected the chimney and found it to be in good operational condition.</w:t>
      </w:r>
    </w:p>
    <w:p w14:paraId="71989916"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6.</w:t>
      </w:r>
      <w:r w:rsidRPr="00EC4EC4">
        <w:rPr>
          <w:rFonts w:eastAsia="Times New Roman" w:cs="Times New Roman"/>
          <w:spacing w:val="1"/>
          <w:szCs w:val="24"/>
        </w:rPr>
        <w:tab/>
        <w:t>The repair or replacement of any non-gas, non-fire suppression piping not longer than 10 feet (3048 mm) inside a building, or connected piping previously repaired or replaced under this provision.</w:t>
      </w:r>
    </w:p>
    <w:p w14:paraId="0635D429"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lastRenderedPageBreak/>
        <w:t>7.</w:t>
      </w:r>
      <w:r w:rsidRPr="00EC4EC4">
        <w:rPr>
          <w:rFonts w:eastAsia="Times New Roman" w:cs="Times New Roman"/>
          <w:spacing w:val="1"/>
          <w:szCs w:val="24"/>
        </w:rPr>
        <w:tab/>
        <w:t>The repair or replacement of non-fire suppression branch piping after the riser shutoff valve, including the replacement of fixtures, limited to two bathrooms and one kitchen per building per monthly reporting period.</w:t>
      </w:r>
    </w:p>
    <w:p w14:paraId="5A18E36A"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8.</w:t>
      </w:r>
      <w:r w:rsidRPr="00EC4EC4">
        <w:rPr>
          <w:rFonts w:eastAsia="Times New Roman" w:cs="Times New Roman"/>
          <w:spacing w:val="1"/>
          <w:szCs w:val="24"/>
        </w:rPr>
        <w:tab/>
        <w:t xml:space="preserve">The replacement of flexible gas tubing no greater than 4 feet (1219 mm) in length located downstream of the existing gas cock to an appliance, provided such gas tubing does not penetrate a wall. </w:t>
      </w:r>
    </w:p>
    <w:p w14:paraId="07D92E08"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B61C90">
        <w:rPr>
          <w:rFonts w:cs="Times New Roman"/>
          <w:sz w:val="23"/>
          <w:szCs w:val="23"/>
        </w:rPr>
        <w:t>§11. Section 28-106.2.1 of the administrative code of the city of New York, as amended by local law number 126 for the year 2021, is amended to read as follows:</w:t>
      </w:r>
    </w:p>
    <w:p w14:paraId="31C79830" w14:textId="77777777" w:rsidR="00140B7C" w:rsidRPr="00EC4EC4" w:rsidRDefault="00140B7C" w:rsidP="00140B7C">
      <w:pPr>
        <w:pStyle w:val="FlushLeftDouble"/>
        <w:ind w:left="0"/>
        <w:rPr>
          <w:bCs/>
          <w:szCs w:val="24"/>
        </w:rPr>
      </w:pPr>
      <w:r w:rsidRPr="00EC4EC4">
        <w:rPr>
          <w:b/>
          <w:szCs w:val="24"/>
        </w:rPr>
        <w:t>§28-106.2.1 Materials.</w:t>
      </w:r>
      <w:r w:rsidRPr="00EC4EC4">
        <w:rPr>
          <w:bCs/>
          <w:szCs w:val="24"/>
        </w:rPr>
        <w:t xml:space="preserve"> </w:t>
      </w:r>
      <w:r w:rsidRPr="00EC4EC4">
        <w:rPr>
          <w:spacing w:val="1"/>
          <w:szCs w:val="24"/>
        </w:rPr>
        <w:t>The rules of the New York city department of environmental protection relating to materials used in the construction of temporary structures for asbestos abatement activities shall contain a provision requiring such structures to be [</w:t>
      </w:r>
      <w:r w:rsidRPr="00EC4EC4">
        <w:rPr>
          <w:strike/>
          <w:spacing w:val="1"/>
          <w:szCs w:val="24"/>
        </w:rPr>
        <w:t>non-combustible</w:t>
      </w:r>
      <w:r w:rsidRPr="00EC4EC4">
        <w:rPr>
          <w:spacing w:val="1"/>
          <w:szCs w:val="24"/>
        </w:rPr>
        <w:t>]</w:t>
      </w:r>
      <w:r w:rsidRPr="00EC4EC4">
        <w:rPr>
          <w:spacing w:val="1"/>
          <w:szCs w:val="24"/>
          <w:u w:val="single"/>
        </w:rPr>
        <w:t>noncombustible</w:t>
      </w:r>
      <w:r w:rsidRPr="00EC4EC4">
        <w:rPr>
          <w:spacing w:val="1"/>
          <w:szCs w:val="24"/>
        </w:rPr>
        <w:t xml:space="preserve"> or flame resistant in compliance with reference standard NFPA 255-06 or NFPA 701-99, as such standards may be modified by local law or by the department of buildings pursuant to applicable rules.</w:t>
      </w:r>
    </w:p>
    <w:p w14:paraId="51263484"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12</w:t>
      </w:r>
      <w:r w:rsidRPr="00EC4EC4">
        <w:rPr>
          <w:rFonts w:cs="Times New Roman"/>
          <w:sz w:val="23"/>
          <w:szCs w:val="23"/>
        </w:rPr>
        <w:t>. Section 28-108.3 of the administrative code of the city of New York, as amended by local law number 126 for the year 2021, is amended to read as follows:</w:t>
      </w:r>
    </w:p>
    <w:p w14:paraId="41B985F1" w14:textId="77777777" w:rsidR="00140B7C" w:rsidRPr="00EC4EC4" w:rsidRDefault="00140B7C" w:rsidP="00140B7C">
      <w:pPr>
        <w:pStyle w:val="FlushLeft"/>
        <w:rPr>
          <w:spacing w:val="1"/>
          <w:szCs w:val="24"/>
        </w:rPr>
      </w:pPr>
      <w:r w:rsidRPr="00EC4EC4">
        <w:rPr>
          <w:b/>
          <w:szCs w:val="24"/>
        </w:rPr>
        <w:t xml:space="preserve">§28-108.3 Improvement of streets. </w:t>
      </w:r>
      <w:r w:rsidRPr="00EC4EC4">
        <w:rPr>
          <w:spacing w:val="1"/>
          <w:szCs w:val="24"/>
        </w:rPr>
        <w:t>The commissioner shall [</w:t>
      </w:r>
      <w:r w:rsidRPr="00EC4EC4">
        <w:rPr>
          <w:strike/>
          <w:spacing w:val="1"/>
          <w:szCs w:val="24"/>
        </w:rPr>
        <w:t>insure</w:t>
      </w:r>
      <w:r w:rsidRPr="00EC4EC4">
        <w:rPr>
          <w:spacing w:val="1"/>
          <w:szCs w:val="24"/>
        </w:rPr>
        <w:t>]</w:t>
      </w:r>
      <w:r w:rsidRPr="00EC4EC4">
        <w:rPr>
          <w:spacing w:val="1"/>
          <w:szCs w:val="24"/>
          <w:u w:val="single"/>
        </w:rPr>
        <w:t>ensure</w:t>
      </w:r>
      <w:r w:rsidRPr="00EC4EC4">
        <w:rPr>
          <w:spacing w:val="1"/>
          <w:szCs w:val="24"/>
        </w:rPr>
        <w:t xml:space="preserve"> that streets are suitably improved in accordance with the standards prescribed by the department of transportation as required by subdivision 2 of section 36 of the New York state general city law and shall otherwise carry out the provisions of such subdivision.</w:t>
      </w:r>
    </w:p>
    <w:p w14:paraId="05544E2A"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13</w:t>
      </w:r>
      <w:r w:rsidRPr="00EC4EC4">
        <w:rPr>
          <w:rFonts w:cs="Times New Roman"/>
          <w:sz w:val="23"/>
          <w:szCs w:val="23"/>
        </w:rPr>
        <w:t>. Table 28-112.2 of the administrative code of the city of New York, as amended by local law number 126 for the year 2021, is amended to read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2376"/>
        <w:gridCol w:w="1883"/>
        <w:gridCol w:w="1457"/>
        <w:gridCol w:w="1840"/>
      </w:tblGrid>
      <w:tr w:rsidR="00140B7C" w:rsidRPr="00EC4EC4" w14:paraId="21C0E52B" w14:textId="77777777" w:rsidTr="00BC1087">
        <w:trPr>
          <w:cantSplit/>
          <w:trHeight w:val="144"/>
          <w:tblHeader/>
          <w:jc w:val="center"/>
        </w:trPr>
        <w:tc>
          <w:tcPr>
            <w:tcW w:w="964" w:type="pct"/>
            <w:tcBorders>
              <w:top w:val="nil"/>
              <w:left w:val="nil"/>
              <w:right w:val="nil"/>
            </w:tcBorders>
          </w:tcPr>
          <w:p w14:paraId="0E474C0C" w14:textId="77777777" w:rsidR="00140B7C" w:rsidRPr="00EC4EC4" w:rsidRDefault="00140B7C" w:rsidP="00BC1087">
            <w:pPr>
              <w:autoSpaceDE w:val="0"/>
              <w:autoSpaceDN w:val="0"/>
              <w:adjustRightInd w:val="0"/>
              <w:spacing w:after="0" w:line="240" w:lineRule="auto"/>
              <w:jc w:val="center"/>
            </w:pPr>
          </w:p>
        </w:tc>
        <w:tc>
          <w:tcPr>
            <w:tcW w:w="4036" w:type="pct"/>
            <w:gridSpan w:val="4"/>
            <w:tcBorders>
              <w:top w:val="nil"/>
              <w:left w:val="nil"/>
              <w:right w:val="nil"/>
            </w:tcBorders>
            <w:shd w:val="clear" w:color="auto" w:fill="auto"/>
            <w:vAlign w:val="center"/>
          </w:tcPr>
          <w:p w14:paraId="603D10F8" w14:textId="77777777" w:rsidR="00140B7C" w:rsidRPr="00EC4EC4" w:rsidRDefault="00140B7C" w:rsidP="00BC1087">
            <w:pPr>
              <w:autoSpaceDE w:val="0"/>
              <w:autoSpaceDN w:val="0"/>
              <w:adjustRightInd w:val="0"/>
              <w:spacing w:after="0" w:line="240" w:lineRule="auto"/>
              <w:jc w:val="center"/>
              <w:rPr>
                <w:rFonts w:eastAsia="Times New Roman" w:cs="Times New Roman"/>
                <w:b/>
              </w:rPr>
            </w:pPr>
            <w:r w:rsidRPr="00EC4EC4">
              <w:br w:type="page"/>
            </w:r>
            <w:r w:rsidRPr="00EC4EC4">
              <w:rPr>
                <w:rFonts w:eastAsia="Times New Roman" w:cs="Times New Roman"/>
                <w:b/>
              </w:rPr>
              <w:t>TABLE 28-112.2</w:t>
            </w:r>
          </w:p>
        </w:tc>
      </w:tr>
      <w:tr w:rsidR="00140B7C" w:rsidRPr="00EC4EC4" w14:paraId="60E8169C" w14:textId="77777777" w:rsidTr="00BC1087">
        <w:trPr>
          <w:cantSplit/>
          <w:trHeight w:val="144"/>
          <w:tblHeader/>
          <w:jc w:val="center"/>
        </w:trPr>
        <w:tc>
          <w:tcPr>
            <w:tcW w:w="964" w:type="pct"/>
          </w:tcPr>
          <w:p w14:paraId="00246BC1" w14:textId="77777777" w:rsidR="00140B7C" w:rsidRPr="00EC4EC4" w:rsidRDefault="00140B7C" w:rsidP="00BC1087">
            <w:pPr>
              <w:autoSpaceDE w:val="0"/>
              <w:autoSpaceDN w:val="0"/>
              <w:adjustRightInd w:val="0"/>
              <w:spacing w:after="0" w:line="240" w:lineRule="auto"/>
              <w:jc w:val="center"/>
              <w:rPr>
                <w:rFonts w:eastAsia="Times New Roman" w:cs="Times New Roman"/>
                <w:b/>
              </w:rPr>
            </w:pPr>
          </w:p>
        </w:tc>
        <w:tc>
          <w:tcPr>
            <w:tcW w:w="1269" w:type="pct"/>
            <w:shd w:val="clear" w:color="auto" w:fill="auto"/>
            <w:vAlign w:val="center"/>
          </w:tcPr>
          <w:p w14:paraId="10468962" w14:textId="77777777" w:rsidR="00140B7C" w:rsidRPr="00EC4EC4" w:rsidRDefault="00140B7C" w:rsidP="00BC1087">
            <w:pPr>
              <w:autoSpaceDE w:val="0"/>
              <w:autoSpaceDN w:val="0"/>
              <w:adjustRightInd w:val="0"/>
              <w:spacing w:after="0" w:line="240" w:lineRule="auto"/>
              <w:jc w:val="center"/>
              <w:rPr>
                <w:rFonts w:eastAsia="Times New Roman" w:cs="Times New Roman"/>
                <w:b/>
              </w:rPr>
            </w:pPr>
            <w:r w:rsidRPr="00EC4EC4">
              <w:rPr>
                <w:rFonts w:eastAsia="Times New Roman" w:cs="Times New Roman"/>
                <w:b/>
              </w:rPr>
              <w:t>PERMIT TYPE</w:t>
            </w:r>
          </w:p>
        </w:tc>
        <w:tc>
          <w:tcPr>
            <w:tcW w:w="1006" w:type="pct"/>
            <w:shd w:val="clear" w:color="auto" w:fill="auto"/>
            <w:vAlign w:val="center"/>
          </w:tcPr>
          <w:p w14:paraId="7D1125E7" w14:textId="77777777" w:rsidR="00140B7C" w:rsidRPr="00EC4EC4" w:rsidRDefault="00140B7C" w:rsidP="00BC1087">
            <w:pPr>
              <w:autoSpaceDE w:val="0"/>
              <w:autoSpaceDN w:val="0"/>
              <w:adjustRightInd w:val="0"/>
              <w:spacing w:after="0" w:line="240" w:lineRule="auto"/>
              <w:jc w:val="center"/>
              <w:rPr>
                <w:rFonts w:eastAsia="Times New Roman" w:cs="Times New Roman"/>
                <w:b/>
              </w:rPr>
            </w:pPr>
            <w:r w:rsidRPr="00EC4EC4">
              <w:rPr>
                <w:rFonts w:eastAsia="Times New Roman" w:cs="Times New Roman"/>
                <w:b/>
              </w:rPr>
              <w:t>FILING FEE</w:t>
            </w:r>
          </w:p>
        </w:tc>
        <w:tc>
          <w:tcPr>
            <w:tcW w:w="778" w:type="pct"/>
            <w:shd w:val="clear" w:color="auto" w:fill="auto"/>
            <w:vAlign w:val="center"/>
          </w:tcPr>
          <w:p w14:paraId="15E80B0F" w14:textId="77777777" w:rsidR="00140B7C" w:rsidRPr="00EC4EC4" w:rsidRDefault="00140B7C" w:rsidP="00BC1087">
            <w:pPr>
              <w:autoSpaceDE w:val="0"/>
              <w:autoSpaceDN w:val="0"/>
              <w:adjustRightInd w:val="0"/>
              <w:spacing w:after="0" w:line="240" w:lineRule="auto"/>
              <w:jc w:val="center"/>
              <w:rPr>
                <w:rFonts w:eastAsia="Times New Roman" w:cs="Times New Roman"/>
                <w:b/>
              </w:rPr>
            </w:pPr>
            <w:r w:rsidRPr="00EC4EC4">
              <w:rPr>
                <w:rFonts w:eastAsia="Times New Roman" w:cs="Times New Roman"/>
                <w:b/>
              </w:rPr>
              <w:t>RENEWAL FEE</w:t>
            </w:r>
          </w:p>
        </w:tc>
        <w:tc>
          <w:tcPr>
            <w:tcW w:w="983" w:type="pct"/>
            <w:shd w:val="clear" w:color="auto" w:fill="auto"/>
            <w:vAlign w:val="center"/>
          </w:tcPr>
          <w:p w14:paraId="01FCF8F9" w14:textId="77777777" w:rsidR="00140B7C" w:rsidRPr="00EC4EC4" w:rsidRDefault="00140B7C" w:rsidP="00BC1087">
            <w:pPr>
              <w:autoSpaceDE w:val="0"/>
              <w:autoSpaceDN w:val="0"/>
              <w:adjustRightInd w:val="0"/>
              <w:spacing w:after="0" w:line="240" w:lineRule="auto"/>
              <w:jc w:val="center"/>
              <w:rPr>
                <w:rFonts w:eastAsia="Times New Roman" w:cs="Times New Roman"/>
                <w:b/>
              </w:rPr>
            </w:pPr>
            <w:r w:rsidRPr="00EC4EC4">
              <w:rPr>
                <w:rFonts w:eastAsia="Times New Roman" w:cs="Times New Roman"/>
                <w:b/>
              </w:rPr>
              <w:t>COMMENTS</w:t>
            </w:r>
          </w:p>
        </w:tc>
      </w:tr>
      <w:tr w:rsidR="00140B7C" w:rsidRPr="00EC4EC4" w14:paraId="007BEDE8" w14:textId="77777777" w:rsidTr="00BC1087">
        <w:trPr>
          <w:trHeight w:val="268"/>
          <w:jc w:val="center"/>
        </w:trPr>
        <w:tc>
          <w:tcPr>
            <w:tcW w:w="964" w:type="pct"/>
            <w:tcBorders>
              <w:right w:val="nil"/>
            </w:tcBorders>
          </w:tcPr>
          <w:p w14:paraId="42B85AAE" w14:textId="77777777" w:rsidR="00140B7C" w:rsidRPr="00EC4EC4" w:rsidRDefault="00140B7C" w:rsidP="00BC1087">
            <w:pPr>
              <w:autoSpaceDE w:val="0"/>
              <w:autoSpaceDN w:val="0"/>
              <w:adjustRightInd w:val="0"/>
              <w:spacing w:after="0" w:line="240" w:lineRule="auto"/>
              <w:rPr>
                <w:rFonts w:eastAsia="Times New Roman" w:cs="Times New Roman"/>
                <w:b/>
              </w:rPr>
            </w:pPr>
          </w:p>
        </w:tc>
        <w:tc>
          <w:tcPr>
            <w:tcW w:w="1269" w:type="pct"/>
            <w:tcBorders>
              <w:right w:val="nil"/>
            </w:tcBorders>
            <w:shd w:val="clear" w:color="auto" w:fill="auto"/>
            <w:vAlign w:val="center"/>
          </w:tcPr>
          <w:p w14:paraId="357BA74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b/>
              </w:rPr>
              <w:t>New Buildings</w:t>
            </w:r>
          </w:p>
        </w:tc>
        <w:tc>
          <w:tcPr>
            <w:tcW w:w="1006" w:type="pct"/>
            <w:tcBorders>
              <w:left w:val="nil"/>
              <w:right w:val="nil"/>
            </w:tcBorders>
            <w:shd w:val="clear" w:color="auto" w:fill="auto"/>
            <w:vAlign w:val="center"/>
          </w:tcPr>
          <w:p w14:paraId="63CDB92B"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left w:val="nil"/>
              <w:right w:val="nil"/>
            </w:tcBorders>
            <w:shd w:val="clear" w:color="auto" w:fill="auto"/>
            <w:vAlign w:val="center"/>
          </w:tcPr>
          <w:p w14:paraId="6645870D"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tcBorders>
              <w:left w:val="nil"/>
            </w:tcBorders>
            <w:shd w:val="clear" w:color="auto" w:fill="auto"/>
            <w:vAlign w:val="center"/>
          </w:tcPr>
          <w:p w14:paraId="145AF529"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47CC483B" w14:textId="77777777" w:rsidTr="00BC1087">
        <w:trPr>
          <w:trHeight w:val="1728"/>
          <w:jc w:val="center"/>
        </w:trPr>
        <w:tc>
          <w:tcPr>
            <w:tcW w:w="964" w:type="pct"/>
            <w:tcBorders>
              <w:bottom w:val="nil"/>
            </w:tcBorders>
          </w:tcPr>
          <w:p w14:paraId="2D627FC0"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1.</w:t>
            </w:r>
          </w:p>
        </w:tc>
        <w:tc>
          <w:tcPr>
            <w:tcW w:w="1269" w:type="pct"/>
            <w:tcBorders>
              <w:bottom w:val="nil"/>
            </w:tcBorders>
            <w:shd w:val="clear" w:color="auto" w:fill="auto"/>
            <w:vAlign w:val="center"/>
          </w:tcPr>
          <w:p w14:paraId="36CBB18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New building work permit: One-, two- or three-family dwelling, where no existing building elements are to be retained in place as part of the new building.</w:t>
            </w:r>
          </w:p>
        </w:tc>
        <w:tc>
          <w:tcPr>
            <w:tcW w:w="1006" w:type="pct"/>
            <w:tcBorders>
              <w:bottom w:val="nil"/>
            </w:tcBorders>
            <w:shd w:val="clear" w:color="auto" w:fill="auto"/>
            <w:vAlign w:val="center"/>
          </w:tcPr>
          <w:p w14:paraId="3F65958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$0.06 for each square foot, or fraction thereof, of the total floor area of the new building, but not less than $130 for each structure.</w:t>
            </w:r>
          </w:p>
          <w:p w14:paraId="3725BD79" w14:textId="77777777" w:rsidR="00140B7C" w:rsidRPr="00EC4EC4" w:rsidRDefault="00140B7C" w:rsidP="00BC1087">
            <w:pPr>
              <w:autoSpaceDE w:val="0"/>
              <w:autoSpaceDN w:val="0"/>
              <w:adjustRightInd w:val="0"/>
              <w:spacing w:after="0" w:line="240" w:lineRule="auto"/>
              <w:rPr>
                <w:rFonts w:eastAsia="Times New Roman" w:cs="Times New Roman"/>
              </w:rPr>
            </w:pPr>
          </w:p>
          <w:p w14:paraId="3DE2A09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The rates and fees set forth above shall be subject to increases as </w:t>
            </w:r>
            <w:r w:rsidRPr="00EC4EC4">
              <w:rPr>
                <w:rFonts w:eastAsia="Times New Roman" w:cs="Times New Roman"/>
              </w:rPr>
              <w:lastRenderedPageBreak/>
              <w:t>provided by department rules.</w:t>
            </w:r>
          </w:p>
        </w:tc>
        <w:tc>
          <w:tcPr>
            <w:tcW w:w="778" w:type="pct"/>
            <w:tcBorders>
              <w:bottom w:val="nil"/>
            </w:tcBorders>
            <w:shd w:val="clear" w:color="auto" w:fill="auto"/>
            <w:vAlign w:val="center"/>
          </w:tcPr>
          <w:p w14:paraId="3A37FF0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lastRenderedPageBreak/>
              <w:t xml:space="preserve"> </w:t>
            </w:r>
            <w:r w:rsidRPr="00EC4EC4">
              <w:rPr>
                <w:rFonts w:eastAsia="Times New Roman" w:cs="Times New Roman"/>
              </w:rPr>
              <w:br/>
              <w:t>$130 per work type</w:t>
            </w:r>
          </w:p>
        </w:tc>
        <w:tc>
          <w:tcPr>
            <w:tcW w:w="983" w:type="pct"/>
            <w:vMerge w:val="restart"/>
            <w:shd w:val="clear" w:color="auto" w:fill="auto"/>
            <w:vAlign w:val="center"/>
          </w:tcPr>
          <w:p w14:paraId="113F632C"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For the purposes of this fee schedule item, “building elements” means any portion of an existing building or structure, including but not limited to party walls, foundations, footings, piles </w:t>
            </w:r>
            <w:r w:rsidRPr="00EC4EC4">
              <w:rPr>
                <w:rFonts w:eastAsia="Times New Roman" w:cs="Times New Roman"/>
              </w:rPr>
              <w:lastRenderedPageBreak/>
              <w:t>and slabs on grade.</w:t>
            </w:r>
          </w:p>
        </w:tc>
      </w:tr>
      <w:tr w:rsidR="00140B7C" w:rsidRPr="00EC4EC4" w14:paraId="77C22E18" w14:textId="77777777" w:rsidTr="00BC1087">
        <w:trPr>
          <w:trHeight w:val="144"/>
          <w:jc w:val="center"/>
        </w:trPr>
        <w:tc>
          <w:tcPr>
            <w:tcW w:w="964" w:type="pct"/>
            <w:tcBorders>
              <w:top w:val="nil"/>
            </w:tcBorders>
          </w:tcPr>
          <w:p w14:paraId="02FBD096"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p>
        </w:tc>
        <w:tc>
          <w:tcPr>
            <w:tcW w:w="1269" w:type="pct"/>
            <w:tcBorders>
              <w:top w:val="nil"/>
            </w:tcBorders>
            <w:shd w:val="clear" w:color="auto" w:fill="auto"/>
            <w:vAlign w:val="center"/>
          </w:tcPr>
          <w:p w14:paraId="117DB31B" w14:textId="77777777" w:rsidR="00140B7C" w:rsidRPr="00EC4EC4" w:rsidRDefault="00140B7C" w:rsidP="00226293">
            <w:pPr>
              <w:widowControl w:val="0"/>
              <w:numPr>
                <w:ilvl w:val="0"/>
                <w:numId w:val="19"/>
              </w:numPr>
              <w:kinsoku w:val="0"/>
              <w:autoSpaceDE w:val="0"/>
              <w:autoSpaceDN w:val="0"/>
              <w:adjustRightInd w:val="0"/>
              <w:spacing w:after="0" w:line="240" w:lineRule="auto"/>
              <w:ind w:left="459" w:hanging="270"/>
              <w:rPr>
                <w:rFonts w:eastAsia="Times New Roman" w:cs="Times New Roman"/>
              </w:rPr>
            </w:pPr>
            <w:r w:rsidRPr="00EC4EC4">
              <w:rPr>
                <w:rFonts w:eastAsia="Times New Roman" w:cs="Times New Roman"/>
              </w:rPr>
              <w:t>Subsequent applications related to initial new building work permit application, filed prior to the first temporary certificate of occupancy (TCO), or the final certificate of occupancy if no TCO is issued.</w:t>
            </w:r>
          </w:p>
        </w:tc>
        <w:tc>
          <w:tcPr>
            <w:tcW w:w="1006" w:type="pct"/>
            <w:tcBorders>
              <w:top w:val="nil"/>
            </w:tcBorders>
            <w:shd w:val="clear" w:color="auto" w:fill="auto"/>
            <w:vAlign w:val="center"/>
          </w:tcPr>
          <w:p w14:paraId="1E4CD78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$130</w:t>
            </w:r>
          </w:p>
        </w:tc>
        <w:tc>
          <w:tcPr>
            <w:tcW w:w="778" w:type="pct"/>
            <w:tcBorders>
              <w:top w:val="nil"/>
            </w:tcBorders>
            <w:shd w:val="clear" w:color="auto" w:fill="auto"/>
            <w:vAlign w:val="center"/>
          </w:tcPr>
          <w:p w14:paraId="04F4E97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vMerge/>
            <w:shd w:val="clear" w:color="auto" w:fill="auto"/>
            <w:vAlign w:val="center"/>
          </w:tcPr>
          <w:p w14:paraId="42ACBC57"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6FBBCB72" w14:textId="77777777" w:rsidTr="00BC1087">
        <w:trPr>
          <w:trHeight w:val="1987"/>
          <w:jc w:val="center"/>
        </w:trPr>
        <w:tc>
          <w:tcPr>
            <w:tcW w:w="964" w:type="pct"/>
          </w:tcPr>
          <w:p w14:paraId="6F6F3C69"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w:t>
            </w:r>
          </w:p>
        </w:tc>
        <w:tc>
          <w:tcPr>
            <w:tcW w:w="1269" w:type="pct"/>
            <w:shd w:val="clear" w:color="auto" w:fill="auto"/>
            <w:vAlign w:val="center"/>
          </w:tcPr>
          <w:p w14:paraId="196D855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New building work permit: One-, two- or three-family dwelling, where any existing building elements are to be retained in place as part of the new building, pursuant to section 28-101.4.5.</w:t>
            </w:r>
          </w:p>
        </w:tc>
        <w:tc>
          <w:tcPr>
            <w:tcW w:w="1006" w:type="pct"/>
            <w:shd w:val="clear" w:color="auto" w:fill="auto"/>
            <w:vAlign w:val="center"/>
          </w:tcPr>
          <w:p w14:paraId="19A1954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–$130</w:t>
            </w:r>
          </w:p>
          <w:p w14:paraId="66E7A3FF" w14:textId="77777777" w:rsidR="00140B7C" w:rsidRPr="00EC4EC4" w:rsidRDefault="00140B7C" w:rsidP="00BC1087">
            <w:pPr>
              <w:autoSpaceDE w:val="0"/>
              <w:autoSpaceDN w:val="0"/>
              <w:adjustRightInd w:val="0"/>
              <w:spacing w:after="0" w:line="240" w:lineRule="auto"/>
              <w:rPr>
                <w:rFonts w:eastAsia="Times New Roman" w:cs="Times New Roman"/>
              </w:rPr>
            </w:pPr>
          </w:p>
          <w:p w14:paraId="5F8B4F1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for the first $5,000 or fraction thereof, of the cost of alteration; plus $2.60 for each $1,000, or fraction thereof, of cost of alterations in excess of $5,000.</w:t>
            </w:r>
          </w:p>
          <w:p w14:paraId="7E6717CC" w14:textId="77777777" w:rsidR="00140B7C" w:rsidRPr="00EC4EC4" w:rsidRDefault="00140B7C" w:rsidP="00BC1087">
            <w:pPr>
              <w:autoSpaceDE w:val="0"/>
              <w:autoSpaceDN w:val="0"/>
              <w:adjustRightInd w:val="0"/>
              <w:spacing w:after="0" w:line="240" w:lineRule="auto"/>
              <w:rPr>
                <w:rFonts w:eastAsia="Times New Roman" w:cs="Times New Roman"/>
              </w:rPr>
            </w:pPr>
          </w:p>
          <w:p w14:paraId="5408EE8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The rates and fees set forth above shall be subject to increases as </w:t>
            </w:r>
            <w:r w:rsidRPr="00EC4EC4">
              <w:rPr>
                <w:rFonts w:eastAsia="Times New Roman" w:cs="Times New Roman"/>
              </w:rPr>
              <w:lastRenderedPageBreak/>
              <w:t>provided by department rules.</w:t>
            </w:r>
          </w:p>
        </w:tc>
        <w:tc>
          <w:tcPr>
            <w:tcW w:w="778" w:type="pct"/>
            <w:shd w:val="clear" w:color="auto" w:fill="auto"/>
            <w:vAlign w:val="center"/>
          </w:tcPr>
          <w:p w14:paraId="75B2E5B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lastRenderedPageBreak/>
              <w:t xml:space="preserve"> </w:t>
            </w:r>
            <w:r w:rsidRPr="00EC4EC4">
              <w:rPr>
                <w:rFonts w:eastAsia="Times New Roman" w:cs="Times New Roman"/>
              </w:rPr>
              <w:br/>
              <w:t>$130 per work type</w:t>
            </w:r>
          </w:p>
        </w:tc>
        <w:tc>
          <w:tcPr>
            <w:tcW w:w="983" w:type="pct"/>
            <w:shd w:val="clear" w:color="auto" w:fill="auto"/>
            <w:vAlign w:val="center"/>
          </w:tcPr>
          <w:p w14:paraId="6B246EC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For the purposes of this fee schedule item, “building elements” means any portion of an existing building or structure, including but not limited to party walls, foundations, footings, piles and slabs on grade.</w:t>
            </w:r>
          </w:p>
        </w:tc>
      </w:tr>
      <w:tr w:rsidR="00140B7C" w:rsidRPr="00EC4EC4" w14:paraId="1D1BFCBB" w14:textId="77777777" w:rsidTr="00BC1087">
        <w:trPr>
          <w:trHeight w:val="619"/>
          <w:jc w:val="center"/>
        </w:trPr>
        <w:tc>
          <w:tcPr>
            <w:tcW w:w="964" w:type="pct"/>
          </w:tcPr>
          <w:p w14:paraId="1278C2F0"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w:t>
            </w:r>
          </w:p>
        </w:tc>
        <w:tc>
          <w:tcPr>
            <w:tcW w:w="1269" w:type="pct"/>
            <w:shd w:val="clear" w:color="auto" w:fill="auto"/>
            <w:vAlign w:val="center"/>
          </w:tcPr>
          <w:p w14:paraId="3DDB21A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New building work permit: Garage for not more than three cars when accessory to and filed with plans for one, two- or three-family dwelling to which it is accessory on the same lot.</w:t>
            </w:r>
          </w:p>
        </w:tc>
        <w:tc>
          <w:tcPr>
            <w:tcW w:w="1006" w:type="pct"/>
            <w:shd w:val="clear" w:color="auto" w:fill="auto"/>
            <w:vAlign w:val="center"/>
          </w:tcPr>
          <w:p w14:paraId="1AA7649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$130</w:t>
            </w:r>
          </w:p>
        </w:tc>
        <w:tc>
          <w:tcPr>
            <w:tcW w:w="778" w:type="pct"/>
            <w:shd w:val="clear" w:color="auto" w:fill="auto"/>
            <w:vAlign w:val="center"/>
          </w:tcPr>
          <w:p w14:paraId="22CB4CB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shd w:val="clear" w:color="auto" w:fill="auto"/>
            <w:vAlign w:val="center"/>
          </w:tcPr>
          <w:p w14:paraId="6C4B3ACF"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76238118" w14:textId="77777777" w:rsidTr="00BC1087">
        <w:trPr>
          <w:trHeight w:val="144"/>
          <w:jc w:val="center"/>
        </w:trPr>
        <w:tc>
          <w:tcPr>
            <w:tcW w:w="964" w:type="pct"/>
            <w:tcBorders>
              <w:bottom w:val="nil"/>
            </w:tcBorders>
          </w:tcPr>
          <w:p w14:paraId="55BB4A34"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4.</w:t>
            </w:r>
          </w:p>
        </w:tc>
        <w:tc>
          <w:tcPr>
            <w:tcW w:w="1269" w:type="pct"/>
            <w:tcBorders>
              <w:bottom w:val="nil"/>
            </w:tcBorders>
            <w:shd w:val="clear" w:color="auto" w:fill="auto"/>
            <w:vAlign w:val="center"/>
          </w:tcPr>
          <w:p w14:paraId="0D1A968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New building work permit: All other new buildings fewer than 7 stories and less than 100,000 square feet, where no existing building elements are to be retained in place as part of the new building.</w:t>
            </w:r>
          </w:p>
        </w:tc>
        <w:tc>
          <w:tcPr>
            <w:tcW w:w="1006" w:type="pct"/>
            <w:tcBorders>
              <w:bottom w:val="nil"/>
            </w:tcBorders>
            <w:shd w:val="clear" w:color="auto" w:fill="auto"/>
            <w:vAlign w:val="center"/>
          </w:tcPr>
          <w:p w14:paraId="500E0A5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$0.26 for each square foot, or fraction thereof, of the total floor area of the new building, but not less than $280 for each structure. </w:t>
            </w:r>
          </w:p>
          <w:p w14:paraId="45AEABA1" w14:textId="77777777" w:rsidR="00140B7C" w:rsidRPr="00EC4EC4" w:rsidRDefault="00140B7C" w:rsidP="00BC1087">
            <w:pPr>
              <w:autoSpaceDE w:val="0"/>
              <w:autoSpaceDN w:val="0"/>
              <w:adjustRightInd w:val="0"/>
              <w:spacing w:after="0" w:line="240" w:lineRule="auto"/>
              <w:rPr>
                <w:rFonts w:eastAsia="Times New Roman" w:cs="Times New Roman"/>
              </w:rPr>
            </w:pPr>
          </w:p>
          <w:p w14:paraId="58FB100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tcBorders>
              <w:bottom w:val="nil"/>
            </w:tcBorders>
            <w:shd w:val="clear" w:color="auto" w:fill="auto"/>
            <w:vAlign w:val="center"/>
          </w:tcPr>
          <w:p w14:paraId="32A30D3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vMerge w:val="restart"/>
            <w:shd w:val="clear" w:color="auto" w:fill="auto"/>
            <w:vAlign w:val="center"/>
          </w:tcPr>
          <w:p w14:paraId="343F296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For the purposes of this fee schedule item, “building elements” means any portion of an existing building or structure, including but not limited to party walls, foundations, footings, piles and slabs on grade.</w:t>
            </w:r>
          </w:p>
        </w:tc>
      </w:tr>
      <w:tr w:rsidR="00140B7C" w:rsidRPr="00EC4EC4" w14:paraId="29895F1C" w14:textId="77777777" w:rsidTr="00BC1087">
        <w:trPr>
          <w:trHeight w:val="673"/>
          <w:jc w:val="center"/>
        </w:trPr>
        <w:tc>
          <w:tcPr>
            <w:tcW w:w="964" w:type="pct"/>
            <w:tcBorders>
              <w:top w:val="nil"/>
            </w:tcBorders>
          </w:tcPr>
          <w:p w14:paraId="4B1C7685" w14:textId="77777777" w:rsidR="00140B7C" w:rsidRPr="00EC4EC4" w:rsidRDefault="00140B7C" w:rsidP="00BC1087">
            <w:pPr>
              <w:widowControl w:val="0"/>
              <w:kinsoku w:val="0"/>
              <w:autoSpaceDE w:val="0"/>
              <w:autoSpaceDN w:val="0"/>
              <w:adjustRightInd w:val="0"/>
              <w:spacing w:after="0" w:line="240" w:lineRule="auto"/>
              <w:ind w:left="459"/>
              <w:rPr>
                <w:rFonts w:eastAsia="Times New Roman" w:cs="Times New Roman"/>
              </w:rPr>
            </w:pPr>
          </w:p>
        </w:tc>
        <w:tc>
          <w:tcPr>
            <w:tcW w:w="1269" w:type="pct"/>
            <w:tcBorders>
              <w:top w:val="nil"/>
            </w:tcBorders>
            <w:shd w:val="clear" w:color="auto" w:fill="auto"/>
            <w:vAlign w:val="center"/>
          </w:tcPr>
          <w:p w14:paraId="1DFBAF73" w14:textId="77777777" w:rsidR="00140B7C" w:rsidRPr="00EC4EC4" w:rsidRDefault="00140B7C" w:rsidP="00226293">
            <w:pPr>
              <w:widowControl w:val="0"/>
              <w:numPr>
                <w:ilvl w:val="0"/>
                <w:numId w:val="20"/>
              </w:numPr>
              <w:kinsoku w:val="0"/>
              <w:autoSpaceDE w:val="0"/>
              <w:autoSpaceDN w:val="0"/>
              <w:adjustRightInd w:val="0"/>
              <w:spacing w:after="0" w:line="240" w:lineRule="auto"/>
              <w:ind w:left="459" w:hanging="270"/>
              <w:rPr>
                <w:rFonts w:eastAsia="Times New Roman" w:cs="Times New Roman"/>
              </w:rPr>
            </w:pPr>
            <w:r w:rsidRPr="00EC4EC4">
              <w:rPr>
                <w:rFonts w:eastAsia="Times New Roman" w:cs="Times New Roman"/>
              </w:rPr>
              <w:t xml:space="preserve">Subsequent applications related to initial new building work permit application, filed prior to the first temporary certificate of occupancy </w:t>
            </w:r>
            <w:r w:rsidRPr="00EC4EC4">
              <w:rPr>
                <w:rFonts w:eastAsia="Times New Roman" w:cs="Times New Roman"/>
              </w:rPr>
              <w:lastRenderedPageBreak/>
              <w:t>(TCO), or the final certificate of occupancy if no TCO is issued.</w:t>
            </w:r>
          </w:p>
        </w:tc>
        <w:tc>
          <w:tcPr>
            <w:tcW w:w="1006" w:type="pct"/>
            <w:tcBorders>
              <w:top w:val="nil"/>
            </w:tcBorders>
            <w:shd w:val="clear" w:color="auto" w:fill="auto"/>
            <w:vAlign w:val="center"/>
          </w:tcPr>
          <w:p w14:paraId="5B868E2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lastRenderedPageBreak/>
              <w:t>$130</w:t>
            </w:r>
          </w:p>
        </w:tc>
        <w:tc>
          <w:tcPr>
            <w:tcW w:w="778" w:type="pct"/>
            <w:tcBorders>
              <w:top w:val="nil"/>
            </w:tcBorders>
            <w:shd w:val="clear" w:color="auto" w:fill="auto"/>
            <w:vAlign w:val="center"/>
          </w:tcPr>
          <w:p w14:paraId="5408D4B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vMerge/>
            <w:shd w:val="clear" w:color="auto" w:fill="auto"/>
            <w:vAlign w:val="center"/>
          </w:tcPr>
          <w:p w14:paraId="71D59386"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59A4EAA6" w14:textId="77777777" w:rsidTr="00BC1087">
        <w:trPr>
          <w:cantSplit/>
          <w:trHeight w:val="1951"/>
          <w:jc w:val="center"/>
        </w:trPr>
        <w:tc>
          <w:tcPr>
            <w:tcW w:w="964" w:type="pct"/>
          </w:tcPr>
          <w:p w14:paraId="16129083"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5.</w:t>
            </w:r>
          </w:p>
        </w:tc>
        <w:tc>
          <w:tcPr>
            <w:tcW w:w="1269" w:type="pct"/>
            <w:shd w:val="clear" w:color="auto" w:fill="auto"/>
            <w:vAlign w:val="center"/>
          </w:tcPr>
          <w:p w14:paraId="613EB52C"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New building work permit: All other new buildings fewer than 7 stories and less than 100,000 square feet, where any existing building elements are to be retained in place as part of the new building, pursuant to section 28-101.4.5.</w:t>
            </w:r>
          </w:p>
        </w:tc>
        <w:tc>
          <w:tcPr>
            <w:tcW w:w="1006" w:type="pct"/>
            <w:shd w:val="clear" w:color="auto" w:fill="auto"/>
            <w:vAlign w:val="center"/>
          </w:tcPr>
          <w:p w14:paraId="3DB9530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$280</w:t>
            </w:r>
          </w:p>
          <w:p w14:paraId="09B3A2B8" w14:textId="77777777" w:rsidR="00140B7C" w:rsidRPr="00EC4EC4" w:rsidRDefault="00140B7C" w:rsidP="00BC1087">
            <w:pPr>
              <w:autoSpaceDE w:val="0"/>
              <w:autoSpaceDN w:val="0"/>
              <w:adjustRightInd w:val="0"/>
              <w:spacing w:after="0" w:line="240" w:lineRule="auto"/>
              <w:rPr>
                <w:rFonts w:eastAsia="Times New Roman" w:cs="Times New Roman"/>
              </w:rPr>
            </w:pPr>
          </w:p>
          <w:p w14:paraId="4B761887"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for the first $3,000, or fraction thereof, of the cost of alteration; plus $10.30 for each $1,000, or fraction thereof, of the alteration cost in excess of $3,000.</w:t>
            </w:r>
          </w:p>
          <w:p w14:paraId="0C97C8EA" w14:textId="77777777" w:rsidR="00140B7C" w:rsidRPr="00EC4EC4" w:rsidRDefault="00140B7C" w:rsidP="00BC1087">
            <w:pPr>
              <w:autoSpaceDE w:val="0"/>
              <w:autoSpaceDN w:val="0"/>
              <w:adjustRightInd w:val="0"/>
              <w:spacing w:after="0" w:line="240" w:lineRule="auto"/>
              <w:rPr>
                <w:rFonts w:eastAsia="Times New Roman" w:cs="Times New Roman"/>
              </w:rPr>
            </w:pPr>
          </w:p>
          <w:p w14:paraId="360372A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shd w:val="clear" w:color="auto" w:fill="auto"/>
            <w:vAlign w:val="center"/>
          </w:tcPr>
          <w:p w14:paraId="3D51581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shd w:val="clear" w:color="auto" w:fill="auto"/>
            <w:vAlign w:val="center"/>
          </w:tcPr>
          <w:p w14:paraId="74AE314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For the purposes of this fee schedule item, “building elements” means any portion of an existing building or structure, including but not limited to party walls, foundations, footings, piles and slabs on grade.</w:t>
            </w:r>
          </w:p>
        </w:tc>
      </w:tr>
      <w:tr w:rsidR="00140B7C" w:rsidRPr="00EC4EC4" w14:paraId="0701536F" w14:textId="77777777" w:rsidTr="00BC1087">
        <w:trPr>
          <w:cantSplit/>
          <w:trHeight w:val="1762"/>
          <w:jc w:val="center"/>
        </w:trPr>
        <w:tc>
          <w:tcPr>
            <w:tcW w:w="964" w:type="pct"/>
            <w:tcBorders>
              <w:bottom w:val="nil"/>
            </w:tcBorders>
          </w:tcPr>
          <w:p w14:paraId="26CAC057"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lastRenderedPageBreak/>
              <w:t>6.</w:t>
            </w:r>
          </w:p>
        </w:tc>
        <w:tc>
          <w:tcPr>
            <w:tcW w:w="1269" w:type="pct"/>
            <w:tcBorders>
              <w:bottom w:val="nil"/>
            </w:tcBorders>
            <w:shd w:val="clear" w:color="auto" w:fill="auto"/>
            <w:vAlign w:val="center"/>
          </w:tcPr>
          <w:p w14:paraId="4B41A1DF"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New building work permit: All other new buildings 7 stories or more or 100,000 square feet or more, classified in occupancy group R-2, where at least 50 percent of the occupancy units are affordable to households whose income is less than 165 percent of the area median income for New York city, as determined by the United States department of housing and urban development or successor agency, which are financed entirely or in part by a grant or loan from the city of New York or the New York city housing and development corporation, and where no existing building elements are to be retained in place as part of the new building.</w:t>
            </w:r>
          </w:p>
        </w:tc>
        <w:tc>
          <w:tcPr>
            <w:tcW w:w="1006" w:type="pct"/>
            <w:tcBorders>
              <w:bottom w:val="nil"/>
            </w:tcBorders>
            <w:shd w:val="clear" w:color="auto" w:fill="auto"/>
            <w:vAlign w:val="center"/>
          </w:tcPr>
          <w:p w14:paraId="2FEBC0C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$0.26 for each square foot, or fraction thereof, of the total floor area of the new building, but not less than $130 for each structure,</w:t>
            </w:r>
          </w:p>
          <w:p w14:paraId="02505BAF" w14:textId="77777777" w:rsidR="00140B7C" w:rsidRPr="00EC4EC4" w:rsidRDefault="00140B7C" w:rsidP="00BC1087">
            <w:pPr>
              <w:autoSpaceDE w:val="0"/>
              <w:autoSpaceDN w:val="0"/>
              <w:adjustRightInd w:val="0"/>
              <w:spacing w:after="0" w:line="240" w:lineRule="auto"/>
              <w:rPr>
                <w:rFonts w:eastAsia="Times New Roman" w:cs="Times New Roman"/>
              </w:rPr>
            </w:pPr>
          </w:p>
          <w:p w14:paraId="5FD9E89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tcBorders>
              <w:bottom w:val="nil"/>
            </w:tcBorders>
            <w:shd w:val="clear" w:color="auto" w:fill="auto"/>
            <w:vAlign w:val="center"/>
          </w:tcPr>
          <w:p w14:paraId="45BBF20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vMerge w:val="restart"/>
            <w:shd w:val="clear" w:color="auto" w:fill="auto"/>
            <w:vAlign w:val="center"/>
          </w:tcPr>
          <w:p w14:paraId="5640978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For the purposes of this fee schedule item, "building elements" means any portion of an existing building or structure, including but not limited to party walls, foundations, footings, piles and slabs on grade.</w:t>
            </w:r>
          </w:p>
        </w:tc>
      </w:tr>
      <w:tr w:rsidR="00140B7C" w:rsidRPr="00EC4EC4" w14:paraId="4515D2CF" w14:textId="77777777" w:rsidTr="00BC1087">
        <w:trPr>
          <w:cantSplit/>
          <w:trHeight w:val="144"/>
          <w:jc w:val="center"/>
        </w:trPr>
        <w:tc>
          <w:tcPr>
            <w:tcW w:w="964" w:type="pct"/>
            <w:tcBorders>
              <w:top w:val="nil"/>
            </w:tcBorders>
          </w:tcPr>
          <w:p w14:paraId="58EA90CE" w14:textId="77777777" w:rsidR="00140B7C" w:rsidRPr="00EC4EC4" w:rsidRDefault="00140B7C" w:rsidP="00BC1087">
            <w:pPr>
              <w:widowControl w:val="0"/>
              <w:kinsoku w:val="0"/>
              <w:autoSpaceDE w:val="0"/>
              <w:autoSpaceDN w:val="0"/>
              <w:adjustRightInd w:val="0"/>
              <w:spacing w:after="0" w:line="240" w:lineRule="auto"/>
              <w:ind w:left="549"/>
              <w:rPr>
                <w:rFonts w:eastAsia="Times New Roman" w:cs="Times New Roman"/>
              </w:rPr>
            </w:pPr>
          </w:p>
        </w:tc>
        <w:tc>
          <w:tcPr>
            <w:tcW w:w="1269" w:type="pct"/>
            <w:tcBorders>
              <w:top w:val="nil"/>
            </w:tcBorders>
            <w:shd w:val="clear" w:color="auto" w:fill="auto"/>
            <w:vAlign w:val="center"/>
          </w:tcPr>
          <w:p w14:paraId="39C2139D"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9"/>
              <w:rPr>
                <w:rFonts w:eastAsia="Times New Roman" w:cs="Times New Roman"/>
              </w:rPr>
            </w:pPr>
            <w:r w:rsidRPr="00EC4EC4">
              <w:rPr>
                <w:rFonts w:eastAsia="Times New Roman" w:cs="Times New Roman"/>
              </w:rPr>
              <w:t>Subsequent applications related to initial new building work permit application, filed prior to the first temporary certificate of occupancy (TCO), or the final certificate of occupancy if no TCO is issued</w:t>
            </w:r>
          </w:p>
        </w:tc>
        <w:tc>
          <w:tcPr>
            <w:tcW w:w="1006" w:type="pct"/>
            <w:tcBorders>
              <w:top w:val="nil"/>
            </w:tcBorders>
            <w:shd w:val="clear" w:color="auto" w:fill="auto"/>
            <w:vAlign w:val="center"/>
          </w:tcPr>
          <w:p w14:paraId="657753A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$130</w:t>
            </w:r>
          </w:p>
        </w:tc>
        <w:tc>
          <w:tcPr>
            <w:tcW w:w="778" w:type="pct"/>
            <w:tcBorders>
              <w:top w:val="nil"/>
            </w:tcBorders>
            <w:shd w:val="clear" w:color="auto" w:fill="auto"/>
            <w:vAlign w:val="center"/>
          </w:tcPr>
          <w:p w14:paraId="2DD079B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vMerge/>
            <w:shd w:val="clear" w:color="auto" w:fill="auto"/>
          </w:tcPr>
          <w:p w14:paraId="31DB4C96"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5F8AA718" w14:textId="77777777" w:rsidTr="00BC1087">
        <w:trPr>
          <w:trHeight w:val="476"/>
          <w:jc w:val="center"/>
        </w:trPr>
        <w:tc>
          <w:tcPr>
            <w:tcW w:w="964" w:type="pct"/>
          </w:tcPr>
          <w:p w14:paraId="71453181"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7.</w:t>
            </w:r>
          </w:p>
        </w:tc>
        <w:tc>
          <w:tcPr>
            <w:tcW w:w="1269" w:type="pct"/>
            <w:shd w:val="clear" w:color="auto" w:fill="auto"/>
            <w:vAlign w:val="center"/>
          </w:tcPr>
          <w:p w14:paraId="068907B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New building work permit: All other new buildings 7 stories or more 100,000 square feet or more, classified in occupancy group R-2, where at least 50 percent of the occupancy units are affordable to households whose income is less than 165 percent of the area median income for New York city, as determined by the United States department of housing and urban development or successor agency, which are financed entirely or in part by a grant or loan from the city of New York or the New York city housing and </w:t>
            </w:r>
            <w:r w:rsidRPr="00EC4EC4">
              <w:rPr>
                <w:rFonts w:eastAsia="Times New Roman" w:cs="Times New Roman"/>
              </w:rPr>
              <w:lastRenderedPageBreak/>
              <w:t>development corporation, and where any existing building elements are to be retained in place as part of the new building, pursuant to section 28-101.4.5.</w:t>
            </w:r>
          </w:p>
        </w:tc>
        <w:tc>
          <w:tcPr>
            <w:tcW w:w="1006" w:type="pct"/>
            <w:shd w:val="clear" w:color="auto" w:fill="auto"/>
            <w:vAlign w:val="center"/>
          </w:tcPr>
          <w:p w14:paraId="51F8E57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lastRenderedPageBreak/>
              <w:t>Minimum Filing Fee - $280</w:t>
            </w:r>
          </w:p>
          <w:p w14:paraId="54871F94" w14:textId="77777777" w:rsidR="00140B7C" w:rsidRPr="00EC4EC4" w:rsidRDefault="00140B7C" w:rsidP="00BC1087">
            <w:pPr>
              <w:autoSpaceDE w:val="0"/>
              <w:autoSpaceDN w:val="0"/>
              <w:adjustRightInd w:val="0"/>
              <w:spacing w:after="0" w:line="240" w:lineRule="auto"/>
              <w:rPr>
                <w:rFonts w:eastAsia="Times New Roman" w:cs="Times New Roman"/>
              </w:rPr>
            </w:pPr>
          </w:p>
          <w:p w14:paraId="5ED3507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for the first $3,000 or fraction thereof, of the cost of alteration; plus $10.30 for each $1,000, or fraction thereof, of the alteration cost in excess of $3,000.</w:t>
            </w:r>
          </w:p>
          <w:p w14:paraId="6BC223E4" w14:textId="77777777" w:rsidR="00140B7C" w:rsidRPr="00EC4EC4" w:rsidRDefault="00140B7C" w:rsidP="00BC1087">
            <w:pPr>
              <w:autoSpaceDE w:val="0"/>
              <w:autoSpaceDN w:val="0"/>
              <w:adjustRightInd w:val="0"/>
              <w:spacing w:after="0" w:line="240" w:lineRule="auto"/>
              <w:rPr>
                <w:rFonts w:eastAsia="Times New Roman" w:cs="Times New Roman"/>
              </w:rPr>
            </w:pPr>
          </w:p>
          <w:p w14:paraId="11E7D30C"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shd w:val="clear" w:color="auto" w:fill="auto"/>
            <w:vAlign w:val="center"/>
          </w:tcPr>
          <w:p w14:paraId="0598388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shd w:val="clear" w:color="auto" w:fill="auto"/>
            <w:vAlign w:val="center"/>
          </w:tcPr>
          <w:p w14:paraId="3BBD12E5"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For the purposes of this fee schedule item, "building elements" means any portion of an existing building or structure, including but not limited to party walls, foundations, footings, piles and slabs on grade.</w:t>
            </w:r>
          </w:p>
        </w:tc>
      </w:tr>
      <w:tr w:rsidR="00140B7C" w:rsidRPr="00EC4EC4" w14:paraId="414E680F" w14:textId="77777777" w:rsidTr="00BC1087">
        <w:trPr>
          <w:trHeight w:val="144"/>
          <w:jc w:val="center"/>
        </w:trPr>
        <w:tc>
          <w:tcPr>
            <w:tcW w:w="964" w:type="pct"/>
          </w:tcPr>
          <w:p w14:paraId="65391DA1"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8.</w:t>
            </w:r>
          </w:p>
        </w:tc>
        <w:tc>
          <w:tcPr>
            <w:tcW w:w="1269" w:type="pct"/>
            <w:shd w:val="clear" w:color="auto" w:fill="auto"/>
            <w:vAlign w:val="center"/>
          </w:tcPr>
          <w:p w14:paraId="5B32A87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New building work permit: All other new buildings 7 stories or more, or 100,000 square feet or more, where no existing building elements are to be retained in place as part of the new building.</w:t>
            </w:r>
          </w:p>
        </w:tc>
        <w:tc>
          <w:tcPr>
            <w:tcW w:w="1006" w:type="pct"/>
            <w:shd w:val="clear" w:color="auto" w:fill="auto"/>
            <w:vAlign w:val="center"/>
          </w:tcPr>
          <w:p w14:paraId="4176BF0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$0.45 for each square foot, or fraction thereof, of the total floor area of the new building, but not less than $290 for each structure.</w:t>
            </w:r>
          </w:p>
          <w:p w14:paraId="038BD79A" w14:textId="77777777" w:rsidR="00140B7C" w:rsidRPr="00EC4EC4" w:rsidRDefault="00140B7C" w:rsidP="00BC1087">
            <w:pPr>
              <w:autoSpaceDE w:val="0"/>
              <w:autoSpaceDN w:val="0"/>
              <w:adjustRightInd w:val="0"/>
              <w:spacing w:after="0" w:line="240" w:lineRule="auto"/>
              <w:rPr>
                <w:rFonts w:eastAsia="Times New Roman" w:cs="Times New Roman"/>
              </w:rPr>
            </w:pPr>
          </w:p>
          <w:p w14:paraId="26DAD0D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shd w:val="clear" w:color="auto" w:fill="auto"/>
            <w:vAlign w:val="center"/>
          </w:tcPr>
          <w:p w14:paraId="3389994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br/>
              <w:t xml:space="preserve">$130 per work type </w:t>
            </w:r>
          </w:p>
        </w:tc>
        <w:tc>
          <w:tcPr>
            <w:tcW w:w="983" w:type="pct"/>
            <w:vMerge w:val="restart"/>
            <w:shd w:val="clear" w:color="auto" w:fill="auto"/>
            <w:vAlign w:val="center"/>
          </w:tcPr>
          <w:p w14:paraId="40CADB5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For the purposes of this fee schedule item, "building elements" means any portion of an existing building or structure, including but not limited to party walls, foundations, footings, piles and slabs on grade.</w:t>
            </w:r>
          </w:p>
        </w:tc>
      </w:tr>
      <w:tr w:rsidR="00140B7C" w:rsidRPr="00EC4EC4" w14:paraId="347F85AE" w14:textId="77777777" w:rsidTr="00BC1087">
        <w:trPr>
          <w:trHeight w:val="144"/>
          <w:jc w:val="center"/>
        </w:trPr>
        <w:tc>
          <w:tcPr>
            <w:tcW w:w="964" w:type="pct"/>
          </w:tcPr>
          <w:p w14:paraId="77FAE927"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u w:val="single"/>
              </w:rPr>
            </w:pPr>
            <w:r w:rsidRPr="00EC4EC4">
              <w:rPr>
                <w:rFonts w:eastAsia="Times New Roman" w:cs="Times New Roman"/>
                <w:u w:val="single"/>
              </w:rPr>
              <w:t>9.</w:t>
            </w:r>
          </w:p>
        </w:tc>
        <w:tc>
          <w:tcPr>
            <w:tcW w:w="1269" w:type="pct"/>
            <w:shd w:val="clear" w:color="auto" w:fill="auto"/>
            <w:vAlign w:val="center"/>
          </w:tcPr>
          <w:p w14:paraId="6FCF77F9"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Subsequent applications related to initial new building work permit application, filed prior to the first temporary certificate of occupancy (TCO), or the final certificate of occupancy if no TCO is issued</w:t>
            </w:r>
          </w:p>
        </w:tc>
        <w:tc>
          <w:tcPr>
            <w:tcW w:w="1006" w:type="pct"/>
            <w:shd w:val="clear" w:color="auto" w:fill="auto"/>
            <w:vAlign w:val="center"/>
          </w:tcPr>
          <w:p w14:paraId="053A809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$130 </w:t>
            </w:r>
          </w:p>
          <w:p w14:paraId="30633748"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shd w:val="clear" w:color="auto" w:fill="auto"/>
            <w:vAlign w:val="center"/>
          </w:tcPr>
          <w:p w14:paraId="694CA19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 xml:space="preserve">$130 per work type </w:t>
            </w:r>
          </w:p>
          <w:p w14:paraId="3BE109C8"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shd w:val="clear" w:color="auto" w:fill="auto"/>
          </w:tcPr>
          <w:p w14:paraId="43412043"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5CBB1FFA" w14:textId="77777777" w:rsidTr="00BC1087">
        <w:trPr>
          <w:trHeight w:val="1789"/>
          <w:jc w:val="center"/>
        </w:trPr>
        <w:tc>
          <w:tcPr>
            <w:tcW w:w="964" w:type="pct"/>
          </w:tcPr>
          <w:p w14:paraId="1B3827CD"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lastRenderedPageBreak/>
              <w:t>10.</w:t>
            </w:r>
          </w:p>
        </w:tc>
        <w:tc>
          <w:tcPr>
            <w:tcW w:w="1269" w:type="pct"/>
            <w:shd w:val="clear" w:color="auto" w:fill="auto"/>
            <w:vAlign w:val="center"/>
          </w:tcPr>
          <w:p w14:paraId="545B90C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New building work permit: All other new buildings 7 stories or more, or 100,000 square feet or more, where any existing building elements are to be retained in place as part of the new building, pursuant to section 28-101.4.5.</w:t>
            </w:r>
          </w:p>
        </w:tc>
        <w:tc>
          <w:tcPr>
            <w:tcW w:w="1006" w:type="pct"/>
            <w:shd w:val="clear" w:color="auto" w:fill="auto"/>
            <w:vAlign w:val="center"/>
          </w:tcPr>
          <w:p w14:paraId="57CF048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$290</w:t>
            </w:r>
          </w:p>
          <w:p w14:paraId="3BEE8DA2" w14:textId="77777777" w:rsidR="00140B7C" w:rsidRPr="00EC4EC4" w:rsidRDefault="00140B7C" w:rsidP="00BC1087">
            <w:pPr>
              <w:autoSpaceDE w:val="0"/>
              <w:autoSpaceDN w:val="0"/>
              <w:adjustRightInd w:val="0"/>
              <w:spacing w:after="0" w:line="240" w:lineRule="auto"/>
              <w:rPr>
                <w:rFonts w:eastAsia="Times New Roman" w:cs="Times New Roman"/>
              </w:rPr>
            </w:pPr>
          </w:p>
          <w:p w14:paraId="49BC55B8"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for the first $3,000, or fraction thereof, of the cost of alteration; plus $17.75 for each $1,000, or fraction thereof, of the alteration cost in excess of $3,000.</w:t>
            </w:r>
          </w:p>
          <w:p w14:paraId="593153D3" w14:textId="77777777" w:rsidR="00140B7C" w:rsidRPr="00EC4EC4" w:rsidRDefault="00140B7C" w:rsidP="00BC1087">
            <w:pPr>
              <w:autoSpaceDE w:val="0"/>
              <w:autoSpaceDN w:val="0"/>
              <w:adjustRightInd w:val="0"/>
              <w:spacing w:after="0" w:line="240" w:lineRule="auto"/>
              <w:rPr>
                <w:rFonts w:eastAsia="Times New Roman" w:cs="Times New Roman"/>
              </w:rPr>
            </w:pPr>
          </w:p>
          <w:p w14:paraId="5469B9A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shd w:val="clear" w:color="auto" w:fill="auto"/>
            <w:vAlign w:val="center"/>
          </w:tcPr>
          <w:p w14:paraId="7703A94F"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shd w:val="clear" w:color="auto" w:fill="auto"/>
            <w:vAlign w:val="center"/>
          </w:tcPr>
          <w:p w14:paraId="628328A5"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For the purposes of this fee schedule item, "building elements" means any portion of an existing building or structure, including but not limited to party walls, foundations, footings, piles and slabs on grade.</w:t>
            </w:r>
          </w:p>
        </w:tc>
      </w:tr>
      <w:tr w:rsidR="00140B7C" w:rsidRPr="00EC4EC4" w14:paraId="7C1D476C" w14:textId="77777777" w:rsidTr="00BC1087">
        <w:trPr>
          <w:trHeight w:val="259"/>
          <w:jc w:val="center"/>
        </w:trPr>
        <w:tc>
          <w:tcPr>
            <w:tcW w:w="964" w:type="pct"/>
            <w:tcBorders>
              <w:right w:val="nil"/>
            </w:tcBorders>
          </w:tcPr>
          <w:p w14:paraId="11C69217" w14:textId="77777777" w:rsidR="00140B7C" w:rsidRPr="00EC4EC4" w:rsidRDefault="00140B7C" w:rsidP="00BC1087">
            <w:pPr>
              <w:autoSpaceDE w:val="0"/>
              <w:autoSpaceDN w:val="0"/>
              <w:adjustRightInd w:val="0"/>
              <w:spacing w:after="0" w:line="240" w:lineRule="auto"/>
              <w:rPr>
                <w:rFonts w:eastAsia="Times New Roman" w:cs="Times New Roman"/>
                <w:b/>
              </w:rPr>
            </w:pPr>
          </w:p>
        </w:tc>
        <w:tc>
          <w:tcPr>
            <w:tcW w:w="1269" w:type="pct"/>
            <w:tcBorders>
              <w:right w:val="nil"/>
            </w:tcBorders>
            <w:shd w:val="clear" w:color="auto" w:fill="auto"/>
            <w:vAlign w:val="center"/>
          </w:tcPr>
          <w:p w14:paraId="09DF2EC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b/>
              </w:rPr>
              <w:t>Alterations</w:t>
            </w:r>
          </w:p>
        </w:tc>
        <w:tc>
          <w:tcPr>
            <w:tcW w:w="1006" w:type="pct"/>
            <w:tcBorders>
              <w:left w:val="nil"/>
              <w:right w:val="nil"/>
            </w:tcBorders>
            <w:shd w:val="clear" w:color="auto" w:fill="auto"/>
            <w:vAlign w:val="center"/>
          </w:tcPr>
          <w:p w14:paraId="521291DC"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left w:val="nil"/>
              <w:right w:val="nil"/>
            </w:tcBorders>
            <w:shd w:val="clear" w:color="auto" w:fill="auto"/>
            <w:vAlign w:val="center"/>
          </w:tcPr>
          <w:p w14:paraId="2D7291A5"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tcBorders>
              <w:left w:val="nil"/>
            </w:tcBorders>
            <w:shd w:val="clear" w:color="auto" w:fill="auto"/>
            <w:vAlign w:val="center"/>
          </w:tcPr>
          <w:p w14:paraId="1F4A2FED"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484119FC" w14:textId="77777777" w:rsidTr="00BC1087">
        <w:trPr>
          <w:trHeight w:val="144"/>
          <w:jc w:val="center"/>
        </w:trPr>
        <w:tc>
          <w:tcPr>
            <w:tcW w:w="964" w:type="pct"/>
            <w:tcBorders>
              <w:bottom w:val="nil"/>
            </w:tcBorders>
          </w:tcPr>
          <w:p w14:paraId="0A4A0082"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11.</w:t>
            </w:r>
          </w:p>
        </w:tc>
        <w:tc>
          <w:tcPr>
            <w:tcW w:w="1269" w:type="pct"/>
            <w:tcBorders>
              <w:bottom w:val="nil"/>
            </w:tcBorders>
            <w:shd w:val="clear" w:color="auto" w:fill="auto"/>
            <w:vAlign w:val="center"/>
          </w:tcPr>
          <w:p w14:paraId="540241E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Alteration work permit: One-, two- or three-family dwelling</w:t>
            </w:r>
          </w:p>
        </w:tc>
        <w:tc>
          <w:tcPr>
            <w:tcW w:w="1006" w:type="pct"/>
            <w:tcBorders>
              <w:bottom w:val="nil"/>
            </w:tcBorders>
            <w:shd w:val="clear" w:color="auto" w:fill="auto"/>
            <w:vAlign w:val="center"/>
          </w:tcPr>
          <w:p w14:paraId="75A65FF4"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vMerge w:val="restart"/>
            <w:shd w:val="clear" w:color="auto" w:fill="auto"/>
            <w:vAlign w:val="center"/>
          </w:tcPr>
          <w:p w14:paraId="0ABC0037"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vMerge w:val="restart"/>
            <w:shd w:val="clear" w:color="auto" w:fill="auto"/>
            <w:vAlign w:val="center"/>
          </w:tcPr>
          <w:p w14:paraId="6960F919"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376C670D" w14:textId="77777777" w:rsidTr="00BC1087">
        <w:trPr>
          <w:trHeight w:val="144"/>
          <w:jc w:val="center"/>
        </w:trPr>
        <w:tc>
          <w:tcPr>
            <w:tcW w:w="964" w:type="pct"/>
            <w:tcBorders>
              <w:top w:val="nil"/>
              <w:bottom w:val="nil"/>
            </w:tcBorders>
          </w:tcPr>
          <w:p w14:paraId="048EB397"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718C4F91"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1</w:t>
            </w:r>
          </w:p>
        </w:tc>
        <w:tc>
          <w:tcPr>
            <w:tcW w:w="1006" w:type="pct"/>
            <w:tcBorders>
              <w:top w:val="nil"/>
              <w:bottom w:val="nil"/>
            </w:tcBorders>
            <w:shd w:val="clear" w:color="auto" w:fill="auto"/>
            <w:vAlign w:val="center"/>
          </w:tcPr>
          <w:p w14:paraId="2ED551D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$170</w:t>
            </w:r>
          </w:p>
        </w:tc>
        <w:tc>
          <w:tcPr>
            <w:tcW w:w="778" w:type="pct"/>
            <w:vMerge/>
            <w:shd w:val="clear" w:color="auto" w:fill="auto"/>
            <w:vAlign w:val="center"/>
          </w:tcPr>
          <w:p w14:paraId="48B212DA"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728A1C4B"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7DA40270" w14:textId="77777777" w:rsidTr="00BC1087">
        <w:trPr>
          <w:trHeight w:val="144"/>
          <w:jc w:val="center"/>
        </w:trPr>
        <w:tc>
          <w:tcPr>
            <w:tcW w:w="964" w:type="pct"/>
            <w:tcBorders>
              <w:top w:val="nil"/>
              <w:bottom w:val="nil"/>
            </w:tcBorders>
          </w:tcPr>
          <w:p w14:paraId="54BA36A9"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06CFE28A"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2</w:t>
            </w:r>
          </w:p>
        </w:tc>
        <w:tc>
          <w:tcPr>
            <w:tcW w:w="1006" w:type="pct"/>
            <w:tcBorders>
              <w:top w:val="nil"/>
              <w:bottom w:val="nil"/>
            </w:tcBorders>
            <w:shd w:val="clear" w:color="auto" w:fill="auto"/>
            <w:vAlign w:val="center"/>
          </w:tcPr>
          <w:p w14:paraId="7032863F"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$130</w:t>
            </w:r>
          </w:p>
        </w:tc>
        <w:tc>
          <w:tcPr>
            <w:tcW w:w="778" w:type="pct"/>
            <w:vMerge/>
            <w:shd w:val="clear" w:color="auto" w:fill="auto"/>
            <w:vAlign w:val="center"/>
          </w:tcPr>
          <w:p w14:paraId="5D550EFA"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232C82D6"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1B6C72AC" w14:textId="77777777" w:rsidTr="00BC1087">
        <w:trPr>
          <w:trHeight w:val="144"/>
          <w:jc w:val="center"/>
        </w:trPr>
        <w:tc>
          <w:tcPr>
            <w:tcW w:w="964" w:type="pct"/>
            <w:tcBorders>
              <w:top w:val="nil"/>
              <w:bottom w:val="nil"/>
            </w:tcBorders>
          </w:tcPr>
          <w:p w14:paraId="17FE7375"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17A01138"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3</w:t>
            </w:r>
          </w:p>
        </w:tc>
        <w:tc>
          <w:tcPr>
            <w:tcW w:w="1006" w:type="pct"/>
            <w:tcBorders>
              <w:top w:val="nil"/>
              <w:bottom w:val="nil"/>
            </w:tcBorders>
            <w:shd w:val="clear" w:color="auto" w:fill="auto"/>
            <w:vAlign w:val="center"/>
          </w:tcPr>
          <w:p w14:paraId="72C15048"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$130</w:t>
            </w:r>
          </w:p>
        </w:tc>
        <w:tc>
          <w:tcPr>
            <w:tcW w:w="778" w:type="pct"/>
            <w:vMerge/>
            <w:shd w:val="clear" w:color="auto" w:fill="auto"/>
            <w:vAlign w:val="center"/>
          </w:tcPr>
          <w:p w14:paraId="7D31CA2C"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7A25E91A"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48C783F0" w14:textId="77777777" w:rsidTr="00BC1087">
        <w:trPr>
          <w:trHeight w:val="144"/>
          <w:jc w:val="center"/>
        </w:trPr>
        <w:tc>
          <w:tcPr>
            <w:tcW w:w="964" w:type="pct"/>
            <w:tcBorders>
              <w:top w:val="nil"/>
              <w:bottom w:val="nil"/>
            </w:tcBorders>
          </w:tcPr>
          <w:p w14:paraId="2A77FD70"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p>
        </w:tc>
        <w:tc>
          <w:tcPr>
            <w:tcW w:w="1269" w:type="pct"/>
            <w:tcBorders>
              <w:top w:val="nil"/>
              <w:bottom w:val="nil"/>
            </w:tcBorders>
            <w:shd w:val="clear" w:color="auto" w:fill="auto"/>
          </w:tcPr>
          <w:p w14:paraId="58427A11"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Limited Alteration Application</w:t>
            </w:r>
          </w:p>
        </w:tc>
        <w:tc>
          <w:tcPr>
            <w:tcW w:w="1006" w:type="pct"/>
            <w:tcBorders>
              <w:top w:val="nil"/>
              <w:bottom w:val="nil"/>
            </w:tcBorders>
            <w:shd w:val="clear" w:color="auto" w:fill="auto"/>
          </w:tcPr>
          <w:p w14:paraId="0951C9D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$130</w:t>
            </w:r>
          </w:p>
        </w:tc>
        <w:tc>
          <w:tcPr>
            <w:tcW w:w="778" w:type="pct"/>
            <w:vMerge/>
            <w:shd w:val="clear" w:color="auto" w:fill="auto"/>
          </w:tcPr>
          <w:p w14:paraId="21B96459" w14:textId="77777777" w:rsidR="00140B7C" w:rsidRPr="00EC4EC4" w:rsidRDefault="00140B7C" w:rsidP="00BC1087">
            <w:pPr>
              <w:widowControl w:val="0"/>
              <w:kinsoku w:val="0"/>
              <w:autoSpaceDE w:val="0"/>
              <w:autoSpaceDN w:val="0"/>
              <w:adjustRightInd w:val="0"/>
              <w:spacing w:after="0" w:line="240" w:lineRule="auto"/>
              <w:jc w:val="center"/>
              <w:rPr>
                <w:rFonts w:eastAsia="Times New Roman" w:cs="Times New Roman"/>
              </w:rPr>
            </w:pPr>
          </w:p>
        </w:tc>
        <w:tc>
          <w:tcPr>
            <w:tcW w:w="983" w:type="pct"/>
            <w:vMerge/>
            <w:shd w:val="clear" w:color="auto" w:fill="auto"/>
            <w:vAlign w:val="center"/>
          </w:tcPr>
          <w:p w14:paraId="604B6DFE"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r>
      <w:tr w:rsidR="00140B7C" w:rsidRPr="00EC4EC4" w14:paraId="24D35B11" w14:textId="77777777" w:rsidTr="00BC1087">
        <w:trPr>
          <w:trHeight w:val="144"/>
          <w:jc w:val="center"/>
        </w:trPr>
        <w:tc>
          <w:tcPr>
            <w:tcW w:w="964" w:type="pct"/>
            <w:tcBorders>
              <w:top w:val="nil"/>
            </w:tcBorders>
          </w:tcPr>
          <w:p w14:paraId="291D5FC9"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269" w:type="pct"/>
            <w:tcBorders>
              <w:top w:val="nil"/>
            </w:tcBorders>
            <w:shd w:val="clear" w:color="auto" w:fill="auto"/>
            <w:vAlign w:val="center"/>
          </w:tcPr>
          <w:p w14:paraId="66F07470"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006" w:type="pct"/>
            <w:tcBorders>
              <w:top w:val="nil"/>
            </w:tcBorders>
            <w:shd w:val="clear" w:color="auto" w:fill="auto"/>
            <w:vAlign w:val="center"/>
          </w:tcPr>
          <w:p w14:paraId="31AFE566" w14:textId="77777777" w:rsidR="00140B7C" w:rsidRPr="00EC4EC4" w:rsidRDefault="00140B7C" w:rsidP="00BC1087">
            <w:pPr>
              <w:autoSpaceDE w:val="0"/>
              <w:autoSpaceDN w:val="0"/>
              <w:adjustRightInd w:val="0"/>
              <w:spacing w:after="0" w:line="240" w:lineRule="auto"/>
              <w:rPr>
                <w:rFonts w:eastAsia="Times New Roman" w:cs="Times New Roman"/>
              </w:rPr>
            </w:pPr>
          </w:p>
          <w:p w14:paraId="4400456F"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Minimum filing fee for the first $5,000, or fraction thereof, of the cost of alteration; plus </w:t>
            </w:r>
            <w:r w:rsidRPr="00EC4EC4">
              <w:rPr>
                <w:rFonts w:eastAsia="Times New Roman" w:cs="Times New Roman"/>
              </w:rPr>
              <w:lastRenderedPageBreak/>
              <w:t xml:space="preserve">$2.60 for each $1,000, or fraction thereof, of cost of alterations in excess of$5,000. </w:t>
            </w:r>
          </w:p>
          <w:p w14:paraId="597482D2" w14:textId="77777777" w:rsidR="00140B7C" w:rsidRPr="00EC4EC4" w:rsidRDefault="00140B7C" w:rsidP="00BC1087">
            <w:pPr>
              <w:autoSpaceDE w:val="0"/>
              <w:autoSpaceDN w:val="0"/>
              <w:adjustRightInd w:val="0"/>
              <w:spacing w:after="0" w:line="240" w:lineRule="auto"/>
              <w:rPr>
                <w:rFonts w:eastAsia="Times New Roman" w:cs="Times New Roman"/>
              </w:rPr>
            </w:pPr>
          </w:p>
          <w:p w14:paraId="65CBA7C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vMerge/>
            <w:shd w:val="clear" w:color="auto" w:fill="auto"/>
          </w:tcPr>
          <w:p w14:paraId="50F04FF0"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c>
          <w:tcPr>
            <w:tcW w:w="983" w:type="pct"/>
            <w:vMerge/>
            <w:shd w:val="clear" w:color="auto" w:fill="auto"/>
            <w:vAlign w:val="center"/>
          </w:tcPr>
          <w:p w14:paraId="2E379171"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r>
      <w:tr w:rsidR="00140B7C" w:rsidRPr="00EC4EC4" w14:paraId="28136B60" w14:textId="77777777" w:rsidTr="00BC1087">
        <w:trPr>
          <w:cantSplit/>
          <w:trHeight w:val="144"/>
          <w:jc w:val="center"/>
        </w:trPr>
        <w:tc>
          <w:tcPr>
            <w:tcW w:w="964" w:type="pct"/>
            <w:tcBorders>
              <w:bottom w:val="nil"/>
            </w:tcBorders>
          </w:tcPr>
          <w:p w14:paraId="5B596BCC"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12.</w:t>
            </w:r>
          </w:p>
        </w:tc>
        <w:tc>
          <w:tcPr>
            <w:tcW w:w="1269" w:type="pct"/>
            <w:tcBorders>
              <w:bottom w:val="nil"/>
            </w:tcBorders>
            <w:shd w:val="clear" w:color="auto" w:fill="auto"/>
          </w:tcPr>
          <w:p w14:paraId="10895C0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Alteration work permit: Alterations in all other buildings and structures fewer than 7 stories and less than 100,000 square feet, including but not limited to aerial towers and masts, tank structures, fire escapes, etc., which are unoccupied and not easily valued by area.</w:t>
            </w:r>
          </w:p>
        </w:tc>
        <w:tc>
          <w:tcPr>
            <w:tcW w:w="1006" w:type="pct"/>
            <w:tcBorders>
              <w:bottom w:val="nil"/>
            </w:tcBorders>
            <w:shd w:val="clear" w:color="auto" w:fill="auto"/>
            <w:vAlign w:val="center"/>
          </w:tcPr>
          <w:p w14:paraId="009C8078"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vMerge w:val="restart"/>
            <w:shd w:val="clear" w:color="auto" w:fill="auto"/>
            <w:vAlign w:val="center"/>
          </w:tcPr>
          <w:p w14:paraId="0EF91BBE"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vMerge w:val="restart"/>
            <w:shd w:val="clear" w:color="auto" w:fill="auto"/>
            <w:vAlign w:val="center"/>
          </w:tcPr>
          <w:p w14:paraId="05A9F895"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Such alterations work shall include:</w:t>
            </w:r>
          </w:p>
          <w:p w14:paraId="64B21FB7" w14:textId="77777777" w:rsidR="00140B7C" w:rsidRPr="00EC4EC4" w:rsidRDefault="00140B7C" w:rsidP="00226293">
            <w:pPr>
              <w:widowControl w:val="0"/>
              <w:numPr>
                <w:ilvl w:val="0"/>
                <w:numId w:val="22"/>
              </w:numPr>
              <w:kinsoku w:val="0"/>
              <w:autoSpaceDE w:val="0"/>
              <w:autoSpaceDN w:val="0"/>
              <w:adjustRightInd w:val="0"/>
              <w:spacing w:after="0" w:line="240" w:lineRule="auto"/>
              <w:ind w:left="397"/>
              <w:rPr>
                <w:rFonts w:eastAsia="Times New Roman" w:cs="Times New Roman"/>
              </w:rPr>
            </w:pPr>
            <w:r w:rsidRPr="00EC4EC4">
              <w:rPr>
                <w:rFonts w:eastAsia="Times New Roman" w:cs="Times New Roman"/>
              </w:rPr>
              <w:t>Applications related to new building work permit application, filed after the first temporary certificate of occupancy (TCO), or the final certificate of occupancy if no TCO is issued.</w:t>
            </w:r>
          </w:p>
          <w:p w14:paraId="20779ECA" w14:textId="77777777" w:rsidR="00140B7C" w:rsidRPr="00EC4EC4" w:rsidRDefault="00140B7C" w:rsidP="00226293">
            <w:pPr>
              <w:widowControl w:val="0"/>
              <w:numPr>
                <w:ilvl w:val="0"/>
                <w:numId w:val="22"/>
              </w:numPr>
              <w:kinsoku w:val="0"/>
              <w:autoSpaceDE w:val="0"/>
              <w:autoSpaceDN w:val="0"/>
              <w:adjustRightInd w:val="0"/>
              <w:spacing w:after="0" w:line="240" w:lineRule="auto"/>
              <w:ind w:left="397"/>
              <w:rPr>
                <w:rFonts w:eastAsia="Times New Roman" w:cs="Times New Roman"/>
              </w:rPr>
            </w:pPr>
            <w:r w:rsidRPr="00EC4EC4">
              <w:rPr>
                <w:rFonts w:eastAsia="Times New Roman" w:cs="Times New Roman"/>
              </w:rPr>
              <w:t xml:space="preserve">Installation or alteration of elevators, escalators, amusement devices and other devices regulated </w:t>
            </w:r>
            <w:r w:rsidRPr="00EC4EC4">
              <w:rPr>
                <w:rFonts w:eastAsia="Times New Roman" w:cs="Times New Roman"/>
              </w:rPr>
              <w:lastRenderedPageBreak/>
              <w:t>under this code, except those filed under a new building application.</w:t>
            </w:r>
          </w:p>
        </w:tc>
      </w:tr>
      <w:tr w:rsidR="00140B7C" w:rsidRPr="00EC4EC4" w14:paraId="359F6586" w14:textId="77777777" w:rsidTr="00BC1087">
        <w:trPr>
          <w:cantSplit/>
          <w:trHeight w:val="144"/>
          <w:jc w:val="center"/>
        </w:trPr>
        <w:tc>
          <w:tcPr>
            <w:tcW w:w="964" w:type="pct"/>
            <w:tcBorders>
              <w:top w:val="nil"/>
              <w:bottom w:val="nil"/>
            </w:tcBorders>
          </w:tcPr>
          <w:p w14:paraId="0C0AFA00"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1C25875A"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1</w:t>
            </w:r>
          </w:p>
        </w:tc>
        <w:tc>
          <w:tcPr>
            <w:tcW w:w="1006" w:type="pct"/>
            <w:tcBorders>
              <w:top w:val="nil"/>
              <w:bottom w:val="nil"/>
            </w:tcBorders>
            <w:shd w:val="clear" w:color="auto" w:fill="auto"/>
            <w:vAlign w:val="center"/>
          </w:tcPr>
          <w:p w14:paraId="66C647C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$280</w:t>
            </w:r>
          </w:p>
        </w:tc>
        <w:tc>
          <w:tcPr>
            <w:tcW w:w="778" w:type="pct"/>
            <w:vMerge/>
            <w:shd w:val="clear" w:color="auto" w:fill="auto"/>
            <w:vAlign w:val="center"/>
          </w:tcPr>
          <w:p w14:paraId="5FBBC2EE"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4131FC0D" w14:textId="77777777" w:rsidR="00140B7C" w:rsidRPr="00EC4EC4" w:rsidRDefault="00140B7C" w:rsidP="00226293">
            <w:pPr>
              <w:widowControl w:val="0"/>
              <w:numPr>
                <w:ilvl w:val="0"/>
                <w:numId w:val="22"/>
              </w:numPr>
              <w:kinsoku w:val="0"/>
              <w:autoSpaceDE w:val="0"/>
              <w:autoSpaceDN w:val="0"/>
              <w:adjustRightInd w:val="0"/>
              <w:spacing w:after="0" w:line="240" w:lineRule="auto"/>
              <w:rPr>
                <w:rFonts w:eastAsia="Times New Roman" w:cs="Times New Roman"/>
              </w:rPr>
            </w:pPr>
          </w:p>
        </w:tc>
      </w:tr>
      <w:tr w:rsidR="00140B7C" w:rsidRPr="00EC4EC4" w14:paraId="3E73F2EC" w14:textId="77777777" w:rsidTr="00BC1087">
        <w:trPr>
          <w:cantSplit/>
          <w:trHeight w:val="144"/>
          <w:jc w:val="center"/>
        </w:trPr>
        <w:tc>
          <w:tcPr>
            <w:tcW w:w="964" w:type="pct"/>
            <w:tcBorders>
              <w:top w:val="nil"/>
              <w:bottom w:val="nil"/>
            </w:tcBorders>
          </w:tcPr>
          <w:p w14:paraId="3F06A79D"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7D58F505"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2</w:t>
            </w:r>
          </w:p>
        </w:tc>
        <w:tc>
          <w:tcPr>
            <w:tcW w:w="1006" w:type="pct"/>
            <w:tcBorders>
              <w:top w:val="nil"/>
              <w:bottom w:val="nil"/>
            </w:tcBorders>
            <w:shd w:val="clear" w:color="auto" w:fill="auto"/>
            <w:vAlign w:val="center"/>
          </w:tcPr>
          <w:p w14:paraId="58BCA97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$225</w:t>
            </w:r>
          </w:p>
        </w:tc>
        <w:tc>
          <w:tcPr>
            <w:tcW w:w="778" w:type="pct"/>
            <w:vMerge/>
            <w:shd w:val="clear" w:color="auto" w:fill="auto"/>
            <w:vAlign w:val="center"/>
          </w:tcPr>
          <w:p w14:paraId="58BF172C"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35E8C901" w14:textId="77777777" w:rsidR="00140B7C" w:rsidRPr="00EC4EC4" w:rsidRDefault="00140B7C" w:rsidP="00226293">
            <w:pPr>
              <w:widowControl w:val="0"/>
              <w:numPr>
                <w:ilvl w:val="0"/>
                <w:numId w:val="22"/>
              </w:numPr>
              <w:kinsoku w:val="0"/>
              <w:autoSpaceDE w:val="0"/>
              <w:autoSpaceDN w:val="0"/>
              <w:adjustRightInd w:val="0"/>
              <w:spacing w:after="0" w:line="240" w:lineRule="auto"/>
              <w:rPr>
                <w:rFonts w:eastAsia="Times New Roman" w:cs="Times New Roman"/>
              </w:rPr>
            </w:pPr>
          </w:p>
        </w:tc>
      </w:tr>
      <w:tr w:rsidR="00140B7C" w:rsidRPr="00EC4EC4" w14:paraId="45B3EDE8" w14:textId="77777777" w:rsidTr="00BC1087">
        <w:trPr>
          <w:cantSplit/>
          <w:trHeight w:val="144"/>
          <w:jc w:val="center"/>
        </w:trPr>
        <w:tc>
          <w:tcPr>
            <w:tcW w:w="964" w:type="pct"/>
            <w:tcBorders>
              <w:top w:val="nil"/>
              <w:bottom w:val="nil"/>
            </w:tcBorders>
          </w:tcPr>
          <w:p w14:paraId="013B0D1F"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51731961"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3</w:t>
            </w:r>
          </w:p>
        </w:tc>
        <w:tc>
          <w:tcPr>
            <w:tcW w:w="1006" w:type="pct"/>
            <w:tcBorders>
              <w:top w:val="nil"/>
              <w:bottom w:val="nil"/>
            </w:tcBorders>
            <w:shd w:val="clear" w:color="auto" w:fill="auto"/>
            <w:vAlign w:val="center"/>
          </w:tcPr>
          <w:p w14:paraId="47A1842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$195</w:t>
            </w:r>
          </w:p>
        </w:tc>
        <w:tc>
          <w:tcPr>
            <w:tcW w:w="778" w:type="pct"/>
            <w:vMerge/>
            <w:shd w:val="clear" w:color="auto" w:fill="auto"/>
          </w:tcPr>
          <w:p w14:paraId="1A573F95" w14:textId="77777777" w:rsidR="00140B7C" w:rsidRPr="00EC4EC4" w:rsidRDefault="00140B7C" w:rsidP="00BC1087">
            <w:pPr>
              <w:widowControl w:val="0"/>
              <w:kinsoku w:val="0"/>
              <w:autoSpaceDE w:val="0"/>
              <w:autoSpaceDN w:val="0"/>
              <w:adjustRightInd w:val="0"/>
              <w:spacing w:after="0" w:line="240" w:lineRule="auto"/>
              <w:jc w:val="center"/>
              <w:rPr>
                <w:rFonts w:eastAsia="Times New Roman" w:cs="Times New Roman"/>
              </w:rPr>
            </w:pPr>
          </w:p>
        </w:tc>
        <w:tc>
          <w:tcPr>
            <w:tcW w:w="983" w:type="pct"/>
            <w:vMerge/>
            <w:shd w:val="clear" w:color="auto" w:fill="auto"/>
            <w:vAlign w:val="center"/>
          </w:tcPr>
          <w:p w14:paraId="202EFD30" w14:textId="77777777" w:rsidR="00140B7C" w:rsidRPr="00EC4EC4" w:rsidRDefault="00140B7C" w:rsidP="00226293">
            <w:pPr>
              <w:widowControl w:val="0"/>
              <w:numPr>
                <w:ilvl w:val="0"/>
                <w:numId w:val="22"/>
              </w:numPr>
              <w:kinsoku w:val="0"/>
              <w:autoSpaceDE w:val="0"/>
              <w:autoSpaceDN w:val="0"/>
              <w:adjustRightInd w:val="0"/>
              <w:spacing w:after="0" w:line="240" w:lineRule="auto"/>
              <w:rPr>
                <w:rFonts w:eastAsia="Times New Roman" w:cs="Times New Roman"/>
              </w:rPr>
            </w:pPr>
          </w:p>
        </w:tc>
      </w:tr>
      <w:tr w:rsidR="00140B7C" w:rsidRPr="00EC4EC4" w14:paraId="3E252FF1" w14:textId="77777777" w:rsidTr="00BC1087">
        <w:trPr>
          <w:cantSplit/>
          <w:trHeight w:val="144"/>
          <w:jc w:val="center"/>
        </w:trPr>
        <w:tc>
          <w:tcPr>
            <w:tcW w:w="964" w:type="pct"/>
            <w:tcBorders>
              <w:top w:val="nil"/>
              <w:bottom w:val="nil"/>
            </w:tcBorders>
          </w:tcPr>
          <w:p w14:paraId="22BAC476"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p>
        </w:tc>
        <w:tc>
          <w:tcPr>
            <w:tcW w:w="1269" w:type="pct"/>
            <w:tcBorders>
              <w:top w:val="nil"/>
              <w:bottom w:val="nil"/>
            </w:tcBorders>
            <w:shd w:val="clear" w:color="auto" w:fill="auto"/>
            <w:vAlign w:val="center"/>
          </w:tcPr>
          <w:p w14:paraId="720F9AE9"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Limited Alteration Application</w:t>
            </w:r>
          </w:p>
        </w:tc>
        <w:tc>
          <w:tcPr>
            <w:tcW w:w="1006" w:type="pct"/>
            <w:tcBorders>
              <w:top w:val="nil"/>
              <w:bottom w:val="nil"/>
            </w:tcBorders>
            <w:shd w:val="clear" w:color="auto" w:fill="auto"/>
            <w:vAlign w:val="center"/>
          </w:tcPr>
          <w:p w14:paraId="5BB6D7C0"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$195</w:t>
            </w:r>
          </w:p>
        </w:tc>
        <w:tc>
          <w:tcPr>
            <w:tcW w:w="778" w:type="pct"/>
            <w:vMerge/>
            <w:shd w:val="clear" w:color="auto" w:fill="auto"/>
          </w:tcPr>
          <w:p w14:paraId="107FCB60"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c>
          <w:tcPr>
            <w:tcW w:w="983" w:type="pct"/>
            <w:vMerge/>
            <w:shd w:val="clear" w:color="auto" w:fill="auto"/>
            <w:vAlign w:val="center"/>
          </w:tcPr>
          <w:p w14:paraId="11A9E790" w14:textId="77777777" w:rsidR="00140B7C" w:rsidRPr="00EC4EC4" w:rsidRDefault="00140B7C" w:rsidP="00226293">
            <w:pPr>
              <w:widowControl w:val="0"/>
              <w:numPr>
                <w:ilvl w:val="0"/>
                <w:numId w:val="22"/>
              </w:numPr>
              <w:kinsoku w:val="0"/>
              <w:autoSpaceDE w:val="0"/>
              <w:autoSpaceDN w:val="0"/>
              <w:adjustRightInd w:val="0"/>
              <w:spacing w:after="0" w:line="240" w:lineRule="auto"/>
              <w:rPr>
                <w:rFonts w:eastAsia="Times New Roman" w:cs="Times New Roman"/>
              </w:rPr>
            </w:pPr>
          </w:p>
        </w:tc>
      </w:tr>
      <w:tr w:rsidR="00140B7C" w:rsidRPr="00EC4EC4" w14:paraId="6A065959" w14:textId="77777777" w:rsidTr="00BC1087">
        <w:trPr>
          <w:trHeight w:val="144"/>
          <w:jc w:val="center"/>
        </w:trPr>
        <w:tc>
          <w:tcPr>
            <w:tcW w:w="964" w:type="pct"/>
            <w:tcBorders>
              <w:top w:val="nil"/>
            </w:tcBorders>
          </w:tcPr>
          <w:p w14:paraId="33AD05F8"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269" w:type="pct"/>
            <w:tcBorders>
              <w:top w:val="nil"/>
            </w:tcBorders>
            <w:shd w:val="clear" w:color="auto" w:fill="auto"/>
            <w:vAlign w:val="center"/>
          </w:tcPr>
          <w:p w14:paraId="0FCAD7A2"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006" w:type="pct"/>
            <w:tcBorders>
              <w:top w:val="nil"/>
            </w:tcBorders>
            <w:shd w:val="clear" w:color="auto" w:fill="auto"/>
            <w:vAlign w:val="center"/>
          </w:tcPr>
          <w:p w14:paraId="73BF21D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Minimum filing fee for the first $3,000, or fraction thereof, of the cost of alteration; plus </w:t>
            </w:r>
            <w:r w:rsidRPr="00EC4EC4">
              <w:rPr>
                <w:rFonts w:eastAsia="Times New Roman" w:cs="Times New Roman"/>
              </w:rPr>
              <w:lastRenderedPageBreak/>
              <w:t>$10.30 for each $1,000, or fraction thereof, of the alteration cost in excess of $3,000.</w:t>
            </w:r>
          </w:p>
          <w:p w14:paraId="06821398" w14:textId="77777777" w:rsidR="00140B7C" w:rsidRPr="00EC4EC4" w:rsidRDefault="00140B7C" w:rsidP="00BC1087">
            <w:pPr>
              <w:autoSpaceDE w:val="0"/>
              <w:autoSpaceDN w:val="0"/>
              <w:adjustRightInd w:val="0"/>
              <w:spacing w:after="0" w:line="240" w:lineRule="auto"/>
              <w:rPr>
                <w:rFonts w:eastAsia="Times New Roman" w:cs="Times New Roman"/>
              </w:rPr>
            </w:pPr>
          </w:p>
          <w:p w14:paraId="473663A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vMerge/>
            <w:shd w:val="clear" w:color="auto" w:fill="auto"/>
          </w:tcPr>
          <w:p w14:paraId="0C9977FA"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c>
          <w:tcPr>
            <w:tcW w:w="983" w:type="pct"/>
            <w:vMerge/>
            <w:shd w:val="clear" w:color="auto" w:fill="auto"/>
          </w:tcPr>
          <w:p w14:paraId="769C6CC9"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3A268E10" w14:textId="77777777" w:rsidTr="00BC1087">
        <w:trPr>
          <w:trHeight w:val="144"/>
          <w:jc w:val="center"/>
        </w:trPr>
        <w:tc>
          <w:tcPr>
            <w:tcW w:w="964" w:type="pct"/>
            <w:tcBorders>
              <w:bottom w:val="nil"/>
            </w:tcBorders>
          </w:tcPr>
          <w:p w14:paraId="109E8EC4"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Pr>
                <w:rFonts w:eastAsia="Times New Roman" w:cs="Times New Roman"/>
                <w:u w:val="single"/>
              </w:rPr>
              <w:t xml:space="preserve">Table </w:t>
            </w:r>
            <w:r w:rsidRPr="00EC4EC4">
              <w:rPr>
                <w:rFonts w:eastAsia="Times New Roman" w:cs="Times New Roman"/>
                <w:u w:val="single"/>
              </w:rPr>
              <w:t>13.</w:t>
            </w:r>
          </w:p>
        </w:tc>
        <w:tc>
          <w:tcPr>
            <w:tcW w:w="1269" w:type="pct"/>
            <w:tcBorders>
              <w:bottom w:val="nil"/>
            </w:tcBorders>
            <w:shd w:val="clear" w:color="auto" w:fill="auto"/>
            <w:vAlign w:val="center"/>
          </w:tcPr>
          <w:p w14:paraId="2DD7AA1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Alteration work permit: Alterations in all other buildings and structures 7 stories or more, or 100,000 square feet or more, classified in occupancy group R-2, which are unoccupied and not easily valued by area, where at least 50 percent of the occupancy units are affordable to households whose income is less than 165 percent of the area median income for New York city, as determined by the United States department of housing and urban development or successor  agency, and which are financed entirely or in part by a grant or loan from the city of New </w:t>
            </w:r>
            <w:r w:rsidRPr="00EC4EC4">
              <w:rPr>
                <w:rFonts w:eastAsia="Times New Roman" w:cs="Times New Roman"/>
              </w:rPr>
              <w:lastRenderedPageBreak/>
              <w:t>York or the New York city housing and development corporation.</w:t>
            </w:r>
          </w:p>
        </w:tc>
        <w:tc>
          <w:tcPr>
            <w:tcW w:w="1006" w:type="pct"/>
            <w:tcBorders>
              <w:bottom w:val="nil"/>
            </w:tcBorders>
            <w:shd w:val="clear" w:color="auto" w:fill="auto"/>
            <w:vAlign w:val="center"/>
          </w:tcPr>
          <w:p w14:paraId="45A58A6D"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vMerge w:val="restart"/>
            <w:shd w:val="clear" w:color="auto" w:fill="auto"/>
            <w:vAlign w:val="center"/>
          </w:tcPr>
          <w:p w14:paraId="7ABC4F6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br/>
              <w:t>$130 per work type</w:t>
            </w:r>
          </w:p>
        </w:tc>
        <w:tc>
          <w:tcPr>
            <w:tcW w:w="983" w:type="pct"/>
            <w:vMerge w:val="restart"/>
            <w:shd w:val="clear" w:color="auto" w:fill="auto"/>
            <w:vAlign w:val="center"/>
          </w:tcPr>
          <w:p w14:paraId="253F6AD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Such alterations work shall include:</w:t>
            </w:r>
          </w:p>
          <w:p w14:paraId="0CF302D7" w14:textId="77777777" w:rsidR="00140B7C" w:rsidRPr="00EC4EC4" w:rsidRDefault="00140B7C" w:rsidP="00226293">
            <w:pPr>
              <w:widowControl w:val="0"/>
              <w:numPr>
                <w:ilvl w:val="0"/>
                <w:numId w:val="23"/>
              </w:numPr>
              <w:kinsoku w:val="0"/>
              <w:autoSpaceDE w:val="0"/>
              <w:autoSpaceDN w:val="0"/>
              <w:adjustRightInd w:val="0"/>
              <w:spacing w:after="0" w:line="240" w:lineRule="auto"/>
              <w:ind w:left="397" w:hanging="323"/>
              <w:rPr>
                <w:rFonts w:eastAsia="Times New Roman" w:cs="Times New Roman"/>
              </w:rPr>
            </w:pPr>
            <w:r w:rsidRPr="00EC4EC4">
              <w:rPr>
                <w:rFonts w:eastAsia="Times New Roman" w:cs="Times New Roman"/>
              </w:rPr>
              <w:t>Applications related to new building work permit application, filed after the first temporary certificate of occupancy (TCO), or the final certificate of occupancy if no TCO is issued.</w:t>
            </w:r>
          </w:p>
          <w:p w14:paraId="61C0BD2F" w14:textId="77777777" w:rsidR="00140B7C" w:rsidRPr="00EC4EC4" w:rsidRDefault="00140B7C" w:rsidP="00226293">
            <w:pPr>
              <w:widowControl w:val="0"/>
              <w:numPr>
                <w:ilvl w:val="0"/>
                <w:numId w:val="23"/>
              </w:numPr>
              <w:kinsoku w:val="0"/>
              <w:autoSpaceDE w:val="0"/>
              <w:autoSpaceDN w:val="0"/>
              <w:adjustRightInd w:val="0"/>
              <w:spacing w:after="0" w:line="240" w:lineRule="auto"/>
              <w:ind w:left="397" w:hanging="323"/>
              <w:rPr>
                <w:rFonts w:eastAsia="Times New Roman" w:cs="Times New Roman"/>
              </w:rPr>
            </w:pPr>
            <w:r w:rsidRPr="00EC4EC4">
              <w:rPr>
                <w:rFonts w:eastAsia="Times New Roman" w:cs="Times New Roman"/>
              </w:rPr>
              <w:t xml:space="preserve">Installation or alteration of elevators, escalators, amusement devices and other devices </w:t>
            </w:r>
            <w:r w:rsidRPr="00EC4EC4">
              <w:rPr>
                <w:rFonts w:eastAsia="Times New Roman" w:cs="Times New Roman"/>
              </w:rPr>
              <w:lastRenderedPageBreak/>
              <w:t>regulated under this code, except those filed under a new building application.</w:t>
            </w:r>
          </w:p>
        </w:tc>
      </w:tr>
      <w:tr w:rsidR="00140B7C" w:rsidRPr="00EC4EC4" w14:paraId="58ECD49C" w14:textId="77777777" w:rsidTr="00BC1087">
        <w:trPr>
          <w:trHeight w:val="144"/>
          <w:jc w:val="center"/>
        </w:trPr>
        <w:tc>
          <w:tcPr>
            <w:tcW w:w="964" w:type="pct"/>
            <w:tcBorders>
              <w:top w:val="nil"/>
              <w:bottom w:val="nil"/>
            </w:tcBorders>
          </w:tcPr>
          <w:p w14:paraId="7424DB6B"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45028F62"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1</w:t>
            </w:r>
          </w:p>
        </w:tc>
        <w:tc>
          <w:tcPr>
            <w:tcW w:w="1006" w:type="pct"/>
            <w:tcBorders>
              <w:top w:val="nil"/>
              <w:bottom w:val="nil"/>
            </w:tcBorders>
            <w:shd w:val="clear" w:color="auto" w:fill="auto"/>
            <w:vAlign w:val="center"/>
          </w:tcPr>
          <w:p w14:paraId="0E4371A7"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$280</w:t>
            </w:r>
          </w:p>
        </w:tc>
        <w:tc>
          <w:tcPr>
            <w:tcW w:w="778" w:type="pct"/>
            <w:vMerge/>
            <w:shd w:val="clear" w:color="auto" w:fill="auto"/>
          </w:tcPr>
          <w:p w14:paraId="4C6BDF58"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c>
          <w:tcPr>
            <w:tcW w:w="983" w:type="pct"/>
            <w:vMerge/>
            <w:shd w:val="clear" w:color="auto" w:fill="auto"/>
          </w:tcPr>
          <w:p w14:paraId="61641E57"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61ED2B77" w14:textId="77777777" w:rsidTr="00BC1087">
        <w:trPr>
          <w:trHeight w:val="144"/>
          <w:jc w:val="center"/>
        </w:trPr>
        <w:tc>
          <w:tcPr>
            <w:tcW w:w="964" w:type="pct"/>
            <w:tcBorders>
              <w:top w:val="nil"/>
              <w:bottom w:val="nil"/>
            </w:tcBorders>
          </w:tcPr>
          <w:p w14:paraId="10A538D2"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2D818318"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2</w:t>
            </w:r>
          </w:p>
        </w:tc>
        <w:tc>
          <w:tcPr>
            <w:tcW w:w="1006" w:type="pct"/>
            <w:tcBorders>
              <w:top w:val="nil"/>
              <w:bottom w:val="nil"/>
            </w:tcBorders>
            <w:shd w:val="clear" w:color="auto" w:fill="auto"/>
            <w:vAlign w:val="center"/>
          </w:tcPr>
          <w:p w14:paraId="5C8EE90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$280</w:t>
            </w:r>
          </w:p>
        </w:tc>
        <w:tc>
          <w:tcPr>
            <w:tcW w:w="778" w:type="pct"/>
            <w:vMerge/>
            <w:shd w:val="clear" w:color="auto" w:fill="auto"/>
          </w:tcPr>
          <w:p w14:paraId="718EFCBF"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c>
          <w:tcPr>
            <w:tcW w:w="983" w:type="pct"/>
            <w:vMerge/>
            <w:shd w:val="clear" w:color="auto" w:fill="auto"/>
          </w:tcPr>
          <w:p w14:paraId="15831C9B"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697C0153" w14:textId="77777777" w:rsidTr="00BC1087">
        <w:trPr>
          <w:trHeight w:val="144"/>
          <w:jc w:val="center"/>
        </w:trPr>
        <w:tc>
          <w:tcPr>
            <w:tcW w:w="964" w:type="pct"/>
            <w:tcBorders>
              <w:top w:val="nil"/>
              <w:bottom w:val="nil"/>
            </w:tcBorders>
          </w:tcPr>
          <w:p w14:paraId="62A9672B"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17E7CEE4"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3</w:t>
            </w:r>
          </w:p>
        </w:tc>
        <w:tc>
          <w:tcPr>
            <w:tcW w:w="1006" w:type="pct"/>
            <w:tcBorders>
              <w:top w:val="nil"/>
              <w:bottom w:val="nil"/>
            </w:tcBorders>
            <w:shd w:val="clear" w:color="auto" w:fill="auto"/>
            <w:vAlign w:val="center"/>
          </w:tcPr>
          <w:p w14:paraId="32F8B46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$195</w:t>
            </w:r>
          </w:p>
        </w:tc>
        <w:tc>
          <w:tcPr>
            <w:tcW w:w="778" w:type="pct"/>
            <w:vMerge/>
            <w:shd w:val="clear" w:color="auto" w:fill="auto"/>
          </w:tcPr>
          <w:p w14:paraId="0A2CC5E2"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c>
          <w:tcPr>
            <w:tcW w:w="983" w:type="pct"/>
            <w:vMerge/>
            <w:shd w:val="clear" w:color="auto" w:fill="auto"/>
          </w:tcPr>
          <w:p w14:paraId="72B01E01"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00BE7DE4" w14:textId="77777777" w:rsidTr="00BC1087">
        <w:trPr>
          <w:trHeight w:val="144"/>
          <w:jc w:val="center"/>
        </w:trPr>
        <w:tc>
          <w:tcPr>
            <w:tcW w:w="964" w:type="pct"/>
            <w:tcBorders>
              <w:top w:val="nil"/>
              <w:bottom w:val="nil"/>
            </w:tcBorders>
          </w:tcPr>
          <w:p w14:paraId="554BBBD2"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55714BFE"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Limited Alteration Application</w:t>
            </w:r>
          </w:p>
        </w:tc>
        <w:tc>
          <w:tcPr>
            <w:tcW w:w="1006" w:type="pct"/>
            <w:tcBorders>
              <w:top w:val="nil"/>
              <w:bottom w:val="nil"/>
            </w:tcBorders>
            <w:shd w:val="clear" w:color="auto" w:fill="auto"/>
            <w:vAlign w:val="center"/>
          </w:tcPr>
          <w:p w14:paraId="767D2DE8"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$195</w:t>
            </w:r>
          </w:p>
        </w:tc>
        <w:tc>
          <w:tcPr>
            <w:tcW w:w="778" w:type="pct"/>
            <w:vMerge/>
            <w:shd w:val="clear" w:color="auto" w:fill="auto"/>
          </w:tcPr>
          <w:p w14:paraId="3B5706EE"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c>
          <w:tcPr>
            <w:tcW w:w="983" w:type="pct"/>
            <w:vMerge/>
            <w:shd w:val="clear" w:color="auto" w:fill="auto"/>
          </w:tcPr>
          <w:p w14:paraId="14B1B6CC"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0FA9B8F4" w14:textId="77777777" w:rsidTr="00BC1087">
        <w:trPr>
          <w:trHeight w:val="144"/>
          <w:jc w:val="center"/>
        </w:trPr>
        <w:tc>
          <w:tcPr>
            <w:tcW w:w="964" w:type="pct"/>
            <w:tcBorders>
              <w:top w:val="nil"/>
            </w:tcBorders>
          </w:tcPr>
          <w:p w14:paraId="26F035C6"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269" w:type="pct"/>
            <w:tcBorders>
              <w:top w:val="nil"/>
            </w:tcBorders>
            <w:shd w:val="clear" w:color="auto" w:fill="auto"/>
          </w:tcPr>
          <w:p w14:paraId="684BAB45"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006" w:type="pct"/>
            <w:tcBorders>
              <w:top w:val="nil"/>
            </w:tcBorders>
            <w:shd w:val="clear" w:color="auto" w:fill="auto"/>
            <w:vAlign w:val="center"/>
          </w:tcPr>
          <w:p w14:paraId="39F66034" w14:textId="77777777" w:rsidR="00140B7C" w:rsidRPr="00EC4EC4" w:rsidRDefault="00140B7C" w:rsidP="00BC1087">
            <w:pPr>
              <w:autoSpaceDE w:val="0"/>
              <w:autoSpaceDN w:val="0"/>
              <w:adjustRightInd w:val="0"/>
              <w:spacing w:after="0" w:line="240" w:lineRule="auto"/>
              <w:rPr>
                <w:rFonts w:eastAsia="Times New Roman" w:cs="Times New Roman"/>
              </w:rPr>
            </w:pPr>
          </w:p>
          <w:p w14:paraId="3BD57CD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for the first $3,000, or fraction thereof, of the cost of alteration; plus $10.30 for each $1,000, or fraction thereof, of the alteration cost in excess of $3,000.</w:t>
            </w:r>
          </w:p>
          <w:p w14:paraId="0823F930" w14:textId="77777777" w:rsidR="00140B7C" w:rsidRPr="00EC4EC4" w:rsidRDefault="00140B7C" w:rsidP="00BC1087">
            <w:pPr>
              <w:autoSpaceDE w:val="0"/>
              <w:autoSpaceDN w:val="0"/>
              <w:adjustRightInd w:val="0"/>
              <w:spacing w:after="0" w:line="240" w:lineRule="auto"/>
              <w:rPr>
                <w:rFonts w:eastAsia="Times New Roman" w:cs="Times New Roman"/>
              </w:rPr>
            </w:pPr>
          </w:p>
          <w:p w14:paraId="671B642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vMerge/>
            <w:shd w:val="clear" w:color="auto" w:fill="auto"/>
          </w:tcPr>
          <w:p w14:paraId="20DF05F7"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c>
          <w:tcPr>
            <w:tcW w:w="983" w:type="pct"/>
            <w:vMerge/>
            <w:shd w:val="clear" w:color="auto" w:fill="auto"/>
          </w:tcPr>
          <w:p w14:paraId="26F492A0"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329A93FA" w14:textId="77777777" w:rsidTr="00BC1087">
        <w:trPr>
          <w:trHeight w:val="144"/>
          <w:jc w:val="center"/>
        </w:trPr>
        <w:tc>
          <w:tcPr>
            <w:tcW w:w="964" w:type="pct"/>
            <w:tcBorders>
              <w:bottom w:val="nil"/>
            </w:tcBorders>
          </w:tcPr>
          <w:p w14:paraId="7D291E49"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14.</w:t>
            </w:r>
          </w:p>
        </w:tc>
        <w:tc>
          <w:tcPr>
            <w:tcW w:w="1269" w:type="pct"/>
            <w:tcBorders>
              <w:bottom w:val="nil"/>
            </w:tcBorders>
            <w:shd w:val="clear" w:color="auto" w:fill="auto"/>
            <w:vAlign w:val="center"/>
          </w:tcPr>
          <w:p w14:paraId="2D7BD8D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Alteration work permit: Alterations in all other buildings and structures 7 stories or more, or 100,000 square feet or more, including but not limited to aerial towers and masts, </w:t>
            </w:r>
            <w:r w:rsidRPr="00EC4EC4">
              <w:rPr>
                <w:rFonts w:eastAsia="Times New Roman" w:cs="Times New Roman"/>
              </w:rPr>
              <w:lastRenderedPageBreak/>
              <w:t>tank structures, fire escapes, etc., which are unoccupied and not easily valued by area.</w:t>
            </w:r>
          </w:p>
        </w:tc>
        <w:tc>
          <w:tcPr>
            <w:tcW w:w="1006" w:type="pct"/>
            <w:tcBorders>
              <w:bottom w:val="nil"/>
            </w:tcBorders>
            <w:shd w:val="clear" w:color="auto" w:fill="auto"/>
            <w:vAlign w:val="center"/>
          </w:tcPr>
          <w:p w14:paraId="0339C556"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vMerge w:val="restart"/>
            <w:shd w:val="clear" w:color="auto" w:fill="auto"/>
            <w:vAlign w:val="center"/>
          </w:tcPr>
          <w:p w14:paraId="5A542DF0"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r w:rsidRPr="00EC4EC4">
              <w:rPr>
                <w:rFonts w:eastAsia="Times New Roman" w:cs="Times New Roman"/>
              </w:rPr>
              <w:br/>
              <w:t>$130 per work type</w:t>
            </w:r>
          </w:p>
        </w:tc>
        <w:tc>
          <w:tcPr>
            <w:tcW w:w="983" w:type="pct"/>
            <w:vMerge w:val="restart"/>
            <w:shd w:val="clear" w:color="auto" w:fill="auto"/>
            <w:vAlign w:val="center"/>
          </w:tcPr>
          <w:p w14:paraId="6A7324C8"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Such alterations work shall include:</w:t>
            </w:r>
          </w:p>
          <w:p w14:paraId="5E570045" w14:textId="77777777" w:rsidR="00140B7C" w:rsidRPr="00EC4EC4" w:rsidRDefault="00140B7C" w:rsidP="00226293">
            <w:pPr>
              <w:widowControl w:val="0"/>
              <w:numPr>
                <w:ilvl w:val="0"/>
                <w:numId w:val="24"/>
              </w:numPr>
              <w:kinsoku w:val="0"/>
              <w:autoSpaceDE w:val="0"/>
              <w:autoSpaceDN w:val="0"/>
              <w:adjustRightInd w:val="0"/>
              <w:spacing w:after="0" w:line="240" w:lineRule="auto"/>
              <w:ind w:left="397" w:hanging="270"/>
              <w:rPr>
                <w:rFonts w:eastAsia="Times New Roman" w:cs="Times New Roman"/>
              </w:rPr>
            </w:pPr>
            <w:r w:rsidRPr="00EC4EC4">
              <w:rPr>
                <w:rFonts w:eastAsia="Times New Roman" w:cs="Times New Roman"/>
              </w:rPr>
              <w:t xml:space="preserve">Applications related to new building work permit </w:t>
            </w:r>
            <w:r w:rsidRPr="00EC4EC4">
              <w:rPr>
                <w:rFonts w:eastAsia="Times New Roman" w:cs="Times New Roman"/>
              </w:rPr>
              <w:lastRenderedPageBreak/>
              <w:t>application, filed after the first temporary certificate of occupancy (TCO), or the final certificate of occupancy if no TCO is issued.</w:t>
            </w:r>
          </w:p>
          <w:p w14:paraId="4AB23B52" w14:textId="77777777" w:rsidR="00140B7C" w:rsidRPr="00EC4EC4" w:rsidRDefault="00140B7C" w:rsidP="00226293">
            <w:pPr>
              <w:widowControl w:val="0"/>
              <w:numPr>
                <w:ilvl w:val="0"/>
                <w:numId w:val="24"/>
              </w:numPr>
              <w:kinsoku w:val="0"/>
              <w:autoSpaceDE w:val="0"/>
              <w:autoSpaceDN w:val="0"/>
              <w:adjustRightInd w:val="0"/>
              <w:spacing w:after="0" w:line="240" w:lineRule="auto"/>
              <w:ind w:left="397" w:hanging="270"/>
              <w:rPr>
                <w:rFonts w:eastAsia="Times New Roman" w:cs="Times New Roman"/>
              </w:rPr>
            </w:pPr>
            <w:r w:rsidRPr="00EC4EC4">
              <w:rPr>
                <w:rFonts w:eastAsia="Times New Roman" w:cs="Times New Roman"/>
              </w:rPr>
              <w:t>Installation or alteration of elevators, escalators, amusement devices regulated under this code, except those filed under a new building application.</w:t>
            </w:r>
          </w:p>
        </w:tc>
      </w:tr>
      <w:tr w:rsidR="00140B7C" w:rsidRPr="00EC4EC4" w14:paraId="46BB66D7" w14:textId="77777777" w:rsidTr="00BC1087">
        <w:trPr>
          <w:trHeight w:val="144"/>
          <w:jc w:val="center"/>
        </w:trPr>
        <w:tc>
          <w:tcPr>
            <w:tcW w:w="964" w:type="pct"/>
            <w:tcBorders>
              <w:top w:val="nil"/>
              <w:bottom w:val="nil"/>
            </w:tcBorders>
          </w:tcPr>
          <w:p w14:paraId="6F2BB9D4"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7B84FC50" w14:textId="77777777" w:rsidR="00140B7C" w:rsidRPr="00EC4EC4" w:rsidRDefault="00140B7C" w:rsidP="00226293">
            <w:pPr>
              <w:widowControl w:val="0"/>
              <w:numPr>
                <w:ilvl w:val="0"/>
                <w:numId w:val="24"/>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1</w:t>
            </w:r>
          </w:p>
        </w:tc>
        <w:tc>
          <w:tcPr>
            <w:tcW w:w="1006" w:type="pct"/>
            <w:tcBorders>
              <w:top w:val="nil"/>
              <w:bottom w:val="nil"/>
            </w:tcBorders>
            <w:shd w:val="clear" w:color="auto" w:fill="auto"/>
            <w:vAlign w:val="center"/>
          </w:tcPr>
          <w:p w14:paraId="37D08478"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$290</w:t>
            </w:r>
          </w:p>
        </w:tc>
        <w:tc>
          <w:tcPr>
            <w:tcW w:w="778" w:type="pct"/>
            <w:vMerge/>
            <w:shd w:val="clear" w:color="auto" w:fill="auto"/>
          </w:tcPr>
          <w:p w14:paraId="5576CFBA" w14:textId="77777777" w:rsidR="00140B7C" w:rsidRPr="00EC4EC4" w:rsidRDefault="00140B7C" w:rsidP="00BC1087">
            <w:pPr>
              <w:widowControl w:val="0"/>
              <w:kinsoku w:val="0"/>
              <w:spacing w:after="0" w:line="240" w:lineRule="auto"/>
              <w:rPr>
                <w:rFonts w:eastAsia="Times New Roman" w:cs="Times New Roman"/>
              </w:rPr>
            </w:pPr>
          </w:p>
        </w:tc>
        <w:tc>
          <w:tcPr>
            <w:tcW w:w="983" w:type="pct"/>
            <w:vMerge/>
            <w:shd w:val="clear" w:color="auto" w:fill="auto"/>
          </w:tcPr>
          <w:p w14:paraId="4A0BEE22"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5EC78240" w14:textId="77777777" w:rsidTr="00BC1087">
        <w:trPr>
          <w:trHeight w:val="144"/>
          <w:jc w:val="center"/>
        </w:trPr>
        <w:tc>
          <w:tcPr>
            <w:tcW w:w="964" w:type="pct"/>
            <w:tcBorders>
              <w:top w:val="nil"/>
              <w:bottom w:val="nil"/>
            </w:tcBorders>
          </w:tcPr>
          <w:p w14:paraId="1E6533CE"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2B811651" w14:textId="77777777" w:rsidR="00140B7C" w:rsidRPr="00EC4EC4" w:rsidRDefault="00140B7C" w:rsidP="00226293">
            <w:pPr>
              <w:widowControl w:val="0"/>
              <w:numPr>
                <w:ilvl w:val="0"/>
                <w:numId w:val="24"/>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Subsequent or related filings</w:t>
            </w:r>
          </w:p>
        </w:tc>
        <w:tc>
          <w:tcPr>
            <w:tcW w:w="1006" w:type="pct"/>
            <w:tcBorders>
              <w:top w:val="nil"/>
              <w:bottom w:val="nil"/>
            </w:tcBorders>
            <w:shd w:val="clear" w:color="auto" w:fill="auto"/>
            <w:vAlign w:val="center"/>
          </w:tcPr>
          <w:p w14:paraId="1241E8E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$290</w:t>
            </w:r>
          </w:p>
        </w:tc>
        <w:tc>
          <w:tcPr>
            <w:tcW w:w="778" w:type="pct"/>
            <w:vMerge/>
            <w:shd w:val="clear" w:color="auto" w:fill="auto"/>
          </w:tcPr>
          <w:p w14:paraId="0590F110" w14:textId="77777777" w:rsidR="00140B7C" w:rsidRPr="00EC4EC4" w:rsidRDefault="00140B7C" w:rsidP="00BC1087">
            <w:pPr>
              <w:widowControl w:val="0"/>
              <w:kinsoku w:val="0"/>
              <w:spacing w:after="0" w:line="240" w:lineRule="auto"/>
              <w:rPr>
                <w:rFonts w:eastAsia="Times New Roman" w:cs="Times New Roman"/>
              </w:rPr>
            </w:pPr>
          </w:p>
        </w:tc>
        <w:tc>
          <w:tcPr>
            <w:tcW w:w="983" w:type="pct"/>
            <w:vMerge/>
            <w:shd w:val="clear" w:color="auto" w:fill="auto"/>
          </w:tcPr>
          <w:p w14:paraId="247CB20E"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58AA2A85" w14:textId="77777777" w:rsidTr="00BC1087">
        <w:trPr>
          <w:trHeight w:val="144"/>
          <w:jc w:val="center"/>
        </w:trPr>
        <w:tc>
          <w:tcPr>
            <w:tcW w:w="964" w:type="pct"/>
            <w:tcBorders>
              <w:top w:val="nil"/>
            </w:tcBorders>
          </w:tcPr>
          <w:p w14:paraId="26DCAFD0"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269" w:type="pct"/>
            <w:tcBorders>
              <w:top w:val="nil"/>
            </w:tcBorders>
            <w:shd w:val="clear" w:color="auto" w:fill="auto"/>
            <w:vAlign w:val="center"/>
          </w:tcPr>
          <w:p w14:paraId="7B517AE0"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006" w:type="pct"/>
            <w:tcBorders>
              <w:top w:val="nil"/>
            </w:tcBorders>
            <w:shd w:val="clear" w:color="auto" w:fill="auto"/>
            <w:vAlign w:val="center"/>
          </w:tcPr>
          <w:p w14:paraId="7FE3EC0A" w14:textId="77777777" w:rsidR="00140B7C" w:rsidRPr="00EC4EC4" w:rsidRDefault="00140B7C" w:rsidP="00BC1087">
            <w:pPr>
              <w:autoSpaceDE w:val="0"/>
              <w:autoSpaceDN w:val="0"/>
              <w:adjustRightInd w:val="0"/>
              <w:spacing w:after="0" w:line="240" w:lineRule="auto"/>
              <w:rPr>
                <w:rFonts w:eastAsia="Times New Roman" w:cs="Times New Roman"/>
              </w:rPr>
            </w:pPr>
          </w:p>
          <w:p w14:paraId="65E347D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for the first $3,000, or fraction thereof, of the cost of alteration; plus $17.75 for each $1,000, or fraction thereof, of the alteration cost in excess of $3,000.</w:t>
            </w:r>
          </w:p>
          <w:p w14:paraId="5B473DCC" w14:textId="77777777" w:rsidR="00140B7C" w:rsidRPr="00EC4EC4" w:rsidRDefault="00140B7C" w:rsidP="00BC1087">
            <w:pPr>
              <w:autoSpaceDE w:val="0"/>
              <w:autoSpaceDN w:val="0"/>
              <w:adjustRightInd w:val="0"/>
              <w:spacing w:after="0" w:line="240" w:lineRule="auto"/>
              <w:rPr>
                <w:rFonts w:eastAsia="Times New Roman" w:cs="Times New Roman"/>
              </w:rPr>
            </w:pPr>
          </w:p>
          <w:p w14:paraId="571A944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vMerge/>
            <w:shd w:val="clear" w:color="auto" w:fill="auto"/>
          </w:tcPr>
          <w:p w14:paraId="31B7211D" w14:textId="77777777" w:rsidR="00140B7C" w:rsidRPr="00EC4EC4" w:rsidRDefault="00140B7C" w:rsidP="00BC1087">
            <w:pPr>
              <w:widowControl w:val="0"/>
              <w:kinsoku w:val="0"/>
              <w:spacing w:after="0" w:line="240" w:lineRule="auto"/>
              <w:rPr>
                <w:rFonts w:eastAsia="Times New Roman" w:cs="Times New Roman"/>
              </w:rPr>
            </w:pPr>
          </w:p>
        </w:tc>
        <w:tc>
          <w:tcPr>
            <w:tcW w:w="983" w:type="pct"/>
            <w:vMerge/>
            <w:shd w:val="clear" w:color="auto" w:fill="auto"/>
          </w:tcPr>
          <w:p w14:paraId="597E2DA6"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76D2B1A7" w14:textId="77777777" w:rsidTr="00BC1087">
        <w:trPr>
          <w:trHeight w:val="1447"/>
          <w:jc w:val="center"/>
        </w:trPr>
        <w:tc>
          <w:tcPr>
            <w:tcW w:w="964" w:type="pct"/>
            <w:tcBorders>
              <w:bottom w:val="nil"/>
            </w:tcBorders>
          </w:tcPr>
          <w:p w14:paraId="132E1BC4"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15.</w:t>
            </w:r>
          </w:p>
        </w:tc>
        <w:tc>
          <w:tcPr>
            <w:tcW w:w="1269" w:type="pct"/>
            <w:tcBorders>
              <w:bottom w:val="nil"/>
            </w:tcBorders>
            <w:shd w:val="clear" w:color="auto" w:fill="auto"/>
            <w:vAlign w:val="center"/>
          </w:tcPr>
          <w:p w14:paraId="6AEBF3CF"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Alteration work permit: Alterations in all other buildings and structures 7 stories or more, or 100,000 square feet or more, including but not limited to aerial towers and masts, tank structures, fire escapes, etc., which are unoccupied and </w:t>
            </w:r>
            <w:r w:rsidRPr="00EC4EC4">
              <w:rPr>
                <w:rFonts w:eastAsia="Times New Roman" w:cs="Times New Roman"/>
              </w:rPr>
              <w:lastRenderedPageBreak/>
              <w:t>not easily valued by area.</w:t>
            </w:r>
          </w:p>
        </w:tc>
        <w:tc>
          <w:tcPr>
            <w:tcW w:w="1006" w:type="pct"/>
            <w:tcBorders>
              <w:bottom w:val="nil"/>
            </w:tcBorders>
            <w:shd w:val="clear" w:color="auto" w:fill="auto"/>
            <w:vAlign w:val="center"/>
          </w:tcPr>
          <w:p w14:paraId="78F54295"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vMerge w:val="restart"/>
            <w:shd w:val="clear" w:color="auto" w:fill="auto"/>
            <w:vAlign w:val="center"/>
          </w:tcPr>
          <w:p w14:paraId="74084E07" w14:textId="77777777" w:rsidR="00140B7C" w:rsidRPr="00EC4EC4" w:rsidRDefault="00140B7C" w:rsidP="00BC1087">
            <w:pPr>
              <w:widowControl w:val="0"/>
              <w:kinsoku w:val="0"/>
              <w:spacing w:after="0" w:line="240" w:lineRule="auto"/>
              <w:rPr>
                <w:rFonts w:eastAsia="Times New Roman" w:cs="Times New Roman"/>
              </w:rPr>
            </w:pPr>
            <w:r w:rsidRPr="00EC4EC4">
              <w:rPr>
                <w:rFonts w:eastAsia="Times New Roman" w:cs="Times New Roman"/>
              </w:rPr>
              <w:br/>
              <w:t>$130 per work type</w:t>
            </w:r>
          </w:p>
        </w:tc>
        <w:tc>
          <w:tcPr>
            <w:tcW w:w="983" w:type="pct"/>
            <w:vMerge w:val="restart"/>
            <w:shd w:val="clear" w:color="auto" w:fill="auto"/>
            <w:vAlign w:val="center"/>
          </w:tcPr>
          <w:p w14:paraId="7DA6652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Such alterations work shall include: </w:t>
            </w:r>
          </w:p>
          <w:p w14:paraId="738306FE" w14:textId="77777777" w:rsidR="00140B7C" w:rsidRPr="00EC4EC4" w:rsidRDefault="00140B7C" w:rsidP="00226293">
            <w:pPr>
              <w:widowControl w:val="0"/>
              <w:numPr>
                <w:ilvl w:val="0"/>
                <w:numId w:val="25"/>
              </w:numPr>
              <w:kinsoku w:val="0"/>
              <w:autoSpaceDE w:val="0"/>
              <w:autoSpaceDN w:val="0"/>
              <w:adjustRightInd w:val="0"/>
              <w:spacing w:after="0" w:line="240" w:lineRule="auto"/>
              <w:ind w:left="397" w:hanging="270"/>
              <w:rPr>
                <w:rFonts w:eastAsia="Times New Roman" w:cs="Times New Roman"/>
              </w:rPr>
            </w:pPr>
            <w:r w:rsidRPr="00EC4EC4">
              <w:rPr>
                <w:rFonts w:eastAsia="Times New Roman" w:cs="Times New Roman"/>
              </w:rPr>
              <w:t xml:space="preserve">Applications related to new building work permit application, filed after the first </w:t>
            </w:r>
            <w:r w:rsidRPr="00EC4EC4">
              <w:rPr>
                <w:rFonts w:eastAsia="Times New Roman" w:cs="Times New Roman"/>
              </w:rPr>
              <w:lastRenderedPageBreak/>
              <w:t>temporary certificate of occupancy (TCO), or the final certificate of occupancy if no TCO is issued.</w:t>
            </w:r>
          </w:p>
          <w:p w14:paraId="04B0344A" w14:textId="77777777" w:rsidR="00140B7C" w:rsidRPr="00EC4EC4" w:rsidRDefault="00140B7C" w:rsidP="00226293">
            <w:pPr>
              <w:widowControl w:val="0"/>
              <w:numPr>
                <w:ilvl w:val="0"/>
                <w:numId w:val="25"/>
              </w:numPr>
              <w:kinsoku w:val="0"/>
              <w:autoSpaceDE w:val="0"/>
              <w:autoSpaceDN w:val="0"/>
              <w:adjustRightInd w:val="0"/>
              <w:spacing w:after="0" w:line="240" w:lineRule="auto"/>
              <w:ind w:left="397" w:hanging="270"/>
              <w:rPr>
                <w:rFonts w:eastAsia="Times New Roman" w:cs="Times New Roman"/>
              </w:rPr>
            </w:pPr>
            <w:r w:rsidRPr="00EC4EC4">
              <w:rPr>
                <w:rFonts w:eastAsia="Times New Roman" w:cs="Times New Roman"/>
              </w:rPr>
              <w:t>Installation or alteration of elevators, escalators, amusement devices and other devices regulated under this code, except those filed under a new building application.</w:t>
            </w:r>
          </w:p>
        </w:tc>
      </w:tr>
      <w:tr w:rsidR="00140B7C" w:rsidRPr="00EC4EC4" w14:paraId="1221FD11" w14:textId="77777777" w:rsidTr="00BC1087">
        <w:trPr>
          <w:trHeight w:val="144"/>
          <w:jc w:val="center"/>
        </w:trPr>
        <w:tc>
          <w:tcPr>
            <w:tcW w:w="964" w:type="pct"/>
            <w:tcBorders>
              <w:top w:val="nil"/>
              <w:bottom w:val="nil"/>
            </w:tcBorders>
          </w:tcPr>
          <w:p w14:paraId="0BF64B68"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02B79274"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2</w:t>
            </w:r>
          </w:p>
        </w:tc>
        <w:tc>
          <w:tcPr>
            <w:tcW w:w="1006" w:type="pct"/>
            <w:tcBorders>
              <w:top w:val="nil"/>
              <w:bottom w:val="nil"/>
            </w:tcBorders>
            <w:shd w:val="clear" w:color="auto" w:fill="auto"/>
            <w:vAlign w:val="center"/>
          </w:tcPr>
          <w:p w14:paraId="577A0C0F"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$225</w:t>
            </w:r>
          </w:p>
        </w:tc>
        <w:tc>
          <w:tcPr>
            <w:tcW w:w="778" w:type="pct"/>
            <w:vMerge/>
            <w:shd w:val="clear" w:color="auto" w:fill="auto"/>
            <w:vAlign w:val="center"/>
          </w:tcPr>
          <w:p w14:paraId="002D83D5" w14:textId="77777777" w:rsidR="00140B7C" w:rsidRPr="00EC4EC4" w:rsidRDefault="00140B7C" w:rsidP="00BC1087">
            <w:pPr>
              <w:widowControl w:val="0"/>
              <w:kinsoku w:val="0"/>
              <w:spacing w:after="0" w:line="240" w:lineRule="auto"/>
              <w:rPr>
                <w:rFonts w:eastAsia="Times New Roman" w:cs="Times New Roman"/>
              </w:rPr>
            </w:pPr>
          </w:p>
        </w:tc>
        <w:tc>
          <w:tcPr>
            <w:tcW w:w="983" w:type="pct"/>
            <w:vMerge/>
            <w:shd w:val="clear" w:color="auto" w:fill="auto"/>
            <w:vAlign w:val="center"/>
          </w:tcPr>
          <w:p w14:paraId="6D272777"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693C69E9" w14:textId="77777777" w:rsidTr="00BC1087">
        <w:trPr>
          <w:trHeight w:val="144"/>
          <w:jc w:val="center"/>
        </w:trPr>
        <w:tc>
          <w:tcPr>
            <w:tcW w:w="964" w:type="pct"/>
            <w:tcBorders>
              <w:top w:val="nil"/>
              <w:bottom w:val="nil"/>
            </w:tcBorders>
          </w:tcPr>
          <w:p w14:paraId="3CF62834"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4A71211E"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Alteration Type 3</w:t>
            </w:r>
          </w:p>
        </w:tc>
        <w:tc>
          <w:tcPr>
            <w:tcW w:w="1006" w:type="pct"/>
            <w:tcBorders>
              <w:top w:val="nil"/>
              <w:bottom w:val="nil"/>
            </w:tcBorders>
            <w:shd w:val="clear" w:color="auto" w:fill="auto"/>
            <w:vAlign w:val="center"/>
          </w:tcPr>
          <w:p w14:paraId="711047A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$195</w:t>
            </w:r>
          </w:p>
        </w:tc>
        <w:tc>
          <w:tcPr>
            <w:tcW w:w="778" w:type="pct"/>
            <w:vMerge/>
            <w:shd w:val="clear" w:color="auto" w:fill="auto"/>
            <w:vAlign w:val="center"/>
          </w:tcPr>
          <w:p w14:paraId="18999DA6" w14:textId="77777777" w:rsidR="00140B7C" w:rsidRPr="00EC4EC4" w:rsidRDefault="00140B7C" w:rsidP="00BC1087">
            <w:pPr>
              <w:widowControl w:val="0"/>
              <w:kinsoku w:val="0"/>
              <w:spacing w:after="0" w:line="240" w:lineRule="auto"/>
              <w:rPr>
                <w:rFonts w:eastAsia="Times New Roman" w:cs="Times New Roman"/>
              </w:rPr>
            </w:pPr>
          </w:p>
        </w:tc>
        <w:tc>
          <w:tcPr>
            <w:tcW w:w="983" w:type="pct"/>
            <w:vMerge/>
            <w:shd w:val="clear" w:color="auto" w:fill="auto"/>
            <w:vAlign w:val="center"/>
          </w:tcPr>
          <w:p w14:paraId="5841A3F9"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68949A6E" w14:textId="77777777" w:rsidTr="00BC1087">
        <w:trPr>
          <w:trHeight w:val="144"/>
          <w:jc w:val="center"/>
        </w:trPr>
        <w:tc>
          <w:tcPr>
            <w:tcW w:w="964" w:type="pct"/>
            <w:tcBorders>
              <w:top w:val="nil"/>
              <w:bottom w:val="nil"/>
            </w:tcBorders>
          </w:tcPr>
          <w:p w14:paraId="4DB80369"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27679EF9" w14:textId="77777777" w:rsidR="00140B7C" w:rsidRPr="00EC4EC4" w:rsidRDefault="00140B7C" w:rsidP="00226293">
            <w:pPr>
              <w:widowControl w:val="0"/>
              <w:numPr>
                <w:ilvl w:val="0"/>
                <w:numId w:val="20"/>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Limited Alteration Application</w:t>
            </w:r>
          </w:p>
        </w:tc>
        <w:tc>
          <w:tcPr>
            <w:tcW w:w="1006" w:type="pct"/>
            <w:tcBorders>
              <w:top w:val="nil"/>
              <w:bottom w:val="nil"/>
            </w:tcBorders>
            <w:shd w:val="clear" w:color="auto" w:fill="auto"/>
            <w:vAlign w:val="center"/>
          </w:tcPr>
          <w:p w14:paraId="4D4A8967"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 $195</w:t>
            </w:r>
          </w:p>
        </w:tc>
        <w:tc>
          <w:tcPr>
            <w:tcW w:w="778" w:type="pct"/>
            <w:vMerge/>
            <w:shd w:val="clear" w:color="auto" w:fill="auto"/>
            <w:vAlign w:val="center"/>
          </w:tcPr>
          <w:p w14:paraId="3F86112E" w14:textId="77777777" w:rsidR="00140B7C" w:rsidRPr="00EC4EC4" w:rsidRDefault="00140B7C" w:rsidP="00BC1087">
            <w:pPr>
              <w:widowControl w:val="0"/>
              <w:kinsoku w:val="0"/>
              <w:spacing w:after="0" w:line="240" w:lineRule="auto"/>
              <w:rPr>
                <w:rFonts w:eastAsia="Times New Roman" w:cs="Times New Roman"/>
              </w:rPr>
            </w:pPr>
          </w:p>
        </w:tc>
        <w:tc>
          <w:tcPr>
            <w:tcW w:w="983" w:type="pct"/>
            <w:vMerge/>
            <w:shd w:val="clear" w:color="auto" w:fill="auto"/>
            <w:vAlign w:val="center"/>
          </w:tcPr>
          <w:p w14:paraId="154DE69C"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1BAACC44" w14:textId="77777777" w:rsidTr="00BC1087">
        <w:trPr>
          <w:trHeight w:val="144"/>
          <w:jc w:val="center"/>
        </w:trPr>
        <w:tc>
          <w:tcPr>
            <w:tcW w:w="964" w:type="pct"/>
            <w:tcBorders>
              <w:top w:val="nil"/>
            </w:tcBorders>
          </w:tcPr>
          <w:p w14:paraId="27F54ACD"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269" w:type="pct"/>
            <w:tcBorders>
              <w:top w:val="nil"/>
            </w:tcBorders>
            <w:shd w:val="clear" w:color="auto" w:fill="auto"/>
            <w:vAlign w:val="center"/>
          </w:tcPr>
          <w:p w14:paraId="08434FFA"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1006" w:type="pct"/>
            <w:tcBorders>
              <w:top w:val="nil"/>
            </w:tcBorders>
            <w:shd w:val="clear" w:color="auto" w:fill="auto"/>
            <w:vAlign w:val="center"/>
          </w:tcPr>
          <w:p w14:paraId="195FD176" w14:textId="77777777" w:rsidR="00140B7C" w:rsidRPr="00EC4EC4" w:rsidRDefault="00140B7C" w:rsidP="00BC1087">
            <w:pPr>
              <w:autoSpaceDE w:val="0"/>
              <w:autoSpaceDN w:val="0"/>
              <w:adjustRightInd w:val="0"/>
              <w:spacing w:after="0" w:line="240" w:lineRule="auto"/>
              <w:rPr>
                <w:rFonts w:eastAsia="Times New Roman" w:cs="Times New Roman"/>
              </w:rPr>
            </w:pPr>
          </w:p>
          <w:p w14:paraId="0BF352B8"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Minimum filing fee for the first $3,000, or fraction thereof, of the cost of alteration; plus $10.30 for each $1,000, or fraction thereof, of the alteration cost in excess of $3,000.</w:t>
            </w:r>
          </w:p>
          <w:p w14:paraId="10B90ED3" w14:textId="77777777" w:rsidR="00140B7C" w:rsidRPr="00EC4EC4" w:rsidRDefault="00140B7C" w:rsidP="00BC1087">
            <w:pPr>
              <w:autoSpaceDE w:val="0"/>
              <w:autoSpaceDN w:val="0"/>
              <w:adjustRightInd w:val="0"/>
              <w:spacing w:after="0" w:line="240" w:lineRule="auto"/>
              <w:rPr>
                <w:rFonts w:eastAsia="Times New Roman" w:cs="Times New Roman"/>
              </w:rPr>
            </w:pPr>
          </w:p>
          <w:p w14:paraId="267A6E0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The rates and fees set forth above shall be subject to increases as provided by department rules.</w:t>
            </w:r>
          </w:p>
        </w:tc>
        <w:tc>
          <w:tcPr>
            <w:tcW w:w="778" w:type="pct"/>
            <w:vMerge/>
            <w:shd w:val="clear" w:color="auto" w:fill="auto"/>
            <w:vAlign w:val="center"/>
          </w:tcPr>
          <w:p w14:paraId="41DCA172" w14:textId="77777777" w:rsidR="00140B7C" w:rsidRPr="00EC4EC4" w:rsidRDefault="00140B7C" w:rsidP="00BC1087">
            <w:pPr>
              <w:widowControl w:val="0"/>
              <w:kinsoku w:val="0"/>
              <w:spacing w:after="0" w:line="240" w:lineRule="auto"/>
              <w:rPr>
                <w:rFonts w:eastAsia="Times New Roman" w:cs="Times New Roman"/>
              </w:rPr>
            </w:pPr>
          </w:p>
        </w:tc>
        <w:tc>
          <w:tcPr>
            <w:tcW w:w="983" w:type="pct"/>
            <w:vMerge/>
            <w:shd w:val="clear" w:color="auto" w:fill="auto"/>
            <w:vAlign w:val="center"/>
          </w:tcPr>
          <w:p w14:paraId="482A5925"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4DA3F91B" w14:textId="77777777" w:rsidTr="00BC1087">
        <w:trPr>
          <w:trHeight w:val="144"/>
          <w:jc w:val="center"/>
        </w:trPr>
        <w:tc>
          <w:tcPr>
            <w:tcW w:w="964" w:type="pct"/>
          </w:tcPr>
          <w:p w14:paraId="026B0ECB"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16.</w:t>
            </w:r>
          </w:p>
        </w:tc>
        <w:tc>
          <w:tcPr>
            <w:tcW w:w="1269" w:type="pct"/>
            <w:shd w:val="clear" w:color="auto" w:fill="auto"/>
            <w:vAlign w:val="center"/>
          </w:tcPr>
          <w:p w14:paraId="60233D2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to install or alter service equipment except plumbing and fire suppression piping service equipment.</w:t>
            </w:r>
          </w:p>
        </w:tc>
        <w:tc>
          <w:tcPr>
            <w:tcW w:w="1006" w:type="pct"/>
            <w:shd w:val="clear" w:color="auto" w:fill="auto"/>
            <w:vAlign w:val="center"/>
          </w:tcPr>
          <w:p w14:paraId="42EE4FAC"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Filing fee calculated as for respective building alteration.</w:t>
            </w:r>
          </w:p>
          <w:p w14:paraId="4B735B0A"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shd w:val="clear" w:color="auto" w:fill="auto"/>
            <w:vAlign w:val="center"/>
          </w:tcPr>
          <w:p w14:paraId="23787B81" w14:textId="77777777" w:rsidR="00140B7C" w:rsidRPr="00EC4EC4" w:rsidRDefault="00140B7C" w:rsidP="00BC1087">
            <w:pPr>
              <w:widowControl w:val="0"/>
              <w:kinsoku w:val="0"/>
              <w:spacing w:after="0" w:line="240" w:lineRule="auto"/>
              <w:rPr>
                <w:rFonts w:eastAsia="Times New Roman" w:cs="Times New Roman"/>
              </w:rPr>
            </w:pPr>
            <w:r w:rsidRPr="00EC4EC4">
              <w:rPr>
                <w:rFonts w:eastAsia="Times New Roman" w:cs="Times New Roman"/>
              </w:rPr>
              <w:t xml:space="preserve"> $130</w:t>
            </w:r>
          </w:p>
        </w:tc>
        <w:tc>
          <w:tcPr>
            <w:tcW w:w="983" w:type="pct"/>
            <w:shd w:val="clear" w:color="auto" w:fill="auto"/>
            <w:vAlign w:val="center"/>
          </w:tcPr>
          <w:p w14:paraId="6026DAC7"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1FFB661B" w14:textId="77777777" w:rsidTr="00BC1087">
        <w:trPr>
          <w:trHeight w:val="1898"/>
          <w:jc w:val="center"/>
        </w:trPr>
        <w:tc>
          <w:tcPr>
            <w:tcW w:w="964" w:type="pct"/>
            <w:tcBorders>
              <w:bottom w:val="nil"/>
            </w:tcBorders>
          </w:tcPr>
          <w:p w14:paraId="26986178"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lastRenderedPageBreak/>
              <w:t>17.</w:t>
            </w:r>
          </w:p>
        </w:tc>
        <w:tc>
          <w:tcPr>
            <w:tcW w:w="1269" w:type="pct"/>
            <w:tcBorders>
              <w:bottom w:val="nil"/>
            </w:tcBorders>
            <w:shd w:val="clear" w:color="auto" w:fill="auto"/>
            <w:vAlign w:val="center"/>
          </w:tcPr>
          <w:p w14:paraId="3EDFF835"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to install, alter or replace oil-burning equipment, gas or electric heating or any other energy source equipment.</w:t>
            </w:r>
          </w:p>
        </w:tc>
        <w:tc>
          <w:tcPr>
            <w:tcW w:w="1006" w:type="pct"/>
            <w:tcBorders>
              <w:bottom w:val="nil"/>
            </w:tcBorders>
            <w:shd w:val="clear" w:color="auto" w:fill="auto"/>
            <w:vAlign w:val="center"/>
          </w:tcPr>
          <w:p w14:paraId="3141EB4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$130 (Per Type, Device, or Equipment)</w:t>
            </w:r>
          </w:p>
          <w:p w14:paraId="48EB334B" w14:textId="77777777" w:rsidR="00140B7C" w:rsidRPr="00EC4EC4" w:rsidRDefault="00140B7C" w:rsidP="00BC1087">
            <w:pPr>
              <w:autoSpaceDE w:val="0"/>
              <w:autoSpaceDN w:val="0"/>
              <w:adjustRightInd w:val="0"/>
              <w:spacing w:after="0" w:line="240" w:lineRule="auto"/>
              <w:rPr>
                <w:rFonts w:eastAsia="Times New Roman" w:cs="Times New Roman"/>
              </w:rPr>
            </w:pPr>
          </w:p>
          <w:p w14:paraId="021BA8CE"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bottom w:val="nil"/>
            </w:tcBorders>
            <w:shd w:val="clear" w:color="auto" w:fill="auto"/>
            <w:vAlign w:val="center"/>
          </w:tcPr>
          <w:p w14:paraId="7A27912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$130 (Per Type, Device or Equipment)</w:t>
            </w:r>
          </w:p>
        </w:tc>
        <w:tc>
          <w:tcPr>
            <w:tcW w:w="983" w:type="pct"/>
            <w:tcBorders>
              <w:bottom w:val="nil"/>
            </w:tcBorders>
            <w:shd w:val="clear" w:color="auto" w:fill="auto"/>
            <w:vAlign w:val="center"/>
          </w:tcPr>
          <w:p w14:paraId="5AF91083"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79A7FCF9" w14:textId="77777777" w:rsidTr="00BC1087">
        <w:trPr>
          <w:trHeight w:val="144"/>
          <w:jc w:val="center"/>
        </w:trPr>
        <w:tc>
          <w:tcPr>
            <w:tcW w:w="964" w:type="pct"/>
            <w:tcBorders>
              <w:top w:val="nil"/>
              <w:bottom w:val="nil"/>
            </w:tcBorders>
          </w:tcPr>
          <w:p w14:paraId="0A88DE99" w14:textId="77777777" w:rsidR="00140B7C" w:rsidRPr="00EC4EC4" w:rsidRDefault="00140B7C" w:rsidP="00BC1087">
            <w:pPr>
              <w:widowControl w:val="0"/>
              <w:kinsoku w:val="0"/>
              <w:autoSpaceDE w:val="0"/>
              <w:autoSpaceDN w:val="0"/>
              <w:adjustRightInd w:val="0"/>
              <w:spacing w:after="0" w:line="240" w:lineRule="auto"/>
              <w:ind w:left="360"/>
              <w:rPr>
                <w:rFonts w:eastAsia="Times New Roman" w:cs="Times New Roman"/>
                <w:b/>
              </w:rPr>
            </w:pPr>
          </w:p>
        </w:tc>
        <w:tc>
          <w:tcPr>
            <w:tcW w:w="1269" w:type="pct"/>
            <w:tcBorders>
              <w:top w:val="nil"/>
              <w:bottom w:val="nil"/>
            </w:tcBorders>
            <w:shd w:val="clear" w:color="auto" w:fill="auto"/>
            <w:vAlign w:val="center"/>
          </w:tcPr>
          <w:p w14:paraId="3FD03D51" w14:textId="77777777" w:rsidR="00140B7C" w:rsidRPr="00EC4EC4" w:rsidRDefault="00140B7C" w:rsidP="00BC1087">
            <w:pPr>
              <w:widowControl w:val="0"/>
              <w:kinsoku w:val="0"/>
              <w:autoSpaceDE w:val="0"/>
              <w:autoSpaceDN w:val="0"/>
              <w:adjustRightInd w:val="0"/>
              <w:spacing w:after="0" w:line="240" w:lineRule="auto"/>
              <w:ind w:left="360"/>
              <w:rPr>
                <w:rFonts w:eastAsia="Times New Roman" w:cs="Times New Roman"/>
                <w:b/>
              </w:rPr>
            </w:pPr>
          </w:p>
        </w:tc>
        <w:tc>
          <w:tcPr>
            <w:tcW w:w="1006" w:type="pct"/>
            <w:tcBorders>
              <w:top w:val="nil"/>
              <w:bottom w:val="nil"/>
            </w:tcBorders>
            <w:shd w:val="clear" w:color="auto" w:fill="auto"/>
            <w:vAlign w:val="center"/>
          </w:tcPr>
          <w:p w14:paraId="32CD2CEF"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top w:val="nil"/>
              <w:bottom w:val="nil"/>
            </w:tcBorders>
            <w:shd w:val="clear" w:color="auto" w:fill="auto"/>
            <w:vAlign w:val="center"/>
          </w:tcPr>
          <w:p w14:paraId="0441A4DE" w14:textId="77777777" w:rsidR="00140B7C" w:rsidRPr="00EC4EC4" w:rsidRDefault="00140B7C" w:rsidP="00BC1087">
            <w:pPr>
              <w:autoSpaceDE w:val="0"/>
              <w:autoSpaceDN w:val="0"/>
              <w:adjustRightInd w:val="0"/>
              <w:spacing w:after="0" w:line="240" w:lineRule="auto"/>
              <w:rPr>
                <w:rFonts w:eastAsia="Times New Roman" w:cs="Times New Roman"/>
                <w:strike/>
              </w:rPr>
            </w:pPr>
          </w:p>
        </w:tc>
        <w:tc>
          <w:tcPr>
            <w:tcW w:w="983" w:type="pct"/>
            <w:tcBorders>
              <w:top w:val="nil"/>
              <w:bottom w:val="nil"/>
            </w:tcBorders>
            <w:shd w:val="clear" w:color="auto" w:fill="auto"/>
            <w:vAlign w:val="center"/>
          </w:tcPr>
          <w:p w14:paraId="655E9C88" w14:textId="77777777" w:rsidR="00140B7C" w:rsidRPr="00EC4EC4" w:rsidRDefault="00140B7C" w:rsidP="00BC1087">
            <w:pPr>
              <w:autoSpaceDE w:val="0"/>
              <w:autoSpaceDN w:val="0"/>
              <w:adjustRightInd w:val="0"/>
              <w:spacing w:after="0" w:line="240" w:lineRule="auto"/>
              <w:rPr>
                <w:rFonts w:eastAsia="Times New Roman" w:cs="Times New Roman"/>
                <w:strike/>
              </w:rPr>
            </w:pPr>
          </w:p>
        </w:tc>
      </w:tr>
      <w:tr w:rsidR="00140B7C" w:rsidRPr="00EC4EC4" w14:paraId="1AE54E20" w14:textId="77777777" w:rsidTr="00BC1087">
        <w:trPr>
          <w:trHeight w:val="252"/>
          <w:jc w:val="center"/>
        </w:trPr>
        <w:tc>
          <w:tcPr>
            <w:tcW w:w="964" w:type="pct"/>
            <w:tcBorders>
              <w:top w:val="nil"/>
            </w:tcBorders>
          </w:tcPr>
          <w:p w14:paraId="3CA0C80E" w14:textId="77777777" w:rsidR="00140B7C" w:rsidRPr="00EC4EC4" w:rsidRDefault="00140B7C" w:rsidP="00BC1087">
            <w:pPr>
              <w:autoSpaceDE w:val="0"/>
              <w:autoSpaceDN w:val="0"/>
              <w:adjustRightInd w:val="0"/>
              <w:spacing w:after="0" w:line="240" w:lineRule="auto"/>
              <w:rPr>
                <w:rFonts w:eastAsia="Times New Roman" w:cs="Times New Roman"/>
                <w:strike/>
              </w:rPr>
            </w:pPr>
          </w:p>
        </w:tc>
        <w:tc>
          <w:tcPr>
            <w:tcW w:w="1269" w:type="pct"/>
            <w:tcBorders>
              <w:top w:val="nil"/>
            </w:tcBorders>
            <w:shd w:val="clear" w:color="auto" w:fill="auto"/>
            <w:vAlign w:val="center"/>
          </w:tcPr>
          <w:p w14:paraId="7F2794A1" w14:textId="77777777" w:rsidR="00140B7C" w:rsidRPr="00EC4EC4" w:rsidRDefault="00140B7C" w:rsidP="00BC1087">
            <w:pPr>
              <w:autoSpaceDE w:val="0"/>
              <w:autoSpaceDN w:val="0"/>
              <w:adjustRightInd w:val="0"/>
              <w:spacing w:after="0" w:line="240" w:lineRule="auto"/>
              <w:rPr>
                <w:rFonts w:eastAsia="Times New Roman" w:cs="Times New Roman"/>
                <w:strike/>
              </w:rPr>
            </w:pPr>
          </w:p>
        </w:tc>
        <w:tc>
          <w:tcPr>
            <w:tcW w:w="1006" w:type="pct"/>
            <w:tcBorders>
              <w:top w:val="nil"/>
            </w:tcBorders>
            <w:shd w:val="clear" w:color="auto" w:fill="auto"/>
            <w:vAlign w:val="center"/>
          </w:tcPr>
          <w:p w14:paraId="2C7DD2A2" w14:textId="77777777" w:rsidR="00140B7C" w:rsidRPr="00EC4EC4" w:rsidRDefault="00140B7C" w:rsidP="00BC1087">
            <w:pPr>
              <w:autoSpaceDE w:val="0"/>
              <w:autoSpaceDN w:val="0"/>
              <w:adjustRightInd w:val="0"/>
              <w:spacing w:after="0" w:line="240" w:lineRule="auto"/>
              <w:rPr>
                <w:rFonts w:eastAsia="Times New Roman" w:cs="Times New Roman"/>
                <w:strike/>
              </w:rPr>
            </w:pPr>
          </w:p>
        </w:tc>
        <w:tc>
          <w:tcPr>
            <w:tcW w:w="778" w:type="pct"/>
            <w:tcBorders>
              <w:top w:val="nil"/>
            </w:tcBorders>
            <w:shd w:val="clear" w:color="auto" w:fill="auto"/>
            <w:vAlign w:val="center"/>
          </w:tcPr>
          <w:p w14:paraId="72066B4A" w14:textId="77777777" w:rsidR="00140B7C" w:rsidRPr="00EC4EC4" w:rsidRDefault="00140B7C" w:rsidP="00BC1087">
            <w:pPr>
              <w:autoSpaceDE w:val="0"/>
              <w:autoSpaceDN w:val="0"/>
              <w:adjustRightInd w:val="0"/>
              <w:spacing w:after="0" w:line="240" w:lineRule="auto"/>
              <w:rPr>
                <w:rFonts w:eastAsia="Times New Roman" w:cs="Times New Roman"/>
                <w:strike/>
              </w:rPr>
            </w:pPr>
            <w:r w:rsidRPr="00EC4EC4">
              <w:rPr>
                <w:rFonts w:eastAsia="Times New Roman" w:cs="Times New Roman"/>
              </w:rPr>
              <w:t xml:space="preserve"> </w:t>
            </w:r>
          </w:p>
        </w:tc>
        <w:tc>
          <w:tcPr>
            <w:tcW w:w="983" w:type="pct"/>
            <w:tcBorders>
              <w:top w:val="nil"/>
            </w:tcBorders>
            <w:shd w:val="clear" w:color="auto" w:fill="auto"/>
            <w:vAlign w:val="center"/>
          </w:tcPr>
          <w:p w14:paraId="7B4ED8EF" w14:textId="77777777" w:rsidR="00140B7C" w:rsidRPr="00EC4EC4" w:rsidRDefault="00140B7C" w:rsidP="00BC1087">
            <w:pPr>
              <w:autoSpaceDE w:val="0"/>
              <w:autoSpaceDN w:val="0"/>
              <w:adjustRightInd w:val="0"/>
              <w:spacing w:after="0" w:line="240" w:lineRule="auto"/>
              <w:rPr>
                <w:rFonts w:eastAsia="Times New Roman" w:cs="Times New Roman"/>
                <w:strike/>
              </w:rPr>
            </w:pPr>
          </w:p>
        </w:tc>
      </w:tr>
      <w:tr w:rsidR="00140B7C" w:rsidRPr="00EC4EC4" w14:paraId="16192757" w14:textId="77777777" w:rsidTr="00BC1087">
        <w:trPr>
          <w:trHeight w:val="144"/>
          <w:jc w:val="center"/>
        </w:trPr>
        <w:tc>
          <w:tcPr>
            <w:tcW w:w="964" w:type="pct"/>
            <w:tcBorders>
              <w:right w:val="nil"/>
            </w:tcBorders>
          </w:tcPr>
          <w:p w14:paraId="69F2DA7E" w14:textId="77777777" w:rsidR="00140B7C" w:rsidRPr="00EC4EC4" w:rsidRDefault="00140B7C" w:rsidP="00BC1087">
            <w:pPr>
              <w:autoSpaceDE w:val="0"/>
              <w:autoSpaceDN w:val="0"/>
              <w:adjustRightInd w:val="0"/>
              <w:spacing w:after="0" w:line="240" w:lineRule="auto"/>
              <w:rPr>
                <w:rFonts w:eastAsia="Times New Roman" w:cs="Times New Roman"/>
                <w:b/>
              </w:rPr>
            </w:pPr>
          </w:p>
        </w:tc>
        <w:tc>
          <w:tcPr>
            <w:tcW w:w="1269" w:type="pct"/>
            <w:tcBorders>
              <w:right w:val="nil"/>
            </w:tcBorders>
            <w:shd w:val="clear" w:color="auto" w:fill="auto"/>
          </w:tcPr>
          <w:p w14:paraId="24B50ECF"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b/>
              </w:rPr>
              <w:t>Other</w:t>
            </w:r>
          </w:p>
        </w:tc>
        <w:tc>
          <w:tcPr>
            <w:tcW w:w="1006" w:type="pct"/>
            <w:tcBorders>
              <w:left w:val="nil"/>
              <w:right w:val="nil"/>
            </w:tcBorders>
            <w:shd w:val="clear" w:color="auto" w:fill="auto"/>
          </w:tcPr>
          <w:p w14:paraId="5105D86A"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left w:val="nil"/>
              <w:right w:val="nil"/>
            </w:tcBorders>
            <w:shd w:val="clear" w:color="auto" w:fill="auto"/>
          </w:tcPr>
          <w:p w14:paraId="684C43B4"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tcBorders>
              <w:left w:val="nil"/>
            </w:tcBorders>
            <w:shd w:val="clear" w:color="auto" w:fill="auto"/>
            <w:vAlign w:val="center"/>
          </w:tcPr>
          <w:p w14:paraId="50CE517E"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4E77CD07" w14:textId="77777777" w:rsidTr="00BC1087">
        <w:trPr>
          <w:trHeight w:val="988"/>
          <w:jc w:val="center"/>
        </w:trPr>
        <w:tc>
          <w:tcPr>
            <w:tcW w:w="964" w:type="pct"/>
          </w:tcPr>
          <w:p w14:paraId="5E0702E7"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18.</w:t>
            </w:r>
          </w:p>
        </w:tc>
        <w:tc>
          <w:tcPr>
            <w:tcW w:w="1269" w:type="pct"/>
            <w:shd w:val="clear" w:color="auto" w:fill="auto"/>
            <w:vAlign w:val="center"/>
          </w:tcPr>
          <w:p w14:paraId="4E075100"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Permit for foundation, earthwork or open space without roof, whether enclosed or unenclosed, on sites such as parking lots, gasoline or oil-selling stations, storage yards, sales or exhibition or show spaces used for generally similar purposes. </w:t>
            </w:r>
          </w:p>
        </w:tc>
        <w:tc>
          <w:tcPr>
            <w:tcW w:w="1006" w:type="pct"/>
            <w:shd w:val="clear" w:color="auto" w:fill="auto"/>
            <w:vAlign w:val="center"/>
          </w:tcPr>
          <w:p w14:paraId="09BB5B3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$10 for each two thousand square feet of area or fraction thereof, but not less than $130. </w:t>
            </w:r>
          </w:p>
        </w:tc>
        <w:tc>
          <w:tcPr>
            <w:tcW w:w="778" w:type="pct"/>
            <w:shd w:val="clear" w:color="auto" w:fill="auto"/>
            <w:vAlign w:val="center"/>
          </w:tcPr>
          <w:p w14:paraId="73A7549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$130</w:t>
            </w:r>
          </w:p>
        </w:tc>
        <w:tc>
          <w:tcPr>
            <w:tcW w:w="983" w:type="pct"/>
            <w:shd w:val="clear" w:color="auto" w:fill="auto"/>
            <w:vAlign w:val="center"/>
          </w:tcPr>
          <w:p w14:paraId="756568F1"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776741EB" w14:textId="77777777" w:rsidTr="00BC1087">
        <w:trPr>
          <w:trHeight w:val="538"/>
          <w:jc w:val="center"/>
        </w:trPr>
        <w:tc>
          <w:tcPr>
            <w:tcW w:w="964" w:type="pct"/>
          </w:tcPr>
          <w:p w14:paraId="65015989"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19.</w:t>
            </w:r>
          </w:p>
        </w:tc>
        <w:tc>
          <w:tcPr>
            <w:tcW w:w="1269" w:type="pct"/>
            <w:shd w:val="clear" w:color="auto" w:fill="auto"/>
            <w:vAlign w:val="center"/>
          </w:tcPr>
          <w:p w14:paraId="7FD4CE5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for golf driving range.</w:t>
            </w:r>
          </w:p>
        </w:tc>
        <w:tc>
          <w:tcPr>
            <w:tcW w:w="1006" w:type="pct"/>
            <w:shd w:val="clear" w:color="auto" w:fill="auto"/>
            <w:vAlign w:val="center"/>
          </w:tcPr>
          <w:p w14:paraId="21FD875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$7.50 for each twenty thousand square feet of area or fraction thereof, but not less than $130. </w:t>
            </w:r>
          </w:p>
        </w:tc>
        <w:tc>
          <w:tcPr>
            <w:tcW w:w="778" w:type="pct"/>
            <w:shd w:val="clear" w:color="auto" w:fill="auto"/>
            <w:vAlign w:val="center"/>
          </w:tcPr>
          <w:p w14:paraId="163E38C7"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$130</w:t>
            </w:r>
          </w:p>
        </w:tc>
        <w:tc>
          <w:tcPr>
            <w:tcW w:w="983" w:type="pct"/>
            <w:shd w:val="clear" w:color="auto" w:fill="auto"/>
            <w:vAlign w:val="center"/>
          </w:tcPr>
          <w:p w14:paraId="6C14DCCB"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16D45BB7" w14:textId="77777777" w:rsidTr="00BC1087">
        <w:trPr>
          <w:trHeight w:val="430"/>
          <w:jc w:val="center"/>
        </w:trPr>
        <w:tc>
          <w:tcPr>
            <w:tcW w:w="964" w:type="pct"/>
          </w:tcPr>
          <w:p w14:paraId="4F58BD0C"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20.</w:t>
            </w:r>
          </w:p>
        </w:tc>
        <w:tc>
          <w:tcPr>
            <w:tcW w:w="1269" w:type="pct"/>
            <w:shd w:val="clear" w:color="auto" w:fill="auto"/>
            <w:vAlign w:val="center"/>
          </w:tcPr>
          <w:p w14:paraId="1A5945C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Accessory building to golf driving range, not to exceed 144 square feet. </w:t>
            </w:r>
          </w:p>
        </w:tc>
        <w:tc>
          <w:tcPr>
            <w:tcW w:w="1006" w:type="pct"/>
            <w:shd w:val="clear" w:color="auto" w:fill="auto"/>
            <w:vAlign w:val="center"/>
          </w:tcPr>
          <w:p w14:paraId="6DD5F97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$130</w:t>
            </w:r>
          </w:p>
        </w:tc>
        <w:tc>
          <w:tcPr>
            <w:tcW w:w="778" w:type="pct"/>
            <w:shd w:val="clear" w:color="auto" w:fill="auto"/>
            <w:vAlign w:val="center"/>
          </w:tcPr>
          <w:p w14:paraId="44D144B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$130</w:t>
            </w:r>
          </w:p>
        </w:tc>
        <w:tc>
          <w:tcPr>
            <w:tcW w:w="983" w:type="pct"/>
            <w:shd w:val="clear" w:color="auto" w:fill="auto"/>
            <w:vAlign w:val="center"/>
          </w:tcPr>
          <w:p w14:paraId="2B452620"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6C89CDA5" w14:textId="77777777" w:rsidTr="00BC1087">
        <w:trPr>
          <w:trHeight w:val="808"/>
          <w:jc w:val="center"/>
        </w:trPr>
        <w:tc>
          <w:tcPr>
            <w:tcW w:w="964" w:type="pct"/>
          </w:tcPr>
          <w:p w14:paraId="6BCF36E5"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21.</w:t>
            </w:r>
          </w:p>
        </w:tc>
        <w:tc>
          <w:tcPr>
            <w:tcW w:w="1269" w:type="pct"/>
            <w:shd w:val="clear" w:color="auto" w:fill="auto"/>
            <w:vAlign w:val="center"/>
          </w:tcPr>
          <w:p w14:paraId="0779F0F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Permit for demolition and removal. </w:t>
            </w:r>
          </w:p>
        </w:tc>
        <w:tc>
          <w:tcPr>
            <w:tcW w:w="1006" w:type="pct"/>
            <w:shd w:val="clear" w:color="auto" w:fill="auto"/>
            <w:vAlign w:val="center"/>
          </w:tcPr>
          <w:p w14:paraId="6C1E24A5"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Multiply building frontage in feet or fraction thereof × number of stories of the building × $2.60, but not less than $260. For corner lot, use the </w:t>
            </w:r>
            <w:r w:rsidRPr="00EC4EC4">
              <w:rPr>
                <w:rFonts w:eastAsia="Times New Roman" w:cs="Times New Roman"/>
              </w:rPr>
              <w:lastRenderedPageBreak/>
              <w:t xml:space="preserve">longer building frontage. </w:t>
            </w:r>
          </w:p>
        </w:tc>
        <w:tc>
          <w:tcPr>
            <w:tcW w:w="778" w:type="pct"/>
            <w:shd w:val="clear" w:color="auto" w:fill="auto"/>
            <w:vAlign w:val="center"/>
          </w:tcPr>
          <w:p w14:paraId="5B70C3E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lastRenderedPageBreak/>
              <w:t xml:space="preserve"> $130</w:t>
            </w:r>
          </w:p>
        </w:tc>
        <w:tc>
          <w:tcPr>
            <w:tcW w:w="983" w:type="pct"/>
            <w:shd w:val="clear" w:color="auto" w:fill="auto"/>
            <w:vAlign w:val="center"/>
          </w:tcPr>
          <w:p w14:paraId="101764FC"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486492B3" w14:textId="77777777" w:rsidTr="00BC1087">
        <w:trPr>
          <w:trHeight w:val="529"/>
          <w:jc w:val="center"/>
        </w:trPr>
        <w:tc>
          <w:tcPr>
            <w:tcW w:w="964" w:type="pct"/>
          </w:tcPr>
          <w:p w14:paraId="7DA31252"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22.</w:t>
            </w:r>
          </w:p>
        </w:tc>
        <w:tc>
          <w:tcPr>
            <w:tcW w:w="1269" w:type="pct"/>
            <w:shd w:val="clear" w:color="auto" w:fill="auto"/>
            <w:vAlign w:val="center"/>
          </w:tcPr>
          <w:p w14:paraId="7402DCD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Curb cut, private dwelling</w:t>
            </w:r>
          </w:p>
        </w:tc>
        <w:tc>
          <w:tcPr>
            <w:tcW w:w="1006" w:type="pct"/>
            <w:shd w:val="clear" w:color="auto" w:fill="auto"/>
            <w:vAlign w:val="center"/>
          </w:tcPr>
          <w:p w14:paraId="2CDEB9C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$3 for each linear foot including splay; minimum $130</w:t>
            </w:r>
          </w:p>
        </w:tc>
        <w:tc>
          <w:tcPr>
            <w:tcW w:w="778" w:type="pct"/>
            <w:shd w:val="clear" w:color="auto" w:fill="auto"/>
            <w:vAlign w:val="center"/>
          </w:tcPr>
          <w:p w14:paraId="77893458"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shd w:val="clear" w:color="auto" w:fill="auto"/>
            <w:vAlign w:val="center"/>
          </w:tcPr>
          <w:p w14:paraId="65AA113F"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5FBA1103" w14:textId="77777777" w:rsidTr="00BC1087">
        <w:trPr>
          <w:trHeight w:val="430"/>
          <w:jc w:val="center"/>
        </w:trPr>
        <w:tc>
          <w:tcPr>
            <w:tcW w:w="964" w:type="pct"/>
          </w:tcPr>
          <w:p w14:paraId="555CBDAF"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23.</w:t>
            </w:r>
          </w:p>
        </w:tc>
        <w:tc>
          <w:tcPr>
            <w:tcW w:w="1269" w:type="pct"/>
            <w:shd w:val="clear" w:color="auto" w:fill="auto"/>
            <w:vAlign w:val="center"/>
          </w:tcPr>
          <w:p w14:paraId="61E5C88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Curb cut, other</w:t>
            </w:r>
          </w:p>
        </w:tc>
        <w:tc>
          <w:tcPr>
            <w:tcW w:w="1006" w:type="pct"/>
            <w:shd w:val="clear" w:color="auto" w:fill="auto"/>
            <w:vAlign w:val="center"/>
          </w:tcPr>
          <w:p w14:paraId="474BAB3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$6 for each linear foot including splay; minimum $130</w:t>
            </w:r>
          </w:p>
        </w:tc>
        <w:tc>
          <w:tcPr>
            <w:tcW w:w="778" w:type="pct"/>
            <w:shd w:val="clear" w:color="auto" w:fill="auto"/>
            <w:vAlign w:val="center"/>
          </w:tcPr>
          <w:p w14:paraId="3CF4C063"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shd w:val="clear" w:color="auto" w:fill="auto"/>
            <w:vAlign w:val="center"/>
          </w:tcPr>
          <w:p w14:paraId="14857A86"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3DF6CE30" w14:textId="77777777" w:rsidTr="00BC1087">
        <w:trPr>
          <w:trHeight w:val="268"/>
          <w:jc w:val="center"/>
        </w:trPr>
        <w:tc>
          <w:tcPr>
            <w:tcW w:w="964" w:type="pct"/>
            <w:tcBorders>
              <w:right w:val="nil"/>
            </w:tcBorders>
          </w:tcPr>
          <w:p w14:paraId="002B91FC" w14:textId="77777777" w:rsidR="00140B7C" w:rsidRPr="00EC4EC4" w:rsidRDefault="00140B7C" w:rsidP="00BC1087">
            <w:pPr>
              <w:autoSpaceDE w:val="0"/>
              <w:autoSpaceDN w:val="0"/>
              <w:adjustRightInd w:val="0"/>
              <w:spacing w:after="0" w:line="240" w:lineRule="auto"/>
              <w:rPr>
                <w:rFonts w:eastAsia="Times New Roman" w:cs="Times New Roman"/>
                <w:b/>
              </w:rPr>
            </w:pPr>
          </w:p>
        </w:tc>
        <w:tc>
          <w:tcPr>
            <w:tcW w:w="1269" w:type="pct"/>
            <w:tcBorders>
              <w:right w:val="nil"/>
            </w:tcBorders>
            <w:shd w:val="clear" w:color="auto" w:fill="auto"/>
          </w:tcPr>
          <w:p w14:paraId="228C279F" w14:textId="77777777" w:rsidR="00140B7C" w:rsidRPr="00EC4EC4" w:rsidRDefault="00140B7C" w:rsidP="00BC1087">
            <w:pPr>
              <w:autoSpaceDE w:val="0"/>
              <w:autoSpaceDN w:val="0"/>
              <w:adjustRightInd w:val="0"/>
              <w:spacing w:after="0" w:line="240" w:lineRule="auto"/>
              <w:rPr>
                <w:rFonts w:eastAsia="Times New Roman" w:cs="Times New Roman"/>
                <w:b/>
              </w:rPr>
            </w:pPr>
            <w:r w:rsidRPr="00EC4EC4">
              <w:rPr>
                <w:rFonts w:eastAsia="Times New Roman" w:cs="Times New Roman"/>
                <w:b/>
              </w:rPr>
              <w:t>Amendments</w:t>
            </w:r>
          </w:p>
        </w:tc>
        <w:tc>
          <w:tcPr>
            <w:tcW w:w="1006" w:type="pct"/>
            <w:tcBorders>
              <w:left w:val="nil"/>
              <w:right w:val="nil"/>
            </w:tcBorders>
            <w:shd w:val="clear" w:color="auto" w:fill="auto"/>
          </w:tcPr>
          <w:p w14:paraId="75D8C5A4"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left w:val="nil"/>
              <w:right w:val="nil"/>
            </w:tcBorders>
            <w:shd w:val="clear" w:color="auto" w:fill="auto"/>
          </w:tcPr>
          <w:p w14:paraId="18232CBA"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tcBorders>
              <w:left w:val="nil"/>
            </w:tcBorders>
            <w:shd w:val="clear" w:color="auto" w:fill="auto"/>
            <w:vAlign w:val="center"/>
          </w:tcPr>
          <w:p w14:paraId="187790B2"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7C61EAB9" w14:textId="77777777" w:rsidTr="00BC1087">
        <w:trPr>
          <w:trHeight w:val="1150"/>
          <w:jc w:val="center"/>
        </w:trPr>
        <w:tc>
          <w:tcPr>
            <w:tcW w:w="964" w:type="pct"/>
          </w:tcPr>
          <w:p w14:paraId="4050D2E4"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24.</w:t>
            </w:r>
          </w:p>
        </w:tc>
        <w:tc>
          <w:tcPr>
            <w:tcW w:w="1269" w:type="pct"/>
            <w:shd w:val="clear" w:color="auto" w:fill="auto"/>
            <w:vAlign w:val="center"/>
          </w:tcPr>
          <w:p w14:paraId="77B74B4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Filing of amendments to active applications and active permits.</w:t>
            </w:r>
          </w:p>
        </w:tc>
        <w:tc>
          <w:tcPr>
            <w:tcW w:w="1006" w:type="pct"/>
            <w:shd w:val="clear" w:color="auto" w:fill="auto"/>
            <w:vAlign w:val="center"/>
          </w:tcPr>
          <w:p w14:paraId="4DD06D9D" w14:textId="77777777" w:rsidR="00140B7C" w:rsidRDefault="00140B7C" w:rsidP="00BC1087">
            <w:pPr>
              <w:autoSpaceDE w:val="0"/>
              <w:autoSpaceDN w:val="0"/>
              <w:adjustRightInd w:val="0"/>
              <w:spacing w:after="0" w:line="240" w:lineRule="auto"/>
              <w:rPr>
                <w:rFonts w:eastAsia="Times New Roman" w:cs="Times New Roman"/>
              </w:rPr>
            </w:pPr>
            <w:r>
              <w:rPr>
                <w:rFonts w:eastAsia="Times New Roman" w:cs="Times New Roman"/>
              </w:rPr>
              <w:t>[</w:t>
            </w:r>
            <w:r w:rsidRPr="00805CE3">
              <w:rPr>
                <w:rFonts w:eastAsia="Times New Roman" w:cs="Times New Roman"/>
                <w:strike/>
              </w:rPr>
              <w:t>As provided by rule.</w:t>
            </w:r>
            <w:r>
              <w:rPr>
                <w:rFonts w:eastAsia="Times New Roman" w:cs="Times New Roman"/>
              </w:rPr>
              <w:t>]</w:t>
            </w:r>
          </w:p>
          <w:p w14:paraId="5009F321" w14:textId="77777777" w:rsidR="00140B7C" w:rsidRPr="00805CE3" w:rsidRDefault="00140B7C" w:rsidP="00BC1087">
            <w:pPr>
              <w:autoSpaceDE w:val="0"/>
              <w:autoSpaceDN w:val="0"/>
              <w:adjustRightInd w:val="0"/>
              <w:spacing w:after="0" w:line="240" w:lineRule="auto"/>
              <w:rPr>
                <w:rFonts w:eastAsia="Times New Roman" w:cs="Times New Roman"/>
                <w:u w:val="single"/>
              </w:rPr>
            </w:pPr>
            <w:r w:rsidRPr="00805CE3">
              <w:rPr>
                <w:rFonts w:eastAsia="Times New Roman" w:cs="Times New Roman"/>
                <w:u w:val="single"/>
              </w:rPr>
              <w:t>The greater of $130 or the fees for the additional scope or cost of work as calculated pursuant to this Table 28-112.2.</w:t>
            </w:r>
          </w:p>
        </w:tc>
        <w:tc>
          <w:tcPr>
            <w:tcW w:w="778" w:type="pct"/>
            <w:shd w:val="clear" w:color="auto" w:fill="auto"/>
            <w:vAlign w:val="center"/>
          </w:tcPr>
          <w:p w14:paraId="28C123B0"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shd w:val="clear" w:color="auto" w:fill="auto"/>
            <w:vAlign w:val="center"/>
          </w:tcPr>
          <w:p w14:paraId="1482E398"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1F554BA3" w14:textId="77777777" w:rsidTr="00BC1087">
        <w:trPr>
          <w:trHeight w:val="144"/>
          <w:jc w:val="center"/>
        </w:trPr>
        <w:tc>
          <w:tcPr>
            <w:tcW w:w="964" w:type="pct"/>
            <w:tcBorders>
              <w:right w:val="nil"/>
            </w:tcBorders>
          </w:tcPr>
          <w:p w14:paraId="5376B75D" w14:textId="77777777" w:rsidR="00140B7C" w:rsidRPr="00EC4EC4" w:rsidRDefault="00140B7C" w:rsidP="00BC1087">
            <w:pPr>
              <w:autoSpaceDE w:val="0"/>
              <w:autoSpaceDN w:val="0"/>
              <w:adjustRightInd w:val="0"/>
              <w:spacing w:after="0" w:line="240" w:lineRule="auto"/>
              <w:rPr>
                <w:rFonts w:eastAsia="Times New Roman" w:cs="Times New Roman"/>
                <w:b/>
              </w:rPr>
            </w:pPr>
          </w:p>
        </w:tc>
        <w:tc>
          <w:tcPr>
            <w:tcW w:w="1269" w:type="pct"/>
            <w:tcBorders>
              <w:right w:val="nil"/>
            </w:tcBorders>
            <w:shd w:val="clear" w:color="auto" w:fill="auto"/>
          </w:tcPr>
          <w:p w14:paraId="0C6543E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b/>
              </w:rPr>
              <w:t>Signs</w:t>
            </w:r>
          </w:p>
        </w:tc>
        <w:tc>
          <w:tcPr>
            <w:tcW w:w="1006" w:type="pct"/>
            <w:tcBorders>
              <w:left w:val="nil"/>
              <w:right w:val="nil"/>
            </w:tcBorders>
            <w:shd w:val="clear" w:color="auto" w:fill="auto"/>
          </w:tcPr>
          <w:p w14:paraId="23E9C118"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left w:val="nil"/>
              <w:right w:val="nil"/>
            </w:tcBorders>
            <w:shd w:val="clear" w:color="auto" w:fill="auto"/>
          </w:tcPr>
          <w:p w14:paraId="59A16B97"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tcBorders>
              <w:left w:val="nil"/>
            </w:tcBorders>
            <w:shd w:val="clear" w:color="auto" w:fill="auto"/>
            <w:vAlign w:val="center"/>
          </w:tcPr>
          <w:p w14:paraId="20A970B3"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r>
      <w:tr w:rsidR="00140B7C" w:rsidRPr="00EC4EC4" w14:paraId="2CC14EC6" w14:textId="77777777" w:rsidTr="00BC1087">
        <w:trPr>
          <w:trHeight w:val="144"/>
          <w:jc w:val="center"/>
        </w:trPr>
        <w:tc>
          <w:tcPr>
            <w:tcW w:w="964" w:type="pct"/>
          </w:tcPr>
          <w:p w14:paraId="26436011"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25.</w:t>
            </w:r>
          </w:p>
        </w:tc>
        <w:tc>
          <w:tcPr>
            <w:tcW w:w="1269" w:type="pct"/>
            <w:shd w:val="clear" w:color="auto" w:fill="auto"/>
            <w:vAlign w:val="center"/>
          </w:tcPr>
          <w:p w14:paraId="01C93A55"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to erect, install or alter sign: Ground sign, wall sign, or any sign mounted to the wall or any other structure.</w:t>
            </w:r>
          </w:p>
        </w:tc>
        <w:tc>
          <w:tcPr>
            <w:tcW w:w="1006" w:type="pct"/>
            <w:shd w:val="clear" w:color="auto" w:fill="auto"/>
            <w:vAlign w:val="center"/>
          </w:tcPr>
          <w:p w14:paraId="1FCF6D4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Filing fee calculated as for respective building alteration, plus $5 for each one hundred square feet of surface area or fraction thereof, but not less than $35.</w:t>
            </w:r>
          </w:p>
        </w:tc>
        <w:tc>
          <w:tcPr>
            <w:tcW w:w="778" w:type="pct"/>
            <w:shd w:val="clear" w:color="auto" w:fill="auto"/>
            <w:vAlign w:val="center"/>
          </w:tcPr>
          <w:p w14:paraId="73A0F312" w14:textId="77777777" w:rsidR="00140B7C" w:rsidRPr="00EC4EC4" w:rsidRDefault="00140B7C" w:rsidP="00BC1087">
            <w:pPr>
              <w:autoSpaceDE w:val="0"/>
              <w:autoSpaceDN w:val="0"/>
              <w:adjustRightInd w:val="0"/>
              <w:spacing w:after="0" w:line="240" w:lineRule="auto"/>
              <w:ind w:left="27"/>
              <w:rPr>
                <w:rFonts w:eastAsia="Times New Roman" w:cs="Times New Roman"/>
              </w:rPr>
            </w:pPr>
            <w:r w:rsidRPr="00EC4EC4">
              <w:rPr>
                <w:rFonts w:eastAsia="Times New Roman" w:cs="Times New Roman"/>
              </w:rPr>
              <w:t>$130</w:t>
            </w:r>
          </w:p>
        </w:tc>
        <w:tc>
          <w:tcPr>
            <w:tcW w:w="983" w:type="pct"/>
            <w:shd w:val="clear" w:color="auto" w:fill="auto"/>
            <w:vAlign w:val="center"/>
          </w:tcPr>
          <w:p w14:paraId="0099F10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Each face of any sign, when fronting on different streets, shall be treated as a separate sign.</w:t>
            </w:r>
          </w:p>
        </w:tc>
      </w:tr>
      <w:tr w:rsidR="00140B7C" w:rsidRPr="00EC4EC4" w14:paraId="71EB9F42" w14:textId="77777777" w:rsidTr="00BC1087">
        <w:trPr>
          <w:trHeight w:val="898"/>
          <w:jc w:val="center"/>
        </w:trPr>
        <w:tc>
          <w:tcPr>
            <w:tcW w:w="964" w:type="pct"/>
          </w:tcPr>
          <w:p w14:paraId="0EF7CD9D"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26.</w:t>
            </w:r>
          </w:p>
        </w:tc>
        <w:tc>
          <w:tcPr>
            <w:tcW w:w="1269" w:type="pct"/>
            <w:shd w:val="clear" w:color="auto" w:fill="auto"/>
            <w:vAlign w:val="center"/>
          </w:tcPr>
          <w:p w14:paraId="5397AA2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to erect, install or alter sign: Roof sign having a tight, closed or solid surface.</w:t>
            </w:r>
          </w:p>
        </w:tc>
        <w:tc>
          <w:tcPr>
            <w:tcW w:w="1006" w:type="pct"/>
            <w:shd w:val="clear" w:color="auto" w:fill="auto"/>
            <w:vAlign w:val="center"/>
          </w:tcPr>
          <w:p w14:paraId="7C689A5C"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Filing fee calculated as for respective building alteration; plus $15 for each [</w:t>
            </w:r>
            <w:r w:rsidRPr="00EC4EC4">
              <w:rPr>
                <w:rFonts w:eastAsia="Times New Roman" w:cs="Times New Roman"/>
                <w:strike/>
              </w:rPr>
              <w:t>$</w:t>
            </w:r>
            <w:r w:rsidRPr="00EC4EC4">
              <w:rPr>
                <w:rFonts w:eastAsia="Times New Roman" w:cs="Times New Roman"/>
              </w:rPr>
              <w:t xml:space="preserve">]100 square feet of surface area, or fraction </w:t>
            </w:r>
            <w:r w:rsidRPr="00EC4EC4">
              <w:rPr>
                <w:rFonts w:eastAsia="Times New Roman" w:cs="Times New Roman"/>
              </w:rPr>
              <w:lastRenderedPageBreak/>
              <w:t>thereof, but not less than $70.</w:t>
            </w:r>
          </w:p>
        </w:tc>
        <w:tc>
          <w:tcPr>
            <w:tcW w:w="778" w:type="pct"/>
            <w:shd w:val="clear" w:color="auto" w:fill="auto"/>
            <w:vAlign w:val="center"/>
          </w:tcPr>
          <w:p w14:paraId="53F6B64E" w14:textId="77777777" w:rsidR="00140B7C" w:rsidRPr="00EC4EC4" w:rsidRDefault="00140B7C" w:rsidP="00BC1087">
            <w:pPr>
              <w:autoSpaceDE w:val="0"/>
              <w:autoSpaceDN w:val="0"/>
              <w:adjustRightInd w:val="0"/>
              <w:spacing w:after="0" w:line="240" w:lineRule="auto"/>
              <w:ind w:left="27"/>
              <w:rPr>
                <w:rFonts w:eastAsia="Times New Roman" w:cs="Times New Roman"/>
              </w:rPr>
            </w:pPr>
            <w:r w:rsidRPr="00EC4EC4">
              <w:rPr>
                <w:rFonts w:eastAsia="Times New Roman" w:cs="Times New Roman"/>
              </w:rPr>
              <w:lastRenderedPageBreak/>
              <w:t>$</w:t>
            </w:r>
            <w:r w:rsidRPr="00EC4EC4" w:rsidDel="00535A63">
              <w:rPr>
                <w:rFonts w:eastAsia="Times New Roman" w:cs="Times New Roman"/>
              </w:rPr>
              <w:t>1</w:t>
            </w:r>
            <w:r w:rsidRPr="00EC4EC4">
              <w:rPr>
                <w:rFonts w:eastAsia="Times New Roman" w:cs="Times New Roman"/>
              </w:rPr>
              <w:t>30</w:t>
            </w:r>
          </w:p>
        </w:tc>
        <w:tc>
          <w:tcPr>
            <w:tcW w:w="983" w:type="pct"/>
            <w:shd w:val="clear" w:color="auto" w:fill="auto"/>
            <w:vAlign w:val="center"/>
          </w:tcPr>
          <w:p w14:paraId="3ABCA3F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Each face of any sign, when fronting on different streets, shall be treated as a separate sign. </w:t>
            </w:r>
          </w:p>
        </w:tc>
      </w:tr>
      <w:tr w:rsidR="00140B7C" w:rsidRPr="00EC4EC4" w14:paraId="4D4F2FFA" w14:textId="77777777" w:rsidTr="00BC1087">
        <w:trPr>
          <w:trHeight w:val="889"/>
          <w:jc w:val="center"/>
        </w:trPr>
        <w:tc>
          <w:tcPr>
            <w:tcW w:w="964" w:type="pct"/>
          </w:tcPr>
          <w:p w14:paraId="7749A753"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27.</w:t>
            </w:r>
          </w:p>
        </w:tc>
        <w:tc>
          <w:tcPr>
            <w:tcW w:w="1269" w:type="pct"/>
            <w:shd w:val="clear" w:color="auto" w:fill="auto"/>
            <w:vAlign w:val="center"/>
          </w:tcPr>
          <w:p w14:paraId="5FA5213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to erect, install or alter sign: Roof sign without a tight, closed or solid surface, extending to a height of not more than 31 feet above roof level.</w:t>
            </w:r>
          </w:p>
        </w:tc>
        <w:tc>
          <w:tcPr>
            <w:tcW w:w="1006" w:type="pct"/>
            <w:shd w:val="clear" w:color="auto" w:fill="auto"/>
            <w:vAlign w:val="center"/>
          </w:tcPr>
          <w:p w14:paraId="5CF779B7"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Filing fee calculated as for respective building alteration; plus $15 for each 100 square feet of surface area, or fraction thereof, but not less than $130.</w:t>
            </w:r>
          </w:p>
        </w:tc>
        <w:tc>
          <w:tcPr>
            <w:tcW w:w="778" w:type="pct"/>
            <w:shd w:val="clear" w:color="auto" w:fill="auto"/>
            <w:vAlign w:val="center"/>
          </w:tcPr>
          <w:p w14:paraId="1D0559AB" w14:textId="77777777" w:rsidR="00140B7C" w:rsidRPr="00EC4EC4" w:rsidRDefault="00140B7C" w:rsidP="00BC1087">
            <w:pPr>
              <w:autoSpaceDE w:val="0"/>
              <w:autoSpaceDN w:val="0"/>
              <w:adjustRightInd w:val="0"/>
              <w:spacing w:after="0" w:line="240" w:lineRule="auto"/>
              <w:ind w:left="27"/>
              <w:rPr>
                <w:rFonts w:eastAsia="Times New Roman" w:cs="Times New Roman"/>
              </w:rPr>
            </w:pPr>
            <w:r w:rsidRPr="00EC4EC4">
              <w:rPr>
                <w:rFonts w:eastAsia="Times New Roman" w:cs="Times New Roman"/>
              </w:rPr>
              <w:t xml:space="preserve"> $</w:t>
            </w:r>
            <w:r w:rsidRPr="00EC4EC4" w:rsidDel="00535A63">
              <w:rPr>
                <w:rFonts w:eastAsia="Times New Roman" w:cs="Times New Roman"/>
              </w:rPr>
              <w:t>1</w:t>
            </w:r>
            <w:r w:rsidRPr="00EC4EC4">
              <w:rPr>
                <w:rFonts w:eastAsia="Times New Roman" w:cs="Times New Roman"/>
              </w:rPr>
              <w:t>30</w:t>
            </w:r>
          </w:p>
        </w:tc>
        <w:tc>
          <w:tcPr>
            <w:tcW w:w="983" w:type="pct"/>
            <w:shd w:val="clear" w:color="auto" w:fill="auto"/>
            <w:vAlign w:val="center"/>
          </w:tcPr>
          <w:p w14:paraId="714DB615"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Each face of any sign, when fronting on different streets, shall be treated as a separate sign. </w:t>
            </w:r>
          </w:p>
        </w:tc>
      </w:tr>
      <w:tr w:rsidR="00140B7C" w:rsidRPr="00EC4EC4" w14:paraId="4840F555" w14:textId="77777777" w:rsidTr="00BC1087">
        <w:trPr>
          <w:trHeight w:val="799"/>
          <w:jc w:val="center"/>
        </w:trPr>
        <w:tc>
          <w:tcPr>
            <w:tcW w:w="964" w:type="pct"/>
          </w:tcPr>
          <w:p w14:paraId="71F05678"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28.</w:t>
            </w:r>
          </w:p>
        </w:tc>
        <w:tc>
          <w:tcPr>
            <w:tcW w:w="1269" w:type="pct"/>
            <w:shd w:val="clear" w:color="auto" w:fill="auto"/>
            <w:vAlign w:val="center"/>
          </w:tcPr>
          <w:p w14:paraId="2C3232D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to erect, install or alter sign: Roof sign without a tight, closed or solid surface, extending to a height over 31 feet above roof level.</w:t>
            </w:r>
          </w:p>
        </w:tc>
        <w:tc>
          <w:tcPr>
            <w:tcW w:w="1006" w:type="pct"/>
            <w:shd w:val="clear" w:color="auto" w:fill="auto"/>
            <w:vAlign w:val="center"/>
          </w:tcPr>
          <w:p w14:paraId="1CD4C4F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Filing fee calculated as for respective building alteration; plus $25 for each 100 square feet of area, or fraction thereof, but not less than $135. </w:t>
            </w:r>
          </w:p>
        </w:tc>
        <w:tc>
          <w:tcPr>
            <w:tcW w:w="778" w:type="pct"/>
            <w:shd w:val="clear" w:color="auto" w:fill="auto"/>
            <w:vAlign w:val="center"/>
          </w:tcPr>
          <w:p w14:paraId="2994D1F5" w14:textId="77777777" w:rsidR="00140B7C" w:rsidRPr="00EC4EC4" w:rsidRDefault="00140B7C" w:rsidP="00BC1087">
            <w:pPr>
              <w:autoSpaceDE w:val="0"/>
              <w:autoSpaceDN w:val="0"/>
              <w:adjustRightInd w:val="0"/>
              <w:spacing w:after="0" w:line="240" w:lineRule="auto"/>
              <w:ind w:left="27"/>
              <w:rPr>
                <w:rFonts w:eastAsia="Times New Roman" w:cs="Times New Roman"/>
              </w:rPr>
            </w:pPr>
            <w:r w:rsidRPr="00EC4EC4">
              <w:rPr>
                <w:rFonts w:eastAsia="Times New Roman" w:cs="Times New Roman"/>
              </w:rPr>
              <w:t>$</w:t>
            </w:r>
            <w:r w:rsidRPr="00EC4EC4" w:rsidDel="00535A63">
              <w:rPr>
                <w:rFonts w:eastAsia="Times New Roman" w:cs="Times New Roman"/>
              </w:rPr>
              <w:t>1</w:t>
            </w:r>
            <w:r w:rsidRPr="00EC4EC4">
              <w:rPr>
                <w:rFonts w:eastAsia="Times New Roman" w:cs="Times New Roman"/>
              </w:rPr>
              <w:t>30</w:t>
            </w:r>
          </w:p>
        </w:tc>
        <w:tc>
          <w:tcPr>
            <w:tcW w:w="983" w:type="pct"/>
            <w:shd w:val="clear" w:color="auto" w:fill="auto"/>
            <w:vAlign w:val="center"/>
          </w:tcPr>
          <w:p w14:paraId="4D476D8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Each face of any sign, when fronting on different streets, shall be treated as a separate sign. </w:t>
            </w:r>
          </w:p>
        </w:tc>
      </w:tr>
      <w:tr w:rsidR="00140B7C" w:rsidRPr="00EC4EC4" w14:paraId="5FE2874B" w14:textId="77777777" w:rsidTr="00BC1087">
        <w:trPr>
          <w:trHeight w:val="144"/>
          <w:jc w:val="center"/>
        </w:trPr>
        <w:tc>
          <w:tcPr>
            <w:tcW w:w="964" w:type="pct"/>
          </w:tcPr>
          <w:p w14:paraId="7F10A74D"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29.</w:t>
            </w:r>
          </w:p>
        </w:tc>
        <w:tc>
          <w:tcPr>
            <w:tcW w:w="1269" w:type="pct"/>
            <w:shd w:val="clear" w:color="auto" w:fill="auto"/>
            <w:vAlign w:val="center"/>
          </w:tcPr>
          <w:p w14:paraId="3CEF249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to erect, install or alter sign: Illuminated sign on storefront or wall or any other structure projecting beyond street line having 30 square feet or less on one side.</w:t>
            </w:r>
          </w:p>
        </w:tc>
        <w:tc>
          <w:tcPr>
            <w:tcW w:w="1006" w:type="pct"/>
            <w:shd w:val="clear" w:color="auto" w:fill="auto"/>
            <w:vAlign w:val="center"/>
          </w:tcPr>
          <w:p w14:paraId="3D5C8DC0"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Filing fee calculated as for respective building alteration.</w:t>
            </w:r>
          </w:p>
        </w:tc>
        <w:tc>
          <w:tcPr>
            <w:tcW w:w="778" w:type="pct"/>
            <w:shd w:val="clear" w:color="auto" w:fill="auto"/>
            <w:vAlign w:val="center"/>
          </w:tcPr>
          <w:p w14:paraId="22B6DC1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w:t>
            </w:r>
            <w:r w:rsidRPr="00EC4EC4" w:rsidDel="00535A63">
              <w:rPr>
                <w:rFonts w:eastAsia="Times New Roman" w:cs="Times New Roman"/>
              </w:rPr>
              <w:t>1</w:t>
            </w:r>
            <w:r w:rsidRPr="00EC4EC4">
              <w:rPr>
                <w:rFonts w:eastAsia="Times New Roman" w:cs="Times New Roman"/>
              </w:rPr>
              <w:t>30</w:t>
            </w:r>
          </w:p>
        </w:tc>
        <w:tc>
          <w:tcPr>
            <w:tcW w:w="983" w:type="pct"/>
            <w:shd w:val="clear" w:color="auto" w:fill="auto"/>
            <w:vAlign w:val="center"/>
          </w:tcPr>
          <w:p w14:paraId="5C27047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Illuminated sign is subject to annual use fee: $45.</w:t>
            </w:r>
          </w:p>
        </w:tc>
      </w:tr>
      <w:tr w:rsidR="00140B7C" w:rsidRPr="00EC4EC4" w14:paraId="185593E4" w14:textId="77777777" w:rsidTr="00BC1087">
        <w:trPr>
          <w:trHeight w:val="144"/>
          <w:jc w:val="center"/>
        </w:trPr>
        <w:tc>
          <w:tcPr>
            <w:tcW w:w="964" w:type="pct"/>
          </w:tcPr>
          <w:p w14:paraId="106D2815"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30.</w:t>
            </w:r>
          </w:p>
        </w:tc>
        <w:tc>
          <w:tcPr>
            <w:tcW w:w="1269" w:type="pct"/>
            <w:shd w:val="clear" w:color="auto" w:fill="auto"/>
            <w:vAlign w:val="center"/>
          </w:tcPr>
          <w:p w14:paraId="46A76D5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Permit to erect, install or alter sign: Illuminated sign on storefront or wall or any other structure projecting beyond street line having more than thirty square feet but no </w:t>
            </w:r>
            <w:r w:rsidRPr="00EC4EC4">
              <w:rPr>
                <w:rFonts w:eastAsia="Times New Roman" w:cs="Times New Roman"/>
              </w:rPr>
              <w:lastRenderedPageBreak/>
              <w:t>more than 50 square feet on one side.</w:t>
            </w:r>
          </w:p>
        </w:tc>
        <w:tc>
          <w:tcPr>
            <w:tcW w:w="1006" w:type="pct"/>
            <w:shd w:val="clear" w:color="auto" w:fill="auto"/>
            <w:vAlign w:val="center"/>
          </w:tcPr>
          <w:p w14:paraId="2019A567"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lastRenderedPageBreak/>
              <w:t>Filing fee calculated as for respective building alteration.</w:t>
            </w:r>
          </w:p>
        </w:tc>
        <w:tc>
          <w:tcPr>
            <w:tcW w:w="778" w:type="pct"/>
            <w:shd w:val="clear" w:color="auto" w:fill="auto"/>
            <w:vAlign w:val="center"/>
          </w:tcPr>
          <w:p w14:paraId="12EB2641"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w:t>
            </w:r>
            <w:r w:rsidRPr="00EC4EC4" w:rsidDel="00535A63">
              <w:rPr>
                <w:rFonts w:eastAsia="Times New Roman" w:cs="Times New Roman"/>
              </w:rPr>
              <w:t>1</w:t>
            </w:r>
            <w:r w:rsidRPr="00EC4EC4">
              <w:rPr>
                <w:rFonts w:eastAsia="Times New Roman" w:cs="Times New Roman"/>
              </w:rPr>
              <w:t>30</w:t>
            </w:r>
          </w:p>
        </w:tc>
        <w:tc>
          <w:tcPr>
            <w:tcW w:w="983" w:type="pct"/>
            <w:shd w:val="clear" w:color="auto" w:fill="auto"/>
            <w:vAlign w:val="center"/>
          </w:tcPr>
          <w:p w14:paraId="62274A2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Illuminated sign is subject to annual use fee: $70. </w:t>
            </w:r>
          </w:p>
        </w:tc>
      </w:tr>
      <w:tr w:rsidR="00140B7C" w:rsidRPr="00EC4EC4" w14:paraId="23362BA8" w14:textId="77777777" w:rsidTr="00BC1087">
        <w:trPr>
          <w:trHeight w:val="144"/>
          <w:jc w:val="center"/>
        </w:trPr>
        <w:tc>
          <w:tcPr>
            <w:tcW w:w="964" w:type="pct"/>
          </w:tcPr>
          <w:p w14:paraId="261748C1"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31.</w:t>
            </w:r>
          </w:p>
        </w:tc>
        <w:tc>
          <w:tcPr>
            <w:tcW w:w="1269" w:type="pct"/>
            <w:shd w:val="clear" w:color="auto" w:fill="auto"/>
            <w:vAlign w:val="center"/>
          </w:tcPr>
          <w:p w14:paraId="664ECD0F"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to erect, install or alter sign: Illuminated sign on storefront or wall or any other structure projecting beyond street line and having more than 50 square feet on one side.</w:t>
            </w:r>
          </w:p>
        </w:tc>
        <w:tc>
          <w:tcPr>
            <w:tcW w:w="1006" w:type="pct"/>
            <w:shd w:val="clear" w:color="auto" w:fill="auto"/>
            <w:vAlign w:val="center"/>
          </w:tcPr>
          <w:p w14:paraId="781D9415"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Filing fee calculated as for respective building alteration.</w:t>
            </w:r>
          </w:p>
        </w:tc>
        <w:tc>
          <w:tcPr>
            <w:tcW w:w="778" w:type="pct"/>
            <w:shd w:val="clear" w:color="auto" w:fill="auto"/>
            <w:vAlign w:val="center"/>
          </w:tcPr>
          <w:p w14:paraId="21C6EF7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w:t>
            </w:r>
            <w:r w:rsidRPr="00EC4EC4" w:rsidDel="00535A63">
              <w:rPr>
                <w:rFonts w:eastAsia="Times New Roman" w:cs="Times New Roman"/>
              </w:rPr>
              <w:t>1</w:t>
            </w:r>
            <w:r w:rsidRPr="00EC4EC4">
              <w:rPr>
                <w:rFonts w:eastAsia="Times New Roman" w:cs="Times New Roman"/>
              </w:rPr>
              <w:t>30</w:t>
            </w:r>
          </w:p>
        </w:tc>
        <w:tc>
          <w:tcPr>
            <w:tcW w:w="983" w:type="pct"/>
            <w:shd w:val="clear" w:color="auto" w:fill="auto"/>
            <w:vAlign w:val="center"/>
          </w:tcPr>
          <w:p w14:paraId="67DCF880"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Illuminated sign is subject to annual use fee: $.075 for each square foot or part thereof annually, but not less than $130. </w:t>
            </w:r>
          </w:p>
        </w:tc>
      </w:tr>
      <w:tr w:rsidR="00140B7C" w:rsidRPr="00EC4EC4" w14:paraId="50D8F7E1" w14:textId="77777777" w:rsidTr="00BC1087">
        <w:trPr>
          <w:trHeight w:val="268"/>
          <w:jc w:val="center"/>
        </w:trPr>
        <w:tc>
          <w:tcPr>
            <w:tcW w:w="964" w:type="pct"/>
          </w:tcPr>
          <w:p w14:paraId="703587BF"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32.</w:t>
            </w:r>
          </w:p>
        </w:tc>
        <w:tc>
          <w:tcPr>
            <w:tcW w:w="1269" w:type="pct"/>
            <w:shd w:val="clear" w:color="auto" w:fill="auto"/>
            <w:vAlign w:val="center"/>
          </w:tcPr>
          <w:p w14:paraId="50A5A1AC"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Maintenance permit for outdoor signs.</w:t>
            </w:r>
          </w:p>
        </w:tc>
        <w:tc>
          <w:tcPr>
            <w:tcW w:w="1006" w:type="pct"/>
            <w:shd w:val="clear" w:color="auto" w:fill="auto"/>
            <w:vAlign w:val="center"/>
          </w:tcPr>
          <w:p w14:paraId="7D3823E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As provided by department rules.</w:t>
            </w:r>
          </w:p>
        </w:tc>
        <w:tc>
          <w:tcPr>
            <w:tcW w:w="778" w:type="pct"/>
            <w:shd w:val="clear" w:color="auto" w:fill="auto"/>
            <w:vAlign w:val="center"/>
          </w:tcPr>
          <w:p w14:paraId="6DC6BF71"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shd w:val="clear" w:color="auto" w:fill="auto"/>
            <w:vAlign w:val="center"/>
          </w:tcPr>
          <w:p w14:paraId="7CAB4091"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0CE794F3" w14:textId="77777777" w:rsidTr="00BC1087">
        <w:trPr>
          <w:trHeight w:val="250"/>
          <w:jc w:val="center"/>
        </w:trPr>
        <w:tc>
          <w:tcPr>
            <w:tcW w:w="964" w:type="pct"/>
            <w:tcBorders>
              <w:right w:val="nil"/>
            </w:tcBorders>
          </w:tcPr>
          <w:p w14:paraId="2EAA60A9" w14:textId="77777777" w:rsidR="00140B7C" w:rsidRPr="00EC4EC4" w:rsidRDefault="00140B7C" w:rsidP="00BC1087">
            <w:pPr>
              <w:autoSpaceDE w:val="0"/>
              <w:autoSpaceDN w:val="0"/>
              <w:adjustRightInd w:val="0"/>
              <w:spacing w:after="0" w:line="240" w:lineRule="auto"/>
              <w:rPr>
                <w:rFonts w:eastAsia="Times New Roman" w:cs="Times New Roman"/>
                <w:b/>
              </w:rPr>
            </w:pPr>
          </w:p>
        </w:tc>
        <w:tc>
          <w:tcPr>
            <w:tcW w:w="1269" w:type="pct"/>
            <w:tcBorders>
              <w:right w:val="nil"/>
            </w:tcBorders>
            <w:shd w:val="clear" w:color="auto" w:fill="auto"/>
            <w:vAlign w:val="center"/>
          </w:tcPr>
          <w:p w14:paraId="594AF8C7"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b/>
              </w:rPr>
              <w:t>Temporary Structures and Construction Installations</w:t>
            </w:r>
          </w:p>
        </w:tc>
        <w:tc>
          <w:tcPr>
            <w:tcW w:w="1006" w:type="pct"/>
            <w:tcBorders>
              <w:left w:val="nil"/>
              <w:right w:val="nil"/>
            </w:tcBorders>
            <w:shd w:val="clear" w:color="auto" w:fill="auto"/>
            <w:vAlign w:val="center"/>
          </w:tcPr>
          <w:p w14:paraId="2C36CBC7"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left w:val="nil"/>
              <w:right w:val="nil"/>
            </w:tcBorders>
            <w:shd w:val="clear" w:color="auto" w:fill="auto"/>
            <w:vAlign w:val="center"/>
          </w:tcPr>
          <w:p w14:paraId="4D3450D5"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tcBorders>
              <w:left w:val="nil"/>
            </w:tcBorders>
            <w:shd w:val="clear" w:color="auto" w:fill="auto"/>
            <w:vAlign w:val="center"/>
          </w:tcPr>
          <w:p w14:paraId="6B0DD66A"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3CA64795" w14:textId="77777777" w:rsidTr="00BC1087">
        <w:trPr>
          <w:trHeight w:val="682"/>
          <w:jc w:val="center"/>
        </w:trPr>
        <w:tc>
          <w:tcPr>
            <w:tcW w:w="964" w:type="pct"/>
          </w:tcPr>
          <w:p w14:paraId="2B49EC3F"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33.</w:t>
            </w:r>
          </w:p>
        </w:tc>
        <w:tc>
          <w:tcPr>
            <w:tcW w:w="1269" w:type="pct"/>
            <w:shd w:val="clear" w:color="auto" w:fill="auto"/>
            <w:vAlign w:val="center"/>
          </w:tcPr>
          <w:p w14:paraId="4DF8E8A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Sidewalk shed</w:t>
            </w:r>
          </w:p>
        </w:tc>
        <w:tc>
          <w:tcPr>
            <w:tcW w:w="1006" w:type="pct"/>
            <w:shd w:val="clear" w:color="auto" w:fill="auto"/>
            <w:vAlign w:val="center"/>
          </w:tcPr>
          <w:p w14:paraId="6103331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$160 for the first 25  feet or fraction thereof in the length of the shed; plus $10 for each additional 25 feet or fraction thereof.</w:t>
            </w:r>
          </w:p>
        </w:tc>
        <w:tc>
          <w:tcPr>
            <w:tcW w:w="778" w:type="pct"/>
            <w:shd w:val="clear" w:color="auto" w:fill="auto"/>
            <w:vAlign w:val="center"/>
          </w:tcPr>
          <w:p w14:paraId="52CC48C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$130</w:t>
            </w:r>
          </w:p>
        </w:tc>
        <w:tc>
          <w:tcPr>
            <w:tcW w:w="983" w:type="pct"/>
            <w:shd w:val="clear" w:color="auto" w:fill="auto"/>
            <w:vAlign w:val="center"/>
          </w:tcPr>
          <w:p w14:paraId="02100BED"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390D75F2" w14:textId="77777777" w:rsidTr="00BC1087">
        <w:trPr>
          <w:trHeight w:val="295"/>
          <w:jc w:val="center"/>
        </w:trPr>
        <w:tc>
          <w:tcPr>
            <w:tcW w:w="964" w:type="pct"/>
          </w:tcPr>
          <w:p w14:paraId="5214F9B8"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34.</w:t>
            </w:r>
          </w:p>
        </w:tc>
        <w:tc>
          <w:tcPr>
            <w:tcW w:w="1269" w:type="pct"/>
            <w:shd w:val="clear" w:color="auto" w:fill="auto"/>
            <w:vAlign w:val="center"/>
          </w:tcPr>
          <w:p w14:paraId="09BCE97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Scaffold</w:t>
            </w:r>
          </w:p>
        </w:tc>
        <w:tc>
          <w:tcPr>
            <w:tcW w:w="1006" w:type="pct"/>
            <w:shd w:val="clear" w:color="auto" w:fill="auto"/>
            <w:vAlign w:val="center"/>
          </w:tcPr>
          <w:p w14:paraId="2F55BACC"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$160</w:t>
            </w:r>
          </w:p>
        </w:tc>
        <w:tc>
          <w:tcPr>
            <w:tcW w:w="778" w:type="pct"/>
            <w:shd w:val="clear" w:color="auto" w:fill="auto"/>
            <w:vAlign w:val="center"/>
          </w:tcPr>
          <w:p w14:paraId="06EBF6E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$130</w:t>
            </w:r>
          </w:p>
        </w:tc>
        <w:tc>
          <w:tcPr>
            <w:tcW w:w="983" w:type="pct"/>
            <w:shd w:val="clear" w:color="auto" w:fill="auto"/>
            <w:vAlign w:val="center"/>
          </w:tcPr>
          <w:p w14:paraId="256BF11C"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2B192167" w14:textId="77777777" w:rsidTr="00BC1087">
        <w:trPr>
          <w:trHeight w:val="286"/>
          <w:jc w:val="center"/>
        </w:trPr>
        <w:tc>
          <w:tcPr>
            <w:tcW w:w="964" w:type="pct"/>
          </w:tcPr>
          <w:p w14:paraId="54729649"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35.</w:t>
            </w:r>
          </w:p>
        </w:tc>
        <w:tc>
          <w:tcPr>
            <w:tcW w:w="1269" w:type="pct"/>
            <w:shd w:val="clear" w:color="auto" w:fill="auto"/>
            <w:vAlign w:val="center"/>
          </w:tcPr>
          <w:p w14:paraId="4AFC526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Construction Fence</w:t>
            </w:r>
          </w:p>
        </w:tc>
        <w:tc>
          <w:tcPr>
            <w:tcW w:w="1006" w:type="pct"/>
            <w:shd w:val="clear" w:color="auto" w:fill="auto"/>
            <w:vAlign w:val="center"/>
          </w:tcPr>
          <w:p w14:paraId="4CF1F1C3"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$160</w:t>
            </w:r>
          </w:p>
        </w:tc>
        <w:tc>
          <w:tcPr>
            <w:tcW w:w="778" w:type="pct"/>
            <w:shd w:val="clear" w:color="auto" w:fill="auto"/>
            <w:vAlign w:val="center"/>
          </w:tcPr>
          <w:p w14:paraId="78D4B674"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$130</w:t>
            </w:r>
          </w:p>
        </w:tc>
        <w:tc>
          <w:tcPr>
            <w:tcW w:w="983" w:type="pct"/>
            <w:shd w:val="clear" w:color="auto" w:fill="auto"/>
            <w:vAlign w:val="center"/>
          </w:tcPr>
          <w:p w14:paraId="13688092"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4FC2B3E8" w14:textId="77777777" w:rsidTr="00BC1087">
        <w:trPr>
          <w:trHeight w:val="673"/>
          <w:jc w:val="center"/>
        </w:trPr>
        <w:tc>
          <w:tcPr>
            <w:tcW w:w="964" w:type="pct"/>
          </w:tcPr>
          <w:p w14:paraId="7E234761"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36.</w:t>
            </w:r>
          </w:p>
        </w:tc>
        <w:tc>
          <w:tcPr>
            <w:tcW w:w="1269" w:type="pct"/>
            <w:shd w:val="clear" w:color="auto" w:fill="auto"/>
            <w:vAlign w:val="center"/>
          </w:tcPr>
          <w:p w14:paraId="2A7641B6"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Permit for temporary shed, railing, footbridge, catch platform, building sidewalk shanty, over-the-sidewalk chute. </w:t>
            </w:r>
          </w:p>
        </w:tc>
        <w:tc>
          <w:tcPr>
            <w:tcW w:w="1006" w:type="pct"/>
            <w:shd w:val="clear" w:color="auto" w:fill="auto"/>
            <w:vAlign w:val="center"/>
          </w:tcPr>
          <w:p w14:paraId="15C3A52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$160 for each permit. </w:t>
            </w:r>
          </w:p>
        </w:tc>
        <w:tc>
          <w:tcPr>
            <w:tcW w:w="778" w:type="pct"/>
            <w:shd w:val="clear" w:color="auto" w:fill="auto"/>
            <w:vAlign w:val="center"/>
          </w:tcPr>
          <w:p w14:paraId="0DA2BDC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$130</w:t>
            </w:r>
          </w:p>
        </w:tc>
        <w:tc>
          <w:tcPr>
            <w:tcW w:w="983" w:type="pct"/>
            <w:shd w:val="clear" w:color="auto" w:fill="auto"/>
            <w:vAlign w:val="center"/>
          </w:tcPr>
          <w:p w14:paraId="37584102"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4D687B04" w14:textId="77777777" w:rsidTr="00BC1087">
        <w:trPr>
          <w:trHeight w:val="1060"/>
          <w:jc w:val="center"/>
        </w:trPr>
        <w:tc>
          <w:tcPr>
            <w:tcW w:w="964" w:type="pct"/>
          </w:tcPr>
          <w:p w14:paraId="7B7C9E60"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37.</w:t>
            </w:r>
          </w:p>
        </w:tc>
        <w:tc>
          <w:tcPr>
            <w:tcW w:w="1269" w:type="pct"/>
            <w:shd w:val="clear" w:color="auto" w:fill="auto"/>
            <w:vAlign w:val="center"/>
          </w:tcPr>
          <w:p w14:paraId="76D4B392"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for temporary structure other than those listed above, including but not limited to tents, grandstands, stages.</w:t>
            </w:r>
          </w:p>
        </w:tc>
        <w:tc>
          <w:tcPr>
            <w:tcW w:w="1006" w:type="pct"/>
            <w:shd w:val="clear" w:color="auto" w:fill="auto"/>
            <w:vAlign w:val="center"/>
          </w:tcPr>
          <w:p w14:paraId="58F9DB0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For the initial 30 days of permit duration: $130 for the first 1,000 square feet or fraction thereof; plus $0.10 for each </w:t>
            </w:r>
            <w:r w:rsidRPr="00EC4EC4">
              <w:rPr>
                <w:rFonts w:eastAsia="Times New Roman" w:cs="Times New Roman"/>
              </w:rPr>
              <w:lastRenderedPageBreak/>
              <w:t xml:space="preserve">square foot or fraction thereof in excess of one thousand square feet; $130 for each additional 30 day period of permit duration. </w:t>
            </w:r>
          </w:p>
        </w:tc>
        <w:tc>
          <w:tcPr>
            <w:tcW w:w="778" w:type="pct"/>
            <w:shd w:val="clear" w:color="auto" w:fill="auto"/>
            <w:vAlign w:val="center"/>
          </w:tcPr>
          <w:p w14:paraId="04557B0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lastRenderedPageBreak/>
              <w:t>$130 for each additional 30 days.</w:t>
            </w:r>
          </w:p>
        </w:tc>
        <w:tc>
          <w:tcPr>
            <w:tcW w:w="983" w:type="pct"/>
            <w:shd w:val="clear" w:color="auto" w:fill="auto"/>
            <w:vAlign w:val="center"/>
          </w:tcPr>
          <w:p w14:paraId="5E5DBEAA"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6A73DD13" w14:textId="77777777" w:rsidTr="00BC1087">
        <w:trPr>
          <w:trHeight w:val="144"/>
          <w:jc w:val="center"/>
        </w:trPr>
        <w:tc>
          <w:tcPr>
            <w:tcW w:w="964" w:type="pct"/>
            <w:tcBorders>
              <w:right w:val="nil"/>
            </w:tcBorders>
          </w:tcPr>
          <w:p w14:paraId="3C441A93" w14:textId="77777777" w:rsidR="00140B7C" w:rsidRPr="00EC4EC4" w:rsidRDefault="00140B7C" w:rsidP="00BC1087">
            <w:pPr>
              <w:autoSpaceDE w:val="0"/>
              <w:autoSpaceDN w:val="0"/>
              <w:adjustRightInd w:val="0"/>
              <w:spacing w:after="0" w:line="240" w:lineRule="auto"/>
              <w:rPr>
                <w:rFonts w:eastAsia="Times New Roman" w:cs="Times New Roman"/>
                <w:b/>
              </w:rPr>
            </w:pPr>
          </w:p>
        </w:tc>
        <w:tc>
          <w:tcPr>
            <w:tcW w:w="1269" w:type="pct"/>
            <w:tcBorders>
              <w:right w:val="nil"/>
            </w:tcBorders>
            <w:shd w:val="clear" w:color="auto" w:fill="auto"/>
          </w:tcPr>
          <w:p w14:paraId="1BBC563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b/>
              </w:rPr>
              <w:t>Reinstatement of Applications/Permits</w:t>
            </w:r>
          </w:p>
        </w:tc>
        <w:tc>
          <w:tcPr>
            <w:tcW w:w="1006" w:type="pct"/>
            <w:tcBorders>
              <w:left w:val="nil"/>
              <w:right w:val="nil"/>
            </w:tcBorders>
            <w:shd w:val="clear" w:color="auto" w:fill="auto"/>
          </w:tcPr>
          <w:p w14:paraId="23453E06"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left w:val="nil"/>
              <w:right w:val="nil"/>
            </w:tcBorders>
            <w:shd w:val="clear" w:color="auto" w:fill="auto"/>
          </w:tcPr>
          <w:p w14:paraId="32693A2E"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c>
          <w:tcPr>
            <w:tcW w:w="983" w:type="pct"/>
            <w:tcBorders>
              <w:left w:val="nil"/>
            </w:tcBorders>
            <w:shd w:val="clear" w:color="auto" w:fill="auto"/>
          </w:tcPr>
          <w:p w14:paraId="09E9D3ED" w14:textId="77777777" w:rsidR="00140B7C" w:rsidRPr="00EC4EC4" w:rsidRDefault="00140B7C" w:rsidP="00BC1087">
            <w:pPr>
              <w:autoSpaceDE w:val="0"/>
              <w:autoSpaceDN w:val="0"/>
              <w:adjustRightInd w:val="0"/>
              <w:spacing w:after="0" w:line="240" w:lineRule="auto"/>
              <w:jc w:val="center"/>
              <w:rPr>
                <w:rFonts w:eastAsia="Times New Roman" w:cs="Times New Roman"/>
              </w:rPr>
            </w:pPr>
          </w:p>
        </w:tc>
      </w:tr>
      <w:tr w:rsidR="00140B7C" w:rsidRPr="00EC4EC4" w14:paraId="620781B7" w14:textId="77777777" w:rsidTr="00BC1087">
        <w:trPr>
          <w:trHeight w:val="144"/>
          <w:jc w:val="center"/>
        </w:trPr>
        <w:tc>
          <w:tcPr>
            <w:tcW w:w="964" w:type="pct"/>
            <w:tcBorders>
              <w:bottom w:val="nil"/>
            </w:tcBorders>
          </w:tcPr>
          <w:p w14:paraId="79F501A8"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38.</w:t>
            </w:r>
          </w:p>
        </w:tc>
        <w:tc>
          <w:tcPr>
            <w:tcW w:w="1269" w:type="pct"/>
            <w:tcBorders>
              <w:bottom w:val="nil"/>
            </w:tcBorders>
            <w:shd w:val="clear" w:color="auto" w:fill="auto"/>
            <w:vAlign w:val="center"/>
          </w:tcPr>
          <w:p w14:paraId="474D8F7A"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Application reinstatement fees:</w:t>
            </w:r>
          </w:p>
        </w:tc>
        <w:tc>
          <w:tcPr>
            <w:tcW w:w="1006" w:type="pct"/>
            <w:tcBorders>
              <w:bottom w:val="nil"/>
            </w:tcBorders>
            <w:shd w:val="clear" w:color="auto" w:fill="auto"/>
            <w:vAlign w:val="center"/>
          </w:tcPr>
          <w:p w14:paraId="0586287F"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vMerge w:val="restart"/>
            <w:shd w:val="clear" w:color="auto" w:fill="auto"/>
            <w:vAlign w:val="center"/>
          </w:tcPr>
          <w:p w14:paraId="06CC3634"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val="restart"/>
            <w:shd w:val="clear" w:color="auto" w:fill="auto"/>
            <w:vAlign w:val="center"/>
          </w:tcPr>
          <w:p w14:paraId="634826DB" w14:textId="77777777" w:rsidR="00140B7C" w:rsidRPr="00EC4EC4" w:rsidRDefault="00140B7C" w:rsidP="00BC1087">
            <w:pPr>
              <w:autoSpaceDE w:val="0"/>
              <w:autoSpaceDN w:val="0"/>
              <w:adjustRightInd w:val="0"/>
              <w:spacing w:after="0" w:line="240" w:lineRule="auto"/>
              <w:rPr>
                <w:rFonts w:eastAsia="Times New Roman" w:cs="Times New Roman"/>
              </w:rPr>
            </w:pPr>
          </w:p>
        </w:tc>
      </w:tr>
      <w:tr w:rsidR="00140B7C" w:rsidRPr="00EC4EC4" w14:paraId="092E146E" w14:textId="77777777" w:rsidTr="00BC1087">
        <w:trPr>
          <w:trHeight w:val="144"/>
          <w:jc w:val="center"/>
        </w:trPr>
        <w:tc>
          <w:tcPr>
            <w:tcW w:w="964" w:type="pct"/>
            <w:tcBorders>
              <w:top w:val="nil"/>
              <w:bottom w:val="nil"/>
            </w:tcBorders>
          </w:tcPr>
          <w:p w14:paraId="5508215F"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33F515D3"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 xml:space="preserve"> </w:t>
            </w:r>
          </w:p>
        </w:tc>
        <w:tc>
          <w:tcPr>
            <w:tcW w:w="1006" w:type="pct"/>
            <w:tcBorders>
              <w:top w:val="nil"/>
              <w:bottom w:val="nil"/>
            </w:tcBorders>
            <w:shd w:val="clear" w:color="auto" w:fill="auto"/>
            <w:vAlign w:val="center"/>
          </w:tcPr>
          <w:p w14:paraId="5C531119"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 xml:space="preserve"> </w:t>
            </w:r>
          </w:p>
        </w:tc>
        <w:tc>
          <w:tcPr>
            <w:tcW w:w="778" w:type="pct"/>
            <w:vMerge/>
            <w:shd w:val="clear" w:color="auto" w:fill="auto"/>
            <w:vAlign w:val="center"/>
          </w:tcPr>
          <w:p w14:paraId="79C3D6ED"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6919430C"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r w:rsidR="00140B7C" w:rsidRPr="00EC4EC4" w14:paraId="0636B5E5" w14:textId="77777777" w:rsidTr="00BC1087">
        <w:trPr>
          <w:trHeight w:val="144"/>
          <w:jc w:val="center"/>
        </w:trPr>
        <w:tc>
          <w:tcPr>
            <w:tcW w:w="964" w:type="pct"/>
            <w:tcBorders>
              <w:top w:val="nil"/>
              <w:bottom w:val="nil"/>
            </w:tcBorders>
          </w:tcPr>
          <w:p w14:paraId="47D2771C" w14:textId="77777777" w:rsidR="00140B7C" w:rsidRPr="00EC4EC4" w:rsidRDefault="00140B7C" w:rsidP="00BC1087">
            <w:pPr>
              <w:widowControl w:val="0"/>
              <w:kinsoku w:val="0"/>
              <w:autoSpaceDE w:val="0"/>
              <w:autoSpaceDN w:val="0"/>
              <w:adjustRightInd w:val="0"/>
              <w:spacing w:after="0" w:line="240" w:lineRule="auto"/>
              <w:rPr>
                <w:rFonts w:eastAsia="Times New Roman" w:cs="Times New Roman"/>
              </w:rPr>
            </w:pPr>
          </w:p>
        </w:tc>
        <w:tc>
          <w:tcPr>
            <w:tcW w:w="1269" w:type="pct"/>
            <w:tcBorders>
              <w:top w:val="nil"/>
              <w:bottom w:val="nil"/>
            </w:tcBorders>
            <w:shd w:val="clear" w:color="auto" w:fill="auto"/>
            <w:vAlign w:val="center"/>
          </w:tcPr>
          <w:p w14:paraId="70303B05" w14:textId="77777777" w:rsidR="00140B7C" w:rsidRPr="00EC4EC4" w:rsidRDefault="00140B7C" w:rsidP="00226293">
            <w:pPr>
              <w:widowControl w:val="0"/>
              <w:numPr>
                <w:ilvl w:val="0"/>
                <w:numId w:val="21"/>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Following first permit issuance but prior to commencing work.</w:t>
            </w:r>
          </w:p>
        </w:tc>
        <w:tc>
          <w:tcPr>
            <w:tcW w:w="1006" w:type="pct"/>
            <w:tcBorders>
              <w:top w:val="nil"/>
              <w:bottom w:val="nil"/>
            </w:tcBorders>
            <w:shd w:val="clear" w:color="auto" w:fill="auto"/>
            <w:vAlign w:val="center"/>
          </w:tcPr>
          <w:p w14:paraId="05552475"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sidDel="002A76F4">
              <w:rPr>
                <w:rFonts w:eastAsia="Times New Roman" w:cs="Times New Roman"/>
              </w:rPr>
              <w:t>Full fee at the rate in effect on the date of reinstatement.</w:t>
            </w:r>
          </w:p>
        </w:tc>
        <w:tc>
          <w:tcPr>
            <w:tcW w:w="778" w:type="pct"/>
            <w:vMerge/>
            <w:shd w:val="clear" w:color="auto" w:fill="auto"/>
            <w:vAlign w:val="center"/>
          </w:tcPr>
          <w:p w14:paraId="2E6456E0"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5A6595F5"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r w:rsidR="00140B7C" w:rsidRPr="00EC4EC4" w14:paraId="368EBEE3" w14:textId="77777777" w:rsidTr="00BC1087">
        <w:trPr>
          <w:trHeight w:val="144"/>
          <w:jc w:val="center"/>
        </w:trPr>
        <w:tc>
          <w:tcPr>
            <w:tcW w:w="964" w:type="pct"/>
            <w:tcBorders>
              <w:top w:val="nil"/>
              <w:bottom w:val="nil"/>
            </w:tcBorders>
          </w:tcPr>
          <w:p w14:paraId="7BECB627"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4314FD90" w14:textId="77777777" w:rsidR="00140B7C" w:rsidRPr="00EC4EC4" w:rsidRDefault="00140B7C" w:rsidP="00226293">
            <w:pPr>
              <w:widowControl w:val="0"/>
              <w:numPr>
                <w:ilvl w:val="0"/>
                <w:numId w:val="21"/>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Following first permit, with work partially complete.</w:t>
            </w:r>
          </w:p>
        </w:tc>
        <w:tc>
          <w:tcPr>
            <w:tcW w:w="1006" w:type="pct"/>
            <w:tcBorders>
              <w:top w:val="nil"/>
              <w:bottom w:val="nil"/>
            </w:tcBorders>
            <w:shd w:val="clear" w:color="auto" w:fill="auto"/>
            <w:vAlign w:val="center"/>
          </w:tcPr>
          <w:p w14:paraId="17505FD9" w14:textId="77777777" w:rsidR="00140B7C" w:rsidRPr="00EC4EC4" w:rsidRDefault="00140B7C" w:rsidP="00BC1087">
            <w:pPr>
              <w:autoSpaceDE w:val="0"/>
              <w:autoSpaceDN w:val="0"/>
              <w:adjustRightInd w:val="0"/>
              <w:spacing w:after="0" w:line="240" w:lineRule="auto"/>
              <w:rPr>
                <w:rFonts w:eastAsia="Times New Roman" w:cs="Times New Roman"/>
                <w:strike/>
              </w:rPr>
            </w:pPr>
            <w:r w:rsidRPr="00EC4EC4">
              <w:rPr>
                <w:rFonts w:eastAsia="Times New Roman" w:cs="Times New Roman"/>
              </w:rPr>
              <w:t>Full fee at the rate in effect on the date of reinstatement.</w:t>
            </w:r>
          </w:p>
        </w:tc>
        <w:tc>
          <w:tcPr>
            <w:tcW w:w="778" w:type="pct"/>
            <w:vMerge/>
            <w:shd w:val="clear" w:color="auto" w:fill="auto"/>
            <w:vAlign w:val="center"/>
          </w:tcPr>
          <w:p w14:paraId="0179B5D8"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3541C0D0"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r w:rsidR="00140B7C" w:rsidRPr="00EC4EC4" w14:paraId="06114991" w14:textId="77777777" w:rsidTr="00BC1087">
        <w:trPr>
          <w:trHeight w:val="144"/>
          <w:jc w:val="center"/>
        </w:trPr>
        <w:tc>
          <w:tcPr>
            <w:tcW w:w="964" w:type="pct"/>
            <w:tcBorders>
              <w:top w:val="nil"/>
            </w:tcBorders>
          </w:tcPr>
          <w:p w14:paraId="1D3DC8D8" w14:textId="77777777" w:rsidR="00140B7C" w:rsidRPr="00EC4EC4" w:rsidRDefault="00140B7C" w:rsidP="00BC1087">
            <w:pPr>
              <w:autoSpaceDE w:val="0"/>
              <w:autoSpaceDN w:val="0"/>
              <w:adjustRightInd w:val="0"/>
              <w:spacing w:after="0" w:line="240" w:lineRule="auto"/>
              <w:ind w:left="540"/>
              <w:rPr>
                <w:rFonts w:eastAsia="Times New Roman" w:cs="Times New Roman"/>
              </w:rPr>
            </w:pPr>
          </w:p>
        </w:tc>
        <w:tc>
          <w:tcPr>
            <w:tcW w:w="1269" w:type="pct"/>
            <w:tcBorders>
              <w:top w:val="nil"/>
            </w:tcBorders>
            <w:shd w:val="clear" w:color="auto" w:fill="auto"/>
            <w:vAlign w:val="center"/>
          </w:tcPr>
          <w:p w14:paraId="664ED571" w14:textId="77777777" w:rsidR="00140B7C" w:rsidRPr="00EC4EC4" w:rsidRDefault="00140B7C" w:rsidP="00BC1087">
            <w:pPr>
              <w:autoSpaceDE w:val="0"/>
              <w:autoSpaceDN w:val="0"/>
              <w:adjustRightInd w:val="0"/>
              <w:spacing w:after="0" w:line="240" w:lineRule="auto"/>
              <w:ind w:left="540"/>
              <w:rPr>
                <w:rFonts w:eastAsia="Times New Roman" w:cs="Times New Roman"/>
              </w:rPr>
            </w:pPr>
          </w:p>
          <w:p w14:paraId="795F3B1F" w14:textId="77777777" w:rsidR="00140B7C" w:rsidRPr="00EC4EC4" w:rsidRDefault="00140B7C" w:rsidP="00226293">
            <w:pPr>
              <w:widowControl w:val="0"/>
              <w:numPr>
                <w:ilvl w:val="0"/>
                <w:numId w:val="21"/>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Reinstatement of an abandoned application.</w:t>
            </w:r>
          </w:p>
        </w:tc>
        <w:tc>
          <w:tcPr>
            <w:tcW w:w="1006" w:type="pct"/>
            <w:tcBorders>
              <w:top w:val="nil"/>
            </w:tcBorders>
            <w:shd w:val="clear" w:color="auto" w:fill="auto"/>
            <w:vAlign w:val="center"/>
          </w:tcPr>
          <w:p w14:paraId="556C03C1" w14:textId="77777777" w:rsidR="00140B7C" w:rsidRPr="00EC4EC4" w:rsidRDefault="00140B7C" w:rsidP="00BC1087">
            <w:pPr>
              <w:autoSpaceDE w:val="0"/>
              <w:autoSpaceDN w:val="0"/>
              <w:adjustRightInd w:val="0"/>
              <w:spacing w:after="0" w:line="240" w:lineRule="auto"/>
              <w:rPr>
                <w:rFonts w:eastAsia="Times New Roman" w:cs="Times New Roman"/>
              </w:rPr>
            </w:pPr>
          </w:p>
          <w:p w14:paraId="2BD8E7BE"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sidDel="001C2BD5">
              <w:rPr>
                <w:rFonts w:eastAsia="Times New Roman" w:cs="Times New Roman"/>
              </w:rPr>
              <w:t>Based upon the full fee at the rate in effect on the date of reinstatement, the percentage of the fee equal to the percentage of work remaining</w:t>
            </w:r>
            <w:r w:rsidRPr="00EC4EC4">
              <w:rPr>
                <w:rFonts w:eastAsia="Times New Roman" w:cs="Times New Roman"/>
              </w:rPr>
              <w:t>,</w:t>
            </w:r>
            <w:r w:rsidRPr="00EC4EC4" w:rsidDel="001C2BD5">
              <w:rPr>
                <w:rFonts w:eastAsia="Times New Roman" w:cs="Times New Roman"/>
              </w:rPr>
              <w:t xml:space="preserve"> as determined by the department inspector.</w:t>
            </w:r>
          </w:p>
        </w:tc>
        <w:tc>
          <w:tcPr>
            <w:tcW w:w="778" w:type="pct"/>
            <w:vMerge/>
            <w:shd w:val="clear" w:color="auto" w:fill="auto"/>
            <w:vAlign w:val="center"/>
          </w:tcPr>
          <w:p w14:paraId="3B3F3BB1"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03E1BCB6"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r w:rsidR="00140B7C" w:rsidRPr="00EC4EC4" w14:paraId="0F521C47" w14:textId="77777777" w:rsidTr="00BC1087">
        <w:trPr>
          <w:trHeight w:val="313"/>
          <w:jc w:val="center"/>
        </w:trPr>
        <w:tc>
          <w:tcPr>
            <w:tcW w:w="964" w:type="pct"/>
            <w:tcBorders>
              <w:bottom w:val="nil"/>
            </w:tcBorders>
          </w:tcPr>
          <w:p w14:paraId="60400309" w14:textId="77777777" w:rsidR="00140B7C" w:rsidRPr="00EC4EC4" w:rsidRDefault="00140B7C" w:rsidP="00BC1087">
            <w:pPr>
              <w:autoSpaceDE w:val="0"/>
              <w:autoSpaceDN w:val="0"/>
              <w:adjustRightInd w:val="0"/>
              <w:spacing w:after="0" w:line="240" w:lineRule="auto"/>
              <w:jc w:val="center"/>
              <w:rPr>
                <w:rFonts w:eastAsia="Times New Roman" w:cs="Times New Roman"/>
                <w:u w:val="single"/>
              </w:rPr>
            </w:pPr>
            <w:r w:rsidRPr="00EC4EC4">
              <w:rPr>
                <w:rFonts w:eastAsia="Times New Roman" w:cs="Times New Roman"/>
                <w:u w:val="single"/>
              </w:rPr>
              <w:t>39.</w:t>
            </w:r>
          </w:p>
        </w:tc>
        <w:tc>
          <w:tcPr>
            <w:tcW w:w="1269" w:type="pct"/>
            <w:tcBorders>
              <w:bottom w:val="nil"/>
            </w:tcBorders>
            <w:shd w:val="clear" w:color="auto" w:fill="auto"/>
            <w:vAlign w:val="center"/>
          </w:tcPr>
          <w:p w14:paraId="12C1556D"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Permit reinstatement fees:</w:t>
            </w:r>
          </w:p>
        </w:tc>
        <w:tc>
          <w:tcPr>
            <w:tcW w:w="1006" w:type="pct"/>
            <w:tcBorders>
              <w:bottom w:val="nil"/>
            </w:tcBorders>
            <w:shd w:val="clear" w:color="auto" w:fill="auto"/>
            <w:vAlign w:val="center"/>
          </w:tcPr>
          <w:p w14:paraId="1DF6F251"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778" w:type="pct"/>
            <w:tcBorders>
              <w:bottom w:val="nil"/>
            </w:tcBorders>
            <w:shd w:val="clear" w:color="auto" w:fill="auto"/>
            <w:vAlign w:val="center"/>
          </w:tcPr>
          <w:p w14:paraId="25BADE5A"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tcBorders>
              <w:bottom w:val="nil"/>
            </w:tcBorders>
            <w:shd w:val="clear" w:color="auto" w:fill="auto"/>
            <w:vAlign w:val="center"/>
          </w:tcPr>
          <w:p w14:paraId="0CF0DCC5"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r w:rsidR="00140B7C" w:rsidRPr="00EC4EC4" w14:paraId="19732E24" w14:textId="77777777" w:rsidTr="00BC1087">
        <w:trPr>
          <w:trHeight w:val="144"/>
          <w:jc w:val="center"/>
        </w:trPr>
        <w:tc>
          <w:tcPr>
            <w:tcW w:w="964" w:type="pct"/>
            <w:tcBorders>
              <w:top w:val="nil"/>
              <w:bottom w:val="nil"/>
            </w:tcBorders>
          </w:tcPr>
          <w:p w14:paraId="5C1397CC"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76B35C4D" w14:textId="77777777" w:rsidR="00140B7C" w:rsidRPr="00EC4EC4" w:rsidRDefault="00140B7C" w:rsidP="00226293">
            <w:pPr>
              <w:widowControl w:val="0"/>
              <w:numPr>
                <w:ilvl w:val="0"/>
                <w:numId w:val="26"/>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 xml:space="preserve">Following first permit issuance but prior to commencing work and more than 1 year since </w:t>
            </w:r>
            <w:r w:rsidRPr="00EC4EC4">
              <w:rPr>
                <w:rFonts w:eastAsia="Times New Roman" w:cs="Times New Roman"/>
              </w:rPr>
              <w:lastRenderedPageBreak/>
              <w:t>filing.</w:t>
            </w:r>
          </w:p>
        </w:tc>
        <w:tc>
          <w:tcPr>
            <w:tcW w:w="1006" w:type="pct"/>
            <w:tcBorders>
              <w:top w:val="nil"/>
              <w:bottom w:val="nil"/>
            </w:tcBorders>
            <w:shd w:val="clear" w:color="auto" w:fill="auto"/>
            <w:vAlign w:val="center"/>
          </w:tcPr>
          <w:p w14:paraId="59E8E517"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lastRenderedPageBreak/>
              <w:t>Full fee at the rate in effect on the date of reinstatement.</w:t>
            </w:r>
          </w:p>
        </w:tc>
        <w:tc>
          <w:tcPr>
            <w:tcW w:w="778" w:type="pct"/>
            <w:vMerge w:val="restart"/>
            <w:tcBorders>
              <w:top w:val="nil"/>
            </w:tcBorders>
            <w:shd w:val="clear" w:color="auto" w:fill="auto"/>
            <w:vAlign w:val="center"/>
          </w:tcPr>
          <w:p w14:paraId="56A98B94"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val="restart"/>
            <w:tcBorders>
              <w:top w:val="nil"/>
            </w:tcBorders>
            <w:shd w:val="clear" w:color="auto" w:fill="auto"/>
            <w:vAlign w:val="center"/>
          </w:tcPr>
          <w:p w14:paraId="415CA001"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r w:rsidR="00140B7C" w:rsidRPr="00EC4EC4" w14:paraId="3BE5C426" w14:textId="77777777" w:rsidTr="00BC1087">
        <w:trPr>
          <w:trHeight w:val="871"/>
          <w:jc w:val="center"/>
        </w:trPr>
        <w:tc>
          <w:tcPr>
            <w:tcW w:w="964" w:type="pct"/>
            <w:tcBorders>
              <w:top w:val="nil"/>
              <w:bottom w:val="nil"/>
            </w:tcBorders>
          </w:tcPr>
          <w:p w14:paraId="72BDE481"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79F4295D" w14:textId="77777777" w:rsidR="00140B7C" w:rsidRPr="00EC4EC4" w:rsidRDefault="00140B7C" w:rsidP="00226293">
            <w:pPr>
              <w:widowControl w:val="0"/>
              <w:numPr>
                <w:ilvl w:val="0"/>
                <w:numId w:val="26"/>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 xml:space="preserve">Following first permit, but more than 1 year with work partially complete. </w:t>
            </w:r>
          </w:p>
        </w:tc>
        <w:tc>
          <w:tcPr>
            <w:tcW w:w="1006" w:type="pct"/>
            <w:tcBorders>
              <w:top w:val="nil"/>
              <w:bottom w:val="nil"/>
            </w:tcBorders>
            <w:shd w:val="clear" w:color="auto" w:fill="auto"/>
            <w:vAlign w:val="center"/>
          </w:tcPr>
          <w:p w14:paraId="26E3C268"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Based upon the full fee at the rate in effect on the date of reinstatement, the percentage of the fee equal to the percentage of work remaining as determined by the department inspector, plus the renewal fee.</w:t>
            </w:r>
          </w:p>
        </w:tc>
        <w:tc>
          <w:tcPr>
            <w:tcW w:w="778" w:type="pct"/>
            <w:vMerge/>
            <w:shd w:val="clear" w:color="auto" w:fill="auto"/>
            <w:vAlign w:val="center"/>
          </w:tcPr>
          <w:p w14:paraId="0AA5DFBC"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1884DB82"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r w:rsidR="00140B7C" w:rsidRPr="00EC4EC4" w14:paraId="0A2DAC50" w14:textId="77777777" w:rsidTr="00BC1087">
        <w:trPr>
          <w:trHeight w:val="889"/>
          <w:jc w:val="center"/>
        </w:trPr>
        <w:tc>
          <w:tcPr>
            <w:tcW w:w="964" w:type="pct"/>
            <w:tcBorders>
              <w:top w:val="nil"/>
              <w:bottom w:val="nil"/>
            </w:tcBorders>
          </w:tcPr>
          <w:p w14:paraId="78A2A8F0"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1337F5CD" w14:textId="77777777" w:rsidR="00140B7C" w:rsidRPr="00EC4EC4" w:rsidRDefault="00140B7C" w:rsidP="00226293">
            <w:pPr>
              <w:widowControl w:val="0"/>
              <w:numPr>
                <w:ilvl w:val="0"/>
                <w:numId w:val="26"/>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 xml:space="preserve">Following first permit, more than 1 year after work suspended or abandoned. </w:t>
            </w:r>
          </w:p>
        </w:tc>
        <w:tc>
          <w:tcPr>
            <w:tcW w:w="1006" w:type="pct"/>
            <w:tcBorders>
              <w:top w:val="nil"/>
              <w:bottom w:val="nil"/>
            </w:tcBorders>
            <w:shd w:val="clear" w:color="auto" w:fill="auto"/>
            <w:vAlign w:val="center"/>
          </w:tcPr>
          <w:p w14:paraId="64DD81A0"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Based upon the full fee at the rate in effect on the date of reinstatement, the percentage of the fee equal to the percentage of work remaining as determined by the department inspector, plus the renewal fee.</w:t>
            </w:r>
          </w:p>
        </w:tc>
        <w:tc>
          <w:tcPr>
            <w:tcW w:w="778" w:type="pct"/>
            <w:vMerge/>
            <w:shd w:val="clear" w:color="auto" w:fill="auto"/>
            <w:vAlign w:val="center"/>
          </w:tcPr>
          <w:p w14:paraId="20C2D442"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6D55A87D"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r w:rsidR="00140B7C" w:rsidRPr="00EC4EC4" w14:paraId="0F96428B" w14:textId="77777777" w:rsidTr="00BC1087">
        <w:trPr>
          <w:trHeight w:val="1069"/>
          <w:jc w:val="center"/>
        </w:trPr>
        <w:tc>
          <w:tcPr>
            <w:tcW w:w="964" w:type="pct"/>
            <w:tcBorders>
              <w:top w:val="nil"/>
              <w:bottom w:val="nil"/>
            </w:tcBorders>
          </w:tcPr>
          <w:p w14:paraId="153837EE"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nil"/>
            </w:tcBorders>
            <w:shd w:val="clear" w:color="auto" w:fill="auto"/>
            <w:vAlign w:val="center"/>
          </w:tcPr>
          <w:p w14:paraId="28C66826" w14:textId="77777777" w:rsidR="00140B7C" w:rsidRPr="00EC4EC4" w:rsidRDefault="00140B7C" w:rsidP="00226293">
            <w:pPr>
              <w:widowControl w:val="0"/>
              <w:numPr>
                <w:ilvl w:val="0"/>
                <w:numId w:val="26"/>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 xml:space="preserve">Work permit within a period of 2 years from the date of issuance, solely for the purpose of sign-off, including correction of defects noted in a final inspection as provided in section 28-116.2.4. </w:t>
            </w:r>
          </w:p>
        </w:tc>
        <w:tc>
          <w:tcPr>
            <w:tcW w:w="1006" w:type="pct"/>
            <w:tcBorders>
              <w:top w:val="nil"/>
              <w:bottom w:val="nil"/>
            </w:tcBorders>
            <w:shd w:val="clear" w:color="auto" w:fill="auto"/>
            <w:vAlign w:val="center"/>
          </w:tcPr>
          <w:p w14:paraId="5E96469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Based upon the full fee at the rate in effect on the date of reinstatement, the percentage of the fee equal to the percentage of work remaining as determined by the department inspector, plus the renewal fee.</w:t>
            </w:r>
          </w:p>
        </w:tc>
        <w:tc>
          <w:tcPr>
            <w:tcW w:w="778" w:type="pct"/>
            <w:vMerge/>
            <w:shd w:val="clear" w:color="auto" w:fill="auto"/>
            <w:vAlign w:val="center"/>
          </w:tcPr>
          <w:p w14:paraId="461F891E"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shd w:val="clear" w:color="auto" w:fill="auto"/>
            <w:vAlign w:val="center"/>
          </w:tcPr>
          <w:p w14:paraId="42DC1173"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r w:rsidR="00140B7C" w:rsidRPr="00EC4EC4" w14:paraId="50A12985" w14:textId="77777777" w:rsidTr="00BC1087">
        <w:trPr>
          <w:trHeight w:val="898"/>
          <w:jc w:val="center"/>
        </w:trPr>
        <w:tc>
          <w:tcPr>
            <w:tcW w:w="964" w:type="pct"/>
            <w:tcBorders>
              <w:top w:val="nil"/>
              <w:bottom w:val="single" w:sz="4" w:space="0" w:color="auto"/>
            </w:tcBorders>
          </w:tcPr>
          <w:p w14:paraId="12839934" w14:textId="77777777" w:rsidR="00140B7C" w:rsidRPr="00EC4EC4" w:rsidRDefault="00140B7C" w:rsidP="00BC1087">
            <w:pPr>
              <w:widowControl w:val="0"/>
              <w:kinsoku w:val="0"/>
              <w:autoSpaceDE w:val="0"/>
              <w:autoSpaceDN w:val="0"/>
              <w:adjustRightInd w:val="0"/>
              <w:spacing w:after="0" w:line="240" w:lineRule="auto"/>
              <w:ind w:left="540"/>
              <w:rPr>
                <w:rFonts w:eastAsia="Times New Roman" w:cs="Times New Roman"/>
              </w:rPr>
            </w:pPr>
          </w:p>
        </w:tc>
        <w:tc>
          <w:tcPr>
            <w:tcW w:w="1269" w:type="pct"/>
            <w:tcBorders>
              <w:top w:val="nil"/>
              <w:bottom w:val="single" w:sz="4" w:space="0" w:color="auto"/>
            </w:tcBorders>
            <w:shd w:val="clear" w:color="auto" w:fill="auto"/>
            <w:vAlign w:val="center"/>
          </w:tcPr>
          <w:p w14:paraId="5D991709" w14:textId="77777777" w:rsidR="00140B7C" w:rsidRPr="00EC4EC4" w:rsidRDefault="00140B7C" w:rsidP="00226293">
            <w:pPr>
              <w:widowControl w:val="0"/>
              <w:numPr>
                <w:ilvl w:val="0"/>
                <w:numId w:val="26"/>
              </w:numPr>
              <w:kinsoku w:val="0"/>
              <w:autoSpaceDE w:val="0"/>
              <w:autoSpaceDN w:val="0"/>
              <w:adjustRightInd w:val="0"/>
              <w:spacing w:after="0" w:line="240" w:lineRule="auto"/>
              <w:ind w:left="540"/>
              <w:rPr>
                <w:rFonts w:eastAsia="Times New Roman" w:cs="Times New Roman"/>
              </w:rPr>
            </w:pPr>
            <w:r w:rsidRPr="00EC4EC4">
              <w:rPr>
                <w:rFonts w:eastAsia="Times New Roman" w:cs="Times New Roman"/>
              </w:rPr>
              <w:t>More than 2 years with code/zone change during this period (e.g., job application was originally filed under 1968 Code and job must be filed in 2014 Code).</w:t>
            </w:r>
          </w:p>
        </w:tc>
        <w:tc>
          <w:tcPr>
            <w:tcW w:w="1006" w:type="pct"/>
            <w:tcBorders>
              <w:top w:val="nil"/>
              <w:bottom w:val="single" w:sz="4" w:space="0" w:color="auto"/>
            </w:tcBorders>
            <w:shd w:val="clear" w:color="auto" w:fill="auto"/>
            <w:vAlign w:val="center"/>
          </w:tcPr>
          <w:p w14:paraId="5515A87B" w14:textId="77777777" w:rsidR="00140B7C" w:rsidRPr="00EC4EC4" w:rsidRDefault="00140B7C" w:rsidP="00BC1087">
            <w:pPr>
              <w:autoSpaceDE w:val="0"/>
              <w:autoSpaceDN w:val="0"/>
              <w:adjustRightInd w:val="0"/>
              <w:spacing w:after="0" w:line="240" w:lineRule="auto"/>
              <w:rPr>
                <w:rFonts w:eastAsia="Times New Roman" w:cs="Times New Roman"/>
              </w:rPr>
            </w:pPr>
            <w:r w:rsidRPr="00EC4EC4">
              <w:rPr>
                <w:rFonts w:eastAsia="Times New Roman" w:cs="Times New Roman"/>
              </w:rPr>
              <w:t>Re-file job application and pay full filing fee.</w:t>
            </w:r>
          </w:p>
        </w:tc>
        <w:tc>
          <w:tcPr>
            <w:tcW w:w="778" w:type="pct"/>
            <w:vMerge/>
            <w:tcBorders>
              <w:bottom w:val="single" w:sz="4" w:space="0" w:color="auto"/>
            </w:tcBorders>
            <w:shd w:val="clear" w:color="auto" w:fill="auto"/>
            <w:vAlign w:val="center"/>
          </w:tcPr>
          <w:p w14:paraId="3AED6C52" w14:textId="77777777" w:rsidR="00140B7C" w:rsidRPr="00EC4EC4" w:rsidRDefault="00140B7C" w:rsidP="00BC1087">
            <w:pPr>
              <w:autoSpaceDE w:val="0"/>
              <w:autoSpaceDN w:val="0"/>
              <w:adjustRightInd w:val="0"/>
              <w:spacing w:after="0" w:line="240" w:lineRule="auto"/>
              <w:rPr>
                <w:rFonts w:eastAsia="Times New Roman" w:cs="Times New Roman"/>
              </w:rPr>
            </w:pPr>
          </w:p>
        </w:tc>
        <w:tc>
          <w:tcPr>
            <w:tcW w:w="983" w:type="pct"/>
            <w:vMerge/>
            <w:tcBorders>
              <w:bottom w:val="single" w:sz="4" w:space="0" w:color="auto"/>
            </w:tcBorders>
            <w:shd w:val="clear" w:color="auto" w:fill="auto"/>
            <w:vAlign w:val="center"/>
          </w:tcPr>
          <w:p w14:paraId="4161665F" w14:textId="77777777" w:rsidR="00140B7C" w:rsidRPr="00EC4EC4" w:rsidDel="001D6DD9" w:rsidRDefault="00140B7C" w:rsidP="00BC1087">
            <w:pPr>
              <w:autoSpaceDE w:val="0"/>
              <w:autoSpaceDN w:val="0"/>
              <w:adjustRightInd w:val="0"/>
              <w:spacing w:after="0" w:line="240" w:lineRule="auto"/>
              <w:rPr>
                <w:rFonts w:eastAsia="Times New Roman" w:cs="Times New Roman"/>
              </w:rPr>
            </w:pPr>
          </w:p>
        </w:tc>
      </w:tr>
    </w:tbl>
    <w:p w14:paraId="51C2B971" w14:textId="77777777" w:rsidR="00140B7C" w:rsidRPr="00EC4EC4" w:rsidRDefault="00140B7C" w:rsidP="00140B7C">
      <w:pPr>
        <w:spacing w:after="0" w:line="240" w:lineRule="auto"/>
      </w:pPr>
    </w:p>
    <w:p w14:paraId="365113FF" w14:textId="77777777" w:rsidR="00140B7C" w:rsidRPr="00EC4EC4" w:rsidRDefault="00140B7C" w:rsidP="00140B7C">
      <w:pPr>
        <w:widowControl w:val="0"/>
        <w:kinsoku w:val="0"/>
        <w:spacing w:after="0" w:line="240" w:lineRule="auto"/>
        <w:jc w:val="center"/>
        <w:rPr>
          <w:rFonts w:eastAsia="Times New Roman" w:cs="Times New Roman"/>
          <w:szCs w:val="24"/>
        </w:rPr>
      </w:pPr>
    </w:p>
    <w:p w14:paraId="5F78DF59"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14</w:t>
      </w:r>
      <w:r w:rsidRPr="00EC4EC4">
        <w:rPr>
          <w:rFonts w:cs="Times New Roman"/>
          <w:sz w:val="23"/>
          <w:szCs w:val="23"/>
        </w:rPr>
        <w:t>. Section 28-112.8 of the administrative code of the city of New York, as amended by local law number 126 for the year 2021, is amended to read as follows:</w:t>
      </w:r>
    </w:p>
    <w:p w14:paraId="3B1D3EA3" w14:textId="77777777" w:rsidR="00140B7C" w:rsidRPr="00EC4EC4" w:rsidRDefault="00140B7C" w:rsidP="00140B7C">
      <w:pPr>
        <w:pStyle w:val="FlushLeft"/>
        <w:rPr>
          <w:spacing w:val="1"/>
          <w:szCs w:val="24"/>
        </w:rPr>
      </w:pPr>
      <w:r w:rsidRPr="00EC4EC4">
        <w:rPr>
          <w:b/>
          <w:szCs w:val="24"/>
        </w:rPr>
        <w:t>§28-112.8 Special fees</w:t>
      </w:r>
      <w:r w:rsidRPr="00EC4EC4">
        <w:rPr>
          <w:b/>
          <w:bCs/>
          <w:spacing w:val="1"/>
          <w:w w:val="110"/>
          <w:szCs w:val="24"/>
        </w:rPr>
        <w:t xml:space="preserve">. </w:t>
      </w:r>
      <w:r w:rsidRPr="00EC4EC4">
        <w:rPr>
          <w:spacing w:val="1"/>
          <w:szCs w:val="24"/>
        </w:rPr>
        <w:t>Special fees are charged for services that are not covered in the fees for permits, equipment, reports and inspection. The department shall be entitled to charge the following special fees in accordance with Table 28-112.8[</w:t>
      </w:r>
      <w:r w:rsidRPr="00EC4EC4">
        <w:rPr>
          <w:strike/>
          <w:spacing w:val="1"/>
          <w:szCs w:val="24"/>
        </w:rPr>
        <w:t>:</w:t>
      </w:r>
      <w:r w:rsidRPr="00EC4EC4">
        <w:rPr>
          <w:spacing w:val="1"/>
          <w:szCs w:val="24"/>
        </w:rPr>
        <w:t>]</w:t>
      </w:r>
      <w:r w:rsidRPr="00EC4EC4">
        <w:rPr>
          <w:spacing w:val="1"/>
          <w:szCs w:val="24"/>
          <w:u w:val="single"/>
        </w:rPr>
        <w:t>.</w:t>
      </w:r>
    </w:p>
    <w:p w14:paraId="6BF8BCDE" w14:textId="77777777" w:rsidR="00140B7C" w:rsidRPr="00EC4EC4" w:rsidRDefault="00140B7C" w:rsidP="00140B7C">
      <w:pPr>
        <w:kinsoku w:val="0"/>
        <w:spacing w:after="240" w:line="240" w:lineRule="auto"/>
        <w:jc w:val="both"/>
        <w:rPr>
          <w:rFonts w:eastAsia="Times New Roman" w:cs="Times New Roman"/>
          <w:b/>
          <w:bCs/>
          <w:szCs w:val="24"/>
        </w:rPr>
      </w:pPr>
      <w:r w:rsidRPr="00EC4EC4">
        <w:rPr>
          <w:rFonts w:eastAsia="Times New Roman" w:cs="Times New Roman"/>
          <w:b/>
          <w:szCs w:val="24"/>
        </w:rPr>
        <w:tab/>
      </w:r>
      <w:bookmarkStart w:id="6" w:name="_Hlk113435544"/>
      <w:r w:rsidRPr="00EC4EC4">
        <w:rPr>
          <w:rFonts w:cs="Times New Roman"/>
          <w:sz w:val="23"/>
          <w:szCs w:val="23"/>
        </w:rPr>
        <w:t>§</w:t>
      </w:r>
      <w:r>
        <w:rPr>
          <w:rFonts w:cs="Times New Roman"/>
          <w:sz w:val="23"/>
          <w:szCs w:val="23"/>
        </w:rPr>
        <w:t>15</w:t>
      </w:r>
      <w:r w:rsidRPr="00EC4EC4">
        <w:rPr>
          <w:rFonts w:cs="Times New Roman"/>
          <w:sz w:val="23"/>
          <w:szCs w:val="23"/>
        </w:rPr>
        <w:t>. Section 28-116.2.4.2of title 28 of the administrative code of the city of New York, as amended by local law number 126 for the year 2021, is amended to read as follows:</w:t>
      </w:r>
    </w:p>
    <w:bookmarkEnd w:id="6"/>
    <w:p w14:paraId="40727FB1" w14:textId="77777777" w:rsidR="00140B7C" w:rsidRPr="00EC4EC4" w:rsidRDefault="00140B7C" w:rsidP="00140B7C">
      <w:pPr>
        <w:kinsoku w:val="0"/>
        <w:spacing w:before="120" w:after="120" w:line="240" w:lineRule="auto"/>
        <w:jc w:val="both"/>
        <w:rPr>
          <w:rFonts w:eastAsia="Times New Roman" w:cs="Times New Roman"/>
          <w:spacing w:val="1"/>
          <w:szCs w:val="24"/>
        </w:rPr>
      </w:pPr>
      <w:r w:rsidRPr="00EC4EC4">
        <w:rPr>
          <w:rFonts w:eastAsia="Times New Roman" w:cs="Times New Roman"/>
          <w:b/>
          <w:szCs w:val="24"/>
        </w:rPr>
        <w:t xml:space="preserve">§28-116.2.4.2 Final inspection prior to letter of completion. </w:t>
      </w:r>
      <w:r w:rsidRPr="00EC4EC4">
        <w:rPr>
          <w:rFonts w:eastAsia="Times New Roman" w:cs="Times New Roman"/>
          <w:spacing w:val="1"/>
          <w:szCs w:val="24"/>
        </w:rPr>
        <w:t>In all cases where the permitted work does not require the issuance of a certificate of occupancy, the final inspection shall be performed by an approved agency on behalf of the owner or by the department as directed by the commissioner. The applicant shall take all reasonable and necessary steps to ensure that the final inspection is performed within one year after the expiration of the last permit. The inspection shall be performed after all work authorized by the building permit is completed. The approved agency performing the inspection shall report defective work and discrepancies with the approved construction documents to the contractor and, when applicable, to the superintendent of construction, for correction. The approved agency shall report uncorrected discrepancies and defective work to the registered design professional of record and the owner in writing. The approved agency shall report all conditions noted or observed as hazardous to life, safety or health that are not immediately corrected to the immediate attention of the commissioner. All defects noted in such inspection shall be corrected. The final inspection report shall confirm that defects noted have been corrected, that the work is in substantial compliance with the approved construction documents and with this code and other applicable laws and rules and that all required inspections were performed. Final inspection reports shall be filed with and maintained by the department. Records of final inspections made by approved agencies shall be maintained by such persons for a period of six years after sign-off or for such other period as the commissioner shall require and shall be made available to the department upon request.</w:t>
      </w:r>
    </w:p>
    <w:p w14:paraId="03998AA3" w14:textId="77777777" w:rsidR="00140B7C" w:rsidRPr="00EC4EC4" w:rsidRDefault="00140B7C" w:rsidP="00140B7C">
      <w:pPr>
        <w:kinsoku w:val="0"/>
        <w:spacing w:before="120" w:after="120" w:line="240" w:lineRule="auto"/>
        <w:ind w:left="1080"/>
        <w:jc w:val="both"/>
        <w:rPr>
          <w:rFonts w:eastAsia="Times New Roman" w:cs="Times New Roman"/>
          <w:szCs w:val="24"/>
        </w:rPr>
      </w:pPr>
      <w:r w:rsidRPr="00EC4EC4">
        <w:rPr>
          <w:rFonts w:eastAsia="Times New Roman" w:cs="Times New Roman"/>
          <w:b/>
          <w:szCs w:val="24"/>
        </w:rPr>
        <w:t>[</w:t>
      </w:r>
      <w:r w:rsidRPr="00EC4EC4">
        <w:rPr>
          <w:rFonts w:eastAsia="Times New Roman" w:cs="Times New Roman"/>
          <w:b/>
          <w:strike/>
          <w:szCs w:val="24"/>
        </w:rPr>
        <w:t>Exception</w:t>
      </w:r>
      <w:r w:rsidRPr="00EC4EC4">
        <w:rPr>
          <w:rFonts w:eastAsia="Times New Roman" w:cs="Times New Roman"/>
          <w:b/>
          <w:szCs w:val="24"/>
        </w:rPr>
        <w:t xml:space="preserve">] </w:t>
      </w:r>
      <w:r w:rsidRPr="00EC4EC4">
        <w:rPr>
          <w:rFonts w:eastAsia="Times New Roman" w:cs="Times New Roman"/>
          <w:b/>
          <w:szCs w:val="24"/>
          <w:u w:val="single"/>
        </w:rPr>
        <w:t>Exceptions</w:t>
      </w:r>
      <w:r w:rsidRPr="00EC4EC4">
        <w:rPr>
          <w:rFonts w:eastAsia="Times New Roman" w:cs="Times New Roman"/>
          <w:b/>
          <w:szCs w:val="24"/>
        </w:rPr>
        <w:t>:</w:t>
      </w:r>
      <w:r w:rsidRPr="00EC4EC4">
        <w:rPr>
          <w:rFonts w:eastAsia="Times New Roman" w:cs="Times New Roman"/>
          <w:szCs w:val="24"/>
        </w:rPr>
        <w:t xml:space="preserve"> </w:t>
      </w:r>
    </w:p>
    <w:p w14:paraId="346840D2" w14:textId="77777777" w:rsidR="00140B7C" w:rsidRPr="00EC4EC4" w:rsidRDefault="00140B7C" w:rsidP="00226293">
      <w:pPr>
        <w:pStyle w:val="ListParagraph"/>
        <w:numPr>
          <w:ilvl w:val="0"/>
          <w:numId w:val="34"/>
        </w:numPr>
        <w:kinsoku w:val="0"/>
        <w:spacing w:before="120" w:after="120"/>
        <w:jc w:val="both"/>
        <w:rPr>
          <w:rFonts w:ascii="Times New Roman" w:hAnsi="Times New Roman" w:cs="Times New Roman"/>
          <w:color w:val="auto"/>
          <w:szCs w:val="24"/>
        </w:rPr>
      </w:pPr>
      <w:r w:rsidRPr="00EC4EC4">
        <w:rPr>
          <w:rFonts w:ascii="Times New Roman" w:hAnsi="Times New Roman" w:cs="Times New Roman"/>
          <w:color w:val="auto"/>
          <w:szCs w:val="24"/>
        </w:rPr>
        <w:lastRenderedPageBreak/>
        <w:t>Final inspection shall be performed by the department for permitted work in R-2 occupancies if the building is listed on the department of housing preservation and development’s website pursuant to paragraph 6 of subdivision m of section 27-2115 of the administrative code.</w:t>
      </w:r>
      <w:r w:rsidRPr="00EC4EC4">
        <w:rPr>
          <w:rFonts w:ascii="Times New Roman" w:hAnsi="Times New Roman" w:cs="Times New Roman"/>
          <w:color w:val="auto"/>
          <w:spacing w:val="1"/>
          <w:szCs w:val="24"/>
        </w:rPr>
        <w:t xml:space="preserve"> The department shall charge a fee for such inspection.</w:t>
      </w:r>
    </w:p>
    <w:p w14:paraId="1E8B7535" w14:textId="77777777" w:rsidR="00140B7C" w:rsidRPr="00EC4EC4" w:rsidRDefault="00140B7C" w:rsidP="00140B7C">
      <w:pPr>
        <w:pStyle w:val="ListParagraph"/>
        <w:kinsoku w:val="0"/>
        <w:spacing w:before="120" w:after="120"/>
        <w:ind w:left="1440"/>
        <w:jc w:val="both"/>
        <w:rPr>
          <w:rFonts w:ascii="Times New Roman" w:hAnsi="Times New Roman" w:cs="Times New Roman"/>
          <w:color w:val="auto"/>
          <w:szCs w:val="24"/>
        </w:rPr>
      </w:pPr>
    </w:p>
    <w:p w14:paraId="671C3F94" w14:textId="77777777" w:rsidR="00140B7C" w:rsidRPr="009F5984" w:rsidRDefault="00140B7C" w:rsidP="00226293">
      <w:pPr>
        <w:pStyle w:val="ListParagraph"/>
        <w:numPr>
          <w:ilvl w:val="0"/>
          <w:numId w:val="34"/>
        </w:numPr>
        <w:kinsoku w:val="0"/>
        <w:spacing w:before="120" w:after="120"/>
        <w:jc w:val="both"/>
        <w:rPr>
          <w:rFonts w:ascii="Times New Roman" w:hAnsi="Times New Roman" w:cs="Times New Roman"/>
          <w:color w:val="auto"/>
          <w:szCs w:val="24"/>
          <w:u w:val="single"/>
        </w:rPr>
      </w:pPr>
      <w:r w:rsidRPr="009F5984">
        <w:rPr>
          <w:rFonts w:ascii="Times New Roman" w:hAnsi="Times New Roman" w:cs="Times New Roman"/>
          <w:color w:val="auto"/>
          <w:szCs w:val="24"/>
          <w:u w:val="single"/>
        </w:rPr>
        <w:t>Final inspection shall not be required for temporary construction equipment permits. Unless otherwise specified elsewhere in this code, the permit holder, owner, or owner’s designee shall notify the department upon removal of the temporary construction equipment no more than two business days following the removal of such equipment in a form and manner acceptable to the Department.</w:t>
      </w:r>
    </w:p>
    <w:p w14:paraId="41BFFBFD"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9F5984">
        <w:rPr>
          <w:rFonts w:cs="Times New Roman"/>
          <w:sz w:val="23"/>
          <w:szCs w:val="23"/>
        </w:rPr>
        <w:t xml:space="preserve">§16. Section 28-118.15.1 of the administrative code of the city of New York, as </w:t>
      </w:r>
      <w:r>
        <w:rPr>
          <w:rFonts w:cs="Times New Roman"/>
          <w:sz w:val="23"/>
          <w:szCs w:val="23"/>
        </w:rPr>
        <w:t>amended</w:t>
      </w:r>
      <w:r w:rsidRPr="009F5984">
        <w:rPr>
          <w:rFonts w:cs="Times New Roman"/>
          <w:sz w:val="23"/>
          <w:szCs w:val="23"/>
        </w:rPr>
        <w:t xml:space="preserve"> by local law number </w:t>
      </w:r>
      <w:r>
        <w:rPr>
          <w:rFonts w:cs="Times New Roman"/>
          <w:sz w:val="23"/>
          <w:szCs w:val="23"/>
        </w:rPr>
        <w:t>12</w:t>
      </w:r>
      <w:r w:rsidRPr="009F5984">
        <w:rPr>
          <w:rFonts w:cs="Times New Roman"/>
          <w:sz w:val="23"/>
          <w:szCs w:val="23"/>
        </w:rPr>
        <w:t>6 for the year 2021, is amended to read as follows:</w:t>
      </w:r>
    </w:p>
    <w:p w14:paraId="7D32EFF9" w14:textId="77777777" w:rsidR="00140B7C" w:rsidRPr="00EC4EC4" w:rsidRDefault="00140B7C" w:rsidP="00140B7C">
      <w:pPr>
        <w:pStyle w:val="FlushLeftDouble"/>
        <w:ind w:left="0"/>
        <w:rPr>
          <w:szCs w:val="24"/>
        </w:rPr>
      </w:pPr>
      <w:r w:rsidRPr="00EC4EC4">
        <w:rPr>
          <w:b/>
          <w:szCs w:val="24"/>
        </w:rPr>
        <w:t>§ 28-118.15.1 Interim certificate of occupancy.</w:t>
      </w:r>
      <w:r w:rsidRPr="00EC4EC4">
        <w:rPr>
          <w:szCs w:val="24"/>
        </w:rPr>
        <w:t xml:space="preserve"> An interim certificate of occupancy may be issued authorizing occupancy of a specific floor or floors of a building prior to the completion of the entire work covered by a permit in accordance with this section and rules of the department, subject to the following conditions:</w:t>
      </w:r>
    </w:p>
    <w:p w14:paraId="262D2635" w14:textId="77777777" w:rsidR="00140B7C" w:rsidRPr="00EC4EC4" w:rsidRDefault="00140B7C" w:rsidP="00140B7C">
      <w:pPr>
        <w:suppressAutoHyphens/>
        <w:autoSpaceDE w:val="0"/>
        <w:autoSpaceDN w:val="0"/>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The building is of noncombustible construction and protected with an automatic sprinkler system;</w:t>
      </w:r>
    </w:p>
    <w:p w14:paraId="2D1F97BF" w14:textId="77777777" w:rsidR="00140B7C" w:rsidRPr="00EC4EC4" w:rsidRDefault="00140B7C" w:rsidP="00140B7C">
      <w:pPr>
        <w:suppressAutoHyphens/>
        <w:autoSpaceDE w:val="0"/>
        <w:autoSpaceDN w:val="0"/>
        <w:spacing w:after="240" w:line="240" w:lineRule="auto"/>
        <w:ind w:left="1080" w:hanging="360"/>
        <w:jc w:val="both"/>
        <w:rPr>
          <w:rFonts w:eastAsia="Times New Roman" w:cs="Times New Roman"/>
          <w:szCs w:val="24"/>
        </w:rPr>
      </w:pPr>
      <w:r w:rsidRPr="00EC4EC4">
        <w:rPr>
          <w:rFonts w:eastAsia="Times New Roman" w:cs="Times New Roman"/>
          <w:szCs w:val="24"/>
        </w:rPr>
        <w:t xml:space="preserve">2. </w:t>
      </w:r>
      <w:r w:rsidRPr="00EC4EC4">
        <w:rPr>
          <w:rFonts w:eastAsia="Times New Roman" w:cs="Times New Roman"/>
          <w:szCs w:val="24"/>
        </w:rPr>
        <w:tab/>
        <w:t xml:space="preserve">Adequate means of egress are provided; </w:t>
      </w:r>
    </w:p>
    <w:p w14:paraId="300D41B8" w14:textId="77777777" w:rsidR="00140B7C" w:rsidRPr="00EC4EC4" w:rsidRDefault="00140B7C" w:rsidP="00140B7C">
      <w:pPr>
        <w:suppressAutoHyphens/>
        <w:autoSpaceDE w:val="0"/>
        <w:autoSpaceDN w:val="0"/>
        <w:spacing w:after="240" w:line="240" w:lineRule="auto"/>
        <w:ind w:left="1080" w:hanging="360"/>
        <w:jc w:val="both"/>
        <w:rPr>
          <w:rFonts w:eastAsia="Times New Roman" w:cs="Times New Roman"/>
          <w:szCs w:val="24"/>
        </w:rPr>
      </w:pPr>
      <w:r w:rsidRPr="00EC4EC4">
        <w:rPr>
          <w:rFonts w:eastAsia="Times New Roman" w:cs="Times New Roman"/>
          <w:szCs w:val="24"/>
        </w:rPr>
        <w:t xml:space="preserve">3. </w:t>
      </w:r>
      <w:r w:rsidRPr="00EC4EC4">
        <w:rPr>
          <w:rFonts w:eastAsia="Times New Roman" w:cs="Times New Roman"/>
          <w:szCs w:val="24"/>
        </w:rPr>
        <w:tab/>
        <w:t xml:space="preserve">There are no outstanding objections relating to or affecting the occupancy of such portion of the building; and </w:t>
      </w:r>
    </w:p>
    <w:p w14:paraId="079F06B0" w14:textId="77777777" w:rsidR="00140B7C" w:rsidRPr="00EC4EC4" w:rsidRDefault="00140B7C" w:rsidP="00140B7C">
      <w:pPr>
        <w:suppressAutoHyphens/>
        <w:autoSpaceDE w:val="0"/>
        <w:autoSpaceDN w:val="0"/>
        <w:spacing w:after="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Upon inspection, the portion of the building is deemed safe for occupancy without reliance upon temporary measures.</w:t>
      </w:r>
    </w:p>
    <w:p w14:paraId="7AD0556A" w14:textId="77777777" w:rsidR="00140B7C" w:rsidRPr="00EC4EC4" w:rsidRDefault="00140B7C" w:rsidP="00140B7C">
      <w:pPr>
        <w:spacing w:after="0" w:line="240" w:lineRule="auto"/>
        <w:ind w:left="1080"/>
        <w:jc w:val="both"/>
        <w:rPr>
          <w:rFonts w:eastAsia="Times New Roman" w:cs="Times New Roman"/>
          <w:szCs w:val="24"/>
        </w:rPr>
      </w:pPr>
    </w:p>
    <w:p w14:paraId="2569CEA7" w14:textId="77777777" w:rsidR="00140B7C" w:rsidRPr="00EC4EC4" w:rsidRDefault="00140B7C" w:rsidP="00140B7C">
      <w:pPr>
        <w:spacing w:after="0" w:line="240" w:lineRule="auto"/>
        <w:ind w:left="720"/>
        <w:jc w:val="both"/>
        <w:rPr>
          <w:rFonts w:eastAsia="Times New Roman" w:cs="Times New Roman"/>
          <w:szCs w:val="24"/>
        </w:rPr>
      </w:pPr>
      <w:r w:rsidRPr="00EC4EC4">
        <w:rPr>
          <w:rFonts w:eastAsia="Times New Roman" w:cs="Times New Roman"/>
          <w:b/>
          <w:szCs w:val="24"/>
        </w:rPr>
        <w:t>Exceptions:</w:t>
      </w:r>
      <w:r w:rsidRPr="00EC4EC4">
        <w:rPr>
          <w:rFonts w:eastAsia="Times New Roman" w:cs="Times New Roman"/>
          <w:szCs w:val="24"/>
        </w:rPr>
        <w:t xml:space="preserve"> Section 28-118.15.1 shall not apply to:</w:t>
      </w:r>
    </w:p>
    <w:p w14:paraId="67299BFB" w14:textId="77777777" w:rsidR="00140B7C" w:rsidRPr="00EC4EC4" w:rsidRDefault="00140B7C" w:rsidP="00140B7C">
      <w:pPr>
        <w:spacing w:after="0" w:line="240" w:lineRule="auto"/>
        <w:ind w:left="2520" w:hanging="360"/>
        <w:jc w:val="both"/>
        <w:rPr>
          <w:rFonts w:eastAsia="Times New Roman" w:cs="Times New Roman"/>
          <w:szCs w:val="24"/>
        </w:rPr>
      </w:pPr>
    </w:p>
    <w:p w14:paraId="4251D8AE" w14:textId="77777777" w:rsidR="00140B7C" w:rsidRPr="00EC4EC4" w:rsidRDefault="00140B7C" w:rsidP="00140B7C">
      <w:pPr>
        <w:spacing w:after="0" w:line="240" w:lineRule="auto"/>
        <w:ind w:left="1440" w:hanging="360"/>
        <w:jc w:val="both"/>
        <w:rPr>
          <w:rFonts w:eastAsia="Times New Roman" w:cs="Times New Roman"/>
          <w:szCs w:val="24"/>
        </w:rPr>
      </w:pPr>
      <w:r w:rsidRPr="00EC4EC4">
        <w:rPr>
          <w:rFonts w:eastAsia="Times New Roman" w:cs="Times New Roman"/>
          <w:szCs w:val="24"/>
        </w:rPr>
        <w:t>1. Residential buildings with fewer than eight stories or fewer than four dwelling units; or</w:t>
      </w:r>
    </w:p>
    <w:p w14:paraId="58F265A6" w14:textId="77777777" w:rsidR="00140B7C" w:rsidRPr="00EC4EC4" w:rsidRDefault="00140B7C" w:rsidP="00140B7C">
      <w:pPr>
        <w:spacing w:after="0" w:line="240" w:lineRule="auto"/>
        <w:ind w:left="1440" w:hanging="360"/>
        <w:jc w:val="both"/>
        <w:rPr>
          <w:rFonts w:eastAsia="Times New Roman" w:cs="Times New Roman"/>
          <w:szCs w:val="24"/>
        </w:rPr>
      </w:pPr>
    </w:p>
    <w:p w14:paraId="6632745C" w14:textId="77777777" w:rsidR="00140B7C" w:rsidRPr="00EC4EC4" w:rsidRDefault="00140B7C" w:rsidP="00140B7C">
      <w:pPr>
        <w:spacing w:after="0" w:line="240" w:lineRule="auto"/>
        <w:ind w:left="1440" w:hanging="360"/>
        <w:jc w:val="both"/>
        <w:rPr>
          <w:rFonts w:eastAsia="Times New Roman" w:cs="Times New Roman"/>
          <w:szCs w:val="24"/>
        </w:rPr>
      </w:pPr>
      <w:r w:rsidRPr="00EC4EC4">
        <w:rPr>
          <w:rFonts w:eastAsia="Times New Roman" w:cs="Times New Roman"/>
          <w:szCs w:val="24"/>
        </w:rPr>
        <w:t>2. [</w:t>
      </w:r>
      <w:r w:rsidRPr="00EC4EC4">
        <w:rPr>
          <w:rFonts w:eastAsia="Times New Roman" w:cs="Times New Roman"/>
          <w:strike/>
          <w:szCs w:val="24"/>
        </w:rPr>
        <w:t>Non-residential</w:t>
      </w:r>
      <w:r w:rsidRPr="00EC4EC4">
        <w:rPr>
          <w:rFonts w:eastAsia="Times New Roman" w:cs="Times New Roman"/>
          <w:szCs w:val="24"/>
        </w:rPr>
        <w:t>]</w:t>
      </w:r>
      <w:r w:rsidRPr="00EC4EC4">
        <w:rPr>
          <w:rFonts w:eastAsia="Times New Roman" w:cs="Times New Roman"/>
          <w:szCs w:val="24"/>
          <w:u w:val="single"/>
        </w:rPr>
        <w:t>Nonresidential</w:t>
      </w:r>
      <w:r w:rsidRPr="00EC4EC4">
        <w:rPr>
          <w:rFonts w:eastAsia="Times New Roman" w:cs="Times New Roman"/>
          <w:szCs w:val="24"/>
        </w:rPr>
        <w:t xml:space="preserve"> buildings with fewer than five stories; or</w:t>
      </w:r>
    </w:p>
    <w:p w14:paraId="38A6CC35" w14:textId="77777777" w:rsidR="00140B7C" w:rsidRPr="00EC4EC4" w:rsidRDefault="00140B7C" w:rsidP="00140B7C">
      <w:pPr>
        <w:spacing w:after="0" w:line="240" w:lineRule="auto"/>
        <w:ind w:left="1440" w:hanging="360"/>
        <w:jc w:val="both"/>
        <w:rPr>
          <w:rFonts w:eastAsia="Times New Roman" w:cs="Times New Roman"/>
          <w:szCs w:val="24"/>
        </w:rPr>
      </w:pPr>
    </w:p>
    <w:p w14:paraId="71F4DE79" w14:textId="77777777" w:rsidR="00140B7C" w:rsidRPr="00EC4EC4" w:rsidRDefault="00140B7C" w:rsidP="00140B7C">
      <w:pPr>
        <w:spacing w:after="0" w:line="240" w:lineRule="auto"/>
        <w:ind w:left="1440" w:hanging="360"/>
        <w:jc w:val="both"/>
        <w:rPr>
          <w:rFonts w:eastAsia="Times New Roman" w:cs="Times New Roman"/>
          <w:szCs w:val="24"/>
        </w:rPr>
      </w:pPr>
      <w:r w:rsidRPr="00EC4EC4">
        <w:rPr>
          <w:rFonts w:eastAsia="Times New Roman" w:cs="Times New Roman"/>
          <w:szCs w:val="24"/>
        </w:rPr>
        <w:t>3. Mixed-use buildings with fewer than four dwelling units; or</w:t>
      </w:r>
    </w:p>
    <w:p w14:paraId="5A07C443" w14:textId="77777777" w:rsidR="00140B7C" w:rsidRPr="00EC4EC4" w:rsidRDefault="00140B7C" w:rsidP="00140B7C">
      <w:pPr>
        <w:spacing w:after="0" w:line="240" w:lineRule="auto"/>
        <w:ind w:left="1440" w:hanging="360"/>
        <w:jc w:val="both"/>
        <w:rPr>
          <w:rFonts w:eastAsia="Times New Roman" w:cs="Times New Roman"/>
          <w:szCs w:val="24"/>
        </w:rPr>
      </w:pPr>
    </w:p>
    <w:p w14:paraId="7701255D" w14:textId="77777777" w:rsidR="00140B7C" w:rsidRPr="00EC4EC4" w:rsidRDefault="00140B7C" w:rsidP="00140B7C">
      <w:pPr>
        <w:spacing w:after="0" w:line="240" w:lineRule="auto"/>
        <w:ind w:left="1440" w:hanging="360"/>
        <w:jc w:val="both"/>
        <w:rPr>
          <w:rFonts w:eastAsia="Times New Roman" w:cs="Times New Roman"/>
          <w:szCs w:val="24"/>
        </w:rPr>
      </w:pPr>
      <w:r w:rsidRPr="00EC4EC4">
        <w:rPr>
          <w:rFonts w:eastAsia="Times New Roman" w:cs="Times New Roman"/>
          <w:szCs w:val="24"/>
        </w:rPr>
        <w:t xml:space="preserve">4. Parking structures.  </w:t>
      </w:r>
    </w:p>
    <w:p w14:paraId="020357A0" w14:textId="77777777" w:rsidR="00140B7C" w:rsidRPr="00EC4EC4" w:rsidRDefault="00140B7C" w:rsidP="00140B7C">
      <w:pPr>
        <w:spacing w:after="0" w:line="240" w:lineRule="auto"/>
        <w:ind w:left="2520"/>
        <w:jc w:val="both"/>
        <w:rPr>
          <w:rFonts w:eastAsia="Times New Roman" w:cs="Times New Roman"/>
          <w:szCs w:val="24"/>
        </w:rPr>
      </w:pPr>
    </w:p>
    <w:p w14:paraId="55454BE6"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17</w:t>
      </w:r>
      <w:r w:rsidRPr="00EC4EC4">
        <w:rPr>
          <w:rFonts w:cs="Times New Roman"/>
          <w:sz w:val="23"/>
          <w:szCs w:val="23"/>
        </w:rPr>
        <w:t>. Section 28-207.4.2 of the administrative code of the city of New York, as amended by local law number 126 for the year 2021, is amended to read as follows:</w:t>
      </w:r>
    </w:p>
    <w:p w14:paraId="5E7D87ED" w14:textId="77777777" w:rsidR="00140B7C" w:rsidRPr="00EC4EC4" w:rsidRDefault="00140B7C" w:rsidP="00140B7C">
      <w:pPr>
        <w:pStyle w:val="FlushLeftDouble"/>
        <w:rPr>
          <w:spacing w:val="2"/>
          <w:szCs w:val="24"/>
        </w:rPr>
      </w:pPr>
      <w:r w:rsidRPr="00EC4EC4">
        <w:rPr>
          <w:b/>
          <w:bCs/>
          <w:spacing w:val="3"/>
          <w:szCs w:val="24"/>
        </w:rPr>
        <w:t xml:space="preserve">§28-207.4.2 Enforcement of vacate order. </w:t>
      </w:r>
      <w:r w:rsidRPr="00EC4EC4">
        <w:rPr>
          <w:spacing w:val="1"/>
          <w:szCs w:val="24"/>
        </w:rPr>
        <w:t xml:space="preserve">All orders issued pursuant to section 28-207.4 shall be posted upon the premises and made available to the public. Upon the posting of an order upon the premises, officers and employees of the police department, the department, and other authorized officers and employees of the city shall immediately act upon and </w:t>
      </w:r>
      <w:r w:rsidRPr="00EC4EC4">
        <w:rPr>
          <w:spacing w:val="1"/>
          <w:szCs w:val="24"/>
        </w:rPr>
        <w:lastRenderedPageBreak/>
        <w:t>enforce such order. The police department shall provide all reasonable assistance to the department and other authorized officers and employees necessary to carry out the provisions of sec</w:t>
      </w:r>
      <w:r w:rsidRPr="00EC4EC4">
        <w:rPr>
          <w:spacing w:val="1"/>
          <w:szCs w:val="24"/>
        </w:rPr>
        <w:softHyphen/>
        <w:t>tion 28-207.4. A copy of the vacate order may be filed with the county clerk of the county in which the premises is located</w:t>
      </w:r>
      <w:r w:rsidRPr="00EC4EC4">
        <w:rPr>
          <w:spacing w:val="1"/>
          <w:szCs w:val="24"/>
          <w:u w:val="single"/>
        </w:rPr>
        <w:t>.</w:t>
      </w:r>
      <w:r w:rsidRPr="00EC4EC4">
        <w:rPr>
          <w:spacing w:val="1"/>
          <w:szCs w:val="24"/>
        </w:rPr>
        <w:t xml:space="preserve"> [</w:t>
      </w:r>
      <w:r w:rsidRPr="00EC4EC4">
        <w:rPr>
          <w:strike/>
          <w:spacing w:val="1"/>
          <w:szCs w:val="24"/>
        </w:rPr>
        <w:t>and shall be filed with the department and accessible</w:t>
      </w:r>
      <w:r w:rsidRPr="00EC4EC4">
        <w:rPr>
          <w:spacing w:val="1"/>
          <w:szCs w:val="24"/>
        </w:rPr>
        <w:t xml:space="preserve">] </w:t>
      </w:r>
      <w:r w:rsidRPr="00EC4EC4">
        <w:rPr>
          <w:spacing w:val="1"/>
          <w:szCs w:val="24"/>
          <w:u w:val="single"/>
        </w:rPr>
        <w:t>A record of the vacate order shall be maintained by the department. When active, the vacate order shall also be documented on the department’s website, which is accessible</w:t>
      </w:r>
      <w:r w:rsidRPr="00EC4EC4">
        <w:rPr>
          <w:spacing w:val="1"/>
          <w:szCs w:val="24"/>
        </w:rPr>
        <w:t xml:space="preserve"> to the public. Such [</w:t>
      </w:r>
      <w:r w:rsidRPr="00EC4EC4">
        <w:rPr>
          <w:strike/>
          <w:spacing w:val="1"/>
          <w:szCs w:val="24"/>
        </w:rPr>
        <w:t>filing</w:t>
      </w:r>
      <w:r w:rsidRPr="00EC4EC4">
        <w:rPr>
          <w:spacing w:val="1"/>
          <w:szCs w:val="24"/>
        </w:rPr>
        <w:t xml:space="preserve">] </w:t>
      </w:r>
      <w:r w:rsidRPr="00EC4EC4">
        <w:rPr>
          <w:spacing w:val="1"/>
          <w:szCs w:val="24"/>
          <w:u w:val="single"/>
        </w:rPr>
        <w:t>documentation on the department’s website</w:t>
      </w:r>
      <w:r w:rsidRPr="00EC4EC4">
        <w:rPr>
          <w:spacing w:val="1"/>
          <w:szCs w:val="24"/>
        </w:rPr>
        <w:t xml:space="preserve"> shall [</w:t>
      </w:r>
      <w:r w:rsidRPr="00EC4EC4">
        <w:rPr>
          <w:strike/>
          <w:spacing w:val="1"/>
          <w:szCs w:val="24"/>
        </w:rPr>
        <w:t>be</w:t>
      </w:r>
      <w:r w:rsidRPr="00EC4EC4">
        <w:rPr>
          <w:spacing w:val="1"/>
          <w:szCs w:val="24"/>
        </w:rPr>
        <w:t xml:space="preserve">] </w:t>
      </w:r>
      <w:r w:rsidRPr="00EC4EC4">
        <w:rPr>
          <w:spacing w:val="1"/>
          <w:szCs w:val="24"/>
          <w:u w:val="single"/>
        </w:rPr>
        <w:t>constitute</w:t>
      </w:r>
      <w:r w:rsidRPr="00EC4EC4">
        <w:rPr>
          <w:spacing w:val="1"/>
          <w:szCs w:val="24"/>
        </w:rPr>
        <w:t xml:space="preserve"> notice of [</w:t>
      </w:r>
      <w:r w:rsidRPr="00EC4EC4">
        <w:rPr>
          <w:strike/>
          <w:spacing w:val="1"/>
          <w:szCs w:val="24"/>
        </w:rPr>
        <w:t>the</w:t>
      </w:r>
      <w:r w:rsidRPr="00EC4EC4">
        <w:rPr>
          <w:spacing w:val="1"/>
          <w:szCs w:val="24"/>
        </w:rPr>
        <w:t xml:space="preserve">] </w:t>
      </w:r>
      <w:r w:rsidRPr="00EC4EC4">
        <w:rPr>
          <w:spacing w:val="1"/>
          <w:szCs w:val="24"/>
          <w:u w:val="single"/>
        </w:rPr>
        <w:t>any active</w:t>
      </w:r>
      <w:r w:rsidRPr="00EC4EC4">
        <w:rPr>
          <w:spacing w:val="1"/>
          <w:szCs w:val="24"/>
        </w:rPr>
        <w:t xml:space="preserve"> vacate order to any </w:t>
      </w:r>
      <w:r w:rsidRPr="00EC4EC4">
        <w:rPr>
          <w:spacing w:val="1"/>
          <w:szCs w:val="24"/>
          <w:u w:val="single"/>
        </w:rPr>
        <w:t>owner or</w:t>
      </w:r>
      <w:r w:rsidRPr="00EC4EC4">
        <w:rPr>
          <w:spacing w:val="1"/>
          <w:szCs w:val="24"/>
        </w:rPr>
        <w:t xml:space="preserve"> subsequent owner [</w:t>
      </w:r>
      <w:r w:rsidRPr="00EC4EC4">
        <w:rPr>
          <w:strike/>
          <w:spacing w:val="1"/>
          <w:szCs w:val="24"/>
        </w:rPr>
        <w:t>and such owner</w:t>
      </w:r>
      <w:r w:rsidRPr="00EC4EC4">
        <w:rPr>
          <w:spacing w:val="1"/>
          <w:szCs w:val="24"/>
        </w:rPr>
        <w:t>] shall be subject to such order.</w:t>
      </w:r>
    </w:p>
    <w:p w14:paraId="10D489FC"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A80C44">
        <w:rPr>
          <w:rFonts w:cs="Times New Roman"/>
          <w:sz w:val="23"/>
          <w:szCs w:val="23"/>
        </w:rPr>
        <w:t>§18. Section 28-303.2.1 of the administrative code of the city of New York, as amended by local law number 126 for the year 2021, is amended to read as follows:</w:t>
      </w:r>
    </w:p>
    <w:p w14:paraId="44BE37D4" w14:textId="77777777" w:rsidR="00140B7C" w:rsidRPr="00EC4EC4" w:rsidRDefault="00140B7C" w:rsidP="00140B7C">
      <w:pPr>
        <w:pStyle w:val="FlushLeftDouble"/>
        <w:ind w:left="0"/>
        <w:rPr>
          <w:spacing w:val="1"/>
          <w:szCs w:val="24"/>
        </w:rPr>
      </w:pPr>
      <w:r w:rsidRPr="00EC4EC4">
        <w:rPr>
          <w:b/>
          <w:szCs w:val="24"/>
        </w:rPr>
        <w:t>§28-303.2.1 Internal inspection required.</w:t>
      </w:r>
      <w:r w:rsidRPr="00EC4EC4">
        <w:rPr>
          <w:b/>
          <w:bCs/>
          <w:spacing w:val="-9"/>
          <w:w w:val="110"/>
          <w:szCs w:val="24"/>
        </w:rPr>
        <w:t xml:space="preserve"> </w:t>
      </w:r>
      <w:r w:rsidRPr="00EC4EC4">
        <w:rPr>
          <w:spacing w:val="1"/>
          <w:szCs w:val="24"/>
        </w:rPr>
        <w:t>All [</w:t>
      </w:r>
      <w:r w:rsidRPr="00EC4EC4">
        <w:rPr>
          <w:strike/>
          <w:spacing w:val="1"/>
          <w:szCs w:val="24"/>
        </w:rPr>
        <w:t>high pressure</w:t>
      </w:r>
      <w:r w:rsidRPr="00EC4EC4">
        <w:rPr>
          <w:spacing w:val="1"/>
          <w:szCs w:val="24"/>
        </w:rPr>
        <w:t>]</w:t>
      </w:r>
      <w:r w:rsidRPr="00EC4EC4">
        <w:rPr>
          <w:spacing w:val="1"/>
          <w:szCs w:val="24"/>
          <w:u w:val="single"/>
        </w:rPr>
        <w:t>high-pressure</w:t>
      </w:r>
      <w:r w:rsidRPr="00EC4EC4">
        <w:rPr>
          <w:spacing w:val="1"/>
          <w:szCs w:val="24"/>
        </w:rPr>
        <w:t xml:space="preserve"> boilers shall have an annual internal inspection performed in accordance with section 204 of New York state labor law and the rules of the department. Where construction of a [</w:t>
      </w:r>
      <w:r w:rsidRPr="00EC4EC4">
        <w:rPr>
          <w:strike/>
          <w:spacing w:val="1"/>
          <w:szCs w:val="24"/>
        </w:rPr>
        <w:t>low pressure</w:t>
      </w:r>
      <w:r w:rsidRPr="00EC4EC4">
        <w:rPr>
          <w:spacing w:val="1"/>
          <w:szCs w:val="24"/>
        </w:rPr>
        <w:t>]</w:t>
      </w:r>
      <w:r w:rsidRPr="00EC4EC4">
        <w:rPr>
          <w:spacing w:val="1"/>
          <w:szCs w:val="24"/>
          <w:u w:val="single"/>
        </w:rPr>
        <w:t>low-pressure</w:t>
      </w:r>
      <w:r w:rsidRPr="00EC4EC4">
        <w:rPr>
          <w:spacing w:val="1"/>
          <w:szCs w:val="24"/>
        </w:rPr>
        <w:t xml:space="preserve"> boiler allows, an internal inspection shall be performed on a periodic schedule in accordance with section 204 of the New York state labor law and the rules of the department.</w:t>
      </w:r>
    </w:p>
    <w:p w14:paraId="50708B18"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B22160">
        <w:rPr>
          <w:rFonts w:cs="Times New Roman"/>
          <w:sz w:val="23"/>
          <w:szCs w:val="23"/>
        </w:rPr>
        <w:t>§19. Section 28-303.2.2 of the administrative code of the city of New York, as amended by local law number 126 for the year 2021, is amended to read as follows:</w:t>
      </w:r>
    </w:p>
    <w:p w14:paraId="0894F1B6" w14:textId="77777777" w:rsidR="00140B7C" w:rsidRPr="00EC4EC4" w:rsidRDefault="00140B7C" w:rsidP="00140B7C">
      <w:pPr>
        <w:pStyle w:val="FlushLeftDouble"/>
        <w:ind w:left="0"/>
        <w:rPr>
          <w:szCs w:val="24"/>
        </w:rPr>
      </w:pPr>
      <w:r w:rsidRPr="00EC4EC4">
        <w:rPr>
          <w:b/>
          <w:szCs w:val="24"/>
        </w:rPr>
        <w:t>§28-303.2.2 External inspection required.</w:t>
      </w:r>
      <w:r w:rsidRPr="00EC4EC4">
        <w:rPr>
          <w:szCs w:val="24"/>
        </w:rPr>
        <w:t xml:space="preserve"> All [</w:t>
      </w:r>
      <w:r w:rsidRPr="00EC4EC4">
        <w:rPr>
          <w:strike/>
          <w:szCs w:val="24"/>
        </w:rPr>
        <w:t>high and low pressure</w:t>
      </w:r>
      <w:r w:rsidRPr="00EC4EC4">
        <w:rPr>
          <w:szCs w:val="24"/>
        </w:rPr>
        <w:t>]</w:t>
      </w:r>
      <w:r w:rsidRPr="00EC4EC4">
        <w:rPr>
          <w:szCs w:val="24"/>
          <w:u w:val="single"/>
        </w:rPr>
        <w:t>high- and low- pressure</w:t>
      </w:r>
      <w:r w:rsidRPr="00EC4EC4">
        <w:rPr>
          <w:szCs w:val="24"/>
        </w:rPr>
        <w:t xml:space="preserve"> boilers shall have an annual external inspection performed in accordance with section 204 of New York state labor law and the rules of the department. Such inspection shall include chimney connectors. </w:t>
      </w:r>
    </w:p>
    <w:p w14:paraId="55098C5D"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20</w:t>
      </w:r>
      <w:r w:rsidRPr="00EC4EC4">
        <w:rPr>
          <w:rFonts w:cs="Times New Roman"/>
          <w:sz w:val="23"/>
          <w:szCs w:val="23"/>
        </w:rPr>
        <w:t>. Section 28-303.2.3 of the administrative code of the city of New York, as added by local law number 126 for the year 2021, is amended to read as follows:</w:t>
      </w:r>
    </w:p>
    <w:p w14:paraId="6A5A9CEE" w14:textId="77777777" w:rsidR="00140B7C" w:rsidRPr="00EC4EC4" w:rsidRDefault="00140B7C" w:rsidP="00140B7C">
      <w:pPr>
        <w:pStyle w:val="FlushLeftDouble"/>
        <w:ind w:left="0"/>
        <w:rPr>
          <w:b/>
          <w:szCs w:val="24"/>
        </w:rPr>
      </w:pPr>
      <w:r w:rsidRPr="00EC4EC4">
        <w:rPr>
          <w:b/>
          <w:szCs w:val="24"/>
        </w:rPr>
        <w:t>§28-303.2.3 Electric [</w:t>
      </w:r>
      <w:r w:rsidRPr="00EC4EC4">
        <w:rPr>
          <w:b/>
          <w:strike/>
          <w:szCs w:val="24"/>
        </w:rPr>
        <w:t>high pressure</w:t>
      </w:r>
      <w:r w:rsidRPr="00EC4EC4">
        <w:rPr>
          <w:b/>
          <w:szCs w:val="24"/>
        </w:rPr>
        <w:t>]</w:t>
      </w:r>
      <w:r w:rsidRPr="00EC4EC4">
        <w:rPr>
          <w:b/>
          <w:szCs w:val="24"/>
          <w:u w:val="single"/>
        </w:rPr>
        <w:t>high-pressure</w:t>
      </w:r>
      <w:r w:rsidRPr="00EC4EC4">
        <w:rPr>
          <w:b/>
          <w:szCs w:val="24"/>
        </w:rPr>
        <w:t xml:space="preserve"> boilers</w:t>
      </w:r>
      <w:r w:rsidRPr="00EC4EC4">
        <w:rPr>
          <w:szCs w:val="24"/>
        </w:rPr>
        <w:t>.  Electric boilers operating at pressures or temperatures classified as [</w:t>
      </w:r>
      <w:r w:rsidRPr="00EC4EC4">
        <w:rPr>
          <w:strike/>
          <w:szCs w:val="24"/>
        </w:rPr>
        <w:t>high pressure</w:t>
      </w:r>
      <w:r w:rsidRPr="00EC4EC4">
        <w:rPr>
          <w:szCs w:val="24"/>
        </w:rPr>
        <w:t>]</w:t>
      </w:r>
      <w:r w:rsidRPr="00EC4EC4">
        <w:rPr>
          <w:szCs w:val="24"/>
          <w:u w:val="single"/>
        </w:rPr>
        <w:t>high-pressure</w:t>
      </w:r>
      <w:r w:rsidRPr="00EC4EC4">
        <w:rPr>
          <w:szCs w:val="24"/>
        </w:rPr>
        <w:t xml:space="preserve"> boilers, as defined in the New York city mechanical code, shall be annually inspected as [</w:t>
      </w:r>
      <w:r w:rsidRPr="00EC4EC4">
        <w:rPr>
          <w:strike/>
          <w:szCs w:val="24"/>
        </w:rPr>
        <w:t>high pressure</w:t>
      </w:r>
      <w:r w:rsidRPr="00EC4EC4">
        <w:rPr>
          <w:szCs w:val="24"/>
        </w:rPr>
        <w:t>]</w:t>
      </w:r>
      <w:r w:rsidRPr="00EC4EC4">
        <w:rPr>
          <w:szCs w:val="24"/>
          <w:u w:val="single"/>
        </w:rPr>
        <w:t>high-pressure</w:t>
      </w:r>
      <w:r w:rsidRPr="00EC4EC4">
        <w:rPr>
          <w:szCs w:val="24"/>
        </w:rPr>
        <w:t xml:space="preserve"> boilers in accordance with this article.</w:t>
      </w:r>
    </w:p>
    <w:p w14:paraId="31434BCD"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21</w:t>
      </w:r>
      <w:r w:rsidRPr="00EC4EC4">
        <w:rPr>
          <w:rFonts w:cs="Times New Roman"/>
          <w:sz w:val="23"/>
          <w:szCs w:val="23"/>
        </w:rPr>
        <w:t>. Section 28-303.3.1 of the administrative code of the city of New York, as amended by local law number 126 for the year 2021, is amended to read as follows:</w:t>
      </w:r>
    </w:p>
    <w:p w14:paraId="7DBFBC2E" w14:textId="77777777" w:rsidR="00140B7C" w:rsidRPr="00EC4EC4" w:rsidRDefault="00140B7C" w:rsidP="00140B7C">
      <w:pPr>
        <w:pStyle w:val="FlushLeftDouble"/>
        <w:ind w:left="0"/>
        <w:rPr>
          <w:spacing w:val="1"/>
          <w:szCs w:val="24"/>
        </w:rPr>
      </w:pPr>
      <w:r w:rsidRPr="00EC4EC4">
        <w:rPr>
          <w:b/>
          <w:szCs w:val="24"/>
        </w:rPr>
        <w:t>§28-303.3.1 High-pressure boilers.</w:t>
      </w:r>
      <w:r w:rsidRPr="00EC4EC4">
        <w:rPr>
          <w:szCs w:val="24"/>
        </w:rPr>
        <w:t xml:space="preserve"> Inspections required by section 28-303.2 of this code [</w:t>
      </w:r>
      <w:r w:rsidRPr="00EC4EC4">
        <w:rPr>
          <w:strike/>
          <w:szCs w:val="24"/>
        </w:rPr>
        <w:t>fof</w:t>
      </w:r>
      <w:r w:rsidRPr="00EC4EC4">
        <w:rPr>
          <w:szCs w:val="24"/>
        </w:rPr>
        <w:t>]</w:t>
      </w:r>
      <w:r w:rsidRPr="00EC4EC4">
        <w:rPr>
          <w:szCs w:val="24"/>
          <w:u w:val="single"/>
        </w:rPr>
        <w:t>for</w:t>
      </w:r>
      <w:r w:rsidRPr="00EC4EC4">
        <w:rPr>
          <w:szCs w:val="24"/>
        </w:rPr>
        <w:t xml:space="preserve"> a high-pressure boiler must be performed, in accordance with the rules of the department, on behalf of the owner, </w:t>
      </w:r>
      <w:r w:rsidRPr="00EC4EC4">
        <w:rPr>
          <w:spacing w:val="1"/>
          <w:szCs w:val="24"/>
        </w:rPr>
        <w:t>by boiler inspectors in the employ of a duly authorized insurance company who are qualified in accordance with section 204 of the New York state labor law.</w:t>
      </w:r>
    </w:p>
    <w:p w14:paraId="3FA32034"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22</w:t>
      </w:r>
      <w:r w:rsidRPr="00EC4EC4">
        <w:rPr>
          <w:rFonts w:cs="Times New Roman"/>
          <w:sz w:val="23"/>
          <w:szCs w:val="23"/>
        </w:rPr>
        <w:t>. Section 28-304.6.4 of the administrative code of the city of New York, as amended by local law number 126 for the year 2021, is amended to read as follows:</w:t>
      </w:r>
    </w:p>
    <w:p w14:paraId="70174F84" w14:textId="77777777" w:rsidR="00140B7C" w:rsidRPr="00EC4EC4" w:rsidRDefault="00140B7C" w:rsidP="00140B7C">
      <w:pPr>
        <w:pStyle w:val="FlushLeftDouble"/>
        <w:ind w:left="0"/>
        <w:rPr>
          <w:spacing w:val="1"/>
          <w:szCs w:val="24"/>
        </w:rPr>
      </w:pPr>
      <w:r w:rsidRPr="00EC4EC4">
        <w:rPr>
          <w:b/>
          <w:szCs w:val="24"/>
        </w:rPr>
        <w:t xml:space="preserve">§28-304.6.4 </w:t>
      </w:r>
      <w:r w:rsidRPr="00EC4EC4">
        <w:rPr>
          <w:b/>
          <w:bCs/>
          <w:spacing w:val="1"/>
          <w:szCs w:val="24"/>
        </w:rPr>
        <w:t>Periodic</w:t>
      </w:r>
      <w:r w:rsidRPr="003D2FE9">
        <w:rPr>
          <w:b/>
          <w:bCs/>
          <w:spacing w:val="1"/>
          <w:szCs w:val="24"/>
        </w:rPr>
        <w:t xml:space="preserve"> </w:t>
      </w:r>
      <w:r w:rsidRPr="00EC4EC4">
        <w:rPr>
          <w:b/>
          <w:bCs/>
          <w:spacing w:val="1"/>
          <w:szCs w:val="24"/>
        </w:rPr>
        <w:t>inspection and category testing</w:t>
      </w:r>
      <w:r w:rsidRPr="003D2FE9">
        <w:rPr>
          <w:b/>
          <w:bCs/>
          <w:spacing w:val="1"/>
          <w:szCs w:val="24"/>
        </w:rPr>
        <w:t xml:space="preserve"> </w:t>
      </w:r>
      <w:r w:rsidRPr="00EC4EC4">
        <w:rPr>
          <w:b/>
          <w:bCs/>
          <w:spacing w:val="1"/>
          <w:szCs w:val="24"/>
        </w:rPr>
        <w:t>report</w:t>
      </w:r>
      <w:r w:rsidRPr="003D2FE9">
        <w:rPr>
          <w:b/>
          <w:bCs/>
          <w:spacing w:val="1"/>
          <w:szCs w:val="24"/>
        </w:rPr>
        <w:t>s</w:t>
      </w:r>
      <w:r w:rsidRPr="00EC4EC4">
        <w:rPr>
          <w:b/>
          <w:bCs/>
          <w:spacing w:val="1"/>
          <w:szCs w:val="24"/>
        </w:rPr>
        <w:t xml:space="preserve"> and notations on the inspection certificate.</w:t>
      </w:r>
      <w:r w:rsidRPr="00EC4EC4">
        <w:rPr>
          <w:spacing w:val="1"/>
          <w:szCs w:val="24"/>
        </w:rPr>
        <w:t xml:space="preserve"> Periodic inspection and category testing reports and notations on the inspection </w:t>
      </w:r>
      <w:r w:rsidRPr="00EC4EC4">
        <w:rPr>
          <w:spacing w:val="1"/>
          <w:szCs w:val="24"/>
        </w:rPr>
        <w:lastRenderedPageBreak/>
        <w:t>certificate shall comply with the requirements of sections 28-304.6.4.1 [</w:t>
      </w:r>
      <w:r w:rsidRPr="00EC4EC4">
        <w:rPr>
          <w:strike/>
          <w:spacing w:val="1"/>
          <w:szCs w:val="24"/>
        </w:rPr>
        <w:t>and</w:t>
      </w:r>
      <w:r w:rsidRPr="00EC4EC4">
        <w:rPr>
          <w:spacing w:val="1"/>
          <w:szCs w:val="24"/>
        </w:rPr>
        <w:t>]</w:t>
      </w:r>
      <w:r w:rsidRPr="00EC4EC4">
        <w:rPr>
          <w:spacing w:val="1"/>
          <w:szCs w:val="24"/>
          <w:u w:val="single"/>
        </w:rPr>
        <w:t xml:space="preserve">, </w:t>
      </w:r>
      <w:r w:rsidRPr="00EC4EC4">
        <w:rPr>
          <w:spacing w:val="1"/>
          <w:szCs w:val="24"/>
        </w:rPr>
        <w:t>28-304.6.4.2</w:t>
      </w:r>
      <w:r w:rsidRPr="00EC4EC4">
        <w:rPr>
          <w:spacing w:val="1"/>
          <w:szCs w:val="24"/>
          <w:u w:val="single"/>
        </w:rPr>
        <w:t>, and 28-304.6.4.3</w:t>
      </w:r>
      <w:r w:rsidRPr="00EC4EC4">
        <w:rPr>
          <w:spacing w:val="1"/>
          <w:szCs w:val="24"/>
        </w:rPr>
        <w:t>.</w:t>
      </w:r>
    </w:p>
    <w:p w14:paraId="495278FB" w14:textId="77777777" w:rsidR="00140B7C" w:rsidRPr="000C14D2" w:rsidRDefault="00140B7C" w:rsidP="00140B7C">
      <w:pPr>
        <w:kinsoku w:val="0"/>
        <w:spacing w:after="240" w:line="240" w:lineRule="auto"/>
        <w:ind w:firstLine="720"/>
        <w:jc w:val="both"/>
        <w:rPr>
          <w:rFonts w:cs="Times New Roman"/>
          <w:b/>
          <w:bCs/>
          <w:sz w:val="23"/>
          <w:szCs w:val="23"/>
        </w:rPr>
      </w:pPr>
      <w:r w:rsidRPr="000C14D2">
        <w:rPr>
          <w:rFonts w:cs="Times New Roman"/>
          <w:sz w:val="23"/>
          <w:szCs w:val="23"/>
        </w:rPr>
        <w:t>§23. The definition of “</w:t>
      </w:r>
      <w:r w:rsidRPr="000C14D2">
        <w:rPr>
          <w:rFonts w:cs="Times New Roman"/>
          <w:bCs/>
          <w:sz w:val="23"/>
          <w:szCs w:val="23"/>
        </w:rPr>
        <w:t xml:space="preserve">ENERGY EFFICIENCY REPORT” set forth in </w:t>
      </w:r>
      <w:r w:rsidRPr="000C14D2">
        <w:rPr>
          <w:rFonts w:cs="Times New Roman"/>
          <w:sz w:val="23"/>
          <w:szCs w:val="23"/>
        </w:rPr>
        <w:t>section 28-308.1 of the administrative code of the city of New York, as amended by local law number 126 for the year 2021, shall be ordered in alphabetical order.</w:t>
      </w:r>
    </w:p>
    <w:p w14:paraId="7BF8231A"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24</w:t>
      </w:r>
      <w:r w:rsidRPr="00EC4EC4">
        <w:rPr>
          <w:rFonts w:cs="Times New Roman"/>
          <w:sz w:val="23"/>
          <w:szCs w:val="23"/>
        </w:rPr>
        <w:t xml:space="preserve">. </w:t>
      </w:r>
      <w:r>
        <w:rPr>
          <w:rFonts w:cs="Times New Roman"/>
          <w:sz w:val="23"/>
          <w:szCs w:val="23"/>
        </w:rPr>
        <w:t xml:space="preserve">The </w:t>
      </w:r>
      <w:r w:rsidRPr="0013699B">
        <w:rPr>
          <w:rFonts w:cs="Times New Roman"/>
          <w:sz w:val="23"/>
          <w:szCs w:val="23"/>
        </w:rPr>
        <w:t>definition of “</w:t>
      </w:r>
      <w:r w:rsidRPr="0013699B">
        <w:rPr>
          <w:rFonts w:cs="Times New Roman"/>
          <w:bCs/>
          <w:sz w:val="23"/>
          <w:szCs w:val="23"/>
        </w:rPr>
        <w:t>RETRO-COMMISSIONING AGENT”</w:t>
      </w:r>
      <w:r>
        <w:rPr>
          <w:rFonts w:cs="Times New Roman"/>
          <w:bCs/>
          <w:sz w:val="23"/>
          <w:szCs w:val="23"/>
        </w:rPr>
        <w:t xml:space="preserve"> set forth in </w:t>
      </w:r>
      <w:r>
        <w:rPr>
          <w:rFonts w:cs="Times New Roman"/>
          <w:sz w:val="23"/>
          <w:szCs w:val="23"/>
        </w:rPr>
        <w:t>s</w:t>
      </w:r>
      <w:r w:rsidRPr="00EC4EC4">
        <w:rPr>
          <w:rFonts w:cs="Times New Roman"/>
          <w:sz w:val="23"/>
          <w:szCs w:val="23"/>
        </w:rPr>
        <w:t>ection 28-308.1 of the administrative code of the city of New York, as amended by local law number 126 for the year 2021, is amended to read as follows:</w:t>
      </w:r>
    </w:p>
    <w:p w14:paraId="79678830" w14:textId="77777777" w:rsidR="00140B7C" w:rsidRPr="00EC4EC4" w:rsidRDefault="00140B7C" w:rsidP="00140B7C">
      <w:pPr>
        <w:pStyle w:val="FlushLeft"/>
        <w:rPr>
          <w:spacing w:val="-6"/>
          <w:w w:val="115"/>
          <w:szCs w:val="24"/>
        </w:rPr>
      </w:pPr>
      <w:r w:rsidRPr="00EC4EC4">
        <w:rPr>
          <w:b/>
          <w:szCs w:val="24"/>
        </w:rPr>
        <w:t>RETRO-COMMISSIONING AGENT.</w:t>
      </w:r>
      <w:r w:rsidRPr="00EC4EC4">
        <w:rPr>
          <w:b/>
          <w:spacing w:val="-6"/>
          <w:w w:val="115"/>
          <w:szCs w:val="24"/>
        </w:rPr>
        <w:t xml:space="preserve"> </w:t>
      </w:r>
      <w:r w:rsidRPr="00EC4EC4">
        <w:rPr>
          <w:spacing w:val="1"/>
          <w:szCs w:val="24"/>
        </w:rPr>
        <w:t>An individual, who shall not be a certified refrigerating system operating engineer or a licensed [</w:t>
      </w:r>
      <w:r w:rsidRPr="00EC4EC4">
        <w:rPr>
          <w:strike/>
          <w:spacing w:val="1"/>
          <w:szCs w:val="24"/>
        </w:rPr>
        <w:t>high pressure</w:t>
      </w:r>
      <w:r w:rsidRPr="00EC4EC4">
        <w:rPr>
          <w:spacing w:val="1"/>
          <w:szCs w:val="24"/>
        </w:rPr>
        <w:t>]</w:t>
      </w:r>
      <w:r w:rsidRPr="00EC4EC4">
        <w:rPr>
          <w:spacing w:val="1"/>
          <w:szCs w:val="24"/>
          <w:u w:val="single"/>
        </w:rPr>
        <w:t>high-pressure</w:t>
      </w:r>
      <w:r w:rsidRPr="00EC4EC4">
        <w:rPr>
          <w:spacing w:val="1"/>
          <w:szCs w:val="24"/>
        </w:rPr>
        <w:t xml:space="preserve"> boiler operating engineer on the staff of the building being retro-commissioned, authorized by the department to certify retro-commissioning reports required by this article. Until such time as there is a national standard establishing qualifications for persons who perform retro-commissioning and such standard has been adopted by the department, a retro-commissioning agent shall be a registered design professional, a certified refrigerating system operating engineer, or a licensed [</w:t>
      </w:r>
      <w:r w:rsidRPr="00EC4EC4">
        <w:rPr>
          <w:strike/>
          <w:spacing w:val="1"/>
          <w:szCs w:val="24"/>
        </w:rPr>
        <w:t>high pressure</w:t>
      </w:r>
      <w:r w:rsidRPr="00EC4EC4">
        <w:rPr>
          <w:spacing w:val="1"/>
          <w:szCs w:val="24"/>
        </w:rPr>
        <w:t>]</w:t>
      </w:r>
      <w:r w:rsidRPr="00EC4EC4">
        <w:rPr>
          <w:spacing w:val="1"/>
          <w:szCs w:val="24"/>
          <w:u w:val="single"/>
        </w:rPr>
        <w:t>high-pressure</w:t>
      </w:r>
      <w:r w:rsidRPr="00EC4EC4">
        <w:rPr>
          <w:spacing w:val="1"/>
          <w:szCs w:val="24"/>
        </w:rPr>
        <w:t xml:space="preserve"> boiler operating engineer, with such other qualification or certification as determined by the department. After the establishment of such a national standard, the department may adopt the qualifications of the national standard with such modifications as the department deems to be appropriate.</w:t>
      </w:r>
    </w:p>
    <w:p w14:paraId="13E0A16F"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25</w:t>
      </w:r>
      <w:r w:rsidRPr="00EC4EC4">
        <w:rPr>
          <w:rFonts w:cs="Times New Roman"/>
          <w:sz w:val="23"/>
          <w:szCs w:val="23"/>
        </w:rPr>
        <w:t xml:space="preserve">. </w:t>
      </w:r>
      <w:r>
        <w:rPr>
          <w:rFonts w:cs="Times New Roman"/>
          <w:sz w:val="23"/>
          <w:szCs w:val="23"/>
        </w:rPr>
        <w:t>The definition of “COVERED BUILDING” set forth in s</w:t>
      </w:r>
      <w:r w:rsidRPr="00EC4EC4">
        <w:rPr>
          <w:rFonts w:cs="Times New Roman"/>
          <w:sz w:val="23"/>
          <w:szCs w:val="23"/>
        </w:rPr>
        <w:t>ection 28-310.2 of article 310 of the administrative code of the city of New York, as amended by local law number 126 for the year 2021,  is amended to read as follows:</w:t>
      </w:r>
    </w:p>
    <w:p w14:paraId="2B9DECE0" w14:textId="77777777" w:rsidR="00140B7C" w:rsidRPr="00EC4EC4" w:rsidRDefault="00140B7C" w:rsidP="00140B7C">
      <w:pPr>
        <w:pStyle w:val="FlushLeft"/>
        <w:rPr>
          <w:spacing w:val="1"/>
          <w:szCs w:val="24"/>
        </w:rPr>
      </w:pPr>
      <w:r w:rsidRPr="00EC4EC4">
        <w:rPr>
          <w:b/>
          <w:szCs w:val="24"/>
        </w:rPr>
        <w:t>COVERED BUILDING.</w:t>
      </w:r>
      <w:r w:rsidRPr="00EC4EC4">
        <w:rPr>
          <w:szCs w:val="24"/>
        </w:rPr>
        <w:t xml:space="preserve"> </w:t>
      </w:r>
      <w:r w:rsidRPr="00EC4EC4">
        <w:rPr>
          <w:spacing w:val="1"/>
          <w:szCs w:val="24"/>
        </w:rPr>
        <w:t>As it appears in the records of the department of finance: (i) a building that exceeds 25,000 gross square feet (2323 m</w:t>
      </w:r>
      <w:r w:rsidRPr="00EC4EC4">
        <w:rPr>
          <w:spacing w:val="1"/>
          <w:szCs w:val="24"/>
          <w:vertAlign w:val="superscript"/>
        </w:rPr>
        <w:t>2</w:t>
      </w:r>
      <w:r w:rsidRPr="00EC4EC4">
        <w:rPr>
          <w:spacing w:val="1"/>
          <w:szCs w:val="24"/>
        </w:rPr>
        <w:t>), (ii) two or more buildings on the same tax lot that together exceed 100,000 gross square feet (9290 m</w:t>
      </w:r>
      <w:r w:rsidRPr="00EC4EC4">
        <w:rPr>
          <w:spacing w:val="1"/>
          <w:szCs w:val="24"/>
          <w:vertAlign w:val="superscript"/>
        </w:rPr>
        <w:t>2</w:t>
      </w:r>
      <w:r w:rsidRPr="00EC4EC4">
        <w:rPr>
          <w:spacing w:val="1"/>
          <w:szCs w:val="24"/>
        </w:rPr>
        <w:t>) or (iii) two or more buildings held in the condominium form of ownership that are governed by the same board of managers and that together exceed 100,000 gross square feet (9290 m</w:t>
      </w:r>
      <w:r w:rsidRPr="00EC4EC4">
        <w:rPr>
          <w:spacing w:val="1"/>
          <w:szCs w:val="24"/>
          <w:vertAlign w:val="superscript"/>
        </w:rPr>
        <w:t>2</w:t>
      </w:r>
      <w:r w:rsidRPr="00EC4EC4">
        <w:rPr>
          <w:spacing w:val="1"/>
          <w:szCs w:val="24"/>
        </w:rPr>
        <w:t>).</w:t>
      </w:r>
    </w:p>
    <w:p w14:paraId="64952723" w14:textId="77777777" w:rsidR="00140B7C" w:rsidRPr="00EC4EC4" w:rsidRDefault="00140B7C" w:rsidP="00140B7C">
      <w:pPr>
        <w:pStyle w:val="FlushLeftDouble"/>
        <w:rPr>
          <w:spacing w:val="1"/>
          <w:szCs w:val="24"/>
        </w:rPr>
      </w:pPr>
      <w:r w:rsidRPr="00EC4EC4">
        <w:rPr>
          <w:b/>
          <w:szCs w:val="24"/>
        </w:rPr>
        <w:t>Exceptions:</w:t>
      </w:r>
      <w:r w:rsidRPr="00EC4EC4">
        <w:rPr>
          <w:szCs w:val="24"/>
        </w:rPr>
        <w:t xml:space="preserve"> </w:t>
      </w:r>
      <w:r w:rsidRPr="00EC4EC4">
        <w:rPr>
          <w:spacing w:val="1"/>
          <w:szCs w:val="24"/>
        </w:rPr>
        <w:t>The term "covered building" shall not include:</w:t>
      </w:r>
    </w:p>
    <w:p w14:paraId="490B5AC8" w14:textId="77777777" w:rsidR="00140B7C" w:rsidRPr="00EC4EC4" w:rsidRDefault="00140B7C" w:rsidP="00140B7C">
      <w:pPr>
        <w:autoSpaceDE w:val="0"/>
        <w:autoSpaceDN w:val="0"/>
        <w:adjustRightInd w:val="0"/>
        <w:spacing w:before="120" w:after="120" w:line="240" w:lineRule="auto"/>
        <w:ind w:left="1080" w:hanging="360"/>
        <w:jc w:val="both"/>
        <w:rPr>
          <w:rFonts w:eastAsia="Times New Roman" w:cs="Times New Roman"/>
          <w:szCs w:val="24"/>
        </w:rPr>
      </w:pPr>
      <w:r w:rsidRPr="00EC4EC4">
        <w:rPr>
          <w:rFonts w:eastAsia="Times New Roman" w:cs="Times New Roman"/>
          <w:spacing w:val="1"/>
          <w:szCs w:val="24"/>
        </w:rPr>
        <w:t>1.</w:t>
      </w:r>
      <w:r w:rsidRPr="00EC4EC4">
        <w:rPr>
          <w:rFonts w:eastAsia="Times New Roman" w:cs="Times New Roman"/>
          <w:spacing w:val="1"/>
          <w:szCs w:val="24"/>
        </w:rPr>
        <w:tab/>
        <w:t>Real property classified as class one pursuant to subdivision 1 of section 1802 of the New York [</w:t>
      </w:r>
      <w:r w:rsidRPr="00EC4EC4">
        <w:rPr>
          <w:rFonts w:eastAsia="Times New Roman" w:cs="Times New Roman"/>
          <w:strike/>
          <w:spacing w:val="1"/>
          <w:szCs w:val="24"/>
        </w:rPr>
        <w:t>sttae</w:t>
      </w:r>
      <w:r w:rsidRPr="00EC4EC4">
        <w:rPr>
          <w:rFonts w:eastAsia="Times New Roman" w:cs="Times New Roman"/>
          <w:spacing w:val="1"/>
          <w:szCs w:val="24"/>
        </w:rPr>
        <w:t>]</w:t>
      </w:r>
      <w:r w:rsidRPr="00EC4EC4">
        <w:rPr>
          <w:rFonts w:eastAsia="Times New Roman" w:cs="Times New Roman"/>
          <w:spacing w:val="1"/>
          <w:szCs w:val="24"/>
          <w:u w:val="single"/>
        </w:rPr>
        <w:t>state</w:t>
      </w:r>
      <w:r w:rsidRPr="00EC4EC4">
        <w:rPr>
          <w:rFonts w:eastAsia="Times New Roman" w:cs="Times New Roman"/>
          <w:spacing w:val="1"/>
          <w:szCs w:val="24"/>
        </w:rPr>
        <w:t xml:space="preserve"> real property tax law; or</w:t>
      </w:r>
    </w:p>
    <w:p w14:paraId="53A6882A" w14:textId="77777777" w:rsidR="00140B7C" w:rsidRPr="00EC4EC4" w:rsidRDefault="00140B7C" w:rsidP="00140B7C">
      <w:pPr>
        <w:autoSpaceDE w:val="0"/>
        <w:autoSpaceDN w:val="0"/>
        <w:adjustRightInd w:val="0"/>
        <w:spacing w:after="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Real property, not more than three stories, consisting of a series of attached, detached or semi-detached dwellings, for which ownership and the responsibility for maintenance of the HVAC systems and hot water heating systems is held by each individual dwelling unit owner, and with no HVAC system or hot water heating system in the series serving more than two dwelling units, as certified by a registered design professional to the department.</w:t>
      </w:r>
    </w:p>
    <w:p w14:paraId="36C2A779" w14:textId="77777777" w:rsidR="00140B7C" w:rsidRPr="00EC4EC4" w:rsidRDefault="00140B7C" w:rsidP="00140B7C">
      <w:pPr>
        <w:autoSpaceDE w:val="0"/>
        <w:autoSpaceDN w:val="0"/>
        <w:adjustRightInd w:val="0"/>
        <w:spacing w:after="0" w:line="240" w:lineRule="auto"/>
        <w:ind w:left="1080" w:hanging="360"/>
        <w:jc w:val="both"/>
        <w:rPr>
          <w:rFonts w:eastAsia="Times New Roman" w:cs="Times New Roman"/>
          <w:szCs w:val="24"/>
        </w:rPr>
      </w:pPr>
    </w:p>
    <w:p w14:paraId="649F9C3B" w14:textId="77777777" w:rsidR="00140B7C" w:rsidRPr="00EC4EC4" w:rsidRDefault="00140B7C" w:rsidP="00140B7C">
      <w:pPr>
        <w:kinsoku w:val="0"/>
        <w:spacing w:after="0" w:line="240" w:lineRule="auto"/>
        <w:ind w:firstLine="720"/>
        <w:jc w:val="both"/>
        <w:rPr>
          <w:rFonts w:eastAsia="Times New Roman" w:cs="Times New Roman"/>
          <w:b/>
          <w:bCs/>
          <w:szCs w:val="24"/>
        </w:rPr>
      </w:pPr>
      <w:bookmarkStart w:id="7" w:name="_Hlk113614170"/>
      <w:r w:rsidRPr="00EC4EC4">
        <w:rPr>
          <w:rFonts w:cs="Times New Roman"/>
          <w:sz w:val="23"/>
          <w:szCs w:val="23"/>
        </w:rPr>
        <w:t>§</w:t>
      </w:r>
      <w:r>
        <w:rPr>
          <w:rFonts w:cs="Times New Roman"/>
          <w:sz w:val="23"/>
          <w:szCs w:val="23"/>
        </w:rPr>
        <w:t>26</w:t>
      </w:r>
      <w:r w:rsidRPr="00EC4EC4">
        <w:rPr>
          <w:rFonts w:cs="Times New Roman"/>
          <w:sz w:val="23"/>
          <w:szCs w:val="23"/>
        </w:rPr>
        <w:t xml:space="preserve">. Section 28-312.8 of the administrative code of the city of New York, as amended by local law number 126 for the year 2021, </w:t>
      </w:r>
      <w:r>
        <w:rPr>
          <w:rFonts w:cs="Times New Roman"/>
          <w:sz w:val="23"/>
          <w:szCs w:val="23"/>
        </w:rPr>
        <w:t>is renumbered section 28-312.6.</w:t>
      </w:r>
    </w:p>
    <w:bookmarkEnd w:id="7"/>
    <w:p w14:paraId="5A396404" w14:textId="77777777" w:rsidR="00140B7C" w:rsidRDefault="00140B7C" w:rsidP="00140B7C">
      <w:pPr>
        <w:pStyle w:val="FlushLeft"/>
        <w:spacing w:after="0"/>
        <w:rPr>
          <w:b/>
          <w:spacing w:val="1"/>
          <w:szCs w:val="24"/>
        </w:rPr>
      </w:pPr>
    </w:p>
    <w:p w14:paraId="66BECC76" w14:textId="77777777" w:rsidR="00140B7C" w:rsidRDefault="00140B7C" w:rsidP="00140B7C">
      <w:pPr>
        <w:kinsoku w:val="0"/>
        <w:spacing w:after="0" w:line="240" w:lineRule="auto"/>
        <w:ind w:firstLine="720"/>
        <w:jc w:val="both"/>
        <w:rPr>
          <w:rFonts w:cs="Times New Roman"/>
          <w:sz w:val="23"/>
          <w:szCs w:val="23"/>
        </w:rPr>
      </w:pPr>
    </w:p>
    <w:p w14:paraId="40B6B0FF"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27</w:t>
      </w:r>
      <w:r w:rsidRPr="00EC4EC4">
        <w:rPr>
          <w:rFonts w:cs="Times New Roman"/>
          <w:sz w:val="23"/>
          <w:szCs w:val="23"/>
        </w:rPr>
        <w:t>. Section 28-315.6.3 of the administrative code of the city of New York, as amended by local law number 126 for the year 2021, is amended to read as follows:</w:t>
      </w:r>
    </w:p>
    <w:p w14:paraId="3BB0F038" w14:textId="77777777" w:rsidR="00140B7C" w:rsidRPr="00EC4EC4" w:rsidRDefault="00140B7C" w:rsidP="00140B7C">
      <w:pPr>
        <w:pStyle w:val="FlushLeftDouble"/>
        <w:ind w:left="0"/>
        <w:rPr>
          <w:szCs w:val="24"/>
        </w:rPr>
      </w:pPr>
      <w:r w:rsidRPr="00EC4EC4">
        <w:rPr>
          <w:b/>
          <w:szCs w:val="24"/>
        </w:rPr>
        <w:t>§28-315.6.3 Signage for portable ramps at inaccessible building entrances where such ramps are permissible.</w:t>
      </w:r>
      <w:r w:rsidRPr="00EC4EC4">
        <w:rPr>
          <w:szCs w:val="24"/>
        </w:rPr>
        <w:t xml:space="preserve"> The posting of signage for portable ramps at inaccessible building entrances where such a ramp is permissible in accordance with the requirements of item 7 of </w:t>
      </w:r>
      <w:r w:rsidRPr="00EC4EC4">
        <w:rPr>
          <w:szCs w:val="24"/>
          <w:u w:val="single"/>
        </w:rPr>
        <w:t>Section</w:t>
      </w:r>
      <w:r w:rsidRPr="00EC4EC4">
        <w:rPr>
          <w:szCs w:val="24"/>
        </w:rPr>
        <w:t xml:space="preserve"> 1111.3 of the New York city building code shall be completed on or before March 1, 2020.</w:t>
      </w:r>
    </w:p>
    <w:p w14:paraId="0DFC560F" w14:textId="77777777" w:rsidR="00140B7C" w:rsidRPr="00EC4EC4" w:rsidRDefault="00140B7C" w:rsidP="00140B7C">
      <w:pPr>
        <w:kinsoku w:val="0"/>
        <w:spacing w:after="240" w:line="240" w:lineRule="auto"/>
        <w:ind w:firstLine="720"/>
        <w:jc w:val="both"/>
        <w:rPr>
          <w:rFonts w:eastAsia="Times New Roman" w:cs="Times New Roman"/>
          <w:b/>
          <w:bCs/>
          <w:szCs w:val="24"/>
        </w:rPr>
      </w:pPr>
      <w:bookmarkStart w:id="8" w:name="_Hlk113615799"/>
      <w:r w:rsidRPr="00EC4EC4">
        <w:rPr>
          <w:rFonts w:cs="Times New Roman"/>
          <w:sz w:val="23"/>
          <w:szCs w:val="23"/>
        </w:rPr>
        <w:t>§</w:t>
      </w:r>
      <w:r>
        <w:rPr>
          <w:rFonts w:cs="Times New Roman"/>
          <w:sz w:val="23"/>
          <w:szCs w:val="23"/>
        </w:rPr>
        <w:t>28</w:t>
      </w:r>
      <w:r w:rsidRPr="00EC4EC4">
        <w:rPr>
          <w:rFonts w:cs="Times New Roman"/>
          <w:sz w:val="23"/>
          <w:szCs w:val="23"/>
        </w:rPr>
        <w:t xml:space="preserve">. </w:t>
      </w:r>
      <w:r>
        <w:rPr>
          <w:rFonts w:cs="Times New Roman"/>
          <w:sz w:val="23"/>
          <w:szCs w:val="23"/>
        </w:rPr>
        <w:t xml:space="preserve">The definition of </w:t>
      </w:r>
      <w:r w:rsidRPr="00EC4EC4">
        <w:rPr>
          <w:rFonts w:cs="Times New Roman"/>
          <w:sz w:val="23"/>
          <w:szCs w:val="23"/>
        </w:rPr>
        <w:t xml:space="preserve">“BUILDING EMISSIONS” </w:t>
      </w:r>
      <w:r>
        <w:rPr>
          <w:rFonts w:cs="Times New Roman"/>
          <w:sz w:val="23"/>
          <w:szCs w:val="23"/>
        </w:rPr>
        <w:t>set forth in s</w:t>
      </w:r>
      <w:r w:rsidRPr="00EC4EC4">
        <w:rPr>
          <w:rFonts w:cs="Times New Roman"/>
          <w:sz w:val="23"/>
          <w:szCs w:val="23"/>
        </w:rPr>
        <w:t>ection 28-320.1 of the administrative code of the city of New York, as amended by local law number 126 for the year 2021, is amended to read as follows:</w:t>
      </w:r>
    </w:p>
    <w:bookmarkEnd w:id="8"/>
    <w:p w14:paraId="247E3C64" w14:textId="77777777" w:rsidR="00140B7C" w:rsidRPr="00EC4EC4" w:rsidRDefault="00140B7C" w:rsidP="00140B7C">
      <w:pPr>
        <w:pStyle w:val="FlushLeft"/>
        <w:rPr>
          <w:b/>
          <w:szCs w:val="24"/>
        </w:rPr>
      </w:pPr>
      <w:r w:rsidRPr="00EC4EC4">
        <w:rPr>
          <w:b/>
          <w:szCs w:val="24"/>
        </w:rPr>
        <w:t xml:space="preserve">BUILDING EMISSIONS. </w:t>
      </w:r>
      <w:r w:rsidRPr="00EC4EC4">
        <w:rPr>
          <w:szCs w:val="24"/>
        </w:rPr>
        <w:t>The term “building emissions” means greenhouse gas emissions as expressed in metric tons of carbon dioxide equivalent emitted as a result of operating a covered building and calculated in accordance with rules promulgated by the department in consultation with the mayor’s office of long term planning and sustainability. The term “building emissions” shall not include greenhouse gas emissions emitted during a local state of emergency declared by the mayor pursuant to section 24 of the executive law or a state of emergency declared by the governor pursuant to [</w:t>
      </w:r>
      <w:r w:rsidRPr="00EC4EC4">
        <w:rPr>
          <w:strike/>
          <w:szCs w:val="24"/>
        </w:rPr>
        <w:t>sections</w:t>
      </w:r>
      <w:r w:rsidRPr="00EC4EC4">
        <w:rPr>
          <w:szCs w:val="24"/>
        </w:rPr>
        <w:t>]</w:t>
      </w:r>
      <w:r w:rsidRPr="00EC4EC4">
        <w:rPr>
          <w:szCs w:val="24"/>
          <w:u w:val="single"/>
        </w:rPr>
        <w:t>section</w:t>
      </w:r>
      <w:r w:rsidRPr="00EC4EC4">
        <w:rPr>
          <w:szCs w:val="24"/>
        </w:rPr>
        <w:t xml:space="preserve"> 28 of the executive law, where such local or state emergency has an impact on building emissions.</w:t>
      </w:r>
    </w:p>
    <w:p w14:paraId="19DF91FC" w14:textId="77777777" w:rsidR="00140B7C" w:rsidRPr="00F14064" w:rsidRDefault="00140B7C" w:rsidP="00140B7C">
      <w:pPr>
        <w:kinsoku w:val="0"/>
        <w:spacing w:after="240" w:line="240" w:lineRule="auto"/>
        <w:ind w:firstLine="720"/>
        <w:jc w:val="both"/>
        <w:rPr>
          <w:rFonts w:cs="Times New Roman"/>
          <w:sz w:val="23"/>
          <w:szCs w:val="23"/>
        </w:rPr>
      </w:pPr>
      <w:r w:rsidRPr="00F14064">
        <w:rPr>
          <w:rFonts w:cs="Times New Roman"/>
          <w:sz w:val="23"/>
          <w:szCs w:val="23"/>
        </w:rPr>
        <w:t>§29. The definition of “FINANCIAL HARDSHIP (OF A BUILDING)” set forth in section 28-</w:t>
      </w:r>
      <w:r>
        <w:rPr>
          <w:rFonts w:cs="Times New Roman"/>
          <w:sz w:val="23"/>
          <w:szCs w:val="23"/>
        </w:rPr>
        <w:t>320.1</w:t>
      </w:r>
      <w:r w:rsidRPr="00F14064">
        <w:rPr>
          <w:rFonts w:cs="Times New Roman"/>
          <w:sz w:val="23"/>
          <w:szCs w:val="23"/>
        </w:rPr>
        <w:t xml:space="preserve"> of the administrative code of the city of New York, as amended by local law number 126 for the year 2021, shall be ordered in alphabetical order.</w:t>
      </w:r>
    </w:p>
    <w:p w14:paraId="30F0393B"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30</w:t>
      </w:r>
      <w:r w:rsidRPr="00EC4EC4">
        <w:rPr>
          <w:rFonts w:cs="Times New Roman"/>
          <w:sz w:val="23"/>
          <w:szCs w:val="23"/>
        </w:rPr>
        <w:t>. Section 28-320.2 of the administrative code of the city of New York, as amended by local law number 126 for the year 2021, is amended to read as follows:</w:t>
      </w:r>
    </w:p>
    <w:p w14:paraId="0AD04742" w14:textId="77777777" w:rsidR="00140B7C" w:rsidRPr="00EC4EC4" w:rsidRDefault="00140B7C" w:rsidP="00140B7C">
      <w:pPr>
        <w:pStyle w:val="FlushLeft"/>
        <w:rPr>
          <w:b/>
          <w:szCs w:val="24"/>
        </w:rPr>
      </w:pPr>
      <w:r w:rsidRPr="00EC4EC4">
        <w:rPr>
          <w:b/>
          <w:szCs w:val="24"/>
        </w:rPr>
        <w:t>§28-320.2 Advisory board.</w:t>
      </w:r>
      <w:r w:rsidRPr="00EC4EC4">
        <w:rPr>
          <w:szCs w:val="24"/>
        </w:rPr>
        <w:t xml:space="preserve"> There shall be an advisory board convened by the office of building energy and emissions performance upon the effective date of this article, in January of 2029 and in January of 2039, to provide advice and recommendations to the commissioner and to the mayor’s office of long term planning and sustainability relating to effectively reducing greenhouse gas emissions from buildings. Such recommendations shall include, but not be limited to:</w:t>
      </w:r>
    </w:p>
    <w:p w14:paraId="734A52A4" w14:textId="77777777" w:rsidR="00140B7C" w:rsidRPr="00EC4EC4" w:rsidRDefault="00140B7C" w:rsidP="00140B7C">
      <w:pPr>
        <w:spacing w:after="240" w:line="240" w:lineRule="auto"/>
        <w:ind w:left="72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A report and recommendations to be delivered to the mayor and the speaker of the city council no later than January 1, 2023 for additional or improved approaches to assessing building energy performance. Such report shall include, but not be limited to:</w:t>
      </w:r>
    </w:p>
    <w:p w14:paraId="0551491B"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1.1.</w:t>
      </w:r>
      <w:r w:rsidRPr="00EC4EC4">
        <w:rPr>
          <w:rFonts w:eastAsia="Times New Roman" w:cs="Times New Roman"/>
          <w:szCs w:val="24"/>
        </w:rPr>
        <w:tab/>
        <w:t>An approach for buildings to submit energy use or greenhouse gas emissions and other information for the purpose of assessing energy performance of covered buildings;</w:t>
      </w:r>
    </w:p>
    <w:p w14:paraId="1A6E3719"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1.2.</w:t>
      </w:r>
      <w:r w:rsidRPr="00EC4EC4">
        <w:rPr>
          <w:rFonts w:eastAsia="Times New Roman" w:cs="Times New Roman"/>
          <w:szCs w:val="24"/>
        </w:rPr>
        <w:tab/>
        <w:t>A methodology that includes the metric of measure, adjustments to the metric, the approach to comparing the output to a benchmark, alternative compliance paths, credit for beneficial electrification and distributed energy resources, and an approach for a trading mechanism as described in section 28-320.11;</w:t>
      </w:r>
    </w:p>
    <w:p w14:paraId="11448CF5"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lastRenderedPageBreak/>
        <w:t>1.3.</w:t>
      </w:r>
      <w:r w:rsidRPr="00EC4EC4">
        <w:rPr>
          <w:rFonts w:eastAsia="Times New Roman" w:cs="Times New Roman"/>
          <w:szCs w:val="24"/>
        </w:rPr>
        <w:tab/>
        <w:t>Recommendations for addressing tenant-controlled energy usage;</w:t>
      </w:r>
    </w:p>
    <w:p w14:paraId="0DE04270"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1.4.</w:t>
      </w:r>
      <w:r w:rsidRPr="00EC4EC4">
        <w:rPr>
          <w:rFonts w:eastAsia="Times New Roman" w:cs="Times New Roman"/>
          <w:szCs w:val="24"/>
        </w:rPr>
        <w:tab/>
        <w:t>Recommendations for amendments to the audit required under section 28-308.2, including consideration of whether such audit should be replaced by a capital plan;</w:t>
      </w:r>
    </w:p>
    <w:p w14:paraId="6F617556"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1.5.</w:t>
      </w:r>
      <w:r w:rsidRPr="00EC4EC4">
        <w:rPr>
          <w:rFonts w:eastAsia="Times New Roman" w:cs="Times New Roman"/>
          <w:szCs w:val="24"/>
        </w:rPr>
        <w:tab/>
        <w:t>Recommendations for reducing building emissions from rent regulated accommodations;</w:t>
      </w:r>
    </w:p>
    <w:p w14:paraId="08DF5C5B"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1.6.</w:t>
      </w:r>
      <w:r w:rsidRPr="00EC4EC4">
        <w:rPr>
          <w:rFonts w:eastAsia="Times New Roman" w:cs="Times New Roman"/>
          <w:szCs w:val="24"/>
        </w:rPr>
        <w:tab/>
        <w:t>Recommendations for allowing additional time to comply with the emissions limits for buildings converting to a new occupancy group or use with lower emissions limits or some other change in status that would affect applicability of the provisions of this article;</w:t>
      </w:r>
    </w:p>
    <w:p w14:paraId="7BE6C920"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1.7.</w:t>
      </w:r>
      <w:r w:rsidRPr="00EC4EC4">
        <w:rPr>
          <w:rFonts w:eastAsia="Times New Roman" w:cs="Times New Roman"/>
          <w:szCs w:val="24"/>
        </w:rPr>
        <w:tab/>
        <w:t>An evaluation of the extent to which the mayor’s 80x50 energy infrastructure pathways study is incorporated and addressed within the recommendations made pursuant to items 1.1 through 1.6 of this section; and</w:t>
      </w:r>
    </w:p>
    <w:p w14:paraId="5FBEC80F"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1.8.</w:t>
      </w:r>
      <w:r w:rsidRPr="00EC4EC4">
        <w:rPr>
          <w:rFonts w:eastAsia="Times New Roman" w:cs="Times New Roman"/>
          <w:szCs w:val="24"/>
        </w:rPr>
        <w:tab/>
        <w:t>A reference guide to delineate the responsibilities of the building designer and owners to comply with emissions limits.</w:t>
      </w:r>
    </w:p>
    <w:p w14:paraId="350DD5F8" w14:textId="77777777" w:rsidR="00140B7C" w:rsidRPr="00EC4EC4" w:rsidRDefault="00140B7C" w:rsidP="00140B7C">
      <w:pPr>
        <w:spacing w:after="240" w:line="240" w:lineRule="auto"/>
        <w:ind w:left="72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A report to be delivered to the mayor and the speaker of the city council no later than January 1, 2023, providing an analysis of, and any recommendations for improving, energy and emissions performance requirements for covered buildings. Such recommendations shall be targeted to achieve at least a 40 percent reduction in aggregate greenhouse gas emissions from covered buildings by calendar year 2030 relative to such emissions for the calendar year 2005. Such report shall include, but not be limited to assessments of:</w:t>
      </w:r>
    </w:p>
    <w:p w14:paraId="6ED661DC"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2.1.</w:t>
      </w:r>
      <w:r w:rsidRPr="00EC4EC4">
        <w:rPr>
          <w:rFonts w:eastAsia="Times New Roman" w:cs="Times New Roman"/>
          <w:szCs w:val="24"/>
        </w:rPr>
        <w:tab/>
        <w:t>Incentives for reduction of peak energy demand;</w:t>
      </w:r>
    </w:p>
    <w:p w14:paraId="31751BCD"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2.2.</w:t>
      </w:r>
      <w:r w:rsidRPr="00EC4EC4">
        <w:rPr>
          <w:rFonts w:eastAsia="Times New Roman" w:cs="Times New Roman"/>
          <w:szCs w:val="24"/>
        </w:rPr>
        <w:tab/>
        <w:t>Methods to allow for staggered reporting cycles for compliance with energy and emissions performance improvements;</w:t>
      </w:r>
    </w:p>
    <w:p w14:paraId="74B84A15"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2.3.</w:t>
      </w:r>
      <w:r w:rsidRPr="00EC4EC4">
        <w:rPr>
          <w:rFonts w:eastAsia="Times New Roman" w:cs="Times New Roman"/>
          <w:szCs w:val="24"/>
        </w:rPr>
        <w:tab/>
        <w:t>Methods for calculating penalties for [</w:t>
      </w:r>
      <w:r w:rsidRPr="00EC4EC4">
        <w:rPr>
          <w:rFonts w:eastAsia="Times New Roman" w:cs="Times New Roman"/>
          <w:strike/>
          <w:szCs w:val="24"/>
        </w:rPr>
        <w:t>non-compliance</w:t>
      </w:r>
      <w:r w:rsidRPr="00EC4EC4">
        <w:rPr>
          <w:rFonts w:eastAsia="Times New Roman" w:cs="Times New Roman"/>
          <w:szCs w:val="24"/>
        </w:rPr>
        <w:t>]</w:t>
      </w:r>
      <w:r w:rsidRPr="00EC4EC4">
        <w:rPr>
          <w:rFonts w:eastAsia="Times New Roman" w:cs="Times New Roman"/>
          <w:szCs w:val="24"/>
          <w:u w:val="single"/>
        </w:rPr>
        <w:t>noncompliance</w:t>
      </w:r>
      <w:r w:rsidRPr="00EC4EC4">
        <w:rPr>
          <w:rFonts w:eastAsia="Times New Roman" w:cs="Times New Roman"/>
          <w:szCs w:val="24"/>
        </w:rPr>
        <w:t>;</w:t>
      </w:r>
    </w:p>
    <w:p w14:paraId="5CFEF3D3"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2.4.</w:t>
      </w:r>
      <w:r w:rsidRPr="00EC4EC4">
        <w:rPr>
          <w:rFonts w:eastAsia="Times New Roman" w:cs="Times New Roman"/>
          <w:szCs w:val="24"/>
        </w:rPr>
        <w:tab/>
        <w:t>Estimated emissions reductions associated with any recommended energy performance requirements;</w:t>
      </w:r>
    </w:p>
    <w:p w14:paraId="3BDCCA95"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2.5.</w:t>
      </w:r>
      <w:r w:rsidRPr="00EC4EC4">
        <w:rPr>
          <w:rFonts w:eastAsia="Times New Roman" w:cs="Times New Roman"/>
          <w:szCs w:val="24"/>
        </w:rPr>
        <w:tab/>
        <w:t>The economic impact, including benefits, of achieving the energy and emissions performance requirements;</w:t>
      </w:r>
    </w:p>
    <w:p w14:paraId="2054834F"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2.6.</w:t>
      </w:r>
      <w:r w:rsidRPr="00EC4EC4">
        <w:rPr>
          <w:rFonts w:eastAsia="Times New Roman" w:cs="Times New Roman"/>
          <w:szCs w:val="24"/>
        </w:rPr>
        <w:tab/>
        <w:t>Methods for achieving earlier or larger reductions from city buildings;</w:t>
      </w:r>
    </w:p>
    <w:p w14:paraId="653E249F"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2.7.</w:t>
      </w:r>
      <w:r w:rsidRPr="00EC4EC4">
        <w:rPr>
          <w:rFonts w:eastAsia="Times New Roman" w:cs="Times New Roman"/>
          <w:szCs w:val="24"/>
        </w:rPr>
        <w:tab/>
        <w:t>Separate improvement targets for base building energy systems and tenant-controlled energy systems;</w:t>
      </w:r>
    </w:p>
    <w:p w14:paraId="1C0FC713"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t>2.8.</w:t>
      </w:r>
      <w:r w:rsidRPr="00EC4EC4">
        <w:rPr>
          <w:rFonts w:eastAsia="Times New Roman" w:cs="Times New Roman"/>
          <w:szCs w:val="24"/>
        </w:rPr>
        <w:tab/>
        <w:t>Methods for achieving emissions reductions from manufacturing and industrial processes; and</w:t>
      </w:r>
    </w:p>
    <w:p w14:paraId="2454D92E" w14:textId="77777777" w:rsidR="00140B7C" w:rsidRPr="00EC4EC4" w:rsidRDefault="00140B7C" w:rsidP="00140B7C">
      <w:pPr>
        <w:spacing w:after="240" w:line="240" w:lineRule="auto"/>
        <w:ind w:left="1260" w:hanging="540"/>
        <w:jc w:val="both"/>
        <w:rPr>
          <w:rFonts w:eastAsia="Times New Roman" w:cs="Times New Roman"/>
          <w:szCs w:val="24"/>
        </w:rPr>
      </w:pPr>
      <w:r w:rsidRPr="00EC4EC4">
        <w:rPr>
          <w:rFonts w:eastAsia="Times New Roman" w:cs="Times New Roman"/>
          <w:szCs w:val="24"/>
        </w:rPr>
        <w:lastRenderedPageBreak/>
        <w:t>2.9.</w:t>
      </w:r>
      <w:r w:rsidRPr="00EC4EC4">
        <w:rPr>
          <w:rFonts w:eastAsia="Times New Roman" w:cs="Times New Roman"/>
          <w:szCs w:val="24"/>
        </w:rPr>
        <w:tab/>
        <w:t>Methods for achieving emissions reductions from hospitals while maintaining critical care for human health and safety.</w:t>
      </w:r>
    </w:p>
    <w:p w14:paraId="661C72CE"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31</w:t>
      </w:r>
      <w:r w:rsidRPr="00EC4EC4">
        <w:rPr>
          <w:rFonts w:cs="Times New Roman"/>
          <w:sz w:val="23"/>
          <w:szCs w:val="23"/>
        </w:rPr>
        <w:t>. Section 28-320.3.1 of the administrative code of the city of New York, as amended by local law number 126 for the year 2021, is amended to read as follows:</w:t>
      </w:r>
    </w:p>
    <w:p w14:paraId="6C6D3268" w14:textId="77777777" w:rsidR="00140B7C" w:rsidRPr="00EC4EC4" w:rsidRDefault="00140B7C" w:rsidP="00140B7C">
      <w:pPr>
        <w:pStyle w:val="FlushLeftDouble"/>
        <w:ind w:left="0"/>
        <w:rPr>
          <w:szCs w:val="24"/>
        </w:rPr>
      </w:pPr>
      <w:r w:rsidRPr="00EC4EC4">
        <w:rPr>
          <w:b/>
          <w:szCs w:val="24"/>
        </w:rPr>
        <w:t>§28-320.3.1 Annual building emissions limits 2024-2029.</w:t>
      </w:r>
      <w:r w:rsidRPr="00EC4EC4">
        <w:rPr>
          <w:szCs w:val="24"/>
        </w:rPr>
        <w:t xml:space="preserve"> For calendar years 2024 through 2029, the annual building emissions limits for covered buildings shall be calculated pursuant to items 1 through 10 of this section. For the purposes of such calculation the department shall provide a method for converting categories of uses under the United States environmental protection agency Portfolio Manager tool to the equivalent uses and occupancy groups set forth in this section. For a covered building with spaces classified in more than one occupancy group, the annual building emissions limit shall be the sum of the calculated values from items 1 through 10 of this paragraph, as applicable for each space.</w:t>
      </w:r>
    </w:p>
    <w:p w14:paraId="3433BD5D"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For spaces classified as occupancy group A: multiply the building emissions intensity limit of 0.01074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3FF45CBF"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For spaces classified as occupancy group B other than as described in item 6: multiply the building emissions intensity limit of 0.00846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1C96DB90"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For spaces classified as occupancy groups E and I-4: multiply the building emissions intensity limit of 0.00758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6271E46C"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For spaces classified as occupancy group I-1: multiply the building emissions intensity limit of 0.01138 tCO</w:t>
      </w:r>
      <w:r w:rsidRPr="00EC4EC4">
        <w:rPr>
          <w:rFonts w:eastAsia="Times New Roman" w:cs="Times New Roman"/>
          <w:szCs w:val="24"/>
          <w:vertAlign w:val="subscript"/>
        </w:rPr>
        <w:t>2</w:t>
      </w:r>
      <w:r w:rsidRPr="00EC4EC4">
        <w:rPr>
          <w:rFonts w:eastAsia="Times New Roman" w:cs="Times New Roman"/>
          <w:szCs w:val="24"/>
        </w:rPr>
        <w:t>e /sf by the corresponding gross floor area (sf);</w:t>
      </w:r>
    </w:p>
    <w:p w14:paraId="4654FD84"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For spaces classified as occupancy group F: multiply the building emissions intensity limit of 0.00574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458E9B93"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For spaces classified as occupancy groups B civic administrative facility for emergency response services, B [</w:t>
      </w:r>
      <w:r w:rsidRPr="00EC4EC4">
        <w:rPr>
          <w:rFonts w:eastAsia="Times New Roman" w:cs="Times New Roman"/>
          <w:strike/>
          <w:szCs w:val="24"/>
        </w:rPr>
        <w:t>non-production</w:t>
      </w:r>
      <w:r w:rsidRPr="00EC4EC4">
        <w:rPr>
          <w:rFonts w:eastAsia="Times New Roman" w:cs="Times New Roman"/>
          <w:szCs w:val="24"/>
        </w:rPr>
        <w:t>]</w:t>
      </w:r>
      <w:r w:rsidRPr="00EC4EC4">
        <w:rPr>
          <w:rFonts w:eastAsia="Times New Roman" w:cs="Times New Roman"/>
          <w:szCs w:val="24"/>
          <w:u w:val="single"/>
        </w:rPr>
        <w:t>nonproduction</w:t>
      </w:r>
      <w:r w:rsidRPr="00EC4EC4">
        <w:rPr>
          <w:rFonts w:eastAsia="Times New Roman" w:cs="Times New Roman"/>
          <w:szCs w:val="24"/>
        </w:rPr>
        <w:t xml:space="preserve"> laboratory, Group B ambulatory health care facility, H, I-2 and I-3: multiply the building emissions intensity limit of 0.02381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0AF34274"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7.</w:t>
      </w:r>
      <w:r w:rsidRPr="00EC4EC4">
        <w:rPr>
          <w:rFonts w:eastAsia="Times New Roman" w:cs="Times New Roman"/>
          <w:szCs w:val="24"/>
        </w:rPr>
        <w:tab/>
        <w:t>For spaces classified as occupancy group M: multiply the building emissions intensity limit of 0.01181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31490CC5"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8.</w:t>
      </w:r>
      <w:r w:rsidRPr="00EC4EC4">
        <w:rPr>
          <w:rFonts w:eastAsia="Times New Roman" w:cs="Times New Roman"/>
          <w:szCs w:val="24"/>
        </w:rPr>
        <w:tab/>
        <w:t>For spaces classified as occupancy group R-1: multiply the building emissions intensity limit of 0.00987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5A7BB6FC"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9.</w:t>
      </w:r>
      <w:r w:rsidRPr="00EC4EC4">
        <w:rPr>
          <w:rFonts w:eastAsia="Times New Roman" w:cs="Times New Roman"/>
          <w:szCs w:val="24"/>
        </w:rPr>
        <w:tab/>
        <w:t>For spaces classified as occupancy group R-2: multiply the building emissions intensity limit of 0.00675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5727BE15"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10.</w:t>
      </w:r>
      <w:r w:rsidRPr="00EC4EC4">
        <w:rPr>
          <w:rFonts w:eastAsia="Times New Roman" w:cs="Times New Roman"/>
          <w:szCs w:val="24"/>
        </w:rPr>
        <w:tab/>
        <w:t>For spaces classified as occupancy groups S and U: multiply the building emissions intensity limit of 0.00426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2AB411FC" w14:textId="77777777" w:rsidR="00140B7C" w:rsidRPr="00EC4EC4" w:rsidRDefault="00140B7C" w:rsidP="00140B7C">
      <w:pPr>
        <w:kinsoku w:val="0"/>
        <w:spacing w:after="240" w:line="240" w:lineRule="auto"/>
        <w:ind w:firstLine="720"/>
        <w:jc w:val="both"/>
        <w:rPr>
          <w:rFonts w:eastAsia="Times New Roman" w:cs="Times New Roman"/>
          <w:b/>
          <w:bCs/>
          <w:szCs w:val="24"/>
        </w:rPr>
      </w:pPr>
      <w:r w:rsidRPr="008B4F0C">
        <w:rPr>
          <w:rFonts w:cs="Times New Roman"/>
          <w:sz w:val="23"/>
          <w:szCs w:val="23"/>
        </w:rPr>
        <w:lastRenderedPageBreak/>
        <w:t>§</w:t>
      </w:r>
      <w:r>
        <w:rPr>
          <w:rFonts w:cs="Times New Roman"/>
          <w:sz w:val="23"/>
          <w:szCs w:val="23"/>
        </w:rPr>
        <w:t>32</w:t>
      </w:r>
      <w:r w:rsidRPr="008B4F0C">
        <w:rPr>
          <w:rFonts w:cs="Times New Roman"/>
          <w:sz w:val="23"/>
          <w:szCs w:val="23"/>
        </w:rPr>
        <w:t xml:space="preserve">. Section 28-320.3.1.1 of the administrative code of the city of New York, as </w:t>
      </w:r>
      <w:r>
        <w:rPr>
          <w:rFonts w:cs="Times New Roman"/>
          <w:sz w:val="23"/>
          <w:szCs w:val="23"/>
        </w:rPr>
        <w:t>amended</w:t>
      </w:r>
      <w:r w:rsidRPr="008B4F0C">
        <w:rPr>
          <w:rFonts w:cs="Times New Roman"/>
          <w:sz w:val="23"/>
          <w:szCs w:val="23"/>
        </w:rPr>
        <w:t xml:space="preserve"> by local law number </w:t>
      </w:r>
      <w:r>
        <w:rPr>
          <w:rFonts w:cs="Times New Roman"/>
          <w:sz w:val="23"/>
          <w:szCs w:val="23"/>
        </w:rPr>
        <w:t>126</w:t>
      </w:r>
      <w:r w:rsidRPr="008B4F0C">
        <w:rPr>
          <w:rFonts w:cs="Times New Roman"/>
          <w:sz w:val="23"/>
          <w:szCs w:val="23"/>
        </w:rPr>
        <w:t xml:space="preserve"> for the year 20</w:t>
      </w:r>
      <w:r>
        <w:rPr>
          <w:rFonts w:cs="Times New Roman"/>
          <w:sz w:val="23"/>
          <w:szCs w:val="23"/>
        </w:rPr>
        <w:t>21</w:t>
      </w:r>
      <w:r w:rsidRPr="008B4F0C">
        <w:rPr>
          <w:rFonts w:cs="Times New Roman"/>
          <w:sz w:val="23"/>
          <w:szCs w:val="23"/>
        </w:rPr>
        <w:t>, is amended to read as follows:</w:t>
      </w:r>
    </w:p>
    <w:p w14:paraId="5922A8AB" w14:textId="77777777" w:rsidR="00140B7C" w:rsidRPr="00EC4EC4" w:rsidRDefault="00140B7C" w:rsidP="00140B7C">
      <w:pPr>
        <w:pStyle w:val="FlushLeftDouble"/>
        <w:ind w:left="0"/>
        <w:rPr>
          <w:b/>
          <w:szCs w:val="24"/>
        </w:rPr>
      </w:pPr>
      <w:r w:rsidRPr="00EC4EC4">
        <w:rPr>
          <w:b/>
          <w:szCs w:val="24"/>
        </w:rPr>
        <w:t>§28-320.3.1.1 Greenhouse gas coefficient of energy consumption for calendar years 2024 through 2029.</w:t>
      </w:r>
      <w:r w:rsidRPr="00EC4EC4">
        <w:rPr>
          <w:szCs w:val="24"/>
        </w:rPr>
        <w:t xml:space="preserve"> The annual building emissions of a covered building in accordance with this section, greenhouse gas emissions shall be calculated as follows for calendar years 2024 through 2029:</w:t>
      </w:r>
    </w:p>
    <w:p w14:paraId="21AD83D6"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Utility electricity consumed on the premises of a covered building that is delivered to the building via the electric grid shall be calculated as generating 0.000288962 tCO</w:t>
      </w:r>
      <w:r w:rsidRPr="00EC4EC4">
        <w:rPr>
          <w:rFonts w:eastAsia="Times New Roman" w:cs="Times New Roman"/>
          <w:szCs w:val="24"/>
          <w:vertAlign w:val="subscript"/>
        </w:rPr>
        <w:t>2</w:t>
      </w:r>
      <w:r w:rsidRPr="00EC4EC4">
        <w:rPr>
          <w:rFonts w:eastAsia="Times New Roman" w:cs="Times New Roman"/>
          <w:szCs w:val="24"/>
        </w:rPr>
        <w:t>e per kilowatt hour or, at the owner’s option, shall be calculated based on time of use in accordance with referenced emissions factors promulgated by rules of the department. The department, in consultation with the office of [</w:t>
      </w:r>
      <w:r w:rsidRPr="00EC4EC4">
        <w:rPr>
          <w:rFonts w:eastAsia="Times New Roman" w:cs="Times New Roman"/>
          <w:strike/>
          <w:szCs w:val="24"/>
        </w:rPr>
        <w:t>long term</w:t>
      </w:r>
      <w:r w:rsidRPr="00EC4EC4">
        <w:rPr>
          <w:rFonts w:eastAsia="Times New Roman" w:cs="Times New Roman"/>
          <w:szCs w:val="24"/>
        </w:rPr>
        <w:t>]</w:t>
      </w:r>
      <w:r w:rsidRPr="00EC4EC4">
        <w:rPr>
          <w:rFonts w:eastAsia="Times New Roman" w:cs="Times New Roman"/>
          <w:szCs w:val="24"/>
          <w:u w:val="single"/>
        </w:rPr>
        <w:t>long-term</w:t>
      </w:r>
      <w:r w:rsidRPr="00EC4EC4">
        <w:rPr>
          <w:rFonts w:eastAsia="Times New Roman" w:cs="Times New Roman"/>
          <w:szCs w:val="24"/>
        </w:rPr>
        <w:t xml:space="preserve"> planning and sustainability, shall promulgate rules governing the calculation of greenhouse gas emissions for campus-style electric systems that share on-site generation but make use of the utility distribution system and for buildings that are not connected to the utility distribution system.</w:t>
      </w:r>
    </w:p>
    <w:p w14:paraId="18A768CF"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Natural gas combusted on the premises of a covered building shall be calculated as generating 0.00005311 tCO</w:t>
      </w:r>
      <w:r w:rsidRPr="00EC4EC4">
        <w:rPr>
          <w:rFonts w:eastAsia="Times New Roman" w:cs="Times New Roman"/>
          <w:szCs w:val="24"/>
          <w:vertAlign w:val="subscript"/>
        </w:rPr>
        <w:t>2</w:t>
      </w:r>
      <w:r w:rsidRPr="00EC4EC4">
        <w:rPr>
          <w:rFonts w:eastAsia="Times New Roman" w:cs="Times New Roman"/>
          <w:szCs w:val="24"/>
        </w:rPr>
        <w:t>e per kbtu.</w:t>
      </w:r>
    </w:p>
    <w:p w14:paraId="696C8C49"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#2 fuel oil combusted on the premises of a covered building shall be calculated as generating 0.00007421 tCO</w:t>
      </w:r>
      <w:r w:rsidRPr="00EC4EC4">
        <w:rPr>
          <w:rFonts w:eastAsia="Times New Roman" w:cs="Times New Roman"/>
          <w:szCs w:val="24"/>
          <w:vertAlign w:val="subscript"/>
        </w:rPr>
        <w:t>2</w:t>
      </w:r>
      <w:r w:rsidRPr="00EC4EC4">
        <w:rPr>
          <w:rFonts w:eastAsia="Times New Roman" w:cs="Times New Roman"/>
          <w:szCs w:val="24"/>
        </w:rPr>
        <w:t>e per kbtu.</w:t>
      </w:r>
    </w:p>
    <w:p w14:paraId="044ECA7A"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#4 fuel oil combusted on the premises of a covered building shall be calculated as generating 0.00007529 tCO</w:t>
      </w:r>
      <w:r w:rsidRPr="00EC4EC4">
        <w:rPr>
          <w:rFonts w:eastAsia="Times New Roman" w:cs="Times New Roman"/>
          <w:szCs w:val="24"/>
          <w:vertAlign w:val="subscript"/>
        </w:rPr>
        <w:t>2</w:t>
      </w:r>
      <w:r w:rsidRPr="00EC4EC4">
        <w:rPr>
          <w:rFonts w:eastAsia="Times New Roman" w:cs="Times New Roman"/>
          <w:szCs w:val="24"/>
        </w:rPr>
        <w:t>e per kbtu.</w:t>
      </w:r>
    </w:p>
    <w:p w14:paraId="5DBA6AC2"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District steam consumed on the premises of a covered building shall be calculated as generating 0.00004493 tCO</w:t>
      </w:r>
      <w:r w:rsidRPr="00EC4EC4">
        <w:rPr>
          <w:rFonts w:eastAsia="Times New Roman" w:cs="Times New Roman"/>
          <w:szCs w:val="24"/>
          <w:vertAlign w:val="subscript"/>
        </w:rPr>
        <w:t>2</w:t>
      </w:r>
      <w:r w:rsidRPr="00EC4EC4">
        <w:rPr>
          <w:rFonts w:eastAsia="Times New Roman" w:cs="Times New Roman"/>
          <w:szCs w:val="24"/>
        </w:rPr>
        <w:t>e per kbtu.</w:t>
      </w:r>
    </w:p>
    <w:p w14:paraId="539E7668"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 xml:space="preserve">The amount of greenhouse gas emissions attributable to natural gas powered fuel cells shall be credited compared to the electricity grid marginal emissions factor that will be determined by the commissioner and </w:t>
      </w:r>
      <w:r>
        <w:rPr>
          <w:rFonts w:eastAsia="Times New Roman" w:cs="Times New Roman"/>
          <w:szCs w:val="24"/>
        </w:rPr>
        <w:t>[</w:t>
      </w:r>
      <w:r w:rsidRPr="00805CE3">
        <w:rPr>
          <w:rFonts w:eastAsia="Times New Roman" w:cs="Times New Roman"/>
          <w:strike/>
          <w:szCs w:val="24"/>
        </w:rPr>
        <w:t>promgulated</w:t>
      </w:r>
      <w:r>
        <w:rPr>
          <w:rFonts w:eastAsia="Times New Roman" w:cs="Times New Roman"/>
          <w:szCs w:val="24"/>
        </w:rPr>
        <w:t>]</w:t>
      </w:r>
      <w:r w:rsidRPr="00EC4EC4">
        <w:rPr>
          <w:rFonts w:eastAsia="Times New Roman" w:cs="Times New Roman"/>
          <w:szCs w:val="24"/>
        </w:rPr>
        <w:t xml:space="preserve"> </w:t>
      </w:r>
      <w:r w:rsidRPr="00805CE3">
        <w:rPr>
          <w:rFonts w:eastAsia="Times New Roman" w:cs="Times New Roman"/>
          <w:szCs w:val="24"/>
          <w:u w:val="single"/>
        </w:rPr>
        <w:t>promulgated</w:t>
      </w:r>
      <w:r>
        <w:rPr>
          <w:rFonts w:eastAsia="Times New Roman" w:cs="Times New Roman"/>
          <w:szCs w:val="24"/>
        </w:rPr>
        <w:t xml:space="preserve"> </w:t>
      </w:r>
      <w:r w:rsidRPr="00EC4EC4">
        <w:rPr>
          <w:rFonts w:eastAsia="Times New Roman" w:cs="Times New Roman"/>
          <w:szCs w:val="24"/>
        </w:rPr>
        <w:t>into rules of the department.</w:t>
      </w:r>
    </w:p>
    <w:p w14:paraId="01315D22" w14:textId="77777777" w:rsidR="00140B7C" w:rsidRPr="00EC4EC4" w:rsidRDefault="00140B7C" w:rsidP="00140B7C">
      <w:pPr>
        <w:spacing w:after="240" w:line="240" w:lineRule="auto"/>
        <w:ind w:left="1080"/>
        <w:jc w:val="both"/>
        <w:rPr>
          <w:rFonts w:eastAsia="Times New Roman" w:cs="Times New Roman"/>
          <w:szCs w:val="24"/>
        </w:rPr>
      </w:pPr>
      <w:r w:rsidRPr="00EC4EC4">
        <w:rPr>
          <w:rFonts w:eastAsia="Times New Roman" w:cs="Times New Roman"/>
          <w:b/>
          <w:bCs/>
          <w:szCs w:val="24"/>
        </w:rPr>
        <w:t>Exception:</w:t>
      </w:r>
      <w:r w:rsidRPr="00EC4EC4">
        <w:rPr>
          <w:rFonts w:eastAsia="Times New Roman" w:cs="Times New Roman"/>
          <w:szCs w:val="24"/>
        </w:rPr>
        <w:t xml:space="preserve"> Natural gas powered fuel cells that commence operation prior to the later of January 1, 2023 or the promulgation of such rules, shall be credited compared to the electricity grid marginal emissions factor published in the most recent New York state energy research and development authority renewable energy standard program impact evaluation and clean energy standard triennial review, or a successor to such report issued by the New York state energy research and development authority.</w:t>
      </w:r>
    </w:p>
    <w:p w14:paraId="5DCEA3A9"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7.</w:t>
      </w:r>
      <w:r w:rsidRPr="00EC4EC4">
        <w:rPr>
          <w:rFonts w:eastAsia="Times New Roman" w:cs="Times New Roman"/>
          <w:szCs w:val="24"/>
        </w:rPr>
        <w:tab/>
        <w:t>The amount of greenhouse gas emissions attributable to other energy sources, including but not limited to distributed energy resources, shall be determined by the commissioner and promulgated into rules of the department.</w:t>
      </w:r>
    </w:p>
    <w:p w14:paraId="5B698115" w14:textId="77777777" w:rsidR="00140B7C" w:rsidRPr="00EC4EC4" w:rsidRDefault="00140B7C" w:rsidP="00140B7C">
      <w:pPr>
        <w:kinsoku w:val="0"/>
        <w:spacing w:after="240" w:line="240" w:lineRule="auto"/>
        <w:ind w:firstLine="720"/>
        <w:jc w:val="both"/>
        <w:rPr>
          <w:rFonts w:eastAsia="Times New Roman" w:cs="Times New Roman"/>
          <w:b/>
          <w:bCs/>
          <w:szCs w:val="24"/>
        </w:rPr>
      </w:pPr>
      <w:bookmarkStart w:id="9" w:name="_Hlk113887143"/>
      <w:r w:rsidRPr="003A7B77">
        <w:rPr>
          <w:rFonts w:cs="Times New Roman"/>
          <w:sz w:val="23"/>
          <w:szCs w:val="23"/>
        </w:rPr>
        <w:t>§</w:t>
      </w:r>
      <w:r>
        <w:rPr>
          <w:rFonts w:cs="Times New Roman"/>
          <w:sz w:val="23"/>
          <w:szCs w:val="23"/>
        </w:rPr>
        <w:t>33</w:t>
      </w:r>
      <w:r w:rsidRPr="003A7B77">
        <w:rPr>
          <w:rFonts w:cs="Times New Roman"/>
          <w:sz w:val="23"/>
          <w:szCs w:val="23"/>
        </w:rPr>
        <w:t xml:space="preserve">. Section 28-320.3.2 of the administrative code of the city of New York, as </w:t>
      </w:r>
      <w:r>
        <w:rPr>
          <w:rFonts w:cs="Times New Roman"/>
          <w:sz w:val="23"/>
          <w:szCs w:val="23"/>
        </w:rPr>
        <w:t>amended</w:t>
      </w:r>
      <w:r w:rsidRPr="003A7B77">
        <w:rPr>
          <w:rFonts w:cs="Times New Roman"/>
          <w:sz w:val="23"/>
          <w:szCs w:val="23"/>
        </w:rPr>
        <w:t xml:space="preserve"> by local law number </w:t>
      </w:r>
      <w:r>
        <w:rPr>
          <w:rFonts w:cs="Times New Roman"/>
          <w:sz w:val="23"/>
          <w:szCs w:val="23"/>
        </w:rPr>
        <w:t>126</w:t>
      </w:r>
      <w:r w:rsidRPr="003A7B77">
        <w:rPr>
          <w:rFonts w:cs="Times New Roman"/>
          <w:sz w:val="23"/>
          <w:szCs w:val="23"/>
        </w:rPr>
        <w:t xml:space="preserve"> for the year 20</w:t>
      </w:r>
      <w:r>
        <w:rPr>
          <w:rFonts w:cs="Times New Roman"/>
          <w:sz w:val="23"/>
          <w:szCs w:val="23"/>
        </w:rPr>
        <w:t>21</w:t>
      </w:r>
      <w:r w:rsidRPr="003A7B77">
        <w:rPr>
          <w:rFonts w:cs="Times New Roman"/>
          <w:sz w:val="23"/>
          <w:szCs w:val="23"/>
        </w:rPr>
        <w:t>, is amended to read as follows:</w:t>
      </w:r>
    </w:p>
    <w:bookmarkEnd w:id="9"/>
    <w:p w14:paraId="7989DD24" w14:textId="77777777" w:rsidR="00140B7C" w:rsidRPr="00EC4EC4" w:rsidRDefault="00140B7C" w:rsidP="00140B7C">
      <w:pPr>
        <w:pStyle w:val="FlushLeftDouble"/>
        <w:ind w:left="0"/>
        <w:rPr>
          <w:szCs w:val="24"/>
        </w:rPr>
      </w:pPr>
      <w:r w:rsidRPr="00EC4EC4">
        <w:rPr>
          <w:b/>
          <w:szCs w:val="24"/>
        </w:rPr>
        <w:lastRenderedPageBreak/>
        <w:t>§28-320.3.2 Building emissions limits for calendar years 2030 through 2034.</w:t>
      </w:r>
      <w:r w:rsidRPr="00EC4EC4">
        <w:rPr>
          <w:szCs w:val="24"/>
        </w:rPr>
        <w:t xml:space="preserve"> For calendar years 2030 through 2034</w:t>
      </w:r>
      <w:r w:rsidRPr="00EC4EC4">
        <w:rPr>
          <w:szCs w:val="24"/>
          <w:u w:val="single"/>
        </w:rPr>
        <w:t>,</w:t>
      </w:r>
      <w:r w:rsidRPr="00EC4EC4">
        <w:rPr>
          <w:szCs w:val="24"/>
        </w:rPr>
        <w:t xml:space="preserve"> the annual building emissions limits for covered buildings shall be calculated pursuant to items 1 through 10 of this section. For the purposes of such calculation</w:t>
      </w:r>
      <w:r w:rsidRPr="00EC4EC4">
        <w:rPr>
          <w:szCs w:val="24"/>
          <w:u w:val="single"/>
        </w:rPr>
        <w:t>,</w:t>
      </w:r>
      <w:r w:rsidRPr="00EC4EC4">
        <w:rPr>
          <w:szCs w:val="24"/>
        </w:rPr>
        <w:t xml:space="preserve"> the department shall provide a method for converting categories of uses under the United States environmental protection agency Portfolio Manager tool to the equivalent uses and occupancy groups set forth in this section. For a covered building with spaces classified in more than one occupancy group, the annual building emissions limit shall be the sum of the calculated values from items 1 through 10 of this paragraph, as applicable for each space. The department may establish different limits, including a different metric or method of calculation, set forth in the rules of the department, where the department determines that different limits are feasible and in the public interest. Where such limits are set by rule, the average emission limits for all covered buildings shall not be less restrictive than the average emissions impact of the building emissions limits outlined in items 1 through 10 of this section. The advisory board and the office of [</w:t>
      </w:r>
      <w:r w:rsidRPr="00EC4EC4">
        <w:rPr>
          <w:strike/>
          <w:szCs w:val="24"/>
        </w:rPr>
        <w:t>long term</w:t>
      </w:r>
      <w:r w:rsidRPr="00EC4EC4">
        <w:rPr>
          <w:szCs w:val="24"/>
        </w:rPr>
        <w:t>]</w:t>
      </w:r>
      <w:r w:rsidRPr="00EC4EC4">
        <w:rPr>
          <w:szCs w:val="24"/>
          <w:u w:val="single"/>
        </w:rPr>
        <w:t>long-term</w:t>
      </w:r>
      <w:r w:rsidRPr="00EC4EC4">
        <w:rPr>
          <w:szCs w:val="24"/>
        </w:rPr>
        <w:t xml:space="preserve"> planning and sustainability shall provide advice and recommendation regarding such limits.</w:t>
      </w:r>
    </w:p>
    <w:p w14:paraId="38F5981A"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For spaces classified as occupancy group A: multiply the building emissions intensity limit of 0.00420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40D8F82F"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For spaces classified as occupancy group B other than as described in item 6: multiply the building emissions intensity limit of 0.00453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5EB5FBA3"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For spaces classified as occupancy groups E and I-4: multiply the building emissions intensity limit of 0.00344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068390E2"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For spaces classified as occupancy group I-1: multiply the building emissions intensity limit of 0.00598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0059DA77"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For spaces classified as occupancy group F: multiply the building emissions intensity limit of 0.00167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121EA8BA"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For spaces classified as occupancy groups B civic administrative facility for emergency response services, B [</w:t>
      </w:r>
      <w:r w:rsidRPr="00EC4EC4">
        <w:rPr>
          <w:rFonts w:eastAsia="Times New Roman" w:cs="Times New Roman"/>
          <w:strike/>
          <w:szCs w:val="24"/>
        </w:rPr>
        <w:t>non-production</w:t>
      </w:r>
      <w:r w:rsidRPr="00EC4EC4">
        <w:rPr>
          <w:rFonts w:eastAsia="Times New Roman" w:cs="Times New Roman"/>
          <w:szCs w:val="24"/>
        </w:rPr>
        <w:t>]</w:t>
      </w:r>
      <w:r w:rsidRPr="00EC4EC4">
        <w:rPr>
          <w:rFonts w:eastAsia="Times New Roman" w:cs="Times New Roman"/>
          <w:szCs w:val="24"/>
          <w:u w:val="single"/>
        </w:rPr>
        <w:t>nonproduction</w:t>
      </w:r>
      <w:r w:rsidRPr="00EC4EC4">
        <w:rPr>
          <w:rFonts w:eastAsia="Times New Roman" w:cs="Times New Roman"/>
          <w:szCs w:val="24"/>
        </w:rPr>
        <w:t xml:space="preserve"> laboratory, Group B ambulatory health care facility, H, I-2 or I-3: multiply the building emissions intensity limit of 0.01330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3D3BA277"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7.</w:t>
      </w:r>
      <w:r w:rsidRPr="00EC4EC4">
        <w:rPr>
          <w:rFonts w:eastAsia="Times New Roman" w:cs="Times New Roman"/>
          <w:szCs w:val="24"/>
        </w:rPr>
        <w:tab/>
        <w:t>For spaces classified as occupancy group M: multiply the building emissions intensity limit of 0.00403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33D48E99"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8.</w:t>
      </w:r>
      <w:r w:rsidRPr="00EC4EC4">
        <w:rPr>
          <w:rFonts w:eastAsia="Times New Roman" w:cs="Times New Roman"/>
          <w:szCs w:val="24"/>
        </w:rPr>
        <w:tab/>
        <w:t>For spaces classified as occupancy group R-1: multiply the building emissions intensity limit of 0.00526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7C6F47B0"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9.</w:t>
      </w:r>
      <w:r w:rsidRPr="00EC4EC4">
        <w:rPr>
          <w:rFonts w:eastAsia="Times New Roman" w:cs="Times New Roman"/>
          <w:szCs w:val="24"/>
        </w:rPr>
        <w:tab/>
        <w:t>For spaces classified as occupancy groups R-2: multiply the building emissions intensity limit of 0.00407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541E2F69"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10.</w:t>
      </w:r>
      <w:r w:rsidRPr="00EC4EC4">
        <w:rPr>
          <w:rFonts w:eastAsia="Times New Roman" w:cs="Times New Roman"/>
          <w:szCs w:val="24"/>
        </w:rPr>
        <w:tab/>
        <w:t>For spaces classified as occupancy groups S and U: multiply the building emissions intensity limit of 0.00110 tCO</w:t>
      </w:r>
      <w:r w:rsidRPr="00EC4EC4">
        <w:rPr>
          <w:rFonts w:eastAsia="Times New Roman" w:cs="Times New Roman"/>
          <w:szCs w:val="24"/>
          <w:vertAlign w:val="subscript"/>
        </w:rPr>
        <w:t>2</w:t>
      </w:r>
      <w:r w:rsidRPr="00EC4EC4">
        <w:rPr>
          <w:rFonts w:eastAsia="Times New Roman" w:cs="Times New Roman"/>
          <w:szCs w:val="24"/>
        </w:rPr>
        <w:t>e/sf by the corresponding gross floor area (sf).</w:t>
      </w:r>
    </w:p>
    <w:p w14:paraId="0B7FA242" w14:textId="77777777" w:rsidR="00B90EF8" w:rsidRPr="00EB4213" w:rsidRDefault="00B90EF8" w:rsidP="00B90EF8">
      <w:pPr>
        <w:kinsoku w:val="0"/>
        <w:spacing w:after="240" w:line="240" w:lineRule="auto"/>
        <w:ind w:firstLine="720"/>
        <w:jc w:val="both"/>
        <w:rPr>
          <w:rFonts w:cs="Times New Roman"/>
          <w:sz w:val="23"/>
          <w:szCs w:val="23"/>
        </w:rPr>
      </w:pPr>
      <w:r w:rsidRPr="00EB4213">
        <w:rPr>
          <w:rFonts w:cs="Times New Roman"/>
          <w:sz w:val="23"/>
          <w:szCs w:val="23"/>
        </w:rPr>
        <w:lastRenderedPageBreak/>
        <w:t>§</w:t>
      </w:r>
      <w:r>
        <w:rPr>
          <w:rFonts w:cs="Times New Roman"/>
          <w:sz w:val="23"/>
          <w:szCs w:val="23"/>
        </w:rPr>
        <w:t>34</w:t>
      </w:r>
      <w:r w:rsidRPr="00EB4213">
        <w:rPr>
          <w:rFonts w:cs="Times New Roman"/>
          <w:sz w:val="23"/>
          <w:szCs w:val="23"/>
        </w:rPr>
        <w:t>. Sections 28-320.3.6 and 28-320.3.6.1 of the administrative code of the city of New York, as amended by local law number 126 for the year 2021, are amended to read as follows:</w:t>
      </w:r>
    </w:p>
    <w:p w14:paraId="3A807008" w14:textId="77777777" w:rsidR="00B90EF8" w:rsidRPr="00EB4213" w:rsidRDefault="00B90EF8" w:rsidP="00B90EF8">
      <w:pPr>
        <w:kinsoku w:val="0"/>
        <w:spacing w:after="240" w:line="240" w:lineRule="auto"/>
        <w:jc w:val="both"/>
        <w:rPr>
          <w:rFonts w:cs="Times New Roman"/>
          <w:sz w:val="23"/>
          <w:szCs w:val="23"/>
        </w:rPr>
      </w:pPr>
      <w:r w:rsidRPr="00EB4213">
        <w:rPr>
          <w:rFonts w:cs="Times New Roman"/>
          <w:b/>
          <w:bCs/>
          <w:sz w:val="23"/>
          <w:szCs w:val="23"/>
        </w:rPr>
        <w:t>§28-320.3.6 Deductions from reported annual building emissions.</w:t>
      </w:r>
      <w:r w:rsidRPr="00EB4213">
        <w:rPr>
          <w:rFonts w:cs="Times New Roman"/>
          <w:sz w:val="23"/>
          <w:szCs w:val="23"/>
        </w:rPr>
        <w:t xml:space="preserve"> The department may authorize a deduction from the annual building emissions required to be reported by an owner pursuant to section 28-320.3 where the owner demonstrates the purchase of greenhouse gas offsets or renewable energy credits, or the use of clean distributed energy resources, in accordance with this section. For such sections that limit the dates of applicability of such deductions, the department [shall] </w:t>
      </w:r>
      <w:r w:rsidRPr="00EB4213">
        <w:rPr>
          <w:rFonts w:cs="Times New Roman"/>
          <w:sz w:val="23"/>
          <w:szCs w:val="23"/>
          <w:u w:val="single"/>
        </w:rPr>
        <w:t>may</w:t>
      </w:r>
      <w:r w:rsidRPr="00EB4213">
        <w:rPr>
          <w:rFonts w:cs="Times New Roman"/>
          <w:sz w:val="23"/>
          <w:szCs w:val="23"/>
        </w:rPr>
        <w:t xml:space="preserve"> promulgate rules to extend such deductions for each future compliance date.</w:t>
      </w:r>
    </w:p>
    <w:p w14:paraId="0387B1E1" w14:textId="6C56A344" w:rsidR="00B90EF8" w:rsidRDefault="00B90EF8" w:rsidP="00B90EF8">
      <w:pPr>
        <w:kinsoku w:val="0"/>
        <w:spacing w:after="240" w:line="240" w:lineRule="auto"/>
        <w:ind w:firstLine="720"/>
        <w:jc w:val="both"/>
        <w:rPr>
          <w:rFonts w:cs="Times New Roman"/>
          <w:sz w:val="23"/>
          <w:szCs w:val="23"/>
        </w:rPr>
      </w:pPr>
      <w:r w:rsidRPr="00EB4213">
        <w:rPr>
          <w:rFonts w:cs="Times New Roman"/>
          <w:b/>
          <w:bCs/>
          <w:sz w:val="23"/>
          <w:szCs w:val="23"/>
        </w:rPr>
        <w:t>§28-320.3.6.1 Deductions from reported annual building emissions for renewable energy credits.</w:t>
      </w:r>
      <w:r w:rsidRPr="00EB4213">
        <w:rPr>
          <w:rFonts w:cs="Times New Roman"/>
          <w:sz w:val="23"/>
          <w:szCs w:val="23"/>
        </w:rPr>
        <w:t xml:space="preserve"> A deduction from the reported annual building emissions [shall] </w:t>
      </w:r>
      <w:r w:rsidRPr="00EB4213">
        <w:rPr>
          <w:rFonts w:cs="Times New Roman"/>
          <w:sz w:val="23"/>
          <w:szCs w:val="23"/>
          <w:u w:val="single"/>
        </w:rPr>
        <w:t>resulting from the consumption of electricity may</w:t>
      </w:r>
      <w:r w:rsidRPr="00EB4213">
        <w:rPr>
          <w:rFonts w:cs="Times New Roman"/>
          <w:sz w:val="23"/>
          <w:szCs w:val="23"/>
        </w:rPr>
        <w:t xml:space="preserve"> be authorized equal to the number of renewable energy credits purchased by or on behalf of a building owner, provided (i) the renewable energy resource that is the source of the renewable energy credits is considered by the New York independent system operator to be a capacity resource located in, or whose output directly sinks into, the zone J load zone for the reporting calendar year; (ii) the renewable energy credits are solely owned and retired by, or on behalf of, the building owner; (iii) the renewable energy credits are from the same year as the reporting year; and (iv) the building that hosts the system producing the energy does not receive a deduction under section 28-320.3.6.3 </w:t>
      </w:r>
      <w:r w:rsidRPr="00EB4213">
        <w:rPr>
          <w:rFonts w:cs="Times New Roman"/>
          <w:sz w:val="23"/>
          <w:szCs w:val="23"/>
          <w:u w:val="single"/>
        </w:rPr>
        <w:t>for the same energy upon which the renewable credits are based</w:t>
      </w:r>
      <w:r w:rsidRPr="00EB4213">
        <w:rPr>
          <w:rFonts w:cs="Times New Roman"/>
          <w:sz w:val="23"/>
          <w:szCs w:val="23"/>
        </w:rPr>
        <w:t>. Covered buildings claiming deductions for renewable energy credits under this section must provide the department with the geographic location of the renewable energy resource that created the renewable energy credits. The department, in consultation with the mayor's office of long term planning and sustainability, shall promulgate rules to implement this deduction.</w:t>
      </w:r>
    </w:p>
    <w:p w14:paraId="250DAE61" w14:textId="61F79AB8" w:rsidR="00140B7C" w:rsidRPr="00EC4EC4" w:rsidRDefault="00140B7C" w:rsidP="00140B7C">
      <w:pPr>
        <w:kinsoku w:val="0"/>
        <w:spacing w:after="240" w:line="240" w:lineRule="auto"/>
        <w:ind w:firstLine="720"/>
        <w:jc w:val="both"/>
        <w:rPr>
          <w:rFonts w:eastAsia="Times New Roman" w:cs="Times New Roman"/>
          <w:b/>
          <w:bCs/>
          <w:szCs w:val="24"/>
        </w:rPr>
      </w:pPr>
      <w:r w:rsidRPr="005F0B86">
        <w:rPr>
          <w:rFonts w:cs="Times New Roman"/>
          <w:sz w:val="23"/>
          <w:szCs w:val="23"/>
        </w:rPr>
        <w:t>§</w:t>
      </w:r>
      <w:r>
        <w:rPr>
          <w:rFonts w:cs="Times New Roman"/>
          <w:sz w:val="23"/>
          <w:szCs w:val="23"/>
        </w:rPr>
        <w:t>3</w:t>
      </w:r>
      <w:r w:rsidR="007C342D">
        <w:rPr>
          <w:rFonts w:cs="Times New Roman"/>
          <w:sz w:val="23"/>
          <w:szCs w:val="23"/>
        </w:rPr>
        <w:t>5</w:t>
      </w:r>
      <w:r w:rsidRPr="005F0B86">
        <w:rPr>
          <w:rFonts w:cs="Times New Roman"/>
          <w:sz w:val="23"/>
          <w:szCs w:val="23"/>
        </w:rPr>
        <w:t xml:space="preserve">. Section 28-320.3.6.2 the administrative code of the city of New York, as </w:t>
      </w:r>
      <w:r>
        <w:rPr>
          <w:rFonts w:cs="Times New Roman"/>
          <w:sz w:val="23"/>
          <w:szCs w:val="23"/>
        </w:rPr>
        <w:t>amended</w:t>
      </w:r>
      <w:r w:rsidRPr="005F0B86">
        <w:rPr>
          <w:rFonts w:cs="Times New Roman"/>
          <w:sz w:val="23"/>
          <w:szCs w:val="23"/>
        </w:rPr>
        <w:t xml:space="preserve"> by local law number </w:t>
      </w:r>
      <w:r>
        <w:rPr>
          <w:rFonts w:cs="Times New Roman"/>
          <w:sz w:val="23"/>
          <w:szCs w:val="23"/>
        </w:rPr>
        <w:t>126</w:t>
      </w:r>
      <w:r w:rsidRPr="005F0B86">
        <w:rPr>
          <w:rFonts w:cs="Times New Roman"/>
          <w:sz w:val="23"/>
          <w:szCs w:val="23"/>
        </w:rPr>
        <w:t xml:space="preserve"> for the year 20</w:t>
      </w:r>
      <w:r>
        <w:rPr>
          <w:rFonts w:cs="Times New Roman"/>
          <w:sz w:val="23"/>
          <w:szCs w:val="23"/>
        </w:rPr>
        <w:t>21</w:t>
      </w:r>
      <w:r w:rsidRPr="005F0B86">
        <w:rPr>
          <w:rFonts w:cs="Times New Roman"/>
          <w:sz w:val="23"/>
          <w:szCs w:val="23"/>
        </w:rPr>
        <w:t>, is amended to read as follows:</w:t>
      </w:r>
    </w:p>
    <w:p w14:paraId="18E793E9" w14:textId="77777777" w:rsidR="00140B7C" w:rsidRPr="00EC4EC4" w:rsidRDefault="00140B7C" w:rsidP="00140B7C">
      <w:pPr>
        <w:spacing w:after="240" w:line="240" w:lineRule="auto"/>
        <w:jc w:val="both"/>
        <w:rPr>
          <w:rFonts w:eastAsia="Times New Roman" w:cs="Times New Roman"/>
          <w:szCs w:val="24"/>
        </w:rPr>
      </w:pPr>
      <w:r w:rsidRPr="00EC4EC4">
        <w:rPr>
          <w:rFonts w:eastAsia="Times New Roman" w:cs="Times New Roman"/>
          <w:b/>
          <w:szCs w:val="24"/>
        </w:rPr>
        <w:t>§28-320.3.6.2 Deductions from reported annual building emissions for purchased greenhouse gas offsets.</w:t>
      </w:r>
      <w:r w:rsidRPr="00EC4EC4">
        <w:rPr>
          <w:rFonts w:eastAsia="Times New Roman" w:cs="Times New Roman"/>
          <w:szCs w:val="24"/>
        </w:rPr>
        <w:t xml:space="preserve"> For calendar years 2024 through 2029, a deduction shall be authorized for up to 10 percent of the annual building emissions limit. Such a deduction shall be authorized only where within the reporting calendar year, greenhouse gas offsets equivalent to the size of the deduction as measured in metric tons of carbon dioxide equivalent  and generated within the reporting calendar year have been (i) purchased by or on behalf of the owner in accordance with an offset standard referenced by rules of the department, (ii) publicly registered in accordance with such offset standard, and (iii) retired or designated to the department for retirement. Such greenhouse gas offsets must exhibit environmental integrity principles, including additionality, in accordance with rules promulgated by the department in consultation with the office of [</w:t>
      </w:r>
      <w:r w:rsidRPr="00EC4EC4">
        <w:rPr>
          <w:rFonts w:eastAsia="Times New Roman" w:cs="Times New Roman"/>
          <w:strike/>
          <w:szCs w:val="24"/>
        </w:rPr>
        <w:t>long term</w:t>
      </w:r>
      <w:r w:rsidRPr="00EC4EC4">
        <w:rPr>
          <w:rFonts w:eastAsia="Times New Roman" w:cs="Times New Roman"/>
          <w:szCs w:val="24"/>
        </w:rPr>
        <w:t>]</w:t>
      </w:r>
      <w:r w:rsidRPr="00EC4EC4">
        <w:rPr>
          <w:rFonts w:eastAsia="Times New Roman" w:cs="Times New Roman"/>
          <w:szCs w:val="24"/>
          <w:u w:val="single"/>
        </w:rPr>
        <w:t>long-term</w:t>
      </w:r>
      <w:r w:rsidRPr="00EC4EC4">
        <w:rPr>
          <w:rFonts w:eastAsia="Times New Roman" w:cs="Times New Roman"/>
          <w:szCs w:val="24"/>
        </w:rPr>
        <w:t xml:space="preserve"> planning and sustainability. For the purposes of this section, additionality means a requirement that an offset project is not already required by local, national or international regulations. Prior to the department promulgation of rules pursuant to this section, the department shall consult the advisory board on environmental justice as established by section 3-1006 of the administrative code.</w:t>
      </w:r>
    </w:p>
    <w:p w14:paraId="07220EDD" w14:textId="19D2E050" w:rsidR="00140B7C" w:rsidRPr="00EC4EC4" w:rsidRDefault="00140B7C" w:rsidP="00140B7C">
      <w:pPr>
        <w:kinsoku w:val="0"/>
        <w:spacing w:after="240" w:line="240" w:lineRule="auto"/>
        <w:ind w:firstLine="720"/>
        <w:jc w:val="both"/>
        <w:rPr>
          <w:rFonts w:eastAsia="Times New Roman" w:cs="Times New Roman"/>
          <w:b/>
          <w:bCs/>
          <w:szCs w:val="24"/>
        </w:rPr>
      </w:pPr>
      <w:r w:rsidRPr="00F859B0">
        <w:rPr>
          <w:rFonts w:cs="Times New Roman"/>
          <w:sz w:val="23"/>
          <w:szCs w:val="23"/>
        </w:rPr>
        <w:t>§</w:t>
      </w:r>
      <w:r>
        <w:rPr>
          <w:rFonts w:cs="Times New Roman"/>
          <w:sz w:val="23"/>
          <w:szCs w:val="23"/>
        </w:rPr>
        <w:t>3</w:t>
      </w:r>
      <w:r w:rsidR="007C342D">
        <w:rPr>
          <w:rFonts w:cs="Times New Roman"/>
          <w:sz w:val="23"/>
          <w:szCs w:val="23"/>
        </w:rPr>
        <w:t>6</w:t>
      </w:r>
      <w:r w:rsidRPr="00F859B0">
        <w:rPr>
          <w:rFonts w:cs="Times New Roman"/>
          <w:sz w:val="23"/>
          <w:szCs w:val="23"/>
        </w:rPr>
        <w:t xml:space="preserve">. Section 28-320.6.1 of the administrative code of the city of New York, as amended by local law number </w:t>
      </w:r>
      <w:r>
        <w:rPr>
          <w:rFonts w:cs="Times New Roman"/>
          <w:sz w:val="23"/>
          <w:szCs w:val="23"/>
        </w:rPr>
        <w:t>126</w:t>
      </w:r>
      <w:r w:rsidRPr="00F859B0">
        <w:rPr>
          <w:rFonts w:cs="Times New Roman"/>
          <w:sz w:val="23"/>
          <w:szCs w:val="23"/>
        </w:rPr>
        <w:t xml:space="preserve"> for the year </w:t>
      </w:r>
      <w:r>
        <w:rPr>
          <w:rFonts w:cs="Times New Roman"/>
          <w:sz w:val="23"/>
          <w:szCs w:val="23"/>
        </w:rPr>
        <w:t>2021</w:t>
      </w:r>
      <w:r w:rsidRPr="00F859B0">
        <w:rPr>
          <w:rFonts w:cs="Times New Roman"/>
          <w:sz w:val="23"/>
          <w:szCs w:val="23"/>
        </w:rPr>
        <w:t>, is amended to read as follows:</w:t>
      </w:r>
    </w:p>
    <w:p w14:paraId="40A0F71F" w14:textId="77777777" w:rsidR="00140B7C" w:rsidRPr="00EC4EC4" w:rsidRDefault="00140B7C" w:rsidP="00140B7C">
      <w:pPr>
        <w:pStyle w:val="FlushLeftDouble"/>
        <w:ind w:left="0"/>
        <w:rPr>
          <w:szCs w:val="24"/>
        </w:rPr>
      </w:pPr>
      <w:r w:rsidRPr="00EC4EC4">
        <w:rPr>
          <w:b/>
          <w:szCs w:val="24"/>
        </w:rPr>
        <w:lastRenderedPageBreak/>
        <w:t>§28-320.6.1 Determination of penalty.</w:t>
      </w:r>
      <w:r w:rsidRPr="00EC4EC4">
        <w:rPr>
          <w:szCs w:val="24"/>
        </w:rPr>
        <w:t xml:space="preserve"> In considering the amount of the civil penalty to be imposed pursuant to this article, a court or administrative tribunal shall give due regard to aggravating or mitigating factors including:</w:t>
      </w:r>
    </w:p>
    <w:p w14:paraId="7A353AFF" w14:textId="77777777" w:rsidR="00140B7C" w:rsidRPr="00EC4EC4" w:rsidRDefault="00140B7C" w:rsidP="00140B7C">
      <w:pPr>
        <w:spacing w:before="120" w:after="12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The respondent’s good faith efforts to comply with the requirements of this article, including investments in energy efficiency and greenhouse gas emissions reductions before the effective date of this article;</w:t>
      </w:r>
    </w:p>
    <w:p w14:paraId="67254790" w14:textId="77777777" w:rsidR="00140B7C" w:rsidRPr="00EC4EC4" w:rsidRDefault="00140B7C" w:rsidP="00140B7C">
      <w:pPr>
        <w:spacing w:before="120" w:after="12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The respondent’s history of compliance with this article;</w:t>
      </w:r>
    </w:p>
    <w:p w14:paraId="1C375421" w14:textId="77777777" w:rsidR="00140B7C" w:rsidRPr="00EC4EC4" w:rsidRDefault="00140B7C" w:rsidP="00140B7C">
      <w:pPr>
        <w:spacing w:before="120" w:after="12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The respondent’s compliance with the conditions of any adjustment to the applicable building emissions limit, issued by the department pursuant to section 28-320.7;</w:t>
      </w:r>
    </w:p>
    <w:p w14:paraId="11A33049" w14:textId="77777777" w:rsidR="00140B7C" w:rsidRPr="00EC4EC4" w:rsidRDefault="00140B7C" w:rsidP="00140B7C">
      <w:pPr>
        <w:spacing w:before="120" w:after="12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Whether the [</w:t>
      </w:r>
      <w:r w:rsidRPr="00EC4EC4">
        <w:rPr>
          <w:rFonts w:eastAsia="Times New Roman" w:cs="Times New Roman"/>
          <w:strike/>
          <w:szCs w:val="24"/>
        </w:rPr>
        <w:t>non-compliance</w:t>
      </w:r>
      <w:r w:rsidRPr="00EC4EC4">
        <w:rPr>
          <w:rFonts w:eastAsia="Times New Roman" w:cs="Times New Roman"/>
          <w:szCs w:val="24"/>
        </w:rPr>
        <w:t>]</w:t>
      </w:r>
      <w:r w:rsidRPr="00EC4EC4">
        <w:rPr>
          <w:rFonts w:eastAsia="Times New Roman" w:cs="Times New Roman"/>
          <w:szCs w:val="24"/>
          <w:u w:val="single"/>
        </w:rPr>
        <w:t>noncompliance</w:t>
      </w:r>
      <w:r w:rsidRPr="00EC4EC4">
        <w:rPr>
          <w:rFonts w:eastAsia="Times New Roman" w:cs="Times New Roman"/>
          <w:szCs w:val="24"/>
        </w:rPr>
        <w:t xml:space="preserve"> was directly related to unexpected and unforeseeable events or conditions during the calendar year outside the control of the respondent;</w:t>
      </w:r>
    </w:p>
    <w:p w14:paraId="3C802022" w14:textId="77777777" w:rsidR="00140B7C" w:rsidRPr="00EC4EC4" w:rsidRDefault="00140B7C" w:rsidP="00140B7C">
      <w:pPr>
        <w:spacing w:before="120" w:after="120" w:line="240" w:lineRule="auto"/>
        <w:ind w:left="108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The respondent’s access to financial resources, where the court or administrative tribunal may consider the financial hardship of a building owned by such respondent as evidence of such respondent’s access to such financial resources; and</w:t>
      </w:r>
    </w:p>
    <w:p w14:paraId="1A5D9A5C" w14:textId="123DCB89" w:rsidR="00140B7C" w:rsidRDefault="00140B7C" w:rsidP="00140B7C">
      <w:pPr>
        <w:spacing w:after="0" w:line="240" w:lineRule="auto"/>
        <w:ind w:left="1080"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Whether payment of such penalty would impact the operations of facilities critical to human life or safety.</w:t>
      </w:r>
    </w:p>
    <w:p w14:paraId="67B5F55F" w14:textId="61BB36A0" w:rsidR="006833AA" w:rsidRDefault="006833AA" w:rsidP="006833AA">
      <w:pPr>
        <w:spacing w:after="0" w:line="240" w:lineRule="auto"/>
        <w:jc w:val="both"/>
        <w:rPr>
          <w:rFonts w:eastAsia="Times New Roman" w:cs="Times New Roman"/>
          <w:szCs w:val="24"/>
        </w:rPr>
      </w:pPr>
    </w:p>
    <w:p w14:paraId="14A0BE3B" w14:textId="77777777" w:rsidR="006833AA" w:rsidRDefault="006833AA" w:rsidP="006833AA">
      <w:pPr>
        <w:spacing w:after="0" w:line="240" w:lineRule="auto"/>
        <w:ind w:firstLine="720"/>
        <w:jc w:val="both"/>
        <w:rPr>
          <w:rFonts w:eastAsia="Times New Roman" w:cs="Times New Roman"/>
          <w:szCs w:val="24"/>
        </w:rPr>
      </w:pPr>
      <w:r w:rsidRPr="009F60DE">
        <w:rPr>
          <w:rFonts w:eastAsia="Times New Roman" w:cs="Times New Roman"/>
          <w:szCs w:val="24"/>
        </w:rPr>
        <w:t>§</w:t>
      </w:r>
      <w:r>
        <w:rPr>
          <w:rFonts w:eastAsia="Times New Roman" w:cs="Times New Roman"/>
          <w:szCs w:val="24"/>
        </w:rPr>
        <w:t>37</w:t>
      </w:r>
      <w:r w:rsidRPr="009F60DE">
        <w:rPr>
          <w:rFonts w:eastAsia="Times New Roman" w:cs="Times New Roman"/>
          <w:szCs w:val="24"/>
        </w:rPr>
        <w:t>. Article 320 of chapter 3 of title 28 of the administrative code of the city of New York is amended by adding a new section 28-320.6.1.1 to read as follows:</w:t>
      </w:r>
    </w:p>
    <w:p w14:paraId="75AEA0B7" w14:textId="77777777" w:rsidR="006833AA" w:rsidRPr="009F60DE" w:rsidRDefault="006833AA" w:rsidP="006833AA">
      <w:pPr>
        <w:spacing w:after="0" w:line="240" w:lineRule="auto"/>
        <w:ind w:left="1080" w:hanging="360"/>
        <w:jc w:val="both"/>
        <w:rPr>
          <w:rFonts w:eastAsia="Times New Roman" w:cs="Times New Roman"/>
          <w:szCs w:val="24"/>
        </w:rPr>
      </w:pPr>
    </w:p>
    <w:p w14:paraId="47589107" w14:textId="77777777" w:rsidR="006833AA" w:rsidRDefault="006833AA" w:rsidP="006833AA">
      <w:pPr>
        <w:spacing w:after="0" w:line="240" w:lineRule="auto"/>
        <w:jc w:val="both"/>
        <w:rPr>
          <w:rFonts w:eastAsia="Times New Roman" w:cs="Times New Roman"/>
          <w:szCs w:val="24"/>
          <w:u w:val="single"/>
        </w:rPr>
      </w:pPr>
      <w:r w:rsidRPr="009F60DE">
        <w:rPr>
          <w:rFonts w:eastAsia="Times New Roman" w:cs="Times New Roman"/>
          <w:b/>
          <w:bCs/>
          <w:szCs w:val="24"/>
          <w:u w:val="single"/>
        </w:rPr>
        <w:t>§28-320.6.1.1 Limitation on the use of renewable energy credits.</w:t>
      </w:r>
      <w:r w:rsidRPr="009F60DE">
        <w:rPr>
          <w:rFonts w:eastAsia="Times New Roman" w:cs="Times New Roman"/>
          <w:szCs w:val="24"/>
          <w:u w:val="single"/>
        </w:rPr>
        <w:t xml:space="preserve"> The department may by rule limit the amount of a deduction authorized pursuant to section 28-320.6.1. </w:t>
      </w:r>
      <w:bookmarkStart w:id="10" w:name="_Hlk121824324"/>
      <w:r w:rsidRPr="009F60DE">
        <w:rPr>
          <w:rFonts w:eastAsia="Times New Roman" w:cs="Times New Roman"/>
          <w:szCs w:val="24"/>
          <w:u w:val="single"/>
        </w:rPr>
        <w:t xml:space="preserve">In determining such limit, the department shall consider items 1 through 3 of this section. </w:t>
      </w:r>
    </w:p>
    <w:p w14:paraId="2BC09FD2" w14:textId="77777777" w:rsidR="006833AA" w:rsidRPr="009F60DE" w:rsidRDefault="006833AA" w:rsidP="006833AA">
      <w:pPr>
        <w:spacing w:after="0" w:line="240" w:lineRule="auto"/>
        <w:jc w:val="both"/>
        <w:rPr>
          <w:rFonts w:eastAsia="Times New Roman" w:cs="Times New Roman"/>
          <w:szCs w:val="24"/>
          <w:u w:val="single"/>
        </w:rPr>
      </w:pPr>
    </w:p>
    <w:p w14:paraId="17C012CF" w14:textId="77777777" w:rsidR="006833AA" w:rsidRDefault="006833AA" w:rsidP="006833AA">
      <w:pPr>
        <w:spacing w:after="0" w:line="240" w:lineRule="auto"/>
        <w:ind w:left="1080" w:hanging="360"/>
        <w:jc w:val="both"/>
        <w:rPr>
          <w:rFonts w:eastAsia="Times New Roman" w:cs="Times New Roman"/>
          <w:szCs w:val="24"/>
          <w:u w:val="single"/>
        </w:rPr>
      </w:pPr>
      <w:r w:rsidRPr="009F60DE">
        <w:rPr>
          <w:rFonts w:eastAsia="Times New Roman" w:cs="Times New Roman"/>
          <w:szCs w:val="24"/>
          <w:u w:val="single"/>
        </w:rPr>
        <w:t>1. The availability or expected availability of renewable energy credits;</w:t>
      </w:r>
    </w:p>
    <w:p w14:paraId="3E9E48AB" w14:textId="77777777" w:rsidR="006833AA" w:rsidRPr="009F60DE" w:rsidRDefault="006833AA" w:rsidP="006833AA">
      <w:pPr>
        <w:spacing w:after="0" w:line="240" w:lineRule="auto"/>
        <w:ind w:left="1080" w:hanging="360"/>
        <w:jc w:val="both"/>
        <w:rPr>
          <w:rFonts w:eastAsia="Times New Roman" w:cs="Times New Roman"/>
          <w:szCs w:val="24"/>
          <w:u w:val="single"/>
        </w:rPr>
      </w:pPr>
      <w:r w:rsidRPr="009F60DE">
        <w:rPr>
          <w:rFonts w:eastAsia="Times New Roman" w:cs="Times New Roman"/>
          <w:szCs w:val="24"/>
          <w:u w:val="single"/>
        </w:rPr>
        <w:t xml:space="preserve"> </w:t>
      </w:r>
    </w:p>
    <w:p w14:paraId="5956AE2C" w14:textId="77777777" w:rsidR="006833AA" w:rsidRDefault="006833AA" w:rsidP="006833AA">
      <w:pPr>
        <w:spacing w:after="0" w:line="240" w:lineRule="auto"/>
        <w:ind w:left="1080" w:hanging="360"/>
        <w:jc w:val="both"/>
        <w:rPr>
          <w:rFonts w:eastAsia="Times New Roman" w:cs="Times New Roman"/>
          <w:szCs w:val="24"/>
          <w:u w:val="single"/>
        </w:rPr>
      </w:pPr>
      <w:r w:rsidRPr="009F60DE">
        <w:rPr>
          <w:rFonts w:eastAsia="Times New Roman" w:cs="Times New Roman"/>
          <w:szCs w:val="24"/>
          <w:u w:val="single"/>
        </w:rPr>
        <w:t xml:space="preserve">2. Environmental justice impacts; and </w:t>
      </w:r>
    </w:p>
    <w:p w14:paraId="6D64B6F5" w14:textId="77777777" w:rsidR="006833AA" w:rsidRPr="009F60DE" w:rsidRDefault="006833AA" w:rsidP="006833AA">
      <w:pPr>
        <w:spacing w:after="0" w:line="240" w:lineRule="auto"/>
        <w:ind w:left="1080" w:hanging="360"/>
        <w:jc w:val="both"/>
        <w:rPr>
          <w:rFonts w:eastAsia="Times New Roman" w:cs="Times New Roman"/>
          <w:szCs w:val="24"/>
          <w:u w:val="single"/>
        </w:rPr>
      </w:pPr>
    </w:p>
    <w:p w14:paraId="4BCBC133" w14:textId="77777777" w:rsidR="006833AA" w:rsidRDefault="006833AA" w:rsidP="006833AA">
      <w:pPr>
        <w:spacing w:after="0" w:line="240" w:lineRule="auto"/>
        <w:ind w:left="1080" w:hanging="360"/>
        <w:jc w:val="both"/>
        <w:rPr>
          <w:rFonts w:eastAsia="Times New Roman" w:cs="Times New Roman"/>
          <w:szCs w:val="24"/>
          <w:u w:val="single"/>
        </w:rPr>
      </w:pPr>
      <w:r w:rsidRPr="009F60DE">
        <w:rPr>
          <w:rFonts w:eastAsia="Times New Roman" w:cs="Times New Roman"/>
          <w:szCs w:val="24"/>
          <w:u w:val="single"/>
        </w:rPr>
        <w:t>3. Any other relevant factor determined to be related to the use of or restrictions on the use of such credits.</w:t>
      </w:r>
    </w:p>
    <w:p w14:paraId="62BFA674" w14:textId="77777777" w:rsidR="006833AA" w:rsidRPr="009F60DE" w:rsidRDefault="006833AA" w:rsidP="006833AA">
      <w:pPr>
        <w:spacing w:after="0" w:line="240" w:lineRule="auto"/>
        <w:ind w:left="1080" w:hanging="360"/>
        <w:jc w:val="both"/>
        <w:rPr>
          <w:rFonts w:eastAsia="Times New Roman" w:cs="Times New Roman"/>
          <w:szCs w:val="24"/>
          <w:u w:val="single"/>
        </w:rPr>
      </w:pPr>
      <w:r w:rsidRPr="009F60DE">
        <w:rPr>
          <w:rFonts w:eastAsia="Times New Roman" w:cs="Times New Roman"/>
          <w:szCs w:val="24"/>
          <w:u w:val="single"/>
        </w:rPr>
        <w:t xml:space="preserve"> </w:t>
      </w:r>
      <w:bookmarkEnd w:id="10"/>
      <w:r w:rsidRPr="009F60DE">
        <w:rPr>
          <w:rFonts w:eastAsia="Times New Roman" w:cs="Times New Roman"/>
          <w:szCs w:val="24"/>
          <w:u w:val="single"/>
        </w:rPr>
        <w:t xml:space="preserve">   </w:t>
      </w:r>
    </w:p>
    <w:p w14:paraId="6D61A3AD" w14:textId="77777777" w:rsidR="006833AA" w:rsidRDefault="006833AA" w:rsidP="006833AA">
      <w:pPr>
        <w:spacing w:after="0" w:line="240" w:lineRule="auto"/>
        <w:ind w:firstLine="720"/>
        <w:jc w:val="both"/>
        <w:rPr>
          <w:rFonts w:eastAsia="Times New Roman" w:cs="Times New Roman"/>
          <w:szCs w:val="24"/>
        </w:rPr>
      </w:pPr>
      <w:r w:rsidRPr="009F60DE">
        <w:rPr>
          <w:rFonts w:eastAsia="Times New Roman" w:cs="Times New Roman"/>
          <w:szCs w:val="24"/>
        </w:rPr>
        <w:t>§</w:t>
      </w:r>
      <w:r>
        <w:rPr>
          <w:rFonts w:eastAsia="Times New Roman" w:cs="Times New Roman"/>
          <w:szCs w:val="24"/>
        </w:rPr>
        <w:t>38</w:t>
      </w:r>
      <w:r w:rsidRPr="009F60DE">
        <w:rPr>
          <w:rFonts w:eastAsia="Times New Roman" w:cs="Times New Roman"/>
          <w:szCs w:val="24"/>
        </w:rPr>
        <w:t>. Section 28-320.8.2 of the administrative code of the city of New York, as amended by local law number 126 for the year 2021, is amended to read as follows:</w:t>
      </w:r>
    </w:p>
    <w:p w14:paraId="55D1277F" w14:textId="77777777" w:rsidR="006833AA" w:rsidRPr="009F60DE" w:rsidRDefault="006833AA" w:rsidP="006833AA">
      <w:pPr>
        <w:spacing w:after="0" w:line="240" w:lineRule="auto"/>
        <w:ind w:left="1080" w:hanging="360"/>
        <w:jc w:val="both"/>
        <w:rPr>
          <w:rFonts w:eastAsia="Times New Roman" w:cs="Times New Roman"/>
          <w:szCs w:val="24"/>
        </w:rPr>
      </w:pPr>
    </w:p>
    <w:p w14:paraId="53E51285" w14:textId="77777777" w:rsidR="006833AA" w:rsidRDefault="006833AA" w:rsidP="006833AA">
      <w:pPr>
        <w:tabs>
          <w:tab w:val="left" w:pos="1170"/>
        </w:tabs>
        <w:spacing w:after="0" w:line="240" w:lineRule="auto"/>
        <w:jc w:val="both"/>
        <w:rPr>
          <w:rFonts w:eastAsia="Times New Roman" w:cs="Times New Roman"/>
          <w:szCs w:val="24"/>
        </w:rPr>
      </w:pPr>
      <w:r w:rsidRPr="009F60DE">
        <w:rPr>
          <w:rFonts w:eastAsia="Times New Roman" w:cs="Times New Roman"/>
          <w:b/>
          <w:bCs/>
          <w:szCs w:val="24"/>
        </w:rPr>
        <w:t>§28-320.8.2 Application.</w:t>
      </w:r>
      <w:r w:rsidRPr="009F60DE">
        <w:rPr>
          <w:rFonts w:eastAsia="Times New Roman" w:cs="Times New Roman"/>
          <w:szCs w:val="24"/>
        </w:rPr>
        <w:t xml:space="preserve"> An application for an adjustment shall be submitted to the department before [July 1, 2021] </w:t>
      </w:r>
      <w:r w:rsidRPr="009F60DE">
        <w:rPr>
          <w:rFonts w:eastAsia="Times New Roman" w:cs="Times New Roman"/>
          <w:szCs w:val="24"/>
          <w:u w:val="single"/>
        </w:rPr>
        <w:softHyphen/>
        <w:t>January 1, 2025</w:t>
      </w:r>
      <w:r w:rsidRPr="009F60DE">
        <w:rPr>
          <w:rFonts w:eastAsia="Times New Roman" w:cs="Times New Roman"/>
          <w:szCs w:val="24"/>
        </w:rPr>
        <w:t xml:space="preserve"> in the form and manner determined by the department and certified by a registered design professional.</w:t>
      </w:r>
    </w:p>
    <w:p w14:paraId="16045AED" w14:textId="77777777" w:rsidR="006833AA" w:rsidRPr="009F60DE" w:rsidRDefault="006833AA" w:rsidP="006833AA">
      <w:pPr>
        <w:spacing w:after="0" w:line="240" w:lineRule="auto"/>
        <w:ind w:left="1080" w:hanging="360"/>
        <w:jc w:val="both"/>
        <w:rPr>
          <w:rFonts w:eastAsia="Times New Roman" w:cs="Times New Roman"/>
          <w:szCs w:val="24"/>
        </w:rPr>
      </w:pPr>
    </w:p>
    <w:p w14:paraId="4020EB13" w14:textId="77777777" w:rsidR="006833AA" w:rsidRDefault="006833AA" w:rsidP="006833AA">
      <w:pPr>
        <w:spacing w:after="0" w:line="240" w:lineRule="auto"/>
        <w:ind w:firstLine="720"/>
        <w:jc w:val="both"/>
        <w:rPr>
          <w:rFonts w:eastAsia="Times New Roman" w:cs="Times New Roman"/>
          <w:szCs w:val="24"/>
        </w:rPr>
      </w:pPr>
      <w:r w:rsidRPr="009F60DE">
        <w:rPr>
          <w:rFonts w:eastAsia="Times New Roman" w:cs="Times New Roman"/>
          <w:szCs w:val="24"/>
        </w:rPr>
        <w:t>§</w:t>
      </w:r>
      <w:r>
        <w:rPr>
          <w:rFonts w:eastAsia="Times New Roman" w:cs="Times New Roman"/>
          <w:szCs w:val="24"/>
        </w:rPr>
        <w:t>39</w:t>
      </w:r>
      <w:r w:rsidRPr="009F60DE">
        <w:rPr>
          <w:rFonts w:eastAsia="Times New Roman" w:cs="Times New Roman"/>
          <w:szCs w:val="24"/>
        </w:rPr>
        <w:t>. Item 2 of section 28-320.9 of the administrative code of the city of New York, as amended by local law number 126 for the year 2021, is amended to read as follows:</w:t>
      </w:r>
    </w:p>
    <w:p w14:paraId="49E6FB7D" w14:textId="77777777" w:rsidR="006833AA" w:rsidRPr="009F60DE" w:rsidRDefault="006833AA" w:rsidP="006833AA">
      <w:pPr>
        <w:spacing w:after="0" w:line="240" w:lineRule="auto"/>
        <w:ind w:left="1080" w:hanging="360"/>
        <w:jc w:val="both"/>
        <w:rPr>
          <w:rFonts w:eastAsia="Times New Roman" w:cs="Times New Roman"/>
          <w:szCs w:val="24"/>
        </w:rPr>
      </w:pPr>
    </w:p>
    <w:p w14:paraId="662B7DE0" w14:textId="6088DE2C" w:rsidR="006833AA" w:rsidRPr="00EC4EC4" w:rsidRDefault="006833AA" w:rsidP="006833AA">
      <w:pPr>
        <w:spacing w:after="0" w:line="240" w:lineRule="auto"/>
        <w:ind w:left="1080" w:hanging="360"/>
        <w:jc w:val="both"/>
        <w:rPr>
          <w:rFonts w:eastAsia="Times New Roman" w:cs="Times New Roman"/>
          <w:szCs w:val="24"/>
        </w:rPr>
      </w:pPr>
      <w:r w:rsidRPr="009F60DE">
        <w:rPr>
          <w:rFonts w:eastAsia="Times New Roman" w:cs="Times New Roman"/>
          <w:szCs w:val="24"/>
        </w:rPr>
        <w:lastRenderedPageBreak/>
        <w:t xml:space="preserve">2. By no later than [July 21, 2021] </w:t>
      </w:r>
      <w:r w:rsidRPr="009F60DE">
        <w:rPr>
          <w:rFonts w:eastAsia="Times New Roman" w:cs="Times New Roman"/>
          <w:szCs w:val="24"/>
          <w:u w:val="single"/>
        </w:rPr>
        <w:t>January 1, 2025</w:t>
      </w:r>
      <w:r w:rsidRPr="009F60DE">
        <w:rPr>
          <w:rFonts w:eastAsia="Times New Roman" w:cs="Times New Roman"/>
          <w:szCs w:val="24"/>
        </w:rPr>
        <w:t>, the owner of the covered building submits an application to the department for such adjustment in a form and manner prescribed by the department.</w:t>
      </w:r>
    </w:p>
    <w:p w14:paraId="13F78561" w14:textId="77777777" w:rsidR="00140B7C" w:rsidRPr="00EC4EC4" w:rsidRDefault="00140B7C" w:rsidP="00140B7C">
      <w:pPr>
        <w:kinsoku w:val="0"/>
        <w:spacing w:after="0" w:line="240" w:lineRule="auto"/>
        <w:ind w:firstLine="720"/>
        <w:jc w:val="both"/>
        <w:rPr>
          <w:rFonts w:cs="Times New Roman"/>
          <w:sz w:val="23"/>
          <w:szCs w:val="23"/>
        </w:rPr>
      </w:pPr>
    </w:p>
    <w:p w14:paraId="19C4986E" w14:textId="02EC6CC8" w:rsidR="00140B7C" w:rsidRPr="00EC4EC4" w:rsidRDefault="00140B7C" w:rsidP="00140B7C">
      <w:pPr>
        <w:kinsoku w:val="0"/>
        <w:spacing w:after="0" w:line="240" w:lineRule="auto"/>
        <w:ind w:firstLine="720"/>
        <w:jc w:val="both"/>
        <w:rPr>
          <w:rFonts w:eastAsia="Times New Roman" w:cs="Times New Roman"/>
          <w:b/>
          <w:bCs/>
          <w:szCs w:val="24"/>
        </w:rPr>
      </w:pPr>
      <w:r w:rsidRPr="00414EC1">
        <w:rPr>
          <w:rFonts w:cs="Times New Roman"/>
          <w:sz w:val="23"/>
          <w:szCs w:val="23"/>
        </w:rPr>
        <w:t>§</w:t>
      </w:r>
      <w:r w:rsidR="00227F3C">
        <w:rPr>
          <w:rFonts w:cs="Times New Roman"/>
          <w:sz w:val="23"/>
          <w:szCs w:val="23"/>
        </w:rPr>
        <w:t>40</w:t>
      </w:r>
      <w:r w:rsidRPr="00414EC1">
        <w:rPr>
          <w:rFonts w:cs="Times New Roman"/>
          <w:sz w:val="23"/>
          <w:szCs w:val="23"/>
        </w:rPr>
        <w:t xml:space="preserve">. Section 28-320.11 of the administrative code of the city of New York, as </w:t>
      </w:r>
      <w:r>
        <w:rPr>
          <w:rFonts w:cs="Times New Roman"/>
          <w:sz w:val="23"/>
          <w:szCs w:val="23"/>
        </w:rPr>
        <w:t>amended</w:t>
      </w:r>
      <w:r w:rsidRPr="00414EC1">
        <w:rPr>
          <w:rFonts w:cs="Times New Roman"/>
          <w:sz w:val="23"/>
          <w:szCs w:val="23"/>
        </w:rPr>
        <w:t xml:space="preserve"> by local law number </w:t>
      </w:r>
      <w:r>
        <w:rPr>
          <w:rFonts w:cs="Times New Roman"/>
          <w:sz w:val="23"/>
          <w:szCs w:val="23"/>
        </w:rPr>
        <w:t>126</w:t>
      </w:r>
      <w:r w:rsidRPr="00414EC1">
        <w:rPr>
          <w:rFonts w:cs="Times New Roman"/>
          <w:sz w:val="23"/>
          <w:szCs w:val="23"/>
        </w:rPr>
        <w:t xml:space="preserve"> for the year </w:t>
      </w:r>
      <w:r>
        <w:rPr>
          <w:rFonts w:cs="Times New Roman"/>
          <w:sz w:val="23"/>
          <w:szCs w:val="23"/>
        </w:rPr>
        <w:t>2021</w:t>
      </w:r>
      <w:r w:rsidRPr="00414EC1">
        <w:rPr>
          <w:rFonts w:cs="Times New Roman"/>
          <w:sz w:val="23"/>
          <w:szCs w:val="23"/>
        </w:rPr>
        <w:t>, is amended to read as follows:</w:t>
      </w:r>
    </w:p>
    <w:p w14:paraId="261884A9" w14:textId="77777777" w:rsidR="00140B7C" w:rsidRPr="00EC4EC4" w:rsidRDefault="00140B7C" w:rsidP="00140B7C">
      <w:pPr>
        <w:pStyle w:val="FlushLeft"/>
        <w:spacing w:after="0"/>
        <w:rPr>
          <w:b/>
          <w:szCs w:val="24"/>
        </w:rPr>
      </w:pPr>
    </w:p>
    <w:p w14:paraId="15A612ED" w14:textId="77777777" w:rsidR="00140B7C" w:rsidRPr="00EC4EC4" w:rsidRDefault="00140B7C" w:rsidP="00140B7C">
      <w:pPr>
        <w:pStyle w:val="FlushLeft"/>
        <w:spacing w:after="0"/>
        <w:rPr>
          <w:szCs w:val="24"/>
        </w:rPr>
      </w:pPr>
      <w:r w:rsidRPr="00EC4EC4">
        <w:rPr>
          <w:b/>
          <w:szCs w:val="24"/>
        </w:rPr>
        <w:t>§28-320.11 Carbon trading study.</w:t>
      </w:r>
      <w:r w:rsidRPr="00EC4EC4">
        <w:rPr>
          <w:szCs w:val="24"/>
        </w:rPr>
        <w:t xml:space="preserve"> The office of [</w:t>
      </w:r>
      <w:r w:rsidRPr="00EC4EC4">
        <w:rPr>
          <w:strike/>
          <w:szCs w:val="24"/>
        </w:rPr>
        <w:t>long term</w:t>
      </w:r>
      <w:r w:rsidRPr="00EC4EC4">
        <w:rPr>
          <w:szCs w:val="24"/>
        </w:rPr>
        <w:t>]</w:t>
      </w:r>
      <w:r w:rsidRPr="00EC4EC4">
        <w:rPr>
          <w:szCs w:val="24"/>
          <w:u w:val="single"/>
        </w:rPr>
        <w:t>long-term</w:t>
      </w:r>
      <w:r w:rsidRPr="00EC4EC4">
        <w:rPr>
          <w:szCs w:val="24"/>
        </w:rPr>
        <w:t xml:space="preserve"> planning and sustainability shall conduct a study on the feasibility of a citywide trading scheme for greenhouse gas emissions from buildings and submit a report and implementation plan with the findings of such study to the mayor and the speaker of the council no later than January 1, 2021. Such study shall include methods to ensure equitable investment in environmental justice communities that preserve a minimum level of benefits for all covered buildings and do not result in any localized increases in pollution.  Such study shall also include an approach to a marketplace for credit trading, pricing mechanisms, credit verification, and mechanisms for regular improvement of the scheme. Such study should also consider the reports and recommendations of the advisory board.</w:t>
      </w:r>
    </w:p>
    <w:p w14:paraId="1F30C52C" w14:textId="77777777" w:rsidR="00140B7C" w:rsidRPr="00EC4EC4" w:rsidRDefault="00140B7C" w:rsidP="00140B7C">
      <w:pPr>
        <w:kinsoku w:val="0"/>
        <w:spacing w:after="0" w:line="240" w:lineRule="auto"/>
        <w:jc w:val="both"/>
        <w:rPr>
          <w:rFonts w:cs="Times New Roman"/>
          <w:sz w:val="23"/>
          <w:szCs w:val="23"/>
        </w:rPr>
      </w:pPr>
    </w:p>
    <w:p w14:paraId="2D08EFDE" w14:textId="1CB10E49"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sidR="004F4C0E">
        <w:rPr>
          <w:rFonts w:cs="Times New Roman"/>
          <w:sz w:val="23"/>
          <w:szCs w:val="23"/>
        </w:rPr>
        <w:t>41</w:t>
      </w:r>
      <w:r w:rsidRPr="00EC4EC4">
        <w:rPr>
          <w:rFonts w:cs="Times New Roman"/>
          <w:sz w:val="23"/>
          <w:szCs w:val="23"/>
        </w:rPr>
        <w:t>. Section 28-324.1 of the administrative code of the city of New York, as added by local law number 126 for the year 2021, is amended to read as follows:</w:t>
      </w:r>
    </w:p>
    <w:p w14:paraId="4AE6EB0B" w14:textId="77777777" w:rsidR="00140B7C" w:rsidRPr="00EC4EC4" w:rsidRDefault="00140B7C" w:rsidP="00140B7C">
      <w:pPr>
        <w:pStyle w:val="FlushLeft"/>
        <w:spacing w:after="0"/>
        <w:rPr>
          <w:b/>
          <w:szCs w:val="24"/>
        </w:rPr>
      </w:pPr>
    </w:p>
    <w:p w14:paraId="17D3E535" w14:textId="77777777" w:rsidR="00140B7C" w:rsidRDefault="00140B7C" w:rsidP="00140B7C">
      <w:pPr>
        <w:pStyle w:val="FlushLeft"/>
        <w:spacing w:after="0"/>
        <w:rPr>
          <w:szCs w:val="24"/>
        </w:rPr>
      </w:pPr>
      <w:r w:rsidRPr="00805CE3">
        <w:rPr>
          <w:b/>
          <w:bCs/>
          <w:sz w:val="23"/>
          <w:szCs w:val="23"/>
        </w:rPr>
        <w:t>§</w:t>
      </w:r>
      <w:r w:rsidRPr="00EC4EC4">
        <w:rPr>
          <w:b/>
          <w:szCs w:val="24"/>
        </w:rPr>
        <w:t>28-324.1 General.</w:t>
      </w:r>
      <w:r w:rsidRPr="00EC4EC4">
        <w:rPr>
          <w:szCs w:val="24"/>
        </w:rPr>
        <w:t xml:space="preserve"> This article shall apply to covered buildings and structures as described in </w:t>
      </w:r>
      <w:r w:rsidRPr="00EC4EC4">
        <w:rPr>
          <w:szCs w:val="24"/>
          <w:u w:val="single"/>
        </w:rPr>
        <w:t>section</w:t>
      </w:r>
      <w:r w:rsidRPr="00EC4EC4">
        <w:rPr>
          <w:szCs w:val="24"/>
        </w:rPr>
        <w:t xml:space="preserve"> 28-324.1.1 of this code permitted on or after the effective date of the local law that added this article that are required to comply with the dry floodproofing requirements of appendix G of the New York city building code and that require human intervention to activate or implement the dry floodproofing systems prior to a flood event.</w:t>
      </w:r>
    </w:p>
    <w:p w14:paraId="370CDE6C" w14:textId="77777777" w:rsidR="00140B7C" w:rsidRPr="00EC4EC4" w:rsidRDefault="00140B7C" w:rsidP="00140B7C">
      <w:pPr>
        <w:pStyle w:val="FlushLeft"/>
        <w:spacing w:after="0"/>
        <w:rPr>
          <w:szCs w:val="24"/>
        </w:rPr>
      </w:pPr>
    </w:p>
    <w:p w14:paraId="03BDA99C" w14:textId="0D2453D6" w:rsidR="00140B7C" w:rsidRPr="00EC4EC4" w:rsidRDefault="00140B7C" w:rsidP="00140B7C">
      <w:pPr>
        <w:kinsoku w:val="0"/>
        <w:spacing w:after="240" w:line="240" w:lineRule="auto"/>
        <w:ind w:firstLine="720"/>
        <w:jc w:val="both"/>
        <w:rPr>
          <w:rFonts w:eastAsia="Times New Roman" w:cs="Times New Roman"/>
          <w:b/>
          <w:bCs/>
          <w:szCs w:val="24"/>
        </w:rPr>
      </w:pPr>
      <w:bookmarkStart w:id="11" w:name="_Hlk121386928"/>
      <w:r w:rsidRPr="00EC4EC4">
        <w:rPr>
          <w:rFonts w:cs="Times New Roman"/>
          <w:sz w:val="23"/>
          <w:szCs w:val="23"/>
        </w:rPr>
        <w:t>§</w:t>
      </w:r>
      <w:bookmarkEnd w:id="11"/>
      <w:r w:rsidR="004F4C0E">
        <w:rPr>
          <w:rFonts w:cs="Times New Roman"/>
          <w:sz w:val="23"/>
          <w:szCs w:val="23"/>
        </w:rPr>
        <w:t>42</w:t>
      </w:r>
      <w:r w:rsidRPr="00EC4EC4">
        <w:rPr>
          <w:rFonts w:cs="Times New Roman"/>
          <w:sz w:val="23"/>
          <w:szCs w:val="23"/>
        </w:rPr>
        <w:t>. Section 28-401.19.3.1 of the administrative code of the city of New York, as amended by local law number 126 for the year 2021, is amended to read as follows:</w:t>
      </w:r>
    </w:p>
    <w:p w14:paraId="1E206704" w14:textId="77777777" w:rsidR="00140B7C" w:rsidRPr="00EC4EC4" w:rsidRDefault="00140B7C" w:rsidP="00140B7C">
      <w:pPr>
        <w:kinsoku w:val="0"/>
        <w:spacing w:after="240" w:line="240" w:lineRule="auto"/>
        <w:jc w:val="both"/>
        <w:rPr>
          <w:rFonts w:eastAsia="Times New Roman" w:cs="Times New Roman"/>
          <w:spacing w:val="1"/>
          <w:szCs w:val="24"/>
        </w:rPr>
      </w:pPr>
      <w:r w:rsidRPr="00EC4EC4">
        <w:rPr>
          <w:rFonts w:eastAsia="Times New Roman" w:cs="Times New Roman"/>
          <w:b/>
          <w:szCs w:val="24"/>
        </w:rPr>
        <w:t>§28-401.19.3.1 Rigger license.</w:t>
      </w:r>
      <w:r w:rsidRPr="00EC4EC4">
        <w:rPr>
          <w:rFonts w:eastAsia="Times New Roman" w:cs="Times New Roman"/>
          <w:b/>
          <w:bCs/>
          <w:spacing w:val="-11"/>
          <w:w w:val="110"/>
          <w:szCs w:val="24"/>
        </w:rPr>
        <w:t xml:space="preserve"> </w:t>
      </w:r>
      <w:r w:rsidRPr="00EC4EC4">
        <w:rPr>
          <w:rFonts w:eastAsia="Times New Roman" w:cs="Times New Roman"/>
          <w:spacing w:val="1"/>
          <w:szCs w:val="24"/>
        </w:rPr>
        <w:t>Any licensed rigger who has been found guilty after proceedings before the environmental control board or other adjudicative proceedings of violating section 28-404.1 or 28-401.9 of the administrative code or sections 3314.1.1 and 3314.4.3.1 of the New York city building code, or of failing to [</w:t>
      </w:r>
      <w:r w:rsidRPr="00EC4EC4">
        <w:rPr>
          <w:rFonts w:eastAsia="Times New Roman" w:cs="Times New Roman"/>
          <w:strike/>
          <w:spacing w:val="1"/>
          <w:szCs w:val="24"/>
        </w:rPr>
        <w:t>insure</w:t>
      </w:r>
      <w:r w:rsidRPr="00EC4EC4">
        <w:rPr>
          <w:rFonts w:eastAsia="Times New Roman" w:cs="Times New Roman"/>
          <w:spacing w:val="1"/>
          <w:szCs w:val="24"/>
        </w:rPr>
        <w:t>]</w:t>
      </w:r>
      <w:r w:rsidRPr="00EC4EC4">
        <w:rPr>
          <w:rFonts w:eastAsia="Times New Roman" w:cs="Times New Roman"/>
          <w:spacing w:val="1"/>
          <w:szCs w:val="24"/>
          <w:u w:val="single"/>
        </w:rPr>
        <w:t>ensure</w:t>
      </w:r>
      <w:r w:rsidRPr="00EC4EC4">
        <w:rPr>
          <w:rFonts w:eastAsia="Times New Roman" w:cs="Times New Roman"/>
          <w:spacing w:val="1"/>
          <w:szCs w:val="24"/>
        </w:rPr>
        <w:t xml:space="preserve"> that workers have certificates of fitness required pursuant to this code or applicable rule three times within any six-month period, shall be subject to immediate suspension of his or her license pending a hearing and determination in accordance with the provisions of this code.</w:t>
      </w:r>
    </w:p>
    <w:p w14:paraId="5C1CD7C6" w14:textId="5EC8C94E"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sidR="004F4C0E">
        <w:rPr>
          <w:rFonts w:cs="Times New Roman"/>
          <w:sz w:val="23"/>
          <w:szCs w:val="23"/>
        </w:rPr>
        <w:t>43</w:t>
      </w:r>
      <w:r w:rsidRPr="00EC4EC4">
        <w:rPr>
          <w:rFonts w:cs="Times New Roman"/>
          <w:sz w:val="23"/>
          <w:szCs w:val="23"/>
        </w:rPr>
        <w:t>. Section 28-405.1 of the administrative code of the city of New York, as amended by local law number 126 for the year 2021, is amended to read as follows:</w:t>
      </w:r>
    </w:p>
    <w:p w14:paraId="598EA02B" w14:textId="77777777" w:rsidR="00140B7C" w:rsidRPr="00EC4EC4" w:rsidRDefault="00140B7C" w:rsidP="00140B7C">
      <w:pPr>
        <w:pStyle w:val="FlushLeft"/>
        <w:rPr>
          <w:spacing w:val="1"/>
          <w:szCs w:val="24"/>
        </w:rPr>
      </w:pPr>
      <w:r w:rsidRPr="00EC4EC4">
        <w:rPr>
          <w:b/>
          <w:szCs w:val="24"/>
        </w:rPr>
        <w:t>§28-405.1 Hoisting machine operator license required.</w:t>
      </w:r>
      <w:r w:rsidRPr="00EC4EC4">
        <w:rPr>
          <w:b/>
          <w:bCs/>
          <w:spacing w:val="-8"/>
          <w:w w:val="110"/>
          <w:szCs w:val="24"/>
        </w:rPr>
        <w:t xml:space="preserve"> </w:t>
      </w:r>
      <w:r w:rsidRPr="00EC4EC4">
        <w:rPr>
          <w:spacing w:val="1"/>
          <w:szCs w:val="24"/>
        </w:rPr>
        <w:t>It shall be unlawful for any persons to take charge of or operate any power-operated hoisting machine used for hoisting purposes or cableways under the jurisdiction of the department, unless such person is licensed under the provisions of this article.</w:t>
      </w:r>
    </w:p>
    <w:p w14:paraId="4FA37846" w14:textId="77777777" w:rsidR="00140B7C" w:rsidRPr="00EC4EC4" w:rsidRDefault="00140B7C" w:rsidP="00140B7C">
      <w:pPr>
        <w:pStyle w:val="FlushLeftDouble"/>
        <w:rPr>
          <w:b/>
          <w:szCs w:val="24"/>
        </w:rPr>
      </w:pPr>
      <w:r w:rsidRPr="00EC4EC4">
        <w:rPr>
          <w:b/>
          <w:szCs w:val="24"/>
        </w:rPr>
        <w:t>Exceptions:</w:t>
      </w:r>
    </w:p>
    <w:p w14:paraId="4D49E96C" w14:textId="77777777" w:rsidR="00140B7C" w:rsidRPr="00EC4EC4" w:rsidRDefault="00140B7C" w:rsidP="00140B7C">
      <w:pPr>
        <w:kinsoku w:val="0"/>
        <w:spacing w:before="120" w:after="120" w:line="240" w:lineRule="auto"/>
        <w:ind w:left="1080" w:hanging="360"/>
        <w:jc w:val="both"/>
        <w:rPr>
          <w:rFonts w:eastAsia="Times New Roman" w:cs="Times New Roman"/>
          <w:szCs w:val="24"/>
        </w:rPr>
      </w:pPr>
      <w:r w:rsidRPr="00EC4EC4">
        <w:rPr>
          <w:rFonts w:eastAsia="Times New Roman" w:cs="Times New Roman"/>
          <w:szCs w:val="24"/>
        </w:rPr>
        <w:lastRenderedPageBreak/>
        <w:t>1.</w:t>
      </w:r>
      <w:r w:rsidRPr="00EC4EC4">
        <w:rPr>
          <w:rFonts w:eastAsia="Times New Roman" w:cs="Times New Roman"/>
          <w:szCs w:val="24"/>
        </w:rPr>
        <w:tab/>
        <w:t>Operators of machinery that is exempted from the requirements of [</w:t>
      </w:r>
      <w:r w:rsidRPr="00EC4EC4">
        <w:rPr>
          <w:rFonts w:eastAsia="Times New Roman" w:cs="Times New Roman"/>
          <w:strike/>
          <w:szCs w:val="24"/>
        </w:rPr>
        <w:t>section</w:t>
      </w:r>
      <w:r w:rsidRPr="00EC4EC4">
        <w:rPr>
          <w:rFonts w:eastAsia="Times New Roman" w:cs="Times New Roman"/>
          <w:szCs w:val="24"/>
        </w:rPr>
        <w:t>]</w:t>
      </w:r>
      <w:r w:rsidRPr="00EC4EC4">
        <w:rPr>
          <w:rFonts w:eastAsia="Times New Roman" w:cs="Times New Roman"/>
          <w:szCs w:val="24"/>
          <w:u w:val="single"/>
        </w:rPr>
        <w:t>sections</w:t>
      </w:r>
      <w:r w:rsidRPr="00EC4EC4">
        <w:rPr>
          <w:rFonts w:eastAsia="Times New Roman" w:cs="Times New Roman"/>
          <w:szCs w:val="24"/>
        </w:rPr>
        <w:t xml:space="preserve"> </w:t>
      </w:r>
      <w:r w:rsidRPr="00EC4EC4">
        <w:rPr>
          <w:rFonts w:eastAsia="Times New Roman" w:cs="Times New Roman"/>
          <w:szCs w:val="24"/>
          <w:u w:val="single"/>
        </w:rPr>
        <w:t>3316.1 or</w:t>
      </w:r>
      <w:r w:rsidRPr="00EC4EC4">
        <w:rPr>
          <w:rFonts w:eastAsia="Times New Roman" w:cs="Times New Roman"/>
          <w:szCs w:val="24"/>
        </w:rPr>
        <w:t xml:space="preserve"> 3319.1 of the New York city building code.</w:t>
      </w:r>
    </w:p>
    <w:p w14:paraId="278CC5D4"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Operators of mobile cranes of a limited size and capacity, or operators of mobile cranes performing a limited use, and exempted from the requirements of this article in accordance with rules promulgated by the commissioner.</w:t>
      </w:r>
    </w:p>
    <w:p w14:paraId="5E8E1794"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 xml:space="preserve"> Operators of hoisting machines with a manufacturer’s rated capacity of one ton or less.</w:t>
      </w:r>
    </w:p>
    <w:p w14:paraId="0C2B6023" w14:textId="77777777" w:rsidR="00140B7C" w:rsidRPr="00EC4EC4" w:rsidRDefault="00140B7C" w:rsidP="00140B7C">
      <w:pPr>
        <w:kinsoku w:val="0"/>
        <w:spacing w:before="120" w:after="120" w:line="240" w:lineRule="auto"/>
        <w:ind w:left="108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 xml:space="preserve"> Operators of power-operated scaffolds and window-washing machines.</w:t>
      </w:r>
    </w:p>
    <w:p w14:paraId="7713CA3F" w14:textId="77777777" w:rsidR="00140B7C" w:rsidRPr="00EC4EC4" w:rsidRDefault="00140B7C" w:rsidP="00140B7C">
      <w:pPr>
        <w:kinsoku w:val="0"/>
        <w:spacing w:after="0" w:line="240" w:lineRule="auto"/>
        <w:ind w:left="1080" w:hanging="360"/>
        <w:rPr>
          <w:rFonts w:eastAsia="Times New Roman" w:cs="Times New Roman"/>
          <w:szCs w:val="24"/>
        </w:rPr>
      </w:pPr>
      <w:r w:rsidRPr="00EC4EC4">
        <w:rPr>
          <w:rFonts w:eastAsia="Times New Roman" w:cs="Times New Roman"/>
          <w:spacing w:val="1"/>
          <w:szCs w:val="24"/>
        </w:rPr>
        <w:t>5.</w:t>
      </w:r>
      <w:r w:rsidRPr="00EC4EC4">
        <w:rPr>
          <w:rFonts w:eastAsia="Times New Roman" w:cs="Times New Roman"/>
          <w:spacing w:val="1"/>
          <w:szCs w:val="24"/>
        </w:rPr>
        <w:tab/>
        <w:t>Learners supervised in accordance with the rules of the department by a licensed hoisting machine operator.</w:t>
      </w:r>
      <w:r w:rsidRPr="00EC4EC4">
        <w:rPr>
          <w:rFonts w:eastAsia="Times New Roman" w:cs="Times New Roman"/>
          <w:szCs w:val="24"/>
        </w:rPr>
        <w:t xml:space="preserve"> </w:t>
      </w:r>
    </w:p>
    <w:p w14:paraId="4D42C12E" w14:textId="77777777" w:rsidR="00140B7C" w:rsidRPr="00EC4EC4" w:rsidRDefault="00140B7C" w:rsidP="00140B7C">
      <w:pPr>
        <w:kinsoku w:val="0"/>
        <w:spacing w:after="0" w:line="240" w:lineRule="auto"/>
        <w:jc w:val="both"/>
        <w:rPr>
          <w:rFonts w:cs="Times New Roman"/>
          <w:sz w:val="23"/>
          <w:szCs w:val="23"/>
        </w:rPr>
      </w:pPr>
    </w:p>
    <w:p w14:paraId="14F9E9F0" w14:textId="5275F190"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4</w:t>
      </w:r>
      <w:r w:rsidR="00A83722">
        <w:rPr>
          <w:rFonts w:cs="Times New Roman"/>
          <w:sz w:val="23"/>
          <w:szCs w:val="23"/>
        </w:rPr>
        <w:t>4</w:t>
      </w:r>
      <w:r w:rsidRPr="00EC4EC4">
        <w:rPr>
          <w:rFonts w:cs="Times New Roman"/>
          <w:sz w:val="23"/>
          <w:szCs w:val="23"/>
        </w:rPr>
        <w:t>. Section 28-408.5 of the administrative code of the city of New York, as amended by local law number 126 for the year 2021, is amended to read as follows:</w:t>
      </w:r>
    </w:p>
    <w:p w14:paraId="52906910" w14:textId="77777777" w:rsidR="00140B7C" w:rsidRPr="00EC4EC4" w:rsidRDefault="00140B7C" w:rsidP="00140B7C">
      <w:pPr>
        <w:pStyle w:val="FlushLeft"/>
        <w:spacing w:after="0"/>
        <w:rPr>
          <w:b/>
          <w:szCs w:val="24"/>
        </w:rPr>
      </w:pPr>
    </w:p>
    <w:p w14:paraId="091B7298" w14:textId="77777777" w:rsidR="00140B7C" w:rsidRPr="00EC4EC4" w:rsidRDefault="00140B7C" w:rsidP="00140B7C">
      <w:pPr>
        <w:pStyle w:val="FlushLeft"/>
        <w:spacing w:after="0"/>
        <w:rPr>
          <w:spacing w:val="1"/>
          <w:szCs w:val="24"/>
        </w:rPr>
      </w:pPr>
      <w:r w:rsidRPr="00EC4EC4">
        <w:rPr>
          <w:b/>
          <w:szCs w:val="24"/>
        </w:rPr>
        <w:t>§28-408.5 Surrender of license [</w:t>
      </w:r>
      <w:r w:rsidRPr="00EC4EC4">
        <w:rPr>
          <w:b/>
          <w:strike/>
          <w:szCs w:val="24"/>
        </w:rPr>
        <w:t>or</w:t>
      </w:r>
      <w:r w:rsidRPr="00EC4EC4">
        <w:rPr>
          <w:b/>
          <w:szCs w:val="24"/>
        </w:rPr>
        <w:t xml:space="preserve">] </w:t>
      </w:r>
      <w:r w:rsidRPr="00EC4EC4">
        <w:rPr>
          <w:b/>
          <w:szCs w:val="24"/>
          <w:u w:val="single"/>
        </w:rPr>
        <w:t xml:space="preserve">and </w:t>
      </w:r>
      <w:r w:rsidRPr="00EC4EC4">
        <w:rPr>
          <w:b/>
          <w:szCs w:val="24"/>
        </w:rPr>
        <w:t>seal.</w:t>
      </w:r>
      <w:r w:rsidRPr="00EC4EC4">
        <w:rPr>
          <w:b/>
          <w:bCs/>
          <w:spacing w:val="-7"/>
          <w:w w:val="110"/>
          <w:szCs w:val="24"/>
        </w:rPr>
        <w:t xml:space="preserve"> </w:t>
      </w:r>
      <w:r w:rsidRPr="00EC4EC4">
        <w:rPr>
          <w:spacing w:val="1"/>
          <w:szCs w:val="24"/>
        </w:rPr>
        <w:t>Upon the death or the retirement of a licensed master plumber, or upon the surrender, revocation or suspension of his or her license, his or her license, and seal shall immediately be surrendered to the commissioner. Nothing contained herein shall be construed to prevent the legal representative of a deceased licensee, with the consent of the commissioner, from retaining such seal for the purpose of completing all unfinished work of the deceased licensee for which plans have been approved and a permit issued, provided such work is performed by or under the direct and continuing supervision of a licensed master plumber and is completed within one (1) year from the date of the death of the original licensee. Retired licensees and the legal representatives of deceased licensees shall schedule for inspection, withdraw or have another licensee re-file any open application filed under such license in accordance with department procedures.</w:t>
      </w:r>
    </w:p>
    <w:p w14:paraId="7D07D448" w14:textId="77777777" w:rsidR="00140B7C" w:rsidRPr="00EC4EC4" w:rsidRDefault="00140B7C" w:rsidP="00140B7C">
      <w:pPr>
        <w:kinsoku w:val="0"/>
        <w:spacing w:after="0" w:line="240" w:lineRule="auto"/>
        <w:jc w:val="both"/>
        <w:rPr>
          <w:rFonts w:cs="Times New Roman"/>
          <w:sz w:val="23"/>
          <w:szCs w:val="23"/>
        </w:rPr>
      </w:pPr>
    </w:p>
    <w:p w14:paraId="3067CEA9" w14:textId="10E06F1F"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4</w:t>
      </w:r>
      <w:r w:rsidR="00A83722">
        <w:rPr>
          <w:rFonts w:cs="Times New Roman"/>
          <w:sz w:val="23"/>
          <w:szCs w:val="23"/>
        </w:rPr>
        <w:t>5</w:t>
      </w:r>
      <w:r w:rsidRPr="00EC4EC4">
        <w:rPr>
          <w:rFonts w:cs="Times New Roman"/>
          <w:sz w:val="23"/>
          <w:szCs w:val="23"/>
        </w:rPr>
        <w:t>. Section 28-410.3 of the administrative code of the city of New York, as amended by local law number 126 for the year 2021, is amended to read as follows:</w:t>
      </w:r>
    </w:p>
    <w:p w14:paraId="196FF0A7" w14:textId="77777777" w:rsidR="00140B7C" w:rsidRPr="00EC4EC4" w:rsidRDefault="00140B7C" w:rsidP="00140B7C">
      <w:pPr>
        <w:pStyle w:val="FlushLeft"/>
        <w:spacing w:after="0"/>
        <w:rPr>
          <w:b/>
          <w:szCs w:val="24"/>
        </w:rPr>
      </w:pPr>
    </w:p>
    <w:p w14:paraId="7670068A" w14:textId="77777777" w:rsidR="00140B7C" w:rsidRPr="00E85200" w:rsidRDefault="00140B7C" w:rsidP="00140B7C">
      <w:pPr>
        <w:pStyle w:val="FlushLeft"/>
        <w:spacing w:after="0"/>
        <w:rPr>
          <w:spacing w:val="1"/>
          <w:szCs w:val="24"/>
        </w:rPr>
      </w:pPr>
      <w:r w:rsidRPr="00EC4EC4">
        <w:rPr>
          <w:b/>
          <w:szCs w:val="24"/>
        </w:rPr>
        <w:t>§28-410.3 Classification.</w:t>
      </w:r>
      <w:r w:rsidRPr="00EC4EC4">
        <w:rPr>
          <w:b/>
          <w:bCs/>
          <w:spacing w:val="3"/>
          <w:w w:val="110"/>
          <w:szCs w:val="24"/>
        </w:rPr>
        <w:t xml:space="preserve"> </w:t>
      </w:r>
      <w:r w:rsidRPr="00EC4EC4">
        <w:rPr>
          <w:spacing w:val="1"/>
          <w:szCs w:val="24"/>
        </w:rPr>
        <w:t>There shall be three classes of licenses for master fire suppression p</w:t>
      </w:r>
      <w:r w:rsidRPr="00E85200">
        <w:rPr>
          <w:spacing w:val="1"/>
          <w:szCs w:val="24"/>
        </w:rPr>
        <w:t>iping contractor:</w:t>
      </w:r>
    </w:p>
    <w:p w14:paraId="42B7CE19" w14:textId="77777777" w:rsidR="00140B7C" w:rsidRPr="00E85200" w:rsidRDefault="00140B7C" w:rsidP="00140B7C">
      <w:pPr>
        <w:pStyle w:val="FlushLeft"/>
        <w:spacing w:after="0" w:line="240" w:lineRule="atLeast"/>
        <w:rPr>
          <w:spacing w:val="3"/>
          <w:szCs w:val="24"/>
        </w:rPr>
      </w:pPr>
    </w:p>
    <w:p w14:paraId="206A7990" w14:textId="77777777" w:rsidR="00140B7C" w:rsidRPr="00E85200" w:rsidRDefault="00140B7C" w:rsidP="00226293">
      <w:pPr>
        <w:pStyle w:val="ListParagraph"/>
        <w:numPr>
          <w:ilvl w:val="0"/>
          <w:numId w:val="39"/>
        </w:numPr>
        <w:kinsoku w:val="0"/>
        <w:spacing w:line="240" w:lineRule="atLeast"/>
        <w:jc w:val="both"/>
        <w:rPr>
          <w:rFonts w:ascii="Times New Roman" w:hAnsi="Times New Roman" w:cs="Times New Roman"/>
          <w:spacing w:val="1"/>
          <w:szCs w:val="24"/>
        </w:rPr>
      </w:pPr>
      <w:r w:rsidRPr="00E85200">
        <w:rPr>
          <w:rFonts w:ascii="Times New Roman" w:hAnsi="Times New Roman" w:cs="Times New Roman"/>
          <w:b/>
          <w:szCs w:val="24"/>
        </w:rPr>
        <w:t>Class A.</w:t>
      </w:r>
      <w:r w:rsidRPr="00E85200">
        <w:rPr>
          <w:rFonts w:ascii="Times New Roman" w:hAnsi="Times New Roman" w:cs="Times New Roman"/>
          <w:spacing w:val="-3"/>
          <w:szCs w:val="24"/>
        </w:rPr>
        <w:t xml:space="preserve"> </w:t>
      </w:r>
      <w:r w:rsidRPr="00E85200">
        <w:rPr>
          <w:rFonts w:ascii="Times New Roman" w:hAnsi="Times New Roman" w:cs="Times New Roman"/>
          <w:spacing w:val="1"/>
          <w:szCs w:val="24"/>
        </w:rPr>
        <w:t>The holder of a class A master fire suppression piping contractor license is authorized to perform any work in connection with any and all fire suppression piping systems as set forth in paragraphs 1-3 of the definition of fire suppression piping system in section 28-401.3.</w:t>
      </w:r>
    </w:p>
    <w:p w14:paraId="2FC6530B" w14:textId="77777777" w:rsidR="00140B7C" w:rsidRPr="00E85200" w:rsidRDefault="00140B7C" w:rsidP="00140B7C">
      <w:pPr>
        <w:pStyle w:val="ListParagraph"/>
        <w:kinsoku w:val="0"/>
        <w:spacing w:line="240" w:lineRule="atLeast"/>
        <w:jc w:val="both"/>
        <w:rPr>
          <w:rFonts w:ascii="Times New Roman" w:hAnsi="Times New Roman" w:cs="Times New Roman"/>
          <w:szCs w:val="24"/>
        </w:rPr>
      </w:pPr>
    </w:p>
    <w:p w14:paraId="666C9CA5" w14:textId="77777777" w:rsidR="00140B7C" w:rsidRPr="00E85200" w:rsidRDefault="00140B7C" w:rsidP="00226293">
      <w:pPr>
        <w:pStyle w:val="ListParagraph"/>
        <w:numPr>
          <w:ilvl w:val="0"/>
          <w:numId w:val="39"/>
        </w:numPr>
        <w:kinsoku w:val="0"/>
        <w:spacing w:line="240" w:lineRule="atLeast"/>
        <w:jc w:val="both"/>
        <w:rPr>
          <w:rFonts w:cs="Times New Roman"/>
          <w:spacing w:val="1"/>
          <w:szCs w:val="24"/>
        </w:rPr>
      </w:pPr>
      <w:r w:rsidRPr="00E85200">
        <w:rPr>
          <w:rFonts w:ascii="Times New Roman" w:hAnsi="Times New Roman" w:cs="Times New Roman"/>
          <w:b/>
          <w:szCs w:val="24"/>
        </w:rPr>
        <w:t>Class B.</w:t>
      </w:r>
      <w:r w:rsidRPr="00E85200">
        <w:rPr>
          <w:rFonts w:ascii="Times New Roman" w:hAnsi="Times New Roman" w:cs="Times New Roman"/>
          <w:b/>
          <w:bCs/>
          <w:spacing w:val="-3"/>
          <w:w w:val="110"/>
          <w:szCs w:val="24"/>
        </w:rPr>
        <w:t xml:space="preserve"> </w:t>
      </w:r>
      <w:r w:rsidRPr="00E85200">
        <w:rPr>
          <w:rFonts w:ascii="Times New Roman" w:hAnsi="Times New Roman" w:cs="Times New Roman"/>
          <w:spacing w:val="1"/>
          <w:szCs w:val="24"/>
        </w:rPr>
        <w:t xml:space="preserve">The holder of a class B master fire suppression piping contractor license is authorized to perform any work in connection with any and all fire suppression piping systems as set forth in </w:t>
      </w:r>
      <w:r>
        <w:rPr>
          <w:rFonts w:ascii="Times New Roman" w:hAnsi="Times New Roman" w:cs="Times New Roman"/>
          <w:spacing w:val="1"/>
          <w:szCs w:val="24"/>
        </w:rPr>
        <w:t>[</w:t>
      </w:r>
      <w:r w:rsidRPr="00E85200">
        <w:rPr>
          <w:rFonts w:ascii="Times New Roman" w:hAnsi="Times New Roman" w:cs="Times New Roman"/>
          <w:strike/>
          <w:spacing w:val="1"/>
          <w:szCs w:val="24"/>
        </w:rPr>
        <w:t>paragraph</w:t>
      </w:r>
      <w:r>
        <w:rPr>
          <w:rFonts w:ascii="Times New Roman" w:hAnsi="Times New Roman" w:cs="Times New Roman"/>
          <w:spacing w:val="1"/>
          <w:szCs w:val="24"/>
        </w:rPr>
        <w:t>]</w:t>
      </w:r>
      <w:r w:rsidRPr="00E85200">
        <w:rPr>
          <w:rFonts w:ascii="Times New Roman" w:hAnsi="Times New Roman" w:cs="Times New Roman"/>
          <w:spacing w:val="1"/>
          <w:szCs w:val="24"/>
          <w:u w:val="single"/>
        </w:rPr>
        <w:t>paragraphs</w:t>
      </w:r>
      <w:r w:rsidRPr="00E85200">
        <w:rPr>
          <w:rFonts w:ascii="Times New Roman" w:hAnsi="Times New Roman" w:cs="Times New Roman"/>
          <w:spacing w:val="1"/>
          <w:szCs w:val="24"/>
        </w:rPr>
        <w:t xml:space="preserve"> 1</w:t>
      </w:r>
      <w:r>
        <w:rPr>
          <w:rFonts w:ascii="Times New Roman" w:hAnsi="Times New Roman" w:cs="Times New Roman"/>
          <w:spacing w:val="1"/>
          <w:szCs w:val="24"/>
        </w:rPr>
        <w:t xml:space="preserve"> </w:t>
      </w:r>
      <w:r w:rsidRPr="00E85200">
        <w:rPr>
          <w:rFonts w:ascii="Times New Roman" w:hAnsi="Times New Roman" w:cs="Times New Roman"/>
          <w:spacing w:val="1"/>
          <w:szCs w:val="24"/>
          <w:u w:val="single"/>
        </w:rPr>
        <w:t>and 2</w:t>
      </w:r>
      <w:r w:rsidRPr="00E85200">
        <w:rPr>
          <w:rFonts w:ascii="Times New Roman" w:hAnsi="Times New Roman" w:cs="Times New Roman"/>
          <w:spacing w:val="1"/>
          <w:szCs w:val="24"/>
        </w:rPr>
        <w:t xml:space="preserve"> of the definition of fire suppression piping system in section 28-401.3</w:t>
      </w:r>
      <w:r w:rsidRPr="00E85200">
        <w:rPr>
          <w:rFonts w:cs="Times New Roman"/>
          <w:spacing w:val="1"/>
          <w:szCs w:val="24"/>
        </w:rPr>
        <w:t>.</w:t>
      </w:r>
    </w:p>
    <w:p w14:paraId="6FC24300" w14:textId="77777777" w:rsidR="00140B7C" w:rsidRPr="00E85200" w:rsidRDefault="00140B7C" w:rsidP="00140B7C">
      <w:pPr>
        <w:pStyle w:val="ListParagraph"/>
        <w:kinsoku w:val="0"/>
        <w:spacing w:line="240" w:lineRule="atLeast"/>
        <w:jc w:val="both"/>
        <w:rPr>
          <w:rFonts w:cs="Times New Roman"/>
          <w:spacing w:val="3"/>
          <w:szCs w:val="24"/>
        </w:rPr>
      </w:pPr>
    </w:p>
    <w:p w14:paraId="0A9147C5" w14:textId="77777777" w:rsidR="00140B7C" w:rsidRPr="00EC4EC4" w:rsidRDefault="00140B7C" w:rsidP="00140B7C">
      <w:pPr>
        <w:kinsoku w:val="0"/>
        <w:spacing w:after="0" w:line="240" w:lineRule="atLeast"/>
        <w:ind w:left="720" w:hanging="360"/>
        <w:jc w:val="both"/>
        <w:rPr>
          <w:rFonts w:eastAsia="Times New Roman" w:cs="Times New Roman"/>
          <w:spacing w:val="3"/>
          <w:szCs w:val="24"/>
        </w:rPr>
      </w:pPr>
      <w:r w:rsidRPr="00EC4EC4">
        <w:rPr>
          <w:rFonts w:eastAsia="Times New Roman" w:cs="Times New Roman"/>
          <w:szCs w:val="24"/>
        </w:rPr>
        <w:t>3.</w:t>
      </w:r>
      <w:r w:rsidRPr="00EC4EC4">
        <w:rPr>
          <w:rFonts w:eastAsia="Times New Roman" w:cs="Times New Roman"/>
          <w:b/>
          <w:szCs w:val="24"/>
        </w:rPr>
        <w:tab/>
        <w:t>Class C.</w:t>
      </w:r>
      <w:r w:rsidRPr="00EC4EC4">
        <w:rPr>
          <w:rFonts w:eastAsia="Times New Roman" w:cs="Times New Roman"/>
          <w:b/>
          <w:bCs/>
          <w:spacing w:val="-3"/>
          <w:w w:val="110"/>
          <w:szCs w:val="24"/>
        </w:rPr>
        <w:t xml:space="preserve"> </w:t>
      </w:r>
      <w:r w:rsidRPr="00EC4EC4">
        <w:rPr>
          <w:rFonts w:eastAsia="Times New Roman" w:cs="Times New Roman"/>
          <w:spacing w:val="1"/>
          <w:szCs w:val="24"/>
        </w:rPr>
        <w:t xml:space="preserve">The holder of a class C master fire suppression piping contractor license is authorized to perform any work in connection with any and all fire suppression piping </w:t>
      </w:r>
      <w:r w:rsidRPr="00EC4EC4">
        <w:rPr>
          <w:rFonts w:eastAsia="Times New Roman" w:cs="Times New Roman"/>
          <w:spacing w:val="1"/>
          <w:szCs w:val="24"/>
        </w:rPr>
        <w:lastRenderedPageBreak/>
        <w:t>systems as set forth in paragraph [</w:t>
      </w:r>
      <w:r w:rsidRPr="00EC4EC4">
        <w:rPr>
          <w:rFonts w:eastAsia="Times New Roman" w:cs="Times New Roman"/>
          <w:strike/>
          <w:spacing w:val="1"/>
          <w:szCs w:val="24"/>
        </w:rPr>
        <w:t>(3)</w:t>
      </w:r>
      <w:r w:rsidRPr="00EC4EC4">
        <w:rPr>
          <w:rFonts w:eastAsia="Times New Roman" w:cs="Times New Roman"/>
          <w:spacing w:val="1"/>
          <w:szCs w:val="24"/>
        </w:rPr>
        <w:t>]</w:t>
      </w:r>
      <w:r w:rsidRPr="00EC4EC4">
        <w:rPr>
          <w:rFonts w:eastAsia="Times New Roman" w:cs="Times New Roman"/>
          <w:spacing w:val="1"/>
          <w:szCs w:val="24"/>
          <w:u w:val="single"/>
        </w:rPr>
        <w:t>3</w:t>
      </w:r>
      <w:r w:rsidRPr="00EC4EC4">
        <w:rPr>
          <w:rFonts w:eastAsia="Times New Roman" w:cs="Times New Roman"/>
          <w:spacing w:val="1"/>
          <w:szCs w:val="24"/>
        </w:rPr>
        <w:t xml:space="preserve"> of the definition of fire suppression piping system in section 28-401.3.</w:t>
      </w:r>
    </w:p>
    <w:p w14:paraId="027B1248" w14:textId="77777777" w:rsidR="00140B7C" w:rsidRDefault="00140B7C" w:rsidP="00140B7C">
      <w:pPr>
        <w:kinsoku w:val="0"/>
        <w:spacing w:after="0" w:line="240" w:lineRule="auto"/>
        <w:ind w:firstLine="720"/>
        <w:jc w:val="both"/>
        <w:rPr>
          <w:rFonts w:cs="Times New Roman"/>
          <w:sz w:val="23"/>
          <w:szCs w:val="23"/>
        </w:rPr>
      </w:pPr>
    </w:p>
    <w:p w14:paraId="46791319" w14:textId="6A54A994"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4</w:t>
      </w:r>
      <w:r w:rsidR="00A83722">
        <w:rPr>
          <w:rFonts w:cs="Times New Roman"/>
          <w:sz w:val="23"/>
          <w:szCs w:val="23"/>
        </w:rPr>
        <w:t>6</w:t>
      </w:r>
      <w:r w:rsidRPr="00EC4EC4">
        <w:rPr>
          <w:rFonts w:cs="Times New Roman"/>
          <w:sz w:val="23"/>
          <w:szCs w:val="23"/>
        </w:rPr>
        <w:t>. Section 28-410.4.1.1.1 of the administrative code of the city of New York, as added by local law number 126 for the year 2021, is amended to read as follows:</w:t>
      </w:r>
    </w:p>
    <w:p w14:paraId="2DDE6FBE" w14:textId="77777777" w:rsidR="00140B7C" w:rsidRDefault="00140B7C" w:rsidP="00140B7C">
      <w:pPr>
        <w:kinsoku w:val="0"/>
        <w:spacing w:after="0" w:line="240" w:lineRule="auto"/>
        <w:jc w:val="both"/>
        <w:rPr>
          <w:rFonts w:cs="Times New Roman"/>
          <w:b/>
          <w:bCs/>
          <w:szCs w:val="24"/>
        </w:rPr>
      </w:pPr>
    </w:p>
    <w:p w14:paraId="49718558" w14:textId="77777777" w:rsidR="00140B7C" w:rsidRDefault="00140B7C" w:rsidP="00140B7C">
      <w:pPr>
        <w:kinsoku w:val="0"/>
        <w:spacing w:after="0" w:line="240" w:lineRule="auto"/>
        <w:jc w:val="both"/>
        <w:rPr>
          <w:rFonts w:cs="Times New Roman"/>
          <w:szCs w:val="24"/>
        </w:rPr>
      </w:pPr>
      <w:r w:rsidRPr="00EC4EC4">
        <w:rPr>
          <w:rFonts w:cs="Times New Roman"/>
          <w:b/>
          <w:bCs/>
          <w:szCs w:val="24"/>
        </w:rPr>
        <w:t xml:space="preserve">§28-410.4.1.1.1 Class A license. </w:t>
      </w:r>
      <w:r w:rsidRPr="00EC4EC4">
        <w:rPr>
          <w:rFonts w:cs="Times New Roman"/>
          <w:szCs w:val="24"/>
        </w:rPr>
        <w:t>An applicant for a class A fire suppression piping contractor license may be permitted to use no more than eighteen (18) months of experience working on 30 or fewer sprinkler heads towards satisfying the experience requirements in section [</w:t>
      </w:r>
      <w:r w:rsidRPr="00EC4EC4">
        <w:rPr>
          <w:rFonts w:cs="Times New Roman"/>
          <w:strike/>
          <w:szCs w:val="24"/>
        </w:rPr>
        <w:t>28 410.4.1</w:t>
      </w:r>
      <w:r w:rsidRPr="00EC4EC4">
        <w:rPr>
          <w:rFonts w:cs="Times New Roman"/>
          <w:szCs w:val="24"/>
        </w:rPr>
        <w:t>]</w:t>
      </w:r>
      <w:r w:rsidRPr="00EC4EC4">
        <w:rPr>
          <w:rFonts w:cs="Times New Roman"/>
          <w:szCs w:val="24"/>
          <w:u w:val="single"/>
        </w:rPr>
        <w:t>28-410.4.1</w:t>
      </w:r>
      <w:r w:rsidRPr="00EC4EC4">
        <w:rPr>
          <w:rFonts w:cs="Times New Roman"/>
          <w:szCs w:val="24"/>
        </w:rPr>
        <w:t xml:space="preserve"> items 1 and 2, and no more than six (6) months towards satisfying the experience requirements in section 28-410.1 items 4 and 5.</w:t>
      </w:r>
    </w:p>
    <w:p w14:paraId="23155916" w14:textId="77777777" w:rsidR="00140B7C" w:rsidRPr="00EC4EC4" w:rsidRDefault="00140B7C" w:rsidP="00140B7C">
      <w:pPr>
        <w:kinsoku w:val="0"/>
        <w:spacing w:after="0" w:line="240" w:lineRule="auto"/>
        <w:jc w:val="both"/>
        <w:rPr>
          <w:rFonts w:cs="Times New Roman"/>
          <w:szCs w:val="24"/>
        </w:rPr>
      </w:pPr>
    </w:p>
    <w:p w14:paraId="05076BD9" w14:textId="75823A18"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4</w:t>
      </w:r>
      <w:r w:rsidR="00A83722">
        <w:rPr>
          <w:rFonts w:cs="Times New Roman"/>
          <w:sz w:val="23"/>
          <w:szCs w:val="23"/>
        </w:rPr>
        <w:t>7</w:t>
      </w:r>
      <w:r w:rsidRPr="00EC4EC4">
        <w:rPr>
          <w:rFonts w:cs="Times New Roman"/>
          <w:sz w:val="23"/>
          <w:szCs w:val="23"/>
        </w:rPr>
        <w:t>. Section 28-410.4.1.1.2 of the administrative code of the city of New York, as added by local law number 126 for the year 2021, is amended to read as follows:</w:t>
      </w:r>
    </w:p>
    <w:p w14:paraId="08C128EB" w14:textId="77777777" w:rsidR="00140B7C" w:rsidRPr="00EC4EC4" w:rsidRDefault="00140B7C" w:rsidP="00140B7C">
      <w:pPr>
        <w:kinsoku w:val="0"/>
        <w:spacing w:after="240" w:line="240" w:lineRule="auto"/>
        <w:jc w:val="both"/>
        <w:rPr>
          <w:rFonts w:cs="Times New Roman"/>
          <w:b/>
          <w:bCs/>
          <w:szCs w:val="24"/>
        </w:rPr>
      </w:pPr>
      <w:r w:rsidRPr="00EC4EC4">
        <w:rPr>
          <w:rFonts w:cs="Times New Roman"/>
          <w:b/>
          <w:bCs/>
          <w:szCs w:val="24"/>
        </w:rPr>
        <w:t xml:space="preserve">§28-410.4.1.1.2 Class B license. </w:t>
      </w:r>
      <w:r w:rsidRPr="00EC4EC4">
        <w:rPr>
          <w:rFonts w:cs="Times New Roman"/>
          <w:szCs w:val="24"/>
        </w:rPr>
        <w:t>An applicant for a class B fire suppression piping contractor license may be permitted to use no more than three (3) years of experience working on 30 or fewer sprinkler heads towards satisfying the experience requirements in section 28-410.4.1 items 1 and 2, and no more than one (1) year towards satisfying the experience requirements in section [</w:t>
      </w:r>
      <w:r w:rsidRPr="00EC4EC4">
        <w:rPr>
          <w:rFonts w:cs="Times New Roman"/>
          <w:strike/>
          <w:szCs w:val="24"/>
        </w:rPr>
        <w:t>28 410.4.1</w:t>
      </w:r>
      <w:r w:rsidRPr="00EC4EC4">
        <w:rPr>
          <w:rFonts w:cs="Times New Roman"/>
          <w:szCs w:val="24"/>
        </w:rPr>
        <w:t>]</w:t>
      </w:r>
      <w:r w:rsidRPr="00EC4EC4">
        <w:rPr>
          <w:rFonts w:cs="Times New Roman"/>
          <w:szCs w:val="24"/>
          <w:u w:val="single"/>
        </w:rPr>
        <w:t>28-410.4.1</w:t>
      </w:r>
      <w:r w:rsidRPr="00EC4EC4">
        <w:rPr>
          <w:rFonts w:cs="Times New Roman"/>
          <w:szCs w:val="24"/>
        </w:rPr>
        <w:t xml:space="preserve"> items 4 and 5.</w:t>
      </w:r>
    </w:p>
    <w:p w14:paraId="754B84FA" w14:textId="270CD164"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4</w:t>
      </w:r>
      <w:r w:rsidR="00A83722">
        <w:rPr>
          <w:rFonts w:cs="Times New Roman"/>
          <w:sz w:val="23"/>
          <w:szCs w:val="23"/>
        </w:rPr>
        <w:t>8</w:t>
      </w:r>
      <w:r w:rsidRPr="00EC4EC4">
        <w:rPr>
          <w:rFonts w:cs="Times New Roman"/>
          <w:sz w:val="23"/>
          <w:szCs w:val="23"/>
        </w:rPr>
        <w:t>. Section 28-410.5 of the administrative code of the city of New York, as amended by local law number 126 for the year 2021, is amended to read as follows:</w:t>
      </w:r>
    </w:p>
    <w:p w14:paraId="6D396134" w14:textId="77777777" w:rsidR="00140B7C" w:rsidRPr="00EC4EC4" w:rsidRDefault="00140B7C" w:rsidP="00140B7C">
      <w:pPr>
        <w:pStyle w:val="FlushLeft"/>
        <w:rPr>
          <w:spacing w:val="1"/>
          <w:szCs w:val="24"/>
        </w:rPr>
      </w:pPr>
      <w:r w:rsidRPr="00EC4EC4">
        <w:rPr>
          <w:b/>
          <w:szCs w:val="24"/>
        </w:rPr>
        <w:t>§28-410.5 Certificate of competence, [</w:t>
      </w:r>
      <w:r w:rsidRPr="00EC4EC4">
        <w:rPr>
          <w:b/>
          <w:strike/>
          <w:szCs w:val="24"/>
        </w:rPr>
        <w:t>and</w:t>
      </w:r>
      <w:r w:rsidRPr="00EC4EC4">
        <w:rPr>
          <w:b/>
          <w:szCs w:val="24"/>
        </w:rPr>
        <w:t>] license and seal.</w:t>
      </w:r>
      <w:r w:rsidRPr="00EC4EC4">
        <w:rPr>
          <w:b/>
          <w:bCs/>
          <w:spacing w:val="-1"/>
          <w:w w:val="110"/>
          <w:szCs w:val="24"/>
        </w:rPr>
        <w:t xml:space="preserve"> </w:t>
      </w:r>
      <w:r w:rsidRPr="00EC4EC4">
        <w:rPr>
          <w:spacing w:val="1"/>
          <w:szCs w:val="24"/>
        </w:rPr>
        <w:t>The commissioner shall issue a certificate of competence, license and seal in accordance with the following:</w:t>
      </w:r>
    </w:p>
    <w:p w14:paraId="4D5307CB" w14:textId="14BBA968"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4</w:t>
      </w:r>
      <w:r w:rsidR="005F67E2">
        <w:rPr>
          <w:rFonts w:cs="Times New Roman"/>
          <w:sz w:val="23"/>
          <w:szCs w:val="23"/>
        </w:rPr>
        <w:t>9</w:t>
      </w:r>
      <w:r w:rsidRPr="00EC4EC4">
        <w:rPr>
          <w:rFonts w:cs="Times New Roman"/>
          <w:sz w:val="23"/>
          <w:szCs w:val="23"/>
        </w:rPr>
        <w:t>. Section 28-411.1 of the administrative code of the city of New York, as amended by local law number 126 for the year 2021, is amended to read as follows:</w:t>
      </w:r>
    </w:p>
    <w:p w14:paraId="055ED2FD" w14:textId="77777777" w:rsidR="00140B7C" w:rsidRPr="00EC4EC4" w:rsidRDefault="00140B7C" w:rsidP="00140B7C">
      <w:pPr>
        <w:pStyle w:val="FlushLeft"/>
        <w:rPr>
          <w:spacing w:val="1"/>
          <w:szCs w:val="24"/>
        </w:rPr>
      </w:pPr>
      <w:r w:rsidRPr="00EC4EC4">
        <w:rPr>
          <w:b/>
          <w:szCs w:val="24"/>
        </w:rPr>
        <w:t>§28-411.1 Journeyman fire suppression piping installer registration qualifications.</w:t>
      </w:r>
      <w:r w:rsidRPr="00EC4EC4">
        <w:rPr>
          <w:b/>
          <w:bCs/>
          <w:spacing w:val="-5"/>
          <w:w w:val="110"/>
          <w:szCs w:val="24"/>
        </w:rPr>
        <w:t xml:space="preserve"> </w:t>
      </w:r>
      <w:r w:rsidRPr="00EC4EC4">
        <w:rPr>
          <w:spacing w:val="1"/>
          <w:szCs w:val="24"/>
        </w:rPr>
        <w:t xml:space="preserve"> The commissioner shall register an applicant as a journeyman fire suppression piping installer who has [</w:t>
      </w:r>
      <w:r w:rsidRPr="00EC4EC4">
        <w:rPr>
          <w:strike/>
          <w:spacing w:val="1"/>
          <w:szCs w:val="24"/>
        </w:rPr>
        <w:t>such]</w:t>
      </w:r>
      <w:r w:rsidRPr="00EC4EC4">
        <w:rPr>
          <w:spacing w:val="1"/>
          <w:szCs w:val="24"/>
        </w:rPr>
        <w:t xml:space="preserve"> qualifications reflecting a progressive understanding, proficiency and competence in the fire suppression piping trade, including:</w:t>
      </w:r>
    </w:p>
    <w:p w14:paraId="21D0D807"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A working familiarity with the code and technical standards with regard to fire suppression piping, and the ability to apply the code requirements correctly;</w:t>
      </w:r>
    </w:p>
    <w:p w14:paraId="63FC4D26"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The application of basic fire suppression theory and the utilization of trade skills on the job site;</w:t>
      </w:r>
    </w:p>
    <w:p w14:paraId="61288504"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A working knowledge of the tools of the trade and the ability to utilize them properly; and</w:t>
      </w:r>
    </w:p>
    <w:p w14:paraId="6A83DEF7"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An ability to draft simple diagrams and interpret from drawings for the purpose of the fire suppression piping work in which the applicant is engaged.</w:t>
      </w:r>
    </w:p>
    <w:p w14:paraId="600D94E0" w14:textId="4117E3DC" w:rsidR="00140B7C" w:rsidRPr="00EC4EC4" w:rsidRDefault="00140B7C" w:rsidP="00140B7C">
      <w:pPr>
        <w:kinsoku w:val="0"/>
        <w:spacing w:after="240" w:line="240" w:lineRule="auto"/>
        <w:ind w:firstLine="720"/>
        <w:jc w:val="both"/>
        <w:rPr>
          <w:rFonts w:eastAsia="Times New Roman" w:cs="Times New Roman"/>
          <w:b/>
          <w:bCs/>
          <w:szCs w:val="24"/>
        </w:rPr>
      </w:pPr>
      <w:bookmarkStart w:id="12" w:name="_Hlk114481629"/>
      <w:r w:rsidRPr="00EC4EC4">
        <w:rPr>
          <w:rFonts w:cs="Times New Roman"/>
          <w:sz w:val="23"/>
          <w:szCs w:val="23"/>
        </w:rPr>
        <w:t>§</w:t>
      </w:r>
      <w:r w:rsidR="005F67E2">
        <w:rPr>
          <w:rFonts w:cs="Times New Roman"/>
          <w:sz w:val="23"/>
          <w:szCs w:val="23"/>
        </w:rPr>
        <w:t>50</w:t>
      </w:r>
      <w:r w:rsidRPr="00EC4EC4">
        <w:rPr>
          <w:rFonts w:cs="Times New Roman"/>
          <w:sz w:val="23"/>
          <w:szCs w:val="23"/>
        </w:rPr>
        <w:t>. Section 28-413.2 of the administrative code of the city of New York, as amended by local law number 126 for the year 2021, is amended to read as follows:</w:t>
      </w:r>
    </w:p>
    <w:bookmarkEnd w:id="12"/>
    <w:p w14:paraId="04154BD7" w14:textId="77777777" w:rsidR="00140B7C" w:rsidRPr="00EC4EC4" w:rsidRDefault="00140B7C" w:rsidP="00140B7C">
      <w:pPr>
        <w:pStyle w:val="FlushLeft"/>
        <w:rPr>
          <w:spacing w:val="-8"/>
          <w:w w:val="115"/>
          <w:szCs w:val="24"/>
        </w:rPr>
      </w:pPr>
      <w:r w:rsidRPr="00EC4EC4">
        <w:rPr>
          <w:b/>
          <w:szCs w:val="24"/>
        </w:rPr>
        <w:lastRenderedPageBreak/>
        <w:t>§28-413.2 Qualifications.</w:t>
      </w:r>
      <w:r w:rsidRPr="00EC4EC4">
        <w:rPr>
          <w:b/>
          <w:bCs/>
          <w:spacing w:val="-5"/>
          <w:w w:val="110"/>
          <w:szCs w:val="24"/>
        </w:rPr>
        <w:t xml:space="preserve"> </w:t>
      </w:r>
      <w:r w:rsidRPr="00EC4EC4">
        <w:rPr>
          <w:spacing w:val="1"/>
          <w:szCs w:val="24"/>
        </w:rPr>
        <w:t>Applicants for a high-pressure boiler operating engineer license shall present satisfactory proof that:</w:t>
      </w:r>
    </w:p>
    <w:p w14:paraId="400B3140"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Applicant has practical experience in the operation, maintenance, replacement, modification, assembly, or repair of [</w:t>
      </w:r>
      <w:r w:rsidRPr="00EC4EC4">
        <w:rPr>
          <w:rFonts w:eastAsia="Times New Roman" w:cs="Times New Roman"/>
          <w:strike/>
          <w:spacing w:val="1"/>
          <w:szCs w:val="24"/>
        </w:rPr>
        <w:t>high pressure</w:t>
      </w:r>
      <w:r w:rsidRPr="00EC4EC4">
        <w:rPr>
          <w:rFonts w:eastAsia="Times New Roman" w:cs="Times New Roman"/>
          <w:spacing w:val="1"/>
          <w:szCs w:val="24"/>
        </w:rPr>
        <w:t>]</w:t>
      </w:r>
      <w:r w:rsidRPr="00EC4EC4">
        <w:rPr>
          <w:rFonts w:eastAsia="Times New Roman" w:cs="Times New Roman"/>
          <w:spacing w:val="1"/>
          <w:szCs w:val="24"/>
          <w:u w:val="single"/>
        </w:rPr>
        <w:t>high-pressure</w:t>
      </w:r>
      <w:r w:rsidRPr="00EC4EC4">
        <w:rPr>
          <w:rFonts w:eastAsia="Times New Roman" w:cs="Times New Roman"/>
          <w:spacing w:val="1"/>
          <w:szCs w:val="24"/>
        </w:rPr>
        <w:t xml:space="preserve"> boilers under the direct and continuing supervision of a licensed high-pressure boiler operating engineer in the city for a period of not less than five (5) years within the seven (7) year period preceding the date of the application; </w:t>
      </w:r>
    </w:p>
    <w:p w14:paraId="086D3C4B"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Applicant received a bachelor’s degree in mechanical engineering from an accredited school or college and had one (1) year of experience in the operation and maintenance of high-pressure boilers under the direct and continuing supervision of a licensed high-pressure boiler operating engineer within the two (2) year period preceding the date of the application;</w:t>
      </w:r>
    </w:p>
    <w:p w14:paraId="61AECD21"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Applicant has held, for a minimum of four (4) years, either a certificate as an engineer issued by a board of examining engineers duly established and qualified pursuant to the laws of the United States or any state or territory thereof, or a certificate as a marine engineer issued by the United States Coast Guard. In addition, an applicant shall have a minimum of one (1) year of experience in the city in the operation and maintenance of stationary high-pressure boiler plants under the direct and continuing supervision of a licensed high-pressure boiler operating engineer within the seven (7) years preceding the date of the application;</w:t>
      </w:r>
      <w:r w:rsidRPr="00EC4EC4">
        <w:rPr>
          <w:rFonts w:eastAsia="Times New Roman" w:cs="Times New Roman"/>
          <w:szCs w:val="24"/>
        </w:rPr>
        <w:t xml:space="preserve"> </w:t>
      </w:r>
    </w:p>
    <w:p w14:paraId="0A005A8F" w14:textId="77777777" w:rsidR="00140B7C" w:rsidRPr="00EC4EC4" w:rsidRDefault="00140B7C" w:rsidP="00140B7C">
      <w:pPr>
        <w:tabs>
          <w:tab w:val="left" w:pos="-1530"/>
        </w:tabs>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Applicant exercised supervision, care, operation and maintenance over a steam generating plant of a governmental building for a minimum of five (5) years, within the seven (7) year period preceding the date of the application, with each boiler having a minimum of 150 or more horsepower. One (1) year of such experience shall be on high-pressure boilers under the direct and continuing supervision of a licensed high-pressure boiler operating engineer in the</w:t>
      </w:r>
      <w:r w:rsidRPr="00EC4EC4">
        <w:rPr>
          <w:rFonts w:eastAsia="Times New Roman" w:cs="Times New Roman"/>
          <w:strike/>
          <w:spacing w:val="1"/>
          <w:szCs w:val="24"/>
        </w:rPr>
        <w:t xml:space="preserve"> </w:t>
      </w:r>
      <w:r w:rsidRPr="00EC4EC4">
        <w:rPr>
          <w:rFonts w:eastAsia="Times New Roman" w:cs="Times New Roman"/>
          <w:spacing w:val="1"/>
          <w:szCs w:val="24"/>
        </w:rPr>
        <w:t>city;</w:t>
      </w:r>
    </w:p>
    <w:p w14:paraId="4A9EE52F"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Applicant successfully completed a New York state approved apprenticeship training program of at least two (2) years, and after the completion of such program had at least three (3) years’ experience, within the seven (7) years preceding the date of the application, in the operation and maintenance of high-pressure boilers in the city under the direct and continuing supervision of a licensed high-pressure boiler operating engineer;</w:t>
      </w:r>
    </w:p>
    <w:p w14:paraId="4CCB0F9E"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6.</w:t>
      </w:r>
      <w:r w:rsidRPr="00EC4EC4">
        <w:rPr>
          <w:rFonts w:eastAsia="Times New Roman" w:cs="Times New Roman"/>
          <w:spacing w:val="1"/>
          <w:szCs w:val="24"/>
        </w:rPr>
        <w:tab/>
        <w:t>Applicant has held a Commission from the National Board of Boiler and Pressure Vessel Inspectors for a period of seven (7) years, and has a minimum of five (5) years of [</w:t>
      </w:r>
      <w:r w:rsidRPr="00EC4EC4">
        <w:rPr>
          <w:rFonts w:eastAsia="Times New Roman" w:cs="Times New Roman"/>
          <w:strike/>
          <w:spacing w:val="1"/>
          <w:szCs w:val="24"/>
        </w:rPr>
        <w:t>high pressure</w:t>
      </w:r>
      <w:r w:rsidRPr="00EC4EC4">
        <w:rPr>
          <w:rFonts w:eastAsia="Times New Roman" w:cs="Times New Roman"/>
          <w:spacing w:val="1"/>
          <w:szCs w:val="24"/>
        </w:rPr>
        <w:t>]</w:t>
      </w:r>
      <w:r w:rsidRPr="00EC4EC4">
        <w:rPr>
          <w:rFonts w:eastAsia="Times New Roman" w:cs="Times New Roman"/>
          <w:spacing w:val="1"/>
          <w:szCs w:val="24"/>
          <w:u w:val="single"/>
        </w:rPr>
        <w:t>high-pressure</w:t>
      </w:r>
      <w:r w:rsidRPr="00EC4EC4">
        <w:rPr>
          <w:rFonts w:eastAsia="Times New Roman" w:cs="Times New Roman"/>
          <w:spacing w:val="1"/>
          <w:szCs w:val="24"/>
        </w:rPr>
        <w:t xml:space="preserve"> boiler operation, maintenance, and/or inspection experience under such commission within the seven (7) year period preceding the application; or</w:t>
      </w:r>
    </w:p>
    <w:p w14:paraId="25230E8C"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7. Applicant has held a [</w:t>
      </w:r>
      <w:r w:rsidRPr="00EC4EC4">
        <w:rPr>
          <w:rFonts w:eastAsia="Times New Roman" w:cs="Times New Roman"/>
          <w:strike/>
          <w:spacing w:val="1"/>
          <w:szCs w:val="24"/>
        </w:rPr>
        <w:t>high pressure</w:t>
      </w:r>
      <w:r w:rsidRPr="00EC4EC4">
        <w:rPr>
          <w:rFonts w:eastAsia="Times New Roman" w:cs="Times New Roman"/>
          <w:spacing w:val="1"/>
          <w:szCs w:val="24"/>
        </w:rPr>
        <w:t>]</w:t>
      </w:r>
      <w:r w:rsidRPr="00EC4EC4">
        <w:rPr>
          <w:rFonts w:eastAsia="Times New Roman" w:cs="Times New Roman"/>
          <w:spacing w:val="1"/>
          <w:szCs w:val="24"/>
          <w:u w:val="single"/>
        </w:rPr>
        <w:t>high-pressure</w:t>
      </w:r>
      <w:r w:rsidRPr="00EC4EC4">
        <w:rPr>
          <w:rFonts w:eastAsia="Times New Roman" w:cs="Times New Roman"/>
          <w:spacing w:val="1"/>
          <w:szCs w:val="24"/>
        </w:rPr>
        <w:t xml:space="preserve"> certification/[</w:t>
      </w:r>
      <w:r w:rsidRPr="00EC4EC4">
        <w:rPr>
          <w:rFonts w:eastAsia="Times New Roman" w:cs="Times New Roman"/>
          <w:strike/>
          <w:spacing w:val="1"/>
          <w:szCs w:val="24"/>
        </w:rPr>
        <w:t>high pressure</w:t>
      </w:r>
      <w:r w:rsidRPr="00EC4EC4">
        <w:rPr>
          <w:rFonts w:eastAsia="Times New Roman" w:cs="Times New Roman"/>
          <w:spacing w:val="1"/>
          <w:szCs w:val="24"/>
        </w:rPr>
        <w:t>]</w:t>
      </w:r>
      <w:r w:rsidRPr="00EC4EC4">
        <w:rPr>
          <w:rFonts w:eastAsia="Times New Roman" w:cs="Times New Roman"/>
          <w:spacing w:val="1"/>
          <w:szCs w:val="24"/>
          <w:u w:val="single"/>
        </w:rPr>
        <w:t>high-pressure</w:t>
      </w:r>
      <w:r w:rsidRPr="00EC4EC4">
        <w:rPr>
          <w:rFonts w:eastAsia="Times New Roman" w:cs="Times New Roman"/>
          <w:spacing w:val="1"/>
          <w:szCs w:val="24"/>
        </w:rPr>
        <w:t xml:space="preserve"> license for a period of five (5) years from other jurisdictions acceptable to the commissioner, provided such jurisdiction follows the ASME Boiler and Pressure Vessel Code, and was employed under such certification and/or license for a period of not less </w:t>
      </w:r>
      <w:r w:rsidRPr="00EC4EC4">
        <w:rPr>
          <w:rFonts w:eastAsia="Times New Roman" w:cs="Times New Roman"/>
          <w:spacing w:val="1"/>
          <w:szCs w:val="24"/>
        </w:rPr>
        <w:lastRenderedPageBreak/>
        <w:t>than five (5) of the last seven (7) years in the operation, maintenance and/or inspection of [</w:t>
      </w:r>
      <w:r w:rsidRPr="00EC4EC4">
        <w:rPr>
          <w:rFonts w:eastAsia="Times New Roman" w:cs="Times New Roman"/>
          <w:strike/>
          <w:spacing w:val="1"/>
          <w:szCs w:val="24"/>
        </w:rPr>
        <w:t>high pressure</w:t>
      </w:r>
      <w:r w:rsidRPr="00EC4EC4">
        <w:rPr>
          <w:rFonts w:eastAsia="Times New Roman" w:cs="Times New Roman"/>
          <w:spacing w:val="1"/>
          <w:szCs w:val="24"/>
        </w:rPr>
        <w:t>]</w:t>
      </w:r>
      <w:r w:rsidRPr="00EC4EC4">
        <w:rPr>
          <w:rFonts w:eastAsia="Times New Roman" w:cs="Times New Roman"/>
          <w:spacing w:val="1"/>
          <w:szCs w:val="24"/>
          <w:u w:val="single"/>
        </w:rPr>
        <w:t>high-pressure</w:t>
      </w:r>
      <w:r w:rsidRPr="00EC4EC4">
        <w:rPr>
          <w:rFonts w:eastAsia="Times New Roman" w:cs="Times New Roman"/>
          <w:spacing w:val="1"/>
          <w:szCs w:val="24"/>
        </w:rPr>
        <w:t xml:space="preserve"> boilers.</w:t>
      </w:r>
    </w:p>
    <w:p w14:paraId="4CF1C4C9" w14:textId="3BCF1E9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sidR="00B75929">
        <w:rPr>
          <w:rFonts w:cs="Times New Roman"/>
          <w:sz w:val="23"/>
          <w:szCs w:val="23"/>
        </w:rPr>
        <w:t>51</w:t>
      </w:r>
      <w:r w:rsidRPr="00EC4EC4">
        <w:rPr>
          <w:rFonts w:cs="Times New Roman"/>
          <w:sz w:val="23"/>
          <w:szCs w:val="23"/>
        </w:rPr>
        <w:t>. Section 28-415.4.1 of the administrative code of the city of New York, as amended by local law number 126 for the year 2021, is amended to read as follows:</w:t>
      </w:r>
    </w:p>
    <w:p w14:paraId="72172823" w14:textId="77777777" w:rsidR="00140B7C" w:rsidRPr="00EC4EC4" w:rsidRDefault="00140B7C" w:rsidP="00140B7C">
      <w:pPr>
        <w:pStyle w:val="FlushLeftDouble"/>
        <w:ind w:left="0"/>
        <w:rPr>
          <w:spacing w:val="1"/>
          <w:szCs w:val="24"/>
        </w:rPr>
      </w:pPr>
      <w:r w:rsidRPr="00EC4EC4">
        <w:rPr>
          <w:b/>
          <w:szCs w:val="24"/>
        </w:rPr>
        <w:t>§28-415.4.1 Master sign hanger qualifications.</w:t>
      </w:r>
      <w:r w:rsidRPr="00EC4EC4">
        <w:rPr>
          <w:b/>
          <w:bCs/>
          <w:spacing w:val="-9"/>
          <w:w w:val="110"/>
          <w:szCs w:val="24"/>
        </w:rPr>
        <w:t xml:space="preserve"> </w:t>
      </w:r>
      <w:r w:rsidRPr="00EC4EC4">
        <w:rPr>
          <w:spacing w:val="1"/>
          <w:szCs w:val="24"/>
        </w:rPr>
        <w:t>All applicants for a master sign hanger license shall submit satisfactory proof establishing that the applicant has at least five (5) years of practical experience in sign hanging as a designated [</w:t>
      </w:r>
      <w:r w:rsidRPr="00EC4EC4">
        <w:rPr>
          <w:strike/>
          <w:spacing w:val="1"/>
          <w:szCs w:val="24"/>
        </w:rPr>
        <w:t>master]</w:t>
      </w:r>
      <w:r w:rsidRPr="00EC4EC4">
        <w:rPr>
          <w:spacing w:val="1"/>
          <w:szCs w:val="24"/>
        </w:rPr>
        <w:t xml:space="preserve"> sign hanging foreman within the seven (7) years preceding the date of the license application under the direct and continuing supervision of a licensed master sign hanger. The applicant shall also have knowledge of and ability to read plans and specifications relating to sign construction and erection, including supporting framework and other supports, and knowledge of the problems and practices of sign construction and hanging and be familiar with the equipment and tools used in sign hanging.</w:t>
      </w:r>
    </w:p>
    <w:p w14:paraId="7D6BADBD" w14:textId="7DAEEF19" w:rsidR="00140B7C" w:rsidRPr="00EC4EC4" w:rsidRDefault="00140B7C" w:rsidP="00140B7C">
      <w:pPr>
        <w:kinsoku w:val="0"/>
        <w:spacing w:after="240" w:line="240" w:lineRule="auto"/>
        <w:ind w:firstLine="720"/>
        <w:jc w:val="both"/>
        <w:rPr>
          <w:rFonts w:eastAsia="Times New Roman" w:cs="Times New Roman"/>
          <w:b/>
          <w:bCs/>
          <w:szCs w:val="24"/>
        </w:rPr>
      </w:pPr>
      <w:bookmarkStart w:id="13" w:name="_Hlk55824152"/>
      <w:r w:rsidRPr="00EC4EC4">
        <w:rPr>
          <w:rFonts w:cs="Times New Roman"/>
          <w:sz w:val="23"/>
          <w:szCs w:val="23"/>
        </w:rPr>
        <w:t>§</w:t>
      </w:r>
      <w:r w:rsidR="00B75929">
        <w:rPr>
          <w:rFonts w:cs="Times New Roman"/>
          <w:sz w:val="23"/>
          <w:szCs w:val="23"/>
        </w:rPr>
        <w:t>52</w:t>
      </w:r>
      <w:r w:rsidRPr="00EC4EC4">
        <w:rPr>
          <w:rFonts w:cs="Times New Roman"/>
          <w:sz w:val="23"/>
          <w:szCs w:val="23"/>
        </w:rPr>
        <w:t>. Section 28-421.1 of the administrative code of the city of New York, as amended by local law number 126 for the year 2021, is amended to read as follows:</w:t>
      </w:r>
    </w:p>
    <w:p w14:paraId="26F52293" w14:textId="77777777" w:rsidR="00140B7C" w:rsidRPr="00EC4EC4" w:rsidRDefault="00140B7C" w:rsidP="00140B7C">
      <w:pPr>
        <w:pStyle w:val="FlushLeft"/>
        <w:rPr>
          <w:bCs/>
          <w:spacing w:val="3"/>
          <w:szCs w:val="24"/>
        </w:rPr>
      </w:pPr>
      <w:r w:rsidRPr="00EC4EC4">
        <w:rPr>
          <w:b/>
          <w:szCs w:val="24"/>
        </w:rPr>
        <w:t>§28-421.1 Elevator agency director license required.</w:t>
      </w:r>
      <w:r w:rsidRPr="00EC4EC4">
        <w:rPr>
          <w:bCs/>
          <w:spacing w:val="3"/>
          <w:szCs w:val="24"/>
        </w:rPr>
        <w:t xml:space="preserve"> It </w:t>
      </w:r>
      <w:r w:rsidRPr="00EC4EC4">
        <w:rPr>
          <w:szCs w:val="24"/>
        </w:rPr>
        <w:t xml:space="preserve">shall be unlawful to perform elevator work as defined by this chapter or </w:t>
      </w:r>
      <w:r w:rsidRPr="00EC4EC4">
        <w:rPr>
          <w:bCs/>
          <w:spacing w:val="3"/>
          <w:szCs w:val="24"/>
        </w:rPr>
        <w:t xml:space="preserve">perform and/or witness inspections and tests or enter into contracts pursuant to article 304 of chapter 3 of this code </w:t>
      </w:r>
      <w:r w:rsidRPr="00EC4EC4">
        <w:rPr>
          <w:szCs w:val="24"/>
        </w:rPr>
        <w:t>unless licensed pursuant to this article</w:t>
      </w:r>
      <w:r w:rsidRPr="00EC4EC4">
        <w:rPr>
          <w:bCs/>
          <w:spacing w:val="3"/>
          <w:szCs w:val="24"/>
        </w:rPr>
        <w:t>. Each elevator agency shall designate one director in responsible charge who shall be licensed pursuant to this article. The designated director in responsible charge shall be in the direct employ of the agency and shall supervise all the operations of the agency. All elevator work shall be performed by individuals who are under the direct and continuing supervision of the elevator agency director as defined in section 28-401.3 [</w:t>
      </w:r>
      <w:r w:rsidRPr="00EC4EC4">
        <w:rPr>
          <w:bCs/>
          <w:strike/>
          <w:spacing w:val="3"/>
          <w:szCs w:val="24"/>
        </w:rPr>
        <w:t>of this</w:t>
      </w:r>
      <w:r w:rsidRPr="00EC4EC4">
        <w:rPr>
          <w:bCs/>
          <w:spacing w:val="3"/>
          <w:szCs w:val="24"/>
        </w:rPr>
        <w:t>] of this code.  All elevator work performed by such agency pursuant to article 304 of chapter 3 of this code shall be performed by or under the direct and continuing supervision of the designated director in responsible charge.</w:t>
      </w:r>
    </w:p>
    <w:p w14:paraId="253C1F12" w14:textId="6E17F927" w:rsidR="00140B7C" w:rsidRPr="00EC4EC4" w:rsidRDefault="00140B7C" w:rsidP="00140B7C">
      <w:pPr>
        <w:kinsoku w:val="0"/>
        <w:spacing w:after="240" w:line="240" w:lineRule="auto"/>
        <w:ind w:firstLine="720"/>
        <w:jc w:val="both"/>
        <w:rPr>
          <w:rFonts w:eastAsia="Times New Roman" w:cs="Times New Roman"/>
          <w:b/>
          <w:bCs/>
          <w:szCs w:val="24"/>
        </w:rPr>
      </w:pPr>
      <w:bookmarkStart w:id="14" w:name="_Hlk111632689"/>
      <w:r w:rsidRPr="00EC4EC4">
        <w:rPr>
          <w:rFonts w:cs="Times New Roman"/>
          <w:sz w:val="23"/>
          <w:szCs w:val="23"/>
        </w:rPr>
        <w:t>§</w:t>
      </w:r>
      <w:r w:rsidR="00B75929">
        <w:rPr>
          <w:rFonts w:cs="Times New Roman"/>
          <w:sz w:val="23"/>
          <w:szCs w:val="23"/>
        </w:rPr>
        <w:t>53</w:t>
      </w:r>
      <w:r w:rsidRPr="00EC4EC4">
        <w:rPr>
          <w:rFonts w:cs="Times New Roman"/>
          <w:sz w:val="23"/>
          <w:szCs w:val="23"/>
        </w:rPr>
        <w:t>. Section 28-421.4 of the administrative code of the city of New York, as amended by local law number 126 for the year 2021, is amended to read as follows:</w:t>
      </w:r>
    </w:p>
    <w:bookmarkEnd w:id="14"/>
    <w:p w14:paraId="0E80BBD3" w14:textId="77777777" w:rsidR="00140B7C" w:rsidRPr="00EC4EC4" w:rsidRDefault="00140B7C" w:rsidP="00140B7C">
      <w:pPr>
        <w:pStyle w:val="FlushLeft"/>
        <w:rPr>
          <w:szCs w:val="24"/>
        </w:rPr>
      </w:pPr>
      <w:r w:rsidRPr="00EC4EC4">
        <w:rPr>
          <w:b/>
          <w:szCs w:val="24"/>
        </w:rPr>
        <w:t>§28-421.4 Place of business.</w:t>
      </w:r>
      <w:r w:rsidRPr="00EC4EC4">
        <w:rPr>
          <w:szCs w:val="24"/>
        </w:rPr>
        <w:t xml:space="preserve"> Every licensed elevator agency shall have a place of business within the city in conformance with department rules and regulations. A licensed [</w:t>
      </w:r>
      <w:r w:rsidRPr="00EC4EC4">
        <w:rPr>
          <w:strike/>
          <w:szCs w:val="24"/>
        </w:rPr>
        <w:t>private</w:t>
      </w:r>
      <w:r w:rsidRPr="00EC4EC4">
        <w:rPr>
          <w:szCs w:val="24"/>
        </w:rPr>
        <w:t>] elevator inspection agency director shall be allowed to associate his or her license with only one other [</w:t>
      </w:r>
      <w:r w:rsidRPr="00EC4EC4">
        <w:rPr>
          <w:strike/>
          <w:szCs w:val="24"/>
        </w:rPr>
        <w:t>private</w:t>
      </w:r>
      <w:r w:rsidRPr="00EC4EC4">
        <w:rPr>
          <w:szCs w:val="24"/>
        </w:rPr>
        <w:t>] elevator inspection agency. Such businesses shall be located at the same place of business.</w:t>
      </w:r>
    </w:p>
    <w:bookmarkEnd w:id="13"/>
    <w:p w14:paraId="7BB24FA9" w14:textId="739063C3"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5</w:t>
      </w:r>
      <w:r w:rsidR="00C6279B">
        <w:rPr>
          <w:rFonts w:cs="Times New Roman"/>
          <w:sz w:val="23"/>
          <w:szCs w:val="23"/>
        </w:rPr>
        <w:t>4</w:t>
      </w:r>
      <w:r w:rsidRPr="00EC4EC4">
        <w:rPr>
          <w:rFonts w:cs="Times New Roman"/>
          <w:sz w:val="23"/>
          <w:szCs w:val="23"/>
        </w:rPr>
        <w:t>. Section 28-424.2 of the administrative code of the city of New York, as amended by local law number 126 for the year 2021, is amended to read as follows:</w:t>
      </w:r>
    </w:p>
    <w:p w14:paraId="02A70793" w14:textId="77777777" w:rsidR="00140B7C" w:rsidRPr="00EC4EC4" w:rsidRDefault="00140B7C" w:rsidP="00140B7C">
      <w:pPr>
        <w:pStyle w:val="FlushLeft"/>
        <w:rPr>
          <w:bCs/>
          <w:spacing w:val="3"/>
          <w:szCs w:val="24"/>
        </w:rPr>
      </w:pPr>
      <w:r w:rsidRPr="00EC4EC4">
        <w:rPr>
          <w:b/>
          <w:bCs/>
          <w:spacing w:val="3"/>
          <w:szCs w:val="24"/>
        </w:rPr>
        <w:t>§28-424.2 Registration required</w:t>
      </w:r>
      <w:r w:rsidRPr="00EC4EC4">
        <w:rPr>
          <w:bCs/>
          <w:spacing w:val="3"/>
          <w:szCs w:val="24"/>
        </w:rPr>
        <w:t>. [</w:t>
      </w:r>
      <w:r w:rsidRPr="00EC4EC4">
        <w:rPr>
          <w:bCs/>
          <w:strike/>
          <w:spacing w:val="3"/>
          <w:szCs w:val="24"/>
        </w:rPr>
        <w:t>Eighteen months after the department has established the requirements for the department-approved training course for lift directors as set forth in item 1 of section 28-424.3</w:t>
      </w:r>
      <w:r w:rsidRPr="00EC4EC4">
        <w:rPr>
          <w:bCs/>
          <w:spacing w:val="3"/>
          <w:szCs w:val="24"/>
        </w:rPr>
        <w:t>]</w:t>
      </w:r>
      <w:r w:rsidRPr="00EC4EC4">
        <w:rPr>
          <w:bCs/>
          <w:spacing w:val="3"/>
          <w:szCs w:val="24"/>
          <w:u w:val="single"/>
        </w:rPr>
        <w:t>Beginning January 1, 2025</w:t>
      </w:r>
      <w:r w:rsidRPr="00EC4EC4">
        <w:rPr>
          <w:bCs/>
          <w:spacing w:val="3"/>
          <w:szCs w:val="24"/>
        </w:rPr>
        <w:t xml:space="preserve">, it shall be unlawful for any person to act as a lift director or to perform the duties of a lift director unless such person is registered as a lift director pursuant to this article, or is licensed as a master rigger pursuant to article 404 of this chapter, or is a master rigging foreman designated in accordance with rules promulgated by the </w:t>
      </w:r>
      <w:r w:rsidRPr="00EC4EC4">
        <w:rPr>
          <w:bCs/>
          <w:spacing w:val="3"/>
          <w:szCs w:val="24"/>
        </w:rPr>
        <w:lastRenderedPageBreak/>
        <w:t>commissioner and acting as a lift director under the direct and continuing supervision of the licensed master rigger.</w:t>
      </w:r>
    </w:p>
    <w:p w14:paraId="5CDA4B92" w14:textId="2FE56F89" w:rsidR="00140B7C" w:rsidRPr="00EC4EC4" w:rsidRDefault="00140B7C" w:rsidP="00140B7C">
      <w:pPr>
        <w:kinsoku w:val="0"/>
        <w:spacing w:after="240" w:line="240" w:lineRule="auto"/>
        <w:ind w:firstLine="720"/>
        <w:jc w:val="both"/>
        <w:rPr>
          <w:rFonts w:eastAsia="Times New Roman" w:cs="Times New Roman"/>
          <w:b/>
          <w:bCs/>
          <w:szCs w:val="24"/>
        </w:rPr>
      </w:pPr>
      <w:bookmarkStart w:id="15" w:name="_Hlk55824170"/>
      <w:r w:rsidRPr="00EC4EC4">
        <w:rPr>
          <w:rFonts w:cs="Times New Roman"/>
          <w:sz w:val="23"/>
          <w:szCs w:val="23"/>
        </w:rPr>
        <w:t>§</w:t>
      </w:r>
      <w:r>
        <w:rPr>
          <w:rFonts w:cs="Times New Roman"/>
          <w:sz w:val="23"/>
          <w:szCs w:val="23"/>
        </w:rPr>
        <w:t>5</w:t>
      </w:r>
      <w:r w:rsidR="00C6279B">
        <w:rPr>
          <w:rFonts w:cs="Times New Roman"/>
          <w:sz w:val="23"/>
          <w:szCs w:val="23"/>
        </w:rPr>
        <w:t>5</w:t>
      </w:r>
      <w:r w:rsidRPr="00EC4EC4">
        <w:rPr>
          <w:rFonts w:cs="Times New Roman"/>
          <w:sz w:val="23"/>
          <w:szCs w:val="23"/>
        </w:rPr>
        <w:t>. Section 28-428.2 of the administrative code of the city of New York, as added by local law number 126 for the year 2021, is amended to read as follows:</w:t>
      </w:r>
    </w:p>
    <w:p w14:paraId="3D921096" w14:textId="77777777" w:rsidR="00140B7C" w:rsidRPr="00EC4EC4" w:rsidRDefault="00140B7C" w:rsidP="00140B7C">
      <w:pPr>
        <w:pStyle w:val="FlushLeft"/>
        <w:rPr>
          <w:bCs/>
          <w:spacing w:val="3"/>
          <w:szCs w:val="24"/>
        </w:rPr>
      </w:pPr>
      <w:r w:rsidRPr="00EC4EC4">
        <w:rPr>
          <w:b/>
          <w:bCs/>
          <w:spacing w:val="3"/>
          <w:szCs w:val="24"/>
        </w:rPr>
        <w:t xml:space="preserve">§28-428.2 Qualifications. </w:t>
      </w:r>
      <w:r w:rsidRPr="00EC4EC4">
        <w:rPr>
          <w:bCs/>
          <w:spacing w:val="3"/>
          <w:szCs w:val="24"/>
        </w:rPr>
        <w:t>All applicants for a construction superintendent license shall submit satisfactory proof establishing that the applicant:</w:t>
      </w:r>
    </w:p>
    <w:p w14:paraId="27930E3B" w14:textId="77777777" w:rsidR="00140B7C" w:rsidRPr="00EC4EC4" w:rsidRDefault="00140B7C" w:rsidP="00140B7C">
      <w:pPr>
        <w:kinsoku w:val="0"/>
        <w:spacing w:before="120" w:after="120" w:line="240" w:lineRule="auto"/>
        <w:ind w:left="720" w:hanging="360"/>
        <w:jc w:val="both"/>
        <w:rPr>
          <w:rFonts w:eastAsia="Times New Roman" w:cs="Times New Roman"/>
          <w:bCs/>
          <w:spacing w:val="3"/>
          <w:szCs w:val="24"/>
        </w:rPr>
      </w:pPr>
      <w:r w:rsidRPr="00EC4EC4">
        <w:rPr>
          <w:rFonts w:eastAsia="Times New Roman" w:cs="Times New Roman"/>
          <w:bCs/>
          <w:spacing w:val="3"/>
          <w:szCs w:val="24"/>
        </w:rPr>
        <w:t>1.</w:t>
      </w:r>
      <w:r w:rsidRPr="00EC4EC4">
        <w:rPr>
          <w:rFonts w:eastAsia="Times New Roman" w:cs="Times New Roman"/>
          <w:bCs/>
          <w:spacing w:val="3"/>
          <w:szCs w:val="24"/>
        </w:rPr>
        <w:tab/>
        <w:t>Has, within one (1) year prior to application, satisfactorily completed a course that is at least forty-hours (40) in length and approved by the department in construction and demolition site safety;</w:t>
      </w:r>
    </w:p>
    <w:p w14:paraId="4F95A8B4" w14:textId="77777777" w:rsidR="00140B7C" w:rsidRPr="00EC4EC4" w:rsidRDefault="00140B7C" w:rsidP="00140B7C">
      <w:pPr>
        <w:kinsoku w:val="0"/>
        <w:spacing w:before="120" w:after="120" w:line="240" w:lineRule="auto"/>
        <w:ind w:left="720" w:hanging="360"/>
        <w:rPr>
          <w:rFonts w:eastAsia="Times New Roman" w:cs="Times New Roman"/>
          <w:bCs/>
          <w:spacing w:val="3"/>
          <w:szCs w:val="24"/>
        </w:rPr>
      </w:pPr>
      <w:r w:rsidRPr="00EC4EC4">
        <w:rPr>
          <w:rFonts w:eastAsia="Times New Roman" w:cs="Times New Roman"/>
          <w:bCs/>
          <w:spacing w:val="3"/>
          <w:szCs w:val="24"/>
        </w:rPr>
        <w:t>2.</w:t>
      </w:r>
      <w:r w:rsidRPr="00EC4EC4">
        <w:rPr>
          <w:rFonts w:eastAsia="Times New Roman" w:cs="Times New Roman"/>
          <w:bCs/>
          <w:spacing w:val="3"/>
          <w:szCs w:val="24"/>
        </w:rPr>
        <w:tab/>
        <w:t>Possesses a valid Site Safety Training (SST) Supervisor Card; and</w:t>
      </w:r>
    </w:p>
    <w:p w14:paraId="3B75CEDE" w14:textId="77777777" w:rsidR="00140B7C" w:rsidRPr="00EC4EC4" w:rsidRDefault="00140B7C" w:rsidP="00140B7C">
      <w:pPr>
        <w:kinsoku w:val="0"/>
        <w:spacing w:before="120" w:after="120" w:line="240" w:lineRule="auto"/>
        <w:ind w:left="720" w:hanging="360"/>
        <w:jc w:val="both"/>
        <w:rPr>
          <w:rFonts w:eastAsia="Times New Roman" w:cs="Times New Roman"/>
          <w:bCs/>
          <w:spacing w:val="3"/>
          <w:szCs w:val="24"/>
        </w:rPr>
      </w:pPr>
      <w:r w:rsidRPr="00EC4EC4">
        <w:rPr>
          <w:rFonts w:eastAsia="Times New Roman" w:cs="Times New Roman"/>
          <w:bCs/>
          <w:spacing w:val="3"/>
          <w:szCs w:val="24"/>
        </w:rPr>
        <w:t>3.</w:t>
      </w:r>
      <w:r w:rsidRPr="00EC4EC4">
        <w:rPr>
          <w:rFonts w:eastAsia="Times New Roman" w:cs="Times New Roman"/>
          <w:bCs/>
          <w:spacing w:val="3"/>
          <w:szCs w:val="24"/>
        </w:rPr>
        <w:tab/>
        <w:t>Either:</w:t>
      </w:r>
    </w:p>
    <w:p w14:paraId="318DED72" w14:textId="77777777" w:rsidR="00140B7C" w:rsidRPr="00EC4EC4" w:rsidRDefault="00140B7C" w:rsidP="00140B7C">
      <w:pPr>
        <w:kinsoku w:val="0"/>
        <w:spacing w:before="120" w:after="120" w:line="240" w:lineRule="auto"/>
        <w:ind w:left="1260" w:hanging="540"/>
        <w:jc w:val="both"/>
        <w:rPr>
          <w:rFonts w:eastAsia="Times New Roman" w:cs="Times New Roman"/>
          <w:bCs/>
          <w:spacing w:val="3"/>
          <w:szCs w:val="24"/>
        </w:rPr>
      </w:pPr>
      <w:r w:rsidRPr="00EC4EC4">
        <w:rPr>
          <w:rFonts w:eastAsia="Times New Roman" w:cs="Times New Roman"/>
          <w:bCs/>
          <w:spacing w:val="3"/>
          <w:szCs w:val="24"/>
        </w:rPr>
        <w:t>3.1.</w:t>
      </w:r>
      <w:r w:rsidRPr="00EC4EC4">
        <w:rPr>
          <w:rFonts w:eastAsia="Times New Roman" w:cs="Times New Roman"/>
          <w:bCs/>
          <w:spacing w:val="3"/>
          <w:szCs w:val="24"/>
        </w:rPr>
        <w:tab/>
        <w:t xml:space="preserve">Has at least three (3) years of experience, within the five (5) years prior to application, serving as a full-time project supervisor with on-site responsibility over the construction or demolition of buildings in the city of New York; </w:t>
      </w:r>
      <w:r>
        <w:rPr>
          <w:rFonts w:eastAsia="Times New Roman" w:cs="Times New Roman"/>
          <w:bCs/>
          <w:spacing w:val="3"/>
          <w:szCs w:val="24"/>
        </w:rPr>
        <w:t>[</w:t>
      </w:r>
      <w:r w:rsidRPr="007C5108">
        <w:rPr>
          <w:rFonts w:eastAsia="Times New Roman" w:cs="Times New Roman"/>
          <w:bCs/>
          <w:strike/>
          <w:spacing w:val="3"/>
          <w:szCs w:val="24"/>
        </w:rPr>
        <w:t>or</w:t>
      </w:r>
      <w:r>
        <w:rPr>
          <w:rFonts w:eastAsia="Times New Roman" w:cs="Times New Roman"/>
          <w:bCs/>
          <w:spacing w:val="3"/>
          <w:szCs w:val="24"/>
        </w:rPr>
        <w:t>]</w:t>
      </w:r>
    </w:p>
    <w:p w14:paraId="2CDAFD3D" w14:textId="77777777" w:rsidR="00140B7C" w:rsidRPr="007C5108" w:rsidRDefault="00140B7C" w:rsidP="00140B7C">
      <w:pPr>
        <w:kinsoku w:val="0"/>
        <w:spacing w:before="120" w:after="120" w:line="240" w:lineRule="auto"/>
        <w:ind w:left="1260" w:hanging="540"/>
        <w:jc w:val="both"/>
        <w:rPr>
          <w:rFonts w:eastAsia="Times New Roman" w:cs="Times New Roman"/>
          <w:bCs/>
          <w:spacing w:val="3"/>
          <w:szCs w:val="24"/>
          <w:u w:val="single"/>
        </w:rPr>
      </w:pPr>
      <w:r w:rsidRPr="00EC4EC4">
        <w:rPr>
          <w:rFonts w:eastAsia="Times New Roman" w:cs="Times New Roman"/>
          <w:bCs/>
          <w:spacing w:val="3"/>
          <w:szCs w:val="24"/>
        </w:rPr>
        <w:t>3.2.</w:t>
      </w:r>
      <w:r w:rsidRPr="00EC4EC4">
        <w:rPr>
          <w:rFonts w:eastAsia="Times New Roman" w:cs="Times New Roman"/>
          <w:bCs/>
          <w:spacing w:val="3"/>
          <w:szCs w:val="24"/>
        </w:rPr>
        <w:tab/>
        <w:t>Has at least five (5) years of experience, within the eight (8) years prior to application, serving as a full-time project supervisor with on-site responsibility over the construction or demolition of buildings in the United States</w:t>
      </w:r>
      <w:r>
        <w:rPr>
          <w:rFonts w:eastAsia="Times New Roman" w:cs="Times New Roman"/>
          <w:bCs/>
          <w:spacing w:val="3"/>
          <w:szCs w:val="24"/>
        </w:rPr>
        <w:t>[</w:t>
      </w:r>
      <w:r w:rsidRPr="007C5108">
        <w:rPr>
          <w:rFonts w:eastAsia="Times New Roman" w:cs="Times New Roman"/>
          <w:bCs/>
          <w:strike/>
          <w:spacing w:val="3"/>
          <w:szCs w:val="24"/>
        </w:rPr>
        <w:t>.</w:t>
      </w:r>
      <w:r>
        <w:rPr>
          <w:rFonts w:eastAsia="Times New Roman" w:cs="Times New Roman"/>
          <w:bCs/>
          <w:spacing w:val="3"/>
          <w:szCs w:val="24"/>
        </w:rPr>
        <w:t>]</w:t>
      </w:r>
      <w:r>
        <w:rPr>
          <w:rFonts w:eastAsia="Times New Roman" w:cs="Times New Roman"/>
          <w:bCs/>
          <w:spacing w:val="3"/>
          <w:szCs w:val="24"/>
          <w:u w:val="single"/>
        </w:rPr>
        <w:t>; or</w:t>
      </w:r>
    </w:p>
    <w:p w14:paraId="6831EA4B" w14:textId="77777777" w:rsidR="00140B7C" w:rsidRPr="00EC4EC4" w:rsidRDefault="00140B7C" w:rsidP="00140B7C">
      <w:pPr>
        <w:kinsoku w:val="0"/>
        <w:spacing w:after="0" w:line="240" w:lineRule="auto"/>
        <w:ind w:left="1260" w:hanging="540"/>
        <w:jc w:val="both"/>
        <w:rPr>
          <w:rFonts w:eastAsia="Times New Roman" w:cs="Times New Roman"/>
          <w:bCs/>
          <w:spacing w:val="3"/>
          <w:szCs w:val="24"/>
          <w:u w:val="single"/>
        </w:rPr>
      </w:pPr>
      <w:r w:rsidRPr="00EC4EC4">
        <w:rPr>
          <w:rFonts w:eastAsia="Times New Roman" w:cs="Times New Roman"/>
          <w:bCs/>
          <w:spacing w:val="3"/>
          <w:szCs w:val="24"/>
          <w:u w:val="single"/>
        </w:rPr>
        <w:t>3.3.</w:t>
      </w:r>
      <w:r w:rsidRPr="00EC4EC4">
        <w:rPr>
          <w:rFonts w:eastAsia="Times New Roman" w:cs="Times New Roman"/>
          <w:bCs/>
          <w:spacing w:val="3"/>
          <w:szCs w:val="24"/>
          <w:u w:val="single"/>
        </w:rPr>
        <w:tab/>
      </w:r>
      <w:r w:rsidRPr="00EC4EC4">
        <w:rPr>
          <w:u w:val="single"/>
        </w:rPr>
        <w:t>Has equivalent experience, as specified in rules promulgated by the commissioner.</w:t>
      </w:r>
    </w:p>
    <w:p w14:paraId="5DF636FB" w14:textId="77777777" w:rsidR="00140B7C" w:rsidRPr="00EC4EC4" w:rsidRDefault="00140B7C" w:rsidP="00140B7C">
      <w:pPr>
        <w:kinsoku w:val="0"/>
        <w:spacing w:after="0" w:line="240" w:lineRule="auto"/>
        <w:jc w:val="both"/>
        <w:rPr>
          <w:rFonts w:cs="Times New Roman"/>
          <w:sz w:val="23"/>
          <w:szCs w:val="23"/>
        </w:rPr>
      </w:pPr>
    </w:p>
    <w:p w14:paraId="49A81F10" w14:textId="1DEDBB68" w:rsidR="00140B7C" w:rsidRPr="00EC4EC4" w:rsidRDefault="00140B7C" w:rsidP="00140B7C">
      <w:pPr>
        <w:kinsoku w:val="0"/>
        <w:spacing w:after="0" w:line="240" w:lineRule="auto"/>
        <w:ind w:firstLine="720"/>
        <w:jc w:val="both"/>
        <w:rPr>
          <w:rFonts w:eastAsia="Times New Roman" w:cs="Times New Roman"/>
          <w:b/>
          <w:bCs/>
          <w:szCs w:val="24"/>
        </w:rPr>
      </w:pPr>
      <w:r w:rsidRPr="0019256D">
        <w:rPr>
          <w:rFonts w:cs="Times New Roman"/>
          <w:sz w:val="23"/>
          <w:szCs w:val="23"/>
        </w:rPr>
        <w:t>§5</w:t>
      </w:r>
      <w:r w:rsidR="00896D28">
        <w:rPr>
          <w:rFonts w:cs="Times New Roman"/>
          <w:sz w:val="23"/>
          <w:szCs w:val="23"/>
        </w:rPr>
        <w:t>6</w:t>
      </w:r>
      <w:r w:rsidRPr="0019256D">
        <w:rPr>
          <w:rFonts w:cs="Times New Roman"/>
          <w:sz w:val="23"/>
          <w:szCs w:val="23"/>
        </w:rPr>
        <w:t>. The definition of “OUTDOOR ADVERTISING COMPANY” set forth in section 28-502.1 the administrative code of the city of New York, as added by local law number 33 for the year 2007, shall be ordered in alphabetical order.</w:t>
      </w:r>
    </w:p>
    <w:p w14:paraId="51BC8785" w14:textId="77777777" w:rsidR="00140B7C" w:rsidRDefault="00140B7C" w:rsidP="00140B7C">
      <w:pPr>
        <w:kinsoku w:val="0"/>
        <w:spacing w:after="240" w:line="240" w:lineRule="auto"/>
        <w:ind w:firstLine="720"/>
        <w:jc w:val="both"/>
        <w:rPr>
          <w:rFonts w:cs="Times New Roman"/>
          <w:sz w:val="23"/>
          <w:szCs w:val="23"/>
        </w:rPr>
      </w:pPr>
    </w:p>
    <w:p w14:paraId="48A7E9EF" w14:textId="56ACA54F"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5</w:t>
      </w:r>
      <w:r w:rsidR="00896D28">
        <w:rPr>
          <w:rFonts w:cs="Times New Roman"/>
          <w:sz w:val="23"/>
          <w:szCs w:val="23"/>
        </w:rPr>
        <w:t>7</w:t>
      </w:r>
      <w:r w:rsidRPr="00EC4EC4">
        <w:rPr>
          <w:rFonts w:cs="Times New Roman"/>
          <w:sz w:val="23"/>
          <w:szCs w:val="23"/>
        </w:rPr>
        <w:t>. Section 28-505.3 of the administrative code of the city of New York, as amended by local law number 140 for the year 2021, is amended to read as follows:</w:t>
      </w:r>
    </w:p>
    <w:p w14:paraId="6CC64FE3" w14:textId="77777777" w:rsidR="00140B7C" w:rsidRPr="00EC4EC4" w:rsidRDefault="00140B7C" w:rsidP="00140B7C">
      <w:pPr>
        <w:pStyle w:val="FlushLeft"/>
      </w:pPr>
      <w:r w:rsidRPr="00EC4EC4">
        <w:rPr>
          <w:b/>
          <w:bCs/>
        </w:rPr>
        <w:t>§28-505.3 Covered categories of work.</w:t>
      </w:r>
      <w:r w:rsidRPr="00EC4EC4">
        <w:t xml:space="preserve"> Applications for the approval of construction documents for the following categories of work are covered by this article: </w:t>
      </w:r>
    </w:p>
    <w:p w14:paraId="0EF39E0C" w14:textId="77777777" w:rsidR="00140B7C" w:rsidRPr="00EC4EC4" w:rsidRDefault="00140B7C" w:rsidP="00226293">
      <w:pPr>
        <w:pStyle w:val="FlushLeft"/>
        <w:numPr>
          <w:ilvl w:val="0"/>
          <w:numId w:val="35"/>
        </w:numPr>
        <w:ind w:left="810"/>
        <w:rPr>
          <w:bCs/>
          <w:spacing w:val="3"/>
          <w:szCs w:val="24"/>
          <w:u w:val="single"/>
        </w:rPr>
      </w:pPr>
      <w:r w:rsidRPr="00EC4EC4">
        <w:t>[</w:t>
      </w:r>
      <w:r w:rsidRPr="00EC4EC4">
        <w:rPr>
          <w:strike/>
        </w:rPr>
        <w:t>demolition</w:t>
      </w:r>
      <w:r w:rsidRPr="00EC4EC4">
        <w:t>]</w:t>
      </w:r>
      <w:r w:rsidRPr="00EC4EC4">
        <w:rPr>
          <w:u w:val="single"/>
        </w:rPr>
        <w:t xml:space="preserve">Demolition </w:t>
      </w:r>
      <w:r w:rsidRPr="00EC4EC4">
        <w:t xml:space="preserve">of all or part of the pilot program building, other than interior demolition being conducted in the course of renovation of occupied units for the purpose of repair to such units where the commissioner determines that the issuance of such permit is necessary to perform work to protect public health and safety; </w:t>
      </w:r>
    </w:p>
    <w:p w14:paraId="3302D919" w14:textId="77777777" w:rsidR="00140B7C" w:rsidRPr="00EC4EC4" w:rsidRDefault="00140B7C" w:rsidP="00226293">
      <w:pPr>
        <w:pStyle w:val="FlushLeft"/>
        <w:numPr>
          <w:ilvl w:val="0"/>
          <w:numId w:val="35"/>
        </w:numPr>
        <w:ind w:left="810"/>
        <w:rPr>
          <w:bCs/>
          <w:spacing w:val="3"/>
          <w:szCs w:val="24"/>
          <w:u w:val="single"/>
        </w:rPr>
      </w:pPr>
      <w:r w:rsidRPr="00EC4EC4">
        <w:t>[</w:t>
      </w:r>
      <w:r w:rsidRPr="00EC4EC4">
        <w:rPr>
          <w:strike/>
        </w:rPr>
        <w:t>change</w:t>
      </w:r>
      <w:r w:rsidRPr="00EC4EC4">
        <w:t>]</w:t>
      </w:r>
      <w:r w:rsidRPr="00EC4EC4">
        <w:rPr>
          <w:u w:val="single"/>
        </w:rPr>
        <w:t>Change</w:t>
      </w:r>
      <w:r w:rsidRPr="00EC4EC4">
        <w:t xml:space="preserve"> of use or occupancy of all or part of a dwelling unit, any residential portion of the pilot program building, or any part of such building serving such dwelling units; </w:t>
      </w:r>
    </w:p>
    <w:p w14:paraId="0F4F6A67" w14:textId="77777777" w:rsidR="00140B7C" w:rsidRPr="00EC4EC4" w:rsidRDefault="00140B7C" w:rsidP="00226293">
      <w:pPr>
        <w:pStyle w:val="FlushLeft"/>
        <w:numPr>
          <w:ilvl w:val="0"/>
          <w:numId w:val="35"/>
        </w:numPr>
        <w:ind w:left="810"/>
        <w:rPr>
          <w:bCs/>
          <w:spacing w:val="3"/>
          <w:szCs w:val="24"/>
          <w:u w:val="single"/>
        </w:rPr>
      </w:pPr>
      <w:r w:rsidRPr="00EC4EC4">
        <w:t>[</w:t>
      </w:r>
      <w:r w:rsidRPr="00EC4EC4">
        <w:rPr>
          <w:strike/>
        </w:rPr>
        <w:t>any</w:t>
      </w:r>
      <w:r w:rsidRPr="00EC4EC4">
        <w:t>]</w:t>
      </w:r>
      <w:r w:rsidRPr="00EC4EC4">
        <w:rPr>
          <w:u w:val="single"/>
        </w:rPr>
        <w:t>Any</w:t>
      </w:r>
      <w:r w:rsidRPr="00EC4EC4">
        <w:t xml:space="preserve"> alteration resulting in the addition or removal of kitchen or bathrooms, an increase or decrease in the number of dwelling units, or any change to the layout, configuration, or location of any portion of any dwelling unit; </w:t>
      </w:r>
    </w:p>
    <w:p w14:paraId="74B1AE7B" w14:textId="77777777" w:rsidR="00140B7C" w:rsidRPr="00EC4EC4" w:rsidRDefault="00140B7C" w:rsidP="00226293">
      <w:pPr>
        <w:pStyle w:val="FlushLeft"/>
        <w:numPr>
          <w:ilvl w:val="0"/>
          <w:numId w:val="35"/>
        </w:numPr>
        <w:ind w:left="810"/>
        <w:rPr>
          <w:bCs/>
          <w:spacing w:val="3"/>
          <w:szCs w:val="24"/>
          <w:u w:val="single"/>
        </w:rPr>
      </w:pPr>
      <w:r w:rsidRPr="00EC4EC4">
        <w:lastRenderedPageBreak/>
        <w:t>[</w:t>
      </w:r>
      <w:r w:rsidRPr="00EC4EC4">
        <w:rPr>
          <w:strike/>
        </w:rPr>
        <w:t>an</w:t>
      </w:r>
      <w:r w:rsidRPr="00EC4EC4">
        <w:t>]</w:t>
      </w:r>
      <w:r w:rsidRPr="00EC4EC4">
        <w:rPr>
          <w:u w:val="single"/>
        </w:rPr>
        <w:t>An</w:t>
      </w:r>
      <w:r w:rsidRPr="00EC4EC4">
        <w:t xml:space="preserve"> application for a new or amended certificate of occupancy; or </w:t>
      </w:r>
    </w:p>
    <w:p w14:paraId="5F7FA64F" w14:textId="77777777" w:rsidR="00140B7C" w:rsidRPr="00EC4EC4" w:rsidRDefault="00140B7C" w:rsidP="00226293">
      <w:pPr>
        <w:pStyle w:val="FlushLeft"/>
        <w:numPr>
          <w:ilvl w:val="0"/>
          <w:numId w:val="35"/>
        </w:numPr>
        <w:ind w:left="810"/>
        <w:rPr>
          <w:bCs/>
          <w:spacing w:val="3"/>
          <w:szCs w:val="24"/>
          <w:u w:val="single"/>
        </w:rPr>
      </w:pPr>
      <w:r w:rsidRPr="00EC4EC4">
        <w:t>[</w:t>
      </w:r>
      <w:r w:rsidRPr="00EC4EC4">
        <w:rPr>
          <w:strike/>
        </w:rPr>
        <w:t>such</w:t>
      </w:r>
      <w:r w:rsidRPr="00EC4EC4">
        <w:t>]</w:t>
      </w:r>
      <w:r w:rsidRPr="00EC4EC4">
        <w:rPr>
          <w:u w:val="single"/>
        </w:rPr>
        <w:t>Such</w:t>
      </w:r>
      <w:r w:rsidRPr="00EC4EC4">
        <w:t xml:space="preserve"> other types of alteration work to a pilot program building as shall be prescribed by rule of the commissioner of housing preservation and development. </w:t>
      </w:r>
    </w:p>
    <w:p w14:paraId="3F1C07D4" w14:textId="77777777" w:rsidR="00140B7C" w:rsidRPr="00EC4EC4" w:rsidRDefault="00140B7C" w:rsidP="00140B7C">
      <w:pPr>
        <w:pStyle w:val="FlushLeft"/>
        <w:ind w:left="450"/>
      </w:pPr>
      <w:r w:rsidRPr="00EC4EC4">
        <w:t xml:space="preserve">Exceptions: </w:t>
      </w:r>
    </w:p>
    <w:p w14:paraId="316535C5" w14:textId="77777777" w:rsidR="00140B7C" w:rsidRPr="00EC4EC4" w:rsidRDefault="00140B7C" w:rsidP="00140B7C">
      <w:pPr>
        <w:pStyle w:val="FlushLeft"/>
        <w:ind w:left="1080" w:hanging="270"/>
      </w:pPr>
      <w:r w:rsidRPr="00EC4EC4">
        <w:t xml:space="preserve">1. Work solely for the purpose of either (i) making the public areas of a pilot program building accessible to persons with disabilities without altering the configuration of any dwelling unit or rooming unit or (ii) making the interior or the entrance to a dwelling unit or a rooming unit accessible to persons with disabilities shall not be covered by this article. </w:t>
      </w:r>
    </w:p>
    <w:p w14:paraId="12CC93AC" w14:textId="77777777" w:rsidR="00140B7C" w:rsidRPr="00EC4EC4" w:rsidRDefault="00140B7C" w:rsidP="00140B7C">
      <w:pPr>
        <w:pStyle w:val="FlushLeft"/>
        <w:ind w:left="1080" w:hanging="270"/>
      </w:pPr>
      <w:r w:rsidRPr="00EC4EC4">
        <w:t xml:space="preserve">2. Repairs, demolition or any other work performed by a city agency or by a contractor pursuant to a contract with a city agency shall not be covered by this article. </w:t>
      </w:r>
    </w:p>
    <w:p w14:paraId="4D49DD70" w14:textId="77777777" w:rsidR="00140B7C" w:rsidRPr="00EC4EC4" w:rsidRDefault="00140B7C" w:rsidP="00140B7C">
      <w:pPr>
        <w:pStyle w:val="FlushLeft"/>
        <w:ind w:left="1080" w:hanging="270"/>
      </w:pPr>
      <w:r w:rsidRPr="00EC4EC4">
        <w:t xml:space="preserve">3. Repairs, replacement, modification, or partial demolition work in a building that is the minimum required to be performed to address conditions for rescission of a vacate order issued by the department of housing preservation and development or the department. </w:t>
      </w:r>
    </w:p>
    <w:p w14:paraId="25C0F51F" w14:textId="77777777" w:rsidR="00140B7C" w:rsidRPr="00EC4EC4" w:rsidRDefault="00140B7C" w:rsidP="00140B7C">
      <w:pPr>
        <w:pStyle w:val="FlushLeft"/>
        <w:ind w:left="1080" w:hanging="270"/>
      </w:pPr>
      <w:r w:rsidRPr="00EC4EC4">
        <w:t xml:space="preserve">4. Work performed on a building that has an administrator currently appointed pursuant to article seven-a of the real property actions and proceedings law shall not be covered by this article. </w:t>
      </w:r>
    </w:p>
    <w:p w14:paraId="76885B28" w14:textId="77777777" w:rsidR="00140B7C" w:rsidRPr="00805CE3" w:rsidRDefault="00140B7C" w:rsidP="00140B7C">
      <w:pPr>
        <w:pStyle w:val="FlushLeft"/>
        <w:ind w:left="1080" w:hanging="270"/>
      </w:pPr>
      <w:r w:rsidRPr="00EC4EC4">
        <w:t>5. Other categories of work that are excluded from the definition of covered categories of work by rule of the department of housing preservation and development shall not be covered by this article.</w:t>
      </w:r>
    </w:p>
    <w:p w14:paraId="681E16DF" w14:textId="58BDE997" w:rsidR="00140B7C"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5</w:t>
      </w:r>
      <w:r w:rsidR="00896D28">
        <w:rPr>
          <w:rFonts w:cs="Times New Roman"/>
          <w:sz w:val="23"/>
          <w:szCs w:val="23"/>
        </w:rPr>
        <w:t>8</w:t>
      </w:r>
      <w:r w:rsidRPr="00EC4EC4">
        <w:rPr>
          <w:rFonts w:cs="Times New Roman"/>
          <w:sz w:val="23"/>
          <w:szCs w:val="23"/>
        </w:rPr>
        <w:t>. Section 1</w:t>
      </w:r>
      <w:r>
        <w:rPr>
          <w:rFonts w:cs="Times New Roman"/>
          <w:sz w:val="23"/>
          <w:szCs w:val="23"/>
        </w:rPr>
        <w:t>01.2</w:t>
      </w:r>
      <w:r w:rsidRPr="00EC4EC4">
        <w:rPr>
          <w:rFonts w:cs="Times New Roman"/>
          <w:sz w:val="23"/>
          <w:szCs w:val="23"/>
        </w:rPr>
        <w:t xml:space="preserve"> of  the New York</w:t>
      </w:r>
      <w:r>
        <w:rPr>
          <w:rFonts w:cs="Times New Roman"/>
          <w:sz w:val="23"/>
          <w:szCs w:val="23"/>
        </w:rPr>
        <w:t xml:space="preserve"> city</w:t>
      </w:r>
      <w:r w:rsidRPr="00EC4EC4">
        <w:rPr>
          <w:rFonts w:cs="Times New Roman"/>
          <w:sz w:val="23"/>
          <w:szCs w:val="23"/>
        </w:rPr>
        <w:t xml:space="preserve"> plumbing code, as amended by local law number 14 for the year 2020, is amended to read as follows:</w:t>
      </w:r>
    </w:p>
    <w:p w14:paraId="65606744" w14:textId="77777777" w:rsidR="00140B7C" w:rsidRDefault="00140B7C" w:rsidP="00140B7C">
      <w:pPr>
        <w:spacing w:after="0" w:line="240" w:lineRule="auto"/>
        <w:jc w:val="both"/>
        <w:rPr>
          <w:rFonts w:cs="Times New Roman"/>
          <w:b/>
          <w:bCs/>
          <w:szCs w:val="24"/>
          <w:highlight w:val="yellow"/>
        </w:rPr>
      </w:pPr>
    </w:p>
    <w:p w14:paraId="3E667804" w14:textId="77777777" w:rsidR="00140B7C" w:rsidRPr="005A5621" w:rsidRDefault="00140B7C" w:rsidP="00140B7C">
      <w:pPr>
        <w:spacing w:after="0" w:line="240" w:lineRule="auto"/>
        <w:jc w:val="both"/>
        <w:rPr>
          <w:rFonts w:cs="Times New Roman"/>
          <w:szCs w:val="24"/>
        </w:rPr>
      </w:pPr>
      <w:r w:rsidRPr="00FA1EB1">
        <w:rPr>
          <w:rFonts w:cs="Times New Roman"/>
          <w:b/>
          <w:bCs/>
          <w:szCs w:val="24"/>
        </w:rPr>
        <w:t>101.2 Scope.</w:t>
      </w:r>
      <w:r w:rsidRPr="00FA1EB1">
        <w:rPr>
          <w:rFonts w:cs="Times New Roman"/>
          <w:szCs w:val="24"/>
        </w:rPr>
        <w:t xml:space="preserve"> The provisions of this code shall apply to the erection, installation, alteration, repair, relocation, replacement, addition to, use or maintenance of plumbing systems. This code shall also regulate nonflammable medical </w:t>
      </w:r>
      <w:r w:rsidRPr="00FA1EB1">
        <w:rPr>
          <w:rFonts w:cs="Times New Roman"/>
          <w:szCs w:val="24"/>
          <w:u w:val="single"/>
        </w:rPr>
        <w:t xml:space="preserve">and nonmedical </w:t>
      </w:r>
      <w:r w:rsidRPr="00FA1EB1">
        <w:rPr>
          <w:rFonts w:cs="Times New Roman"/>
          <w:szCs w:val="24"/>
        </w:rPr>
        <w:t>gas, [</w:t>
      </w:r>
      <w:r w:rsidRPr="00FA1EB1">
        <w:rPr>
          <w:rFonts w:cs="Times New Roman"/>
          <w:strike/>
          <w:szCs w:val="24"/>
        </w:rPr>
        <w:t>inhalation anesthetic, vacuum piping,</w:t>
      </w:r>
      <w:r w:rsidRPr="00FA1EB1">
        <w:rPr>
          <w:rFonts w:cs="Times New Roman"/>
          <w:szCs w:val="24"/>
        </w:rPr>
        <w:t>] nonmedical oxygen systems</w:t>
      </w:r>
      <w:r w:rsidRPr="00FA1EB1">
        <w:rPr>
          <w:rFonts w:cs="Times New Roman"/>
          <w:szCs w:val="24"/>
          <w:u w:val="single"/>
        </w:rPr>
        <w:t>,</w:t>
      </w:r>
      <w:r w:rsidRPr="00FA1EB1">
        <w:rPr>
          <w:rFonts w:cs="Times New Roman"/>
          <w:szCs w:val="24"/>
        </w:rPr>
        <w:t xml:space="preserve"> and sanitary and condensate vacuum collection systems. The installation of fuel-gas distribution piping and equipment, fuel gas-fired water heaters, and water heater venting systems shall be regulated by the New York City Fuel Gas Code.</w:t>
      </w:r>
    </w:p>
    <w:bookmarkEnd w:id="15"/>
    <w:p w14:paraId="7C1702E6" w14:textId="77777777" w:rsidR="00140B7C" w:rsidRDefault="00140B7C" w:rsidP="00140B7C">
      <w:pPr>
        <w:kinsoku w:val="0"/>
        <w:spacing w:after="0" w:line="240" w:lineRule="auto"/>
        <w:ind w:firstLine="720"/>
        <w:jc w:val="both"/>
        <w:rPr>
          <w:rFonts w:cs="Times New Roman"/>
          <w:sz w:val="23"/>
          <w:szCs w:val="23"/>
        </w:rPr>
      </w:pPr>
    </w:p>
    <w:p w14:paraId="19D71C68" w14:textId="5C30D500" w:rsidR="00140B7C"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5</w:t>
      </w:r>
      <w:r w:rsidR="00896D28">
        <w:rPr>
          <w:rFonts w:cs="Times New Roman"/>
          <w:sz w:val="23"/>
          <w:szCs w:val="23"/>
        </w:rPr>
        <w:t>9</w:t>
      </w:r>
      <w:r w:rsidRPr="00EC4EC4">
        <w:rPr>
          <w:rFonts w:cs="Times New Roman"/>
          <w:sz w:val="23"/>
          <w:szCs w:val="23"/>
        </w:rPr>
        <w:t>. Section 107.4 of  the New York</w:t>
      </w:r>
      <w:r>
        <w:rPr>
          <w:rFonts w:cs="Times New Roman"/>
          <w:sz w:val="23"/>
          <w:szCs w:val="23"/>
        </w:rPr>
        <w:t xml:space="preserve"> city</w:t>
      </w:r>
      <w:r w:rsidRPr="00EC4EC4">
        <w:rPr>
          <w:rFonts w:cs="Times New Roman"/>
          <w:sz w:val="23"/>
          <w:szCs w:val="23"/>
        </w:rPr>
        <w:t xml:space="preserve"> plumbing code, as amended by local law number 14 for the year 2020, is amended to read as follows:</w:t>
      </w:r>
    </w:p>
    <w:p w14:paraId="6C697627" w14:textId="77777777" w:rsidR="00140B7C" w:rsidRPr="00EC4EC4" w:rsidRDefault="00140B7C" w:rsidP="00140B7C">
      <w:pPr>
        <w:kinsoku w:val="0"/>
        <w:spacing w:after="0" w:line="240" w:lineRule="auto"/>
        <w:ind w:firstLine="720"/>
        <w:jc w:val="both"/>
        <w:rPr>
          <w:rFonts w:eastAsia="Times New Roman" w:cs="Times New Roman"/>
          <w:b/>
          <w:bCs/>
          <w:szCs w:val="24"/>
        </w:rPr>
      </w:pPr>
    </w:p>
    <w:p w14:paraId="24E6B519" w14:textId="77777777" w:rsidR="00140B7C" w:rsidRPr="00EC4EC4" w:rsidRDefault="00140B7C" w:rsidP="00140B7C">
      <w:pPr>
        <w:pStyle w:val="FlushLeft"/>
      </w:pPr>
      <w:r w:rsidRPr="00EC4EC4">
        <w:rPr>
          <w:b/>
          <w:bCs/>
        </w:rPr>
        <w:t>107.4 Building classification statement.</w:t>
      </w:r>
      <w:r w:rsidRPr="00EC4EC4">
        <w:t xml:space="preserve"> Where applicable to the proposed work, the statement shall identify: </w:t>
      </w:r>
    </w:p>
    <w:p w14:paraId="41BE4E88" w14:textId="77777777" w:rsidR="00140B7C" w:rsidRPr="00EC4EC4" w:rsidRDefault="00140B7C" w:rsidP="00140B7C">
      <w:pPr>
        <w:pStyle w:val="FlushLeft"/>
        <w:ind w:left="720" w:hanging="270"/>
      </w:pPr>
      <w:r w:rsidRPr="00EC4EC4">
        <w:t xml:space="preserve">1. The occupancy group or groups that apply to parts of the building in accordance with Section 302 of the New York City Building Code; </w:t>
      </w:r>
    </w:p>
    <w:p w14:paraId="3CD79810" w14:textId="77777777" w:rsidR="00140B7C" w:rsidRPr="00EC4EC4" w:rsidRDefault="00140B7C" w:rsidP="00140B7C">
      <w:pPr>
        <w:pStyle w:val="FlushLeft"/>
        <w:ind w:left="720" w:hanging="270"/>
      </w:pPr>
      <w:r w:rsidRPr="00EC4EC4">
        <w:lastRenderedPageBreak/>
        <w:t xml:space="preserve">2. The occupancy group of the main use or dominant occupancy of the building; </w:t>
      </w:r>
    </w:p>
    <w:p w14:paraId="35F183CA" w14:textId="77777777" w:rsidR="00140B7C" w:rsidRPr="00EC4EC4" w:rsidRDefault="00140B7C" w:rsidP="00140B7C">
      <w:pPr>
        <w:pStyle w:val="FlushLeft"/>
        <w:ind w:left="720" w:hanging="270"/>
      </w:pPr>
      <w:r w:rsidRPr="00EC4EC4">
        <w:t xml:space="preserve">3. The construction type of the building in accordance with Section 602 of the New York City Building Code; </w:t>
      </w:r>
    </w:p>
    <w:p w14:paraId="0D59BE64" w14:textId="77777777" w:rsidR="00140B7C" w:rsidRPr="00EC4EC4" w:rsidRDefault="00140B7C" w:rsidP="00140B7C">
      <w:pPr>
        <w:pStyle w:val="FlushLeft"/>
        <w:ind w:left="720" w:hanging="270"/>
      </w:pPr>
      <w:r w:rsidRPr="00EC4EC4">
        <w:t xml:space="preserve">4. The structure category in accordance with Table 1604.5 of the New York City Building Code; </w:t>
      </w:r>
    </w:p>
    <w:p w14:paraId="46E9CC48" w14:textId="77777777" w:rsidR="00140B7C" w:rsidRPr="00EC4EC4" w:rsidRDefault="00140B7C" w:rsidP="00140B7C">
      <w:pPr>
        <w:pStyle w:val="FlushLeft"/>
        <w:ind w:left="720" w:hanging="270"/>
      </w:pPr>
      <w:r w:rsidRPr="00EC4EC4">
        <w:t xml:space="preserve">5. The height of the building as defined in Section 202 of the New York City Building Code; </w:t>
      </w:r>
    </w:p>
    <w:p w14:paraId="124ECAB7" w14:textId="77777777" w:rsidR="00140B7C" w:rsidRPr="00EC4EC4" w:rsidRDefault="00140B7C" w:rsidP="00140B7C">
      <w:pPr>
        <w:pStyle w:val="FlushLeft"/>
        <w:ind w:left="720" w:hanging="270"/>
      </w:pPr>
      <w:r w:rsidRPr="00EC4EC4">
        <w:t xml:space="preserve">6. The applicable measurements to the highest and lowest level of Fire Department access; </w:t>
      </w:r>
    </w:p>
    <w:p w14:paraId="73C378D0" w14:textId="77777777" w:rsidR="00140B7C" w:rsidRPr="00EC4EC4" w:rsidRDefault="00140B7C" w:rsidP="00140B7C">
      <w:pPr>
        <w:pStyle w:val="FlushLeft"/>
        <w:ind w:left="720" w:hanging="270"/>
      </w:pPr>
      <w:r w:rsidRPr="00EC4EC4">
        <w:t xml:space="preserve">7. Whether the building is inside or outside of the fire districts; and </w:t>
      </w:r>
    </w:p>
    <w:p w14:paraId="2CFEB574" w14:textId="77777777" w:rsidR="00140B7C" w:rsidRPr="00EC4EC4" w:rsidRDefault="00140B7C" w:rsidP="00140B7C">
      <w:pPr>
        <w:pStyle w:val="FlushLeft"/>
        <w:ind w:left="720" w:hanging="270"/>
        <w:rPr>
          <w:szCs w:val="24"/>
        </w:rPr>
      </w:pPr>
      <w:r w:rsidRPr="00EC4EC4">
        <w:t>8. Whether the building is inside or outside a flood hazard area as such term is defined in [</w:t>
      </w:r>
      <w:r w:rsidRPr="00EC4EC4">
        <w:rPr>
          <w:strike/>
        </w:rPr>
        <w:t>Appendix G</w:t>
      </w:r>
      <w:r w:rsidRPr="00EC4EC4">
        <w:t>]</w:t>
      </w:r>
      <w:r w:rsidRPr="00EC4EC4">
        <w:rPr>
          <w:u w:val="single"/>
        </w:rPr>
        <w:t>Chapter 2</w:t>
      </w:r>
      <w:r w:rsidRPr="00EC4EC4">
        <w:t xml:space="preserve"> of the New York City Building Code.</w:t>
      </w:r>
    </w:p>
    <w:p w14:paraId="42840094" w14:textId="4BA90F76" w:rsidR="00140B7C" w:rsidRPr="00EC4EC4"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sidR="00896D28">
        <w:rPr>
          <w:rFonts w:cs="Times New Roman"/>
          <w:sz w:val="23"/>
          <w:szCs w:val="23"/>
        </w:rPr>
        <w:t>60</w:t>
      </w:r>
      <w:r w:rsidRPr="00EC4EC4">
        <w:rPr>
          <w:rFonts w:cs="Times New Roman"/>
          <w:sz w:val="23"/>
          <w:szCs w:val="23"/>
        </w:rPr>
        <w:t>. Section 107.5 of  the New York city plumbing code, as amended by local law number 14 for the year 2020, is amended to read as follows:</w:t>
      </w:r>
    </w:p>
    <w:p w14:paraId="5D16F4A5" w14:textId="77777777" w:rsidR="00140B7C" w:rsidRPr="00EC4EC4" w:rsidRDefault="00140B7C" w:rsidP="00140B7C">
      <w:pPr>
        <w:kinsoku w:val="0"/>
        <w:spacing w:after="240" w:line="240" w:lineRule="auto"/>
        <w:jc w:val="both"/>
      </w:pPr>
      <w:r w:rsidRPr="00EC4EC4">
        <w:rPr>
          <w:b/>
          <w:bCs/>
        </w:rPr>
        <w:t>107.5 Plumbing plans.</w:t>
      </w:r>
      <w:r w:rsidRPr="00EC4EC4">
        <w:t xml:space="preserve"> Construction documents for plumbing work shall contain plans which include the following data and information. Such plans shall not be required in connection with applications for limited plumbing alterations. </w:t>
      </w:r>
    </w:p>
    <w:p w14:paraId="54B457B3" w14:textId="77777777" w:rsidR="00140B7C" w:rsidRPr="00EC4EC4" w:rsidRDefault="00140B7C" w:rsidP="00140B7C">
      <w:pPr>
        <w:kinsoku w:val="0"/>
        <w:spacing w:after="240" w:line="240" w:lineRule="auto"/>
        <w:ind w:left="810" w:hanging="270"/>
        <w:jc w:val="both"/>
      </w:pPr>
      <w:r w:rsidRPr="00EC4EC4">
        <w:t xml:space="preserve">1. Riser diagrams showing the story heights, all plumbing fixtures with diagrammatic arrangement of their connections to soil, waste, and vent piping, all soil, waste, and vent stacks from the point of connection with the building drain to their termination above the roof, all leader and storm water piping from the point of connection with the building drain to the roof drain, and all risers. </w:t>
      </w:r>
    </w:p>
    <w:p w14:paraId="25954E3D" w14:textId="77777777" w:rsidR="00140B7C" w:rsidRPr="00EC4EC4" w:rsidRDefault="00140B7C" w:rsidP="00140B7C">
      <w:pPr>
        <w:kinsoku w:val="0"/>
        <w:spacing w:after="240" w:line="240" w:lineRule="auto"/>
        <w:ind w:left="810" w:hanging="270"/>
        <w:jc w:val="both"/>
      </w:pPr>
      <w:r w:rsidRPr="00EC4EC4">
        <w:t xml:space="preserve">2. Diagrammatic floor plans showing the location, layout, and spacing of all plumbing fixtures, the summation of plumbing loads, the size, location, and material for all building sewers and drains, and the soil, waste, vent, water, and gas distribution piping. </w:t>
      </w:r>
    </w:p>
    <w:p w14:paraId="6BE73653" w14:textId="77777777" w:rsidR="00140B7C" w:rsidRPr="00EC4EC4" w:rsidRDefault="00140B7C" w:rsidP="00140B7C">
      <w:pPr>
        <w:kinsoku w:val="0"/>
        <w:spacing w:after="240" w:line="240" w:lineRule="auto"/>
        <w:ind w:left="720" w:hanging="180"/>
        <w:jc w:val="both"/>
      </w:pPr>
      <w:r w:rsidRPr="00EC4EC4">
        <w:t xml:space="preserve">3. Floor plans showing typical layouts; and stack details shown on one drawing, provided that such details are clearly identified as to location and stack number. </w:t>
      </w:r>
    </w:p>
    <w:p w14:paraId="201C08E3" w14:textId="77777777" w:rsidR="00140B7C" w:rsidRPr="00EC4EC4" w:rsidRDefault="00140B7C" w:rsidP="00140B7C">
      <w:pPr>
        <w:kinsoku w:val="0"/>
        <w:spacing w:after="240" w:line="240" w:lineRule="auto"/>
        <w:ind w:left="810" w:hanging="270"/>
        <w:jc w:val="both"/>
      </w:pPr>
      <w:r w:rsidRPr="00EC4EC4">
        <w:t xml:space="preserve">4. Plans clearly indicating all appurtenant equipment, including, but not limited to, pumps,  ejectors, water tanks, and piping. </w:t>
      </w:r>
    </w:p>
    <w:p w14:paraId="6E8DB452" w14:textId="77777777" w:rsidR="00140B7C" w:rsidRPr="00EC4EC4" w:rsidRDefault="00140B7C" w:rsidP="00140B7C">
      <w:pPr>
        <w:kinsoku w:val="0"/>
        <w:spacing w:after="240" w:line="240" w:lineRule="auto"/>
        <w:ind w:left="810" w:hanging="270"/>
        <w:jc w:val="both"/>
      </w:pPr>
      <w:r w:rsidRPr="00EC4EC4">
        <w:t xml:space="preserve">5. In the case of plans for new plumbing systems, and alterations of existing plumbing systems, plans indicating: </w:t>
      </w:r>
    </w:p>
    <w:p w14:paraId="4D4B8F0C" w14:textId="77777777" w:rsidR="00140B7C" w:rsidRPr="00EC4EC4" w:rsidRDefault="00140B7C" w:rsidP="00140B7C">
      <w:pPr>
        <w:kinsoku w:val="0"/>
        <w:spacing w:after="240" w:line="240" w:lineRule="auto"/>
        <w:ind w:left="1440" w:hanging="450"/>
        <w:jc w:val="both"/>
      </w:pPr>
      <w:r w:rsidRPr="00EC4EC4">
        <w:t xml:space="preserve">5.1. The relative elevation of the lowest fixture referred to the city datum provided in Section 28-104.7.6 of the Administrative Code and the approximate inside top of the public sewers; </w:t>
      </w:r>
    </w:p>
    <w:p w14:paraId="66BB9081" w14:textId="77777777" w:rsidR="00140B7C" w:rsidRPr="00EC4EC4" w:rsidRDefault="00140B7C" w:rsidP="00140B7C">
      <w:pPr>
        <w:kinsoku w:val="0"/>
        <w:spacing w:after="240" w:line="240" w:lineRule="auto"/>
        <w:ind w:left="1440" w:hanging="450"/>
        <w:jc w:val="both"/>
      </w:pPr>
      <w:r w:rsidRPr="00EC4EC4">
        <w:lastRenderedPageBreak/>
        <w:t xml:space="preserve">5.2. The number, size, and location of all proposed sewer connections and relative location and size of all water mains, leaders, and risers; and </w:t>
      </w:r>
    </w:p>
    <w:p w14:paraId="44A39A33" w14:textId="77777777" w:rsidR="00140B7C" w:rsidRPr="00EC4EC4" w:rsidRDefault="00140B7C" w:rsidP="00140B7C">
      <w:pPr>
        <w:kinsoku w:val="0"/>
        <w:spacing w:after="240" w:line="240" w:lineRule="auto"/>
        <w:ind w:left="1440" w:hanging="450"/>
        <w:jc w:val="both"/>
      </w:pPr>
      <w:r w:rsidRPr="00EC4EC4">
        <w:t xml:space="preserve">5.3. A statement from the Department of Environmental Protection, giving the minimum water pressure in the main serving the building.  </w:t>
      </w:r>
    </w:p>
    <w:p w14:paraId="535F8199" w14:textId="77777777" w:rsidR="00140B7C" w:rsidRPr="00EC4EC4" w:rsidRDefault="00140B7C" w:rsidP="00140B7C">
      <w:pPr>
        <w:kinsoku w:val="0"/>
        <w:spacing w:after="240" w:line="240" w:lineRule="auto"/>
        <w:ind w:left="810" w:hanging="270"/>
        <w:jc w:val="both"/>
      </w:pPr>
      <w:r w:rsidRPr="00EC4EC4">
        <w:t xml:space="preserve">6. Seismic protection and restraint details for piping and equipment as required by Chapter 16 of the New York City Building Code. </w:t>
      </w:r>
    </w:p>
    <w:p w14:paraId="11FBBA14" w14:textId="77777777" w:rsidR="00140B7C" w:rsidRPr="00EC4EC4" w:rsidRDefault="00140B7C" w:rsidP="00140B7C">
      <w:pPr>
        <w:kinsoku w:val="0"/>
        <w:spacing w:after="240" w:line="240" w:lineRule="auto"/>
        <w:ind w:left="810" w:hanging="270"/>
        <w:jc w:val="both"/>
      </w:pPr>
      <w:r w:rsidRPr="00EC4EC4">
        <w:t xml:space="preserve">7. Details showing structural supports for water tanks where required. </w:t>
      </w:r>
    </w:p>
    <w:p w14:paraId="011E4F89" w14:textId="77777777" w:rsidR="00140B7C" w:rsidRPr="00EC4EC4" w:rsidRDefault="00140B7C" w:rsidP="00140B7C">
      <w:pPr>
        <w:kinsoku w:val="0"/>
        <w:spacing w:after="240" w:line="240" w:lineRule="auto"/>
        <w:ind w:left="810" w:hanging="270"/>
        <w:jc w:val="both"/>
      </w:pPr>
      <w:r w:rsidRPr="00EC4EC4">
        <w:t>8. In [</w:t>
      </w:r>
      <w:r w:rsidRPr="00EC4EC4">
        <w:rPr>
          <w:strike/>
        </w:rPr>
        <w:t>special</w:t>
      </w:r>
      <w:r w:rsidRPr="00EC4EC4">
        <w:t>] flood hazard areas, construction documents shall comply with Appendix G of the New York City Building Code.</w:t>
      </w:r>
    </w:p>
    <w:p w14:paraId="02DDEC14" w14:textId="690144F1" w:rsidR="00140B7C" w:rsidRPr="00EC4EC4"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sidR="00896D28">
        <w:rPr>
          <w:rFonts w:cs="Times New Roman"/>
          <w:sz w:val="23"/>
          <w:szCs w:val="23"/>
        </w:rPr>
        <w:t>61</w:t>
      </w:r>
      <w:r w:rsidRPr="00EC4EC4">
        <w:rPr>
          <w:rFonts w:cs="Times New Roman"/>
          <w:sz w:val="23"/>
          <w:szCs w:val="23"/>
        </w:rPr>
        <w:t>. Section 107.9 of  the New York city plumbing code, as amended by local law number 14 for the year 2020, is amended to read as follows:</w:t>
      </w:r>
    </w:p>
    <w:p w14:paraId="16B65C50" w14:textId="77777777" w:rsidR="00140B7C" w:rsidRPr="00EC4EC4" w:rsidRDefault="00140B7C" w:rsidP="00140B7C">
      <w:pPr>
        <w:widowControl w:val="0"/>
        <w:kinsoku w:val="0"/>
        <w:spacing w:after="0" w:line="240" w:lineRule="auto"/>
        <w:jc w:val="both"/>
        <w:rPr>
          <w:rFonts w:eastAsia="Times New Roman" w:cs="Times New Roman"/>
          <w:spacing w:val="2"/>
          <w:szCs w:val="24"/>
        </w:rPr>
      </w:pPr>
      <w:r w:rsidRPr="00EC4EC4">
        <w:rPr>
          <w:rFonts w:eastAsia="Times New Roman" w:cs="Times New Roman"/>
          <w:b/>
          <w:szCs w:val="24"/>
        </w:rPr>
        <w:t>107.9 Private stormwater or sewage disposal system.</w:t>
      </w:r>
      <w:r w:rsidRPr="00EC4EC4">
        <w:rPr>
          <w:rFonts w:eastAsia="Times New Roman" w:cs="Times New Roman"/>
          <w:b/>
          <w:bCs/>
          <w:spacing w:val="-8"/>
          <w:w w:val="110"/>
          <w:szCs w:val="24"/>
        </w:rPr>
        <w:t xml:space="preserve"> </w:t>
      </w:r>
      <w:r w:rsidRPr="00EC4EC4">
        <w:rPr>
          <w:rFonts w:eastAsia="Times New Roman" w:cs="Times New Roman"/>
          <w:spacing w:val="2"/>
          <w:szCs w:val="24"/>
        </w:rPr>
        <w:t>If a private stormwater or sewage disposal system is to be installed, a site and subsoil evaluation indicating that the site and subsoil conditions comply with the applicable laws and rules shall be submitted in accordance with the provisions of Section [</w:t>
      </w:r>
      <w:r w:rsidRPr="00EC4EC4">
        <w:rPr>
          <w:rFonts w:eastAsia="Times New Roman" w:cs="Times New Roman"/>
          <w:strike/>
          <w:spacing w:val="2"/>
          <w:szCs w:val="24"/>
        </w:rPr>
        <w:t>1704.20.1</w:t>
      </w:r>
      <w:r w:rsidRPr="00EC4EC4">
        <w:rPr>
          <w:rFonts w:eastAsia="Times New Roman" w:cs="Times New Roman"/>
          <w:spacing w:val="2"/>
          <w:szCs w:val="24"/>
        </w:rPr>
        <w:t>]</w:t>
      </w:r>
      <w:r w:rsidRPr="00EC4EC4">
        <w:rPr>
          <w:rFonts w:eastAsia="Times New Roman" w:cs="Times New Roman"/>
          <w:spacing w:val="2"/>
          <w:szCs w:val="24"/>
          <w:u w:val="single"/>
        </w:rPr>
        <w:t>170</w:t>
      </w:r>
      <w:r>
        <w:rPr>
          <w:rFonts w:eastAsia="Times New Roman" w:cs="Times New Roman"/>
          <w:spacing w:val="2"/>
          <w:szCs w:val="24"/>
          <w:u w:val="single"/>
        </w:rPr>
        <w:t>5</w:t>
      </w:r>
      <w:r w:rsidRPr="00EC4EC4">
        <w:rPr>
          <w:rFonts w:eastAsia="Times New Roman" w:cs="Times New Roman"/>
          <w:spacing w:val="2"/>
          <w:szCs w:val="24"/>
          <w:u w:val="single"/>
        </w:rPr>
        <w:t>.27</w:t>
      </w:r>
      <w:r w:rsidRPr="00EC4EC4">
        <w:rPr>
          <w:rFonts w:eastAsia="Times New Roman" w:cs="Times New Roman"/>
          <w:spacing w:val="2"/>
          <w:szCs w:val="24"/>
        </w:rPr>
        <w:t xml:space="preserve"> of the </w:t>
      </w:r>
      <w:r w:rsidRPr="00EC4EC4">
        <w:rPr>
          <w:rFonts w:eastAsia="Times New Roman" w:cs="Times New Roman"/>
          <w:i/>
          <w:spacing w:val="2"/>
          <w:szCs w:val="24"/>
        </w:rPr>
        <w:t>New York City Building Code</w:t>
      </w:r>
      <w:r w:rsidRPr="00EC4EC4">
        <w:rPr>
          <w:rFonts w:eastAsia="Times New Roman" w:cs="Times New Roman"/>
          <w:spacing w:val="2"/>
          <w:szCs w:val="24"/>
        </w:rPr>
        <w:t>.</w:t>
      </w:r>
    </w:p>
    <w:p w14:paraId="6D002C02" w14:textId="77777777" w:rsidR="00140B7C" w:rsidRPr="00EC4EC4" w:rsidRDefault="00140B7C" w:rsidP="00140B7C">
      <w:pPr>
        <w:kinsoku w:val="0"/>
        <w:spacing w:after="0" w:line="240" w:lineRule="auto"/>
        <w:ind w:firstLine="720"/>
        <w:jc w:val="both"/>
        <w:rPr>
          <w:rFonts w:cs="Times New Roman"/>
          <w:sz w:val="23"/>
          <w:szCs w:val="23"/>
        </w:rPr>
      </w:pPr>
    </w:p>
    <w:p w14:paraId="3AA52A19" w14:textId="608E5EE9" w:rsidR="00140B7C" w:rsidRPr="00EC4EC4" w:rsidRDefault="00140B7C" w:rsidP="00140B7C">
      <w:pPr>
        <w:kinsoku w:val="0"/>
        <w:spacing w:after="0" w:line="240" w:lineRule="auto"/>
        <w:ind w:firstLine="720"/>
        <w:jc w:val="both"/>
        <w:rPr>
          <w:rFonts w:cs="Times New Roman"/>
          <w:sz w:val="23"/>
          <w:szCs w:val="23"/>
        </w:rPr>
      </w:pPr>
      <w:r w:rsidRPr="001613CB">
        <w:rPr>
          <w:rFonts w:cs="Times New Roman"/>
          <w:sz w:val="23"/>
          <w:szCs w:val="23"/>
        </w:rPr>
        <w:t>§</w:t>
      </w:r>
      <w:r w:rsidR="00896D28">
        <w:rPr>
          <w:rFonts w:cs="Times New Roman"/>
          <w:sz w:val="23"/>
          <w:szCs w:val="23"/>
        </w:rPr>
        <w:t>62</w:t>
      </w:r>
      <w:r w:rsidRPr="001613CB">
        <w:rPr>
          <w:rFonts w:cs="Times New Roman"/>
          <w:sz w:val="23"/>
          <w:szCs w:val="23"/>
        </w:rPr>
        <w:t>. Section 107.11 of  the New York city plumbing code, as added by local law number 14 for the year 2020, is amended to read as follows:</w:t>
      </w:r>
    </w:p>
    <w:p w14:paraId="6D4CC963" w14:textId="77777777" w:rsidR="00140B7C" w:rsidRPr="00EC4EC4" w:rsidRDefault="00140B7C" w:rsidP="00140B7C">
      <w:pPr>
        <w:kinsoku w:val="0"/>
        <w:spacing w:after="0" w:line="240" w:lineRule="auto"/>
        <w:ind w:firstLine="720"/>
        <w:jc w:val="both"/>
        <w:rPr>
          <w:rFonts w:cs="Times New Roman"/>
          <w:sz w:val="23"/>
          <w:szCs w:val="23"/>
        </w:rPr>
      </w:pPr>
    </w:p>
    <w:p w14:paraId="35D6BFAB" w14:textId="77777777" w:rsidR="00140B7C" w:rsidRPr="00EC4EC4" w:rsidRDefault="00140B7C" w:rsidP="00140B7C">
      <w:pPr>
        <w:widowControl w:val="0"/>
        <w:kinsoku w:val="0"/>
        <w:spacing w:before="120" w:after="120" w:line="240" w:lineRule="auto"/>
        <w:jc w:val="both"/>
        <w:rPr>
          <w:rFonts w:eastAsia="Times New Roman" w:cs="Times New Roman"/>
          <w:szCs w:val="24"/>
        </w:rPr>
      </w:pPr>
      <w:r w:rsidRPr="00EC4EC4">
        <w:rPr>
          <w:rFonts w:eastAsia="Times New Roman" w:cs="Times New Roman"/>
          <w:b/>
          <w:bCs/>
          <w:szCs w:val="24"/>
        </w:rPr>
        <w:t xml:space="preserve">107.11 Retention of construction and submittal documents. </w:t>
      </w:r>
      <w:r w:rsidRPr="00EC4EC4">
        <w:rPr>
          <w:rFonts w:eastAsia="Times New Roman" w:cs="Times New Roman"/>
          <w:bCs/>
          <w:szCs w:val="24"/>
        </w:rPr>
        <w:t>Refer to Section [</w:t>
      </w:r>
      <w:r w:rsidRPr="00EC4EC4">
        <w:rPr>
          <w:rFonts w:eastAsia="Times New Roman" w:cs="Times New Roman"/>
          <w:bCs/>
          <w:strike/>
          <w:szCs w:val="24"/>
        </w:rPr>
        <w:t>28-104.11</w:t>
      </w:r>
      <w:r w:rsidRPr="00EC4EC4">
        <w:rPr>
          <w:rFonts w:eastAsia="Times New Roman" w:cs="Times New Roman"/>
          <w:bCs/>
          <w:szCs w:val="24"/>
        </w:rPr>
        <w:t>]</w:t>
      </w:r>
      <w:r w:rsidRPr="00760189">
        <w:rPr>
          <w:rFonts w:eastAsia="Times New Roman" w:cs="Times New Roman"/>
          <w:bCs/>
          <w:szCs w:val="24"/>
          <w:u w:val="single"/>
        </w:rPr>
        <w:t>28-</w:t>
      </w:r>
      <w:r w:rsidRPr="00EC4EC4">
        <w:rPr>
          <w:rFonts w:eastAsia="Times New Roman" w:cs="Times New Roman"/>
          <w:bCs/>
          <w:szCs w:val="24"/>
          <w:u w:val="single"/>
        </w:rPr>
        <w:t>104.12</w:t>
      </w:r>
      <w:r w:rsidRPr="00EC4EC4">
        <w:rPr>
          <w:rFonts w:eastAsia="Times New Roman" w:cs="Times New Roman"/>
          <w:bCs/>
          <w:szCs w:val="24"/>
        </w:rPr>
        <w:t xml:space="preserve"> of the </w:t>
      </w:r>
      <w:r w:rsidRPr="00EC4EC4">
        <w:rPr>
          <w:rFonts w:eastAsia="Times New Roman" w:cs="Times New Roman"/>
          <w:bCs/>
          <w:i/>
          <w:szCs w:val="24"/>
        </w:rPr>
        <w:t>Administrative Code</w:t>
      </w:r>
      <w:r w:rsidRPr="00EC4EC4">
        <w:rPr>
          <w:rFonts w:eastAsia="Times New Roman" w:cs="Times New Roman"/>
          <w:bCs/>
          <w:szCs w:val="24"/>
        </w:rPr>
        <w:t>.</w:t>
      </w:r>
    </w:p>
    <w:p w14:paraId="0A83E1C2" w14:textId="77777777" w:rsidR="00140B7C" w:rsidRDefault="00140B7C" w:rsidP="00140B7C">
      <w:pPr>
        <w:spacing w:before="120" w:after="120" w:line="240" w:lineRule="auto"/>
        <w:ind w:firstLine="720"/>
        <w:jc w:val="both"/>
        <w:rPr>
          <w:rFonts w:cs="Times New Roman"/>
          <w:sz w:val="23"/>
          <w:szCs w:val="23"/>
        </w:rPr>
      </w:pPr>
    </w:p>
    <w:p w14:paraId="007892C4" w14:textId="5D853C64" w:rsidR="00140B7C" w:rsidRPr="00EC4EC4" w:rsidRDefault="00140B7C" w:rsidP="00140B7C">
      <w:pPr>
        <w:spacing w:before="120" w:after="120" w:line="240" w:lineRule="auto"/>
        <w:ind w:firstLine="720"/>
        <w:jc w:val="both"/>
        <w:rPr>
          <w:rFonts w:cs="Times New Roman"/>
          <w:b/>
          <w:szCs w:val="24"/>
        </w:rPr>
      </w:pPr>
      <w:r w:rsidRPr="0032359D">
        <w:rPr>
          <w:rFonts w:cs="Times New Roman"/>
          <w:sz w:val="23"/>
          <w:szCs w:val="23"/>
        </w:rPr>
        <w:t>§</w:t>
      </w:r>
      <w:r w:rsidR="00896D28">
        <w:rPr>
          <w:rFonts w:cs="Times New Roman"/>
          <w:sz w:val="23"/>
          <w:szCs w:val="23"/>
        </w:rPr>
        <w:t>63</w:t>
      </w:r>
      <w:r w:rsidRPr="0032359D">
        <w:rPr>
          <w:rFonts w:cs="Times New Roman"/>
          <w:sz w:val="23"/>
          <w:szCs w:val="23"/>
        </w:rPr>
        <w:t>. Section 201.3.1 of  the New York city plumbing code, as added by local law number 14 for the year 2020, is amended by adding new definitions of “ENVIRONMENTAL CONTROL BOARD OR ECB,” “INTERIM CERTIFICATE OF OCCUPANCY,” and “LIMITED ALTERATION APPLICATION” and by ordering the definition of “CHARTER” in alphabetical order to read as follows:</w:t>
      </w:r>
    </w:p>
    <w:p w14:paraId="2CA32107" w14:textId="77777777" w:rsidR="00140B7C" w:rsidRPr="00EC4EC4" w:rsidRDefault="00140B7C" w:rsidP="00140B7C">
      <w:pPr>
        <w:spacing w:before="120" w:after="120" w:line="240" w:lineRule="auto"/>
        <w:ind w:firstLine="720"/>
        <w:jc w:val="both"/>
        <w:rPr>
          <w:rFonts w:cs="Times New Roman"/>
          <w:b/>
          <w:szCs w:val="24"/>
          <w:u w:val="single"/>
        </w:rPr>
      </w:pPr>
      <w:r w:rsidRPr="00EC4EC4">
        <w:rPr>
          <w:rFonts w:cs="Times New Roman"/>
          <w:b/>
          <w:szCs w:val="24"/>
          <w:u w:val="single"/>
        </w:rPr>
        <w:t>CHARTER.</w:t>
      </w:r>
    </w:p>
    <w:p w14:paraId="0936C963" w14:textId="77777777" w:rsidR="00140B7C" w:rsidRPr="00EC4EC4" w:rsidRDefault="00140B7C" w:rsidP="00140B7C">
      <w:pPr>
        <w:spacing w:before="120" w:after="120" w:line="240" w:lineRule="auto"/>
        <w:ind w:left="720"/>
        <w:jc w:val="both"/>
        <w:rPr>
          <w:rFonts w:cs="Times New Roman"/>
          <w:spacing w:val="-8"/>
          <w:w w:val="115"/>
          <w:szCs w:val="24"/>
          <w:u w:val="single"/>
        </w:rPr>
      </w:pPr>
      <w:r w:rsidRPr="00EC4EC4">
        <w:rPr>
          <w:rFonts w:cs="Times New Roman"/>
          <w:b/>
          <w:szCs w:val="24"/>
          <w:u w:val="single"/>
        </w:rPr>
        <w:t>ENVIRONMENTAL CONTROL BOARD OR ECB.</w:t>
      </w:r>
    </w:p>
    <w:p w14:paraId="15D890A7" w14:textId="77777777" w:rsidR="00140B7C" w:rsidRPr="00EC4EC4" w:rsidRDefault="00140B7C" w:rsidP="00140B7C">
      <w:pPr>
        <w:spacing w:before="120" w:after="120" w:line="240" w:lineRule="auto"/>
        <w:ind w:firstLine="720"/>
        <w:jc w:val="both"/>
        <w:rPr>
          <w:rFonts w:cs="Times New Roman"/>
          <w:b/>
          <w:bCs/>
          <w:spacing w:val="-6"/>
          <w:w w:val="115"/>
          <w:szCs w:val="24"/>
          <w:u w:val="single"/>
        </w:rPr>
      </w:pPr>
      <w:r w:rsidRPr="00EC4EC4">
        <w:rPr>
          <w:rFonts w:cs="Times New Roman"/>
          <w:b/>
          <w:bCs/>
          <w:sz w:val="23"/>
          <w:szCs w:val="23"/>
          <w:u w:val="single"/>
        </w:rPr>
        <w:t>INTERIM CERTIFICATE OF OCCUPANCY</w:t>
      </w:r>
    </w:p>
    <w:p w14:paraId="303222E9" w14:textId="77777777" w:rsidR="00140B7C" w:rsidRPr="00EC4EC4" w:rsidRDefault="00140B7C" w:rsidP="00140B7C">
      <w:pPr>
        <w:spacing w:before="120" w:after="120" w:line="240" w:lineRule="auto"/>
        <w:ind w:left="720"/>
        <w:jc w:val="both"/>
        <w:rPr>
          <w:rFonts w:cs="Times New Roman"/>
          <w:b/>
          <w:bCs/>
          <w:spacing w:val="-7"/>
          <w:w w:val="105"/>
          <w:szCs w:val="24"/>
          <w:u w:val="single"/>
        </w:rPr>
      </w:pPr>
      <w:r w:rsidRPr="00EC4EC4">
        <w:rPr>
          <w:rFonts w:cs="Times New Roman"/>
          <w:b/>
          <w:bCs/>
          <w:sz w:val="23"/>
          <w:szCs w:val="23"/>
          <w:u w:val="single"/>
        </w:rPr>
        <w:t>LIMITED ALTERATION APPLICATION.</w:t>
      </w:r>
    </w:p>
    <w:p w14:paraId="0E720460" w14:textId="77777777" w:rsidR="00140B7C" w:rsidRPr="00EC4EC4" w:rsidRDefault="00140B7C" w:rsidP="00140B7C">
      <w:pPr>
        <w:spacing w:after="0" w:line="240" w:lineRule="auto"/>
        <w:ind w:left="720"/>
        <w:jc w:val="both"/>
        <w:rPr>
          <w:rFonts w:cs="Times New Roman"/>
          <w:b/>
          <w:bCs/>
          <w:spacing w:val="-7"/>
          <w:w w:val="105"/>
          <w:szCs w:val="24"/>
        </w:rPr>
      </w:pPr>
    </w:p>
    <w:p w14:paraId="471E89CA" w14:textId="18E49DAD"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6</w:t>
      </w:r>
      <w:r w:rsidR="00B97078">
        <w:rPr>
          <w:rFonts w:cs="Times New Roman"/>
          <w:sz w:val="23"/>
          <w:szCs w:val="23"/>
        </w:rPr>
        <w:t>4</w:t>
      </w:r>
      <w:r w:rsidRPr="00EC4EC4">
        <w:rPr>
          <w:rFonts w:cs="Times New Roman"/>
          <w:sz w:val="23"/>
          <w:szCs w:val="23"/>
        </w:rPr>
        <w:t>. Section 301.3 of  the New York city plumbing code, as amended by local law number 14 for the year 2020, is amended to read as follows:</w:t>
      </w:r>
    </w:p>
    <w:p w14:paraId="7998E155" w14:textId="77777777" w:rsidR="00140B7C" w:rsidRPr="00EC4EC4" w:rsidRDefault="00140B7C" w:rsidP="00140B7C">
      <w:pPr>
        <w:spacing w:after="0" w:line="240" w:lineRule="auto"/>
        <w:rPr>
          <w:b/>
          <w:bCs/>
        </w:rPr>
      </w:pPr>
    </w:p>
    <w:p w14:paraId="79098564" w14:textId="77777777" w:rsidR="00140B7C" w:rsidRPr="00EC4EC4" w:rsidRDefault="00140B7C" w:rsidP="00140B7C">
      <w:pPr>
        <w:spacing w:after="0" w:line="240" w:lineRule="auto"/>
        <w:jc w:val="both"/>
      </w:pPr>
      <w:r w:rsidRPr="00EC4EC4">
        <w:rPr>
          <w:b/>
          <w:bCs/>
        </w:rPr>
        <w:t>301.3 Connections to drainage system.</w:t>
      </w:r>
      <w:r w:rsidRPr="00EC4EC4">
        <w:t xml:space="preserve"> Plumbing fixtures, drains, appurtenances and appliances used to receive or discharge liquid waste or sewage shall be directly connected to the sanitary </w:t>
      </w:r>
      <w:r w:rsidRPr="00EC4EC4">
        <w:lastRenderedPageBreak/>
        <w:t>drainage system of the building or premises, in accordance with the requirements of this code. This section shall not be construed to prevent indirect waste systems required by Chapter 8.</w:t>
      </w:r>
    </w:p>
    <w:p w14:paraId="7D4F55EB" w14:textId="77777777" w:rsidR="00140B7C" w:rsidRPr="00EC4EC4" w:rsidRDefault="00140B7C" w:rsidP="00140B7C">
      <w:pPr>
        <w:spacing w:after="0" w:line="240" w:lineRule="auto"/>
        <w:jc w:val="both"/>
        <w:rPr>
          <w:sz w:val="22"/>
        </w:rPr>
      </w:pPr>
    </w:p>
    <w:p w14:paraId="67A01DAB" w14:textId="77777777" w:rsidR="00140B7C" w:rsidRPr="00EC4EC4" w:rsidRDefault="00140B7C" w:rsidP="00140B7C">
      <w:pPr>
        <w:spacing w:after="0" w:line="240" w:lineRule="auto"/>
        <w:ind w:left="720"/>
      </w:pPr>
      <w:r w:rsidRPr="00EC4EC4">
        <w:rPr>
          <w:rStyle w:val="Strong"/>
          <w:color w:val="000000"/>
          <w:u w:val="single"/>
        </w:rPr>
        <w:t>Exception:</w:t>
      </w:r>
      <w:r w:rsidRPr="00EC4EC4">
        <w:rPr>
          <w:color w:val="000000"/>
          <w:u w:val="single"/>
        </w:rPr>
        <w:t xml:space="preserve"> Fixtures discharging wastewater shall not be required to discharge to the sanitary drainage system where such fixtures discharge to a water recycling system in accordance with Chapter 13.</w:t>
      </w:r>
    </w:p>
    <w:p w14:paraId="049F085C" w14:textId="77777777" w:rsidR="00140B7C" w:rsidRPr="00EC4EC4" w:rsidRDefault="00140B7C" w:rsidP="00140B7C">
      <w:pPr>
        <w:kinsoku w:val="0"/>
        <w:spacing w:after="0" w:line="240" w:lineRule="auto"/>
        <w:ind w:firstLine="720"/>
        <w:jc w:val="both"/>
        <w:rPr>
          <w:rFonts w:cs="Times New Roman"/>
          <w:sz w:val="23"/>
          <w:szCs w:val="23"/>
        </w:rPr>
      </w:pPr>
    </w:p>
    <w:p w14:paraId="64105FBA" w14:textId="76E07662"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6</w:t>
      </w:r>
      <w:r w:rsidR="00292F63">
        <w:rPr>
          <w:rFonts w:cs="Times New Roman"/>
          <w:sz w:val="23"/>
          <w:szCs w:val="23"/>
        </w:rPr>
        <w:t>5</w:t>
      </w:r>
      <w:r w:rsidRPr="00EC4EC4">
        <w:rPr>
          <w:rFonts w:cs="Times New Roman"/>
          <w:sz w:val="23"/>
          <w:szCs w:val="23"/>
        </w:rPr>
        <w:t>. Section 314.2.2 of  the New York city plumbing code, as amended by local law number 14 for the year 2020, is amended to read as follows:</w:t>
      </w:r>
    </w:p>
    <w:p w14:paraId="63354626" w14:textId="77777777" w:rsidR="00140B7C" w:rsidRPr="00EC4EC4" w:rsidRDefault="00140B7C" w:rsidP="00140B7C">
      <w:pPr>
        <w:kinsoku w:val="0"/>
        <w:spacing w:after="0" w:line="240" w:lineRule="auto"/>
        <w:ind w:firstLine="720"/>
        <w:jc w:val="both"/>
        <w:rPr>
          <w:rFonts w:cs="Times New Roman"/>
          <w:sz w:val="23"/>
          <w:szCs w:val="23"/>
        </w:rPr>
      </w:pPr>
    </w:p>
    <w:p w14:paraId="0DD10902" w14:textId="77777777" w:rsidR="00140B7C" w:rsidRPr="00EC4EC4" w:rsidRDefault="00140B7C" w:rsidP="00140B7C">
      <w:pPr>
        <w:pStyle w:val="ICCSECTIONl3L6"/>
        <w:widowControl/>
        <w:ind w:left="0"/>
        <w:jc w:val="both"/>
        <w:rPr>
          <w:rFonts w:ascii="Times New Roman" w:hAnsi="Times New Roman" w:cs="Times New Roman"/>
          <w:sz w:val="24"/>
          <w:szCs w:val="24"/>
        </w:rPr>
      </w:pPr>
      <w:bookmarkStart w:id="16" w:name="_Toc391561279"/>
      <w:r w:rsidRPr="00EC4EC4">
        <w:rPr>
          <w:rStyle w:val="Heading4Char"/>
          <w:rFonts w:ascii="Times New Roman" w:eastAsiaTheme="minorHAnsi" w:hAnsi="Times New Roman"/>
          <w:szCs w:val="24"/>
        </w:rPr>
        <w:t>314.2.2 Drain pipe materials and sizes.</w:t>
      </w:r>
      <w:bookmarkEnd w:id="16"/>
      <w:r w:rsidRPr="00EC4EC4">
        <w:rPr>
          <w:rStyle w:val="Heading4Char"/>
          <w:rFonts w:ascii="Times New Roman" w:eastAsiaTheme="minorHAnsi" w:hAnsi="Times New Roman"/>
          <w:szCs w:val="24"/>
        </w:rPr>
        <w:t xml:space="preserve"> </w:t>
      </w:r>
      <w:r w:rsidRPr="00EC4EC4">
        <w:rPr>
          <w:rFonts w:ascii="Times New Roman" w:hAnsi="Times New Roman" w:cs="Times New Roman"/>
          <w:sz w:val="24"/>
          <w:szCs w:val="24"/>
        </w:rPr>
        <w:t xml:space="preserve">Components of the condensate disposal system shall be cast iron, </w:t>
      </w:r>
      <w:r w:rsidRPr="00EC4EC4">
        <w:rPr>
          <w:rFonts w:ascii="Times New Roman" w:hAnsi="Times New Roman" w:cs="Times New Roman"/>
          <w:bCs/>
          <w:sz w:val="24"/>
          <w:szCs w:val="24"/>
        </w:rPr>
        <w:t>galvanized</w:t>
      </w:r>
      <w:r w:rsidRPr="00EC4EC4">
        <w:rPr>
          <w:rFonts w:ascii="Times New Roman" w:hAnsi="Times New Roman" w:cs="Times New Roman"/>
          <w:sz w:val="24"/>
          <w:szCs w:val="24"/>
        </w:rPr>
        <w:t xml:space="preserve"> steel, copper, cross-linked polyethylene,</w:t>
      </w:r>
      <w:r w:rsidRPr="00EC4EC4">
        <w:rPr>
          <w:rFonts w:ascii="Times New Roman" w:hAnsi="Times New Roman" w:cs="Times New Roman"/>
          <w:spacing w:val="1"/>
          <w:sz w:val="24"/>
          <w:szCs w:val="24"/>
        </w:rPr>
        <w:t xml:space="preserve"> </w:t>
      </w:r>
      <w:r w:rsidRPr="00EC4EC4">
        <w:rPr>
          <w:rFonts w:ascii="Times New Roman" w:hAnsi="Times New Roman" w:cs="Times New Roman"/>
          <w:sz w:val="24"/>
          <w:szCs w:val="24"/>
        </w:rPr>
        <w:t>polyethylene, ABS, CPVC or PVC pipe or tubing. Polypropylene tubing may be used in lengths that do not exceed 12[</w:t>
      </w:r>
      <w:r w:rsidRPr="00EC4EC4">
        <w:rPr>
          <w:rFonts w:ascii="Times New Roman" w:hAnsi="Times New Roman" w:cs="Times New Roman"/>
          <w:strike/>
          <w:sz w:val="24"/>
          <w:szCs w:val="24"/>
        </w:rPr>
        <w:t>"</w:t>
      </w:r>
      <w:r w:rsidRPr="00EC4EC4">
        <w:rPr>
          <w:rFonts w:ascii="Times New Roman" w:hAnsi="Times New Roman" w:cs="Times New Roman"/>
          <w:sz w:val="24"/>
          <w:szCs w:val="24"/>
        </w:rPr>
        <w:t xml:space="preserve">] </w:t>
      </w:r>
      <w:r w:rsidRPr="00EC4EC4">
        <w:rPr>
          <w:rFonts w:ascii="Times New Roman" w:hAnsi="Times New Roman" w:cs="Times New Roman"/>
          <w:sz w:val="24"/>
          <w:szCs w:val="24"/>
          <w:u w:val="single"/>
        </w:rPr>
        <w:t>inches (304.8 mm)</w:t>
      </w:r>
      <w:r w:rsidRPr="00EC4EC4">
        <w:rPr>
          <w:rFonts w:ascii="Times New Roman" w:hAnsi="Times New Roman" w:cs="Times New Roman"/>
          <w:sz w:val="24"/>
          <w:szCs w:val="24"/>
        </w:rPr>
        <w:t xml:space="preserve"> for an individual drain application. Components shall be selected for the pressure and temperature rating of the installation. Joints and connections shall be made in accordance with the applicable provisions of Chapter 7 relative to the material type. Condensate waste and drain line size shall </w:t>
      </w:r>
      <w:r w:rsidRPr="00EC4EC4">
        <w:rPr>
          <w:rFonts w:ascii="Times New Roman" w:hAnsi="Times New Roman" w:cs="Times New Roman"/>
          <w:bCs/>
          <w:sz w:val="24"/>
          <w:szCs w:val="24"/>
        </w:rPr>
        <w:t xml:space="preserve">be </w:t>
      </w:r>
      <w:r w:rsidRPr="00EC4EC4">
        <w:rPr>
          <w:rFonts w:ascii="Times New Roman" w:hAnsi="Times New Roman" w:cs="Times New Roman"/>
          <w:sz w:val="24"/>
          <w:szCs w:val="24"/>
        </w:rPr>
        <w:t xml:space="preserve">not less than </w:t>
      </w:r>
      <w:r w:rsidRPr="00EC4EC4">
        <w:rPr>
          <w:rFonts w:ascii="Times New Roman" w:hAnsi="Times New Roman" w:cs="Times New Roman"/>
          <w:spacing w:val="1"/>
          <w:sz w:val="24"/>
          <w:szCs w:val="24"/>
        </w:rPr>
        <w:t>¾-inch (19.1 mm)</w:t>
      </w:r>
      <w:r w:rsidRPr="00EC4EC4">
        <w:rPr>
          <w:rFonts w:ascii="Times New Roman" w:hAnsi="Times New Roman" w:cs="Times New Roman"/>
          <w:sz w:val="24"/>
          <w:szCs w:val="24"/>
        </w:rPr>
        <w:t xml:space="preserve"> internal diameter and shall not decrease in size from the drain pan connection to the place of condensate disposal. Where the drain pipes from more than one unit are manifolded together for condensate drainage, the pipe or tubing shall be sized in accordance with Table 314.2.2.</w:t>
      </w:r>
    </w:p>
    <w:p w14:paraId="2753461A" w14:textId="77777777" w:rsidR="00140B7C" w:rsidRPr="00EC4EC4" w:rsidRDefault="00140B7C" w:rsidP="00140B7C">
      <w:pPr>
        <w:pStyle w:val="ICCSECTIONl3L6"/>
        <w:widowControl/>
        <w:ind w:left="0"/>
        <w:jc w:val="both"/>
        <w:rPr>
          <w:rFonts w:ascii="Times New Roman" w:hAnsi="Times New Roman" w:cs="Times New Roman"/>
          <w:sz w:val="24"/>
          <w:szCs w:val="24"/>
        </w:rPr>
      </w:pPr>
    </w:p>
    <w:p w14:paraId="40B52C03" w14:textId="26100F6F"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6</w:t>
      </w:r>
      <w:r w:rsidR="008A6E6C">
        <w:rPr>
          <w:rFonts w:cs="Times New Roman"/>
          <w:sz w:val="23"/>
          <w:szCs w:val="23"/>
        </w:rPr>
        <w:t>6</w:t>
      </w:r>
      <w:r w:rsidRPr="00EC4EC4">
        <w:rPr>
          <w:rFonts w:cs="Times New Roman"/>
          <w:sz w:val="23"/>
          <w:szCs w:val="23"/>
        </w:rPr>
        <w:t>. Section 314.2.3 of  the New York city plumbing code, as amended by local law number 14 for the year 2020, is amended to read as follows:</w:t>
      </w:r>
    </w:p>
    <w:p w14:paraId="01663D65" w14:textId="77777777" w:rsidR="00140B7C" w:rsidRPr="00EC4EC4" w:rsidRDefault="00140B7C" w:rsidP="00140B7C">
      <w:pPr>
        <w:kinsoku w:val="0"/>
        <w:spacing w:after="0" w:line="240" w:lineRule="auto"/>
        <w:ind w:firstLine="720"/>
        <w:jc w:val="both"/>
        <w:rPr>
          <w:rFonts w:cs="Times New Roman"/>
          <w:sz w:val="23"/>
          <w:szCs w:val="23"/>
        </w:rPr>
      </w:pPr>
    </w:p>
    <w:p w14:paraId="4A4DF80C" w14:textId="77777777" w:rsidR="00140B7C" w:rsidRPr="00EC4EC4" w:rsidRDefault="00140B7C" w:rsidP="00140B7C">
      <w:pPr>
        <w:pStyle w:val="ICCSECTIONl3L6"/>
        <w:widowControl/>
        <w:ind w:left="0"/>
        <w:jc w:val="both"/>
        <w:rPr>
          <w:rFonts w:ascii="Times New Roman" w:hAnsi="Times New Roman" w:cs="Times New Roman"/>
          <w:sz w:val="24"/>
          <w:szCs w:val="24"/>
        </w:rPr>
      </w:pPr>
      <w:bookmarkStart w:id="17" w:name="_Toc391561281"/>
      <w:r w:rsidRPr="00EC4EC4">
        <w:rPr>
          <w:rStyle w:val="Heading4Char"/>
          <w:rFonts w:ascii="Times New Roman" w:eastAsiaTheme="minorHAnsi" w:hAnsi="Times New Roman"/>
          <w:szCs w:val="24"/>
        </w:rPr>
        <w:t>314.2.3 Auxiliary and secondary drain systems.</w:t>
      </w:r>
      <w:bookmarkEnd w:id="17"/>
      <w:r w:rsidRPr="00EC4EC4">
        <w:rPr>
          <w:rStyle w:val="Heading4Char"/>
          <w:rFonts w:ascii="Times New Roman" w:eastAsiaTheme="minorHAnsi" w:hAnsi="Times New Roman"/>
          <w:szCs w:val="24"/>
        </w:rPr>
        <w:t xml:space="preserve"> </w:t>
      </w:r>
      <w:r w:rsidRPr="00EC4EC4">
        <w:rPr>
          <w:rFonts w:ascii="Times New Roman" w:hAnsi="Times New Roman" w:cs="Times New Roman"/>
          <w:sz w:val="24"/>
          <w:szCs w:val="24"/>
        </w:rPr>
        <w:t xml:space="preserve">In </w:t>
      </w:r>
      <w:r w:rsidRPr="00EC4EC4">
        <w:rPr>
          <w:rFonts w:ascii="Times New Roman" w:hAnsi="Times New Roman" w:cs="Times New Roman"/>
          <w:bCs/>
          <w:sz w:val="24"/>
          <w:szCs w:val="24"/>
        </w:rPr>
        <w:t>addition</w:t>
      </w:r>
      <w:r w:rsidRPr="00EC4EC4">
        <w:rPr>
          <w:rFonts w:ascii="Times New Roman" w:hAnsi="Times New Roman" w:cs="Times New Roman"/>
          <w:sz w:val="24"/>
          <w:szCs w:val="24"/>
        </w:rPr>
        <w:t xml:space="preserve"> to the requirements of Section 314.2.1, where damage to any building components could occur as a result of overflow from the equipment primary condensate removal system, one of the following auxiliary protection methods shall be provided for each cooling coil or </w:t>
      </w:r>
      <w:r w:rsidRPr="00EC4EC4">
        <w:rPr>
          <w:rFonts w:ascii="Times New Roman" w:hAnsi="Times New Roman" w:cs="Times New Roman"/>
          <w:spacing w:val="1"/>
          <w:sz w:val="24"/>
          <w:szCs w:val="24"/>
        </w:rPr>
        <w:t>fuel-fired</w:t>
      </w:r>
      <w:r w:rsidRPr="00EC4EC4">
        <w:rPr>
          <w:rFonts w:ascii="Times New Roman" w:hAnsi="Times New Roman" w:cs="Times New Roman"/>
          <w:sz w:val="24"/>
          <w:szCs w:val="24"/>
        </w:rPr>
        <w:t xml:space="preserve"> appliance that produces condensate:</w:t>
      </w:r>
    </w:p>
    <w:p w14:paraId="2C31D295" w14:textId="77777777" w:rsidR="00140B7C" w:rsidRPr="00EC4EC4" w:rsidRDefault="00140B7C" w:rsidP="00140B7C">
      <w:pPr>
        <w:pStyle w:val="ICCBULLETL7"/>
        <w:widowControl/>
        <w:tabs>
          <w:tab w:val="left" w:pos="720"/>
        </w:tabs>
        <w:spacing w:before="120" w:after="120"/>
        <w:jc w:val="both"/>
        <w:rPr>
          <w:rFonts w:ascii="Times New Roman" w:hAnsi="Times New Roman" w:cs="Times New Roman"/>
          <w:sz w:val="24"/>
          <w:szCs w:val="24"/>
        </w:rPr>
      </w:pPr>
      <w:r w:rsidRPr="00EC4EC4">
        <w:rPr>
          <w:rFonts w:ascii="Times New Roman" w:hAnsi="Times New Roman" w:cs="Times New Roman"/>
          <w:sz w:val="24"/>
          <w:szCs w:val="24"/>
        </w:rPr>
        <w:t>1.</w:t>
      </w:r>
      <w:r w:rsidRPr="00EC4EC4">
        <w:rPr>
          <w:rFonts w:ascii="Times New Roman" w:hAnsi="Times New Roman" w:cs="Times New Roman"/>
          <w:sz w:val="24"/>
          <w:szCs w:val="24"/>
        </w:rPr>
        <w:tab/>
        <w:t>An auxiliary drain pan with a separate drain shall be provided under the coils on which condensation will occur. The auxiliary pan drain shall discharge to a conspicuous point of disposal to alert occupants in the event of a stoppage of the primary drain. The pan shall have a</w:t>
      </w:r>
      <w:r w:rsidRPr="00EC4EC4">
        <w:rPr>
          <w:rFonts w:ascii="Times New Roman" w:hAnsi="Times New Roman" w:cs="Times New Roman"/>
          <w:spacing w:val="1"/>
          <w:sz w:val="24"/>
          <w:szCs w:val="24"/>
        </w:rPr>
        <w:t xml:space="preserve"> </w:t>
      </w:r>
      <w:r w:rsidRPr="00EC4EC4">
        <w:rPr>
          <w:rFonts w:ascii="Times New Roman" w:hAnsi="Times New Roman" w:cs="Times New Roman"/>
          <w:sz w:val="24"/>
          <w:szCs w:val="24"/>
        </w:rPr>
        <w:t>depth of not less than 1½</w:t>
      </w:r>
      <w:r w:rsidRPr="00EC4EC4">
        <w:rPr>
          <w:rStyle w:val="superscript"/>
          <w:rFonts w:ascii="Times New Roman" w:hAnsi="Times New Roman"/>
          <w:sz w:val="24"/>
          <w:szCs w:val="24"/>
        </w:rPr>
        <w:t xml:space="preserve"> </w:t>
      </w:r>
      <w:r w:rsidRPr="00EC4EC4">
        <w:rPr>
          <w:rFonts w:ascii="Times New Roman" w:hAnsi="Times New Roman" w:cs="Times New Roman"/>
          <w:sz w:val="24"/>
          <w:szCs w:val="24"/>
        </w:rPr>
        <w:t>inches (38 mm), shall</w:t>
      </w:r>
      <w:r w:rsidRPr="00EC4EC4">
        <w:rPr>
          <w:rFonts w:ascii="Times New Roman" w:hAnsi="Times New Roman" w:cs="Times New Roman"/>
          <w:spacing w:val="1"/>
          <w:sz w:val="24"/>
          <w:szCs w:val="24"/>
        </w:rPr>
        <w:t xml:space="preserve"> </w:t>
      </w:r>
      <w:r w:rsidRPr="00EC4EC4">
        <w:rPr>
          <w:rFonts w:ascii="Times New Roman" w:hAnsi="Times New Roman" w:cs="Times New Roman"/>
          <w:sz w:val="24"/>
          <w:szCs w:val="24"/>
        </w:rPr>
        <w:t xml:space="preserve">be not less than 3 inches (76 mm) larger than the unit or the coil dimensions in width and length and shall be constructed of corrosion-resistant material. </w:t>
      </w:r>
      <w:r w:rsidRPr="00EC4EC4">
        <w:rPr>
          <w:rFonts w:ascii="Times New Roman" w:hAnsi="Times New Roman" w:cs="Times New Roman"/>
          <w:spacing w:val="1"/>
          <w:sz w:val="24"/>
          <w:szCs w:val="24"/>
        </w:rPr>
        <w:t>Metallic</w:t>
      </w:r>
      <w:r w:rsidRPr="00EC4EC4">
        <w:rPr>
          <w:rFonts w:ascii="Times New Roman" w:hAnsi="Times New Roman" w:cs="Times New Roman"/>
          <w:sz w:val="24"/>
          <w:szCs w:val="24"/>
        </w:rPr>
        <w:t xml:space="preserve"> pans shall have a</w:t>
      </w:r>
      <w:r w:rsidRPr="00EC4EC4">
        <w:rPr>
          <w:rFonts w:ascii="Times New Roman" w:hAnsi="Times New Roman" w:cs="Times New Roman"/>
          <w:spacing w:val="1"/>
          <w:sz w:val="24"/>
          <w:szCs w:val="24"/>
        </w:rPr>
        <w:t xml:space="preserve"> </w:t>
      </w:r>
      <w:r w:rsidRPr="00EC4EC4">
        <w:rPr>
          <w:rFonts w:ascii="Times New Roman" w:hAnsi="Times New Roman" w:cs="Times New Roman"/>
          <w:sz w:val="24"/>
          <w:szCs w:val="24"/>
        </w:rPr>
        <w:t xml:space="preserve">thickness of not less than </w:t>
      </w:r>
      <w:r w:rsidRPr="00EC4EC4">
        <w:rPr>
          <w:rFonts w:ascii="Times New Roman" w:hAnsi="Times New Roman" w:cs="Times New Roman"/>
          <w:spacing w:val="1"/>
          <w:sz w:val="24"/>
          <w:szCs w:val="24"/>
        </w:rPr>
        <w:t>0</w:t>
      </w:r>
      <w:r w:rsidRPr="00EC4EC4">
        <w:rPr>
          <w:rFonts w:ascii="Times New Roman" w:hAnsi="Times New Roman" w:cs="Times New Roman"/>
          <w:sz w:val="24"/>
          <w:szCs w:val="24"/>
        </w:rPr>
        <w:t xml:space="preserve">.0236-inch (0.6010 mm) (No. 24 gage) </w:t>
      </w:r>
      <w:r w:rsidRPr="00EC4EC4">
        <w:rPr>
          <w:rFonts w:ascii="Times New Roman" w:hAnsi="Times New Roman" w:cs="Times New Roman"/>
          <w:spacing w:val="1"/>
          <w:sz w:val="24"/>
          <w:szCs w:val="24"/>
        </w:rPr>
        <w:t xml:space="preserve">for </w:t>
      </w:r>
      <w:r w:rsidRPr="00EC4EC4">
        <w:rPr>
          <w:rFonts w:ascii="Times New Roman" w:hAnsi="Times New Roman" w:cs="Times New Roman"/>
          <w:sz w:val="24"/>
          <w:szCs w:val="24"/>
        </w:rPr>
        <w:t>galvanized sheet metal</w:t>
      </w:r>
      <w:r w:rsidRPr="00EC4EC4">
        <w:rPr>
          <w:rFonts w:ascii="Times New Roman" w:hAnsi="Times New Roman" w:cs="Times New Roman"/>
          <w:spacing w:val="1"/>
          <w:sz w:val="24"/>
          <w:szCs w:val="24"/>
        </w:rPr>
        <w:t xml:space="preserve"> pans, 0.0179 inches (0.4546 mm) (No. 26 gage) for stainless steel pans, or 0.0320 inches (0.8128 mm) (No. 20 gage) for aluminum pans. Nonmetallic</w:t>
      </w:r>
      <w:r w:rsidRPr="00EC4EC4">
        <w:rPr>
          <w:rFonts w:ascii="Times New Roman" w:hAnsi="Times New Roman" w:cs="Times New Roman"/>
          <w:sz w:val="24"/>
          <w:szCs w:val="24"/>
        </w:rPr>
        <w:t xml:space="preserve"> pans shall have a thickness of not less than 0.0625-inch (1.6 mm).</w:t>
      </w:r>
    </w:p>
    <w:p w14:paraId="0E68647D" w14:textId="77777777" w:rsidR="00140B7C" w:rsidRPr="00EC4EC4" w:rsidRDefault="00140B7C" w:rsidP="00140B7C">
      <w:pPr>
        <w:spacing w:before="120" w:after="120" w:line="240" w:lineRule="auto"/>
        <w:ind w:left="1080" w:hanging="360"/>
        <w:jc w:val="both"/>
        <w:rPr>
          <w:rFonts w:cs="Times New Roman"/>
          <w:szCs w:val="24"/>
        </w:rPr>
      </w:pPr>
      <w:r w:rsidRPr="00EC4EC4">
        <w:rPr>
          <w:rFonts w:cs="Times New Roman"/>
          <w:szCs w:val="24"/>
        </w:rPr>
        <w:t>2.</w:t>
      </w:r>
      <w:r w:rsidRPr="00EC4EC4">
        <w:rPr>
          <w:rFonts w:cs="Times New Roman"/>
          <w:szCs w:val="24"/>
        </w:rPr>
        <w:tab/>
        <w:t>A separate overflow drain line shall be connected to the drain pan provided with the equipment. Such overflow drain shall discharge to a conspicuous point of disposal to alert occupants in the event of a stoppage of the primary drain. The overflow drain line shall connect to the drain pan at a higher level than the primary drain connection.</w:t>
      </w:r>
    </w:p>
    <w:p w14:paraId="55E3D864" w14:textId="77777777" w:rsidR="00140B7C" w:rsidRPr="00EC4EC4" w:rsidRDefault="00140B7C" w:rsidP="00140B7C">
      <w:pPr>
        <w:pStyle w:val="ICCBULLETL7"/>
        <w:widowControl/>
        <w:tabs>
          <w:tab w:val="left" w:pos="720"/>
        </w:tabs>
        <w:spacing w:before="120" w:after="120"/>
        <w:jc w:val="both"/>
        <w:rPr>
          <w:rFonts w:ascii="Times New Roman" w:hAnsi="Times New Roman" w:cs="Times New Roman"/>
          <w:sz w:val="24"/>
          <w:szCs w:val="24"/>
        </w:rPr>
      </w:pPr>
      <w:r w:rsidRPr="00EC4EC4">
        <w:rPr>
          <w:rFonts w:ascii="Times New Roman" w:hAnsi="Times New Roman" w:cs="Times New Roman"/>
          <w:sz w:val="24"/>
          <w:szCs w:val="24"/>
        </w:rPr>
        <w:t>3.</w:t>
      </w:r>
      <w:r w:rsidRPr="00EC4EC4">
        <w:rPr>
          <w:rFonts w:ascii="Times New Roman" w:hAnsi="Times New Roman" w:cs="Times New Roman"/>
          <w:sz w:val="24"/>
          <w:szCs w:val="24"/>
        </w:rPr>
        <w:tab/>
        <w:t>An auxiliary drain pan without a separate drain line shall be provided under the coils on which condensate will occur. Such pan shall be equipped with a listed water-level detection device that will shut off the equipment served prior to overflow of the pan. The auxiliary drain pan shall be constructed in accordance with Item 1 of this section.</w:t>
      </w:r>
    </w:p>
    <w:p w14:paraId="20F14B06" w14:textId="77777777" w:rsidR="00140B7C" w:rsidRPr="00EC4EC4" w:rsidRDefault="00140B7C" w:rsidP="00140B7C">
      <w:pPr>
        <w:pStyle w:val="ICCBULLETL7"/>
        <w:widowControl/>
        <w:tabs>
          <w:tab w:val="left" w:pos="720"/>
        </w:tabs>
        <w:spacing w:before="120" w:after="120"/>
        <w:jc w:val="both"/>
        <w:rPr>
          <w:rFonts w:ascii="Times New Roman" w:hAnsi="Times New Roman" w:cs="Times New Roman"/>
          <w:sz w:val="24"/>
          <w:szCs w:val="24"/>
        </w:rPr>
      </w:pPr>
      <w:r w:rsidRPr="00EC4EC4">
        <w:rPr>
          <w:rFonts w:ascii="Times New Roman" w:hAnsi="Times New Roman" w:cs="Times New Roman"/>
          <w:sz w:val="24"/>
          <w:szCs w:val="24"/>
        </w:rPr>
        <w:lastRenderedPageBreak/>
        <w:t>4.</w:t>
      </w:r>
      <w:r w:rsidRPr="00EC4EC4">
        <w:rPr>
          <w:rFonts w:ascii="Times New Roman" w:hAnsi="Times New Roman" w:cs="Times New Roman"/>
          <w:sz w:val="24"/>
          <w:szCs w:val="24"/>
        </w:rPr>
        <w:tab/>
        <w:t>A listed water-level detection device shall be provided that will shut off the equipment served in the event that the primary drain is blocked. The device shall be installed in the primary drain line, the overflow drain line or in the equipment-supplied drain pan, located at a point higher than the primary drain line connection and below the overflow rim of such pan.</w:t>
      </w:r>
    </w:p>
    <w:p w14:paraId="63D7DEB9" w14:textId="77777777" w:rsidR="00140B7C" w:rsidRPr="00EC4EC4" w:rsidRDefault="00140B7C" w:rsidP="00140B7C">
      <w:pPr>
        <w:spacing w:before="120" w:after="120" w:line="240" w:lineRule="auto"/>
        <w:ind w:left="1440"/>
        <w:jc w:val="both"/>
        <w:rPr>
          <w:rFonts w:cs="Times New Roman"/>
          <w:szCs w:val="24"/>
        </w:rPr>
      </w:pPr>
      <w:r w:rsidRPr="00EC4EC4">
        <w:rPr>
          <w:rFonts w:cs="Times New Roman"/>
          <w:b/>
          <w:szCs w:val="24"/>
        </w:rPr>
        <w:t>[</w:t>
      </w:r>
      <w:r w:rsidRPr="00EC4EC4">
        <w:rPr>
          <w:rFonts w:cs="Times New Roman"/>
          <w:b/>
          <w:strike/>
          <w:szCs w:val="24"/>
        </w:rPr>
        <w:t xml:space="preserve">Exception: </w:t>
      </w:r>
      <w:r w:rsidRPr="00EC4EC4">
        <w:rPr>
          <w:rFonts w:cs="Times New Roman"/>
          <w:strike/>
          <w:szCs w:val="24"/>
        </w:rPr>
        <w:t>Fuel-fired appliances that automatically shut down operation in the event of a stoppage in the condensate drainage system.</w:t>
      </w:r>
      <w:r w:rsidRPr="00EC4EC4">
        <w:rPr>
          <w:rFonts w:cs="Times New Roman"/>
          <w:szCs w:val="24"/>
        </w:rPr>
        <w:t>]</w:t>
      </w:r>
    </w:p>
    <w:p w14:paraId="6B884C3A" w14:textId="77777777" w:rsidR="00140B7C" w:rsidRPr="00EC4EC4" w:rsidRDefault="00140B7C" w:rsidP="00140B7C">
      <w:pPr>
        <w:spacing w:before="120" w:after="120" w:line="240" w:lineRule="auto"/>
        <w:ind w:left="1440"/>
        <w:jc w:val="both"/>
        <w:rPr>
          <w:rFonts w:cs="Times New Roman"/>
          <w:b/>
          <w:bCs/>
          <w:szCs w:val="24"/>
          <w:u w:val="single"/>
        </w:rPr>
      </w:pPr>
      <w:bookmarkStart w:id="18" w:name="_Hlk118906460"/>
      <w:r w:rsidRPr="00EC4EC4">
        <w:rPr>
          <w:rFonts w:cs="Times New Roman"/>
          <w:b/>
          <w:bCs/>
          <w:szCs w:val="24"/>
          <w:u w:val="single"/>
        </w:rPr>
        <w:t>Exceptions:</w:t>
      </w:r>
    </w:p>
    <w:p w14:paraId="66E131EC" w14:textId="77777777" w:rsidR="00140B7C" w:rsidRPr="00EC4EC4" w:rsidRDefault="00140B7C" w:rsidP="00140B7C">
      <w:pPr>
        <w:spacing w:before="120" w:after="120" w:line="240" w:lineRule="auto"/>
        <w:ind w:left="1440"/>
        <w:jc w:val="both"/>
        <w:rPr>
          <w:rFonts w:cs="Times New Roman"/>
          <w:szCs w:val="24"/>
          <w:u w:val="single"/>
        </w:rPr>
      </w:pPr>
      <w:r w:rsidRPr="00EC4EC4">
        <w:rPr>
          <w:rFonts w:cs="Times New Roman"/>
          <w:szCs w:val="24"/>
          <w:u w:val="single"/>
        </w:rPr>
        <w:t>1. An auxiliary drain protection method shall not be required for fuel-fired appliances that automatically shut down operation in the event of a stoppage in the condensate drainage system.</w:t>
      </w:r>
    </w:p>
    <w:p w14:paraId="68451774" w14:textId="77777777" w:rsidR="00140B7C" w:rsidRPr="00EC4EC4" w:rsidRDefault="00140B7C" w:rsidP="00140B7C">
      <w:pPr>
        <w:spacing w:after="0" w:line="240" w:lineRule="auto"/>
        <w:ind w:left="1440"/>
        <w:jc w:val="both"/>
        <w:rPr>
          <w:rFonts w:cs="Times New Roman"/>
          <w:szCs w:val="24"/>
          <w:u w:val="single"/>
        </w:rPr>
      </w:pPr>
      <w:r w:rsidRPr="00D91B6C">
        <w:rPr>
          <w:rFonts w:cs="Times New Roman"/>
          <w:szCs w:val="24"/>
          <w:u w:val="single"/>
        </w:rPr>
        <w:t>2. An auxiliary drain protection method shall not be required where a suitably sized and located floor drain is provided.</w:t>
      </w:r>
    </w:p>
    <w:bookmarkEnd w:id="18"/>
    <w:p w14:paraId="3DA1AC7C" w14:textId="77777777" w:rsidR="00140B7C" w:rsidRPr="00EC4EC4" w:rsidRDefault="00140B7C" w:rsidP="00140B7C">
      <w:pPr>
        <w:spacing w:after="0" w:line="240" w:lineRule="auto"/>
        <w:ind w:left="1440"/>
        <w:jc w:val="both"/>
        <w:rPr>
          <w:rFonts w:cs="Times New Roman"/>
          <w:szCs w:val="24"/>
          <w:u w:val="single"/>
        </w:rPr>
      </w:pPr>
    </w:p>
    <w:p w14:paraId="7E62E7BC" w14:textId="3EF1F591" w:rsidR="00140B7C" w:rsidRPr="00EC4EC4" w:rsidRDefault="00140B7C" w:rsidP="00140B7C">
      <w:pPr>
        <w:kinsoku w:val="0"/>
        <w:spacing w:after="0" w:line="240" w:lineRule="auto"/>
        <w:ind w:firstLine="720"/>
        <w:jc w:val="both"/>
        <w:rPr>
          <w:rFonts w:cs="Times New Roman"/>
          <w:sz w:val="23"/>
          <w:szCs w:val="23"/>
        </w:rPr>
      </w:pPr>
      <w:bookmarkStart w:id="19" w:name="_Hlk115851979"/>
      <w:r w:rsidRPr="00EC4EC4">
        <w:rPr>
          <w:rFonts w:cs="Times New Roman"/>
          <w:sz w:val="23"/>
          <w:szCs w:val="23"/>
        </w:rPr>
        <w:t>§</w:t>
      </w:r>
      <w:r>
        <w:rPr>
          <w:rFonts w:cs="Times New Roman"/>
          <w:sz w:val="23"/>
          <w:szCs w:val="23"/>
        </w:rPr>
        <w:t>6</w:t>
      </w:r>
      <w:r w:rsidR="008A6E6C">
        <w:rPr>
          <w:rFonts w:cs="Times New Roman"/>
          <w:sz w:val="23"/>
          <w:szCs w:val="23"/>
        </w:rPr>
        <w:t>7</w:t>
      </w:r>
      <w:r w:rsidRPr="00EC4EC4">
        <w:rPr>
          <w:rFonts w:cs="Times New Roman"/>
          <w:sz w:val="23"/>
          <w:szCs w:val="23"/>
        </w:rPr>
        <w:t>. Section 403.2.1 of  the New York city plumbing code, as amended by local law number 14 for the year 2020, is amended to read as follows:</w:t>
      </w:r>
    </w:p>
    <w:bookmarkEnd w:id="19"/>
    <w:p w14:paraId="33611D92" w14:textId="77777777" w:rsidR="00140B7C" w:rsidRPr="00EC4EC4" w:rsidRDefault="00140B7C" w:rsidP="00140B7C">
      <w:pPr>
        <w:kinsoku w:val="0"/>
        <w:spacing w:after="0" w:line="240" w:lineRule="auto"/>
        <w:jc w:val="both"/>
        <w:rPr>
          <w:rFonts w:cs="Times New Roman"/>
          <w:sz w:val="23"/>
          <w:szCs w:val="23"/>
        </w:rPr>
      </w:pPr>
    </w:p>
    <w:p w14:paraId="2FB830B3" w14:textId="77777777" w:rsidR="00140B7C" w:rsidRPr="00EC4EC4" w:rsidRDefault="00140B7C" w:rsidP="00140B7C">
      <w:pPr>
        <w:autoSpaceDE w:val="0"/>
        <w:autoSpaceDN w:val="0"/>
        <w:adjustRightInd w:val="0"/>
        <w:spacing w:after="0" w:line="240" w:lineRule="auto"/>
        <w:jc w:val="both"/>
        <w:rPr>
          <w:rFonts w:eastAsia="Calibri" w:cs="Times New Roman"/>
          <w:iCs/>
          <w:szCs w:val="24"/>
        </w:rPr>
      </w:pPr>
      <w:r w:rsidRPr="00EC4EC4">
        <w:rPr>
          <w:rFonts w:eastAsia="Calibri" w:cs="Times New Roman"/>
          <w:b/>
          <w:bCs/>
          <w:iCs/>
          <w:szCs w:val="24"/>
        </w:rPr>
        <w:t xml:space="preserve">403.2.1 </w:t>
      </w:r>
      <w:r w:rsidRPr="00EC4EC4">
        <w:rPr>
          <w:rFonts w:eastAsia="Calibri" w:cs="Times New Roman"/>
          <w:b/>
          <w:bCs/>
          <w:szCs w:val="28"/>
        </w:rPr>
        <w:t xml:space="preserve">Family or assisted-use toilet facilities serving as separate facilities. </w:t>
      </w:r>
      <w:r w:rsidRPr="00EC4EC4">
        <w:rPr>
          <w:rFonts w:eastAsia="Calibri" w:cs="Times New Roman"/>
          <w:bCs/>
          <w:szCs w:val="24"/>
        </w:rPr>
        <w:t>Where a building or tenant space requires a separate toilet facility for each sex and each toilet facility is required to have only one water closet, [</w:t>
      </w:r>
      <w:r w:rsidRPr="00EC4EC4">
        <w:rPr>
          <w:rFonts w:eastAsia="Calibri" w:cs="Times New Roman"/>
          <w:bCs/>
          <w:strike/>
          <w:szCs w:val="24"/>
        </w:rPr>
        <w:t>two family</w:t>
      </w:r>
      <w:r w:rsidRPr="00EC4EC4">
        <w:rPr>
          <w:rFonts w:eastAsia="Calibri" w:cs="Times New Roman"/>
          <w:bCs/>
          <w:szCs w:val="24"/>
        </w:rPr>
        <w:t>]</w:t>
      </w:r>
      <w:r w:rsidRPr="00EC4EC4">
        <w:rPr>
          <w:rFonts w:eastAsia="Calibri" w:cs="Times New Roman"/>
          <w:bCs/>
          <w:szCs w:val="24"/>
          <w:u w:val="single"/>
        </w:rPr>
        <w:t>two-family</w:t>
      </w:r>
      <w:r w:rsidRPr="00EC4EC4">
        <w:rPr>
          <w:rFonts w:eastAsia="Calibri" w:cs="Times New Roman"/>
          <w:bCs/>
          <w:szCs w:val="24"/>
        </w:rPr>
        <w:t xml:space="preserve"> or assisted-use toilet facilities shall be permitted to serve as the required separate facilities. Family or [</w:t>
      </w:r>
      <w:r w:rsidRPr="00EC4EC4">
        <w:rPr>
          <w:rFonts w:eastAsia="Calibri" w:cs="Times New Roman"/>
          <w:bCs/>
          <w:strike/>
          <w:szCs w:val="24"/>
        </w:rPr>
        <w:t>assisted use</w:t>
      </w:r>
      <w:r w:rsidRPr="00EC4EC4">
        <w:rPr>
          <w:rFonts w:eastAsia="Calibri" w:cs="Times New Roman"/>
          <w:bCs/>
          <w:szCs w:val="24"/>
        </w:rPr>
        <w:t>]</w:t>
      </w:r>
      <w:r w:rsidRPr="00EC4EC4">
        <w:rPr>
          <w:rFonts w:eastAsia="Calibri" w:cs="Times New Roman"/>
          <w:bCs/>
          <w:szCs w:val="24"/>
          <w:u w:val="single"/>
        </w:rPr>
        <w:t>assisted-use</w:t>
      </w:r>
      <w:r w:rsidRPr="00EC4EC4">
        <w:rPr>
          <w:rFonts w:eastAsia="Calibri" w:cs="Times New Roman"/>
          <w:bCs/>
          <w:szCs w:val="24"/>
        </w:rPr>
        <w:t xml:space="preserve"> toilet facilities shall not be required to be identified for exclusive use by either sex as required by Section 403.4.</w:t>
      </w:r>
    </w:p>
    <w:p w14:paraId="48310184" w14:textId="43963185"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6</w:t>
      </w:r>
      <w:r w:rsidR="008A6E6C">
        <w:rPr>
          <w:rFonts w:cs="Times New Roman"/>
          <w:sz w:val="23"/>
          <w:szCs w:val="23"/>
        </w:rPr>
        <w:t>8</w:t>
      </w:r>
      <w:r w:rsidRPr="00EC4EC4">
        <w:rPr>
          <w:rFonts w:cs="Times New Roman"/>
          <w:sz w:val="23"/>
          <w:szCs w:val="23"/>
        </w:rPr>
        <w:t xml:space="preserve">. Section </w:t>
      </w:r>
      <w:r>
        <w:rPr>
          <w:rFonts w:cs="Times New Roman"/>
          <w:sz w:val="23"/>
          <w:szCs w:val="23"/>
        </w:rPr>
        <w:t>502.1</w:t>
      </w:r>
      <w:r w:rsidRPr="00EC4EC4">
        <w:rPr>
          <w:rFonts w:cs="Times New Roman"/>
          <w:sz w:val="23"/>
          <w:szCs w:val="23"/>
        </w:rPr>
        <w:t xml:space="preserve"> of  the New York city plumbing code, as amended by local law number 14 for the year 2020, is amended to read as follows:</w:t>
      </w:r>
    </w:p>
    <w:p w14:paraId="1B141187" w14:textId="77777777" w:rsidR="00140B7C" w:rsidRDefault="00140B7C" w:rsidP="00140B7C">
      <w:pPr>
        <w:kinsoku w:val="0"/>
        <w:spacing w:after="0" w:line="240" w:lineRule="auto"/>
        <w:jc w:val="both"/>
        <w:rPr>
          <w:rFonts w:cs="Times New Roman"/>
          <w:sz w:val="23"/>
          <w:szCs w:val="23"/>
        </w:rPr>
      </w:pPr>
    </w:p>
    <w:p w14:paraId="6BF12316" w14:textId="77777777" w:rsidR="00140B7C" w:rsidRPr="00E85200" w:rsidRDefault="00140B7C" w:rsidP="00140B7C">
      <w:pPr>
        <w:kinsoku w:val="0"/>
        <w:spacing w:after="0" w:line="240" w:lineRule="auto"/>
        <w:jc w:val="both"/>
        <w:rPr>
          <w:rFonts w:cs="Times New Roman"/>
          <w:sz w:val="23"/>
          <w:szCs w:val="23"/>
        </w:rPr>
      </w:pPr>
      <w:r w:rsidRPr="00E85200">
        <w:rPr>
          <w:rFonts w:cs="Times New Roman"/>
          <w:b/>
          <w:bCs/>
          <w:sz w:val="23"/>
          <w:szCs w:val="23"/>
        </w:rPr>
        <w:t>502.1 General.</w:t>
      </w:r>
      <w:r w:rsidRPr="00E85200">
        <w:rPr>
          <w:rFonts w:cs="Times New Roman"/>
          <w:sz w:val="23"/>
          <w:szCs w:val="23"/>
        </w:rPr>
        <w:t xml:space="preserve"> Water heaters shall be installed in accordance with the manufacturer’s instructions. Oil-fired water heaters shall conform to the requirements of this code, the New York City Mechanical Code, and shall comply with UL 732. Approval for oil-fired water heaters 350,000 Btu/h input ([</w:t>
      </w:r>
      <w:r w:rsidRPr="00E85200">
        <w:rPr>
          <w:rFonts w:cs="Times New Roman"/>
          <w:strike/>
          <w:sz w:val="23"/>
          <w:szCs w:val="23"/>
        </w:rPr>
        <w:t>1025</w:t>
      </w:r>
      <w:r w:rsidRPr="00E85200">
        <w:rPr>
          <w:rFonts w:cs="Times New Roman"/>
          <w:sz w:val="23"/>
          <w:szCs w:val="23"/>
        </w:rPr>
        <w:t xml:space="preserve">] </w:t>
      </w:r>
      <w:r w:rsidRPr="00E85200">
        <w:rPr>
          <w:rFonts w:cs="Times New Roman"/>
          <w:sz w:val="23"/>
          <w:szCs w:val="23"/>
          <w:u w:val="single"/>
        </w:rPr>
        <w:t>102.5</w:t>
      </w:r>
      <w:r w:rsidRPr="00E85200">
        <w:rPr>
          <w:rFonts w:cs="Times New Roman"/>
          <w:sz w:val="23"/>
          <w:szCs w:val="23"/>
        </w:rPr>
        <w:t xml:space="preserve"> kW) and above shall be obtained from the New York City Department of Environmental Protection. Electric water heaters shall conform to the requirements of this code and provisions of the New York City Electrical Code. Domestic electric water heaters shall comply with UL 174 or UL 1453. Commercial electric water heaters shall comply with UL 1453. Gas-fired water heaters shall conform to the requirements of the New York City Fuel Gas Code. All water heaters shall conform to the New York City Energy Conservation Code.</w:t>
      </w:r>
    </w:p>
    <w:p w14:paraId="1CDBE1EE" w14:textId="77777777" w:rsidR="00140B7C" w:rsidRDefault="00140B7C" w:rsidP="00140B7C">
      <w:pPr>
        <w:kinsoku w:val="0"/>
        <w:spacing w:after="0" w:line="240" w:lineRule="auto"/>
        <w:jc w:val="both"/>
        <w:rPr>
          <w:rFonts w:cs="Times New Roman"/>
          <w:sz w:val="23"/>
          <w:szCs w:val="23"/>
        </w:rPr>
      </w:pPr>
    </w:p>
    <w:p w14:paraId="3A772055" w14:textId="2AB7F576" w:rsidR="00140B7C" w:rsidRPr="00EC4EC4" w:rsidRDefault="00140B7C" w:rsidP="00140B7C">
      <w:pPr>
        <w:kinsoku w:val="0"/>
        <w:spacing w:after="0" w:line="240" w:lineRule="auto"/>
        <w:ind w:firstLine="720"/>
        <w:jc w:val="both"/>
        <w:rPr>
          <w:rFonts w:cs="Times New Roman"/>
          <w:sz w:val="23"/>
          <w:szCs w:val="23"/>
        </w:rPr>
      </w:pPr>
      <w:r w:rsidRPr="000F6B89">
        <w:rPr>
          <w:rFonts w:cs="Times New Roman"/>
          <w:sz w:val="23"/>
          <w:szCs w:val="23"/>
        </w:rPr>
        <w:t>§</w:t>
      </w:r>
      <w:r>
        <w:rPr>
          <w:rFonts w:cs="Times New Roman"/>
          <w:sz w:val="23"/>
          <w:szCs w:val="23"/>
        </w:rPr>
        <w:t>6</w:t>
      </w:r>
      <w:r w:rsidR="008A6E6C">
        <w:rPr>
          <w:rFonts w:cs="Times New Roman"/>
          <w:sz w:val="23"/>
          <w:szCs w:val="23"/>
        </w:rPr>
        <w:t>9</w:t>
      </w:r>
      <w:r w:rsidRPr="000F6B89">
        <w:rPr>
          <w:rFonts w:cs="Times New Roman"/>
          <w:sz w:val="23"/>
          <w:szCs w:val="23"/>
        </w:rPr>
        <w:t>. Section 606.8.3 of  the New York city plumbing code, as renumbered by local law number 14 for the year 2020, is amended to read as follows:</w:t>
      </w:r>
    </w:p>
    <w:p w14:paraId="0720318D" w14:textId="77777777" w:rsidR="00140B7C" w:rsidRPr="00EC4EC4" w:rsidRDefault="00140B7C" w:rsidP="00140B7C">
      <w:pPr>
        <w:kinsoku w:val="0"/>
        <w:spacing w:after="0" w:line="240" w:lineRule="auto"/>
        <w:ind w:firstLine="720"/>
        <w:jc w:val="both"/>
        <w:rPr>
          <w:rFonts w:cs="Times New Roman"/>
          <w:sz w:val="23"/>
          <w:szCs w:val="23"/>
        </w:rPr>
      </w:pPr>
    </w:p>
    <w:p w14:paraId="7919AB70" w14:textId="77777777" w:rsidR="00140B7C" w:rsidRPr="00EC4EC4" w:rsidRDefault="00140B7C" w:rsidP="00140B7C">
      <w:pPr>
        <w:spacing w:before="120" w:after="120" w:line="240" w:lineRule="auto"/>
        <w:jc w:val="both"/>
        <w:rPr>
          <w:rFonts w:cs="Times New Roman"/>
          <w:spacing w:val="1"/>
          <w:szCs w:val="24"/>
        </w:rPr>
      </w:pPr>
      <w:r w:rsidRPr="00EC4EC4">
        <w:rPr>
          <w:rFonts w:cs="Times New Roman"/>
          <w:b/>
          <w:spacing w:val="1"/>
          <w:szCs w:val="24"/>
        </w:rPr>
        <w:t>606.9.3 Required separation.</w:t>
      </w:r>
      <w:r w:rsidRPr="00EC4EC4">
        <w:rPr>
          <w:rFonts w:cs="Times New Roman"/>
          <w:spacing w:val="1"/>
          <w:szCs w:val="24"/>
        </w:rPr>
        <w:t xml:space="preserve"> All pressure tanks shall be located in rooms separated from gas service or distribution lines by [</w:t>
      </w:r>
      <w:r w:rsidRPr="00EC4EC4">
        <w:rPr>
          <w:rFonts w:cs="Times New Roman"/>
          <w:strike/>
          <w:spacing w:val="1"/>
          <w:szCs w:val="24"/>
        </w:rPr>
        <w:t>fire-resistance rated</w:t>
      </w:r>
      <w:r w:rsidRPr="00EC4EC4">
        <w:rPr>
          <w:rFonts w:cs="Times New Roman"/>
          <w:spacing w:val="1"/>
          <w:szCs w:val="24"/>
        </w:rPr>
        <w:t>]</w:t>
      </w:r>
      <w:r w:rsidRPr="00EC4EC4">
        <w:rPr>
          <w:rFonts w:cs="Times New Roman"/>
          <w:spacing w:val="1"/>
          <w:szCs w:val="24"/>
          <w:u w:val="single"/>
        </w:rPr>
        <w:t>fire-resistance-rated</w:t>
      </w:r>
      <w:r w:rsidRPr="00EC4EC4">
        <w:rPr>
          <w:rFonts w:cs="Times New Roman"/>
          <w:spacing w:val="1"/>
          <w:szCs w:val="24"/>
        </w:rPr>
        <w:t xml:space="preserve"> enclosures.</w:t>
      </w:r>
    </w:p>
    <w:p w14:paraId="68D2D0E2" w14:textId="77777777" w:rsidR="00140B7C" w:rsidRPr="00EC4EC4" w:rsidRDefault="00140B7C" w:rsidP="00140B7C">
      <w:pPr>
        <w:tabs>
          <w:tab w:val="left" w:pos="1440"/>
        </w:tabs>
        <w:autoSpaceDE w:val="0"/>
        <w:autoSpaceDN w:val="0"/>
        <w:adjustRightInd w:val="0"/>
        <w:spacing w:after="0" w:line="240" w:lineRule="auto"/>
        <w:jc w:val="both"/>
        <w:rPr>
          <w:rFonts w:eastAsia="Times New Roman" w:cs="Times New Roman"/>
          <w:szCs w:val="24"/>
        </w:rPr>
      </w:pPr>
    </w:p>
    <w:p w14:paraId="7AA46F33" w14:textId="6D5BA5FB"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sidR="008A6E6C">
        <w:rPr>
          <w:rFonts w:cs="Times New Roman"/>
          <w:sz w:val="23"/>
          <w:szCs w:val="23"/>
        </w:rPr>
        <w:t>70</w:t>
      </w:r>
      <w:r w:rsidRPr="00EC4EC4">
        <w:rPr>
          <w:rFonts w:cs="Times New Roman"/>
          <w:sz w:val="23"/>
          <w:szCs w:val="23"/>
        </w:rPr>
        <w:t xml:space="preserve">. Section 607.2.2 of  the New York city plumbing code, as </w:t>
      </w:r>
      <w:r>
        <w:rPr>
          <w:rFonts w:cs="Times New Roman"/>
          <w:sz w:val="23"/>
          <w:szCs w:val="23"/>
        </w:rPr>
        <w:t>amended</w:t>
      </w:r>
      <w:r w:rsidRPr="00EC4EC4">
        <w:rPr>
          <w:rFonts w:cs="Times New Roman"/>
          <w:sz w:val="23"/>
          <w:szCs w:val="23"/>
        </w:rPr>
        <w:t xml:space="preserve"> by local law number 14 for the year 2020, is amended to read as follows:</w:t>
      </w:r>
    </w:p>
    <w:p w14:paraId="114AF676" w14:textId="77777777" w:rsidR="00140B7C" w:rsidRPr="004E4B1E" w:rsidRDefault="00140B7C" w:rsidP="00140B7C">
      <w:pPr>
        <w:kinsoku w:val="0"/>
        <w:spacing w:after="0" w:line="240" w:lineRule="auto"/>
        <w:ind w:firstLine="720"/>
        <w:jc w:val="both"/>
        <w:rPr>
          <w:rFonts w:cs="Times New Roman"/>
          <w:sz w:val="23"/>
          <w:szCs w:val="23"/>
        </w:rPr>
      </w:pPr>
    </w:p>
    <w:p w14:paraId="03DDB4F5" w14:textId="77777777" w:rsidR="00140B7C" w:rsidRPr="00EC4EC4" w:rsidRDefault="00140B7C" w:rsidP="00140B7C">
      <w:pPr>
        <w:pStyle w:val="ICCSECTIONl3L6"/>
        <w:widowControl/>
        <w:jc w:val="both"/>
        <w:rPr>
          <w:rFonts w:ascii="Times New Roman" w:hAnsi="Times New Roman" w:cs="Times New Roman"/>
          <w:sz w:val="24"/>
          <w:szCs w:val="24"/>
        </w:rPr>
      </w:pPr>
      <w:r w:rsidRPr="00595F8B">
        <w:rPr>
          <w:rStyle w:val="Heading5Char"/>
          <w:rFonts w:ascii="Times New Roman" w:eastAsiaTheme="minorHAnsi" w:hAnsi="Times New Roman"/>
          <w:szCs w:val="24"/>
        </w:rPr>
        <w:lastRenderedPageBreak/>
        <w:t xml:space="preserve">607.2.2 Piping for recirculation </w:t>
      </w:r>
      <w:r>
        <w:rPr>
          <w:rStyle w:val="Heading5Char"/>
          <w:rFonts w:ascii="Times New Roman" w:eastAsiaTheme="minorHAnsi" w:hAnsi="Times New Roman"/>
          <w:szCs w:val="24"/>
        </w:rPr>
        <w:t>[</w:t>
      </w:r>
      <w:r w:rsidRPr="00595F8B">
        <w:rPr>
          <w:rStyle w:val="Heading5Char"/>
          <w:rFonts w:ascii="Times New Roman" w:eastAsiaTheme="minorHAnsi" w:hAnsi="Times New Roman"/>
          <w:szCs w:val="24"/>
        </w:rPr>
        <w:t>sytems</w:t>
      </w:r>
      <w:r>
        <w:rPr>
          <w:rStyle w:val="Heading5Char"/>
          <w:rFonts w:ascii="Times New Roman" w:eastAsiaTheme="minorHAnsi" w:hAnsi="Times New Roman"/>
          <w:szCs w:val="24"/>
        </w:rPr>
        <w:t xml:space="preserve">] </w:t>
      </w:r>
      <w:r>
        <w:rPr>
          <w:rStyle w:val="Heading5Char"/>
          <w:rFonts w:ascii="Times New Roman" w:eastAsiaTheme="minorHAnsi" w:hAnsi="Times New Roman"/>
          <w:szCs w:val="24"/>
          <w:u w:val="single"/>
        </w:rPr>
        <w:t>systems</w:t>
      </w:r>
      <w:r w:rsidRPr="00595F8B">
        <w:rPr>
          <w:rStyle w:val="Heading5Char"/>
          <w:rFonts w:ascii="Times New Roman" w:eastAsiaTheme="minorHAnsi" w:hAnsi="Times New Roman"/>
          <w:szCs w:val="24"/>
        </w:rPr>
        <w:t xml:space="preserve"> having master thermostatic valves.</w:t>
      </w:r>
      <w:r w:rsidRPr="00EC4EC4">
        <w:rPr>
          <w:rFonts w:ascii="Times New Roman" w:hAnsi="Times New Roman" w:cs="Times New Roman"/>
          <w:bCs/>
          <w:spacing w:val="-6"/>
          <w:w w:val="110"/>
          <w:sz w:val="24"/>
          <w:szCs w:val="24"/>
        </w:rPr>
        <w:t xml:space="preserve"> </w:t>
      </w:r>
      <w:r w:rsidRPr="00EC4EC4">
        <w:rPr>
          <w:rFonts w:ascii="Times New Roman" w:hAnsi="Times New Roman" w:cs="Times New Roman"/>
          <w:sz w:val="24"/>
          <w:szCs w:val="24"/>
        </w:rPr>
        <w:t>Where a thermostatic mixing valve is used in a system with a hot water recirculating pump, the hot water or tempered water return line shall be routed to the cold water inlet pipe of the water heater and the cold water inlet pipe or the hot water return connection of the thermostatic mixing valve.</w:t>
      </w:r>
    </w:p>
    <w:p w14:paraId="55CAAA96" w14:textId="77777777" w:rsidR="00140B7C" w:rsidRPr="00EC4EC4" w:rsidRDefault="00140B7C" w:rsidP="00140B7C">
      <w:pPr>
        <w:pStyle w:val="ICCSECTIONl2L5"/>
        <w:widowControl/>
        <w:jc w:val="both"/>
        <w:rPr>
          <w:rFonts w:ascii="Times New Roman" w:hAnsi="Times New Roman" w:cs="Times New Roman"/>
          <w:bCs/>
          <w:sz w:val="24"/>
          <w:szCs w:val="24"/>
        </w:rPr>
      </w:pPr>
    </w:p>
    <w:p w14:paraId="5AFF1E92" w14:textId="1694C7A8" w:rsidR="00140B7C" w:rsidRPr="00EC4EC4" w:rsidRDefault="00140B7C" w:rsidP="00140B7C">
      <w:pPr>
        <w:kinsoku w:val="0"/>
        <w:spacing w:after="0" w:line="240" w:lineRule="auto"/>
        <w:ind w:firstLine="720"/>
        <w:jc w:val="both"/>
        <w:rPr>
          <w:rFonts w:cs="Times New Roman"/>
          <w:sz w:val="23"/>
          <w:szCs w:val="23"/>
        </w:rPr>
      </w:pPr>
      <w:r w:rsidRPr="00903810">
        <w:rPr>
          <w:rFonts w:cs="Times New Roman"/>
          <w:sz w:val="23"/>
          <w:szCs w:val="23"/>
        </w:rPr>
        <w:t>§</w:t>
      </w:r>
      <w:r w:rsidR="0073503A">
        <w:rPr>
          <w:rFonts w:cs="Times New Roman"/>
          <w:sz w:val="23"/>
          <w:szCs w:val="23"/>
        </w:rPr>
        <w:t>71</w:t>
      </w:r>
      <w:r w:rsidRPr="00903810">
        <w:rPr>
          <w:rFonts w:cs="Times New Roman"/>
          <w:sz w:val="23"/>
          <w:szCs w:val="23"/>
        </w:rPr>
        <w:t>. Section 614.1.3 of  the New York city plumbing code, as amended by local law number 14 for the year 2020, is amended to read as follows:</w:t>
      </w:r>
    </w:p>
    <w:p w14:paraId="0844BE54" w14:textId="77777777" w:rsidR="00140B7C" w:rsidRPr="00EC4EC4" w:rsidRDefault="00140B7C" w:rsidP="00140B7C">
      <w:pPr>
        <w:kinsoku w:val="0"/>
        <w:spacing w:after="0" w:line="240" w:lineRule="auto"/>
        <w:ind w:firstLine="720"/>
        <w:jc w:val="both"/>
        <w:rPr>
          <w:rFonts w:cs="Times New Roman"/>
          <w:sz w:val="23"/>
          <w:szCs w:val="23"/>
        </w:rPr>
      </w:pPr>
    </w:p>
    <w:p w14:paraId="50465696" w14:textId="77777777" w:rsidR="00140B7C" w:rsidRPr="00EC4EC4" w:rsidRDefault="00140B7C" w:rsidP="00140B7C">
      <w:pPr>
        <w:spacing w:after="0" w:line="240" w:lineRule="auto"/>
        <w:jc w:val="both"/>
        <w:rPr>
          <w:rFonts w:cs="Times New Roman"/>
          <w:szCs w:val="24"/>
        </w:rPr>
      </w:pPr>
      <w:r w:rsidRPr="00EC4EC4">
        <w:rPr>
          <w:rFonts w:cs="Times New Roman"/>
          <w:b/>
          <w:spacing w:val="2"/>
          <w:szCs w:val="24"/>
        </w:rPr>
        <w:t>614.1.3 Access to emergency water fixtures.</w:t>
      </w:r>
      <w:r w:rsidRPr="00EC4EC4">
        <w:rPr>
          <w:rFonts w:cs="Times New Roman"/>
          <w:szCs w:val="24"/>
        </w:rPr>
        <w:t xml:space="preserve"> Fixtures capable of supplying an emergency source of potable water in accordance with this section shall be located indoors in one or more common areas of the building. Such area shall be on an accessible route that complies with Section 1104.3 of the </w:t>
      </w:r>
      <w:r w:rsidRPr="00EC4EC4">
        <w:rPr>
          <w:rFonts w:cs="Times New Roman"/>
          <w:i/>
          <w:szCs w:val="24"/>
        </w:rPr>
        <w:t>New York City Building Code</w:t>
      </w:r>
      <w:r w:rsidRPr="00EC4EC4">
        <w:rPr>
          <w:rFonts w:cs="Times New Roman"/>
          <w:szCs w:val="24"/>
        </w:rPr>
        <w:t xml:space="preserve">. Where such area requires users to pass through a doorway to access the emergency water fixture, such area shall further comply with Section 1107.3 of the </w:t>
      </w:r>
      <w:r w:rsidRPr="00EC4EC4">
        <w:rPr>
          <w:rFonts w:cs="Times New Roman"/>
          <w:i/>
          <w:szCs w:val="24"/>
        </w:rPr>
        <w:t>New York City Building Code</w:t>
      </w:r>
      <w:r w:rsidRPr="00EC4EC4">
        <w:rPr>
          <w:rFonts w:cs="Times New Roman"/>
          <w:szCs w:val="24"/>
        </w:rPr>
        <w:t xml:space="preserve">. Emergency fixtures shall comply with Section 1109.12 of the </w:t>
      </w:r>
      <w:r w:rsidRPr="00EC4EC4">
        <w:rPr>
          <w:rFonts w:cs="Times New Roman"/>
          <w:i/>
          <w:szCs w:val="24"/>
        </w:rPr>
        <w:t>New York City Building Code</w:t>
      </w:r>
      <w:r w:rsidRPr="00EC4EC4">
        <w:rPr>
          <w:rFonts w:cs="Times New Roman"/>
          <w:szCs w:val="24"/>
        </w:rPr>
        <w:t>.</w:t>
      </w:r>
    </w:p>
    <w:p w14:paraId="35748991" w14:textId="77777777" w:rsidR="00140B7C" w:rsidRPr="00EC4EC4" w:rsidRDefault="00140B7C" w:rsidP="00140B7C">
      <w:pPr>
        <w:spacing w:before="120" w:after="120" w:line="240" w:lineRule="auto"/>
        <w:ind w:left="720"/>
        <w:jc w:val="both"/>
        <w:rPr>
          <w:rFonts w:cs="Times New Roman"/>
          <w:spacing w:val="2"/>
          <w:szCs w:val="24"/>
        </w:rPr>
      </w:pPr>
      <w:r w:rsidRPr="00EC4EC4">
        <w:rPr>
          <w:rFonts w:cs="Times New Roman"/>
          <w:b/>
          <w:spacing w:val="2"/>
          <w:szCs w:val="24"/>
        </w:rPr>
        <w:t>Exception[</w:t>
      </w:r>
      <w:r w:rsidRPr="00EC4EC4">
        <w:rPr>
          <w:rFonts w:cs="Times New Roman"/>
          <w:b/>
          <w:strike/>
          <w:spacing w:val="2"/>
          <w:szCs w:val="24"/>
        </w:rPr>
        <w:t>.</w:t>
      </w:r>
      <w:r w:rsidRPr="00EC4EC4">
        <w:rPr>
          <w:rFonts w:cs="Times New Roman"/>
          <w:b/>
          <w:spacing w:val="2"/>
          <w:szCs w:val="24"/>
        </w:rPr>
        <w:t>]</w:t>
      </w:r>
      <w:r w:rsidRPr="00EC4EC4">
        <w:rPr>
          <w:rFonts w:cs="Times New Roman"/>
          <w:b/>
          <w:spacing w:val="2"/>
          <w:szCs w:val="24"/>
          <w:u w:val="single"/>
        </w:rPr>
        <w:t>:</w:t>
      </w:r>
      <w:r w:rsidRPr="00EC4EC4">
        <w:rPr>
          <w:rFonts w:cs="Times New Roman"/>
          <w:spacing w:val="2"/>
          <w:szCs w:val="24"/>
        </w:rPr>
        <w:t xml:space="preserve"> Such fixtures shall not be located in a bathroom or toilet room.</w:t>
      </w:r>
    </w:p>
    <w:p w14:paraId="52CE47AE" w14:textId="77777777" w:rsidR="00140B7C" w:rsidRPr="00EC4EC4" w:rsidRDefault="00140B7C" w:rsidP="00140B7C">
      <w:pPr>
        <w:spacing w:after="0" w:line="240" w:lineRule="auto"/>
        <w:jc w:val="both"/>
        <w:rPr>
          <w:rFonts w:cs="Times New Roman"/>
          <w:szCs w:val="24"/>
        </w:rPr>
      </w:pPr>
    </w:p>
    <w:p w14:paraId="4EA0CD67" w14:textId="31279319"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sidR="00510C83">
        <w:rPr>
          <w:rFonts w:cs="Times New Roman"/>
          <w:sz w:val="23"/>
          <w:szCs w:val="23"/>
        </w:rPr>
        <w:t>72</w:t>
      </w:r>
      <w:r w:rsidRPr="00EC4EC4">
        <w:rPr>
          <w:rFonts w:cs="Times New Roman"/>
          <w:sz w:val="23"/>
          <w:szCs w:val="23"/>
        </w:rPr>
        <w:t>. Section 701.8 of  the New York city plumbing code, as renumbered section 701.7 by local law number 14 for the year 2020, is amended to read as follows:</w:t>
      </w:r>
    </w:p>
    <w:p w14:paraId="09F4D78A" w14:textId="77777777" w:rsidR="00140B7C" w:rsidRPr="00EC4EC4" w:rsidRDefault="00140B7C" w:rsidP="00140B7C">
      <w:pPr>
        <w:kinsoku w:val="0"/>
        <w:spacing w:after="0" w:line="240" w:lineRule="auto"/>
        <w:ind w:firstLine="720"/>
        <w:jc w:val="both"/>
        <w:rPr>
          <w:rFonts w:cs="Times New Roman"/>
          <w:sz w:val="23"/>
          <w:szCs w:val="23"/>
        </w:rPr>
      </w:pPr>
    </w:p>
    <w:p w14:paraId="10FD8AEC" w14:textId="77777777" w:rsidR="00140B7C" w:rsidRPr="00EC4EC4" w:rsidRDefault="00140B7C" w:rsidP="00140B7C">
      <w:pPr>
        <w:widowControl w:val="0"/>
        <w:autoSpaceDE w:val="0"/>
        <w:autoSpaceDN w:val="0"/>
        <w:adjustRightInd w:val="0"/>
        <w:spacing w:after="0" w:line="240" w:lineRule="auto"/>
        <w:jc w:val="both"/>
        <w:rPr>
          <w:rFonts w:eastAsia="Times New Roman" w:cs="Times New Roman"/>
          <w:szCs w:val="24"/>
        </w:rPr>
      </w:pPr>
      <w:r w:rsidRPr="00EC4EC4">
        <w:rPr>
          <w:rFonts w:eastAsia="Times New Roman" w:cs="Times New Roman"/>
          <w:b/>
          <w:spacing w:val="1"/>
          <w:szCs w:val="24"/>
        </w:rPr>
        <w:t>701.7</w:t>
      </w:r>
      <w:r w:rsidRPr="00EC4EC4">
        <w:rPr>
          <w:rFonts w:eastAsia="Times New Roman" w:cs="Times New Roman"/>
          <w:spacing w:val="1"/>
          <w:szCs w:val="24"/>
        </w:rPr>
        <w:t xml:space="preserve"> </w:t>
      </w:r>
      <w:r w:rsidRPr="00EC4EC4">
        <w:rPr>
          <w:rFonts w:eastAsia="Times New Roman" w:cs="Times New Roman"/>
          <w:b/>
          <w:bCs/>
          <w:szCs w:val="24"/>
        </w:rPr>
        <w:t>Engineered systems.</w:t>
      </w:r>
      <w:r w:rsidRPr="00EC4EC4">
        <w:rPr>
          <w:rFonts w:eastAsia="Times New Roman" w:cs="Times New Roman"/>
          <w:szCs w:val="24"/>
        </w:rPr>
        <w:t xml:space="preserve"> Engineered sanitary drainage </w:t>
      </w:r>
      <w:r w:rsidRPr="00EC4EC4">
        <w:rPr>
          <w:rFonts w:eastAsia="Times New Roman" w:cs="Times New Roman"/>
          <w:bCs/>
          <w:szCs w:val="24"/>
        </w:rPr>
        <w:t>systems</w:t>
      </w:r>
      <w:r w:rsidRPr="00EC4EC4">
        <w:rPr>
          <w:rFonts w:eastAsia="Times New Roman" w:cs="Times New Roman"/>
          <w:szCs w:val="24"/>
        </w:rPr>
        <w:t xml:space="preserve"> shall conform to the provisions of </w:t>
      </w:r>
      <w:r w:rsidRPr="00EC4EC4">
        <w:rPr>
          <w:rFonts w:eastAsia="Times New Roman" w:cs="Times New Roman"/>
          <w:spacing w:val="1"/>
          <w:szCs w:val="24"/>
        </w:rPr>
        <w:t xml:space="preserve">Section 28-113.2.2 of the </w:t>
      </w:r>
      <w:r w:rsidRPr="00EC4EC4">
        <w:rPr>
          <w:rFonts w:eastAsia="Times New Roman" w:cs="Times New Roman"/>
          <w:i/>
          <w:spacing w:val="1"/>
          <w:szCs w:val="24"/>
        </w:rPr>
        <w:t xml:space="preserve">Administrative Code </w:t>
      </w:r>
      <w:r w:rsidRPr="00EC4EC4">
        <w:rPr>
          <w:rFonts w:eastAsia="Times New Roman" w:cs="Times New Roman"/>
          <w:szCs w:val="24"/>
        </w:rPr>
        <w:t xml:space="preserve">and </w:t>
      </w:r>
      <w:r w:rsidRPr="00EC4EC4">
        <w:rPr>
          <w:rFonts w:eastAsia="Times New Roman" w:cs="Times New Roman"/>
          <w:szCs w:val="24"/>
          <w:u w:val="single"/>
        </w:rPr>
        <w:t>Section</w:t>
      </w:r>
      <w:r w:rsidRPr="00EC4EC4">
        <w:rPr>
          <w:rFonts w:eastAsia="Times New Roman" w:cs="Times New Roman"/>
          <w:szCs w:val="24"/>
        </w:rPr>
        <w:t xml:space="preserve"> 714</w:t>
      </w:r>
      <w:r w:rsidRPr="00EC4EC4">
        <w:rPr>
          <w:rFonts w:eastAsia="Times New Roman" w:cs="Times New Roman"/>
          <w:spacing w:val="1"/>
          <w:szCs w:val="24"/>
        </w:rPr>
        <w:t xml:space="preserve"> of this code</w:t>
      </w:r>
      <w:r w:rsidRPr="00EC4EC4">
        <w:rPr>
          <w:rFonts w:eastAsia="Times New Roman" w:cs="Times New Roman"/>
          <w:szCs w:val="24"/>
        </w:rPr>
        <w:t>.</w:t>
      </w:r>
    </w:p>
    <w:p w14:paraId="69C745A4" w14:textId="77777777" w:rsidR="00140B7C" w:rsidRPr="00EC4EC4" w:rsidRDefault="00140B7C" w:rsidP="00140B7C">
      <w:pPr>
        <w:widowControl w:val="0"/>
        <w:autoSpaceDE w:val="0"/>
        <w:autoSpaceDN w:val="0"/>
        <w:adjustRightInd w:val="0"/>
        <w:spacing w:after="0" w:line="240" w:lineRule="auto"/>
        <w:jc w:val="both"/>
        <w:rPr>
          <w:rFonts w:eastAsia="Times New Roman" w:cs="Times New Roman"/>
          <w:szCs w:val="24"/>
        </w:rPr>
      </w:pPr>
    </w:p>
    <w:p w14:paraId="1CC7907A" w14:textId="1350571C"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sidR="00510C83">
        <w:rPr>
          <w:rFonts w:cs="Times New Roman"/>
          <w:sz w:val="23"/>
          <w:szCs w:val="23"/>
        </w:rPr>
        <w:t>73</w:t>
      </w:r>
      <w:r w:rsidRPr="00EC4EC4">
        <w:rPr>
          <w:rFonts w:cs="Times New Roman"/>
          <w:sz w:val="23"/>
          <w:szCs w:val="23"/>
        </w:rPr>
        <w:t>. Section 703.6.1 of  the New York city plumbing code, as renumbered and amended by local law number 14 for the year 2020, is amended to read as follows:</w:t>
      </w:r>
    </w:p>
    <w:p w14:paraId="2EFE6160" w14:textId="77777777" w:rsidR="00140B7C" w:rsidRPr="00EC4EC4" w:rsidRDefault="00140B7C" w:rsidP="00140B7C">
      <w:pPr>
        <w:kinsoku w:val="0"/>
        <w:spacing w:after="0" w:line="240" w:lineRule="auto"/>
        <w:ind w:firstLine="720"/>
        <w:jc w:val="both"/>
        <w:rPr>
          <w:rFonts w:cs="Times New Roman"/>
          <w:sz w:val="23"/>
          <w:szCs w:val="23"/>
        </w:rPr>
      </w:pPr>
    </w:p>
    <w:p w14:paraId="6FEA7D88" w14:textId="77777777" w:rsidR="00140B7C" w:rsidRPr="00EC4EC4" w:rsidRDefault="00140B7C" w:rsidP="00140B7C">
      <w:pPr>
        <w:widowControl w:val="0"/>
        <w:autoSpaceDE w:val="0"/>
        <w:autoSpaceDN w:val="0"/>
        <w:adjustRightInd w:val="0"/>
        <w:spacing w:after="0" w:line="240" w:lineRule="auto"/>
        <w:jc w:val="both"/>
        <w:rPr>
          <w:rFonts w:eastAsia="Times New Roman" w:cs="Times New Roman"/>
          <w:spacing w:val="1"/>
          <w:szCs w:val="24"/>
        </w:rPr>
      </w:pPr>
      <w:r w:rsidRPr="00EC4EC4">
        <w:rPr>
          <w:rFonts w:eastAsia="Times New Roman" w:cs="Times New Roman"/>
          <w:b/>
          <w:spacing w:val="1"/>
          <w:szCs w:val="24"/>
        </w:rPr>
        <w:t>703.7.1 Fresh air inlets.</w:t>
      </w:r>
      <w:r w:rsidRPr="00EC4EC4">
        <w:rPr>
          <w:rFonts w:eastAsia="Times New Roman" w:cs="Times New Roman"/>
          <w:spacing w:val="1"/>
          <w:szCs w:val="24"/>
        </w:rPr>
        <w:t xml:space="preserve"> Every sanitary or combined building drain[</w:t>
      </w:r>
      <w:r w:rsidRPr="00EC4EC4">
        <w:rPr>
          <w:rFonts w:eastAsia="Times New Roman" w:cs="Times New Roman"/>
          <w:strike/>
          <w:spacing w:val="1"/>
          <w:szCs w:val="24"/>
        </w:rPr>
        <w:t>,</w:t>
      </w:r>
      <w:r w:rsidRPr="00EC4EC4">
        <w:rPr>
          <w:rFonts w:eastAsia="Times New Roman" w:cs="Times New Roman"/>
          <w:spacing w:val="1"/>
          <w:szCs w:val="24"/>
        </w:rPr>
        <w:t>] shall be provided with a fresh air inlet pipe connected to the building drain immediately upstream from[</w:t>
      </w:r>
      <w:r w:rsidRPr="00EC4EC4">
        <w:rPr>
          <w:rFonts w:eastAsia="Times New Roman" w:cs="Times New Roman"/>
          <w:strike/>
          <w:spacing w:val="1"/>
          <w:szCs w:val="24"/>
        </w:rPr>
        <w:t>,</w:t>
      </w:r>
      <w:r w:rsidRPr="00EC4EC4">
        <w:rPr>
          <w:rFonts w:eastAsia="Times New Roman" w:cs="Times New Roman"/>
          <w:spacing w:val="1"/>
          <w:szCs w:val="24"/>
        </w:rPr>
        <w:t>] and within 4 feet (1219 mm) of[</w:t>
      </w:r>
      <w:r w:rsidRPr="00EC4EC4">
        <w:rPr>
          <w:rFonts w:eastAsia="Times New Roman" w:cs="Times New Roman"/>
          <w:strike/>
          <w:spacing w:val="1"/>
          <w:szCs w:val="24"/>
        </w:rPr>
        <w:t>,</w:t>
      </w:r>
      <w:r w:rsidRPr="00EC4EC4">
        <w:rPr>
          <w:rFonts w:eastAsia="Times New Roman" w:cs="Times New Roman"/>
          <w:spacing w:val="1"/>
          <w:szCs w:val="24"/>
        </w:rPr>
        <w:t>] the building trap. Such connection shall be made in the same manner as prescribed in Section 905 for vent connections to horizontal drains, and the fresh air inlet pipe shall be extended to the outer air and shall be terminated in an open end at least 6 inches (152 mm) above grade. The open end shall be protected by a perforated metal plate permanently fixed in the mouth of the inlet and having an open ventilating area at least equal to the area of the pipe, or by a return bend with its unprotected open end at least 6 inches (152 mm) above grade, located inside the street line. The size of the fresh air inlet pipe shall be at least one-half the diameter of the building drain at the point of connection, but not less than 3 inches (76 mm).</w:t>
      </w:r>
    </w:p>
    <w:p w14:paraId="11DECC8F" w14:textId="77777777" w:rsidR="00140B7C" w:rsidRPr="00EC4EC4" w:rsidRDefault="00140B7C" w:rsidP="00140B7C">
      <w:pPr>
        <w:widowControl w:val="0"/>
        <w:autoSpaceDE w:val="0"/>
        <w:autoSpaceDN w:val="0"/>
        <w:adjustRightInd w:val="0"/>
        <w:spacing w:after="0" w:line="240" w:lineRule="auto"/>
        <w:jc w:val="both"/>
        <w:rPr>
          <w:rFonts w:eastAsia="Times New Roman" w:cs="Times New Roman"/>
          <w:spacing w:val="1"/>
          <w:szCs w:val="24"/>
        </w:rPr>
      </w:pPr>
    </w:p>
    <w:p w14:paraId="2B5A510F" w14:textId="5777C1BD"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7</w:t>
      </w:r>
      <w:r w:rsidR="00D25B3D">
        <w:rPr>
          <w:rFonts w:cs="Times New Roman"/>
          <w:sz w:val="23"/>
          <w:szCs w:val="23"/>
        </w:rPr>
        <w:t>4</w:t>
      </w:r>
      <w:r w:rsidRPr="00EC4EC4">
        <w:rPr>
          <w:rFonts w:cs="Times New Roman"/>
          <w:sz w:val="23"/>
          <w:szCs w:val="23"/>
        </w:rPr>
        <w:t>. Section 704.7 of  the New York city plumbing code, as added by local law number 14 for the year 2020, is amended to read as follows:</w:t>
      </w:r>
    </w:p>
    <w:p w14:paraId="42E46E63" w14:textId="77777777" w:rsidR="00140B7C" w:rsidRPr="00EC4EC4" w:rsidRDefault="00140B7C" w:rsidP="00140B7C">
      <w:pPr>
        <w:widowControl w:val="0"/>
        <w:autoSpaceDE w:val="0"/>
        <w:autoSpaceDN w:val="0"/>
        <w:adjustRightInd w:val="0"/>
        <w:spacing w:after="0" w:line="240" w:lineRule="auto"/>
        <w:jc w:val="both"/>
        <w:rPr>
          <w:rFonts w:eastAsia="Times New Roman" w:cs="Times New Roman"/>
          <w:spacing w:val="1"/>
          <w:szCs w:val="24"/>
        </w:rPr>
      </w:pPr>
    </w:p>
    <w:p w14:paraId="506B9FCF" w14:textId="77777777" w:rsidR="00140B7C" w:rsidRPr="00EC4EC4" w:rsidRDefault="00140B7C" w:rsidP="00140B7C">
      <w:pPr>
        <w:kinsoku w:val="0"/>
        <w:spacing w:after="0" w:line="240" w:lineRule="auto"/>
        <w:jc w:val="both"/>
        <w:rPr>
          <w:rFonts w:cs="Times New Roman"/>
          <w:sz w:val="23"/>
          <w:szCs w:val="23"/>
        </w:rPr>
      </w:pPr>
      <w:r w:rsidRPr="00EC4EC4">
        <w:rPr>
          <w:b/>
          <w:bCs/>
        </w:rPr>
        <w:t>704.7 Collection pipe labeling and marking.</w:t>
      </w:r>
      <w:r w:rsidRPr="00EC4EC4">
        <w:t xml:space="preserve"> Collection piping that conveys untreated water for reuse shall be painted gray in color or covered in a gray jacket and shall be [</w:t>
      </w:r>
      <w:r w:rsidRPr="00EC4EC4">
        <w:rPr>
          <w:strike/>
        </w:rPr>
        <w:t>labelled</w:t>
      </w:r>
      <w:r w:rsidRPr="00EC4EC4">
        <w:t>]</w:t>
      </w:r>
      <w:r w:rsidRPr="00EC4EC4">
        <w:rPr>
          <w:u w:val="single"/>
        </w:rPr>
        <w:t>labeled</w:t>
      </w:r>
      <w:r w:rsidRPr="00EC4EC4">
        <w:t xml:space="preserve">, embossed, or integrally stamped or marked, with the words: “CAUTION: UNTREATED WATER FOR RE-USE” or the piping shall be installed with a gray identification tape or wrap. Pipe identification shall include the contents of the piping system and an arrow indicating the direction </w:t>
      </w:r>
      <w:r w:rsidRPr="00EC4EC4">
        <w:lastRenderedPageBreak/>
        <w:t>of flow. Hazardous piping systems shall also contain information addressing the nature of the hazard. Pipe identification shall be repeated at intervals not exceeding 25 feet (7620 mm) and at each point where the piping passes through a wall, floor or roof. Lettering shall be readily observable within the room or space where the piping is located.</w:t>
      </w:r>
    </w:p>
    <w:p w14:paraId="4BDEABDA" w14:textId="77777777" w:rsidR="00140B7C" w:rsidRPr="00EC4EC4" w:rsidRDefault="00140B7C" w:rsidP="00140B7C">
      <w:pPr>
        <w:kinsoku w:val="0"/>
        <w:spacing w:after="0" w:line="240" w:lineRule="auto"/>
        <w:ind w:firstLine="720"/>
        <w:jc w:val="both"/>
        <w:rPr>
          <w:rFonts w:cs="Times New Roman"/>
          <w:sz w:val="23"/>
          <w:szCs w:val="23"/>
        </w:rPr>
      </w:pPr>
    </w:p>
    <w:p w14:paraId="3873BA5D" w14:textId="24A3C05B"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7</w:t>
      </w:r>
      <w:r w:rsidR="00D25B3D">
        <w:rPr>
          <w:rFonts w:cs="Times New Roman"/>
          <w:sz w:val="23"/>
          <w:szCs w:val="23"/>
        </w:rPr>
        <w:t>5</w:t>
      </w:r>
      <w:r w:rsidRPr="00EC4EC4">
        <w:rPr>
          <w:rFonts w:cs="Times New Roman"/>
          <w:sz w:val="23"/>
          <w:szCs w:val="23"/>
        </w:rPr>
        <w:t xml:space="preserve">. Section 709.1.10.2 of  the New York city plumbing code is renumbered </w:t>
      </w:r>
      <w:r>
        <w:rPr>
          <w:rFonts w:cs="Times New Roman"/>
          <w:sz w:val="23"/>
          <w:szCs w:val="23"/>
        </w:rPr>
        <w:t xml:space="preserve">section </w:t>
      </w:r>
      <w:r w:rsidRPr="00EC4EC4">
        <w:rPr>
          <w:rFonts w:cs="Times New Roman"/>
          <w:sz w:val="23"/>
          <w:szCs w:val="23"/>
        </w:rPr>
        <w:t>708.1.10.2</w:t>
      </w:r>
      <w:r>
        <w:rPr>
          <w:rFonts w:cs="Times New Roman"/>
          <w:sz w:val="23"/>
          <w:szCs w:val="23"/>
        </w:rPr>
        <w:t>.</w:t>
      </w:r>
    </w:p>
    <w:p w14:paraId="4AC15867" w14:textId="77777777" w:rsidR="00140B7C" w:rsidRPr="00EC4EC4" w:rsidRDefault="00140B7C" w:rsidP="00140B7C">
      <w:pPr>
        <w:pStyle w:val="ICCSECTIONl2L5"/>
        <w:widowControl/>
        <w:jc w:val="both"/>
        <w:rPr>
          <w:rFonts w:ascii="Times New Roman" w:hAnsi="Times New Roman" w:cs="Times New Roman"/>
          <w:bCs/>
          <w:sz w:val="24"/>
          <w:szCs w:val="24"/>
        </w:rPr>
      </w:pPr>
    </w:p>
    <w:p w14:paraId="7669405B" w14:textId="563EB30A"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7</w:t>
      </w:r>
      <w:r w:rsidR="00D25B3D">
        <w:rPr>
          <w:rFonts w:cs="Times New Roman"/>
          <w:sz w:val="23"/>
          <w:szCs w:val="23"/>
        </w:rPr>
        <w:t>6</w:t>
      </w:r>
      <w:r w:rsidRPr="00EC4EC4">
        <w:rPr>
          <w:rFonts w:cs="Times New Roman"/>
          <w:sz w:val="23"/>
          <w:szCs w:val="23"/>
        </w:rPr>
        <w:t>. Section 803.3.3 of  the New York city plumbing code, as added by local law number 14 for the year 2020, is amended to read as follows:</w:t>
      </w:r>
    </w:p>
    <w:p w14:paraId="3ED6D433" w14:textId="77777777" w:rsidR="00140B7C" w:rsidRPr="00EC4EC4" w:rsidRDefault="00140B7C" w:rsidP="00140B7C">
      <w:pPr>
        <w:kinsoku w:val="0"/>
        <w:spacing w:after="0" w:line="240" w:lineRule="auto"/>
        <w:ind w:firstLine="720"/>
        <w:jc w:val="both"/>
        <w:rPr>
          <w:rFonts w:cs="Times New Roman"/>
          <w:sz w:val="23"/>
          <w:szCs w:val="23"/>
        </w:rPr>
      </w:pPr>
    </w:p>
    <w:p w14:paraId="52978D28" w14:textId="77777777" w:rsidR="00140B7C" w:rsidRDefault="00140B7C" w:rsidP="00140B7C">
      <w:pPr>
        <w:kinsoku w:val="0"/>
        <w:spacing w:after="0" w:line="240" w:lineRule="auto"/>
        <w:jc w:val="both"/>
      </w:pPr>
      <w:r w:rsidRPr="00EC4EC4">
        <w:rPr>
          <w:b/>
          <w:bCs/>
        </w:rPr>
        <w:t>803.3.3 Chemical drainage and vent pipe installation.</w:t>
      </w:r>
      <w:r w:rsidRPr="00EC4EC4">
        <w:t xml:space="preserve"> The installation of chemical waste and vent pipe shall conform to Sections 704.1, 704.2, 704.3, 704.4[</w:t>
      </w:r>
      <w:r w:rsidRPr="00EC4EC4">
        <w:rPr>
          <w:strike/>
        </w:rPr>
        <w:t>.</w:t>
      </w:r>
      <w:r w:rsidRPr="00EC4EC4">
        <w:t>]</w:t>
      </w:r>
      <w:r w:rsidRPr="00EC4EC4">
        <w:rPr>
          <w:u w:val="single"/>
        </w:rPr>
        <w:t>,</w:t>
      </w:r>
      <w:r w:rsidRPr="00EC4EC4">
        <w:t xml:space="preserve"> and 704.5.</w:t>
      </w:r>
    </w:p>
    <w:p w14:paraId="1B0F0F33" w14:textId="77777777" w:rsidR="00140B7C" w:rsidRDefault="00140B7C" w:rsidP="00140B7C">
      <w:pPr>
        <w:kinsoku w:val="0"/>
        <w:spacing w:after="0" w:line="240" w:lineRule="auto"/>
        <w:jc w:val="both"/>
      </w:pPr>
    </w:p>
    <w:p w14:paraId="2BC6DEF0" w14:textId="777486BA" w:rsidR="00140B7C" w:rsidRPr="000C1A53" w:rsidRDefault="00140B7C" w:rsidP="00140B7C">
      <w:pPr>
        <w:kinsoku w:val="0"/>
        <w:spacing w:after="0" w:line="240" w:lineRule="auto"/>
        <w:ind w:firstLine="720"/>
        <w:jc w:val="both"/>
        <w:rPr>
          <w:rFonts w:cs="Times New Roman"/>
          <w:sz w:val="23"/>
          <w:szCs w:val="23"/>
        </w:rPr>
      </w:pPr>
      <w:r w:rsidRPr="000C1A53">
        <w:rPr>
          <w:rFonts w:cs="Times New Roman"/>
          <w:sz w:val="23"/>
          <w:szCs w:val="23"/>
        </w:rPr>
        <w:t>§</w:t>
      </w:r>
      <w:r>
        <w:rPr>
          <w:rFonts w:cs="Times New Roman"/>
          <w:sz w:val="23"/>
          <w:szCs w:val="23"/>
        </w:rPr>
        <w:t>7</w:t>
      </w:r>
      <w:r w:rsidR="00D25B3D">
        <w:rPr>
          <w:rFonts w:cs="Times New Roman"/>
          <w:sz w:val="23"/>
          <w:szCs w:val="23"/>
        </w:rPr>
        <w:t>7</w:t>
      </w:r>
      <w:r w:rsidRPr="000C1A53">
        <w:rPr>
          <w:rFonts w:cs="Times New Roman"/>
          <w:sz w:val="23"/>
          <w:szCs w:val="23"/>
        </w:rPr>
        <w:t>. Section 1106.1 of the New York city plumbing code, as amended by local law number 14 for the year 2020, is amended to read as follows:</w:t>
      </w:r>
    </w:p>
    <w:p w14:paraId="076354A3" w14:textId="77777777" w:rsidR="00140B7C" w:rsidRPr="000C1A53" w:rsidRDefault="00140B7C" w:rsidP="00140B7C">
      <w:pPr>
        <w:kinsoku w:val="0"/>
        <w:spacing w:after="0" w:line="240" w:lineRule="auto"/>
        <w:jc w:val="both"/>
        <w:rPr>
          <w:rFonts w:cs="Times New Roman"/>
          <w:sz w:val="23"/>
          <w:szCs w:val="23"/>
        </w:rPr>
      </w:pPr>
    </w:p>
    <w:p w14:paraId="08B2B494" w14:textId="77777777" w:rsidR="00140B7C" w:rsidRPr="000C1A53" w:rsidRDefault="00140B7C" w:rsidP="00140B7C">
      <w:pPr>
        <w:pStyle w:val="ICCSECTIONl2L5"/>
        <w:widowControl/>
        <w:spacing w:before="120" w:after="120"/>
        <w:jc w:val="both"/>
      </w:pPr>
      <w:r w:rsidRPr="000C1A53">
        <w:rPr>
          <w:rStyle w:val="Heading3Char"/>
          <w:rFonts w:ascii="Times New Roman" w:hAnsi="Times New Roman"/>
          <w:szCs w:val="24"/>
        </w:rPr>
        <w:t xml:space="preserve">1106.1 General. </w:t>
      </w:r>
      <w:r w:rsidRPr="000C1A53">
        <w:rPr>
          <w:rFonts w:ascii="Times New Roman" w:hAnsi="Times New Roman" w:cs="Times New Roman"/>
          <w:sz w:val="24"/>
          <w:szCs w:val="24"/>
        </w:rPr>
        <w:t xml:space="preserve">The size of the vertical conductors and </w:t>
      </w:r>
      <w:r w:rsidRPr="000C1A53">
        <w:rPr>
          <w:rFonts w:ascii="Times New Roman" w:hAnsi="Times New Roman" w:cs="Times New Roman"/>
          <w:spacing w:val="1"/>
          <w:sz w:val="24"/>
          <w:szCs w:val="24"/>
        </w:rPr>
        <w:t>leaders, gutters,</w:t>
      </w:r>
      <w:r w:rsidRPr="000C1A53">
        <w:rPr>
          <w:rFonts w:ascii="Times New Roman" w:hAnsi="Times New Roman" w:cs="Times New Roman"/>
          <w:sz w:val="24"/>
          <w:szCs w:val="24"/>
        </w:rPr>
        <w:t xml:space="preserve"> building storm drains, building storm [</w:t>
      </w:r>
      <w:r w:rsidRPr="000C1A53">
        <w:rPr>
          <w:rFonts w:ascii="Times New Roman" w:hAnsi="Times New Roman" w:cs="Times New Roman"/>
          <w:strike/>
          <w:sz w:val="24"/>
          <w:szCs w:val="24"/>
        </w:rPr>
        <w:t>sewersand</w:t>
      </w:r>
      <w:r w:rsidRPr="000C1A53">
        <w:rPr>
          <w:rFonts w:ascii="Times New Roman" w:hAnsi="Times New Roman" w:cs="Times New Roman"/>
          <w:sz w:val="24"/>
          <w:szCs w:val="24"/>
        </w:rPr>
        <w:t>]</w:t>
      </w:r>
      <w:r w:rsidRPr="000C1A53">
        <w:rPr>
          <w:rFonts w:ascii="Times New Roman" w:hAnsi="Times New Roman" w:cs="Times New Roman"/>
          <w:sz w:val="24"/>
          <w:szCs w:val="24"/>
          <w:u w:val="single"/>
        </w:rPr>
        <w:t>sewers and</w:t>
      </w:r>
      <w:r w:rsidRPr="000C1A53">
        <w:rPr>
          <w:rFonts w:ascii="Times New Roman" w:hAnsi="Times New Roman" w:cs="Times New Roman"/>
          <w:sz w:val="24"/>
          <w:szCs w:val="24"/>
        </w:rPr>
        <w:t xml:space="preserve"> any horizontal branches of such drains or sewers</w:t>
      </w:r>
      <w:r w:rsidRPr="000C1A53">
        <w:rPr>
          <w:rFonts w:ascii="Times New Roman" w:hAnsi="Times New Roman" w:cs="Times New Roman"/>
          <w:i/>
          <w:sz w:val="24"/>
          <w:szCs w:val="24"/>
        </w:rPr>
        <w:t xml:space="preserve"> </w:t>
      </w:r>
      <w:r w:rsidRPr="000C1A53">
        <w:rPr>
          <w:rFonts w:ascii="Times New Roman" w:hAnsi="Times New Roman" w:cs="Times New Roman"/>
          <w:sz w:val="24"/>
          <w:szCs w:val="24"/>
        </w:rPr>
        <w:t xml:space="preserve">shall be based on the 100-year hourly rainfall rate </w:t>
      </w:r>
      <w:r w:rsidRPr="000C1A53">
        <w:rPr>
          <w:rFonts w:ascii="Times New Roman" w:hAnsi="Times New Roman" w:cs="Times New Roman"/>
          <w:spacing w:val="1"/>
          <w:sz w:val="24"/>
          <w:szCs w:val="24"/>
        </w:rPr>
        <w:t>of 3 inches (76 mm) per hour. Sizing for secondary and combined primary and secondary conductors, leaders and drains shall be in accordance with Section 1108</w:t>
      </w:r>
      <w:r w:rsidRPr="000C1A53">
        <w:rPr>
          <w:rFonts w:ascii="Times New Roman" w:hAnsi="Times New Roman" w:cs="Times New Roman"/>
          <w:sz w:val="24"/>
          <w:szCs w:val="24"/>
        </w:rPr>
        <w:t>.</w:t>
      </w:r>
    </w:p>
    <w:p w14:paraId="4AC6508E" w14:textId="482B73C6" w:rsidR="00140B7C" w:rsidRPr="000C1A53" w:rsidRDefault="00140B7C" w:rsidP="00140B7C">
      <w:pPr>
        <w:kinsoku w:val="0"/>
        <w:spacing w:after="0" w:line="240" w:lineRule="auto"/>
        <w:ind w:firstLine="720"/>
        <w:jc w:val="both"/>
        <w:rPr>
          <w:rFonts w:cs="Times New Roman"/>
          <w:sz w:val="23"/>
          <w:szCs w:val="23"/>
        </w:rPr>
      </w:pPr>
      <w:r w:rsidRPr="000C1A53">
        <w:rPr>
          <w:rFonts w:cs="Times New Roman"/>
          <w:sz w:val="23"/>
          <w:szCs w:val="23"/>
        </w:rPr>
        <w:t>§</w:t>
      </w:r>
      <w:r>
        <w:rPr>
          <w:rFonts w:cs="Times New Roman"/>
          <w:sz w:val="23"/>
          <w:szCs w:val="23"/>
        </w:rPr>
        <w:t>7</w:t>
      </w:r>
      <w:r w:rsidR="00044800">
        <w:rPr>
          <w:rFonts w:cs="Times New Roman"/>
          <w:sz w:val="23"/>
          <w:szCs w:val="23"/>
        </w:rPr>
        <w:t>8</w:t>
      </w:r>
      <w:r w:rsidRPr="000C1A53">
        <w:rPr>
          <w:rFonts w:cs="Times New Roman"/>
          <w:sz w:val="23"/>
          <w:szCs w:val="23"/>
        </w:rPr>
        <w:t>. Section 1114.2.1 of the New York city plumbing code, as added by local law number 14 for the year 2020, is amended to read as follows:</w:t>
      </w:r>
    </w:p>
    <w:p w14:paraId="350D39AB" w14:textId="77777777" w:rsidR="00140B7C" w:rsidRPr="00AC7033" w:rsidRDefault="00140B7C" w:rsidP="00140B7C">
      <w:pPr>
        <w:spacing w:before="120" w:after="120" w:line="240" w:lineRule="auto"/>
        <w:jc w:val="both"/>
        <w:rPr>
          <w:rFonts w:cs="Times New Roman"/>
          <w:spacing w:val="3"/>
          <w:szCs w:val="24"/>
        </w:rPr>
      </w:pPr>
      <w:r w:rsidRPr="000C1A53">
        <w:rPr>
          <w:rFonts w:cs="Times New Roman"/>
          <w:b/>
          <w:spacing w:val="3"/>
          <w:szCs w:val="24"/>
        </w:rPr>
        <w:t>1114.2.1 Classification of soil based on borings and [</w:t>
      </w:r>
      <w:r w:rsidRPr="000C1A53">
        <w:rPr>
          <w:rFonts w:cs="Times New Roman"/>
          <w:b/>
          <w:strike/>
          <w:spacing w:val="3"/>
          <w:szCs w:val="24"/>
        </w:rPr>
        <w:t>testpits</w:t>
      </w:r>
      <w:r w:rsidRPr="000C1A53">
        <w:rPr>
          <w:rFonts w:cs="Times New Roman"/>
          <w:b/>
          <w:spacing w:val="3"/>
          <w:szCs w:val="24"/>
        </w:rPr>
        <w:t>]</w:t>
      </w:r>
      <w:r w:rsidRPr="000C1A53">
        <w:rPr>
          <w:rFonts w:cs="Times New Roman"/>
          <w:b/>
          <w:spacing w:val="3"/>
          <w:szCs w:val="24"/>
          <w:u w:val="single"/>
        </w:rPr>
        <w:t>test pits</w:t>
      </w:r>
      <w:r w:rsidRPr="000C1A53">
        <w:rPr>
          <w:rFonts w:cs="Times New Roman"/>
          <w:b/>
          <w:spacing w:val="3"/>
          <w:szCs w:val="24"/>
        </w:rPr>
        <w:t>.</w:t>
      </w:r>
      <w:r w:rsidRPr="000C1A53">
        <w:rPr>
          <w:rFonts w:cs="Times New Roman"/>
          <w:spacing w:val="3"/>
          <w:szCs w:val="24"/>
        </w:rPr>
        <w:t xml:space="preserve"> At least one boring and one test pit shall be made at the approximate site of each proposed on-site stormwater disposal system. Soil borings and sampling procedures shall in accordance with ASTM D 1586 and ASTM D 1587, and generally accepted engineering practice. Soil and rock samples shall be classified in accordance with Section 1802.3 of the </w:t>
      </w:r>
      <w:r w:rsidRPr="000C1A53">
        <w:rPr>
          <w:rFonts w:cs="Times New Roman"/>
          <w:i/>
          <w:spacing w:val="3"/>
          <w:szCs w:val="24"/>
        </w:rPr>
        <w:t>New York City Building Code</w:t>
      </w:r>
      <w:r w:rsidRPr="000C1A53">
        <w:rPr>
          <w:rFonts w:cs="Times New Roman"/>
          <w:spacing w:val="3"/>
          <w:szCs w:val="24"/>
        </w:rPr>
        <w:t>.</w:t>
      </w:r>
    </w:p>
    <w:p w14:paraId="576A260B" w14:textId="3595A856" w:rsidR="00140B7C" w:rsidRPr="000C1A53" w:rsidRDefault="00140B7C" w:rsidP="00140B7C">
      <w:pPr>
        <w:kinsoku w:val="0"/>
        <w:spacing w:after="0" w:line="240" w:lineRule="auto"/>
        <w:ind w:firstLine="720"/>
        <w:jc w:val="both"/>
        <w:rPr>
          <w:rFonts w:cs="Times New Roman"/>
          <w:sz w:val="23"/>
          <w:szCs w:val="23"/>
        </w:rPr>
      </w:pPr>
      <w:r w:rsidRPr="000C1A53">
        <w:rPr>
          <w:rFonts w:cs="Times New Roman"/>
          <w:sz w:val="23"/>
          <w:szCs w:val="23"/>
        </w:rPr>
        <w:t>§</w:t>
      </w:r>
      <w:r>
        <w:rPr>
          <w:rFonts w:cs="Times New Roman"/>
          <w:sz w:val="23"/>
          <w:szCs w:val="23"/>
        </w:rPr>
        <w:t>7</w:t>
      </w:r>
      <w:r w:rsidR="00044800">
        <w:rPr>
          <w:rFonts w:cs="Times New Roman"/>
          <w:sz w:val="23"/>
          <w:szCs w:val="23"/>
        </w:rPr>
        <w:t>9</w:t>
      </w:r>
      <w:r w:rsidRPr="000C1A53">
        <w:rPr>
          <w:rFonts w:cs="Times New Roman"/>
          <w:sz w:val="23"/>
          <w:szCs w:val="23"/>
        </w:rPr>
        <w:t>. Section 1114.3.1 of the New York city plumbing code, as added by local law number 14 for the year 2020, is amended to read as follows:</w:t>
      </w:r>
    </w:p>
    <w:p w14:paraId="1E42546E" w14:textId="77777777" w:rsidR="00140B7C" w:rsidRPr="000C1A53" w:rsidRDefault="00140B7C" w:rsidP="00140B7C">
      <w:pPr>
        <w:spacing w:before="120" w:after="120" w:line="240" w:lineRule="auto"/>
        <w:jc w:val="both"/>
        <w:rPr>
          <w:rFonts w:cs="Times New Roman"/>
          <w:spacing w:val="3"/>
          <w:szCs w:val="24"/>
        </w:rPr>
      </w:pPr>
      <w:r w:rsidRPr="000C1A53">
        <w:rPr>
          <w:rFonts w:cs="Times New Roman"/>
          <w:b/>
          <w:spacing w:val="3"/>
          <w:szCs w:val="24"/>
        </w:rPr>
        <w:t>1114.3.1 Runoff rate.</w:t>
      </w:r>
      <w:r w:rsidRPr="000C1A53">
        <w:rPr>
          <w:rFonts w:cs="Times New Roman"/>
          <w:spacing w:val="3"/>
          <w:szCs w:val="24"/>
        </w:rPr>
        <w:t xml:space="preserve"> The runoff rate shall be calculated using the rational method, Equation 11-1. The calculation shall incorporate the total site area with a rainfall intensity value of </w:t>
      </w:r>
      <w:r w:rsidRPr="000C1A53">
        <w:rPr>
          <w:rFonts w:cs="Times New Roman"/>
          <w:i/>
          <w:spacing w:val="3"/>
          <w:szCs w:val="24"/>
        </w:rPr>
        <w:t>I</w:t>
      </w:r>
      <w:r w:rsidRPr="000C1A53">
        <w:rPr>
          <w:rFonts w:cs="Times New Roman"/>
          <w:spacing w:val="3"/>
          <w:szCs w:val="24"/>
        </w:rPr>
        <w:t xml:space="preserve"> = 5.95 inches per hour. The weighted runoff coefficient shall be calculated using Equation 11-2 and shall incorporate the different combinations of surfaces using the </w:t>
      </w:r>
      <w:r w:rsidRPr="000C1A53">
        <w:rPr>
          <w:rFonts w:cs="Times New Roman"/>
          <w:i/>
          <w:spacing w:val="3"/>
          <w:szCs w:val="24"/>
        </w:rPr>
        <w:t>C</w:t>
      </w:r>
      <w:r w:rsidRPr="000C1A53">
        <w:rPr>
          <w:rFonts w:cs="Times New Roman"/>
          <w:spacing w:val="3"/>
          <w:szCs w:val="24"/>
        </w:rPr>
        <w:t xml:space="preserve"> values listed below.</w:t>
      </w:r>
    </w:p>
    <w:p w14:paraId="71ADD108" w14:textId="77777777" w:rsidR="00140B7C" w:rsidRPr="000C1A53" w:rsidRDefault="00140B7C" w:rsidP="00140B7C">
      <w:pPr>
        <w:spacing w:after="0" w:line="240" w:lineRule="auto"/>
        <w:rPr>
          <w:rFonts w:cs="Times New Roman"/>
          <w:spacing w:val="3"/>
          <w:szCs w:val="24"/>
        </w:rPr>
        <w:sectPr w:rsidR="00140B7C" w:rsidRPr="000C1A53" w:rsidSect="002C5F31">
          <w:type w:val="continuous"/>
          <w:pgSz w:w="12240" w:h="15840"/>
          <w:pgMar w:top="1440" w:right="1440" w:bottom="1440" w:left="1440" w:header="720" w:footer="720" w:gutter="0"/>
          <w:lnNumType w:countBy="1"/>
          <w:cols w:space="720"/>
          <w:docGrid w:linePitch="326"/>
        </w:sectPr>
      </w:pPr>
    </w:p>
    <w:p w14:paraId="34390E47" w14:textId="77777777" w:rsidR="00140B7C" w:rsidRPr="000C1A53" w:rsidRDefault="00140B7C" w:rsidP="00140B7C">
      <w:pPr>
        <w:tabs>
          <w:tab w:val="right" w:pos="10350"/>
        </w:tabs>
        <w:spacing w:before="120" w:after="120" w:line="240" w:lineRule="auto"/>
        <w:jc w:val="both"/>
        <w:rPr>
          <w:rFonts w:cs="Times New Roman"/>
          <w:b/>
          <w:szCs w:val="24"/>
        </w:rPr>
      </w:pPr>
      <m:oMath>
        <m:r>
          <w:rPr>
            <w:rFonts w:ascii="Cambria Math" w:hAnsi="Cambria Math" w:cs="Times New Roman"/>
            <w:szCs w:val="24"/>
          </w:rPr>
          <m:t xml:space="preserve">Q= </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w</m:t>
            </m:r>
          </m:sub>
        </m:sSub>
        <m:r>
          <w:rPr>
            <w:rFonts w:ascii="Cambria Math" w:hAnsi="Cambria Math" w:cs="Times New Roman"/>
            <w:szCs w:val="24"/>
          </w:rPr>
          <m:t xml:space="preserve"> ×I ×A</m:t>
        </m:r>
      </m:oMath>
      <w:r w:rsidRPr="000C1A53">
        <w:rPr>
          <w:rFonts w:cs="Times New Roman"/>
          <w:b/>
          <w:szCs w:val="24"/>
        </w:rPr>
        <w:tab/>
        <w:t>(Equation 11-1)</w:t>
      </w:r>
    </w:p>
    <w:p w14:paraId="0BE582B4" w14:textId="77777777" w:rsidR="00140B7C" w:rsidRPr="000C1A53" w:rsidRDefault="00140B7C" w:rsidP="00140B7C">
      <w:pPr>
        <w:tabs>
          <w:tab w:val="right" w:pos="10350"/>
        </w:tabs>
        <w:spacing w:before="120" w:after="120" w:line="240" w:lineRule="auto"/>
        <w:jc w:val="both"/>
        <w:rPr>
          <w:rFonts w:cs="Times New Roman"/>
          <w:szCs w:val="24"/>
        </w:rPr>
      </w:pPr>
    </w:p>
    <w:p w14:paraId="7ED3DCBF" w14:textId="77777777" w:rsidR="00140B7C" w:rsidRPr="000C1A53" w:rsidRDefault="00140B7C" w:rsidP="00140B7C">
      <w:pPr>
        <w:tabs>
          <w:tab w:val="right" w:pos="10350"/>
        </w:tabs>
        <w:spacing w:before="120" w:after="120" w:line="240" w:lineRule="auto"/>
        <w:ind w:left="360"/>
        <w:jc w:val="both"/>
        <w:rPr>
          <w:rFonts w:cs="Times New Roman"/>
          <w:szCs w:val="24"/>
        </w:rPr>
      </w:pPr>
      <w:r w:rsidRPr="000C1A53">
        <w:rPr>
          <w:rFonts w:cs="Times New Roman"/>
          <w:szCs w:val="24"/>
        </w:rPr>
        <w:t>where:</w:t>
      </w:r>
    </w:p>
    <w:p w14:paraId="20C895C8" w14:textId="77777777" w:rsidR="00140B7C" w:rsidRPr="000C1A53" w:rsidRDefault="00140B7C" w:rsidP="00140B7C">
      <w:pPr>
        <w:tabs>
          <w:tab w:val="right" w:pos="-2790"/>
        </w:tabs>
        <w:spacing w:before="120" w:after="120" w:line="240" w:lineRule="auto"/>
        <w:ind w:left="1440" w:hanging="720"/>
        <w:jc w:val="both"/>
        <w:rPr>
          <w:rFonts w:cs="Times New Roman"/>
          <w:szCs w:val="24"/>
        </w:rPr>
      </w:pPr>
      <m:oMath>
        <m:r>
          <w:rPr>
            <w:rFonts w:ascii="Cambria Math" w:hAnsi="Cambria Math" w:cs="Times New Roman"/>
            <w:szCs w:val="24"/>
          </w:rPr>
          <m:t>Q =</m:t>
        </m:r>
      </m:oMath>
      <w:r w:rsidRPr="000C1A53">
        <w:rPr>
          <w:rFonts w:cs="Times New Roman"/>
          <w:szCs w:val="24"/>
        </w:rPr>
        <w:tab/>
        <w:t>developed flow, cubic feet per second</w:t>
      </w:r>
    </w:p>
    <w:p w14:paraId="4A26E003" w14:textId="77777777" w:rsidR="00140B7C" w:rsidRPr="000C1A53" w:rsidRDefault="00A71CE7" w:rsidP="00140B7C">
      <w:pPr>
        <w:tabs>
          <w:tab w:val="right" w:pos="-2790"/>
        </w:tabs>
        <w:spacing w:before="120" w:after="120" w:line="240" w:lineRule="auto"/>
        <w:ind w:left="1440" w:hanging="72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w</m:t>
            </m:r>
          </m:sub>
        </m:sSub>
        <m:r>
          <w:rPr>
            <w:rFonts w:ascii="Cambria Math" w:hAnsi="Cambria Math" w:cs="Times New Roman"/>
            <w:szCs w:val="24"/>
          </w:rPr>
          <m:t>=</m:t>
        </m:r>
      </m:oMath>
      <w:r w:rsidR="00140B7C" w:rsidRPr="000C1A53">
        <w:rPr>
          <w:rFonts w:cs="Times New Roman"/>
          <w:szCs w:val="24"/>
        </w:rPr>
        <w:tab/>
        <w:t>weighted runoff coefficient</w:t>
      </w:r>
    </w:p>
    <w:p w14:paraId="506CC26F" w14:textId="77777777" w:rsidR="00140B7C" w:rsidRPr="000C1A53" w:rsidRDefault="00140B7C" w:rsidP="00140B7C">
      <w:pPr>
        <w:tabs>
          <w:tab w:val="right" w:pos="-2790"/>
        </w:tabs>
        <w:spacing w:before="120" w:after="120" w:line="240" w:lineRule="auto"/>
        <w:ind w:left="1440" w:hanging="720"/>
        <w:jc w:val="both"/>
        <w:rPr>
          <w:rFonts w:cs="Times New Roman"/>
          <w:szCs w:val="24"/>
        </w:rPr>
      </w:pPr>
      <m:oMath>
        <m:r>
          <w:rPr>
            <w:rFonts w:ascii="Cambria Math" w:hAnsi="Cambria Math" w:cs="Times New Roman"/>
            <w:szCs w:val="24"/>
          </w:rPr>
          <m:t>I =</m:t>
        </m:r>
      </m:oMath>
      <w:r w:rsidRPr="000C1A53">
        <w:rPr>
          <w:rFonts w:cs="Times New Roman"/>
          <w:szCs w:val="24"/>
        </w:rPr>
        <w:tab/>
        <w:t>the rainfall intensity value, 5.95 in/hr</w:t>
      </w:r>
    </w:p>
    <w:p w14:paraId="776BF303" w14:textId="77777777" w:rsidR="00140B7C" w:rsidRPr="000C1A53" w:rsidRDefault="00140B7C" w:rsidP="00140B7C">
      <w:pPr>
        <w:tabs>
          <w:tab w:val="right" w:pos="-2790"/>
        </w:tabs>
        <w:spacing w:before="120" w:after="120" w:line="240" w:lineRule="auto"/>
        <w:ind w:left="1440" w:hanging="720"/>
        <w:jc w:val="both"/>
        <w:rPr>
          <w:rFonts w:cs="Times New Roman"/>
          <w:szCs w:val="24"/>
        </w:rPr>
      </w:pPr>
      <m:oMath>
        <m:r>
          <w:rPr>
            <w:rFonts w:ascii="Cambria Math" w:hAnsi="Cambria Math" w:cs="Times New Roman"/>
            <w:szCs w:val="24"/>
          </w:rPr>
          <w:lastRenderedPageBreak/>
          <m:t>A =</m:t>
        </m:r>
      </m:oMath>
      <w:r w:rsidRPr="000C1A53">
        <w:rPr>
          <w:rFonts w:cs="Times New Roman"/>
          <w:szCs w:val="24"/>
        </w:rPr>
        <w:tab/>
        <w:t>the total site area, acres (ac)</w:t>
      </w:r>
    </w:p>
    <w:p w14:paraId="0356C05E" w14:textId="77777777" w:rsidR="00140B7C" w:rsidRPr="000C1A53" w:rsidRDefault="00140B7C" w:rsidP="00140B7C">
      <w:pPr>
        <w:spacing w:after="0" w:line="240" w:lineRule="auto"/>
        <w:rPr>
          <w:rFonts w:cs="Times New Roman"/>
          <w:szCs w:val="24"/>
        </w:rPr>
        <w:sectPr w:rsidR="00140B7C" w:rsidRPr="000C1A53">
          <w:type w:val="continuous"/>
          <w:pgSz w:w="12240" w:h="15840"/>
          <w:pgMar w:top="1440" w:right="1440" w:bottom="1440" w:left="1440" w:header="720" w:footer="720" w:gutter="0"/>
          <w:cols w:space="720"/>
        </w:sectPr>
      </w:pPr>
    </w:p>
    <w:p w14:paraId="321E7672" w14:textId="77777777" w:rsidR="00140B7C" w:rsidRPr="000C1A53" w:rsidRDefault="00A71CE7" w:rsidP="00140B7C">
      <w:pPr>
        <w:tabs>
          <w:tab w:val="right" w:pos="10350"/>
        </w:tabs>
        <w:spacing w:before="120" w:after="120" w:line="240" w:lineRule="auto"/>
        <w:jc w:val="both"/>
        <w:rPr>
          <w:rFonts w:cs="Times New Roman"/>
          <w:b/>
          <w:szCs w:val="24"/>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w</m:t>
            </m:r>
          </m:sub>
        </m:sSub>
        <m:r>
          <w:rPr>
            <w:rFonts w:ascii="Cambria Math" w:hAnsi="Cambria Math" w:cs="Times New Roman"/>
            <w:szCs w:val="24"/>
          </w:rPr>
          <m:t xml:space="preserve">= </m:t>
        </m:r>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A</m:t>
                </m:r>
              </m:den>
            </m:f>
          </m:e>
        </m:d>
        <m:nary>
          <m:naryPr>
            <m:chr m:val="∑"/>
            <m:limLoc m:val="undOvr"/>
            <m:subHide m:val="1"/>
            <m:supHide m:val="1"/>
            <m:ctrlPr>
              <w:rPr>
                <w:rFonts w:ascii="Cambria Math" w:hAnsi="Cambria Math" w:cs="Times New Roman"/>
                <w:i/>
                <w:szCs w:val="24"/>
              </w:rPr>
            </m:ctrlPr>
          </m:naryPr>
          <m:sub/>
          <m:sup/>
          <m:e>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K</m:t>
                    </m:r>
                  </m:sub>
                </m:sSub>
              </m:e>
            </m:d>
          </m:e>
        </m:nary>
      </m:oMath>
      <w:r w:rsidR="00140B7C" w:rsidRPr="000C1A53">
        <w:rPr>
          <w:rFonts w:cs="Times New Roman"/>
          <w:b/>
          <w:szCs w:val="24"/>
        </w:rPr>
        <w:tab/>
        <w:t>(Equation 11-2)</w:t>
      </w:r>
    </w:p>
    <w:p w14:paraId="55B2B1E7" w14:textId="77777777" w:rsidR="00140B7C" w:rsidRPr="000C1A53" w:rsidRDefault="00140B7C" w:rsidP="00140B7C">
      <w:pPr>
        <w:tabs>
          <w:tab w:val="right" w:pos="10350"/>
        </w:tabs>
        <w:spacing w:before="120" w:after="120" w:line="240" w:lineRule="auto"/>
        <w:ind w:left="360"/>
        <w:jc w:val="both"/>
        <w:rPr>
          <w:rFonts w:cs="Times New Roman"/>
          <w:szCs w:val="24"/>
        </w:rPr>
      </w:pPr>
      <w:r w:rsidRPr="000C1A53">
        <w:rPr>
          <w:rFonts w:cs="Times New Roman"/>
          <w:szCs w:val="24"/>
        </w:rPr>
        <w:t>where:</w:t>
      </w:r>
    </w:p>
    <w:p w14:paraId="435FD77D" w14:textId="77777777" w:rsidR="00140B7C" w:rsidRPr="000C1A53" w:rsidRDefault="00A71CE7" w:rsidP="00140B7C">
      <w:pPr>
        <w:tabs>
          <w:tab w:val="right" w:pos="-2790"/>
        </w:tabs>
        <w:spacing w:before="120" w:after="120" w:line="240" w:lineRule="auto"/>
        <w:ind w:left="1440" w:hanging="72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w</m:t>
            </m:r>
          </m:sub>
        </m:sSub>
        <m:r>
          <w:rPr>
            <w:rFonts w:ascii="Cambria Math" w:hAnsi="Cambria Math" w:cs="Times New Roman"/>
            <w:szCs w:val="24"/>
          </w:rPr>
          <m:t>=</m:t>
        </m:r>
      </m:oMath>
      <w:r w:rsidR="00140B7C" w:rsidRPr="000C1A53">
        <w:rPr>
          <w:rFonts w:cs="Times New Roman"/>
          <w:szCs w:val="24"/>
        </w:rPr>
        <w:tab/>
        <w:t>weighted runoff coefficient</w:t>
      </w:r>
    </w:p>
    <w:p w14:paraId="4EDAB7D1" w14:textId="77777777" w:rsidR="00140B7C" w:rsidRPr="000C1A53" w:rsidRDefault="00140B7C" w:rsidP="00140B7C">
      <w:pPr>
        <w:tabs>
          <w:tab w:val="right" w:pos="-2790"/>
        </w:tabs>
        <w:spacing w:before="120" w:after="120" w:line="240" w:lineRule="auto"/>
        <w:ind w:left="1440" w:hanging="720"/>
        <w:jc w:val="both"/>
        <w:rPr>
          <w:rFonts w:cs="Times New Roman"/>
          <w:szCs w:val="24"/>
        </w:rPr>
      </w:pPr>
      <m:oMath>
        <m:r>
          <w:rPr>
            <w:rFonts w:ascii="Cambria Math" w:hAnsi="Cambria Math" w:cs="Times New Roman"/>
            <w:szCs w:val="24"/>
          </w:rPr>
          <m:t>A=</m:t>
        </m:r>
      </m:oMath>
      <w:r w:rsidRPr="000C1A53">
        <w:rPr>
          <w:rFonts w:cs="Times New Roman"/>
          <w:szCs w:val="24"/>
        </w:rPr>
        <w:tab/>
        <w:t>The total site area, acres (ac)</w:t>
      </w:r>
    </w:p>
    <w:p w14:paraId="37CAABDC" w14:textId="77777777" w:rsidR="00140B7C" w:rsidRPr="000C1A53" w:rsidRDefault="00A71CE7" w:rsidP="00140B7C">
      <w:pPr>
        <w:tabs>
          <w:tab w:val="right" w:pos="-2790"/>
        </w:tabs>
        <w:spacing w:before="120" w:after="120" w:line="240" w:lineRule="auto"/>
        <w:ind w:left="1440" w:hanging="72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r>
          <w:rPr>
            <w:rFonts w:ascii="Cambria Math" w:hAnsi="Cambria Math" w:cs="Times New Roman"/>
            <w:szCs w:val="24"/>
          </w:rPr>
          <m:t xml:space="preserve"> =</m:t>
        </m:r>
      </m:oMath>
      <w:r w:rsidR="00140B7C" w:rsidRPr="000C1A53">
        <w:rPr>
          <w:rFonts w:cs="Times New Roman"/>
          <w:szCs w:val="24"/>
        </w:rPr>
        <w:tab/>
        <w:t>The area of each surface coverage type, acres (ac)</w:t>
      </w:r>
    </w:p>
    <w:p w14:paraId="752FF614" w14:textId="77777777" w:rsidR="00140B7C" w:rsidRPr="000C1A53" w:rsidRDefault="00A71CE7" w:rsidP="00140B7C">
      <w:pPr>
        <w:tabs>
          <w:tab w:val="right" w:pos="-2790"/>
        </w:tabs>
        <w:spacing w:before="120" w:after="120" w:line="240" w:lineRule="auto"/>
        <w:ind w:left="1440" w:hanging="720"/>
        <w:jc w:val="both"/>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K</m:t>
            </m:r>
          </m:sub>
        </m:sSub>
        <m:r>
          <w:rPr>
            <w:rFonts w:ascii="Cambria Math" w:hAnsi="Cambria Math" w:cs="Times New Roman"/>
            <w:szCs w:val="24"/>
          </w:rPr>
          <m:t xml:space="preserve"> =</m:t>
        </m:r>
      </m:oMath>
      <w:r w:rsidR="00140B7C" w:rsidRPr="000C1A53">
        <w:rPr>
          <w:rFonts w:cs="Times New Roman"/>
          <w:szCs w:val="24"/>
        </w:rPr>
        <w:tab/>
        <w:t>The runoff coefficient associated with each surface coverage type</w:t>
      </w:r>
    </w:p>
    <w:p w14:paraId="4C005154" w14:textId="77777777" w:rsidR="00140B7C" w:rsidRPr="000C1A53" w:rsidRDefault="00140B7C" w:rsidP="00140B7C">
      <w:pPr>
        <w:tabs>
          <w:tab w:val="right" w:pos="-2790"/>
        </w:tabs>
        <w:spacing w:before="120" w:after="120" w:line="240" w:lineRule="auto"/>
        <w:ind w:left="360"/>
        <w:jc w:val="both"/>
        <w:rPr>
          <w:rFonts w:cs="Times New Roman"/>
          <w:szCs w:val="24"/>
        </w:rPr>
      </w:pPr>
      <w:r w:rsidRPr="000C1A53">
        <w:rPr>
          <w:rFonts w:cs="Times New Roman"/>
          <w:szCs w:val="24"/>
        </w:rPr>
        <w:t xml:space="preserve">The following </w:t>
      </w:r>
      <w:r w:rsidRPr="000C1A53">
        <w:rPr>
          <w:rFonts w:cs="Times New Roman"/>
          <w:i/>
          <w:szCs w:val="24"/>
        </w:rPr>
        <w:t>C</w:t>
      </w:r>
      <w:r w:rsidRPr="000C1A53">
        <w:rPr>
          <w:rFonts w:cs="Times New Roman"/>
          <w:szCs w:val="24"/>
        </w:rPr>
        <w:t>-values shall be used for calculating a [</w:t>
      </w:r>
      <w:r w:rsidRPr="000C1A53">
        <w:rPr>
          <w:rFonts w:cs="Times New Roman"/>
          <w:strike/>
          <w:szCs w:val="24"/>
        </w:rPr>
        <w:t>sites</w:t>
      </w:r>
      <w:r w:rsidRPr="000C1A53">
        <w:rPr>
          <w:rFonts w:cs="Times New Roman"/>
          <w:szCs w:val="24"/>
        </w:rPr>
        <w:t>]</w:t>
      </w:r>
      <w:r w:rsidRPr="00AC7033">
        <w:rPr>
          <w:rFonts w:cs="Times New Roman"/>
          <w:szCs w:val="24"/>
          <w:u w:val="single"/>
        </w:rPr>
        <w:t>site’s</w:t>
      </w:r>
      <w:r w:rsidRPr="000C1A53">
        <w:rPr>
          <w:rFonts w:cs="Times New Roman"/>
          <w:szCs w:val="24"/>
        </w:rPr>
        <w:t xml:space="preserve"> weighted runoff coefficient:</w:t>
      </w:r>
    </w:p>
    <w:p w14:paraId="433CEB4B" w14:textId="77777777" w:rsidR="00140B7C" w:rsidRPr="000C1A53" w:rsidRDefault="00140B7C" w:rsidP="00140B7C">
      <w:pPr>
        <w:tabs>
          <w:tab w:val="right" w:pos="-2790"/>
        </w:tabs>
        <w:spacing w:before="120" w:after="120" w:line="240" w:lineRule="auto"/>
        <w:ind w:left="360"/>
        <w:jc w:val="both"/>
        <w:rPr>
          <w:rFonts w:cs="Times New Roman"/>
          <w:szCs w:val="24"/>
        </w:rPr>
      </w:pPr>
      <w:r w:rsidRPr="000C1A53">
        <w:rPr>
          <w:rFonts w:cs="Times New Roman"/>
          <w:szCs w:val="24"/>
          <w:u w:val="single"/>
        </w:rPr>
        <w:t>0</w:t>
      </w:r>
      <w:r w:rsidRPr="000C1A53">
        <w:rPr>
          <w:rFonts w:cs="Times New Roman"/>
          <w:szCs w:val="24"/>
        </w:rPr>
        <w:t>.95 = roof/concrete</w:t>
      </w:r>
    </w:p>
    <w:p w14:paraId="131B65AE" w14:textId="77777777" w:rsidR="00140B7C" w:rsidRPr="000C1A53" w:rsidRDefault="00140B7C" w:rsidP="00140B7C">
      <w:pPr>
        <w:tabs>
          <w:tab w:val="right" w:pos="-2790"/>
        </w:tabs>
        <w:spacing w:before="120" w:after="120" w:line="240" w:lineRule="auto"/>
        <w:ind w:left="360"/>
        <w:jc w:val="both"/>
        <w:rPr>
          <w:rFonts w:cs="Times New Roman"/>
          <w:szCs w:val="24"/>
        </w:rPr>
      </w:pPr>
      <w:r w:rsidRPr="000C1A53">
        <w:rPr>
          <w:rFonts w:cs="Times New Roman"/>
          <w:szCs w:val="24"/>
          <w:u w:val="single"/>
        </w:rPr>
        <w:t>0</w:t>
      </w:r>
      <w:r w:rsidRPr="000C1A53">
        <w:rPr>
          <w:rFonts w:cs="Times New Roman"/>
          <w:szCs w:val="24"/>
        </w:rPr>
        <w:t>.85 = asphalt</w:t>
      </w:r>
    </w:p>
    <w:p w14:paraId="1D1877FD" w14:textId="77777777" w:rsidR="00140B7C" w:rsidRPr="000C1A53" w:rsidRDefault="00140B7C" w:rsidP="00140B7C">
      <w:pPr>
        <w:tabs>
          <w:tab w:val="right" w:pos="-2790"/>
        </w:tabs>
        <w:spacing w:before="120" w:after="120" w:line="240" w:lineRule="auto"/>
        <w:ind w:left="360"/>
        <w:jc w:val="both"/>
        <w:rPr>
          <w:rFonts w:cs="Times New Roman"/>
          <w:szCs w:val="24"/>
        </w:rPr>
      </w:pPr>
      <w:r w:rsidRPr="000C1A53">
        <w:rPr>
          <w:rFonts w:cs="Times New Roman"/>
          <w:szCs w:val="24"/>
          <w:u w:val="single"/>
        </w:rPr>
        <w:t>0</w:t>
      </w:r>
      <w:r w:rsidRPr="000C1A53">
        <w:rPr>
          <w:rFonts w:cs="Times New Roman"/>
          <w:szCs w:val="24"/>
        </w:rPr>
        <w:t>.7 = porous asphalt/concrete or permeable pavers</w:t>
      </w:r>
    </w:p>
    <w:p w14:paraId="4EBFEC17" w14:textId="77777777" w:rsidR="00140B7C" w:rsidRPr="000C1A53" w:rsidRDefault="00140B7C" w:rsidP="00140B7C">
      <w:pPr>
        <w:tabs>
          <w:tab w:val="right" w:pos="-2790"/>
        </w:tabs>
        <w:spacing w:before="120" w:after="120" w:line="240" w:lineRule="auto"/>
        <w:ind w:left="360"/>
        <w:jc w:val="both"/>
        <w:rPr>
          <w:rFonts w:cs="Times New Roman"/>
          <w:szCs w:val="24"/>
        </w:rPr>
      </w:pPr>
      <w:r w:rsidRPr="000C1A53">
        <w:rPr>
          <w:rFonts w:cs="Times New Roman"/>
          <w:szCs w:val="24"/>
          <w:u w:val="single"/>
        </w:rPr>
        <w:t>0</w:t>
      </w:r>
      <w:r w:rsidRPr="000C1A53">
        <w:rPr>
          <w:rFonts w:cs="Times New Roman"/>
          <w:szCs w:val="24"/>
        </w:rPr>
        <w:t>.7 = green roof with four or more inches of growing media</w:t>
      </w:r>
    </w:p>
    <w:p w14:paraId="33D11DA0" w14:textId="77777777" w:rsidR="00140B7C" w:rsidRPr="000C1A53" w:rsidRDefault="00140B7C" w:rsidP="00140B7C">
      <w:pPr>
        <w:tabs>
          <w:tab w:val="right" w:pos="-2790"/>
        </w:tabs>
        <w:spacing w:before="120" w:after="120" w:line="240" w:lineRule="auto"/>
        <w:ind w:left="360"/>
        <w:jc w:val="both"/>
        <w:rPr>
          <w:rFonts w:cs="Times New Roman"/>
          <w:szCs w:val="24"/>
        </w:rPr>
      </w:pPr>
      <w:r w:rsidRPr="000C1A53">
        <w:rPr>
          <w:rFonts w:cs="Times New Roman"/>
          <w:szCs w:val="24"/>
          <w:u w:val="single"/>
        </w:rPr>
        <w:t>0</w:t>
      </w:r>
      <w:r w:rsidRPr="000C1A53">
        <w:rPr>
          <w:rFonts w:cs="Times New Roman"/>
          <w:szCs w:val="24"/>
        </w:rPr>
        <w:t>.65 = gravel parking lot</w:t>
      </w:r>
    </w:p>
    <w:p w14:paraId="786A52D8" w14:textId="77777777" w:rsidR="00140B7C" w:rsidRPr="000C1A53" w:rsidRDefault="00140B7C" w:rsidP="00140B7C">
      <w:pPr>
        <w:tabs>
          <w:tab w:val="right" w:pos="-2790"/>
        </w:tabs>
        <w:spacing w:before="120" w:after="120" w:line="240" w:lineRule="auto"/>
        <w:ind w:left="360"/>
        <w:jc w:val="both"/>
        <w:rPr>
          <w:rFonts w:cs="Times New Roman"/>
          <w:szCs w:val="24"/>
        </w:rPr>
      </w:pPr>
      <w:r w:rsidRPr="000C1A53">
        <w:rPr>
          <w:rFonts w:cs="Times New Roman"/>
          <w:szCs w:val="24"/>
          <w:u w:val="single"/>
        </w:rPr>
        <w:t>0</w:t>
      </w:r>
      <w:r w:rsidRPr="000C1A53">
        <w:rPr>
          <w:rFonts w:cs="Times New Roman"/>
          <w:szCs w:val="24"/>
        </w:rPr>
        <w:t>.3 = undeveloped areas</w:t>
      </w:r>
    </w:p>
    <w:p w14:paraId="21F932DD" w14:textId="77777777" w:rsidR="00140B7C" w:rsidRPr="000C1A53" w:rsidRDefault="00140B7C" w:rsidP="00140B7C">
      <w:pPr>
        <w:tabs>
          <w:tab w:val="right" w:pos="-2790"/>
        </w:tabs>
        <w:spacing w:before="120" w:after="120" w:line="240" w:lineRule="auto"/>
        <w:ind w:left="360"/>
        <w:jc w:val="both"/>
        <w:rPr>
          <w:rFonts w:cs="Times New Roman"/>
          <w:szCs w:val="24"/>
        </w:rPr>
      </w:pPr>
      <w:r w:rsidRPr="000C1A53">
        <w:rPr>
          <w:rFonts w:cs="Times New Roman"/>
          <w:szCs w:val="24"/>
          <w:u w:val="single"/>
        </w:rPr>
        <w:t>0</w:t>
      </w:r>
      <w:r w:rsidRPr="000C1A53">
        <w:rPr>
          <w:rFonts w:cs="Times New Roman"/>
          <w:szCs w:val="24"/>
        </w:rPr>
        <w:t>.2 = grass areas</w:t>
      </w:r>
    </w:p>
    <w:p w14:paraId="70210EA4" w14:textId="77777777" w:rsidR="00140B7C" w:rsidRPr="00AC7033" w:rsidRDefault="00140B7C" w:rsidP="00140B7C">
      <w:pPr>
        <w:tabs>
          <w:tab w:val="right" w:pos="-2790"/>
        </w:tabs>
        <w:spacing w:before="120" w:after="120" w:line="240" w:lineRule="auto"/>
        <w:ind w:left="360"/>
        <w:jc w:val="both"/>
        <w:rPr>
          <w:rFonts w:cs="Times New Roman"/>
          <w:u w:val="single"/>
        </w:rPr>
      </w:pPr>
      <w:r w:rsidRPr="000C1A53">
        <w:rPr>
          <w:rFonts w:cs="Times New Roman"/>
          <w:szCs w:val="24"/>
          <w:u w:val="single"/>
        </w:rPr>
        <w:t>0</w:t>
      </w:r>
      <w:r w:rsidRPr="000C1A53">
        <w:rPr>
          <w:rFonts w:cs="Times New Roman"/>
          <w:szCs w:val="24"/>
        </w:rPr>
        <w:t>.2 = rain gardens, vegetated swales and other surface green infrastructure practices</w:t>
      </w:r>
    </w:p>
    <w:p w14:paraId="3F3B98EC" w14:textId="584E706A" w:rsidR="00140B7C" w:rsidRPr="000C1A53" w:rsidRDefault="00140B7C" w:rsidP="00140B7C">
      <w:pPr>
        <w:kinsoku w:val="0"/>
        <w:spacing w:after="0" w:line="240" w:lineRule="auto"/>
        <w:ind w:firstLine="720"/>
        <w:jc w:val="both"/>
        <w:rPr>
          <w:rFonts w:cs="Times New Roman"/>
          <w:sz w:val="23"/>
          <w:szCs w:val="23"/>
        </w:rPr>
      </w:pPr>
      <w:r w:rsidRPr="000C1A53">
        <w:rPr>
          <w:rFonts w:cs="Times New Roman"/>
          <w:sz w:val="23"/>
          <w:szCs w:val="23"/>
        </w:rPr>
        <w:t>§</w:t>
      </w:r>
      <w:r w:rsidR="00044800">
        <w:rPr>
          <w:rFonts w:cs="Times New Roman"/>
          <w:sz w:val="23"/>
          <w:szCs w:val="23"/>
        </w:rPr>
        <w:t>80</w:t>
      </w:r>
      <w:r w:rsidRPr="000C1A53">
        <w:rPr>
          <w:rFonts w:cs="Times New Roman"/>
          <w:sz w:val="23"/>
          <w:szCs w:val="23"/>
        </w:rPr>
        <w:t>. Section 1301.9 of the New York city plumbing code, as amended by local law number 14 for the year 2020, is amended to read as follows:</w:t>
      </w:r>
    </w:p>
    <w:p w14:paraId="6C666C93" w14:textId="77777777" w:rsidR="00140B7C" w:rsidRPr="00AC7033" w:rsidRDefault="00140B7C" w:rsidP="00140B7C">
      <w:pPr>
        <w:pStyle w:val="ICCSECTIONl2L5"/>
        <w:widowControl/>
        <w:spacing w:before="120" w:after="120"/>
        <w:jc w:val="both"/>
        <w:rPr>
          <w:rStyle w:val="Heading4Char"/>
          <w:rFonts w:ascii="Times New Roman" w:hAnsi="Times New Roman"/>
          <w:b w:val="0"/>
          <w:szCs w:val="24"/>
        </w:rPr>
      </w:pPr>
      <w:r w:rsidRPr="000C1A53">
        <w:rPr>
          <w:rStyle w:val="Heading3Char"/>
          <w:rFonts w:ascii="Times New Roman" w:hAnsi="Times New Roman"/>
          <w:szCs w:val="24"/>
        </w:rPr>
        <w:t xml:space="preserve">1301.9 Nonpotable water storage tanks. </w:t>
      </w:r>
      <w:r w:rsidRPr="000C1A53">
        <w:rPr>
          <w:rFonts w:ascii="Times New Roman" w:hAnsi="Times New Roman" w:cs="Times New Roman"/>
          <w:bCs/>
          <w:sz w:val="24"/>
          <w:szCs w:val="24"/>
        </w:rPr>
        <w:t>Nonpotable water storage tanks shall comply with Sections 1301.9.1 through 1301.9.11. Nonpotable water storage tanks [</w:t>
      </w:r>
      <w:r w:rsidRPr="000C1A53">
        <w:rPr>
          <w:rFonts w:ascii="Times New Roman" w:hAnsi="Times New Roman" w:cs="Times New Roman"/>
          <w:bCs/>
          <w:strike/>
          <w:sz w:val="24"/>
          <w:szCs w:val="24"/>
        </w:rPr>
        <w:t>receving</w:t>
      </w:r>
      <w:r w:rsidRPr="000C1A53">
        <w:rPr>
          <w:rFonts w:ascii="Times New Roman" w:hAnsi="Times New Roman" w:cs="Times New Roman"/>
          <w:bCs/>
          <w:sz w:val="24"/>
          <w:szCs w:val="24"/>
        </w:rPr>
        <w:t>]</w:t>
      </w:r>
      <w:r w:rsidRPr="000C1A53">
        <w:rPr>
          <w:rFonts w:ascii="Times New Roman" w:hAnsi="Times New Roman" w:cs="Times New Roman"/>
          <w:bCs/>
          <w:sz w:val="24"/>
          <w:szCs w:val="24"/>
          <w:u w:val="single"/>
        </w:rPr>
        <w:t>receiving</w:t>
      </w:r>
      <w:r w:rsidRPr="000C1A53">
        <w:rPr>
          <w:rFonts w:ascii="Times New Roman" w:hAnsi="Times New Roman" w:cs="Times New Roman"/>
          <w:bCs/>
          <w:sz w:val="24"/>
          <w:szCs w:val="24"/>
        </w:rPr>
        <w:t xml:space="preserve"> multiple sources shall also comply with requirements established by the Department of Environmental Protection and the Department of Health and Mental Hygiene.</w:t>
      </w:r>
    </w:p>
    <w:p w14:paraId="30603140" w14:textId="77777777" w:rsidR="00140B7C" w:rsidRPr="000C1A53" w:rsidRDefault="00140B7C" w:rsidP="00140B7C">
      <w:pPr>
        <w:spacing w:after="0" w:line="240" w:lineRule="auto"/>
        <w:rPr>
          <w:rFonts w:eastAsia="Times New Roman" w:cs="Times New Roman"/>
          <w:sz w:val="14"/>
          <w:szCs w:val="20"/>
          <w:u w:val="single"/>
        </w:rPr>
        <w:sectPr w:rsidR="00140B7C" w:rsidRPr="000C1A53" w:rsidSect="00E57609">
          <w:type w:val="continuous"/>
          <w:pgSz w:w="12240" w:h="15840"/>
          <w:pgMar w:top="1440" w:right="1440" w:bottom="1440" w:left="1440" w:header="720" w:footer="720" w:gutter="0"/>
          <w:lnNumType w:countBy="1"/>
          <w:cols w:space="720"/>
          <w:docGrid w:linePitch="326"/>
        </w:sectPr>
      </w:pPr>
    </w:p>
    <w:p w14:paraId="754E22D0" w14:textId="5BD37815" w:rsidR="00140B7C" w:rsidRPr="000C1A53" w:rsidRDefault="00140B7C" w:rsidP="00140B7C">
      <w:pPr>
        <w:kinsoku w:val="0"/>
        <w:spacing w:after="0" w:line="240" w:lineRule="auto"/>
        <w:ind w:firstLine="720"/>
        <w:jc w:val="both"/>
        <w:rPr>
          <w:rFonts w:cs="Times New Roman"/>
          <w:sz w:val="23"/>
          <w:szCs w:val="23"/>
        </w:rPr>
      </w:pPr>
      <w:r w:rsidRPr="000C1A53">
        <w:rPr>
          <w:rFonts w:cs="Times New Roman"/>
          <w:sz w:val="23"/>
          <w:szCs w:val="23"/>
        </w:rPr>
        <w:t>§</w:t>
      </w:r>
      <w:r w:rsidR="00044800">
        <w:rPr>
          <w:rFonts w:cs="Times New Roman"/>
          <w:sz w:val="23"/>
          <w:szCs w:val="23"/>
        </w:rPr>
        <w:t>81</w:t>
      </w:r>
      <w:r w:rsidRPr="000C1A53">
        <w:rPr>
          <w:rFonts w:cs="Times New Roman"/>
          <w:sz w:val="23"/>
          <w:szCs w:val="23"/>
        </w:rPr>
        <w:t>. Section 1302.7.2 of the New York city plumbing code, as amended by local law number 14 for the year 2020, is amended to read as follows:</w:t>
      </w:r>
    </w:p>
    <w:p w14:paraId="519A791A" w14:textId="77777777" w:rsidR="00140B7C" w:rsidRPr="000C1A53" w:rsidRDefault="00140B7C" w:rsidP="00140B7C">
      <w:pPr>
        <w:pStyle w:val="ICCSECTIONl3L6"/>
        <w:widowControl/>
        <w:spacing w:before="120" w:after="120"/>
        <w:ind w:left="0"/>
        <w:jc w:val="both"/>
        <w:rPr>
          <w:rFonts w:ascii="Times New Roman" w:hAnsi="Times New Roman" w:cs="Times New Roman"/>
          <w:bCs/>
          <w:sz w:val="24"/>
          <w:szCs w:val="24"/>
        </w:rPr>
      </w:pPr>
      <w:r w:rsidRPr="000C1A53">
        <w:rPr>
          <w:rStyle w:val="Heading5Char"/>
          <w:rFonts w:ascii="Times New Roman" w:eastAsiaTheme="minorHAnsi" w:hAnsi="Times New Roman"/>
          <w:szCs w:val="24"/>
        </w:rPr>
        <w:t>1302.7.2[</w:t>
      </w:r>
      <w:r w:rsidRPr="000C1A53">
        <w:rPr>
          <w:rStyle w:val="Heading5Char"/>
          <w:rFonts w:ascii="Times New Roman" w:eastAsiaTheme="minorHAnsi" w:hAnsi="Times New Roman"/>
          <w:strike/>
          <w:szCs w:val="24"/>
        </w:rPr>
        <w:t>.</w:t>
      </w:r>
      <w:r w:rsidRPr="000C1A53">
        <w:rPr>
          <w:rStyle w:val="Heading5Char"/>
          <w:rFonts w:ascii="Times New Roman" w:eastAsiaTheme="minorHAnsi" w:hAnsi="Times New Roman"/>
          <w:szCs w:val="24"/>
        </w:rPr>
        <w:t xml:space="preserve">] Design and construction. </w:t>
      </w:r>
      <w:r w:rsidRPr="000C1A53">
        <w:rPr>
          <w:rFonts w:ascii="Times New Roman" w:hAnsi="Times New Roman" w:cs="Times New Roman"/>
          <w:bCs/>
          <w:sz w:val="24"/>
          <w:szCs w:val="24"/>
        </w:rPr>
        <w:t xml:space="preserve">Storage tanks shall be designed and constructed in accordance with Chapters 16 through 22 of the </w:t>
      </w:r>
      <w:r w:rsidRPr="000C1A53">
        <w:rPr>
          <w:rFonts w:ascii="Times New Roman" w:hAnsi="Times New Roman" w:cs="Times New Roman"/>
          <w:bCs/>
          <w:i/>
          <w:iCs/>
          <w:sz w:val="24"/>
          <w:szCs w:val="24"/>
        </w:rPr>
        <w:t xml:space="preserve">New York City Building Code </w:t>
      </w:r>
      <w:r w:rsidRPr="000C1A53">
        <w:rPr>
          <w:rFonts w:ascii="Times New Roman" w:hAnsi="Times New Roman" w:cs="Times New Roman"/>
          <w:bCs/>
          <w:sz w:val="24"/>
          <w:szCs w:val="24"/>
        </w:rPr>
        <w:t>and in accordance with the following standards, as appropriate for the material of the storage tank: AWWA D100, AWWA D115, AWWA D120, UL 58, UL 1746, UL 1316, UL 142, API 12F or API 12D.</w:t>
      </w:r>
    </w:p>
    <w:p w14:paraId="2E24B7E2" w14:textId="3ACFB650" w:rsidR="00140B7C" w:rsidRPr="000C1A53" w:rsidRDefault="00140B7C" w:rsidP="00140B7C">
      <w:pPr>
        <w:kinsoku w:val="0"/>
        <w:spacing w:after="0" w:line="240" w:lineRule="auto"/>
        <w:ind w:firstLine="720"/>
        <w:jc w:val="both"/>
        <w:rPr>
          <w:rFonts w:cs="Times New Roman"/>
          <w:sz w:val="23"/>
          <w:szCs w:val="23"/>
        </w:rPr>
      </w:pPr>
      <w:r w:rsidRPr="000C1A53">
        <w:rPr>
          <w:rFonts w:cs="Times New Roman"/>
          <w:sz w:val="23"/>
          <w:szCs w:val="23"/>
        </w:rPr>
        <w:t>§</w:t>
      </w:r>
      <w:r w:rsidR="007734EE">
        <w:rPr>
          <w:rFonts w:cs="Times New Roman"/>
          <w:sz w:val="23"/>
          <w:szCs w:val="23"/>
        </w:rPr>
        <w:t>82</w:t>
      </w:r>
      <w:r w:rsidRPr="000C1A53">
        <w:rPr>
          <w:rFonts w:cs="Times New Roman"/>
          <w:sz w:val="23"/>
          <w:szCs w:val="23"/>
        </w:rPr>
        <w:t>. Section 1302.8.3 of the New York city plumbing code, as added by local law number 14 for the year 2020, is amended to read as follows:</w:t>
      </w:r>
    </w:p>
    <w:p w14:paraId="51AF1FFC" w14:textId="77777777" w:rsidR="00140B7C" w:rsidRPr="000C1A53" w:rsidRDefault="00140B7C" w:rsidP="00140B7C">
      <w:pPr>
        <w:kinsoku w:val="0"/>
        <w:spacing w:after="0" w:line="240" w:lineRule="auto"/>
        <w:jc w:val="both"/>
        <w:rPr>
          <w:rFonts w:cs="Times New Roman"/>
          <w:sz w:val="23"/>
          <w:szCs w:val="23"/>
        </w:rPr>
      </w:pPr>
    </w:p>
    <w:p w14:paraId="466AD9F1" w14:textId="77777777" w:rsidR="00140B7C" w:rsidRPr="00AC7033" w:rsidRDefault="00140B7C" w:rsidP="00140B7C">
      <w:pPr>
        <w:pStyle w:val="ICCSECTIONl3L6"/>
        <w:widowControl/>
        <w:ind w:left="0"/>
        <w:jc w:val="both"/>
        <w:rPr>
          <w:rFonts w:cs="Times New Roman"/>
          <w:bCs/>
          <w:sz w:val="24"/>
          <w:szCs w:val="24"/>
        </w:rPr>
      </w:pPr>
      <w:r w:rsidRPr="000C1A53">
        <w:rPr>
          <w:rStyle w:val="Heading4Char"/>
          <w:rFonts w:ascii="Times New Roman" w:eastAsiaTheme="minorHAnsi" w:hAnsi="Times New Roman"/>
          <w:szCs w:val="24"/>
        </w:rPr>
        <w:t>1302.</w:t>
      </w:r>
      <w:r w:rsidRPr="000C1A53">
        <w:rPr>
          <w:rFonts w:ascii="Times New Roman" w:hAnsi="Times New Roman" w:cs="Times New Roman"/>
          <w:b/>
          <w:bCs/>
          <w:sz w:val="24"/>
          <w:szCs w:val="24"/>
        </w:rPr>
        <w:t>8.3 [</w:t>
      </w:r>
      <w:r w:rsidRPr="000C1A53">
        <w:rPr>
          <w:rFonts w:ascii="Times New Roman" w:hAnsi="Times New Roman" w:cs="Times New Roman"/>
          <w:b/>
          <w:bCs/>
          <w:strike/>
          <w:sz w:val="24"/>
          <w:szCs w:val="24"/>
        </w:rPr>
        <w:t>Conyeance</w:t>
      </w:r>
      <w:r w:rsidRPr="000C1A53">
        <w:rPr>
          <w:rFonts w:ascii="Times New Roman" w:hAnsi="Times New Roman" w:cs="Times New Roman"/>
          <w:b/>
          <w:bCs/>
          <w:sz w:val="24"/>
          <w:szCs w:val="24"/>
        </w:rPr>
        <w:t>]</w:t>
      </w:r>
      <w:r w:rsidRPr="000C1A53">
        <w:rPr>
          <w:rFonts w:ascii="Times New Roman" w:hAnsi="Times New Roman" w:cs="Times New Roman"/>
          <w:b/>
          <w:bCs/>
          <w:sz w:val="24"/>
          <w:szCs w:val="24"/>
          <w:u w:val="single"/>
        </w:rPr>
        <w:t>Conveyance</w:t>
      </w:r>
      <w:r w:rsidRPr="000C1A53">
        <w:rPr>
          <w:rFonts w:ascii="Times New Roman" w:hAnsi="Times New Roman" w:cs="Times New Roman"/>
          <w:b/>
          <w:bCs/>
          <w:sz w:val="24"/>
          <w:szCs w:val="24"/>
        </w:rPr>
        <w:t xml:space="preserve"> piping bypass valve. </w:t>
      </w:r>
      <w:r w:rsidRPr="000C1A53">
        <w:rPr>
          <w:rFonts w:ascii="Times New Roman" w:hAnsi="Times New Roman" w:cs="Times New Roman"/>
          <w:bCs/>
          <w:sz w:val="24"/>
          <w:szCs w:val="24"/>
        </w:rPr>
        <w:t>One full-size three-way diverter valve shall be installed on the conveyance piping system upstream and downstream of all treated storage tanks, as applicable, to divert treated on-site nonpotable reuse water to the sanitary sewer to allow system testing, commissioning and bypass conditions.</w:t>
      </w:r>
    </w:p>
    <w:p w14:paraId="0C37D2C3" w14:textId="77777777" w:rsidR="00140B7C" w:rsidRPr="00EC4EC4" w:rsidRDefault="00140B7C" w:rsidP="00140B7C">
      <w:pPr>
        <w:kinsoku w:val="0"/>
        <w:spacing w:after="0" w:line="240" w:lineRule="auto"/>
        <w:ind w:firstLine="720"/>
        <w:jc w:val="both"/>
        <w:rPr>
          <w:rFonts w:cs="Times New Roman"/>
          <w:sz w:val="23"/>
          <w:szCs w:val="23"/>
        </w:rPr>
      </w:pPr>
    </w:p>
    <w:p w14:paraId="549D3F02" w14:textId="77777777" w:rsidR="00140B7C" w:rsidRPr="00EC4EC4" w:rsidRDefault="00140B7C" w:rsidP="00140B7C">
      <w:pPr>
        <w:pStyle w:val="ICCSECTIONl3L6"/>
        <w:spacing w:line="240" w:lineRule="atLeast"/>
        <w:jc w:val="both"/>
        <w:outlineLvl w:val="0"/>
        <w:rPr>
          <w:rFonts w:ascii="Times New Roman" w:hAnsi="Times New Roman" w:cs="Times New Roman"/>
          <w:sz w:val="24"/>
          <w:szCs w:val="24"/>
          <w:u w:val="single"/>
        </w:rPr>
      </w:pPr>
    </w:p>
    <w:p w14:paraId="2F870419" w14:textId="19FF4F86" w:rsidR="00140B7C" w:rsidRPr="00EC4EC4" w:rsidRDefault="00140B7C" w:rsidP="00140B7C">
      <w:pPr>
        <w:kinsoku w:val="0"/>
        <w:spacing w:after="0" w:line="240" w:lineRule="auto"/>
        <w:ind w:firstLine="720"/>
        <w:jc w:val="both"/>
        <w:rPr>
          <w:rFonts w:cs="Times New Roman"/>
          <w:color w:val="000000"/>
          <w:sz w:val="23"/>
          <w:szCs w:val="23"/>
        </w:rPr>
      </w:pPr>
      <w:r w:rsidRPr="00EC4EC4">
        <w:rPr>
          <w:rFonts w:cs="Times New Roman"/>
          <w:color w:val="000000"/>
          <w:sz w:val="23"/>
          <w:szCs w:val="23"/>
        </w:rPr>
        <w:lastRenderedPageBreak/>
        <w:t>§</w:t>
      </w:r>
      <w:r w:rsidR="00E97307">
        <w:rPr>
          <w:rFonts w:cs="Times New Roman"/>
          <w:color w:val="000000"/>
          <w:sz w:val="23"/>
          <w:szCs w:val="23"/>
        </w:rPr>
        <w:t>83</w:t>
      </w:r>
      <w:r w:rsidRPr="00EC4EC4">
        <w:rPr>
          <w:rFonts w:cs="Times New Roman"/>
          <w:color w:val="000000"/>
          <w:sz w:val="23"/>
          <w:szCs w:val="23"/>
        </w:rPr>
        <w:t>. Section 1501.2 of  the New York city plumbing code, as added by local law number 14 for the year 2020, is amended to read as follows:</w:t>
      </w:r>
    </w:p>
    <w:p w14:paraId="69B4FAC9" w14:textId="77777777" w:rsidR="00140B7C" w:rsidRPr="00EC4EC4" w:rsidRDefault="00140B7C" w:rsidP="00140B7C">
      <w:pPr>
        <w:kinsoku w:val="0"/>
        <w:spacing w:after="0" w:line="240" w:lineRule="auto"/>
        <w:ind w:firstLine="720"/>
        <w:jc w:val="both"/>
        <w:rPr>
          <w:rFonts w:cs="Times New Roman"/>
          <w:color w:val="000000"/>
          <w:sz w:val="23"/>
          <w:szCs w:val="23"/>
        </w:rPr>
      </w:pPr>
    </w:p>
    <w:p w14:paraId="5F05EAB4" w14:textId="77777777" w:rsidR="00140B7C" w:rsidRDefault="00140B7C" w:rsidP="00140B7C">
      <w:pPr>
        <w:pStyle w:val="NoSpacing"/>
        <w:spacing w:before="120" w:after="120"/>
        <w:jc w:val="both"/>
        <w:rPr>
          <w:rFonts w:ascii="Times New Roman" w:hAnsi="Times New Roman" w:cs="Times New Roman"/>
          <w:b/>
          <w:spacing w:val="1"/>
          <w:sz w:val="24"/>
          <w:szCs w:val="24"/>
        </w:rPr>
      </w:pPr>
      <w:r w:rsidRPr="00EC4EC4">
        <w:rPr>
          <w:rFonts w:ascii="Times New Roman" w:hAnsi="Times New Roman" w:cs="Times New Roman"/>
          <w:b/>
          <w:spacing w:val="-10"/>
          <w:w w:val="115"/>
          <w:sz w:val="24"/>
          <w:szCs w:val="24"/>
        </w:rPr>
        <w:t xml:space="preserve">1501.2 Subsequent additions, modifications or deletions. </w:t>
      </w:r>
      <w:r w:rsidRPr="00EC4EC4">
        <w:rPr>
          <w:rFonts w:ascii="Times New Roman" w:hAnsi="Times New Roman" w:cs="Times New Roman"/>
          <w:spacing w:val="1"/>
          <w:sz w:val="24"/>
          <w:szCs w:val="24"/>
        </w:rPr>
        <w:t>Refer to the rules of the department for any subsequent additions, modifications or deletions that may have been made to [</w:t>
      </w:r>
      <w:r w:rsidRPr="00EC4EC4">
        <w:rPr>
          <w:rFonts w:ascii="Times New Roman" w:hAnsi="Times New Roman" w:cs="Times New Roman"/>
          <w:strike/>
          <w:spacing w:val="1"/>
          <w:sz w:val="24"/>
          <w:szCs w:val="24"/>
        </w:rPr>
        <w:t>the referenced national</w:t>
      </w:r>
      <w:r w:rsidRPr="00EC4EC4">
        <w:rPr>
          <w:rFonts w:ascii="Times New Roman" w:hAnsi="Times New Roman" w:cs="Times New Roman"/>
          <w:spacing w:val="1"/>
          <w:sz w:val="24"/>
          <w:szCs w:val="24"/>
        </w:rPr>
        <w:t>]</w:t>
      </w:r>
      <w:r w:rsidRPr="00EC4EC4">
        <w:rPr>
          <w:rFonts w:ascii="Times New Roman" w:hAnsi="Times New Roman" w:cs="Times New Roman"/>
          <w:spacing w:val="1"/>
          <w:sz w:val="24"/>
          <w:szCs w:val="24"/>
          <w:u w:val="single"/>
        </w:rPr>
        <w:t>these</w:t>
      </w:r>
      <w:r w:rsidRPr="00EC4EC4">
        <w:rPr>
          <w:rFonts w:ascii="Times New Roman" w:hAnsi="Times New Roman" w:cs="Times New Roman"/>
          <w:spacing w:val="1"/>
          <w:sz w:val="24"/>
          <w:szCs w:val="24"/>
        </w:rPr>
        <w:t xml:space="preserve"> standards [</w:t>
      </w:r>
      <w:r w:rsidRPr="00EC4EC4">
        <w:rPr>
          <w:rFonts w:ascii="Times New Roman" w:hAnsi="Times New Roman" w:cs="Times New Roman"/>
          <w:strike/>
          <w:spacing w:val="1"/>
          <w:sz w:val="24"/>
          <w:szCs w:val="24"/>
        </w:rPr>
        <w:t>set forth herein</w:t>
      </w:r>
      <w:r w:rsidRPr="00EC4EC4">
        <w:rPr>
          <w:rFonts w:ascii="Times New Roman" w:hAnsi="Times New Roman" w:cs="Times New Roman"/>
          <w:spacing w:val="1"/>
          <w:sz w:val="24"/>
          <w:szCs w:val="24"/>
        </w:rPr>
        <w:t>] in accordance with [</w:t>
      </w:r>
      <w:r w:rsidRPr="00EC4EC4">
        <w:rPr>
          <w:rFonts w:ascii="Times New Roman" w:hAnsi="Times New Roman" w:cs="Times New Roman"/>
          <w:strike/>
          <w:spacing w:val="1"/>
          <w:sz w:val="24"/>
          <w:szCs w:val="24"/>
        </w:rPr>
        <w:t>the exception contained in</w:t>
      </w:r>
      <w:r w:rsidRPr="00EC4EC4">
        <w:rPr>
          <w:rFonts w:ascii="Times New Roman" w:hAnsi="Times New Roman" w:cs="Times New Roman"/>
          <w:spacing w:val="1"/>
          <w:sz w:val="24"/>
          <w:szCs w:val="24"/>
        </w:rPr>
        <w:t xml:space="preserve">] Section 28-103.19 of the </w:t>
      </w:r>
      <w:r w:rsidRPr="00EC4EC4">
        <w:rPr>
          <w:rFonts w:ascii="Times New Roman" w:hAnsi="Times New Roman" w:cs="Times New Roman"/>
          <w:i/>
          <w:spacing w:val="1"/>
          <w:sz w:val="24"/>
          <w:szCs w:val="24"/>
        </w:rPr>
        <w:t>Administrative Code.</w:t>
      </w:r>
      <w:r w:rsidRPr="00EC4EC4">
        <w:rPr>
          <w:rFonts w:ascii="Times New Roman" w:hAnsi="Times New Roman" w:cs="Times New Roman"/>
          <w:b/>
          <w:spacing w:val="1"/>
          <w:sz w:val="24"/>
          <w:szCs w:val="24"/>
        </w:rPr>
        <w:t xml:space="preserve"> </w:t>
      </w:r>
    </w:p>
    <w:p w14:paraId="0109D4A2" w14:textId="2D988681" w:rsidR="00140B7C" w:rsidRPr="00805CE3" w:rsidRDefault="00140B7C" w:rsidP="00140B7C">
      <w:pPr>
        <w:kinsoku w:val="0"/>
        <w:spacing w:after="240" w:line="240" w:lineRule="auto"/>
        <w:ind w:firstLine="720"/>
        <w:jc w:val="both"/>
        <w:rPr>
          <w:rFonts w:cs="Times New Roman"/>
          <w:sz w:val="23"/>
          <w:szCs w:val="23"/>
        </w:rPr>
      </w:pPr>
      <w:r w:rsidRPr="00805CE3">
        <w:rPr>
          <w:rFonts w:cs="Times New Roman"/>
          <w:sz w:val="23"/>
          <w:szCs w:val="23"/>
        </w:rPr>
        <w:t>§</w:t>
      </w:r>
      <w:r>
        <w:rPr>
          <w:rFonts w:cs="Times New Roman"/>
          <w:sz w:val="23"/>
          <w:szCs w:val="23"/>
        </w:rPr>
        <w:t>8</w:t>
      </w:r>
      <w:r w:rsidR="00E97307">
        <w:rPr>
          <w:rFonts w:cs="Times New Roman"/>
          <w:sz w:val="23"/>
          <w:szCs w:val="23"/>
        </w:rPr>
        <w:t>4</w:t>
      </w:r>
      <w:r w:rsidRPr="00805CE3">
        <w:rPr>
          <w:rFonts w:cs="Times New Roman"/>
          <w:sz w:val="23"/>
          <w:szCs w:val="23"/>
        </w:rPr>
        <w:t>. Section 28-701.2 of the administrative code of the city of New York, as amended by local law number 141 for the year 2013, is amended to read as follows:</w:t>
      </w:r>
    </w:p>
    <w:p w14:paraId="34CB3813" w14:textId="0C7D6F6C" w:rsidR="00140B7C" w:rsidRPr="00E97307" w:rsidRDefault="00140B7C" w:rsidP="00E97307">
      <w:pPr>
        <w:kinsoku w:val="0"/>
        <w:spacing w:after="240" w:line="240" w:lineRule="auto"/>
        <w:jc w:val="both"/>
        <w:rPr>
          <w:rFonts w:eastAsia="Times New Roman" w:cs="Times New Roman"/>
          <w:szCs w:val="24"/>
        </w:rPr>
      </w:pPr>
      <w:r w:rsidRPr="00E97307">
        <w:rPr>
          <w:rFonts w:eastAsia="Times New Roman" w:cs="Times New Roman"/>
          <w:b/>
          <w:bCs/>
          <w:szCs w:val="24"/>
        </w:rPr>
        <w:t>§28-701.2 Enactment of the New York city building code.</w:t>
      </w:r>
      <w:r w:rsidRPr="00805CE3">
        <w:rPr>
          <w:rFonts w:eastAsia="Times New Roman" w:cs="Times New Roman"/>
          <w:szCs w:val="24"/>
        </w:rPr>
        <w:t xml:space="preserve"> The New York city building code based on the [2003]</w:t>
      </w:r>
      <w:r w:rsidRPr="00805CE3">
        <w:rPr>
          <w:rFonts w:eastAsia="Times New Roman" w:cs="Times New Roman"/>
          <w:szCs w:val="24"/>
          <w:u w:val="single"/>
        </w:rPr>
        <w:t>2009</w:t>
      </w:r>
      <w:r w:rsidRPr="00805CE3">
        <w:rPr>
          <w:rFonts w:eastAsia="Times New Roman" w:cs="Times New Roman"/>
          <w:szCs w:val="24"/>
        </w:rPr>
        <w:t xml:space="preserve"> edition of the International Building Code published by the International Code Council, with changes that reflect the unique character of the city and amendments that bring it up to date with the [2009]</w:t>
      </w:r>
      <w:r w:rsidRPr="00805CE3">
        <w:rPr>
          <w:rFonts w:eastAsia="Times New Roman" w:cs="Times New Roman"/>
          <w:szCs w:val="24"/>
          <w:u w:val="single"/>
        </w:rPr>
        <w:t>2015</w:t>
      </w:r>
      <w:r w:rsidRPr="00805CE3">
        <w:rPr>
          <w:rFonts w:eastAsia="Times New Roman" w:cs="Times New Roman"/>
          <w:szCs w:val="24"/>
        </w:rPr>
        <w:t xml:space="preserve"> edition of such International Building Code, is hereby adopted to read as follows:</w:t>
      </w:r>
    </w:p>
    <w:p w14:paraId="733307BE" w14:textId="79DD8A8F" w:rsidR="00140B7C" w:rsidRPr="00EC4EC4" w:rsidRDefault="00140B7C" w:rsidP="00140B7C">
      <w:pPr>
        <w:kinsoku w:val="0"/>
        <w:spacing w:after="240" w:line="240" w:lineRule="auto"/>
        <w:ind w:firstLine="720"/>
        <w:jc w:val="both"/>
        <w:rPr>
          <w:rFonts w:eastAsia="Times New Roman" w:cs="Times New Roman"/>
          <w:b/>
          <w:bCs/>
          <w:szCs w:val="24"/>
        </w:rPr>
      </w:pPr>
      <w:bookmarkStart w:id="20" w:name="_Hlk114483342"/>
      <w:r w:rsidRPr="00EC4EC4">
        <w:rPr>
          <w:rFonts w:cs="Times New Roman"/>
          <w:sz w:val="23"/>
          <w:szCs w:val="23"/>
        </w:rPr>
        <w:t>§</w:t>
      </w:r>
      <w:r>
        <w:rPr>
          <w:rFonts w:cs="Times New Roman"/>
          <w:sz w:val="23"/>
          <w:szCs w:val="23"/>
        </w:rPr>
        <w:t>8</w:t>
      </w:r>
      <w:r w:rsidR="00E97307">
        <w:rPr>
          <w:rFonts w:cs="Times New Roman"/>
          <w:sz w:val="23"/>
          <w:szCs w:val="23"/>
        </w:rPr>
        <w:t>5</w:t>
      </w:r>
      <w:r w:rsidRPr="00EC4EC4">
        <w:rPr>
          <w:rFonts w:cs="Times New Roman"/>
          <w:sz w:val="23"/>
          <w:szCs w:val="23"/>
        </w:rPr>
        <w:t xml:space="preserve">. </w:t>
      </w:r>
      <w:r>
        <w:rPr>
          <w:rFonts w:cs="Times New Roman"/>
          <w:sz w:val="23"/>
          <w:szCs w:val="23"/>
        </w:rPr>
        <w:t xml:space="preserve">The definition of </w:t>
      </w:r>
      <w:r w:rsidRPr="00EC4EC4">
        <w:rPr>
          <w:rFonts w:cs="Times New Roman"/>
          <w:sz w:val="23"/>
          <w:szCs w:val="23"/>
        </w:rPr>
        <w:t>“</w:t>
      </w:r>
      <w:r w:rsidRPr="00EC4EC4">
        <w:rPr>
          <w:szCs w:val="24"/>
        </w:rPr>
        <w:t>ACCREDITATION BODY</w:t>
      </w:r>
      <w:r w:rsidRPr="00EC4EC4">
        <w:rPr>
          <w:bCs/>
          <w:spacing w:val="1"/>
          <w:szCs w:val="24"/>
        </w:rPr>
        <w:t>”</w:t>
      </w:r>
      <w:r w:rsidRPr="00EC4EC4">
        <w:rPr>
          <w:rFonts w:cs="Times New Roman"/>
          <w:sz w:val="23"/>
          <w:szCs w:val="23"/>
        </w:rPr>
        <w:t xml:space="preserve"> </w:t>
      </w:r>
      <w:r>
        <w:rPr>
          <w:rFonts w:cs="Times New Roman"/>
          <w:sz w:val="23"/>
          <w:szCs w:val="23"/>
        </w:rPr>
        <w:t>set forth in s</w:t>
      </w:r>
      <w:r w:rsidRPr="00EC4EC4">
        <w:rPr>
          <w:rFonts w:cs="Times New Roman"/>
          <w:sz w:val="23"/>
          <w:szCs w:val="23"/>
        </w:rPr>
        <w:t>ection 202 of  the New York city building code, as added by local law number 126 for the year 2021, is amended to read as follows:</w:t>
      </w:r>
    </w:p>
    <w:p w14:paraId="07BCF1DF" w14:textId="77777777" w:rsidR="00140B7C" w:rsidRDefault="00140B7C" w:rsidP="00140B7C">
      <w:pPr>
        <w:pStyle w:val="FlushLeft"/>
        <w:rPr>
          <w:bCs/>
          <w:szCs w:val="24"/>
        </w:rPr>
      </w:pPr>
      <w:r w:rsidRPr="00EC4EC4">
        <w:rPr>
          <w:b/>
          <w:bCs/>
          <w:szCs w:val="24"/>
        </w:rPr>
        <w:t xml:space="preserve">ACCREDITATION BODY. </w:t>
      </w:r>
      <w:r w:rsidRPr="00EC4EC4">
        <w:rPr>
          <w:bCs/>
          <w:szCs w:val="24"/>
        </w:rPr>
        <w:t>An approved, third-party organization that is independent of the grading and inspection agencies, and the lumber mills, and that initially accredits and subsequently monitors, on a continuing basis, the competency and performance of a grading or inspection agency related to carrying [</w:t>
      </w:r>
      <w:r w:rsidRPr="00EC4EC4">
        <w:rPr>
          <w:bCs/>
          <w:strike/>
          <w:szCs w:val="24"/>
        </w:rPr>
        <w:t>gout</w:t>
      </w:r>
      <w:r w:rsidRPr="00EC4EC4">
        <w:rPr>
          <w:bCs/>
          <w:szCs w:val="24"/>
        </w:rPr>
        <w:t>]</w:t>
      </w:r>
      <w:r w:rsidRPr="00EC4EC4">
        <w:rPr>
          <w:bCs/>
          <w:szCs w:val="24"/>
          <w:u w:val="single"/>
        </w:rPr>
        <w:t>out</w:t>
      </w:r>
      <w:r w:rsidRPr="00EC4EC4">
        <w:rPr>
          <w:bCs/>
          <w:szCs w:val="24"/>
        </w:rPr>
        <w:t xml:space="preserve"> specific tasks.</w:t>
      </w:r>
    </w:p>
    <w:p w14:paraId="7697B693" w14:textId="47B8EE89" w:rsidR="00140B7C" w:rsidRPr="000A1DF2" w:rsidRDefault="00140B7C" w:rsidP="00140B7C">
      <w:pPr>
        <w:kinsoku w:val="0"/>
        <w:spacing w:after="240" w:line="240" w:lineRule="auto"/>
        <w:ind w:firstLine="720"/>
        <w:jc w:val="both"/>
        <w:rPr>
          <w:rFonts w:eastAsia="Calibri" w:cs="Times New Roman"/>
          <w:sz w:val="23"/>
          <w:szCs w:val="23"/>
        </w:rPr>
      </w:pPr>
      <w:r w:rsidRPr="000A1DF2">
        <w:rPr>
          <w:rFonts w:eastAsia="Calibri" w:cs="Times New Roman"/>
          <w:sz w:val="23"/>
          <w:szCs w:val="23"/>
        </w:rPr>
        <w:t>§8</w:t>
      </w:r>
      <w:r w:rsidR="00E97307">
        <w:rPr>
          <w:rFonts w:eastAsia="Calibri" w:cs="Times New Roman"/>
          <w:sz w:val="23"/>
          <w:szCs w:val="23"/>
        </w:rPr>
        <w:t>6</w:t>
      </w:r>
      <w:r w:rsidRPr="000A1DF2">
        <w:rPr>
          <w:rFonts w:eastAsia="Calibri" w:cs="Times New Roman"/>
          <w:sz w:val="23"/>
          <w:szCs w:val="23"/>
        </w:rPr>
        <w:t>. Section 202 of the New York city building code is amended by adding a new definition of “BIRD FRIENDLY MATERIAL” in alphabetical order to read as follows:</w:t>
      </w:r>
    </w:p>
    <w:p w14:paraId="354418F1" w14:textId="77777777" w:rsidR="00140B7C" w:rsidRPr="00EC4EC4" w:rsidRDefault="00140B7C" w:rsidP="00140B7C">
      <w:pPr>
        <w:kinsoku w:val="0"/>
        <w:spacing w:after="240" w:line="240" w:lineRule="auto"/>
        <w:jc w:val="both"/>
      </w:pPr>
      <w:r w:rsidRPr="000A1DF2">
        <w:rPr>
          <w:rFonts w:eastAsia="Times New Roman" w:cs="Times New Roman"/>
          <w:b/>
          <w:bCs/>
          <w:szCs w:val="24"/>
          <w:u w:val="single"/>
        </w:rPr>
        <w:t>BIRD FRIENDLY MATERIAL.</w:t>
      </w:r>
      <w:r w:rsidRPr="000A1DF2">
        <w:rPr>
          <w:rFonts w:eastAsia="Times New Roman" w:cs="Times New Roman"/>
          <w:szCs w:val="24"/>
          <w:u w:val="single"/>
        </w:rPr>
        <w:t xml:space="preserve"> A material or assembly that has, or has been treated to have, a maximum threat factor of 25 in accordance with the American Bird Conservancy Bird Collision Deterrence Material Threat Factor Reference Standard or with the American Bird Conservancy Bird-friendly Materials Evaluation Program at Carnegie Museum’s Avian Research Center test protocol.</w:t>
      </w:r>
    </w:p>
    <w:p w14:paraId="107DB2FD" w14:textId="52F28018"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8</w:t>
      </w:r>
      <w:r w:rsidR="00E97307">
        <w:rPr>
          <w:rFonts w:cs="Times New Roman"/>
          <w:sz w:val="23"/>
          <w:szCs w:val="23"/>
        </w:rPr>
        <w:t>7</w:t>
      </w:r>
      <w:r w:rsidRPr="00EC4EC4">
        <w:rPr>
          <w:rFonts w:cs="Times New Roman"/>
          <w:sz w:val="23"/>
          <w:szCs w:val="23"/>
        </w:rPr>
        <w:t xml:space="preserve">. </w:t>
      </w:r>
      <w:r>
        <w:rPr>
          <w:rFonts w:cs="Times New Roman"/>
          <w:sz w:val="23"/>
          <w:szCs w:val="23"/>
        </w:rPr>
        <w:t xml:space="preserve">The definition of </w:t>
      </w:r>
      <w:r w:rsidRPr="00EC4EC4">
        <w:rPr>
          <w:rFonts w:cs="Times New Roman"/>
          <w:sz w:val="23"/>
          <w:szCs w:val="23"/>
        </w:rPr>
        <w:t>“</w:t>
      </w:r>
      <w:r w:rsidRPr="00EC4EC4">
        <w:rPr>
          <w:bCs/>
          <w:szCs w:val="24"/>
        </w:rPr>
        <w:t>CEILING RADIATION DAMPER</w:t>
      </w:r>
      <w:r w:rsidRPr="00EC4EC4">
        <w:rPr>
          <w:bCs/>
          <w:spacing w:val="1"/>
          <w:szCs w:val="24"/>
        </w:rPr>
        <w:t>”</w:t>
      </w:r>
      <w:r w:rsidRPr="00EC4EC4">
        <w:rPr>
          <w:rFonts w:cs="Times New Roman"/>
          <w:sz w:val="23"/>
          <w:szCs w:val="23"/>
        </w:rPr>
        <w:t xml:space="preserve"> </w:t>
      </w:r>
      <w:r>
        <w:rPr>
          <w:rFonts w:cs="Times New Roman"/>
          <w:sz w:val="23"/>
          <w:szCs w:val="23"/>
        </w:rPr>
        <w:t>set forth in s</w:t>
      </w:r>
      <w:r w:rsidRPr="00EC4EC4">
        <w:rPr>
          <w:rFonts w:cs="Times New Roman"/>
          <w:sz w:val="23"/>
          <w:szCs w:val="23"/>
        </w:rPr>
        <w:t>ection 202 of  the New York city building code, as added by local law number 126 for the year 2021, is amended to read as follows:</w:t>
      </w:r>
    </w:p>
    <w:p w14:paraId="41485ACB" w14:textId="77777777" w:rsidR="00140B7C" w:rsidRPr="00EC4EC4" w:rsidRDefault="00140B7C" w:rsidP="00140B7C">
      <w:pPr>
        <w:pStyle w:val="FlushLeft"/>
        <w:rPr>
          <w:szCs w:val="24"/>
        </w:rPr>
      </w:pPr>
      <w:r w:rsidRPr="00EC4EC4">
        <w:rPr>
          <w:b/>
          <w:szCs w:val="24"/>
        </w:rPr>
        <w:t>CEILING RADIATION DAMPER.</w:t>
      </w:r>
      <w:r w:rsidRPr="00EC4EC4">
        <w:rPr>
          <w:szCs w:val="24"/>
        </w:rPr>
        <w:t xml:space="preserve"> See </w:t>
      </w:r>
      <w:r w:rsidRPr="00EC4EC4">
        <w:rPr>
          <w:szCs w:val="24"/>
          <w:u w:val="single"/>
        </w:rPr>
        <w:t>“</w:t>
      </w:r>
      <w:r w:rsidRPr="00EC4EC4">
        <w:rPr>
          <w:szCs w:val="24"/>
        </w:rPr>
        <w:t>Dampers, Types of.</w:t>
      </w:r>
      <w:r w:rsidRPr="00EC4EC4">
        <w:rPr>
          <w:szCs w:val="24"/>
          <w:u w:val="single"/>
        </w:rPr>
        <w:t>”</w:t>
      </w:r>
    </w:p>
    <w:p w14:paraId="0FCFF125" w14:textId="0D2CE440" w:rsidR="00140B7C" w:rsidRPr="00EC4EC4" w:rsidRDefault="00140B7C" w:rsidP="00140B7C">
      <w:pPr>
        <w:pStyle w:val="FlushLeft"/>
        <w:ind w:firstLine="720"/>
        <w:rPr>
          <w:b/>
          <w:bCs/>
          <w:szCs w:val="24"/>
        </w:rPr>
      </w:pPr>
      <w:r w:rsidRPr="00EC4EC4">
        <w:rPr>
          <w:sz w:val="23"/>
          <w:szCs w:val="23"/>
        </w:rPr>
        <w:t>§</w:t>
      </w:r>
      <w:r>
        <w:rPr>
          <w:sz w:val="23"/>
          <w:szCs w:val="23"/>
        </w:rPr>
        <w:t>8</w:t>
      </w:r>
      <w:r w:rsidR="00E97307">
        <w:rPr>
          <w:sz w:val="23"/>
          <w:szCs w:val="23"/>
        </w:rPr>
        <w:t>8</w:t>
      </w:r>
      <w:r w:rsidRPr="00EC4EC4">
        <w:rPr>
          <w:sz w:val="23"/>
          <w:szCs w:val="23"/>
        </w:rPr>
        <w:t xml:space="preserve">. </w:t>
      </w:r>
      <w:r>
        <w:rPr>
          <w:sz w:val="23"/>
          <w:szCs w:val="23"/>
        </w:rPr>
        <w:t xml:space="preserve">The definition of </w:t>
      </w:r>
      <w:r w:rsidRPr="00EC4EC4">
        <w:rPr>
          <w:sz w:val="23"/>
          <w:szCs w:val="23"/>
        </w:rPr>
        <w:t>“</w:t>
      </w:r>
      <w:r w:rsidRPr="00EC4EC4">
        <w:rPr>
          <w:bCs/>
          <w:szCs w:val="24"/>
        </w:rPr>
        <w:t>COMBINATION FIRE/SMOKE DAMPER”</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3762D249" w14:textId="77777777" w:rsidR="00140B7C" w:rsidRPr="00EC4EC4" w:rsidRDefault="00140B7C" w:rsidP="00140B7C">
      <w:pPr>
        <w:pStyle w:val="FlushLeft"/>
        <w:rPr>
          <w:szCs w:val="24"/>
          <w:u w:val="single"/>
        </w:rPr>
      </w:pPr>
      <w:r w:rsidRPr="00EC4EC4">
        <w:rPr>
          <w:b/>
          <w:szCs w:val="24"/>
        </w:rPr>
        <w:t>COMBINATION FIRE/SMOKE DAMPER.</w:t>
      </w:r>
      <w:r w:rsidRPr="00EC4EC4">
        <w:rPr>
          <w:szCs w:val="24"/>
        </w:rPr>
        <w:t xml:space="preserve"> See </w:t>
      </w:r>
      <w:r w:rsidRPr="00EC4EC4">
        <w:rPr>
          <w:szCs w:val="24"/>
          <w:u w:val="single"/>
        </w:rPr>
        <w:t>“</w:t>
      </w:r>
      <w:r w:rsidRPr="00EC4EC4">
        <w:rPr>
          <w:szCs w:val="24"/>
        </w:rPr>
        <w:t>Dampers, Types of.</w:t>
      </w:r>
      <w:r w:rsidRPr="00EC4EC4">
        <w:rPr>
          <w:szCs w:val="24"/>
          <w:u w:val="single"/>
        </w:rPr>
        <w:t>”</w:t>
      </w:r>
    </w:p>
    <w:p w14:paraId="652A1D0C" w14:textId="597D3AFE" w:rsidR="00140B7C" w:rsidRPr="00EC4EC4" w:rsidRDefault="00140B7C" w:rsidP="00140B7C">
      <w:pPr>
        <w:pStyle w:val="FlushLeft"/>
        <w:ind w:firstLine="720"/>
        <w:rPr>
          <w:b/>
          <w:bCs/>
          <w:szCs w:val="24"/>
        </w:rPr>
      </w:pPr>
      <w:r w:rsidRPr="00EC4EC4">
        <w:rPr>
          <w:sz w:val="23"/>
          <w:szCs w:val="23"/>
        </w:rPr>
        <w:t>§</w:t>
      </w:r>
      <w:r>
        <w:rPr>
          <w:sz w:val="23"/>
          <w:szCs w:val="23"/>
        </w:rPr>
        <w:t>8</w:t>
      </w:r>
      <w:r w:rsidR="00E97307">
        <w:rPr>
          <w:sz w:val="23"/>
          <w:szCs w:val="23"/>
        </w:rPr>
        <w:t>9</w:t>
      </w:r>
      <w:r w:rsidRPr="00EC4EC4">
        <w:rPr>
          <w:sz w:val="23"/>
          <w:szCs w:val="23"/>
        </w:rPr>
        <w:t xml:space="preserve">. </w:t>
      </w:r>
      <w:r>
        <w:rPr>
          <w:sz w:val="23"/>
          <w:szCs w:val="23"/>
        </w:rPr>
        <w:t xml:space="preserve">The definition of </w:t>
      </w:r>
      <w:r w:rsidRPr="00EC4EC4">
        <w:rPr>
          <w:sz w:val="23"/>
          <w:szCs w:val="23"/>
        </w:rPr>
        <w:t>“</w:t>
      </w:r>
      <w:r w:rsidRPr="00EC4EC4">
        <w:rPr>
          <w:szCs w:val="24"/>
        </w:rPr>
        <w:t>CORNER SCAFFOLD (ANGLE SCAFFOLD)”</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1BA95018" w14:textId="77777777" w:rsidR="00140B7C" w:rsidRPr="00EC4EC4" w:rsidRDefault="00140B7C" w:rsidP="00140B7C">
      <w:pPr>
        <w:pStyle w:val="FlushLeft"/>
        <w:rPr>
          <w:szCs w:val="24"/>
        </w:rPr>
      </w:pPr>
      <w:bookmarkStart w:id="21" w:name="_Hlk55802711"/>
      <w:r w:rsidRPr="00EC4EC4">
        <w:rPr>
          <w:b/>
          <w:bCs/>
          <w:szCs w:val="24"/>
        </w:rPr>
        <w:lastRenderedPageBreak/>
        <w:t>CORNER SCAFFOLD (ANGLE SCAFFOLD</w:t>
      </w:r>
      <w:r w:rsidRPr="00EC4EC4">
        <w:rPr>
          <w:szCs w:val="24"/>
        </w:rPr>
        <w:t>). A suspended scaffold consisting of an assembly of two or more platforms connected [</w:t>
      </w:r>
      <w:r w:rsidRPr="00EC4EC4">
        <w:rPr>
          <w:strike/>
          <w:szCs w:val="24"/>
        </w:rPr>
        <w:t>nonliner</w:t>
      </w:r>
      <w:r>
        <w:rPr>
          <w:strike/>
          <w:szCs w:val="24"/>
        </w:rPr>
        <w:t>a</w:t>
      </w:r>
      <w:r w:rsidRPr="00EC4EC4">
        <w:rPr>
          <w:strike/>
          <w:szCs w:val="24"/>
        </w:rPr>
        <w:t>ly</w:t>
      </w:r>
      <w:r w:rsidRPr="00EC4EC4">
        <w:rPr>
          <w:szCs w:val="24"/>
        </w:rPr>
        <w:t>]</w:t>
      </w:r>
      <w:r w:rsidRPr="00EC4EC4">
        <w:rPr>
          <w:szCs w:val="24"/>
          <w:u w:val="single"/>
        </w:rPr>
        <w:t>nonlinearly</w:t>
      </w:r>
      <w:r w:rsidRPr="00EC4EC4">
        <w:rPr>
          <w:szCs w:val="24"/>
        </w:rPr>
        <w:t xml:space="preserve"> and designed and manufactured to fit around a corner or a projecting part of a building.</w:t>
      </w:r>
    </w:p>
    <w:p w14:paraId="4972706D" w14:textId="2FB5BC07" w:rsidR="00140B7C" w:rsidRPr="00EC4EC4" w:rsidRDefault="00140B7C" w:rsidP="00140B7C">
      <w:pPr>
        <w:pStyle w:val="FlushLeft"/>
        <w:ind w:firstLine="720"/>
        <w:rPr>
          <w:b/>
          <w:bCs/>
          <w:szCs w:val="24"/>
        </w:rPr>
      </w:pPr>
      <w:r w:rsidRPr="00EC4EC4">
        <w:rPr>
          <w:sz w:val="23"/>
          <w:szCs w:val="23"/>
        </w:rPr>
        <w:t>§</w:t>
      </w:r>
      <w:r w:rsidR="001E529A">
        <w:rPr>
          <w:sz w:val="23"/>
          <w:szCs w:val="23"/>
        </w:rPr>
        <w:t>90</w:t>
      </w:r>
      <w:r w:rsidRPr="00EC4EC4">
        <w:rPr>
          <w:sz w:val="23"/>
          <w:szCs w:val="23"/>
        </w:rPr>
        <w:t xml:space="preserve">. </w:t>
      </w:r>
      <w:r>
        <w:rPr>
          <w:sz w:val="23"/>
          <w:szCs w:val="23"/>
        </w:rPr>
        <w:t xml:space="preserve">The </w:t>
      </w:r>
      <w:r w:rsidRPr="00EC4EC4">
        <w:rPr>
          <w:sz w:val="23"/>
          <w:szCs w:val="23"/>
        </w:rPr>
        <w:t>definition of “</w:t>
      </w:r>
      <w:r w:rsidRPr="00EC4EC4">
        <w:rPr>
          <w:szCs w:val="24"/>
        </w:rPr>
        <w:t>DEAD LOAD”</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464FD8EB" w14:textId="77777777" w:rsidR="00140B7C" w:rsidRPr="00EC4EC4" w:rsidRDefault="00140B7C" w:rsidP="00140B7C">
      <w:pPr>
        <w:pStyle w:val="FlushLeft"/>
        <w:rPr>
          <w:szCs w:val="24"/>
        </w:rPr>
      </w:pPr>
      <w:r w:rsidRPr="00EC4EC4">
        <w:rPr>
          <w:b/>
          <w:bCs/>
          <w:szCs w:val="24"/>
        </w:rPr>
        <w:t>DEAD LOAD.</w:t>
      </w:r>
      <w:r w:rsidRPr="00EC4EC4">
        <w:rPr>
          <w:szCs w:val="24"/>
        </w:rPr>
        <w:t xml:space="preserve">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cranes, [</w:t>
      </w:r>
      <w:r w:rsidRPr="00EC4EC4">
        <w:rPr>
          <w:strike/>
          <w:szCs w:val="24"/>
        </w:rPr>
        <w:t>pluming</w:t>
      </w:r>
      <w:r w:rsidRPr="00EC4EC4">
        <w:rPr>
          <w:szCs w:val="24"/>
        </w:rPr>
        <w:t>]</w:t>
      </w:r>
      <w:r w:rsidRPr="00EC4EC4">
        <w:rPr>
          <w:szCs w:val="24"/>
          <w:u w:val="single"/>
        </w:rPr>
        <w:t>plumbing</w:t>
      </w:r>
      <w:r w:rsidRPr="00EC4EC4">
        <w:rPr>
          <w:szCs w:val="24"/>
        </w:rPr>
        <w:t xml:space="preserve"> stacks and risers, electrical feeders, heating, ventilating and air-conditioning systems and automatic sprinkler systems.</w:t>
      </w:r>
    </w:p>
    <w:p w14:paraId="0041889D" w14:textId="424B3F67" w:rsidR="00140B7C" w:rsidRPr="00EC4EC4" w:rsidRDefault="00140B7C" w:rsidP="00140B7C">
      <w:pPr>
        <w:pStyle w:val="FlushLeft"/>
        <w:ind w:firstLine="720"/>
        <w:rPr>
          <w:szCs w:val="24"/>
        </w:rPr>
      </w:pPr>
      <w:r w:rsidRPr="00EC4EC4">
        <w:rPr>
          <w:sz w:val="23"/>
          <w:szCs w:val="23"/>
        </w:rPr>
        <w:t>§</w:t>
      </w:r>
      <w:r w:rsidR="001E529A">
        <w:rPr>
          <w:sz w:val="23"/>
          <w:szCs w:val="23"/>
        </w:rPr>
        <w:t>91</w:t>
      </w:r>
      <w:r w:rsidRPr="00EC4EC4">
        <w:rPr>
          <w:sz w:val="23"/>
          <w:szCs w:val="23"/>
        </w:rPr>
        <w:t xml:space="preserve">. </w:t>
      </w:r>
      <w:r>
        <w:rPr>
          <w:sz w:val="23"/>
          <w:szCs w:val="23"/>
        </w:rPr>
        <w:t xml:space="preserve">The </w:t>
      </w:r>
      <w:r w:rsidRPr="00EC4EC4">
        <w:rPr>
          <w:sz w:val="23"/>
          <w:szCs w:val="23"/>
        </w:rPr>
        <w:t>definition of “</w:t>
      </w:r>
      <w:r w:rsidRPr="00EC4EC4">
        <w:rPr>
          <w:bCs/>
          <w:szCs w:val="24"/>
        </w:rPr>
        <w:t>DWELLING, ONE-FAMILY</w:t>
      </w:r>
      <w:r w:rsidRPr="00EC4EC4">
        <w:rPr>
          <w:szCs w:val="24"/>
        </w:rPr>
        <w:t>”</w:t>
      </w:r>
      <w:r w:rsidRPr="00EC4EC4">
        <w:rPr>
          <w:sz w:val="23"/>
          <w:szCs w:val="23"/>
        </w:rPr>
        <w:t xml:space="preserve"> </w:t>
      </w:r>
      <w:r>
        <w:rPr>
          <w:sz w:val="23"/>
          <w:szCs w:val="23"/>
        </w:rPr>
        <w:t>s</w:t>
      </w:r>
      <w:r w:rsidRPr="00EC4EC4">
        <w:rPr>
          <w:sz w:val="23"/>
          <w:szCs w:val="23"/>
        </w:rPr>
        <w:t>ection 202 of  the New York city building code, as added by local law number 126 for the year 2021, is amended to read as follows:</w:t>
      </w:r>
    </w:p>
    <w:p w14:paraId="6D22AF52" w14:textId="77777777" w:rsidR="00140B7C" w:rsidRPr="00EC4EC4" w:rsidRDefault="00140B7C" w:rsidP="00140B7C">
      <w:pPr>
        <w:pStyle w:val="FlushLeft"/>
        <w:rPr>
          <w:szCs w:val="24"/>
        </w:rPr>
      </w:pPr>
      <w:r w:rsidRPr="00EC4EC4">
        <w:rPr>
          <w:b/>
          <w:szCs w:val="24"/>
        </w:rPr>
        <w:t>DWELLING, ONE-FAMILY.</w:t>
      </w:r>
      <w:r w:rsidRPr="00EC4EC4">
        <w:rPr>
          <w:szCs w:val="24"/>
        </w:rPr>
        <w:t xml:space="preserve"> Any building or structure designed and occupied exclusively for residence purposes on a long-term basis for more than a month at a time by not more than one family. One-family dwelling shall also be deemed to include a dwelling located in a series of one-family dwellings each of which faces or is accessible to a legal street or public thoroughfare, provided that each such dwelling unit is equipped as a separate dwelling unit with all essential services, and also provided that each such unit is arranged so that [</w:t>
      </w:r>
      <w:r w:rsidRPr="00EC4EC4">
        <w:rPr>
          <w:strike/>
          <w:szCs w:val="24"/>
        </w:rPr>
        <w:t>is</w:t>
      </w:r>
      <w:r w:rsidRPr="00EC4EC4">
        <w:rPr>
          <w:szCs w:val="24"/>
        </w:rPr>
        <w:t>]</w:t>
      </w:r>
      <w:r w:rsidRPr="00EC4EC4">
        <w:rPr>
          <w:szCs w:val="24"/>
          <w:u w:val="single"/>
        </w:rPr>
        <w:t>it</w:t>
      </w:r>
      <w:r w:rsidRPr="00EC4EC4">
        <w:rPr>
          <w:szCs w:val="24"/>
        </w:rPr>
        <w:t xml:space="preserve"> may be approved as a legal one-family dwelling.</w:t>
      </w:r>
    </w:p>
    <w:p w14:paraId="66ACD725" w14:textId="38A48886" w:rsidR="00140B7C" w:rsidRPr="00EC4EC4" w:rsidRDefault="00140B7C" w:rsidP="00140B7C">
      <w:pPr>
        <w:pStyle w:val="FlushLeft"/>
        <w:ind w:firstLine="720"/>
        <w:rPr>
          <w:b/>
          <w:bCs/>
          <w:szCs w:val="24"/>
        </w:rPr>
      </w:pPr>
      <w:r w:rsidRPr="00EC4EC4">
        <w:rPr>
          <w:sz w:val="23"/>
          <w:szCs w:val="23"/>
        </w:rPr>
        <w:t>§</w:t>
      </w:r>
      <w:r w:rsidR="001E529A">
        <w:rPr>
          <w:sz w:val="23"/>
          <w:szCs w:val="23"/>
        </w:rPr>
        <w:t>92</w:t>
      </w:r>
      <w:r w:rsidRPr="00EC4EC4">
        <w:rPr>
          <w:sz w:val="23"/>
          <w:szCs w:val="23"/>
        </w:rPr>
        <w:t xml:space="preserve">. </w:t>
      </w:r>
      <w:r>
        <w:rPr>
          <w:sz w:val="23"/>
          <w:szCs w:val="23"/>
        </w:rPr>
        <w:t xml:space="preserve">The </w:t>
      </w:r>
      <w:r w:rsidRPr="00EC4EC4">
        <w:rPr>
          <w:sz w:val="23"/>
          <w:szCs w:val="23"/>
        </w:rPr>
        <w:t>definition of “</w:t>
      </w:r>
      <w:r w:rsidRPr="00EC4EC4">
        <w:rPr>
          <w:szCs w:val="24"/>
        </w:rPr>
        <w:t>EXTERIOR EXIT STAIRWAY”</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0FC6A67F" w14:textId="77777777" w:rsidR="00140B7C" w:rsidRPr="00EC4EC4" w:rsidRDefault="00140B7C" w:rsidP="00140B7C">
      <w:pPr>
        <w:pStyle w:val="FlushLeft"/>
        <w:rPr>
          <w:b/>
          <w:bCs/>
          <w:szCs w:val="24"/>
          <w:u w:val="single"/>
        </w:rPr>
      </w:pPr>
      <w:r w:rsidRPr="00EC4EC4">
        <w:rPr>
          <w:b/>
          <w:bCs/>
          <w:szCs w:val="24"/>
        </w:rPr>
        <w:t>EXTERIOR EXIT STAIRWAY.</w:t>
      </w:r>
      <w:r w:rsidRPr="00EC4EC4">
        <w:rPr>
          <w:bCs/>
          <w:szCs w:val="24"/>
        </w:rPr>
        <w:t xml:space="preserve"> [</w:t>
      </w:r>
      <w:r w:rsidRPr="00EC4EC4">
        <w:rPr>
          <w:bCs/>
          <w:strike/>
          <w:szCs w:val="24"/>
        </w:rPr>
        <w:t>A stairway that is open on at least one side, except for required structural columns, beams, handrails and guards. The adjoining open areas shall be either yards, courts or public ways. The other sides of the exterior exit stairway need not be open.</w:t>
      </w:r>
      <w:r w:rsidRPr="00EC4EC4">
        <w:rPr>
          <w:bCs/>
          <w:szCs w:val="24"/>
        </w:rPr>
        <w:t>]</w:t>
      </w:r>
      <w:r w:rsidRPr="00EC4EC4">
        <w:rPr>
          <w:bCs/>
          <w:szCs w:val="24"/>
          <w:u w:val="single"/>
        </w:rPr>
        <w:t>An exit component that serves to meet one or more means of egress design requirements, such as required number of exits or exit access travel distance, and is open to yards, courts or public ways.</w:t>
      </w:r>
    </w:p>
    <w:p w14:paraId="52EE19DF" w14:textId="509F48FF" w:rsidR="00140B7C" w:rsidRPr="00EC4EC4" w:rsidRDefault="00140B7C" w:rsidP="00140B7C">
      <w:pPr>
        <w:pStyle w:val="FlushLeft"/>
        <w:ind w:firstLine="720"/>
        <w:rPr>
          <w:b/>
          <w:bCs/>
          <w:szCs w:val="24"/>
        </w:rPr>
      </w:pPr>
      <w:r w:rsidRPr="00EC4EC4">
        <w:rPr>
          <w:sz w:val="23"/>
          <w:szCs w:val="23"/>
        </w:rPr>
        <w:t>§</w:t>
      </w:r>
      <w:r w:rsidR="00843968">
        <w:rPr>
          <w:sz w:val="23"/>
          <w:szCs w:val="23"/>
        </w:rPr>
        <w:t>93</w:t>
      </w:r>
      <w:r w:rsidRPr="00EC4EC4">
        <w:rPr>
          <w:sz w:val="23"/>
          <w:szCs w:val="23"/>
        </w:rPr>
        <w:t xml:space="preserve">. </w:t>
      </w:r>
      <w:r>
        <w:rPr>
          <w:sz w:val="23"/>
          <w:szCs w:val="23"/>
        </w:rPr>
        <w:t xml:space="preserve">The </w:t>
      </w:r>
      <w:r w:rsidRPr="00EC4EC4">
        <w:rPr>
          <w:sz w:val="23"/>
          <w:szCs w:val="23"/>
        </w:rPr>
        <w:t>definition of “</w:t>
      </w:r>
      <w:r w:rsidRPr="00EC4EC4">
        <w:rPr>
          <w:szCs w:val="24"/>
        </w:rPr>
        <w:t>FIRE DAMPER”</w:t>
      </w:r>
      <w:r w:rsidRPr="00EC4EC4">
        <w:rPr>
          <w:sz w:val="23"/>
          <w:szCs w:val="23"/>
        </w:rPr>
        <w:t xml:space="preserve"> </w:t>
      </w:r>
      <w:r>
        <w:rPr>
          <w:sz w:val="23"/>
          <w:szCs w:val="23"/>
        </w:rPr>
        <w:t>set fo</w:t>
      </w:r>
      <w:r w:rsidRPr="00805CE3">
        <w:rPr>
          <w:sz w:val="23"/>
          <w:szCs w:val="23"/>
          <w:u w:val="single"/>
        </w:rPr>
        <w:t>r</w:t>
      </w:r>
      <w:r>
        <w:rPr>
          <w:sz w:val="23"/>
          <w:szCs w:val="23"/>
        </w:rPr>
        <w:t>th in s</w:t>
      </w:r>
      <w:r w:rsidRPr="00EC4EC4">
        <w:rPr>
          <w:sz w:val="23"/>
          <w:szCs w:val="23"/>
        </w:rPr>
        <w:t>ection 202 of  the New York city building code, as added by local law number 126 for the year 2021, is amended to read as follows:</w:t>
      </w:r>
    </w:p>
    <w:p w14:paraId="136361A5" w14:textId="77777777" w:rsidR="00140B7C" w:rsidRPr="00EC4EC4" w:rsidRDefault="00140B7C" w:rsidP="00140B7C">
      <w:pPr>
        <w:pStyle w:val="FlushLeft"/>
        <w:rPr>
          <w:szCs w:val="24"/>
        </w:rPr>
      </w:pPr>
      <w:r w:rsidRPr="00EC4EC4">
        <w:rPr>
          <w:b/>
          <w:color w:val="000000"/>
          <w:szCs w:val="24"/>
        </w:rPr>
        <w:t>FIRE</w:t>
      </w:r>
      <w:r w:rsidRPr="00EC4EC4">
        <w:rPr>
          <w:szCs w:val="24"/>
        </w:rPr>
        <w:t xml:space="preserve"> </w:t>
      </w:r>
      <w:r w:rsidRPr="00EC4EC4">
        <w:rPr>
          <w:b/>
          <w:color w:val="000000"/>
          <w:szCs w:val="24"/>
        </w:rPr>
        <w:t>DAMPER</w:t>
      </w:r>
      <w:r w:rsidRPr="00EC4EC4">
        <w:rPr>
          <w:szCs w:val="24"/>
        </w:rPr>
        <w:t xml:space="preserve">. </w:t>
      </w:r>
      <w:r w:rsidRPr="00EC4EC4">
        <w:rPr>
          <w:color w:val="000000"/>
          <w:szCs w:val="24"/>
        </w:rPr>
        <w:t>See</w:t>
      </w:r>
      <w:r w:rsidRPr="00EC4EC4">
        <w:rPr>
          <w:szCs w:val="24"/>
        </w:rPr>
        <w:t xml:space="preserve"> </w:t>
      </w:r>
      <w:r w:rsidRPr="00AD0F06">
        <w:rPr>
          <w:szCs w:val="24"/>
          <w:u w:val="single"/>
        </w:rPr>
        <w:t>“</w:t>
      </w:r>
      <w:r w:rsidRPr="00EC4EC4">
        <w:rPr>
          <w:color w:val="000000"/>
          <w:szCs w:val="24"/>
        </w:rPr>
        <w:t>Dampers</w:t>
      </w:r>
      <w:r w:rsidRPr="00EC4EC4">
        <w:rPr>
          <w:szCs w:val="24"/>
        </w:rPr>
        <w:t xml:space="preserve">, </w:t>
      </w:r>
      <w:r w:rsidRPr="00EC4EC4">
        <w:rPr>
          <w:color w:val="000000"/>
          <w:szCs w:val="24"/>
        </w:rPr>
        <w:t>Types</w:t>
      </w:r>
      <w:r w:rsidRPr="00EC4EC4">
        <w:rPr>
          <w:szCs w:val="24"/>
        </w:rPr>
        <w:t xml:space="preserve"> </w:t>
      </w:r>
      <w:r w:rsidRPr="00EC4EC4">
        <w:rPr>
          <w:color w:val="000000"/>
          <w:szCs w:val="24"/>
        </w:rPr>
        <w:t>of</w:t>
      </w:r>
      <w:r w:rsidRPr="00EC4EC4">
        <w:rPr>
          <w:szCs w:val="24"/>
        </w:rPr>
        <w:t>.</w:t>
      </w:r>
      <w:r w:rsidRPr="00AD0F06">
        <w:rPr>
          <w:szCs w:val="24"/>
          <w:u w:val="single"/>
        </w:rPr>
        <w:t>”</w:t>
      </w:r>
    </w:p>
    <w:p w14:paraId="66A5C46A" w14:textId="51CBDAB1" w:rsidR="00140B7C" w:rsidRPr="00EC4EC4" w:rsidRDefault="00140B7C" w:rsidP="00140B7C">
      <w:pPr>
        <w:pStyle w:val="FlushLeft"/>
        <w:ind w:firstLine="720"/>
        <w:rPr>
          <w:b/>
          <w:bCs/>
          <w:szCs w:val="24"/>
        </w:rPr>
      </w:pPr>
      <w:r w:rsidRPr="00EC4EC4">
        <w:rPr>
          <w:sz w:val="23"/>
          <w:szCs w:val="23"/>
        </w:rPr>
        <w:t>§</w:t>
      </w:r>
      <w:r>
        <w:rPr>
          <w:sz w:val="23"/>
          <w:szCs w:val="23"/>
        </w:rPr>
        <w:t>9</w:t>
      </w:r>
      <w:r w:rsidR="00732EE8">
        <w:rPr>
          <w:sz w:val="23"/>
          <w:szCs w:val="23"/>
        </w:rPr>
        <w:t>4</w:t>
      </w:r>
      <w:r w:rsidRPr="00EC4EC4">
        <w:rPr>
          <w:sz w:val="23"/>
          <w:szCs w:val="23"/>
        </w:rPr>
        <w:t xml:space="preserve">. </w:t>
      </w:r>
      <w:r>
        <w:rPr>
          <w:sz w:val="23"/>
          <w:szCs w:val="23"/>
        </w:rPr>
        <w:t xml:space="preserve">The </w:t>
      </w:r>
      <w:r w:rsidRPr="00EC4EC4">
        <w:rPr>
          <w:sz w:val="23"/>
          <w:szCs w:val="23"/>
        </w:rPr>
        <w:t>definition of “</w:t>
      </w:r>
      <w:r w:rsidRPr="00EC4EC4">
        <w:rPr>
          <w:szCs w:val="24"/>
        </w:rPr>
        <w:t>FLOOD INSURANCE RATE MAP (FIRM)”</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006D0FAC" w14:textId="77777777" w:rsidR="00140B7C" w:rsidRPr="00EC4EC4" w:rsidRDefault="00140B7C" w:rsidP="00140B7C">
      <w:pPr>
        <w:pStyle w:val="FlushLeft"/>
        <w:rPr>
          <w:szCs w:val="24"/>
        </w:rPr>
      </w:pPr>
      <w:r w:rsidRPr="00EC4EC4">
        <w:rPr>
          <w:b/>
          <w:szCs w:val="24"/>
        </w:rPr>
        <w:t>FLOOD INSURANCE RATE MAP (FIRM).</w:t>
      </w:r>
      <w:r w:rsidRPr="00EC4EC4">
        <w:rPr>
          <w:szCs w:val="24"/>
        </w:rPr>
        <w:t xml:space="preserve"> An official map of a community on which the Federal Emergency Management Agency (FEMA) has delineated both the special flood hazard areas and the risk [</w:t>
      </w:r>
      <w:r w:rsidRPr="00EC4EC4">
        <w:rPr>
          <w:strike/>
          <w:szCs w:val="24"/>
        </w:rPr>
        <w:t>preminum</w:t>
      </w:r>
      <w:r w:rsidRPr="00EC4EC4">
        <w:rPr>
          <w:szCs w:val="24"/>
        </w:rPr>
        <w:t>]</w:t>
      </w:r>
      <w:r w:rsidRPr="00EC4EC4">
        <w:rPr>
          <w:szCs w:val="24"/>
          <w:u w:val="single"/>
        </w:rPr>
        <w:t>premium</w:t>
      </w:r>
      <w:r w:rsidRPr="00EC4EC4">
        <w:rPr>
          <w:szCs w:val="24"/>
        </w:rPr>
        <w:t xml:space="preserve"> zones applicable to the community.</w:t>
      </w:r>
    </w:p>
    <w:p w14:paraId="72FEE1F1" w14:textId="2E08131E" w:rsidR="00140B7C" w:rsidRPr="00EC4EC4" w:rsidRDefault="00140B7C" w:rsidP="00140B7C">
      <w:pPr>
        <w:pStyle w:val="FlushLeft"/>
        <w:ind w:firstLine="720"/>
        <w:rPr>
          <w:b/>
          <w:bCs/>
          <w:szCs w:val="24"/>
        </w:rPr>
      </w:pPr>
      <w:r w:rsidRPr="00EC4EC4">
        <w:rPr>
          <w:sz w:val="23"/>
          <w:szCs w:val="23"/>
        </w:rPr>
        <w:t>§</w:t>
      </w:r>
      <w:r>
        <w:rPr>
          <w:sz w:val="23"/>
          <w:szCs w:val="23"/>
        </w:rPr>
        <w:t>9</w:t>
      </w:r>
      <w:r w:rsidR="00732EE8">
        <w:rPr>
          <w:sz w:val="23"/>
          <w:szCs w:val="23"/>
        </w:rPr>
        <w:t>5</w:t>
      </w:r>
      <w:r w:rsidRPr="00EC4EC4">
        <w:rPr>
          <w:sz w:val="23"/>
          <w:szCs w:val="23"/>
        </w:rPr>
        <w:t xml:space="preserve">. </w:t>
      </w:r>
      <w:r>
        <w:rPr>
          <w:sz w:val="23"/>
          <w:szCs w:val="23"/>
        </w:rPr>
        <w:t xml:space="preserve">The </w:t>
      </w:r>
      <w:r w:rsidRPr="00EC4EC4">
        <w:rPr>
          <w:sz w:val="23"/>
          <w:szCs w:val="23"/>
        </w:rPr>
        <w:t>definition of “</w:t>
      </w:r>
      <w:r w:rsidRPr="00EC4EC4">
        <w:rPr>
          <w:bCs/>
          <w:szCs w:val="24"/>
        </w:rPr>
        <w:t>GREEN ROOF SYSTEM</w:t>
      </w:r>
      <w:r w:rsidRPr="00EC4EC4">
        <w:rPr>
          <w:szCs w:val="24"/>
        </w:rPr>
        <w:t>”</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372EDE0D" w14:textId="77777777" w:rsidR="00140B7C" w:rsidRPr="00EC4EC4" w:rsidRDefault="00140B7C" w:rsidP="00140B7C">
      <w:pPr>
        <w:pStyle w:val="FlushLeft"/>
        <w:rPr>
          <w:szCs w:val="24"/>
          <w:u w:val="single"/>
        </w:rPr>
      </w:pPr>
      <w:bookmarkStart w:id="22" w:name="_Hlk115166338"/>
      <w:r w:rsidRPr="00EC4EC4">
        <w:rPr>
          <w:b/>
          <w:szCs w:val="24"/>
        </w:rPr>
        <w:lastRenderedPageBreak/>
        <w:t>GREEN ROOF SYSTEM</w:t>
      </w:r>
      <w:bookmarkEnd w:id="22"/>
      <w:r w:rsidRPr="00EC4EC4">
        <w:rPr>
          <w:b/>
          <w:szCs w:val="24"/>
        </w:rPr>
        <w:t>.</w:t>
      </w:r>
      <w:r w:rsidRPr="00EC4EC4">
        <w:rPr>
          <w:szCs w:val="24"/>
        </w:rPr>
        <w:t xml:space="preserve"> See definition for [</w:t>
      </w:r>
      <w:r w:rsidRPr="00EC4EC4">
        <w:rPr>
          <w:strike/>
          <w:szCs w:val="24"/>
        </w:rPr>
        <w:t>“VEGETATIVE ROOF.”</w:t>
      </w:r>
      <w:r w:rsidRPr="00EC4EC4">
        <w:rPr>
          <w:szCs w:val="24"/>
        </w:rPr>
        <w:t>]</w:t>
      </w:r>
      <w:r w:rsidRPr="00EC4EC4">
        <w:rPr>
          <w:szCs w:val="24"/>
          <w:u w:val="single"/>
        </w:rPr>
        <w:t>“Vegetative Roof.”</w:t>
      </w:r>
    </w:p>
    <w:p w14:paraId="1C0975B6" w14:textId="72D4F98D" w:rsidR="00140B7C" w:rsidRPr="00EC4EC4" w:rsidRDefault="00140B7C" w:rsidP="00140B7C">
      <w:pPr>
        <w:pStyle w:val="FlushLeft"/>
        <w:ind w:firstLine="720"/>
        <w:rPr>
          <w:b/>
          <w:bCs/>
          <w:szCs w:val="24"/>
        </w:rPr>
      </w:pPr>
      <w:r w:rsidRPr="00EC4EC4">
        <w:rPr>
          <w:sz w:val="23"/>
          <w:szCs w:val="23"/>
        </w:rPr>
        <w:t>§</w:t>
      </w:r>
      <w:r>
        <w:rPr>
          <w:sz w:val="23"/>
          <w:szCs w:val="23"/>
        </w:rPr>
        <w:t>9</w:t>
      </w:r>
      <w:r w:rsidR="00C44872">
        <w:rPr>
          <w:sz w:val="23"/>
          <w:szCs w:val="23"/>
        </w:rPr>
        <w:t>6</w:t>
      </w:r>
      <w:r w:rsidRPr="00EC4EC4">
        <w:rPr>
          <w:sz w:val="23"/>
          <w:szCs w:val="23"/>
        </w:rPr>
        <w:t xml:space="preserve">. </w:t>
      </w:r>
      <w:r>
        <w:rPr>
          <w:sz w:val="23"/>
          <w:szCs w:val="23"/>
        </w:rPr>
        <w:t xml:space="preserve">The </w:t>
      </w:r>
      <w:r w:rsidRPr="00EC4EC4">
        <w:rPr>
          <w:sz w:val="23"/>
          <w:szCs w:val="23"/>
        </w:rPr>
        <w:t>definition of “</w:t>
      </w:r>
      <w:r w:rsidRPr="00EC4EC4">
        <w:rPr>
          <w:bCs/>
          <w:szCs w:val="24"/>
        </w:rPr>
        <w:t>IMPACT LOAD”</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31F58A8E" w14:textId="77777777" w:rsidR="00140B7C" w:rsidRPr="00EC4EC4" w:rsidRDefault="00140B7C" w:rsidP="00140B7C">
      <w:pPr>
        <w:pStyle w:val="FlushLeft"/>
        <w:rPr>
          <w:spacing w:val="1"/>
          <w:szCs w:val="24"/>
        </w:rPr>
      </w:pPr>
      <w:r w:rsidRPr="00EC4EC4">
        <w:rPr>
          <w:b/>
          <w:spacing w:val="1"/>
          <w:szCs w:val="24"/>
        </w:rPr>
        <w:t>IMPACT LOAD.</w:t>
      </w:r>
      <w:r w:rsidRPr="00EC4EC4">
        <w:rPr>
          <w:spacing w:val="1"/>
          <w:szCs w:val="24"/>
        </w:rPr>
        <w:t xml:space="preserve"> The load resulting from moving machinery, elevators, craneways, vehicles and other similar forces and kinetic loads, pressure and possible surcharge from fixed [</w:t>
      </w:r>
      <w:r w:rsidRPr="00EC4EC4">
        <w:rPr>
          <w:strike/>
          <w:spacing w:val="1"/>
          <w:szCs w:val="24"/>
        </w:rPr>
        <w:t>of</w:t>
      </w:r>
      <w:r w:rsidRPr="00EC4EC4">
        <w:rPr>
          <w:spacing w:val="1"/>
          <w:szCs w:val="24"/>
        </w:rPr>
        <w:t>]</w:t>
      </w:r>
      <w:r w:rsidRPr="00EC4EC4">
        <w:rPr>
          <w:spacing w:val="1"/>
          <w:szCs w:val="24"/>
          <w:u w:val="single"/>
        </w:rPr>
        <w:t>or</w:t>
      </w:r>
      <w:r w:rsidRPr="00EC4EC4">
        <w:rPr>
          <w:spacing w:val="1"/>
          <w:szCs w:val="24"/>
        </w:rPr>
        <w:t xml:space="preserve"> moving loads.</w:t>
      </w:r>
    </w:p>
    <w:p w14:paraId="33D12F58" w14:textId="345B9B00" w:rsidR="00140B7C" w:rsidRPr="00EC4EC4" w:rsidRDefault="00140B7C" w:rsidP="00140B7C">
      <w:pPr>
        <w:pStyle w:val="FlushLeft"/>
        <w:ind w:firstLine="720"/>
        <w:rPr>
          <w:b/>
          <w:bCs/>
          <w:szCs w:val="24"/>
        </w:rPr>
      </w:pPr>
      <w:r w:rsidRPr="00EC4EC4">
        <w:rPr>
          <w:sz w:val="23"/>
          <w:szCs w:val="23"/>
        </w:rPr>
        <w:t>§</w:t>
      </w:r>
      <w:r>
        <w:rPr>
          <w:sz w:val="23"/>
          <w:szCs w:val="23"/>
        </w:rPr>
        <w:t>9</w:t>
      </w:r>
      <w:r w:rsidR="00C44872">
        <w:rPr>
          <w:sz w:val="23"/>
          <w:szCs w:val="23"/>
        </w:rPr>
        <w:t>7</w:t>
      </w:r>
      <w:r w:rsidRPr="00EC4EC4">
        <w:rPr>
          <w:sz w:val="23"/>
          <w:szCs w:val="23"/>
        </w:rPr>
        <w:t xml:space="preserve">. </w:t>
      </w:r>
      <w:r>
        <w:rPr>
          <w:sz w:val="23"/>
          <w:szCs w:val="23"/>
        </w:rPr>
        <w:t xml:space="preserve">The </w:t>
      </w:r>
      <w:r w:rsidRPr="00EC4EC4">
        <w:rPr>
          <w:sz w:val="23"/>
          <w:szCs w:val="23"/>
        </w:rPr>
        <w:t>definition of “</w:t>
      </w:r>
      <w:r w:rsidRPr="00EC4EC4">
        <w:rPr>
          <w:bCs/>
          <w:spacing w:val="1"/>
          <w:szCs w:val="24"/>
        </w:rPr>
        <w:t>INTERIOR EXIT STAIRWAY</w:t>
      </w:r>
      <w:r w:rsidRPr="00EC4EC4">
        <w:rPr>
          <w:bCs/>
          <w:szCs w:val="24"/>
        </w:rPr>
        <w:t>”</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7B1220ED" w14:textId="77777777" w:rsidR="00140B7C" w:rsidRPr="00EC4EC4" w:rsidRDefault="00140B7C" w:rsidP="00140B7C">
      <w:pPr>
        <w:pStyle w:val="FlushLeft"/>
        <w:rPr>
          <w:bCs/>
          <w:szCs w:val="24"/>
        </w:rPr>
      </w:pPr>
      <w:r w:rsidRPr="00EC4EC4">
        <w:rPr>
          <w:b/>
          <w:spacing w:val="1"/>
          <w:szCs w:val="24"/>
        </w:rPr>
        <w:t>INTERIOR EXIT STAIRWAY.</w:t>
      </w:r>
      <w:r w:rsidRPr="00EC4EC4">
        <w:rPr>
          <w:spacing w:val="1"/>
          <w:szCs w:val="24"/>
        </w:rPr>
        <w:t xml:space="preserve"> [</w:t>
      </w:r>
      <w:r w:rsidRPr="00EC4EC4">
        <w:rPr>
          <w:strike/>
          <w:spacing w:val="1"/>
          <w:szCs w:val="24"/>
        </w:rPr>
        <w:t>A stairway not meeting the definition of an exterior exit stairway.</w:t>
      </w:r>
      <w:r w:rsidRPr="00EC4EC4">
        <w:rPr>
          <w:spacing w:val="1"/>
          <w:szCs w:val="24"/>
        </w:rPr>
        <w:t>]</w:t>
      </w:r>
      <w:r w:rsidRPr="00EC4EC4">
        <w:rPr>
          <w:spacing w:val="1"/>
          <w:szCs w:val="24"/>
          <w:u w:val="single"/>
        </w:rPr>
        <w:t>An exit component that serves to meet one or more means of egress design requirements, such as required number of exits or exit access travel distance, and provides for a protected path of egress travel to the exit discharge or public way.</w:t>
      </w:r>
      <w:bookmarkEnd w:id="21"/>
    </w:p>
    <w:p w14:paraId="01861BC3" w14:textId="36FCADB6" w:rsidR="00140B7C" w:rsidRPr="00F45AFC" w:rsidRDefault="00140B7C" w:rsidP="00140B7C">
      <w:pPr>
        <w:kinsoku w:val="0"/>
        <w:spacing w:after="240" w:line="240" w:lineRule="auto"/>
        <w:ind w:firstLine="720"/>
        <w:jc w:val="both"/>
        <w:rPr>
          <w:rFonts w:eastAsia="Times New Roman" w:cs="Times New Roman"/>
          <w:b/>
          <w:bCs/>
          <w:szCs w:val="24"/>
        </w:rPr>
      </w:pPr>
      <w:r w:rsidRPr="00F45AFC">
        <w:rPr>
          <w:rFonts w:cs="Times New Roman"/>
          <w:sz w:val="23"/>
          <w:szCs w:val="23"/>
        </w:rPr>
        <w:t>§9</w:t>
      </w:r>
      <w:r w:rsidR="00C44872">
        <w:rPr>
          <w:rFonts w:cs="Times New Roman"/>
          <w:sz w:val="23"/>
          <w:szCs w:val="23"/>
        </w:rPr>
        <w:t>8</w:t>
      </w:r>
      <w:r w:rsidRPr="00F45AFC">
        <w:rPr>
          <w:rFonts w:cs="Times New Roman"/>
          <w:sz w:val="23"/>
          <w:szCs w:val="23"/>
        </w:rPr>
        <w:t>. The definition of “</w:t>
      </w:r>
      <w:r w:rsidRPr="00F45AFC">
        <w:rPr>
          <w:bCs/>
          <w:spacing w:val="1"/>
          <w:szCs w:val="24"/>
        </w:rPr>
        <w:t>LIMITED AREA SPRINKLER SYSTEM”</w:t>
      </w:r>
      <w:r w:rsidRPr="00F45AFC">
        <w:rPr>
          <w:rFonts w:cs="Times New Roman"/>
          <w:sz w:val="23"/>
          <w:szCs w:val="23"/>
        </w:rPr>
        <w:t xml:space="preserve"> set forth in section 202 of  the New York city building code, as added by local law number 126 for the year 2021, is amended to read as follows:</w:t>
      </w:r>
    </w:p>
    <w:bookmarkEnd w:id="20"/>
    <w:p w14:paraId="10E3BE77" w14:textId="77777777" w:rsidR="00140B7C" w:rsidRPr="00EC4EC4" w:rsidRDefault="00140B7C" w:rsidP="00140B7C">
      <w:pPr>
        <w:pStyle w:val="FlushLeft"/>
        <w:rPr>
          <w:spacing w:val="1"/>
          <w:szCs w:val="24"/>
        </w:rPr>
      </w:pPr>
      <w:r w:rsidRPr="00F45AFC">
        <w:rPr>
          <w:b/>
          <w:spacing w:val="1"/>
          <w:szCs w:val="24"/>
        </w:rPr>
        <w:t>LIMITED AREA SPRINKLER SYSTEM.</w:t>
      </w:r>
      <w:r w:rsidRPr="00F45AFC">
        <w:rPr>
          <w:spacing w:val="1"/>
          <w:szCs w:val="24"/>
        </w:rPr>
        <w:t xml:space="preserve"> An automatic sprinkler system serving [</w:t>
      </w:r>
      <w:r w:rsidRPr="00F45AFC">
        <w:rPr>
          <w:strike/>
          <w:spacing w:val="1"/>
          <w:szCs w:val="24"/>
        </w:rPr>
        <w:t>fewer</w:t>
      </w:r>
      <w:r w:rsidRPr="00F45AFC">
        <w:rPr>
          <w:spacing w:val="1"/>
          <w:szCs w:val="24"/>
        </w:rPr>
        <w:t xml:space="preserve">] </w:t>
      </w:r>
      <w:r w:rsidRPr="00F45AFC">
        <w:rPr>
          <w:spacing w:val="1"/>
          <w:szCs w:val="24"/>
          <w:u w:val="single"/>
        </w:rPr>
        <w:t>not more</w:t>
      </w:r>
      <w:r w:rsidRPr="00F45AFC">
        <w:rPr>
          <w:spacing w:val="1"/>
          <w:szCs w:val="24"/>
        </w:rPr>
        <w:t xml:space="preserve"> than 6 sprinkler heads on any single connection.</w:t>
      </w:r>
    </w:p>
    <w:p w14:paraId="0C0E9EAC" w14:textId="39955401" w:rsidR="00140B7C" w:rsidRPr="00EC4EC4" w:rsidRDefault="00140B7C" w:rsidP="00140B7C">
      <w:pPr>
        <w:pStyle w:val="FlushLeft"/>
        <w:ind w:firstLine="720"/>
        <w:rPr>
          <w:b/>
          <w:bCs/>
          <w:szCs w:val="24"/>
        </w:rPr>
      </w:pPr>
      <w:r w:rsidRPr="00EC4EC4">
        <w:rPr>
          <w:sz w:val="23"/>
          <w:szCs w:val="23"/>
        </w:rPr>
        <w:t>§</w:t>
      </w:r>
      <w:r>
        <w:rPr>
          <w:sz w:val="23"/>
          <w:szCs w:val="23"/>
        </w:rPr>
        <w:t>9</w:t>
      </w:r>
      <w:r w:rsidR="00C44872">
        <w:rPr>
          <w:sz w:val="23"/>
          <w:szCs w:val="23"/>
        </w:rPr>
        <w:t>9</w:t>
      </w:r>
      <w:r w:rsidRPr="00EC4EC4">
        <w:rPr>
          <w:sz w:val="23"/>
          <w:szCs w:val="23"/>
        </w:rPr>
        <w:t xml:space="preserve">. </w:t>
      </w:r>
      <w:r>
        <w:rPr>
          <w:sz w:val="23"/>
          <w:szCs w:val="23"/>
        </w:rPr>
        <w:t xml:space="preserve">The </w:t>
      </w:r>
      <w:r w:rsidRPr="00EC4EC4">
        <w:rPr>
          <w:sz w:val="23"/>
          <w:szCs w:val="23"/>
        </w:rPr>
        <w:t>definition of “</w:t>
      </w:r>
      <w:r w:rsidRPr="00EC4EC4">
        <w:rPr>
          <w:bCs/>
          <w:spacing w:val="1"/>
          <w:szCs w:val="24"/>
        </w:rPr>
        <w:t>LOT</w:t>
      </w:r>
      <w:r w:rsidRPr="00EC4EC4">
        <w:rPr>
          <w:bCs/>
          <w:szCs w:val="24"/>
        </w:rPr>
        <w:t>”</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27E9D762" w14:textId="77777777" w:rsidR="00140B7C" w:rsidRPr="00EC4EC4" w:rsidRDefault="00140B7C" w:rsidP="00140B7C">
      <w:pPr>
        <w:widowControl w:val="0"/>
        <w:kinsoku w:val="0"/>
        <w:spacing w:before="120" w:after="120" w:line="240" w:lineRule="auto"/>
        <w:jc w:val="both"/>
        <w:rPr>
          <w:bCs/>
          <w:spacing w:val="2"/>
        </w:rPr>
      </w:pPr>
      <w:r w:rsidRPr="00EC4EC4">
        <w:rPr>
          <w:rFonts w:cs="Times New Roman"/>
          <w:b/>
        </w:rPr>
        <w:t>[</w:t>
      </w:r>
      <w:r w:rsidRPr="00EC4EC4">
        <w:rPr>
          <w:rFonts w:cs="Times New Roman"/>
          <w:b/>
          <w:strike/>
        </w:rPr>
        <w:t>LOT.</w:t>
      </w:r>
      <w:r w:rsidRPr="00EC4EC4">
        <w:rPr>
          <w:rFonts w:cs="Times New Roman"/>
          <w:bCs/>
          <w:strike/>
          <w:spacing w:val="2"/>
          <w:w w:val="105"/>
        </w:rPr>
        <w:t xml:space="preserve"> </w:t>
      </w:r>
      <w:r w:rsidRPr="00EC4EC4">
        <w:rPr>
          <w:rFonts w:cs="Times New Roman"/>
          <w:bCs/>
          <w:strike/>
          <w:spacing w:val="1"/>
        </w:rPr>
        <w:t>A portion or parcel of land considered as a unit.</w:t>
      </w:r>
      <w:r w:rsidRPr="00EC4EC4">
        <w:rPr>
          <w:rFonts w:cs="Times New Roman"/>
          <w:bCs/>
          <w:spacing w:val="1"/>
        </w:rPr>
        <w:t>]</w:t>
      </w:r>
    </w:p>
    <w:p w14:paraId="50F890D9" w14:textId="77777777" w:rsidR="00140B7C" w:rsidRPr="00EC4EC4" w:rsidRDefault="00140B7C" w:rsidP="00140B7C">
      <w:pPr>
        <w:widowControl w:val="0"/>
        <w:kinsoku w:val="0"/>
        <w:spacing w:after="0" w:line="240" w:lineRule="auto"/>
        <w:jc w:val="both"/>
        <w:rPr>
          <w:rFonts w:cs="Times New Roman"/>
          <w:bCs/>
          <w:spacing w:val="2"/>
        </w:rPr>
      </w:pPr>
      <w:r w:rsidRPr="00EC4EC4">
        <w:rPr>
          <w:rFonts w:cs="Times New Roman"/>
          <w:b/>
        </w:rPr>
        <w:t>LOT.</w:t>
      </w:r>
      <w:r w:rsidRPr="00EC4EC4">
        <w:rPr>
          <w:rFonts w:cs="Times New Roman"/>
          <w:bCs/>
          <w:spacing w:val="2"/>
          <w:w w:val="105"/>
        </w:rPr>
        <w:t xml:space="preserve"> </w:t>
      </w:r>
      <w:r w:rsidRPr="00EC4EC4">
        <w:rPr>
          <w:rFonts w:cs="Times New Roman"/>
          <w:bCs/>
          <w:spacing w:val="1"/>
        </w:rPr>
        <w:t>A portion or parcel of land considered as a unit.</w:t>
      </w:r>
    </w:p>
    <w:p w14:paraId="6AD9A68A" w14:textId="77777777" w:rsidR="00140B7C" w:rsidRPr="00EC4EC4" w:rsidRDefault="00140B7C" w:rsidP="00140B7C">
      <w:pPr>
        <w:pStyle w:val="FlushLeft"/>
        <w:spacing w:after="0"/>
        <w:rPr>
          <w:spacing w:val="1"/>
          <w:szCs w:val="24"/>
        </w:rPr>
      </w:pPr>
      <w:r w:rsidRPr="00EC4EC4">
        <w:rPr>
          <w:spacing w:val="1"/>
          <w:szCs w:val="24"/>
        </w:rPr>
        <w:tab/>
      </w:r>
    </w:p>
    <w:p w14:paraId="3AD6EC3A" w14:textId="5D0FD741" w:rsidR="00140B7C" w:rsidRPr="00EC4EC4" w:rsidRDefault="00140B7C" w:rsidP="00140B7C">
      <w:pPr>
        <w:pStyle w:val="FlushLeft"/>
        <w:ind w:firstLine="720"/>
        <w:rPr>
          <w:b/>
          <w:bCs/>
          <w:szCs w:val="24"/>
        </w:rPr>
      </w:pPr>
      <w:r w:rsidRPr="00EC4EC4">
        <w:rPr>
          <w:sz w:val="23"/>
          <w:szCs w:val="23"/>
        </w:rPr>
        <w:t>§</w:t>
      </w:r>
      <w:r w:rsidR="00C44872">
        <w:rPr>
          <w:sz w:val="23"/>
          <w:szCs w:val="23"/>
        </w:rPr>
        <w:t>100</w:t>
      </w:r>
      <w:r w:rsidRPr="00EC4EC4">
        <w:rPr>
          <w:sz w:val="23"/>
          <w:szCs w:val="23"/>
        </w:rPr>
        <w:t xml:space="preserve">. </w:t>
      </w:r>
      <w:r>
        <w:rPr>
          <w:sz w:val="23"/>
          <w:szCs w:val="23"/>
        </w:rPr>
        <w:t xml:space="preserve">The </w:t>
      </w:r>
      <w:r w:rsidRPr="00EC4EC4">
        <w:rPr>
          <w:sz w:val="23"/>
          <w:szCs w:val="23"/>
        </w:rPr>
        <w:t>definition of “</w:t>
      </w:r>
      <w:r w:rsidRPr="00EC4EC4">
        <w:rPr>
          <w:bCs/>
          <w:szCs w:val="24"/>
        </w:rPr>
        <w:t>MECHANICAL-ACCESS OPEN PARKING GARAGE”</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62313CB8" w14:textId="77777777" w:rsidR="00140B7C" w:rsidRPr="00EC4EC4" w:rsidRDefault="00140B7C" w:rsidP="00140B7C">
      <w:pPr>
        <w:pStyle w:val="FlushLeft"/>
        <w:rPr>
          <w:szCs w:val="24"/>
        </w:rPr>
      </w:pPr>
      <w:r w:rsidRPr="00EC4EC4">
        <w:rPr>
          <w:b/>
          <w:szCs w:val="24"/>
        </w:rPr>
        <w:t>MECHANICAL-ACCESS OPEN PARKING GARAGE.</w:t>
      </w:r>
      <w:r w:rsidRPr="00EC4EC4">
        <w:rPr>
          <w:szCs w:val="24"/>
        </w:rPr>
        <w:t xml:space="preserve"> Open parking garages employing parking machines, lifts, elevators or other mechanical [</w:t>
      </w:r>
      <w:r w:rsidRPr="00EC4EC4">
        <w:rPr>
          <w:strike/>
          <w:szCs w:val="24"/>
        </w:rPr>
        <w:t>devise</w:t>
      </w:r>
      <w:r w:rsidRPr="00EC4EC4">
        <w:rPr>
          <w:szCs w:val="24"/>
        </w:rPr>
        <w:t>]</w:t>
      </w:r>
      <w:r w:rsidRPr="00EC4EC4">
        <w:rPr>
          <w:szCs w:val="24"/>
          <w:u w:val="single"/>
        </w:rPr>
        <w:t>device</w:t>
      </w:r>
      <w:r w:rsidRPr="00EC4EC4">
        <w:rPr>
          <w:szCs w:val="24"/>
        </w:rPr>
        <w:t xml:space="preserve"> for vehicles moving from and to street level and in which public occupancy is prohibited above the street level.</w:t>
      </w:r>
    </w:p>
    <w:p w14:paraId="15F33BE8" w14:textId="305611A8" w:rsidR="00140B7C" w:rsidRPr="00EC4EC4" w:rsidRDefault="00140B7C" w:rsidP="00140B7C">
      <w:pPr>
        <w:pStyle w:val="FlushLeft"/>
        <w:ind w:firstLine="720"/>
        <w:rPr>
          <w:sz w:val="23"/>
          <w:szCs w:val="23"/>
        </w:rPr>
      </w:pPr>
      <w:r w:rsidRPr="00EC4EC4">
        <w:rPr>
          <w:sz w:val="23"/>
          <w:szCs w:val="23"/>
        </w:rPr>
        <w:t>§</w:t>
      </w:r>
      <w:r w:rsidR="00C44872">
        <w:rPr>
          <w:sz w:val="23"/>
          <w:szCs w:val="23"/>
        </w:rPr>
        <w:t>101</w:t>
      </w:r>
      <w:r w:rsidRPr="00EC4EC4">
        <w:rPr>
          <w:sz w:val="23"/>
          <w:szCs w:val="23"/>
        </w:rPr>
        <w:t xml:space="preserve">. </w:t>
      </w:r>
      <w:r>
        <w:rPr>
          <w:sz w:val="23"/>
          <w:szCs w:val="23"/>
        </w:rPr>
        <w:t xml:space="preserve">The </w:t>
      </w:r>
      <w:r w:rsidRPr="00EC4EC4">
        <w:rPr>
          <w:sz w:val="23"/>
          <w:szCs w:val="23"/>
        </w:rPr>
        <w:t>definition of “</w:t>
      </w:r>
      <w:r w:rsidRPr="00EC4EC4">
        <w:rPr>
          <w:bCs/>
          <w:szCs w:val="24"/>
        </w:rPr>
        <w:t>METAL ROOF PANEL”</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2F4DFDB0" w14:textId="77777777" w:rsidR="00140B7C" w:rsidRPr="00EC4EC4" w:rsidRDefault="00140B7C" w:rsidP="00140B7C">
      <w:pPr>
        <w:pStyle w:val="FlushLeft"/>
        <w:rPr>
          <w:szCs w:val="24"/>
        </w:rPr>
      </w:pPr>
      <w:r w:rsidRPr="00EC4EC4">
        <w:rPr>
          <w:b/>
          <w:szCs w:val="24"/>
        </w:rPr>
        <w:t>METAL ROOF PANEL.</w:t>
      </w:r>
      <w:r w:rsidRPr="00EC4EC4">
        <w:rPr>
          <w:szCs w:val="24"/>
        </w:rPr>
        <w:t xml:space="preserve"> An interlocking metal sheet having a minimum installed weather exposure of 3 square feet [</w:t>
      </w:r>
      <w:r w:rsidRPr="00EC4EC4">
        <w:rPr>
          <w:strike/>
          <w:szCs w:val="24"/>
        </w:rPr>
        <w:t>(.279 m</w:t>
      </w:r>
      <w:r w:rsidRPr="00EC4EC4">
        <w:rPr>
          <w:strike/>
          <w:szCs w:val="24"/>
          <w:vertAlign w:val="superscript"/>
        </w:rPr>
        <w:t>2</w:t>
      </w:r>
      <w:r w:rsidRPr="00EC4EC4">
        <w:rPr>
          <w:strike/>
          <w:szCs w:val="24"/>
        </w:rPr>
        <w:t>)</w:t>
      </w:r>
      <w:r w:rsidRPr="00EC4EC4">
        <w:rPr>
          <w:szCs w:val="24"/>
        </w:rPr>
        <w:t>]</w:t>
      </w:r>
      <w:r w:rsidRPr="00EC4EC4">
        <w:rPr>
          <w:szCs w:val="24"/>
          <w:u w:val="single"/>
        </w:rPr>
        <w:t>(0.279m</w:t>
      </w:r>
      <w:r w:rsidRPr="00EC4EC4">
        <w:rPr>
          <w:szCs w:val="24"/>
          <w:u w:val="single"/>
          <w:vertAlign w:val="superscript"/>
        </w:rPr>
        <w:t>2</w:t>
      </w:r>
      <w:r w:rsidRPr="00EC4EC4">
        <w:rPr>
          <w:szCs w:val="24"/>
          <w:u w:val="single"/>
        </w:rPr>
        <w:t xml:space="preserve">) </w:t>
      </w:r>
      <w:r w:rsidRPr="00EC4EC4">
        <w:rPr>
          <w:szCs w:val="24"/>
        </w:rPr>
        <w:t>per sheet.</w:t>
      </w:r>
    </w:p>
    <w:p w14:paraId="5E0A0A93" w14:textId="590D78B1" w:rsidR="00140B7C" w:rsidRPr="00EC4EC4" w:rsidRDefault="00140B7C" w:rsidP="00140B7C">
      <w:pPr>
        <w:pStyle w:val="FlushLeft"/>
        <w:ind w:firstLine="720"/>
        <w:rPr>
          <w:sz w:val="23"/>
          <w:szCs w:val="23"/>
        </w:rPr>
      </w:pPr>
      <w:r w:rsidRPr="00EC4EC4">
        <w:rPr>
          <w:sz w:val="23"/>
          <w:szCs w:val="23"/>
        </w:rPr>
        <w:t>§</w:t>
      </w:r>
      <w:r w:rsidR="00C44872">
        <w:rPr>
          <w:sz w:val="23"/>
          <w:szCs w:val="23"/>
        </w:rPr>
        <w:t>102</w:t>
      </w:r>
      <w:r w:rsidRPr="00EC4EC4">
        <w:rPr>
          <w:sz w:val="23"/>
          <w:szCs w:val="23"/>
        </w:rPr>
        <w:t xml:space="preserve">. </w:t>
      </w:r>
      <w:r>
        <w:rPr>
          <w:sz w:val="23"/>
          <w:szCs w:val="23"/>
        </w:rPr>
        <w:t xml:space="preserve">The </w:t>
      </w:r>
      <w:r w:rsidRPr="00EC4EC4">
        <w:rPr>
          <w:sz w:val="23"/>
          <w:szCs w:val="23"/>
        </w:rPr>
        <w:t>definition of “</w:t>
      </w:r>
      <w:r w:rsidRPr="00EC4EC4">
        <w:rPr>
          <w:bCs/>
          <w:szCs w:val="24"/>
        </w:rPr>
        <w:t>METAL ROOF SHINGLE”</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424487BD" w14:textId="77777777" w:rsidR="00140B7C" w:rsidRPr="00EC4EC4" w:rsidRDefault="00140B7C" w:rsidP="00140B7C">
      <w:pPr>
        <w:pStyle w:val="FlushLeft"/>
        <w:rPr>
          <w:szCs w:val="24"/>
        </w:rPr>
      </w:pPr>
      <w:r w:rsidRPr="00EC4EC4">
        <w:rPr>
          <w:b/>
          <w:szCs w:val="24"/>
        </w:rPr>
        <w:lastRenderedPageBreak/>
        <w:t>METAL ROOF SHINGLE.</w:t>
      </w:r>
      <w:r w:rsidRPr="00EC4EC4">
        <w:rPr>
          <w:szCs w:val="24"/>
        </w:rPr>
        <w:t xml:space="preserve"> An interlocking metal sheet having an installed weather exposure less than 3 square feet [</w:t>
      </w:r>
      <w:r w:rsidRPr="00EC4EC4">
        <w:rPr>
          <w:strike/>
          <w:szCs w:val="24"/>
        </w:rPr>
        <w:t>(.279 m</w:t>
      </w:r>
      <w:r w:rsidRPr="00EC4EC4">
        <w:rPr>
          <w:strike/>
          <w:szCs w:val="24"/>
          <w:vertAlign w:val="superscript"/>
        </w:rPr>
        <w:t>2</w:t>
      </w:r>
      <w:r w:rsidRPr="00EC4EC4">
        <w:rPr>
          <w:strike/>
          <w:szCs w:val="24"/>
        </w:rPr>
        <w:t>)</w:t>
      </w:r>
      <w:r w:rsidRPr="00EC4EC4">
        <w:rPr>
          <w:szCs w:val="24"/>
        </w:rPr>
        <w:t>]</w:t>
      </w:r>
      <w:r w:rsidRPr="00EC4EC4">
        <w:rPr>
          <w:szCs w:val="24"/>
          <w:u w:val="single"/>
        </w:rPr>
        <w:t>(0.279m</w:t>
      </w:r>
      <w:r w:rsidRPr="00EC4EC4">
        <w:rPr>
          <w:szCs w:val="24"/>
          <w:u w:val="single"/>
          <w:vertAlign w:val="superscript"/>
        </w:rPr>
        <w:t>2</w:t>
      </w:r>
      <w:r w:rsidRPr="00EC4EC4">
        <w:rPr>
          <w:szCs w:val="24"/>
          <w:u w:val="single"/>
        </w:rPr>
        <w:t>)</w:t>
      </w:r>
      <w:r w:rsidRPr="00EC4EC4">
        <w:rPr>
          <w:szCs w:val="24"/>
        </w:rPr>
        <w:t xml:space="preserve"> per sheet.</w:t>
      </w:r>
    </w:p>
    <w:p w14:paraId="5A182B6F" w14:textId="350668DF" w:rsidR="00140B7C" w:rsidRPr="00EC4EC4" w:rsidRDefault="00140B7C" w:rsidP="00140B7C">
      <w:pPr>
        <w:pStyle w:val="FlushLeft"/>
        <w:ind w:firstLine="720"/>
        <w:rPr>
          <w:sz w:val="23"/>
          <w:szCs w:val="23"/>
        </w:rPr>
      </w:pPr>
      <w:r w:rsidRPr="00EC4EC4">
        <w:rPr>
          <w:sz w:val="23"/>
          <w:szCs w:val="23"/>
        </w:rPr>
        <w:t>§</w:t>
      </w:r>
      <w:r w:rsidR="008B65AA">
        <w:rPr>
          <w:sz w:val="23"/>
          <w:szCs w:val="23"/>
        </w:rPr>
        <w:t>103</w:t>
      </w:r>
      <w:r w:rsidRPr="00EC4EC4">
        <w:rPr>
          <w:sz w:val="23"/>
          <w:szCs w:val="23"/>
        </w:rPr>
        <w:t xml:space="preserve">. </w:t>
      </w:r>
      <w:r>
        <w:rPr>
          <w:sz w:val="23"/>
          <w:szCs w:val="23"/>
        </w:rPr>
        <w:t xml:space="preserve">The </w:t>
      </w:r>
      <w:r w:rsidRPr="00EC4EC4">
        <w:rPr>
          <w:sz w:val="23"/>
          <w:szCs w:val="23"/>
        </w:rPr>
        <w:t>definition of “</w:t>
      </w:r>
      <w:r w:rsidRPr="00EC4EC4">
        <w:rPr>
          <w:bCs/>
          <w:szCs w:val="24"/>
        </w:rPr>
        <w:t>MINERAL FIBER”</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6C472FFE" w14:textId="77777777" w:rsidR="00140B7C" w:rsidRPr="00EC4EC4" w:rsidRDefault="00140B7C" w:rsidP="00140B7C">
      <w:pPr>
        <w:pStyle w:val="FlushLeft"/>
        <w:rPr>
          <w:b/>
          <w:bCs/>
          <w:szCs w:val="28"/>
        </w:rPr>
      </w:pPr>
      <w:r w:rsidRPr="00EC4EC4">
        <w:rPr>
          <w:b/>
          <w:bCs/>
          <w:szCs w:val="28"/>
        </w:rPr>
        <w:t xml:space="preserve">MINERAL FIBER. </w:t>
      </w:r>
      <w:r w:rsidRPr="00EC4EC4">
        <w:rPr>
          <w:bCs/>
          <w:szCs w:val="28"/>
        </w:rPr>
        <w:t>Insulation</w:t>
      </w:r>
      <w:r w:rsidRPr="00EC4EC4">
        <w:rPr>
          <w:b/>
          <w:bCs/>
          <w:szCs w:val="28"/>
        </w:rPr>
        <w:t xml:space="preserve"> </w:t>
      </w:r>
      <w:r w:rsidRPr="00EC4EC4">
        <w:rPr>
          <w:bCs/>
          <w:szCs w:val="28"/>
        </w:rPr>
        <w:t>composed</w:t>
      </w:r>
      <w:r w:rsidRPr="00EC4EC4">
        <w:rPr>
          <w:b/>
          <w:bCs/>
          <w:szCs w:val="28"/>
        </w:rPr>
        <w:t xml:space="preserve"> </w:t>
      </w:r>
      <w:r w:rsidRPr="00EC4EC4">
        <w:rPr>
          <w:bCs/>
          <w:szCs w:val="28"/>
        </w:rPr>
        <w:t>principally</w:t>
      </w:r>
      <w:r w:rsidRPr="00EC4EC4">
        <w:rPr>
          <w:b/>
          <w:bCs/>
          <w:szCs w:val="28"/>
        </w:rPr>
        <w:t xml:space="preserve"> </w:t>
      </w:r>
      <w:r w:rsidRPr="00EC4EC4">
        <w:rPr>
          <w:bCs/>
          <w:szCs w:val="28"/>
        </w:rPr>
        <w:t>of</w:t>
      </w:r>
      <w:r w:rsidRPr="00EC4EC4">
        <w:rPr>
          <w:b/>
          <w:bCs/>
          <w:szCs w:val="28"/>
        </w:rPr>
        <w:t xml:space="preserve"> </w:t>
      </w:r>
      <w:r w:rsidRPr="00EC4EC4">
        <w:rPr>
          <w:bCs/>
          <w:szCs w:val="28"/>
        </w:rPr>
        <w:t>fibers</w:t>
      </w:r>
      <w:r w:rsidRPr="00EC4EC4">
        <w:rPr>
          <w:b/>
          <w:bCs/>
          <w:szCs w:val="28"/>
        </w:rPr>
        <w:t xml:space="preserve"> </w:t>
      </w:r>
      <w:r w:rsidRPr="00EC4EC4">
        <w:rPr>
          <w:bCs/>
          <w:szCs w:val="28"/>
        </w:rPr>
        <w:t>manufactured</w:t>
      </w:r>
      <w:r w:rsidRPr="00EC4EC4">
        <w:rPr>
          <w:b/>
          <w:bCs/>
          <w:szCs w:val="28"/>
        </w:rPr>
        <w:t xml:space="preserve"> </w:t>
      </w:r>
      <w:r w:rsidRPr="00EC4EC4">
        <w:rPr>
          <w:bCs/>
          <w:szCs w:val="28"/>
        </w:rPr>
        <w:t>from</w:t>
      </w:r>
      <w:r w:rsidRPr="00EC4EC4">
        <w:rPr>
          <w:b/>
          <w:bCs/>
          <w:szCs w:val="28"/>
        </w:rPr>
        <w:t xml:space="preserve"> </w:t>
      </w:r>
      <w:r w:rsidRPr="00EC4EC4">
        <w:rPr>
          <w:bCs/>
          <w:szCs w:val="28"/>
        </w:rPr>
        <w:t>rock</w:t>
      </w:r>
      <w:r w:rsidRPr="00EC4EC4">
        <w:rPr>
          <w:b/>
          <w:bCs/>
          <w:szCs w:val="28"/>
        </w:rPr>
        <w:t xml:space="preserve">, </w:t>
      </w:r>
      <w:r w:rsidRPr="00EC4EC4">
        <w:rPr>
          <w:bCs/>
          <w:szCs w:val="28"/>
        </w:rPr>
        <w:t>slag</w:t>
      </w:r>
      <w:r w:rsidRPr="00EC4EC4">
        <w:rPr>
          <w:b/>
          <w:bCs/>
          <w:szCs w:val="28"/>
        </w:rPr>
        <w:t xml:space="preserve"> </w:t>
      </w:r>
      <w:r w:rsidRPr="00EC4EC4">
        <w:rPr>
          <w:bCs/>
          <w:szCs w:val="28"/>
        </w:rPr>
        <w:t>or</w:t>
      </w:r>
      <w:r w:rsidRPr="00EC4EC4">
        <w:rPr>
          <w:b/>
          <w:bCs/>
          <w:szCs w:val="28"/>
        </w:rPr>
        <w:t xml:space="preserve"> </w:t>
      </w:r>
      <w:r w:rsidRPr="00EC4EC4">
        <w:rPr>
          <w:bCs/>
          <w:szCs w:val="28"/>
        </w:rPr>
        <w:t>glass</w:t>
      </w:r>
      <w:r w:rsidRPr="00EC4EC4">
        <w:rPr>
          <w:b/>
          <w:bCs/>
          <w:szCs w:val="28"/>
        </w:rPr>
        <w:t xml:space="preserve">, </w:t>
      </w:r>
      <w:r w:rsidRPr="00EC4EC4">
        <w:rPr>
          <w:bCs/>
          <w:szCs w:val="28"/>
        </w:rPr>
        <w:t>with</w:t>
      </w:r>
      <w:r w:rsidRPr="00EC4EC4">
        <w:rPr>
          <w:b/>
          <w:bCs/>
          <w:szCs w:val="28"/>
        </w:rPr>
        <w:t xml:space="preserve"> [</w:t>
      </w:r>
      <w:r w:rsidRPr="00EC4EC4">
        <w:rPr>
          <w:bCs/>
          <w:strike/>
          <w:szCs w:val="28"/>
        </w:rPr>
        <w:t>to</w:t>
      </w:r>
      <w:r w:rsidRPr="00EC4EC4">
        <w:rPr>
          <w:bCs/>
          <w:szCs w:val="28"/>
        </w:rPr>
        <w:t>]</w:t>
      </w:r>
      <w:r w:rsidRPr="00EC4EC4">
        <w:rPr>
          <w:bCs/>
          <w:szCs w:val="28"/>
          <w:u w:val="single"/>
        </w:rPr>
        <w:t>or</w:t>
      </w:r>
      <w:r w:rsidRPr="00EC4EC4">
        <w:rPr>
          <w:b/>
          <w:bCs/>
          <w:szCs w:val="28"/>
        </w:rPr>
        <w:t xml:space="preserve"> </w:t>
      </w:r>
      <w:r w:rsidRPr="00EC4EC4">
        <w:rPr>
          <w:bCs/>
          <w:szCs w:val="28"/>
        </w:rPr>
        <w:t>without</w:t>
      </w:r>
      <w:r w:rsidRPr="00EC4EC4">
        <w:rPr>
          <w:b/>
          <w:bCs/>
          <w:szCs w:val="28"/>
        </w:rPr>
        <w:t xml:space="preserve"> </w:t>
      </w:r>
      <w:r w:rsidRPr="00EC4EC4">
        <w:rPr>
          <w:bCs/>
          <w:szCs w:val="28"/>
        </w:rPr>
        <w:t>binders</w:t>
      </w:r>
      <w:r w:rsidRPr="00EC4EC4">
        <w:rPr>
          <w:b/>
          <w:bCs/>
          <w:szCs w:val="28"/>
        </w:rPr>
        <w:t>.</w:t>
      </w:r>
    </w:p>
    <w:p w14:paraId="020907FB" w14:textId="4AFE3A3C" w:rsidR="00140B7C" w:rsidRPr="00EC4EC4" w:rsidRDefault="00140B7C" w:rsidP="00140B7C">
      <w:pPr>
        <w:pStyle w:val="FlushLeft"/>
        <w:ind w:firstLine="720"/>
        <w:rPr>
          <w:sz w:val="23"/>
          <w:szCs w:val="23"/>
        </w:rPr>
      </w:pPr>
      <w:r w:rsidRPr="00EC4EC4">
        <w:rPr>
          <w:sz w:val="23"/>
          <w:szCs w:val="23"/>
        </w:rPr>
        <w:t>§</w:t>
      </w:r>
      <w:r>
        <w:rPr>
          <w:sz w:val="23"/>
          <w:szCs w:val="23"/>
        </w:rPr>
        <w:t>10</w:t>
      </w:r>
      <w:r w:rsidR="008B65AA">
        <w:rPr>
          <w:sz w:val="23"/>
          <w:szCs w:val="23"/>
        </w:rPr>
        <w:t>4</w:t>
      </w:r>
      <w:r w:rsidRPr="00EC4EC4">
        <w:rPr>
          <w:sz w:val="23"/>
          <w:szCs w:val="23"/>
        </w:rPr>
        <w:t xml:space="preserve">. </w:t>
      </w:r>
      <w:r>
        <w:rPr>
          <w:sz w:val="23"/>
          <w:szCs w:val="23"/>
        </w:rPr>
        <w:t xml:space="preserve">The </w:t>
      </w:r>
      <w:r w:rsidRPr="00EC4EC4">
        <w:rPr>
          <w:sz w:val="23"/>
          <w:szCs w:val="23"/>
        </w:rPr>
        <w:t>definition of “</w:t>
      </w:r>
      <w:r w:rsidRPr="00EC4EC4">
        <w:rPr>
          <w:bCs/>
          <w:color w:val="000000"/>
          <w:szCs w:val="24"/>
        </w:rPr>
        <w:t>RESIDENTIAL</w:t>
      </w:r>
      <w:r w:rsidRPr="00EC4EC4">
        <w:rPr>
          <w:bCs/>
          <w:szCs w:val="24"/>
        </w:rPr>
        <w:t xml:space="preserve"> </w:t>
      </w:r>
      <w:r w:rsidRPr="00EC4EC4">
        <w:rPr>
          <w:bCs/>
          <w:color w:val="000000"/>
          <w:szCs w:val="24"/>
        </w:rPr>
        <w:t>CARE</w:t>
      </w:r>
      <w:r w:rsidRPr="00EC4EC4">
        <w:rPr>
          <w:bCs/>
          <w:szCs w:val="24"/>
        </w:rPr>
        <w:t>/</w:t>
      </w:r>
      <w:r w:rsidRPr="00EC4EC4">
        <w:rPr>
          <w:bCs/>
          <w:color w:val="000000"/>
          <w:szCs w:val="24"/>
        </w:rPr>
        <w:t>ASSISTED</w:t>
      </w:r>
      <w:r w:rsidRPr="00EC4EC4">
        <w:rPr>
          <w:bCs/>
          <w:szCs w:val="24"/>
        </w:rPr>
        <w:t xml:space="preserve"> </w:t>
      </w:r>
      <w:r w:rsidRPr="00EC4EC4">
        <w:rPr>
          <w:bCs/>
          <w:color w:val="000000"/>
          <w:szCs w:val="24"/>
        </w:rPr>
        <w:t>LIVING</w:t>
      </w:r>
      <w:r w:rsidRPr="00EC4EC4">
        <w:rPr>
          <w:bCs/>
          <w:szCs w:val="24"/>
        </w:rPr>
        <w:t xml:space="preserve"> </w:t>
      </w:r>
      <w:r w:rsidRPr="00EC4EC4">
        <w:rPr>
          <w:bCs/>
          <w:color w:val="000000"/>
          <w:szCs w:val="24"/>
        </w:rPr>
        <w:t>FACILITIES</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w:t>
      </w:r>
      <w:r w:rsidRPr="00EC4EC4">
        <w:rPr>
          <w:bCs/>
          <w:szCs w:val="24"/>
        </w:rPr>
        <w:t>”</w:t>
      </w:r>
      <w:r w:rsidRPr="00EC4EC4">
        <w:rPr>
          <w:sz w:val="23"/>
          <w:szCs w:val="23"/>
        </w:rPr>
        <w:t xml:space="preserve"> is amended to read as follows:</w:t>
      </w:r>
    </w:p>
    <w:p w14:paraId="2F83E075" w14:textId="77777777" w:rsidR="00140B7C" w:rsidRPr="00EC4EC4" w:rsidRDefault="00140B7C" w:rsidP="00140B7C">
      <w:pPr>
        <w:pStyle w:val="FlushLeft"/>
        <w:rPr>
          <w:bCs/>
          <w:szCs w:val="24"/>
        </w:rPr>
      </w:pPr>
      <w:r w:rsidRPr="00EC4EC4">
        <w:rPr>
          <w:b/>
          <w:color w:val="000000"/>
          <w:szCs w:val="24"/>
        </w:rPr>
        <w:t>RESIDENTIAL</w:t>
      </w:r>
      <w:r w:rsidRPr="00EC4EC4">
        <w:rPr>
          <w:b/>
          <w:szCs w:val="24"/>
        </w:rPr>
        <w:t xml:space="preserve"> </w:t>
      </w:r>
      <w:r w:rsidRPr="00EC4EC4">
        <w:rPr>
          <w:b/>
          <w:color w:val="000000"/>
          <w:szCs w:val="24"/>
        </w:rPr>
        <w:t>CARE</w:t>
      </w:r>
      <w:r w:rsidRPr="00EC4EC4">
        <w:rPr>
          <w:b/>
          <w:szCs w:val="24"/>
        </w:rPr>
        <w:t>/</w:t>
      </w:r>
      <w:r w:rsidRPr="00EC4EC4">
        <w:rPr>
          <w:b/>
          <w:color w:val="000000"/>
          <w:szCs w:val="24"/>
        </w:rPr>
        <w:t>ASSISTED</w:t>
      </w:r>
      <w:r w:rsidRPr="00EC4EC4">
        <w:rPr>
          <w:b/>
          <w:szCs w:val="24"/>
        </w:rPr>
        <w:t xml:space="preserve"> </w:t>
      </w:r>
      <w:r w:rsidRPr="00EC4EC4">
        <w:rPr>
          <w:b/>
          <w:color w:val="000000"/>
          <w:szCs w:val="24"/>
        </w:rPr>
        <w:t>LIVING</w:t>
      </w:r>
      <w:r w:rsidRPr="00EC4EC4">
        <w:rPr>
          <w:b/>
          <w:szCs w:val="24"/>
        </w:rPr>
        <w:t xml:space="preserve"> </w:t>
      </w:r>
      <w:r w:rsidRPr="00EC4EC4">
        <w:rPr>
          <w:b/>
          <w:color w:val="000000"/>
          <w:szCs w:val="24"/>
        </w:rPr>
        <w:t>FACILITIES</w:t>
      </w:r>
      <w:r w:rsidRPr="00EC4EC4">
        <w:rPr>
          <w:b/>
          <w:szCs w:val="24"/>
        </w:rPr>
        <w:t>.</w:t>
      </w:r>
      <w:r w:rsidRPr="00EC4EC4">
        <w:rPr>
          <w:bCs/>
          <w:szCs w:val="24"/>
        </w:rPr>
        <w:t xml:space="preserve"> </w:t>
      </w:r>
      <w:r w:rsidRPr="00EC4EC4">
        <w:rPr>
          <w:bCs/>
          <w:color w:val="000000"/>
          <w:szCs w:val="24"/>
        </w:rPr>
        <w:t>A</w:t>
      </w:r>
      <w:r w:rsidRPr="00EC4EC4">
        <w:rPr>
          <w:bCs/>
          <w:szCs w:val="24"/>
        </w:rPr>
        <w:t xml:space="preserve"> </w:t>
      </w:r>
      <w:r w:rsidRPr="00EC4EC4">
        <w:rPr>
          <w:bCs/>
          <w:color w:val="000000"/>
          <w:szCs w:val="24"/>
        </w:rPr>
        <w:t>building</w:t>
      </w:r>
      <w:r w:rsidRPr="00EC4EC4">
        <w:rPr>
          <w:bCs/>
          <w:szCs w:val="24"/>
        </w:rPr>
        <w:t xml:space="preserve"> </w:t>
      </w:r>
      <w:r w:rsidRPr="00EC4EC4">
        <w:rPr>
          <w:bCs/>
          <w:color w:val="000000"/>
          <w:szCs w:val="24"/>
        </w:rPr>
        <w:t>or</w:t>
      </w:r>
      <w:r w:rsidRPr="00EC4EC4">
        <w:rPr>
          <w:bCs/>
          <w:szCs w:val="24"/>
        </w:rPr>
        <w:t xml:space="preserve"> </w:t>
      </w:r>
      <w:r w:rsidRPr="00EC4EC4">
        <w:rPr>
          <w:bCs/>
          <w:color w:val="000000"/>
          <w:szCs w:val="24"/>
        </w:rPr>
        <w:t>part</w:t>
      </w:r>
      <w:r w:rsidRPr="00EC4EC4">
        <w:rPr>
          <w:bCs/>
          <w:szCs w:val="24"/>
        </w:rPr>
        <w:t xml:space="preserve"> </w:t>
      </w:r>
      <w:r w:rsidRPr="00EC4EC4">
        <w:rPr>
          <w:bCs/>
          <w:color w:val="000000"/>
          <w:szCs w:val="24"/>
        </w:rPr>
        <w:t>thereof</w:t>
      </w:r>
      <w:r w:rsidRPr="00EC4EC4">
        <w:rPr>
          <w:bCs/>
          <w:szCs w:val="24"/>
        </w:rPr>
        <w:t xml:space="preserve"> </w:t>
      </w:r>
      <w:r w:rsidRPr="00EC4EC4">
        <w:rPr>
          <w:bCs/>
          <w:color w:val="000000"/>
          <w:szCs w:val="24"/>
        </w:rPr>
        <w:t>housing</w:t>
      </w:r>
      <w:r w:rsidRPr="00EC4EC4">
        <w:rPr>
          <w:bCs/>
          <w:szCs w:val="24"/>
        </w:rPr>
        <w:t xml:space="preserve"> </w:t>
      </w:r>
      <w:r w:rsidRPr="00EC4EC4">
        <w:rPr>
          <w:bCs/>
          <w:color w:val="000000"/>
          <w:szCs w:val="24"/>
        </w:rPr>
        <w:t>persons</w:t>
      </w:r>
      <w:r w:rsidRPr="00EC4EC4">
        <w:rPr>
          <w:bCs/>
          <w:szCs w:val="24"/>
        </w:rPr>
        <w:t xml:space="preserve">, </w:t>
      </w:r>
      <w:r w:rsidRPr="00EC4EC4">
        <w:rPr>
          <w:bCs/>
          <w:color w:val="000000"/>
          <w:szCs w:val="24"/>
        </w:rPr>
        <w:t>on</w:t>
      </w:r>
      <w:r w:rsidRPr="00EC4EC4">
        <w:rPr>
          <w:bCs/>
          <w:szCs w:val="24"/>
        </w:rPr>
        <w:t xml:space="preserve"> </w:t>
      </w:r>
      <w:r w:rsidRPr="00EC4EC4">
        <w:rPr>
          <w:bCs/>
          <w:color w:val="000000"/>
          <w:szCs w:val="24"/>
        </w:rPr>
        <w:t>a</w:t>
      </w:r>
      <w:r w:rsidRPr="00EC4EC4">
        <w:rPr>
          <w:bCs/>
          <w:szCs w:val="24"/>
        </w:rPr>
        <w:t xml:space="preserve"> </w:t>
      </w:r>
      <w:r w:rsidRPr="00EC4EC4">
        <w:rPr>
          <w:bCs/>
          <w:color w:val="000000"/>
          <w:szCs w:val="24"/>
        </w:rPr>
        <w:t>24</w:t>
      </w:r>
      <w:r w:rsidRPr="00EC4EC4">
        <w:rPr>
          <w:bCs/>
          <w:szCs w:val="24"/>
        </w:rPr>
        <w:t>-</w:t>
      </w:r>
      <w:r w:rsidRPr="00EC4EC4">
        <w:rPr>
          <w:bCs/>
          <w:color w:val="000000"/>
          <w:szCs w:val="24"/>
        </w:rPr>
        <w:t>hour</w:t>
      </w:r>
      <w:r w:rsidRPr="00EC4EC4">
        <w:rPr>
          <w:bCs/>
          <w:szCs w:val="24"/>
        </w:rPr>
        <w:t xml:space="preserve"> </w:t>
      </w:r>
      <w:r w:rsidRPr="00EC4EC4">
        <w:rPr>
          <w:bCs/>
          <w:color w:val="000000"/>
          <w:szCs w:val="24"/>
        </w:rPr>
        <w:t>basis</w:t>
      </w:r>
      <w:r w:rsidRPr="00EC4EC4">
        <w:rPr>
          <w:bCs/>
          <w:szCs w:val="24"/>
        </w:rPr>
        <w:t xml:space="preserve">, </w:t>
      </w:r>
      <w:r w:rsidRPr="00EC4EC4">
        <w:rPr>
          <w:bCs/>
          <w:color w:val="000000"/>
          <w:szCs w:val="24"/>
        </w:rPr>
        <w:t>who</w:t>
      </w:r>
      <w:r w:rsidRPr="00EC4EC4">
        <w:rPr>
          <w:bCs/>
          <w:szCs w:val="24"/>
        </w:rPr>
        <w:t xml:space="preserve"> </w:t>
      </w:r>
      <w:r w:rsidRPr="00EC4EC4">
        <w:rPr>
          <w:bCs/>
          <w:color w:val="000000"/>
          <w:szCs w:val="24"/>
        </w:rPr>
        <w:t>because</w:t>
      </w:r>
      <w:r w:rsidRPr="00EC4EC4">
        <w:rPr>
          <w:bCs/>
          <w:szCs w:val="24"/>
        </w:rPr>
        <w:t xml:space="preserve"> </w:t>
      </w:r>
      <w:r w:rsidRPr="00EC4EC4">
        <w:rPr>
          <w:bCs/>
          <w:color w:val="000000"/>
          <w:szCs w:val="24"/>
        </w:rPr>
        <w:t>of</w:t>
      </w:r>
      <w:r w:rsidRPr="00EC4EC4">
        <w:rPr>
          <w:bCs/>
          <w:szCs w:val="24"/>
        </w:rPr>
        <w:t xml:space="preserve"> </w:t>
      </w:r>
      <w:r w:rsidRPr="00EC4EC4">
        <w:rPr>
          <w:bCs/>
          <w:color w:val="000000"/>
          <w:szCs w:val="24"/>
        </w:rPr>
        <w:t>age</w:t>
      </w:r>
      <w:r w:rsidRPr="00EC4EC4">
        <w:rPr>
          <w:bCs/>
          <w:szCs w:val="24"/>
        </w:rPr>
        <w:t xml:space="preserve">, </w:t>
      </w:r>
      <w:r w:rsidRPr="00EC4EC4">
        <w:rPr>
          <w:bCs/>
          <w:color w:val="000000"/>
          <w:szCs w:val="24"/>
        </w:rPr>
        <w:t>mental</w:t>
      </w:r>
      <w:r w:rsidRPr="00EC4EC4">
        <w:rPr>
          <w:bCs/>
          <w:szCs w:val="24"/>
        </w:rPr>
        <w:t xml:space="preserve"> </w:t>
      </w:r>
      <w:r w:rsidRPr="00EC4EC4">
        <w:rPr>
          <w:bCs/>
          <w:color w:val="000000"/>
          <w:szCs w:val="24"/>
        </w:rPr>
        <w:t>disability</w:t>
      </w:r>
      <w:r w:rsidRPr="00EC4EC4">
        <w:rPr>
          <w:bCs/>
          <w:szCs w:val="24"/>
        </w:rPr>
        <w:t xml:space="preserve"> </w:t>
      </w:r>
      <w:r w:rsidRPr="00EC4EC4">
        <w:rPr>
          <w:bCs/>
          <w:color w:val="000000"/>
          <w:szCs w:val="24"/>
        </w:rPr>
        <w:t>or</w:t>
      </w:r>
      <w:r w:rsidRPr="00EC4EC4">
        <w:rPr>
          <w:bCs/>
          <w:szCs w:val="24"/>
        </w:rPr>
        <w:t xml:space="preserve"> </w:t>
      </w:r>
      <w:r w:rsidRPr="00EC4EC4">
        <w:rPr>
          <w:bCs/>
          <w:color w:val="000000"/>
          <w:szCs w:val="24"/>
        </w:rPr>
        <w:t>other</w:t>
      </w:r>
      <w:r w:rsidRPr="00EC4EC4">
        <w:rPr>
          <w:bCs/>
          <w:szCs w:val="24"/>
        </w:rPr>
        <w:t xml:space="preserve"> </w:t>
      </w:r>
      <w:r w:rsidRPr="00EC4EC4">
        <w:rPr>
          <w:bCs/>
          <w:color w:val="000000"/>
          <w:szCs w:val="24"/>
        </w:rPr>
        <w:t>reasons</w:t>
      </w:r>
      <w:r w:rsidRPr="00EC4EC4">
        <w:rPr>
          <w:bCs/>
          <w:szCs w:val="24"/>
        </w:rPr>
        <w:t xml:space="preserve">, </w:t>
      </w:r>
      <w:r w:rsidRPr="00EC4EC4">
        <w:rPr>
          <w:bCs/>
          <w:color w:val="000000"/>
          <w:szCs w:val="24"/>
        </w:rPr>
        <w:t>live</w:t>
      </w:r>
      <w:r w:rsidRPr="00EC4EC4">
        <w:rPr>
          <w:bCs/>
          <w:szCs w:val="24"/>
        </w:rPr>
        <w:t xml:space="preserve"> </w:t>
      </w:r>
      <w:r w:rsidRPr="00EC4EC4">
        <w:rPr>
          <w:bCs/>
          <w:color w:val="000000"/>
          <w:szCs w:val="24"/>
        </w:rPr>
        <w:t>in</w:t>
      </w:r>
      <w:r w:rsidRPr="00EC4EC4">
        <w:rPr>
          <w:bCs/>
          <w:szCs w:val="24"/>
        </w:rPr>
        <w:t xml:space="preserve"> </w:t>
      </w:r>
      <w:r w:rsidRPr="00EC4EC4">
        <w:rPr>
          <w:bCs/>
          <w:color w:val="000000"/>
          <w:szCs w:val="24"/>
        </w:rPr>
        <w:t>a</w:t>
      </w:r>
      <w:r w:rsidRPr="00EC4EC4">
        <w:rPr>
          <w:bCs/>
          <w:szCs w:val="24"/>
        </w:rPr>
        <w:t xml:space="preserve"> </w:t>
      </w:r>
      <w:r w:rsidRPr="00EC4EC4">
        <w:rPr>
          <w:bCs/>
          <w:color w:val="000000"/>
          <w:szCs w:val="24"/>
        </w:rPr>
        <w:t>supervised</w:t>
      </w:r>
      <w:r w:rsidRPr="00EC4EC4">
        <w:rPr>
          <w:bCs/>
          <w:szCs w:val="24"/>
        </w:rPr>
        <w:t xml:space="preserve"> </w:t>
      </w:r>
      <w:r w:rsidRPr="00EC4EC4">
        <w:rPr>
          <w:bCs/>
          <w:color w:val="000000"/>
          <w:szCs w:val="24"/>
        </w:rPr>
        <w:t>residential</w:t>
      </w:r>
      <w:r w:rsidRPr="00EC4EC4">
        <w:rPr>
          <w:bCs/>
          <w:szCs w:val="24"/>
        </w:rPr>
        <w:t xml:space="preserve"> </w:t>
      </w:r>
      <w:r w:rsidRPr="00EC4EC4">
        <w:rPr>
          <w:bCs/>
          <w:color w:val="000000"/>
          <w:szCs w:val="24"/>
        </w:rPr>
        <w:t>environment</w:t>
      </w:r>
      <w:r w:rsidRPr="00EC4EC4">
        <w:rPr>
          <w:bCs/>
          <w:szCs w:val="24"/>
        </w:rPr>
        <w:t xml:space="preserve"> </w:t>
      </w:r>
      <w:r w:rsidRPr="00EC4EC4">
        <w:rPr>
          <w:bCs/>
          <w:color w:val="000000"/>
          <w:szCs w:val="24"/>
        </w:rPr>
        <w:t>that</w:t>
      </w:r>
      <w:r w:rsidRPr="00EC4EC4">
        <w:rPr>
          <w:bCs/>
          <w:szCs w:val="24"/>
        </w:rPr>
        <w:t xml:space="preserve"> </w:t>
      </w:r>
      <w:r w:rsidRPr="00EC4EC4">
        <w:rPr>
          <w:bCs/>
          <w:color w:val="000000"/>
          <w:szCs w:val="24"/>
        </w:rPr>
        <w:t>provides</w:t>
      </w:r>
      <w:r w:rsidRPr="00EC4EC4">
        <w:rPr>
          <w:bCs/>
          <w:szCs w:val="24"/>
        </w:rPr>
        <w:t xml:space="preserve"> </w:t>
      </w:r>
      <w:r w:rsidRPr="00EC4EC4">
        <w:rPr>
          <w:bCs/>
          <w:color w:val="000000"/>
          <w:szCs w:val="24"/>
        </w:rPr>
        <w:t>personal</w:t>
      </w:r>
      <w:r w:rsidRPr="00EC4EC4">
        <w:rPr>
          <w:bCs/>
          <w:szCs w:val="24"/>
        </w:rPr>
        <w:t xml:space="preserve"> </w:t>
      </w:r>
      <w:r w:rsidRPr="00EC4EC4">
        <w:rPr>
          <w:bCs/>
          <w:color w:val="000000"/>
          <w:szCs w:val="24"/>
        </w:rPr>
        <w:t>care</w:t>
      </w:r>
      <w:r w:rsidRPr="00EC4EC4">
        <w:rPr>
          <w:bCs/>
          <w:szCs w:val="24"/>
        </w:rPr>
        <w:t xml:space="preserve"> </w:t>
      </w:r>
      <w:r w:rsidRPr="00EC4EC4">
        <w:rPr>
          <w:bCs/>
          <w:color w:val="000000"/>
          <w:szCs w:val="24"/>
        </w:rPr>
        <w:t>services</w:t>
      </w:r>
      <w:r w:rsidRPr="00EC4EC4">
        <w:rPr>
          <w:bCs/>
          <w:szCs w:val="24"/>
        </w:rPr>
        <w:t xml:space="preserve">. </w:t>
      </w:r>
      <w:r w:rsidRPr="00EC4EC4">
        <w:rPr>
          <w:bCs/>
          <w:color w:val="000000"/>
          <w:szCs w:val="24"/>
        </w:rPr>
        <w:t>The</w:t>
      </w:r>
      <w:r w:rsidRPr="00EC4EC4">
        <w:rPr>
          <w:bCs/>
          <w:szCs w:val="24"/>
        </w:rPr>
        <w:t xml:space="preserve"> </w:t>
      </w:r>
      <w:r w:rsidRPr="00EC4EC4">
        <w:rPr>
          <w:bCs/>
          <w:color w:val="000000"/>
          <w:szCs w:val="24"/>
        </w:rPr>
        <w:t>occupants</w:t>
      </w:r>
      <w:r w:rsidRPr="00EC4EC4">
        <w:rPr>
          <w:bCs/>
          <w:szCs w:val="24"/>
        </w:rPr>
        <w:t xml:space="preserve"> </w:t>
      </w:r>
      <w:r w:rsidRPr="00EC4EC4">
        <w:rPr>
          <w:bCs/>
          <w:color w:val="000000"/>
          <w:szCs w:val="24"/>
        </w:rPr>
        <w:t>are</w:t>
      </w:r>
      <w:r w:rsidRPr="00EC4EC4">
        <w:rPr>
          <w:bCs/>
          <w:szCs w:val="24"/>
        </w:rPr>
        <w:t xml:space="preserve"> </w:t>
      </w:r>
      <w:r w:rsidRPr="00EC4EC4">
        <w:rPr>
          <w:bCs/>
          <w:color w:val="000000"/>
          <w:szCs w:val="24"/>
        </w:rPr>
        <w:t>capable</w:t>
      </w:r>
      <w:r w:rsidRPr="00EC4EC4">
        <w:rPr>
          <w:bCs/>
          <w:szCs w:val="24"/>
        </w:rPr>
        <w:t xml:space="preserve"> </w:t>
      </w:r>
      <w:r w:rsidRPr="00EC4EC4">
        <w:rPr>
          <w:bCs/>
          <w:color w:val="000000"/>
          <w:szCs w:val="24"/>
        </w:rPr>
        <w:t>of</w:t>
      </w:r>
      <w:r w:rsidRPr="00EC4EC4">
        <w:rPr>
          <w:bCs/>
          <w:szCs w:val="24"/>
        </w:rPr>
        <w:t xml:space="preserve"> </w:t>
      </w:r>
      <w:r w:rsidRPr="00EC4EC4">
        <w:rPr>
          <w:bCs/>
          <w:color w:val="000000"/>
          <w:szCs w:val="24"/>
        </w:rPr>
        <w:t>self</w:t>
      </w:r>
      <w:r w:rsidRPr="00EC4EC4">
        <w:rPr>
          <w:bCs/>
          <w:szCs w:val="24"/>
        </w:rPr>
        <w:t>-</w:t>
      </w:r>
      <w:r w:rsidRPr="00EC4EC4">
        <w:rPr>
          <w:bCs/>
          <w:color w:val="000000"/>
          <w:szCs w:val="24"/>
        </w:rPr>
        <w:t>preservation</w:t>
      </w:r>
      <w:r w:rsidRPr="00EC4EC4">
        <w:rPr>
          <w:bCs/>
          <w:szCs w:val="24"/>
        </w:rPr>
        <w:t xml:space="preserve"> </w:t>
      </w:r>
      <w:r w:rsidRPr="00EC4EC4">
        <w:rPr>
          <w:bCs/>
          <w:color w:val="000000"/>
          <w:szCs w:val="24"/>
        </w:rPr>
        <w:t>and</w:t>
      </w:r>
      <w:r w:rsidRPr="00EC4EC4">
        <w:rPr>
          <w:bCs/>
          <w:szCs w:val="24"/>
        </w:rPr>
        <w:t xml:space="preserve"> </w:t>
      </w:r>
      <w:r w:rsidRPr="00EC4EC4">
        <w:rPr>
          <w:bCs/>
          <w:color w:val="000000"/>
          <w:szCs w:val="24"/>
        </w:rPr>
        <w:t>are</w:t>
      </w:r>
      <w:r w:rsidRPr="00EC4EC4">
        <w:rPr>
          <w:bCs/>
          <w:szCs w:val="24"/>
        </w:rPr>
        <w:t xml:space="preserve"> </w:t>
      </w:r>
      <w:r w:rsidRPr="00EC4EC4">
        <w:rPr>
          <w:bCs/>
          <w:color w:val="000000"/>
          <w:szCs w:val="24"/>
        </w:rPr>
        <w:t>capable</w:t>
      </w:r>
      <w:r w:rsidRPr="00EC4EC4">
        <w:rPr>
          <w:bCs/>
          <w:szCs w:val="24"/>
        </w:rPr>
        <w:t xml:space="preserve"> </w:t>
      </w:r>
      <w:r w:rsidRPr="00EC4EC4">
        <w:rPr>
          <w:bCs/>
          <w:color w:val="000000"/>
          <w:szCs w:val="24"/>
        </w:rPr>
        <w:t>of</w:t>
      </w:r>
      <w:r w:rsidRPr="00EC4EC4">
        <w:rPr>
          <w:bCs/>
          <w:szCs w:val="24"/>
        </w:rPr>
        <w:t xml:space="preserve"> </w:t>
      </w:r>
      <w:r w:rsidRPr="00EC4EC4">
        <w:rPr>
          <w:bCs/>
          <w:color w:val="000000"/>
          <w:szCs w:val="24"/>
        </w:rPr>
        <w:t>responding</w:t>
      </w:r>
      <w:r w:rsidRPr="00EC4EC4">
        <w:rPr>
          <w:bCs/>
          <w:szCs w:val="24"/>
        </w:rPr>
        <w:t xml:space="preserve"> </w:t>
      </w:r>
      <w:r w:rsidRPr="00EC4EC4">
        <w:rPr>
          <w:bCs/>
          <w:color w:val="000000"/>
          <w:szCs w:val="24"/>
        </w:rPr>
        <w:t>to</w:t>
      </w:r>
      <w:r w:rsidRPr="00EC4EC4">
        <w:rPr>
          <w:bCs/>
          <w:szCs w:val="24"/>
        </w:rPr>
        <w:t xml:space="preserve"> </w:t>
      </w:r>
      <w:r w:rsidRPr="00EC4EC4">
        <w:rPr>
          <w:bCs/>
          <w:color w:val="000000"/>
          <w:szCs w:val="24"/>
        </w:rPr>
        <w:t>an</w:t>
      </w:r>
      <w:r w:rsidRPr="00EC4EC4">
        <w:rPr>
          <w:bCs/>
          <w:szCs w:val="24"/>
        </w:rPr>
        <w:t xml:space="preserve"> </w:t>
      </w:r>
      <w:r w:rsidRPr="00EC4EC4">
        <w:rPr>
          <w:bCs/>
          <w:color w:val="000000"/>
          <w:szCs w:val="24"/>
        </w:rPr>
        <w:t>emergency</w:t>
      </w:r>
      <w:r w:rsidRPr="00EC4EC4">
        <w:rPr>
          <w:bCs/>
          <w:szCs w:val="24"/>
        </w:rPr>
        <w:t xml:space="preserve"> </w:t>
      </w:r>
      <w:r w:rsidRPr="00EC4EC4">
        <w:rPr>
          <w:bCs/>
          <w:color w:val="000000"/>
          <w:szCs w:val="24"/>
        </w:rPr>
        <w:t>situation</w:t>
      </w:r>
      <w:r w:rsidRPr="00EC4EC4">
        <w:rPr>
          <w:bCs/>
          <w:szCs w:val="24"/>
        </w:rPr>
        <w:t xml:space="preserve"> </w:t>
      </w:r>
      <w:r w:rsidRPr="00EC4EC4">
        <w:rPr>
          <w:bCs/>
          <w:color w:val="000000"/>
          <w:szCs w:val="24"/>
        </w:rPr>
        <w:t>without</w:t>
      </w:r>
      <w:r w:rsidRPr="00EC4EC4">
        <w:rPr>
          <w:bCs/>
          <w:szCs w:val="24"/>
        </w:rPr>
        <w:t xml:space="preserve"> </w:t>
      </w:r>
      <w:r w:rsidRPr="00EC4EC4">
        <w:rPr>
          <w:bCs/>
          <w:color w:val="000000"/>
          <w:szCs w:val="24"/>
        </w:rPr>
        <w:t>physical</w:t>
      </w:r>
      <w:r w:rsidRPr="00EC4EC4">
        <w:rPr>
          <w:bCs/>
          <w:szCs w:val="24"/>
        </w:rPr>
        <w:t xml:space="preserve"> </w:t>
      </w:r>
      <w:r w:rsidRPr="00EC4EC4">
        <w:rPr>
          <w:bCs/>
          <w:color w:val="000000"/>
          <w:szCs w:val="24"/>
        </w:rPr>
        <w:t>assistance</w:t>
      </w:r>
      <w:r w:rsidRPr="00EC4EC4">
        <w:rPr>
          <w:bCs/>
          <w:szCs w:val="24"/>
        </w:rPr>
        <w:t xml:space="preserve"> </w:t>
      </w:r>
      <w:r w:rsidRPr="00EC4EC4">
        <w:rPr>
          <w:bCs/>
          <w:color w:val="000000"/>
          <w:szCs w:val="24"/>
        </w:rPr>
        <w:t>from</w:t>
      </w:r>
      <w:r w:rsidRPr="00EC4EC4">
        <w:rPr>
          <w:bCs/>
          <w:szCs w:val="24"/>
        </w:rPr>
        <w:t xml:space="preserve"> </w:t>
      </w:r>
      <w:r w:rsidRPr="00EC4EC4">
        <w:rPr>
          <w:bCs/>
          <w:color w:val="000000"/>
          <w:szCs w:val="24"/>
        </w:rPr>
        <w:t>staff</w:t>
      </w:r>
      <w:r w:rsidRPr="00EC4EC4">
        <w:rPr>
          <w:bCs/>
          <w:szCs w:val="24"/>
        </w:rPr>
        <w:t xml:space="preserve">. </w:t>
      </w:r>
      <w:r w:rsidRPr="00EC4EC4">
        <w:rPr>
          <w:bCs/>
          <w:color w:val="000000"/>
          <w:szCs w:val="24"/>
        </w:rPr>
        <w:t>This</w:t>
      </w:r>
      <w:r w:rsidRPr="00EC4EC4">
        <w:rPr>
          <w:bCs/>
          <w:szCs w:val="24"/>
        </w:rPr>
        <w:t xml:space="preserve"> </w:t>
      </w:r>
      <w:r w:rsidRPr="00EC4EC4">
        <w:rPr>
          <w:bCs/>
          <w:color w:val="000000"/>
          <w:szCs w:val="24"/>
        </w:rPr>
        <w:t>classification</w:t>
      </w:r>
      <w:r w:rsidRPr="00EC4EC4">
        <w:rPr>
          <w:bCs/>
          <w:szCs w:val="24"/>
        </w:rPr>
        <w:t xml:space="preserve"> </w:t>
      </w:r>
      <w:r w:rsidRPr="00EC4EC4">
        <w:rPr>
          <w:bCs/>
          <w:color w:val="000000"/>
          <w:szCs w:val="24"/>
        </w:rPr>
        <w:t>shall</w:t>
      </w:r>
      <w:r w:rsidRPr="00EC4EC4">
        <w:rPr>
          <w:bCs/>
          <w:szCs w:val="24"/>
        </w:rPr>
        <w:t xml:space="preserve"> </w:t>
      </w:r>
      <w:r w:rsidRPr="00EC4EC4">
        <w:rPr>
          <w:bCs/>
          <w:color w:val="000000"/>
          <w:szCs w:val="24"/>
        </w:rPr>
        <w:t>include</w:t>
      </w:r>
      <w:r w:rsidRPr="00EC4EC4">
        <w:rPr>
          <w:bCs/>
          <w:szCs w:val="24"/>
        </w:rPr>
        <w:t xml:space="preserve">, </w:t>
      </w:r>
      <w:r w:rsidRPr="00EC4EC4">
        <w:rPr>
          <w:bCs/>
          <w:color w:val="000000"/>
          <w:szCs w:val="24"/>
        </w:rPr>
        <w:t>but</w:t>
      </w:r>
      <w:r w:rsidRPr="00EC4EC4">
        <w:rPr>
          <w:bCs/>
          <w:szCs w:val="24"/>
        </w:rPr>
        <w:t xml:space="preserve"> </w:t>
      </w:r>
      <w:r w:rsidRPr="00EC4EC4">
        <w:rPr>
          <w:bCs/>
          <w:color w:val="000000"/>
          <w:szCs w:val="24"/>
        </w:rPr>
        <w:t>not</w:t>
      </w:r>
      <w:r w:rsidRPr="00EC4EC4">
        <w:rPr>
          <w:bCs/>
          <w:szCs w:val="24"/>
        </w:rPr>
        <w:t xml:space="preserve"> </w:t>
      </w:r>
      <w:r w:rsidRPr="00EC4EC4">
        <w:rPr>
          <w:bCs/>
          <w:szCs w:val="24"/>
          <w:u w:val="single"/>
        </w:rPr>
        <w:t>be</w:t>
      </w:r>
      <w:r w:rsidRPr="007A4BCB">
        <w:rPr>
          <w:bCs/>
          <w:szCs w:val="24"/>
        </w:rPr>
        <w:t xml:space="preserve"> </w:t>
      </w:r>
      <w:r w:rsidRPr="00EC4EC4">
        <w:rPr>
          <w:bCs/>
          <w:color w:val="000000"/>
          <w:szCs w:val="24"/>
        </w:rPr>
        <w:t>limited</w:t>
      </w:r>
      <w:r w:rsidRPr="00EC4EC4">
        <w:rPr>
          <w:bCs/>
          <w:szCs w:val="24"/>
        </w:rPr>
        <w:t xml:space="preserve"> </w:t>
      </w:r>
      <w:r w:rsidRPr="00EC4EC4">
        <w:rPr>
          <w:bCs/>
          <w:color w:val="000000"/>
          <w:szCs w:val="24"/>
        </w:rPr>
        <w:t>to</w:t>
      </w:r>
      <w:r w:rsidRPr="00EC4EC4">
        <w:rPr>
          <w:bCs/>
          <w:szCs w:val="24"/>
        </w:rPr>
        <w:t xml:space="preserve">, </w:t>
      </w:r>
      <w:r w:rsidRPr="00EC4EC4">
        <w:rPr>
          <w:bCs/>
          <w:color w:val="000000"/>
          <w:szCs w:val="24"/>
        </w:rPr>
        <w:t>the</w:t>
      </w:r>
      <w:r w:rsidRPr="00EC4EC4">
        <w:rPr>
          <w:bCs/>
          <w:szCs w:val="24"/>
        </w:rPr>
        <w:t xml:space="preserve"> </w:t>
      </w:r>
      <w:r w:rsidRPr="00EC4EC4">
        <w:rPr>
          <w:bCs/>
          <w:color w:val="000000"/>
          <w:szCs w:val="24"/>
        </w:rPr>
        <w:t>following</w:t>
      </w:r>
      <w:r w:rsidRPr="00EC4EC4">
        <w:rPr>
          <w:bCs/>
          <w:szCs w:val="24"/>
        </w:rPr>
        <w:t xml:space="preserve">: </w:t>
      </w:r>
      <w:r w:rsidRPr="00EC4EC4">
        <w:rPr>
          <w:bCs/>
          <w:color w:val="000000"/>
          <w:szCs w:val="24"/>
        </w:rPr>
        <w:t>residential</w:t>
      </w:r>
      <w:r w:rsidRPr="00EC4EC4">
        <w:rPr>
          <w:bCs/>
          <w:szCs w:val="24"/>
        </w:rPr>
        <w:t xml:space="preserve"> </w:t>
      </w:r>
      <w:r w:rsidRPr="00EC4EC4">
        <w:rPr>
          <w:bCs/>
          <w:color w:val="000000"/>
          <w:szCs w:val="24"/>
        </w:rPr>
        <w:t>board</w:t>
      </w:r>
      <w:r w:rsidRPr="00EC4EC4">
        <w:rPr>
          <w:bCs/>
          <w:szCs w:val="24"/>
        </w:rPr>
        <w:t xml:space="preserve"> </w:t>
      </w:r>
      <w:r w:rsidRPr="00EC4EC4">
        <w:rPr>
          <w:bCs/>
          <w:color w:val="000000"/>
          <w:szCs w:val="24"/>
        </w:rPr>
        <w:t>and</w:t>
      </w:r>
      <w:r w:rsidRPr="00EC4EC4">
        <w:rPr>
          <w:bCs/>
          <w:szCs w:val="24"/>
        </w:rPr>
        <w:t xml:space="preserve"> </w:t>
      </w:r>
      <w:r w:rsidRPr="00EC4EC4">
        <w:rPr>
          <w:bCs/>
          <w:color w:val="000000"/>
          <w:szCs w:val="24"/>
        </w:rPr>
        <w:t>care</w:t>
      </w:r>
      <w:r w:rsidRPr="00EC4EC4">
        <w:rPr>
          <w:bCs/>
          <w:szCs w:val="24"/>
        </w:rPr>
        <w:t xml:space="preserve"> </w:t>
      </w:r>
      <w:r w:rsidRPr="00EC4EC4">
        <w:rPr>
          <w:bCs/>
          <w:color w:val="000000"/>
          <w:szCs w:val="24"/>
        </w:rPr>
        <w:t>facilities</w:t>
      </w:r>
      <w:r w:rsidRPr="00EC4EC4">
        <w:rPr>
          <w:bCs/>
          <w:szCs w:val="24"/>
        </w:rPr>
        <w:t xml:space="preserve">, </w:t>
      </w:r>
      <w:r w:rsidRPr="00EC4EC4">
        <w:rPr>
          <w:bCs/>
          <w:color w:val="000000"/>
          <w:szCs w:val="24"/>
        </w:rPr>
        <w:t>assisted</w:t>
      </w:r>
      <w:r w:rsidRPr="00EC4EC4">
        <w:rPr>
          <w:bCs/>
          <w:szCs w:val="24"/>
        </w:rPr>
        <w:t xml:space="preserve"> </w:t>
      </w:r>
      <w:r w:rsidRPr="00EC4EC4">
        <w:rPr>
          <w:bCs/>
          <w:color w:val="000000"/>
          <w:szCs w:val="24"/>
        </w:rPr>
        <w:t>living</w:t>
      </w:r>
      <w:r w:rsidRPr="00EC4EC4">
        <w:rPr>
          <w:bCs/>
          <w:szCs w:val="24"/>
        </w:rPr>
        <w:t xml:space="preserve"> </w:t>
      </w:r>
      <w:r w:rsidRPr="00EC4EC4">
        <w:rPr>
          <w:bCs/>
          <w:color w:val="000000"/>
          <w:szCs w:val="24"/>
        </w:rPr>
        <w:t>facilities</w:t>
      </w:r>
      <w:r w:rsidRPr="00EC4EC4">
        <w:rPr>
          <w:bCs/>
          <w:szCs w:val="24"/>
        </w:rPr>
        <w:t xml:space="preserve">, </w:t>
      </w:r>
      <w:r w:rsidRPr="00EC4EC4">
        <w:rPr>
          <w:bCs/>
          <w:color w:val="000000"/>
          <w:szCs w:val="24"/>
        </w:rPr>
        <w:t>halfway</w:t>
      </w:r>
      <w:r w:rsidRPr="00EC4EC4">
        <w:rPr>
          <w:bCs/>
          <w:szCs w:val="24"/>
        </w:rPr>
        <w:t xml:space="preserve"> </w:t>
      </w:r>
      <w:r w:rsidRPr="00EC4EC4">
        <w:rPr>
          <w:bCs/>
          <w:color w:val="000000"/>
          <w:szCs w:val="24"/>
        </w:rPr>
        <w:t>houses</w:t>
      </w:r>
      <w:r w:rsidRPr="00EC4EC4">
        <w:rPr>
          <w:bCs/>
          <w:szCs w:val="24"/>
        </w:rPr>
        <w:t xml:space="preserve">, </w:t>
      </w:r>
      <w:r w:rsidRPr="00EC4EC4">
        <w:rPr>
          <w:bCs/>
          <w:color w:val="000000"/>
          <w:szCs w:val="24"/>
        </w:rPr>
        <w:t>congregate</w:t>
      </w:r>
      <w:r w:rsidRPr="00EC4EC4">
        <w:rPr>
          <w:bCs/>
          <w:szCs w:val="24"/>
        </w:rPr>
        <w:t xml:space="preserve"> </w:t>
      </w:r>
      <w:r w:rsidRPr="00EC4EC4">
        <w:rPr>
          <w:bCs/>
          <w:color w:val="000000"/>
          <w:szCs w:val="24"/>
        </w:rPr>
        <w:t>care</w:t>
      </w:r>
      <w:r w:rsidRPr="00EC4EC4">
        <w:rPr>
          <w:bCs/>
          <w:szCs w:val="24"/>
        </w:rPr>
        <w:t xml:space="preserve"> </w:t>
      </w:r>
      <w:r w:rsidRPr="00EC4EC4">
        <w:rPr>
          <w:bCs/>
          <w:color w:val="000000"/>
          <w:szCs w:val="24"/>
        </w:rPr>
        <w:t>facilities</w:t>
      </w:r>
      <w:r w:rsidRPr="00EC4EC4">
        <w:rPr>
          <w:bCs/>
          <w:szCs w:val="24"/>
        </w:rPr>
        <w:t xml:space="preserve">, </w:t>
      </w:r>
      <w:r w:rsidRPr="00EC4EC4">
        <w:rPr>
          <w:bCs/>
          <w:color w:val="000000"/>
          <w:szCs w:val="24"/>
        </w:rPr>
        <w:t>social</w:t>
      </w:r>
      <w:r w:rsidRPr="00EC4EC4">
        <w:rPr>
          <w:bCs/>
          <w:szCs w:val="24"/>
        </w:rPr>
        <w:t xml:space="preserve"> </w:t>
      </w:r>
      <w:r w:rsidRPr="00EC4EC4">
        <w:rPr>
          <w:bCs/>
          <w:color w:val="000000"/>
          <w:szCs w:val="24"/>
        </w:rPr>
        <w:t>rehabilitation</w:t>
      </w:r>
      <w:r w:rsidRPr="00EC4EC4">
        <w:rPr>
          <w:bCs/>
          <w:szCs w:val="24"/>
        </w:rPr>
        <w:t xml:space="preserve"> </w:t>
      </w:r>
      <w:r w:rsidRPr="00EC4EC4">
        <w:rPr>
          <w:bCs/>
          <w:color w:val="000000"/>
          <w:szCs w:val="24"/>
        </w:rPr>
        <w:t>facilities</w:t>
      </w:r>
      <w:r w:rsidRPr="00EC4EC4">
        <w:rPr>
          <w:bCs/>
          <w:szCs w:val="24"/>
        </w:rPr>
        <w:t xml:space="preserve">, </w:t>
      </w:r>
      <w:r w:rsidRPr="00EC4EC4">
        <w:rPr>
          <w:bCs/>
          <w:color w:val="000000"/>
          <w:szCs w:val="24"/>
        </w:rPr>
        <w:t>alcohol</w:t>
      </w:r>
      <w:r w:rsidRPr="00EC4EC4">
        <w:rPr>
          <w:bCs/>
          <w:szCs w:val="24"/>
        </w:rPr>
        <w:t xml:space="preserve"> </w:t>
      </w:r>
      <w:r w:rsidRPr="00EC4EC4">
        <w:rPr>
          <w:bCs/>
          <w:color w:val="000000"/>
          <w:szCs w:val="24"/>
        </w:rPr>
        <w:t>and</w:t>
      </w:r>
      <w:r w:rsidRPr="00EC4EC4">
        <w:rPr>
          <w:bCs/>
          <w:szCs w:val="24"/>
        </w:rPr>
        <w:t xml:space="preserve"> </w:t>
      </w:r>
      <w:r w:rsidRPr="00EC4EC4">
        <w:rPr>
          <w:bCs/>
          <w:color w:val="000000"/>
          <w:szCs w:val="24"/>
        </w:rPr>
        <w:t>drug</w:t>
      </w:r>
      <w:r w:rsidRPr="00EC4EC4">
        <w:rPr>
          <w:bCs/>
          <w:szCs w:val="24"/>
        </w:rPr>
        <w:t xml:space="preserve"> </w:t>
      </w:r>
      <w:r w:rsidRPr="00EC4EC4">
        <w:rPr>
          <w:bCs/>
          <w:color w:val="000000"/>
          <w:szCs w:val="24"/>
        </w:rPr>
        <w:t>abuse</w:t>
      </w:r>
      <w:r w:rsidRPr="00EC4EC4">
        <w:rPr>
          <w:bCs/>
          <w:szCs w:val="24"/>
        </w:rPr>
        <w:t xml:space="preserve"> </w:t>
      </w:r>
      <w:r w:rsidRPr="00EC4EC4">
        <w:rPr>
          <w:bCs/>
          <w:color w:val="000000"/>
          <w:szCs w:val="24"/>
        </w:rPr>
        <w:t>rehabilitation</w:t>
      </w:r>
      <w:r w:rsidRPr="00EC4EC4">
        <w:rPr>
          <w:bCs/>
          <w:szCs w:val="24"/>
        </w:rPr>
        <w:t xml:space="preserve"> </w:t>
      </w:r>
      <w:r w:rsidRPr="00EC4EC4">
        <w:rPr>
          <w:bCs/>
          <w:color w:val="000000"/>
          <w:szCs w:val="24"/>
        </w:rPr>
        <w:t>centers</w:t>
      </w:r>
      <w:r w:rsidRPr="00EC4EC4">
        <w:rPr>
          <w:bCs/>
          <w:szCs w:val="24"/>
        </w:rPr>
        <w:t xml:space="preserve"> </w:t>
      </w:r>
      <w:r w:rsidRPr="00EC4EC4">
        <w:rPr>
          <w:bCs/>
          <w:color w:val="000000"/>
          <w:szCs w:val="24"/>
        </w:rPr>
        <w:t>and</w:t>
      </w:r>
      <w:r w:rsidRPr="00EC4EC4">
        <w:rPr>
          <w:bCs/>
          <w:szCs w:val="24"/>
        </w:rPr>
        <w:t xml:space="preserve"> </w:t>
      </w:r>
      <w:r w:rsidRPr="00EC4EC4">
        <w:rPr>
          <w:bCs/>
          <w:color w:val="000000"/>
          <w:szCs w:val="24"/>
        </w:rPr>
        <w:t>convalescent</w:t>
      </w:r>
      <w:r w:rsidRPr="00EC4EC4">
        <w:rPr>
          <w:bCs/>
          <w:szCs w:val="24"/>
        </w:rPr>
        <w:t xml:space="preserve"> </w:t>
      </w:r>
      <w:r w:rsidRPr="00EC4EC4">
        <w:rPr>
          <w:bCs/>
          <w:color w:val="000000"/>
          <w:szCs w:val="24"/>
        </w:rPr>
        <w:t>facilities</w:t>
      </w:r>
      <w:r w:rsidRPr="00EC4EC4">
        <w:rPr>
          <w:bCs/>
          <w:szCs w:val="24"/>
        </w:rPr>
        <w:t>.</w:t>
      </w:r>
    </w:p>
    <w:p w14:paraId="7146ABCA" w14:textId="06B6F78C" w:rsidR="00140B7C" w:rsidRPr="00EC4EC4" w:rsidRDefault="00140B7C" w:rsidP="00140B7C">
      <w:pPr>
        <w:pStyle w:val="FlushLeft"/>
        <w:ind w:firstLine="720"/>
        <w:rPr>
          <w:sz w:val="23"/>
          <w:szCs w:val="23"/>
        </w:rPr>
      </w:pPr>
      <w:r w:rsidRPr="00EC4EC4">
        <w:rPr>
          <w:sz w:val="23"/>
          <w:szCs w:val="23"/>
        </w:rPr>
        <w:t>§</w:t>
      </w:r>
      <w:r>
        <w:rPr>
          <w:sz w:val="23"/>
          <w:szCs w:val="23"/>
        </w:rPr>
        <w:t>10</w:t>
      </w:r>
      <w:r w:rsidR="008B65AA">
        <w:rPr>
          <w:sz w:val="23"/>
          <w:szCs w:val="23"/>
        </w:rPr>
        <w:t>5</w:t>
      </w:r>
      <w:r w:rsidRPr="00EC4EC4">
        <w:rPr>
          <w:sz w:val="23"/>
          <w:szCs w:val="23"/>
        </w:rPr>
        <w:t xml:space="preserve">. </w:t>
      </w:r>
      <w:r>
        <w:rPr>
          <w:sz w:val="23"/>
          <w:szCs w:val="23"/>
        </w:rPr>
        <w:t xml:space="preserve">The </w:t>
      </w:r>
      <w:r w:rsidRPr="00EC4EC4">
        <w:rPr>
          <w:sz w:val="23"/>
          <w:szCs w:val="23"/>
        </w:rPr>
        <w:t>definition of “</w:t>
      </w:r>
      <w:r w:rsidRPr="00EC4EC4">
        <w:rPr>
          <w:bCs/>
          <w:szCs w:val="24"/>
        </w:rPr>
        <w:t>SITE COEFFICIENTS”</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3F395992" w14:textId="77777777" w:rsidR="00140B7C" w:rsidRPr="00EC4EC4" w:rsidRDefault="00140B7C" w:rsidP="00140B7C">
      <w:pPr>
        <w:pStyle w:val="FlushLeft"/>
        <w:rPr>
          <w:szCs w:val="24"/>
        </w:rPr>
      </w:pPr>
      <w:r w:rsidRPr="00EC4EC4">
        <w:rPr>
          <w:b/>
          <w:szCs w:val="24"/>
        </w:rPr>
        <w:t>SITE COEFFICIENTS.</w:t>
      </w:r>
      <w:r w:rsidRPr="00EC4EC4">
        <w:rPr>
          <w:szCs w:val="24"/>
        </w:rPr>
        <w:t xml:space="preserve"> The values of, </w:t>
      </w:r>
      <w:r w:rsidRPr="00EC4EC4">
        <w:rPr>
          <w:i/>
          <w:iCs/>
          <w:szCs w:val="24"/>
        </w:rPr>
        <w:t>F</w:t>
      </w:r>
      <w:r w:rsidRPr="00EC4EC4">
        <w:rPr>
          <w:i/>
          <w:iCs/>
          <w:szCs w:val="24"/>
          <w:vertAlign w:val="subscript"/>
        </w:rPr>
        <w:t>a</w:t>
      </w:r>
      <w:r w:rsidRPr="00EC4EC4">
        <w:rPr>
          <w:szCs w:val="24"/>
        </w:rPr>
        <w:t xml:space="preserve">, and, </w:t>
      </w:r>
      <w:r w:rsidRPr="00EC4EC4">
        <w:rPr>
          <w:i/>
          <w:iCs/>
          <w:szCs w:val="24"/>
        </w:rPr>
        <w:t>F</w:t>
      </w:r>
      <w:r w:rsidRPr="00EC4EC4">
        <w:rPr>
          <w:i/>
          <w:iCs/>
          <w:szCs w:val="24"/>
          <w:vertAlign w:val="subscript"/>
        </w:rPr>
        <w:t>v</w:t>
      </w:r>
      <w:r w:rsidRPr="00EC4EC4">
        <w:rPr>
          <w:szCs w:val="24"/>
        </w:rPr>
        <w:t>, indicated in [</w:t>
      </w:r>
      <w:r w:rsidRPr="00EC4EC4">
        <w:rPr>
          <w:strike/>
          <w:szCs w:val="24"/>
        </w:rPr>
        <w:t>Tables1613.3.3(1)</w:t>
      </w:r>
      <w:r w:rsidRPr="00EC4EC4">
        <w:rPr>
          <w:szCs w:val="24"/>
        </w:rPr>
        <w:t>]</w:t>
      </w:r>
      <w:r w:rsidRPr="00EC4EC4">
        <w:rPr>
          <w:szCs w:val="24"/>
          <w:u w:val="single"/>
        </w:rPr>
        <w:t>Tables</w:t>
      </w:r>
      <w:r w:rsidRPr="00EC4EC4">
        <w:rPr>
          <w:szCs w:val="24"/>
        </w:rPr>
        <w:t xml:space="preserve"> </w:t>
      </w:r>
      <w:r w:rsidRPr="00EC4EC4">
        <w:rPr>
          <w:szCs w:val="24"/>
          <w:u w:val="single"/>
        </w:rPr>
        <w:t>1613.3.3(1)</w:t>
      </w:r>
      <w:r w:rsidRPr="00EC4EC4">
        <w:rPr>
          <w:szCs w:val="24"/>
        </w:rPr>
        <w:t xml:space="preserve"> and 1613.3.3(2), respectively.</w:t>
      </w:r>
    </w:p>
    <w:p w14:paraId="162E132E" w14:textId="1AFE84F7" w:rsidR="00140B7C" w:rsidRPr="00EC4EC4" w:rsidRDefault="00140B7C" w:rsidP="00140B7C">
      <w:pPr>
        <w:pStyle w:val="FlushLeft"/>
        <w:ind w:firstLine="720"/>
        <w:rPr>
          <w:sz w:val="23"/>
          <w:szCs w:val="23"/>
        </w:rPr>
      </w:pPr>
      <w:r w:rsidRPr="00EC4EC4">
        <w:rPr>
          <w:sz w:val="23"/>
          <w:szCs w:val="23"/>
        </w:rPr>
        <w:t>§</w:t>
      </w:r>
      <w:r>
        <w:rPr>
          <w:sz w:val="23"/>
          <w:szCs w:val="23"/>
        </w:rPr>
        <w:t>10</w:t>
      </w:r>
      <w:r w:rsidR="008B65AA">
        <w:rPr>
          <w:sz w:val="23"/>
          <w:szCs w:val="23"/>
        </w:rPr>
        <w:t>6</w:t>
      </w:r>
      <w:r w:rsidRPr="00EC4EC4">
        <w:rPr>
          <w:sz w:val="23"/>
          <w:szCs w:val="23"/>
        </w:rPr>
        <w:t xml:space="preserve">. </w:t>
      </w:r>
      <w:r>
        <w:rPr>
          <w:sz w:val="23"/>
          <w:szCs w:val="23"/>
        </w:rPr>
        <w:t xml:space="preserve">The </w:t>
      </w:r>
      <w:r w:rsidRPr="00EC4EC4">
        <w:rPr>
          <w:sz w:val="23"/>
          <w:szCs w:val="23"/>
        </w:rPr>
        <w:t>definition of “</w:t>
      </w:r>
      <w:r w:rsidRPr="00EC4EC4">
        <w:rPr>
          <w:bCs/>
          <w:szCs w:val="24"/>
        </w:rPr>
        <w:t>SITE SAFETY TRAINING (SST) SECOND COMPLIANCE DATE”</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00A276B9" w14:textId="77777777" w:rsidR="00140B7C" w:rsidRPr="00EC4EC4" w:rsidRDefault="00140B7C" w:rsidP="00140B7C">
      <w:pPr>
        <w:pStyle w:val="FlushLeft"/>
        <w:rPr>
          <w:bCs/>
          <w:szCs w:val="24"/>
        </w:rPr>
      </w:pPr>
      <w:r w:rsidRPr="00EC4EC4">
        <w:rPr>
          <w:b/>
          <w:szCs w:val="24"/>
        </w:rPr>
        <w:t xml:space="preserve">SITE SAFETY TRAINING (SST) SECOND COMPLIANCE DATE. </w:t>
      </w:r>
      <w:r w:rsidRPr="00EC4EC4">
        <w:rPr>
          <w:bCs/>
          <w:szCs w:val="24"/>
        </w:rPr>
        <w:t xml:space="preserve">December 1, 2019, or, if the department publishes a finding by September 1, 2019, that there is insufficient capacity to provide the training required by Section 3321 </w:t>
      </w:r>
      <w:r w:rsidRPr="00EC4EC4">
        <w:rPr>
          <w:bCs/>
          <w:szCs w:val="24"/>
          <w:u w:val="single"/>
        </w:rPr>
        <w:t>of</w:t>
      </w:r>
      <w:r w:rsidRPr="00EC4EC4">
        <w:rPr>
          <w:bCs/>
          <w:szCs w:val="24"/>
        </w:rPr>
        <w:t xml:space="preserve"> this [</w:t>
      </w:r>
      <w:r w:rsidRPr="00EC4EC4">
        <w:rPr>
          <w:bCs/>
          <w:strike/>
          <w:szCs w:val="24"/>
        </w:rPr>
        <w:t>code</w:t>
      </w:r>
      <w:r w:rsidRPr="00EC4EC4">
        <w:rPr>
          <w:bCs/>
          <w:szCs w:val="24"/>
        </w:rPr>
        <w:t>] code to the workers who would need such training, a later date established by the department, provided that such date is not later than June 1, 2020.</w:t>
      </w:r>
    </w:p>
    <w:p w14:paraId="73B154B8" w14:textId="75F63B20" w:rsidR="00140B7C" w:rsidRPr="00EC4EC4" w:rsidRDefault="00140B7C" w:rsidP="00140B7C">
      <w:pPr>
        <w:pStyle w:val="FlushLeft"/>
        <w:ind w:firstLine="720"/>
        <w:rPr>
          <w:sz w:val="23"/>
          <w:szCs w:val="23"/>
        </w:rPr>
      </w:pPr>
      <w:r w:rsidRPr="00EC4EC4">
        <w:rPr>
          <w:sz w:val="23"/>
          <w:szCs w:val="23"/>
        </w:rPr>
        <w:t>§</w:t>
      </w:r>
      <w:r>
        <w:rPr>
          <w:sz w:val="23"/>
          <w:szCs w:val="23"/>
        </w:rPr>
        <w:t>10</w:t>
      </w:r>
      <w:r w:rsidR="008B65AA">
        <w:rPr>
          <w:sz w:val="23"/>
          <w:szCs w:val="23"/>
        </w:rPr>
        <w:t>7</w:t>
      </w:r>
      <w:r w:rsidRPr="00EC4EC4">
        <w:rPr>
          <w:sz w:val="23"/>
          <w:szCs w:val="23"/>
        </w:rPr>
        <w:t xml:space="preserve">. </w:t>
      </w:r>
      <w:r>
        <w:rPr>
          <w:sz w:val="23"/>
          <w:szCs w:val="23"/>
        </w:rPr>
        <w:t xml:space="preserve">The </w:t>
      </w:r>
      <w:r w:rsidRPr="00EC4EC4">
        <w:rPr>
          <w:sz w:val="23"/>
          <w:szCs w:val="23"/>
        </w:rPr>
        <w:t>definition of “SMOKE DAMPER</w:t>
      </w:r>
      <w:r w:rsidRPr="00EC4EC4">
        <w:rPr>
          <w:bCs/>
          <w:szCs w:val="24"/>
        </w:rPr>
        <w:t>”</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750C1BEA" w14:textId="77777777" w:rsidR="00140B7C" w:rsidRPr="00EC4EC4" w:rsidRDefault="00140B7C" w:rsidP="00140B7C">
      <w:pPr>
        <w:pStyle w:val="FlushLeft"/>
        <w:rPr>
          <w:color w:val="000000"/>
          <w:szCs w:val="24"/>
          <w:u w:val="single"/>
        </w:rPr>
      </w:pPr>
      <w:r w:rsidRPr="00EC4EC4">
        <w:rPr>
          <w:b/>
          <w:color w:val="000000"/>
          <w:szCs w:val="24"/>
        </w:rPr>
        <w:t>SMOKE DAMPER.</w:t>
      </w:r>
      <w:r w:rsidRPr="00EC4EC4">
        <w:rPr>
          <w:color w:val="000000"/>
          <w:szCs w:val="24"/>
        </w:rPr>
        <w:t xml:space="preserve"> See </w:t>
      </w:r>
      <w:r w:rsidRPr="00EC4EC4">
        <w:rPr>
          <w:color w:val="000000"/>
          <w:szCs w:val="24"/>
          <w:u w:val="single"/>
        </w:rPr>
        <w:t>“</w:t>
      </w:r>
      <w:r w:rsidRPr="00EC4EC4">
        <w:rPr>
          <w:color w:val="000000"/>
          <w:szCs w:val="24"/>
        </w:rPr>
        <w:t>Dampers, Types of.</w:t>
      </w:r>
      <w:r w:rsidRPr="00EC4EC4">
        <w:rPr>
          <w:color w:val="000000"/>
          <w:szCs w:val="24"/>
          <w:u w:val="single"/>
        </w:rPr>
        <w:t>”</w:t>
      </w:r>
    </w:p>
    <w:p w14:paraId="6C97DC29" w14:textId="0049F88B" w:rsidR="00140B7C" w:rsidRPr="00EC4EC4" w:rsidRDefault="00140B7C" w:rsidP="00140B7C">
      <w:pPr>
        <w:pStyle w:val="FlushLeft"/>
        <w:ind w:firstLine="720"/>
        <w:rPr>
          <w:sz w:val="23"/>
          <w:szCs w:val="23"/>
        </w:rPr>
      </w:pPr>
      <w:r w:rsidRPr="00EC4EC4">
        <w:rPr>
          <w:sz w:val="23"/>
          <w:szCs w:val="23"/>
        </w:rPr>
        <w:t>§</w:t>
      </w:r>
      <w:r>
        <w:rPr>
          <w:sz w:val="23"/>
          <w:szCs w:val="23"/>
        </w:rPr>
        <w:t>10</w:t>
      </w:r>
      <w:r w:rsidR="008B65AA">
        <w:rPr>
          <w:sz w:val="23"/>
          <w:szCs w:val="23"/>
        </w:rPr>
        <w:t>8</w:t>
      </w:r>
      <w:r w:rsidRPr="00EC4EC4">
        <w:rPr>
          <w:sz w:val="23"/>
          <w:szCs w:val="23"/>
        </w:rPr>
        <w:t xml:space="preserve">. </w:t>
      </w:r>
      <w:r>
        <w:rPr>
          <w:sz w:val="23"/>
          <w:szCs w:val="23"/>
        </w:rPr>
        <w:t xml:space="preserve">The </w:t>
      </w:r>
      <w:r w:rsidRPr="00EC4EC4">
        <w:rPr>
          <w:sz w:val="23"/>
          <w:szCs w:val="23"/>
        </w:rPr>
        <w:t>definition of “SUN CONTROL DEVICE</w:t>
      </w:r>
      <w:r w:rsidRPr="00EC4EC4">
        <w:rPr>
          <w:bCs/>
          <w:szCs w:val="24"/>
        </w:rPr>
        <w:t>”</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18E6105A" w14:textId="77777777" w:rsidR="00140B7C" w:rsidRPr="00EC4EC4" w:rsidRDefault="00140B7C" w:rsidP="00140B7C">
      <w:pPr>
        <w:pStyle w:val="ListParagraph"/>
        <w:kinsoku w:val="0"/>
        <w:ind w:left="0"/>
        <w:contextualSpacing w:val="0"/>
        <w:jc w:val="both"/>
        <w:rPr>
          <w:rFonts w:ascii="Times New Roman" w:hAnsi="Times New Roman" w:cs="Times New Roman"/>
          <w:bCs/>
          <w:spacing w:val="1"/>
        </w:rPr>
      </w:pPr>
      <w:r w:rsidRPr="00EC4EC4">
        <w:rPr>
          <w:rFonts w:ascii="Times New Roman" w:hAnsi="Times New Roman" w:cs="Times New Roman"/>
          <w:b/>
        </w:rPr>
        <w:t>SUN CONTROL DEVICE.</w:t>
      </w:r>
      <w:r w:rsidRPr="00EC4EC4">
        <w:rPr>
          <w:rFonts w:ascii="Times New Roman" w:hAnsi="Times New Roman" w:cs="Times New Roman"/>
          <w:bCs/>
          <w:spacing w:val="-5"/>
          <w:w w:val="105"/>
        </w:rPr>
        <w:t xml:space="preserve"> </w:t>
      </w:r>
      <w:r w:rsidRPr="00EC4EC4">
        <w:rPr>
          <w:rFonts w:ascii="Times New Roman" w:hAnsi="Times New Roman" w:cs="Times New Roman"/>
          <w:bCs/>
          <w:spacing w:val="1"/>
        </w:rPr>
        <w:t xml:space="preserve">An architectural projection that provides protection against solar radiation entering a building through glazed areas and is supported by the building to which it is attached. Sun control device includes, but is not limited to, a fixed, retractable or rotating sun control device. A fixed sun control device has no moving parts and is typically composed of horizontal overhangs or vertical fins. A retractable sun control device extends or retracts, and in the extended </w:t>
      </w:r>
      <w:r w:rsidRPr="00EC4EC4">
        <w:rPr>
          <w:rFonts w:ascii="Times New Roman" w:hAnsi="Times New Roman" w:cs="Times New Roman"/>
          <w:bCs/>
          <w:spacing w:val="1"/>
        </w:rPr>
        <w:lastRenderedPageBreak/>
        <w:t>position casts a shadow on designated portions of the building. A rotating sun control device may be of fixed or adjustable length and pivots at its base. Sun control device shall not include awnings and [</w:t>
      </w:r>
      <w:r w:rsidRPr="00EC4EC4">
        <w:rPr>
          <w:rFonts w:ascii="Times New Roman" w:hAnsi="Times New Roman" w:cs="Times New Roman"/>
          <w:bCs/>
          <w:strike/>
          <w:spacing w:val="1"/>
        </w:rPr>
        <w:t>scanopies</w:t>
      </w:r>
      <w:r w:rsidRPr="00EC4EC4">
        <w:rPr>
          <w:rFonts w:ascii="Times New Roman" w:hAnsi="Times New Roman" w:cs="Times New Roman"/>
          <w:bCs/>
          <w:spacing w:val="1"/>
        </w:rPr>
        <w:t>]</w:t>
      </w:r>
      <w:r w:rsidRPr="00EC4EC4">
        <w:rPr>
          <w:rFonts w:ascii="Times New Roman" w:hAnsi="Times New Roman" w:cs="Times New Roman"/>
          <w:bCs/>
          <w:spacing w:val="1"/>
          <w:u w:val="single"/>
        </w:rPr>
        <w:t>canopies</w:t>
      </w:r>
      <w:r w:rsidRPr="00EC4EC4">
        <w:rPr>
          <w:rFonts w:ascii="Times New Roman" w:hAnsi="Times New Roman" w:cs="Times New Roman"/>
          <w:bCs/>
          <w:spacing w:val="1"/>
        </w:rPr>
        <w:t>.</w:t>
      </w:r>
    </w:p>
    <w:p w14:paraId="4D0DFF1F" w14:textId="77777777" w:rsidR="00140B7C" w:rsidRPr="00EC4EC4" w:rsidRDefault="00140B7C" w:rsidP="00140B7C">
      <w:pPr>
        <w:pStyle w:val="ListParagraph"/>
        <w:kinsoku w:val="0"/>
        <w:ind w:left="0"/>
        <w:contextualSpacing w:val="0"/>
        <w:jc w:val="both"/>
        <w:rPr>
          <w:rFonts w:ascii="Times New Roman" w:hAnsi="Times New Roman" w:cs="Times New Roman"/>
          <w:bCs/>
          <w:spacing w:val="1"/>
        </w:rPr>
      </w:pPr>
    </w:p>
    <w:p w14:paraId="2D012B78" w14:textId="36C80BC2" w:rsidR="00140B7C" w:rsidRPr="00572638" w:rsidRDefault="00140B7C" w:rsidP="00140B7C">
      <w:pPr>
        <w:kinsoku w:val="0"/>
        <w:spacing w:after="0" w:line="240" w:lineRule="auto"/>
        <w:ind w:firstLine="720"/>
        <w:jc w:val="both"/>
        <w:rPr>
          <w:rFonts w:eastAsia="Times New Roman" w:cs="Times New Roman"/>
          <w:b/>
          <w:bCs/>
          <w:szCs w:val="24"/>
        </w:rPr>
      </w:pPr>
      <w:bookmarkStart w:id="23" w:name="_Hlk119338779"/>
      <w:r w:rsidRPr="00572638">
        <w:rPr>
          <w:rFonts w:cs="Times New Roman"/>
          <w:sz w:val="23"/>
          <w:szCs w:val="23"/>
        </w:rPr>
        <w:t>§10</w:t>
      </w:r>
      <w:r w:rsidR="00C16874">
        <w:rPr>
          <w:rFonts w:cs="Times New Roman"/>
          <w:sz w:val="23"/>
          <w:szCs w:val="23"/>
        </w:rPr>
        <w:t>9</w:t>
      </w:r>
      <w:r w:rsidRPr="00572638">
        <w:rPr>
          <w:rFonts w:cs="Times New Roman"/>
          <w:sz w:val="23"/>
          <w:szCs w:val="23"/>
        </w:rPr>
        <w:t>. Section 202 of  the New York city building code, as added by local law number 126 for the year 2021, definition of “</w:t>
      </w:r>
      <w:r w:rsidRPr="00572638">
        <w:rPr>
          <w:bCs/>
          <w:spacing w:val="1"/>
          <w:szCs w:val="24"/>
        </w:rPr>
        <w:t>TRANSIENT”</w:t>
      </w:r>
      <w:r w:rsidRPr="00572638">
        <w:rPr>
          <w:rFonts w:cs="Times New Roman"/>
          <w:sz w:val="23"/>
          <w:szCs w:val="23"/>
        </w:rPr>
        <w:t xml:space="preserve"> is amended to read as follows:</w:t>
      </w:r>
    </w:p>
    <w:p w14:paraId="20ED60F4" w14:textId="77777777" w:rsidR="00140B7C" w:rsidRPr="00572638" w:rsidRDefault="00140B7C" w:rsidP="00140B7C">
      <w:pPr>
        <w:pStyle w:val="FlushLeft"/>
        <w:spacing w:after="0"/>
        <w:rPr>
          <w:b/>
          <w:szCs w:val="24"/>
        </w:rPr>
      </w:pPr>
    </w:p>
    <w:p w14:paraId="4DAD399F" w14:textId="77777777" w:rsidR="00140B7C" w:rsidRPr="00EC4EC4" w:rsidRDefault="00140B7C" w:rsidP="00140B7C">
      <w:pPr>
        <w:pStyle w:val="FlushLeft"/>
        <w:spacing w:after="0"/>
        <w:rPr>
          <w:szCs w:val="24"/>
        </w:rPr>
      </w:pPr>
      <w:r w:rsidRPr="00572638">
        <w:rPr>
          <w:b/>
          <w:szCs w:val="24"/>
        </w:rPr>
        <w:t>TRANSIENT.</w:t>
      </w:r>
      <w:r w:rsidRPr="00572638">
        <w:rPr>
          <w:szCs w:val="24"/>
        </w:rPr>
        <w:t xml:space="preserve"> Occupancy of a dwelling unit or sleeping unit for [</w:t>
      </w:r>
      <w:r w:rsidRPr="00572638">
        <w:rPr>
          <w:strike/>
          <w:szCs w:val="24"/>
        </w:rPr>
        <w:t>not more than 30 days</w:t>
      </w:r>
      <w:r w:rsidRPr="00572638">
        <w:rPr>
          <w:szCs w:val="24"/>
        </w:rPr>
        <w:t>]</w:t>
      </w:r>
      <w:r w:rsidRPr="00572638">
        <w:rPr>
          <w:szCs w:val="24"/>
          <w:u w:val="single"/>
        </w:rPr>
        <w:t xml:space="preserve"> less than 30 days</w:t>
      </w:r>
      <w:r w:rsidRPr="00572638">
        <w:rPr>
          <w:szCs w:val="24"/>
        </w:rPr>
        <w:t>.</w:t>
      </w:r>
    </w:p>
    <w:bookmarkEnd w:id="23"/>
    <w:p w14:paraId="09885F75" w14:textId="153169E6" w:rsidR="00140B7C" w:rsidRPr="00EC4EC4" w:rsidRDefault="00140B7C" w:rsidP="00140B7C">
      <w:pPr>
        <w:pStyle w:val="FlushLeft"/>
        <w:rPr>
          <w:szCs w:val="24"/>
        </w:rPr>
      </w:pPr>
    </w:p>
    <w:p w14:paraId="4FC2C50C" w14:textId="3EEE69D9" w:rsidR="00140B7C" w:rsidRPr="00EC4EC4" w:rsidRDefault="00140B7C" w:rsidP="00140B7C">
      <w:pPr>
        <w:pStyle w:val="FlushLeft"/>
        <w:ind w:firstLine="720"/>
        <w:rPr>
          <w:sz w:val="23"/>
          <w:szCs w:val="23"/>
        </w:rPr>
      </w:pPr>
      <w:r w:rsidRPr="00EC4EC4">
        <w:rPr>
          <w:sz w:val="23"/>
          <w:szCs w:val="23"/>
        </w:rPr>
        <w:t>§</w:t>
      </w:r>
      <w:r>
        <w:rPr>
          <w:sz w:val="23"/>
          <w:szCs w:val="23"/>
        </w:rPr>
        <w:t>1</w:t>
      </w:r>
      <w:r w:rsidR="00C16874">
        <w:rPr>
          <w:sz w:val="23"/>
          <w:szCs w:val="23"/>
        </w:rPr>
        <w:t>10</w:t>
      </w:r>
      <w:r w:rsidRPr="00EC4EC4">
        <w:rPr>
          <w:sz w:val="23"/>
          <w:szCs w:val="23"/>
        </w:rPr>
        <w:t xml:space="preserve">. </w:t>
      </w:r>
      <w:r>
        <w:rPr>
          <w:sz w:val="23"/>
          <w:szCs w:val="23"/>
        </w:rPr>
        <w:t xml:space="preserve">The </w:t>
      </w:r>
      <w:r w:rsidRPr="00EC4EC4">
        <w:rPr>
          <w:sz w:val="23"/>
          <w:szCs w:val="23"/>
        </w:rPr>
        <w:t>definition of “</w:t>
      </w:r>
      <w:r w:rsidRPr="00EC4EC4">
        <w:rPr>
          <w:bCs/>
        </w:rPr>
        <w:t>VAPOR-PERMEABLE MEMBRANE</w:t>
      </w:r>
      <w:r w:rsidRPr="00EC4EC4">
        <w:rPr>
          <w:bCs/>
          <w:szCs w:val="24"/>
        </w:rPr>
        <w:t>”</w:t>
      </w:r>
      <w:r w:rsidRPr="00EC4EC4">
        <w:rPr>
          <w:sz w:val="23"/>
          <w:szCs w:val="23"/>
        </w:rPr>
        <w:t xml:space="preserve"> </w:t>
      </w:r>
      <w:r>
        <w:rPr>
          <w:sz w:val="23"/>
          <w:szCs w:val="23"/>
        </w:rPr>
        <w:t>set forth in s</w:t>
      </w:r>
      <w:r w:rsidRPr="00EC4EC4">
        <w:rPr>
          <w:sz w:val="23"/>
          <w:szCs w:val="23"/>
        </w:rPr>
        <w:t>ection 202 of  the New York city building code, as added by local law number 126 for the year 2021, is amended to read as follows:</w:t>
      </w:r>
    </w:p>
    <w:p w14:paraId="7E0E4A60" w14:textId="77777777" w:rsidR="00140B7C" w:rsidRPr="00EC4EC4" w:rsidRDefault="00140B7C" w:rsidP="00140B7C">
      <w:pPr>
        <w:widowControl w:val="0"/>
        <w:kinsoku w:val="0"/>
        <w:spacing w:before="120" w:after="120" w:line="240" w:lineRule="auto"/>
        <w:jc w:val="both"/>
        <w:rPr>
          <w:rFonts w:cs="Times New Roman"/>
          <w:bCs/>
        </w:rPr>
      </w:pPr>
      <w:r w:rsidRPr="00EC4EC4">
        <w:rPr>
          <w:rFonts w:cs="Times New Roman"/>
          <w:b/>
        </w:rPr>
        <w:t>VAPOR-PERMEABLE MEMBRANE.</w:t>
      </w:r>
      <w:r w:rsidRPr="00EC4EC4">
        <w:rPr>
          <w:rFonts w:cs="Times New Roman"/>
          <w:bCs/>
        </w:rPr>
        <w:t xml:space="preserve"> A material or covering having a permeance rating of 5 perms [</w:t>
      </w:r>
      <w:r w:rsidRPr="00EC4EC4">
        <w:rPr>
          <w:rFonts w:cs="Times New Roman"/>
          <w:bCs/>
          <w:strike/>
        </w:rPr>
        <w:t>(52.9 10-10 kg/Pa.s. m2)</w:t>
      </w:r>
      <w:r w:rsidRPr="00EC4EC4">
        <w:rPr>
          <w:rFonts w:cs="Times New Roman"/>
          <w:bCs/>
        </w:rPr>
        <w:t>](2.9 X 10-10 kg/Pa X s X m2) or greater, when tested in accordance with the [</w:t>
      </w:r>
      <w:r w:rsidRPr="00EC4EC4">
        <w:rPr>
          <w:rFonts w:cs="Times New Roman"/>
          <w:bCs/>
          <w:strike/>
        </w:rPr>
        <w:t>dessicant</w:t>
      </w:r>
      <w:r w:rsidRPr="00EC4EC4">
        <w:rPr>
          <w:rFonts w:cs="Times New Roman"/>
          <w:bCs/>
        </w:rPr>
        <w:t>]desiccant method using Procedure A of ASTM E 96. A vapor-permeable material or covering permits the passage of moisture vapor.</w:t>
      </w:r>
    </w:p>
    <w:p w14:paraId="7AAFCAA0" w14:textId="77777777" w:rsidR="00C16874" w:rsidRDefault="00C16874" w:rsidP="00C16874">
      <w:pPr>
        <w:pStyle w:val="DoubleSpaceParagaph"/>
        <w:spacing w:line="240" w:lineRule="auto"/>
        <w:ind w:firstLine="0"/>
        <w:rPr>
          <w:sz w:val="23"/>
          <w:szCs w:val="23"/>
        </w:rPr>
      </w:pPr>
      <w:bookmarkStart w:id="24" w:name="_Hlk119338981"/>
      <w:bookmarkStart w:id="25" w:name="_Toc389733420"/>
      <w:bookmarkStart w:id="26" w:name="_Toc389741982"/>
    </w:p>
    <w:p w14:paraId="42356F14" w14:textId="0E16AFE5" w:rsidR="00140B7C" w:rsidRPr="00EC4EC4" w:rsidRDefault="00140B7C" w:rsidP="00C16874">
      <w:pPr>
        <w:pStyle w:val="DoubleSpaceParagaph"/>
        <w:spacing w:line="240" w:lineRule="auto"/>
        <w:ind w:firstLine="720"/>
      </w:pPr>
      <w:r w:rsidRPr="00015013">
        <w:rPr>
          <w:sz w:val="23"/>
          <w:szCs w:val="23"/>
        </w:rPr>
        <w:t>§</w:t>
      </w:r>
      <w:r>
        <w:rPr>
          <w:sz w:val="23"/>
          <w:szCs w:val="23"/>
        </w:rPr>
        <w:t>1</w:t>
      </w:r>
      <w:r w:rsidR="00C16874">
        <w:rPr>
          <w:sz w:val="23"/>
          <w:szCs w:val="23"/>
        </w:rPr>
        <w:t>11</w:t>
      </w:r>
      <w:r w:rsidRPr="00015013">
        <w:rPr>
          <w:sz w:val="23"/>
          <w:szCs w:val="23"/>
        </w:rPr>
        <w:t>. Section 310.3</w:t>
      </w:r>
      <w:r w:rsidRPr="00015013">
        <w:t xml:space="preserve"> of the New York city building code, as added by local law number 126 for the year 2021, is amended to read as follows:</w:t>
      </w:r>
    </w:p>
    <w:p w14:paraId="16F31B40" w14:textId="77777777" w:rsidR="00140B7C" w:rsidRPr="00EC4EC4" w:rsidRDefault="00140B7C" w:rsidP="00140B7C">
      <w:pPr>
        <w:pStyle w:val="FlushLeft"/>
        <w:spacing w:after="0"/>
        <w:rPr>
          <w:b/>
          <w:bCs/>
          <w:szCs w:val="24"/>
        </w:rPr>
      </w:pPr>
    </w:p>
    <w:p w14:paraId="07691695" w14:textId="77777777" w:rsidR="00140B7C" w:rsidRPr="00EC4EC4" w:rsidRDefault="00140B7C" w:rsidP="00140B7C">
      <w:pPr>
        <w:pStyle w:val="FlushLeft"/>
        <w:spacing w:after="0"/>
        <w:rPr>
          <w:bCs/>
          <w:szCs w:val="24"/>
        </w:rPr>
      </w:pPr>
      <w:r w:rsidRPr="00EC4EC4">
        <w:rPr>
          <w:b/>
          <w:bCs/>
          <w:szCs w:val="24"/>
        </w:rPr>
        <w:t xml:space="preserve">310.3 Residential Group R-1. </w:t>
      </w:r>
      <w:r w:rsidRPr="00EC4EC4">
        <w:rPr>
          <w:bCs/>
          <w:szCs w:val="24"/>
        </w:rPr>
        <w:t>Residential Group R-1 occupancies shall include:</w:t>
      </w:r>
    </w:p>
    <w:p w14:paraId="65940BAC"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Residential buildings or spaces occupied, as a rule, transiently, for a period less than [</w:t>
      </w:r>
      <w:r w:rsidRPr="00EC4EC4">
        <w:rPr>
          <w:rFonts w:eastAsia="Times New Roman" w:cs="Times New Roman"/>
          <w:strike/>
          <w:spacing w:val="1"/>
          <w:szCs w:val="24"/>
        </w:rPr>
        <w:t>one month</w:t>
      </w:r>
      <w:r w:rsidRPr="00EC4EC4">
        <w:rPr>
          <w:rFonts w:eastAsia="Times New Roman" w:cs="Times New Roman"/>
          <w:spacing w:val="1"/>
          <w:szCs w:val="24"/>
        </w:rPr>
        <w:t>]</w:t>
      </w:r>
      <w:r w:rsidRPr="00EC4EC4">
        <w:rPr>
          <w:rFonts w:eastAsia="Times New Roman" w:cs="Times New Roman"/>
          <w:spacing w:val="1"/>
          <w:szCs w:val="24"/>
          <w:u w:val="single"/>
        </w:rPr>
        <w:t>30 days</w:t>
      </w:r>
      <w:r w:rsidRPr="00EC4EC4">
        <w:rPr>
          <w:rFonts w:eastAsia="Times New Roman" w:cs="Times New Roman"/>
          <w:spacing w:val="1"/>
          <w:szCs w:val="24"/>
        </w:rPr>
        <w:t>, as the more or less temporary abode of individuals or fami</w:t>
      </w:r>
      <w:r w:rsidRPr="00EC4EC4">
        <w:rPr>
          <w:rFonts w:eastAsia="Times New Roman" w:cs="Times New Roman"/>
          <w:spacing w:val="1"/>
          <w:szCs w:val="24"/>
        </w:rPr>
        <w:softHyphen/>
        <w:t>lies who are lodged with or without meals, including, but not limited to, the following:</w:t>
      </w:r>
    </w:p>
    <w:p w14:paraId="7B90B280"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 xml:space="preserve">Class B multiple dwellings as defined in Section 27-2004 of the </w:t>
      </w:r>
      <w:r w:rsidRPr="00EC4EC4">
        <w:rPr>
          <w:rFonts w:eastAsia="Times New Roman" w:cs="Times New Roman"/>
          <w:i/>
          <w:spacing w:val="1"/>
          <w:szCs w:val="24"/>
        </w:rPr>
        <w:t>New York City Housing Maintenance Code</w:t>
      </w:r>
      <w:r w:rsidRPr="00EC4EC4">
        <w:rPr>
          <w:rFonts w:eastAsia="Times New Roman" w:cs="Times New Roman"/>
          <w:spacing w:val="1"/>
          <w:szCs w:val="24"/>
        </w:rPr>
        <w:t xml:space="preserve"> and Section 4 of the </w:t>
      </w:r>
      <w:r w:rsidRPr="00EC4EC4">
        <w:rPr>
          <w:rFonts w:eastAsia="Times New Roman" w:cs="Times New Roman"/>
          <w:i/>
          <w:spacing w:val="1"/>
          <w:szCs w:val="24"/>
        </w:rPr>
        <w:t>New York State Multiple Dwelling Law</w:t>
      </w:r>
      <w:r w:rsidRPr="00EC4EC4">
        <w:rPr>
          <w:rFonts w:eastAsia="Times New Roman" w:cs="Times New Roman"/>
          <w:spacing w:val="1"/>
          <w:szCs w:val="24"/>
        </w:rPr>
        <w:t>, where not classified in Group I-1.</w:t>
      </w:r>
    </w:p>
    <w:p w14:paraId="791CE3B7" w14:textId="77777777" w:rsidR="00140B7C" w:rsidRPr="00EC4EC4" w:rsidRDefault="00140B7C" w:rsidP="00140B7C">
      <w:pPr>
        <w:autoSpaceDE w:val="0"/>
        <w:autoSpaceDN w:val="0"/>
        <w:adjustRightInd w:val="0"/>
        <w:spacing w:after="240" w:line="240" w:lineRule="auto"/>
        <w:ind w:left="900" w:hanging="180"/>
        <w:jc w:val="both"/>
        <w:rPr>
          <w:rFonts w:eastAsia="Times New Roman" w:cs="Times New Roman"/>
          <w:spacing w:val="1"/>
          <w:szCs w:val="24"/>
        </w:rPr>
      </w:pPr>
      <w:r w:rsidRPr="00EC4EC4">
        <w:rPr>
          <w:rFonts w:eastAsia="Times New Roman" w:cs="Times New Roman"/>
          <w:spacing w:val="1"/>
          <w:szCs w:val="24"/>
        </w:rPr>
        <w:t>Club houses</w:t>
      </w:r>
    </w:p>
    <w:p w14:paraId="6458D033" w14:textId="77777777" w:rsidR="00140B7C" w:rsidRPr="00EC4EC4" w:rsidRDefault="00140B7C" w:rsidP="00140B7C">
      <w:pPr>
        <w:autoSpaceDE w:val="0"/>
        <w:autoSpaceDN w:val="0"/>
        <w:adjustRightInd w:val="0"/>
        <w:spacing w:after="240" w:line="240" w:lineRule="auto"/>
        <w:ind w:left="900" w:hanging="180"/>
        <w:jc w:val="both"/>
        <w:rPr>
          <w:rFonts w:eastAsia="Times New Roman" w:cs="Times New Roman"/>
          <w:spacing w:val="1"/>
          <w:szCs w:val="24"/>
        </w:rPr>
      </w:pPr>
      <w:r w:rsidRPr="00EC4EC4">
        <w:rPr>
          <w:rFonts w:eastAsia="Times New Roman" w:cs="Times New Roman"/>
          <w:spacing w:val="1"/>
          <w:szCs w:val="24"/>
        </w:rPr>
        <w:t>Hotels (transient)</w:t>
      </w:r>
    </w:p>
    <w:p w14:paraId="3E3823F2" w14:textId="77777777" w:rsidR="00140B7C" w:rsidRPr="00EC4EC4" w:rsidRDefault="00140B7C" w:rsidP="00140B7C">
      <w:pPr>
        <w:autoSpaceDE w:val="0"/>
        <w:autoSpaceDN w:val="0"/>
        <w:adjustRightInd w:val="0"/>
        <w:spacing w:after="240" w:line="240" w:lineRule="auto"/>
        <w:ind w:left="900" w:hanging="180"/>
        <w:jc w:val="both"/>
        <w:rPr>
          <w:rFonts w:eastAsia="Times New Roman" w:cs="Times New Roman"/>
          <w:spacing w:val="1"/>
          <w:szCs w:val="24"/>
        </w:rPr>
      </w:pPr>
      <w:r w:rsidRPr="00EC4EC4">
        <w:rPr>
          <w:rFonts w:eastAsia="Times New Roman" w:cs="Times New Roman"/>
          <w:spacing w:val="1"/>
          <w:szCs w:val="24"/>
        </w:rPr>
        <w:t>Motels (transient)</w:t>
      </w:r>
    </w:p>
    <w:p w14:paraId="0AC7D894" w14:textId="77777777" w:rsidR="00140B7C" w:rsidRPr="00EC4EC4" w:rsidRDefault="00140B7C" w:rsidP="00140B7C">
      <w:pPr>
        <w:autoSpaceDE w:val="0"/>
        <w:autoSpaceDN w:val="0"/>
        <w:adjustRightInd w:val="0"/>
        <w:spacing w:after="240" w:line="240" w:lineRule="auto"/>
        <w:ind w:left="900" w:hanging="180"/>
        <w:jc w:val="both"/>
        <w:rPr>
          <w:rFonts w:eastAsia="Times New Roman" w:cs="Times New Roman"/>
          <w:spacing w:val="1"/>
          <w:szCs w:val="24"/>
        </w:rPr>
      </w:pPr>
      <w:r w:rsidRPr="00EC4EC4">
        <w:rPr>
          <w:rFonts w:eastAsia="Times New Roman" w:cs="Times New Roman"/>
          <w:spacing w:val="1"/>
          <w:szCs w:val="24"/>
        </w:rPr>
        <w:t>Rooming houses (boarding houses—transient)</w:t>
      </w:r>
    </w:p>
    <w:p w14:paraId="2FCC5B31" w14:textId="77777777" w:rsidR="00140B7C" w:rsidRPr="00EC4EC4" w:rsidRDefault="00140B7C" w:rsidP="00140B7C">
      <w:pPr>
        <w:autoSpaceDE w:val="0"/>
        <w:autoSpaceDN w:val="0"/>
        <w:adjustRightInd w:val="0"/>
        <w:spacing w:after="240" w:line="240" w:lineRule="auto"/>
        <w:ind w:left="900" w:hanging="180"/>
        <w:jc w:val="both"/>
        <w:rPr>
          <w:rFonts w:eastAsia="Times New Roman" w:cs="Times New Roman"/>
          <w:spacing w:val="1"/>
          <w:szCs w:val="24"/>
        </w:rPr>
      </w:pPr>
      <w:r w:rsidRPr="00EC4EC4">
        <w:rPr>
          <w:rFonts w:eastAsia="Times New Roman" w:cs="Times New Roman"/>
          <w:spacing w:val="1"/>
          <w:szCs w:val="24"/>
        </w:rPr>
        <w:t>Settlement houses</w:t>
      </w:r>
    </w:p>
    <w:p w14:paraId="4DD32DD5" w14:textId="77777777" w:rsidR="00140B7C" w:rsidRPr="00EC4EC4" w:rsidRDefault="00140B7C" w:rsidP="00140B7C">
      <w:pPr>
        <w:autoSpaceDE w:val="0"/>
        <w:autoSpaceDN w:val="0"/>
        <w:adjustRightInd w:val="0"/>
        <w:spacing w:after="240" w:line="240" w:lineRule="auto"/>
        <w:ind w:left="900" w:hanging="180"/>
        <w:jc w:val="both"/>
        <w:rPr>
          <w:rFonts w:eastAsia="Times New Roman" w:cs="Times New Roman"/>
          <w:spacing w:val="1"/>
          <w:szCs w:val="24"/>
        </w:rPr>
      </w:pPr>
      <w:r w:rsidRPr="00EC4EC4">
        <w:rPr>
          <w:rFonts w:eastAsia="Times New Roman" w:cs="Times New Roman"/>
          <w:spacing w:val="1"/>
          <w:szCs w:val="24"/>
        </w:rPr>
        <w:t>Vacation timeshares</w:t>
      </w:r>
    </w:p>
    <w:p w14:paraId="399225B6"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College or school student dormitories, except for student apartments classified as an R-2 occupancy</w:t>
      </w:r>
    </w:p>
    <w:p w14:paraId="36BD8F15"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lastRenderedPageBreak/>
        <w:t>3.</w:t>
      </w:r>
      <w:r w:rsidRPr="00EC4EC4">
        <w:rPr>
          <w:rFonts w:eastAsia="Times New Roman" w:cs="Times New Roman"/>
          <w:spacing w:val="1"/>
          <w:szCs w:val="24"/>
        </w:rPr>
        <w:tab/>
        <w:t>Congregate living units owned and operated by a government agency or not-for-profit organization, where the number of occupants in the dwelling unit exceeds the limitations of a family as defined, including, but not limited to, the following:</w:t>
      </w:r>
    </w:p>
    <w:p w14:paraId="2126FBE9"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Adult homes or enriched housing with 16 or fewer occupants requiring supervised care within the same building on a 24-hour basis</w:t>
      </w:r>
    </w:p>
    <w:p w14:paraId="6F9AE6F8" w14:textId="77777777" w:rsidR="00140B7C" w:rsidRPr="00EC4EC4" w:rsidRDefault="00140B7C" w:rsidP="00140B7C">
      <w:pPr>
        <w:autoSpaceDE w:val="0"/>
        <w:autoSpaceDN w:val="0"/>
        <w:adjustRightInd w:val="0"/>
        <w:spacing w:after="240" w:line="240" w:lineRule="auto"/>
        <w:ind w:left="1080" w:hanging="360"/>
        <w:rPr>
          <w:rFonts w:eastAsia="Times New Roman" w:cs="Times New Roman"/>
          <w:spacing w:val="1"/>
          <w:szCs w:val="24"/>
        </w:rPr>
      </w:pPr>
      <w:r w:rsidRPr="00EC4EC4">
        <w:rPr>
          <w:rFonts w:eastAsia="Times New Roman" w:cs="Times New Roman"/>
          <w:spacing w:val="1"/>
          <w:szCs w:val="24"/>
        </w:rPr>
        <w:t>Fraternity and sorority houses</w:t>
      </w:r>
    </w:p>
    <w:p w14:paraId="249BA351"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spacing w:val="1"/>
          <w:szCs w:val="24"/>
        </w:rPr>
      </w:pPr>
      <w:r w:rsidRPr="00EC4EC4">
        <w:rPr>
          <w:rFonts w:eastAsia="Times New Roman" w:cs="Times New Roman"/>
          <w:spacing w:val="1"/>
          <w:szCs w:val="24"/>
        </w:rPr>
        <w:t>Homeless shelters</w:t>
      </w:r>
      <w:bookmarkEnd w:id="24"/>
    </w:p>
    <w:p w14:paraId="01D53192" w14:textId="3325A641" w:rsidR="00140B7C" w:rsidRPr="00EC4EC4" w:rsidRDefault="00140B7C" w:rsidP="00140B7C">
      <w:pPr>
        <w:pStyle w:val="DoubleSpaceParagaph"/>
        <w:spacing w:line="240" w:lineRule="auto"/>
        <w:ind w:firstLine="720"/>
      </w:pPr>
      <w:r w:rsidRPr="00EC4EC4">
        <w:rPr>
          <w:sz w:val="23"/>
          <w:szCs w:val="23"/>
        </w:rPr>
        <w:t>§</w:t>
      </w:r>
      <w:r>
        <w:rPr>
          <w:sz w:val="23"/>
          <w:szCs w:val="23"/>
        </w:rPr>
        <w:t>1</w:t>
      </w:r>
      <w:r w:rsidR="00C16874">
        <w:rPr>
          <w:sz w:val="23"/>
          <w:szCs w:val="23"/>
        </w:rPr>
        <w:t>12</w:t>
      </w:r>
      <w:r w:rsidRPr="00EC4EC4">
        <w:rPr>
          <w:sz w:val="23"/>
          <w:szCs w:val="23"/>
        </w:rPr>
        <w:t>. Section 310.4</w:t>
      </w:r>
      <w:r w:rsidRPr="00EC4EC4">
        <w:t xml:space="preserve"> of the New York city building code, as added by local law number 126 for the year 2021, is amended to read as follows:</w:t>
      </w:r>
    </w:p>
    <w:bookmarkEnd w:id="25"/>
    <w:bookmarkEnd w:id="26"/>
    <w:p w14:paraId="6ADB6B07" w14:textId="77777777" w:rsidR="00140B7C" w:rsidRPr="00EC4EC4" w:rsidRDefault="00140B7C" w:rsidP="00140B7C">
      <w:pPr>
        <w:pStyle w:val="FlushLeft"/>
        <w:spacing w:after="0"/>
        <w:rPr>
          <w:b/>
          <w:bCs/>
          <w:szCs w:val="24"/>
        </w:rPr>
      </w:pPr>
    </w:p>
    <w:p w14:paraId="7EA5E633" w14:textId="77777777" w:rsidR="00140B7C" w:rsidRPr="00EC4EC4" w:rsidRDefault="00140B7C" w:rsidP="00140B7C">
      <w:pPr>
        <w:pStyle w:val="FlushLeft"/>
        <w:rPr>
          <w:szCs w:val="24"/>
        </w:rPr>
      </w:pPr>
      <w:r w:rsidRPr="00EC4EC4">
        <w:rPr>
          <w:b/>
          <w:bCs/>
          <w:szCs w:val="24"/>
        </w:rPr>
        <w:t xml:space="preserve">310.4 Residential Group R-2. </w:t>
      </w:r>
      <w:r w:rsidRPr="00EC4EC4">
        <w:rPr>
          <w:bCs/>
          <w:szCs w:val="24"/>
        </w:rPr>
        <w:t xml:space="preserve">Residential Group R-2 occupancies </w:t>
      </w:r>
      <w:r w:rsidRPr="00EC4EC4">
        <w:rPr>
          <w:szCs w:val="24"/>
        </w:rPr>
        <w:t>shall include buildings or portions thereof containing sleeping units or more than two dwelling units that are occupied for permanent [</w:t>
      </w:r>
      <w:r w:rsidRPr="00EC4EC4">
        <w:rPr>
          <w:strike/>
          <w:szCs w:val="24"/>
        </w:rPr>
        <w:t>resident</w:t>
      </w:r>
      <w:r w:rsidRPr="00EC4EC4">
        <w:rPr>
          <w:szCs w:val="24"/>
        </w:rPr>
        <w:t>]</w:t>
      </w:r>
      <w:r w:rsidRPr="00EC4EC4">
        <w:rPr>
          <w:szCs w:val="24"/>
          <w:u w:val="single"/>
        </w:rPr>
        <w:t>residence</w:t>
      </w:r>
      <w:r w:rsidRPr="00EC4EC4">
        <w:rPr>
          <w:szCs w:val="24"/>
        </w:rPr>
        <w:t xml:space="preserve"> purposes as defined in subparagraph (a) of paragraph 8 of subdivision a of Section 27-2004 of the </w:t>
      </w:r>
      <w:r w:rsidRPr="00EC4EC4">
        <w:rPr>
          <w:i/>
          <w:szCs w:val="24"/>
        </w:rPr>
        <w:t>New York City Housing Maintenance Code</w:t>
      </w:r>
      <w:r w:rsidRPr="00EC4EC4">
        <w:rPr>
          <w:szCs w:val="24"/>
        </w:rPr>
        <w:t xml:space="preserve">. Such occupancy shall be subject to the </w:t>
      </w:r>
      <w:r w:rsidRPr="00EC4EC4">
        <w:rPr>
          <w:i/>
          <w:szCs w:val="24"/>
        </w:rPr>
        <w:t>New York State Multiple Dwelling Law</w:t>
      </w:r>
      <w:r w:rsidRPr="00EC4EC4">
        <w:rPr>
          <w:szCs w:val="24"/>
        </w:rPr>
        <w:t>. This group shall include, but not be limited to, the following:</w:t>
      </w:r>
    </w:p>
    <w:p w14:paraId="3D7D30A2"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Adult homes or enriched housing with 16 or fewer occupants requiring supervised care on a 24-hour basis in the same building, provided that the number of occu</w:t>
      </w:r>
      <w:r w:rsidRPr="00EC4EC4">
        <w:rPr>
          <w:rFonts w:eastAsia="Times New Roman" w:cs="Times New Roman"/>
          <w:spacing w:val="1"/>
          <w:szCs w:val="24"/>
        </w:rPr>
        <w:softHyphen/>
        <w:t>pants per dwelling unit does not exceed the definition of a family</w:t>
      </w:r>
    </w:p>
    <w:p w14:paraId="06BF854E"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Apartment houses</w:t>
      </w:r>
    </w:p>
    <w:p w14:paraId="7C69BBA0"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Apartment hotels (nontransient)</w:t>
      </w:r>
    </w:p>
    <w:p w14:paraId="7F4FF576"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zCs w:val="24"/>
        </w:rPr>
      </w:pPr>
      <w:r w:rsidRPr="00EC4EC4">
        <w:rPr>
          <w:rFonts w:eastAsia="Times New Roman" w:cs="Times New Roman"/>
          <w:spacing w:val="1"/>
          <w:szCs w:val="24"/>
        </w:rPr>
        <w:t xml:space="preserve">Class A multiple dwellings as defined in Section 27-2004 of the </w:t>
      </w:r>
      <w:r w:rsidRPr="00EC4EC4">
        <w:rPr>
          <w:rFonts w:eastAsia="Times New Roman" w:cs="Times New Roman"/>
          <w:i/>
          <w:spacing w:val="1"/>
          <w:szCs w:val="24"/>
        </w:rPr>
        <w:t>New York City Housing Maintenance Code</w:t>
      </w:r>
      <w:r w:rsidRPr="00EC4EC4">
        <w:rPr>
          <w:rFonts w:eastAsia="Times New Roman" w:cs="Times New Roman"/>
          <w:spacing w:val="1"/>
          <w:szCs w:val="24"/>
        </w:rPr>
        <w:t xml:space="preserve"> and Section 4 of the </w:t>
      </w:r>
      <w:r w:rsidRPr="00EC4EC4">
        <w:rPr>
          <w:rFonts w:eastAsia="Times New Roman" w:cs="Times New Roman"/>
          <w:i/>
          <w:spacing w:val="1"/>
          <w:szCs w:val="24"/>
        </w:rPr>
        <w:t>New York State Multiple Dwelling Law</w:t>
      </w:r>
      <w:r w:rsidRPr="00EC4EC4">
        <w:rPr>
          <w:rFonts w:eastAsia="Times New Roman" w:cs="Times New Roman"/>
          <w:spacing w:val="1"/>
          <w:szCs w:val="24"/>
        </w:rPr>
        <w:t>, where not classified in Group I, including the following:</w:t>
      </w:r>
    </w:p>
    <w:p w14:paraId="3988B850" w14:textId="77777777" w:rsidR="00140B7C" w:rsidRPr="00EC4EC4" w:rsidRDefault="00140B7C" w:rsidP="00140B7C">
      <w:pPr>
        <w:tabs>
          <w:tab w:val="num" w:pos="-1350"/>
        </w:tabs>
        <w:autoSpaceDE w:val="0"/>
        <w:autoSpaceDN w:val="0"/>
        <w:adjustRightInd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Dwelling units where the resident of the unit provides custodial care to no more than four persons on less than a 24-hour basis and not overnight, where not classified in Group I.</w:t>
      </w:r>
    </w:p>
    <w:p w14:paraId="4D13A60F"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 xml:space="preserve">Dwelling units where the resident of the unit provides child custodial care as a family day care home registered with the New York City Department of Health and Mental Hygiene in accordance with the </w:t>
      </w:r>
      <w:r w:rsidRPr="00EC4EC4">
        <w:rPr>
          <w:rFonts w:eastAsia="Times New Roman" w:cs="Times New Roman"/>
          <w:i/>
          <w:spacing w:val="1"/>
          <w:szCs w:val="24"/>
        </w:rPr>
        <w:t xml:space="preserve">New York State Social Services Law, </w:t>
      </w:r>
      <w:r w:rsidRPr="00EC4EC4">
        <w:rPr>
          <w:rFonts w:eastAsia="Times New Roman" w:cs="Times New Roman"/>
          <w:spacing w:val="1"/>
          <w:szCs w:val="24"/>
        </w:rPr>
        <w:t>with no more than six children between the ages of 2 and 13, or with no more than five children if any are under the age of 2, receiving supervised care on less than a 24-hour basis and not overnight, where not classified in Group I.</w:t>
      </w:r>
    </w:p>
    <w:p w14:paraId="05D674DB" w14:textId="77777777" w:rsidR="00140B7C" w:rsidRPr="00EC4EC4" w:rsidRDefault="00140B7C" w:rsidP="00140B7C">
      <w:pPr>
        <w:pStyle w:val="FlushLeftDouble"/>
        <w:rPr>
          <w:spacing w:val="1"/>
          <w:szCs w:val="24"/>
        </w:rPr>
      </w:pPr>
      <w:bookmarkStart w:id="27" w:name="_Toc389733421"/>
      <w:bookmarkStart w:id="28" w:name="_Toc389741983"/>
      <w:r w:rsidRPr="00EC4EC4">
        <w:rPr>
          <w:spacing w:val="1"/>
          <w:szCs w:val="24"/>
        </w:rPr>
        <w:t>Convents and monasteries with more than 20 occupants in the building</w:t>
      </w:r>
    </w:p>
    <w:p w14:paraId="0F4D9C26" w14:textId="77777777" w:rsidR="00140B7C" w:rsidRPr="00EC4EC4" w:rsidRDefault="00140B7C" w:rsidP="00140B7C">
      <w:pPr>
        <w:pStyle w:val="FlushLeftDouble"/>
        <w:rPr>
          <w:spacing w:val="1"/>
          <w:szCs w:val="24"/>
        </w:rPr>
      </w:pPr>
      <w:r w:rsidRPr="00EC4EC4">
        <w:rPr>
          <w:spacing w:val="1"/>
          <w:szCs w:val="24"/>
        </w:rPr>
        <w:t>Student apartments</w:t>
      </w:r>
    </w:p>
    <w:p w14:paraId="2F6C2630" w14:textId="145E4732" w:rsidR="00140B7C" w:rsidRPr="00EC4EC4"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Pr>
          <w:rFonts w:cs="Times New Roman"/>
          <w:sz w:val="23"/>
          <w:szCs w:val="23"/>
        </w:rPr>
        <w:t>1</w:t>
      </w:r>
      <w:r w:rsidR="005C30F3">
        <w:rPr>
          <w:rFonts w:cs="Times New Roman"/>
          <w:sz w:val="23"/>
          <w:szCs w:val="23"/>
        </w:rPr>
        <w:t>13</w:t>
      </w:r>
      <w:r w:rsidRPr="00EC4EC4">
        <w:rPr>
          <w:rFonts w:cs="Times New Roman"/>
          <w:sz w:val="23"/>
          <w:szCs w:val="23"/>
        </w:rPr>
        <w:t>. Section 407.4.4.3 of  the New York city building code, as added by local law number 126 for the year 2021, is amended to read as follows:</w:t>
      </w:r>
      <w:bookmarkStart w:id="29" w:name="_Toc389733657"/>
      <w:bookmarkStart w:id="30" w:name="_Toc389742219"/>
    </w:p>
    <w:p w14:paraId="6301C4BF" w14:textId="77777777" w:rsidR="00140B7C" w:rsidRPr="00EC4EC4" w:rsidRDefault="00140B7C" w:rsidP="00140B7C">
      <w:pPr>
        <w:kinsoku w:val="0"/>
        <w:spacing w:after="240" w:line="240" w:lineRule="auto"/>
        <w:jc w:val="both"/>
        <w:rPr>
          <w:rFonts w:cs="Times New Roman"/>
          <w:sz w:val="23"/>
          <w:szCs w:val="23"/>
        </w:rPr>
      </w:pPr>
      <w:r w:rsidRPr="00EC4EC4">
        <w:rPr>
          <w:rFonts w:eastAsia="Times New Roman" w:cs="Times New Roman"/>
          <w:b/>
          <w:bCs/>
          <w:iCs/>
          <w:szCs w:val="24"/>
        </w:rPr>
        <w:lastRenderedPageBreak/>
        <w:t>407.4.4.3 Access to corridor.</w:t>
      </w:r>
      <w:bookmarkEnd w:id="29"/>
      <w:bookmarkEnd w:id="30"/>
      <w:r w:rsidRPr="00EC4EC4">
        <w:rPr>
          <w:rFonts w:eastAsia="Times New Roman" w:cs="Times New Roman"/>
          <w:b/>
          <w:bCs/>
          <w:szCs w:val="24"/>
        </w:rPr>
        <w:t xml:space="preserve"> </w:t>
      </w:r>
      <w:r w:rsidRPr="00EC4EC4">
        <w:rPr>
          <w:rFonts w:eastAsia="Times New Roman" w:cs="Times New Roman"/>
          <w:szCs w:val="24"/>
        </w:rPr>
        <w:t>Movement from habitable rooms shall not require passage through more than three doors and 100 feet (30 480 mm) distance of travel within the suite.</w:t>
      </w:r>
    </w:p>
    <w:p w14:paraId="55E5ADE6"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color w:val="000000"/>
          <w:szCs w:val="24"/>
        </w:rPr>
      </w:pPr>
      <w:r w:rsidRPr="00EC4EC4">
        <w:rPr>
          <w:rFonts w:eastAsia="Times New Roman" w:cs="Times New Roman"/>
          <w:b/>
          <w:bCs/>
          <w:color w:val="000000"/>
          <w:szCs w:val="24"/>
        </w:rPr>
        <w:t>Exception:</w:t>
      </w:r>
      <w:r w:rsidRPr="00EC4EC4">
        <w:rPr>
          <w:rFonts w:eastAsia="Times New Roman" w:cs="Times New Roman"/>
          <w:bCs/>
          <w:color w:val="000000"/>
          <w:szCs w:val="24"/>
        </w:rPr>
        <w:t xml:space="preserve"> </w:t>
      </w:r>
      <w:r w:rsidRPr="00EC4EC4">
        <w:rPr>
          <w:rFonts w:eastAsia="Times New Roman" w:cs="Times New Roman"/>
          <w:color w:val="000000"/>
          <w:szCs w:val="24"/>
        </w:rPr>
        <w:t xml:space="preserve">The distance of travel shall be permitted to be increased to 125 feet (38 100 mm) where an automatic smoke detection system is provided throughout the </w:t>
      </w:r>
      <w:r w:rsidRPr="00EC4EC4">
        <w:rPr>
          <w:rFonts w:eastAsia="Times New Roman" w:cs="Times New Roman"/>
          <w:iCs/>
          <w:color w:val="000000"/>
          <w:szCs w:val="24"/>
        </w:rPr>
        <w:t xml:space="preserve">care suite </w:t>
      </w:r>
      <w:r w:rsidRPr="00EC4EC4">
        <w:rPr>
          <w:rFonts w:eastAsia="Times New Roman" w:cs="Times New Roman"/>
          <w:color w:val="000000"/>
          <w:szCs w:val="24"/>
        </w:rPr>
        <w:t>and installed in accordance with NFPA 72 as modified by Appendix Q of this [</w:t>
      </w:r>
      <w:r w:rsidRPr="00EC4EC4">
        <w:rPr>
          <w:rFonts w:eastAsia="Times New Roman" w:cs="Times New Roman"/>
          <w:strike/>
          <w:color w:val="000000"/>
          <w:szCs w:val="24"/>
        </w:rPr>
        <w:t>cde</w:t>
      </w:r>
      <w:r w:rsidRPr="00EC4EC4">
        <w:rPr>
          <w:rFonts w:eastAsia="Times New Roman" w:cs="Times New Roman"/>
          <w:color w:val="000000"/>
          <w:szCs w:val="24"/>
        </w:rPr>
        <w:t>]</w:t>
      </w:r>
      <w:r w:rsidRPr="00EC4EC4">
        <w:rPr>
          <w:rFonts w:eastAsia="Times New Roman" w:cs="Times New Roman"/>
          <w:color w:val="000000"/>
          <w:szCs w:val="24"/>
          <w:u w:val="single"/>
        </w:rPr>
        <w:t>code</w:t>
      </w:r>
      <w:r w:rsidRPr="00EC4EC4">
        <w:rPr>
          <w:rFonts w:eastAsia="Times New Roman" w:cs="Times New Roman"/>
          <w:color w:val="000000"/>
          <w:szCs w:val="24"/>
        </w:rPr>
        <w:t>.</w:t>
      </w:r>
    </w:p>
    <w:p w14:paraId="674D3A93" w14:textId="567361D5" w:rsidR="00140B7C" w:rsidRPr="00EC4EC4" w:rsidRDefault="00140B7C" w:rsidP="00140B7C">
      <w:pPr>
        <w:kinsoku w:val="0"/>
        <w:spacing w:after="240" w:line="240" w:lineRule="auto"/>
        <w:ind w:firstLine="720"/>
        <w:jc w:val="both"/>
        <w:rPr>
          <w:rFonts w:cs="Times New Roman"/>
          <w:sz w:val="23"/>
          <w:szCs w:val="23"/>
        </w:rPr>
      </w:pPr>
      <w:r w:rsidRPr="0009559A">
        <w:rPr>
          <w:rFonts w:cs="Times New Roman"/>
          <w:sz w:val="23"/>
          <w:szCs w:val="23"/>
        </w:rPr>
        <w:t>§11</w:t>
      </w:r>
      <w:r w:rsidR="0009559A">
        <w:rPr>
          <w:rFonts w:cs="Times New Roman"/>
          <w:sz w:val="23"/>
          <w:szCs w:val="23"/>
        </w:rPr>
        <w:t>4</w:t>
      </w:r>
      <w:r w:rsidRPr="0009559A">
        <w:rPr>
          <w:rFonts w:cs="Times New Roman"/>
          <w:sz w:val="23"/>
          <w:szCs w:val="23"/>
        </w:rPr>
        <w:t>.</w:t>
      </w:r>
      <w:r w:rsidRPr="00EC4EC4">
        <w:rPr>
          <w:rFonts w:cs="Times New Roman"/>
          <w:sz w:val="23"/>
          <w:szCs w:val="23"/>
        </w:rPr>
        <w:t xml:space="preserve"> Section 408.3.8  of  the New York city building code, as amended by local law number 126 for the year 2021, is amended to read as follows:</w:t>
      </w:r>
    </w:p>
    <w:p w14:paraId="18CD1A6E" w14:textId="77777777" w:rsidR="00140B7C" w:rsidRPr="00EC4EC4" w:rsidRDefault="00140B7C" w:rsidP="00140B7C">
      <w:pPr>
        <w:pStyle w:val="FlushLeftDouble"/>
        <w:ind w:left="0"/>
        <w:rPr>
          <w:szCs w:val="24"/>
        </w:rPr>
      </w:pPr>
      <w:bookmarkStart w:id="31" w:name="_Toc389733690"/>
      <w:bookmarkStart w:id="32" w:name="_Toc389742252"/>
      <w:r w:rsidRPr="00EC4EC4">
        <w:rPr>
          <w:b/>
          <w:bCs/>
          <w:szCs w:val="24"/>
        </w:rPr>
        <w:t>408.3.8</w:t>
      </w:r>
      <w:bookmarkEnd w:id="31"/>
      <w:bookmarkEnd w:id="32"/>
      <w:r w:rsidRPr="00EC4EC4">
        <w:rPr>
          <w:spacing w:val="1"/>
          <w:szCs w:val="24"/>
        </w:rPr>
        <w:t xml:space="preserve"> </w:t>
      </w:r>
      <w:r w:rsidRPr="00EC4EC4">
        <w:rPr>
          <w:b/>
          <w:bCs/>
          <w:szCs w:val="24"/>
        </w:rPr>
        <w:t>Interior exit stairway and ramp construction</w:t>
      </w:r>
      <w:r w:rsidRPr="00EC4EC4">
        <w:rPr>
          <w:b/>
          <w:szCs w:val="24"/>
        </w:rPr>
        <w:t>.</w:t>
      </w:r>
      <w:r w:rsidRPr="00EC4EC4">
        <w:rPr>
          <w:bCs/>
          <w:szCs w:val="24"/>
        </w:rPr>
        <w:t xml:space="preserve"> One </w:t>
      </w:r>
      <w:r w:rsidRPr="00EC4EC4">
        <w:rPr>
          <w:bCs/>
          <w:iCs/>
          <w:szCs w:val="24"/>
        </w:rPr>
        <w:t xml:space="preserve">interior exit stairway </w:t>
      </w:r>
      <w:r w:rsidRPr="00EC4EC4">
        <w:rPr>
          <w:bCs/>
          <w:szCs w:val="24"/>
        </w:rPr>
        <w:t xml:space="preserve">or </w:t>
      </w:r>
      <w:r w:rsidRPr="00EC4EC4">
        <w:rPr>
          <w:bCs/>
          <w:iCs/>
          <w:szCs w:val="24"/>
        </w:rPr>
        <w:t>ramp</w:t>
      </w:r>
      <w:r w:rsidRPr="00EC4EC4">
        <w:rPr>
          <w:szCs w:val="24"/>
        </w:rPr>
        <w:t xml:space="preserve"> in each building shall be permitted to have glazing installed in doors and interior walls at each landing level providing access to the </w:t>
      </w:r>
      <w:r w:rsidRPr="00EC4EC4">
        <w:rPr>
          <w:spacing w:val="1"/>
          <w:szCs w:val="24"/>
        </w:rPr>
        <w:t xml:space="preserve"> </w:t>
      </w:r>
      <w:r w:rsidRPr="00EC4EC4">
        <w:rPr>
          <w:bCs/>
          <w:iCs/>
          <w:szCs w:val="24"/>
        </w:rPr>
        <w:t>interior exit stairway or ramp</w:t>
      </w:r>
      <w:r w:rsidRPr="00EC4EC4">
        <w:rPr>
          <w:szCs w:val="24"/>
        </w:rPr>
        <w:t>, provided that the following conditions are met:</w:t>
      </w:r>
    </w:p>
    <w:p w14:paraId="0F7BBF90"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color w:val="000000"/>
          <w:szCs w:val="24"/>
        </w:rPr>
        <w:t>1.</w:t>
      </w:r>
      <w:r w:rsidRPr="00EC4EC4">
        <w:rPr>
          <w:rFonts w:eastAsia="Times New Roman" w:cs="Times New Roman"/>
          <w:color w:val="000000"/>
          <w:szCs w:val="24"/>
        </w:rPr>
        <w:tab/>
        <w:t>The</w:t>
      </w:r>
      <w:r w:rsidRPr="00EC4EC4">
        <w:rPr>
          <w:rFonts w:eastAsia="Times New Roman" w:cs="Times New Roman"/>
          <w:spacing w:val="1"/>
          <w:szCs w:val="24"/>
        </w:rPr>
        <w:t xml:space="preserve"> </w:t>
      </w:r>
      <w:r w:rsidRPr="00EC4EC4">
        <w:rPr>
          <w:rFonts w:eastAsia="Times New Roman" w:cs="Times New Roman"/>
          <w:iCs/>
          <w:color w:val="000000"/>
          <w:szCs w:val="24"/>
        </w:rPr>
        <w:t>interior</w:t>
      </w:r>
      <w:r w:rsidRPr="00EC4EC4">
        <w:rPr>
          <w:rFonts w:eastAsia="Times New Roman" w:cs="Times New Roman"/>
          <w:color w:val="000000"/>
          <w:szCs w:val="24"/>
        </w:rPr>
        <w:t xml:space="preserve"> exit</w:t>
      </w:r>
      <w:r w:rsidRPr="00EC4EC4">
        <w:rPr>
          <w:rFonts w:eastAsia="Times New Roman" w:cs="Times New Roman"/>
          <w:spacing w:val="1"/>
          <w:szCs w:val="24"/>
        </w:rPr>
        <w:t xml:space="preserve"> </w:t>
      </w:r>
      <w:r w:rsidRPr="00EC4EC4">
        <w:rPr>
          <w:rFonts w:eastAsia="Times New Roman" w:cs="Times New Roman"/>
          <w:iCs/>
          <w:color w:val="000000"/>
          <w:szCs w:val="24"/>
        </w:rPr>
        <w:t>stairway or ramp</w:t>
      </w:r>
      <w:r w:rsidRPr="00EC4EC4">
        <w:rPr>
          <w:rFonts w:eastAsia="Times New Roman" w:cs="Times New Roman"/>
          <w:color w:val="000000"/>
          <w:szCs w:val="24"/>
        </w:rPr>
        <w:t xml:space="preserve"> shall not serve more than four floor levels.</w:t>
      </w:r>
    </w:p>
    <w:p w14:paraId="1970A35F"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color w:val="000000"/>
          <w:szCs w:val="24"/>
        </w:rPr>
        <w:t>2.</w:t>
      </w:r>
      <w:r w:rsidRPr="00EC4EC4">
        <w:rPr>
          <w:rFonts w:eastAsia="Times New Roman" w:cs="Times New Roman"/>
          <w:color w:val="000000"/>
          <w:szCs w:val="24"/>
        </w:rPr>
        <w:tab/>
        <w:t>Exit doors shall be not</w:t>
      </w:r>
      <w:r w:rsidRPr="00EC4EC4">
        <w:rPr>
          <w:rFonts w:eastAsia="Times New Roman" w:cs="Times New Roman"/>
          <w:spacing w:val="1"/>
          <w:szCs w:val="24"/>
        </w:rPr>
        <w:t xml:space="preserve"> l</w:t>
      </w:r>
      <w:r w:rsidRPr="00EC4EC4">
        <w:rPr>
          <w:rFonts w:eastAsia="Times New Roman" w:cs="Times New Roman"/>
          <w:color w:val="000000"/>
          <w:szCs w:val="24"/>
        </w:rPr>
        <w:t>ess than 3/4 hour fire</w:t>
      </w:r>
      <w:r w:rsidRPr="00EC4EC4">
        <w:rPr>
          <w:rFonts w:eastAsia="Times New Roman" w:cs="Times New Roman"/>
          <w:spacing w:val="1"/>
          <w:szCs w:val="24"/>
        </w:rPr>
        <w:t xml:space="preserve"> </w:t>
      </w:r>
      <w:r w:rsidRPr="00EC4EC4">
        <w:rPr>
          <w:rFonts w:eastAsia="Times New Roman" w:cs="Times New Roman"/>
          <w:iCs/>
          <w:color w:val="000000"/>
          <w:szCs w:val="24"/>
        </w:rPr>
        <w:t>door assemblies</w:t>
      </w:r>
      <w:r w:rsidRPr="00EC4EC4">
        <w:rPr>
          <w:rFonts w:eastAsia="Times New Roman" w:cs="Times New Roman"/>
          <w:color w:val="000000"/>
          <w:szCs w:val="24"/>
        </w:rPr>
        <w:t xml:space="preserve"> complying with Section 716.5.</w:t>
      </w:r>
    </w:p>
    <w:p w14:paraId="113845DC"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color w:val="000000"/>
          <w:szCs w:val="24"/>
        </w:rPr>
        <w:t>3.</w:t>
      </w:r>
      <w:r w:rsidRPr="00EC4EC4">
        <w:rPr>
          <w:rFonts w:eastAsia="Times New Roman" w:cs="Times New Roman"/>
          <w:color w:val="000000"/>
          <w:szCs w:val="24"/>
        </w:rPr>
        <w:tab/>
        <w:t xml:space="preserve">The total area of glazing at each floor level shall not exceed 5,000 square inches </w:t>
      </w:r>
      <w:r w:rsidRPr="00EC4EC4">
        <w:rPr>
          <w:rFonts w:eastAsia="Times New Roman" w:cs="Times New Roman"/>
          <w:color w:val="000000"/>
          <w:szCs w:val="24"/>
          <w:u w:val="single"/>
        </w:rPr>
        <w:t xml:space="preserve"> (</w:t>
      </w:r>
      <w:r w:rsidRPr="00EC4EC4">
        <w:rPr>
          <w:rFonts w:eastAsia="Times New Roman" w:cs="Times New Roman"/>
          <w:color w:val="000000"/>
          <w:szCs w:val="24"/>
        </w:rPr>
        <w:t>3.2 m</w:t>
      </w:r>
      <w:r w:rsidRPr="00EC4EC4">
        <w:rPr>
          <w:rFonts w:eastAsia="Times New Roman" w:cs="Times New Roman"/>
          <w:color w:val="000000"/>
          <w:szCs w:val="24"/>
          <w:vertAlign w:val="superscript"/>
        </w:rPr>
        <w:t>2</w:t>
      </w:r>
      <w:r w:rsidRPr="00EC4EC4">
        <w:rPr>
          <w:rFonts w:eastAsia="Times New Roman" w:cs="Times New Roman"/>
          <w:color w:val="000000"/>
          <w:szCs w:val="24"/>
        </w:rPr>
        <w:t>) and individual panels of glazing shall not exceed 1,296 square inches (0.84 m</w:t>
      </w:r>
      <w:r w:rsidRPr="00EC4EC4">
        <w:rPr>
          <w:rFonts w:eastAsia="Times New Roman" w:cs="Times New Roman"/>
          <w:color w:val="000000"/>
          <w:szCs w:val="24"/>
          <w:vertAlign w:val="superscript"/>
        </w:rPr>
        <w:t>2</w:t>
      </w:r>
      <w:r w:rsidRPr="00EC4EC4">
        <w:rPr>
          <w:rFonts w:eastAsia="Times New Roman" w:cs="Times New Roman"/>
          <w:color w:val="000000"/>
          <w:szCs w:val="24"/>
        </w:rPr>
        <w:t>).</w:t>
      </w:r>
    </w:p>
    <w:p w14:paraId="36DCD44D"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color w:val="000000"/>
          <w:szCs w:val="24"/>
        </w:rPr>
        <w:t>4.</w:t>
      </w:r>
      <w:r w:rsidRPr="00EC4EC4">
        <w:rPr>
          <w:rFonts w:eastAsia="Times New Roman" w:cs="Times New Roman"/>
          <w:color w:val="000000"/>
          <w:szCs w:val="24"/>
        </w:rPr>
        <w:tab/>
        <w:t>The glazing shall be protected on both sides by an automatic sprinkler system. The sprinkler system shall be designed to wet completely the entire surface of any glazing affected by fire when actuated.</w:t>
      </w:r>
    </w:p>
    <w:p w14:paraId="50C95D79"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color w:val="000000"/>
          <w:szCs w:val="24"/>
        </w:rPr>
        <w:t>5.</w:t>
      </w:r>
      <w:r w:rsidRPr="00EC4EC4">
        <w:rPr>
          <w:rFonts w:eastAsia="Times New Roman" w:cs="Times New Roman"/>
          <w:color w:val="000000"/>
          <w:szCs w:val="24"/>
        </w:rPr>
        <w:tab/>
        <w:t>The glazing shall be in a gasketed frame and installed in such a manner that the framing system will deflect without breaking (loading) the glass before the sprinkler system operates.</w:t>
      </w:r>
    </w:p>
    <w:p w14:paraId="5813BA15"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color w:val="000000"/>
          <w:szCs w:val="24"/>
        </w:rPr>
        <w:t>6.</w:t>
      </w:r>
      <w:r w:rsidRPr="00EC4EC4">
        <w:rPr>
          <w:rFonts w:eastAsia="Times New Roman" w:cs="Times New Roman"/>
          <w:color w:val="000000"/>
          <w:szCs w:val="24"/>
        </w:rPr>
        <w:tab/>
        <w:t>Obstructions, such as curtain rods, drapery traverse rods, curtains, drapes or similar materials shall not be installed between the automatic sprinklers and the glazing.</w:t>
      </w:r>
    </w:p>
    <w:p w14:paraId="07D68A47" w14:textId="1077113D" w:rsidR="00140B7C" w:rsidRPr="00EC4EC4"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Pr>
          <w:rFonts w:cs="Times New Roman"/>
          <w:sz w:val="23"/>
          <w:szCs w:val="23"/>
        </w:rPr>
        <w:t>11</w:t>
      </w:r>
      <w:r w:rsidR="0009559A">
        <w:rPr>
          <w:rFonts w:cs="Times New Roman"/>
          <w:sz w:val="23"/>
          <w:szCs w:val="23"/>
        </w:rPr>
        <w:t>5</w:t>
      </w:r>
      <w:r w:rsidRPr="00EC4EC4">
        <w:rPr>
          <w:rFonts w:cs="Times New Roman"/>
          <w:sz w:val="23"/>
          <w:szCs w:val="23"/>
        </w:rPr>
        <w:t>. Section 410.3.5  of  the New York city building code, as amended by local law number 126 for the year 2021, is amended to read as follows:</w:t>
      </w:r>
    </w:p>
    <w:p w14:paraId="4C8386AE" w14:textId="77777777" w:rsidR="00140B7C" w:rsidRPr="00EC4EC4" w:rsidRDefault="00140B7C" w:rsidP="00140B7C">
      <w:pPr>
        <w:pStyle w:val="FlushLeftDouble"/>
        <w:ind w:left="0"/>
        <w:rPr>
          <w:szCs w:val="24"/>
        </w:rPr>
      </w:pPr>
      <w:bookmarkStart w:id="33" w:name="_Toc389733735"/>
      <w:bookmarkStart w:id="34" w:name="_Toc389742297"/>
      <w:r w:rsidRPr="00EC4EC4">
        <w:rPr>
          <w:b/>
          <w:bCs/>
          <w:szCs w:val="24"/>
        </w:rPr>
        <w:t>410.3.5 Proscenium curtain.</w:t>
      </w:r>
      <w:bookmarkEnd w:id="33"/>
      <w:bookmarkEnd w:id="34"/>
      <w:r w:rsidRPr="00EC4EC4">
        <w:rPr>
          <w:b/>
          <w:bCs/>
          <w:szCs w:val="24"/>
        </w:rPr>
        <w:t xml:space="preserve"> </w:t>
      </w:r>
      <w:r w:rsidRPr="00EC4EC4">
        <w:rPr>
          <w:szCs w:val="24"/>
        </w:rPr>
        <w:t xml:space="preserve">Where a proscenium wall is required to have a fire-resistance rating, the stage opening shall be provided with </w:t>
      </w:r>
      <w:r w:rsidRPr="00EC4EC4">
        <w:rPr>
          <w:spacing w:val="1"/>
          <w:szCs w:val="24"/>
        </w:rPr>
        <w:t>one of the following:</w:t>
      </w:r>
    </w:p>
    <w:p w14:paraId="6CD2A696" w14:textId="77777777" w:rsidR="00140B7C" w:rsidRPr="00EC4EC4" w:rsidRDefault="00140B7C" w:rsidP="00226293">
      <w:pPr>
        <w:numPr>
          <w:ilvl w:val="0"/>
          <w:numId w:val="27"/>
        </w:numPr>
        <w:kinsoku w:val="0"/>
        <w:spacing w:after="240" w:line="240" w:lineRule="auto"/>
        <w:ind w:left="1080"/>
        <w:jc w:val="both"/>
        <w:rPr>
          <w:rFonts w:eastAsia="Times New Roman" w:cs="Times New Roman"/>
          <w:color w:val="000000"/>
          <w:spacing w:val="2"/>
          <w:szCs w:val="24"/>
        </w:rPr>
      </w:pPr>
      <w:r w:rsidRPr="00EC4EC4">
        <w:rPr>
          <w:rFonts w:eastAsia="Times New Roman" w:cs="Times New Roman"/>
          <w:color w:val="000000"/>
          <w:spacing w:val="2"/>
          <w:szCs w:val="24"/>
        </w:rPr>
        <w:t>A fire curtain complying with NFPA 80; or</w:t>
      </w:r>
    </w:p>
    <w:p w14:paraId="684DBF7A" w14:textId="77777777" w:rsidR="00140B7C" w:rsidRPr="00EC4EC4" w:rsidRDefault="00140B7C" w:rsidP="00226293">
      <w:pPr>
        <w:numPr>
          <w:ilvl w:val="0"/>
          <w:numId w:val="27"/>
        </w:numPr>
        <w:kinsoku w:val="0"/>
        <w:spacing w:after="240" w:line="240" w:lineRule="auto"/>
        <w:ind w:left="1080"/>
        <w:jc w:val="both"/>
        <w:rPr>
          <w:rFonts w:eastAsia="Times New Roman" w:cs="Times New Roman"/>
          <w:color w:val="000000"/>
          <w:spacing w:val="2"/>
          <w:szCs w:val="24"/>
        </w:rPr>
      </w:pPr>
      <w:r w:rsidRPr="00EC4EC4">
        <w:rPr>
          <w:rFonts w:eastAsia="Times New Roman" w:cs="Times New Roman"/>
          <w:color w:val="000000"/>
          <w:spacing w:val="2"/>
          <w:szCs w:val="24"/>
        </w:rPr>
        <w:t>An approved stage water curtain and sprinklers complying with Section 410.7 and Section 903.3.1.1 of this code, and the following:</w:t>
      </w:r>
    </w:p>
    <w:p w14:paraId="09B7963F"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color w:val="000000"/>
          <w:spacing w:val="2"/>
          <w:szCs w:val="24"/>
        </w:rPr>
      </w:pPr>
      <w:r w:rsidRPr="00EC4EC4">
        <w:rPr>
          <w:rFonts w:eastAsia="Times New Roman" w:cs="Times New Roman"/>
          <w:color w:val="000000"/>
          <w:spacing w:val="2"/>
          <w:szCs w:val="24"/>
        </w:rPr>
        <w:t>2.1.</w:t>
      </w:r>
      <w:r w:rsidRPr="00EC4EC4">
        <w:rPr>
          <w:rFonts w:eastAsia="Times New Roman" w:cs="Times New Roman"/>
          <w:color w:val="000000"/>
          <w:spacing w:val="2"/>
          <w:szCs w:val="24"/>
        </w:rPr>
        <w:tab/>
        <w:t>A deluge valve actuated by a “rate of rise system” and “fixed temperature system” shall control the water curtain system;</w:t>
      </w:r>
    </w:p>
    <w:p w14:paraId="630BAA14"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color w:val="000000"/>
          <w:spacing w:val="2"/>
          <w:szCs w:val="24"/>
        </w:rPr>
      </w:pPr>
      <w:r w:rsidRPr="00EC4EC4">
        <w:rPr>
          <w:rFonts w:eastAsia="Times New Roman" w:cs="Times New Roman"/>
          <w:color w:val="000000"/>
          <w:spacing w:val="2"/>
          <w:szCs w:val="24"/>
        </w:rPr>
        <w:lastRenderedPageBreak/>
        <w:t>2.2.</w:t>
      </w:r>
      <w:r w:rsidRPr="00EC4EC4">
        <w:rPr>
          <w:rFonts w:eastAsia="Times New Roman" w:cs="Times New Roman"/>
          <w:color w:val="000000"/>
          <w:spacing w:val="2"/>
          <w:szCs w:val="24"/>
        </w:rPr>
        <w:tab/>
        <w:t>The heat actuating devices shall be located on not more than 10-foot (3048 mm) centers around the perimeter of the sprinklered area stage or as otherwise required for the type of device used to assure operation of the system;</w:t>
      </w:r>
    </w:p>
    <w:p w14:paraId="5188AE23"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color w:val="000000"/>
          <w:spacing w:val="2"/>
          <w:szCs w:val="24"/>
        </w:rPr>
      </w:pPr>
      <w:r w:rsidRPr="00EC4EC4">
        <w:rPr>
          <w:rFonts w:eastAsia="Times New Roman" w:cs="Times New Roman"/>
          <w:color w:val="000000"/>
          <w:spacing w:val="2"/>
          <w:szCs w:val="24"/>
        </w:rPr>
        <w:t>2.3.</w:t>
      </w:r>
      <w:r w:rsidRPr="00EC4EC4">
        <w:rPr>
          <w:rFonts w:eastAsia="Times New Roman" w:cs="Times New Roman"/>
          <w:color w:val="000000"/>
          <w:spacing w:val="2"/>
          <w:szCs w:val="24"/>
        </w:rPr>
        <w:tab/>
        <w:t xml:space="preserve">In addition to the automatic controls, manual-operating devices shall be located at the voice/alarm communication system required by Section 410.9, and adjacent to at least one exit from the stage. Such exit shall be remote from the voice/alarm communication system; </w:t>
      </w:r>
    </w:p>
    <w:p w14:paraId="038D4BA3"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color w:val="000000"/>
          <w:spacing w:val="2"/>
          <w:szCs w:val="24"/>
        </w:rPr>
      </w:pPr>
      <w:r w:rsidRPr="00EC4EC4">
        <w:rPr>
          <w:rFonts w:eastAsia="Times New Roman" w:cs="Times New Roman"/>
          <w:color w:val="000000"/>
          <w:spacing w:val="2"/>
          <w:szCs w:val="24"/>
        </w:rPr>
        <w:t>2.4.</w:t>
      </w:r>
      <w:r w:rsidRPr="00EC4EC4">
        <w:rPr>
          <w:rFonts w:eastAsia="Times New Roman" w:cs="Times New Roman"/>
          <w:color w:val="000000"/>
          <w:spacing w:val="2"/>
          <w:szCs w:val="24"/>
        </w:rPr>
        <w:tab/>
        <w:t>All valves controlling deluge and sprinkler supplies on stages where the stage height is greater than 40 feet (12 192 mm) shall be provided with tamper switches wired to an annunciator panel located at the voice/alarm communication system required by Section 410.9;</w:t>
      </w:r>
    </w:p>
    <w:p w14:paraId="5E9B544D"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color w:val="000000"/>
          <w:spacing w:val="2"/>
          <w:szCs w:val="24"/>
        </w:rPr>
      </w:pPr>
      <w:r w:rsidRPr="00EC4EC4">
        <w:rPr>
          <w:rFonts w:eastAsia="Times New Roman" w:cs="Times New Roman"/>
          <w:color w:val="000000"/>
          <w:spacing w:val="2"/>
          <w:szCs w:val="24"/>
        </w:rPr>
        <w:t>[</w:t>
      </w:r>
      <w:r w:rsidRPr="00EC4EC4">
        <w:rPr>
          <w:rFonts w:eastAsia="Times New Roman" w:cs="Times New Roman"/>
          <w:strike/>
          <w:color w:val="000000"/>
          <w:spacing w:val="2"/>
          <w:szCs w:val="24"/>
        </w:rPr>
        <w:t>2.5</w:t>
      </w:r>
      <w:r w:rsidRPr="00EC4EC4">
        <w:rPr>
          <w:rFonts w:eastAsia="Times New Roman" w:cs="Times New Roman"/>
          <w:color w:val="000000"/>
          <w:spacing w:val="2"/>
          <w:szCs w:val="24"/>
        </w:rPr>
        <w:t>]</w:t>
      </w:r>
      <w:r w:rsidRPr="00EC4EC4">
        <w:rPr>
          <w:rFonts w:eastAsia="Times New Roman" w:cs="Times New Roman"/>
          <w:color w:val="000000"/>
          <w:spacing w:val="2"/>
          <w:szCs w:val="24"/>
          <w:u w:val="single"/>
        </w:rPr>
        <w:t>2.5.</w:t>
      </w:r>
      <w:r w:rsidRPr="00EC4EC4">
        <w:rPr>
          <w:rFonts w:eastAsia="Times New Roman" w:cs="Times New Roman"/>
          <w:color w:val="000000"/>
          <w:spacing w:val="2"/>
          <w:szCs w:val="24"/>
        </w:rPr>
        <w:t xml:space="preserve"> The operation of any section of the sprinkler system on stages where the stage height is greater than 40 feet </w:t>
      </w:r>
      <w:bookmarkStart w:id="35" w:name="_Hlk55826027"/>
      <w:r w:rsidRPr="00EC4EC4">
        <w:rPr>
          <w:rFonts w:eastAsia="Times New Roman" w:cs="Times New Roman"/>
          <w:color w:val="000000"/>
          <w:spacing w:val="2"/>
          <w:szCs w:val="24"/>
        </w:rPr>
        <w:t xml:space="preserve">(12 192 mm) </w:t>
      </w:r>
      <w:bookmarkEnd w:id="35"/>
      <w:r w:rsidRPr="00EC4EC4">
        <w:rPr>
          <w:rFonts w:eastAsia="Times New Roman" w:cs="Times New Roman"/>
          <w:color w:val="000000"/>
          <w:spacing w:val="2"/>
          <w:szCs w:val="24"/>
        </w:rPr>
        <w:t>or the operation of the deluge system shall activate the emergency ventilating equipment required in Section 410.3.7 and shall be provided with central station supervision in addition to the required local alarm; and</w:t>
      </w:r>
    </w:p>
    <w:p w14:paraId="07FDEEA2"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color w:val="000000"/>
          <w:spacing w:val="2"/>
          <w:szCs w:val="24"/>
        </w:rPr>
      </w:pPr>
      <w:r w:rsidRPr="00EC4EC4">
        <w:rPr>
          <w:rFonts w:eastAsia="Times New Roman" w:cs="Times New Roman"/>
          <w:color w:val="000000"/>
          <w:spacing w:val="2"/>
          <w:szCs w:val="24"/>
        </w:rPr>
        <w:t>[</w:t>
      </w:r>
      <w:r w:rsidRPr="00EC4EC4">
        <w:rPr>
          <w:rFonts w:eastAsia="Times New Roman" w:cs="Times New Roman"/>
          <w:strike/>
          <w:color w:val="000000"/>
          <w:spacing w:val="2"/>
          <w:szCs w:val="24"/>
        </w:rPr>
        <w:t>2.6</w:t>
      </w:r>
      <w:r w:rsidRPr="00EC4EC4">
        <w:rPr>
          <w:rFonts w:eastAsia="Times New Roman" w:cs="Times New Roman"/>
          <w:color w:val="000000"/>
          <w:spacing w:val="2"/>
          <w:szCs w:val="24"/>
        </w:rPr>
        <w:t>]</w:t>
      </w:r>
      <w:r w:rsidRPr="00EC4EC4">
        <w:rPr>
          <w:rFonts w:eastAsia="Times New Roman" w:cs="Times New Roman"/>
          <w:color w:val="000000"/>
          <w:spacing w:val="2"/>
          <w:szCs w:val="24"/>
          <w:u w:val="single"/>
        </w:rPr>
        <w:t>2.6.</w:t>
      </w:r>
      <w:r w:rsidRPr="00EC4EC4">
        <w:rPr>
          <w:rFonts w:eastAsia="Times New Roman" w:cs="Times New Roman"/>
          <w:color w:val="000000"/>
          <w:spacing w:val="2"/>
          <w:szCs w:val="24"/>
        </w:rPr>
        <w:t xml:space="preserve"> The water flow alarm, tamper switches, the sprinkler system on stages where the stage height is greater than 40 feet (12 192 mm), and deluge system equipment shall be provided with central station supervision in addition to the required local alarm.</w:t>
      </w:r>
    </w:p>
    <w:p w14:paraId="33B87C77" w14:textId="367496F4" w:rsidR="00140B7C" w:rsidRPr="00EC4EC4" w:rsidRDefault="00140B7C" w:rsidP="00140B7C">
      <w:pPr>
        <w:kinsoku w:val="0"/>
        <w:spacing w:after="240" w:line="240" w:lineRule="auto"/>
        <w:ind w:firstLine="720"/>
        <w:jc w:val="both"/>
        <w:rPr>
          <w:rFonts w:cs="Times New Roman"/>
          <w:sz w:val="23"/>
          <w:szCs w:val="23"/>
        </w:rPr>
      </w:pPr>
      <w:r w:rsidRPr="00015EC7">
        <w:rPr>
          <w:rFonts w:cs="Times New Roman"/>
          <w:sz w:val="23"/>
          <w:szCs w:val="23"/>
        </w:rPr>
        <w:t>§</w:t>
      </w:r>
      <w:r>
        <w:rPr>
          <w:rFonts w:cs="Times New Roman"/>
          <w:sz w:val="23"/>
          <w:szCs w:val="23"/>
        </w:rPr>
        <w:t>11</w:t>
      </w:r>
      <w:r w:rsidR="0009559A">
        <w:rPr>
          <w:rFonts w:cs="Times New Roman"/>
          <w:sz w:val="23"/>
          <w:szCs w:val="23"/>
        </w:rPr>
        <w:t>6</w:t>
      </w:r>
      <w:r w:rsidRPr="00015EC7">
        <w:rPr>
          <w:rFonts w:cs="Times New Roman"/>
          <w:sz w:val="23"/>
          <w:szCs w:val="23"/>
        </w:rPr>
        <w:t>. Table 414.2.5(2)  of  the New York city building code, as added by local law number 141 for the year 2013, is amended to read as follows:</w:t>
      </w:r>
    </w:p>
    <w:p w14:paraId="478BC33D" w14:textId="77777777" w:rsidR="00140B7C" w:rsidRPr="00EC4EC4" w:rsidRDefault="00140B7C" w:rsidP="00140B7C">
      <w:pPr>
        <w:pStyle w:val="HeadingCaps"/>
        <w:rPr>
          <w:position w:val="16"/>
          <w:sz w:val="14"/>
        </w:rPr>
      </w:pPr>
      <w:bookmarkStart w:id="36" w:name="_Toc389733836"/>
      <w:bookmarkStart w:id="37" w:name="_Toc389742398"/>
      <w:r w:rsidRPr="00EC4EC4">
        <w:t>TABLE 414.2.5(2)</w:t>
      </w:r>
      <w:r w:rsidRPr="00EC4EC4">
        <w:br/>
        <w:t>MAXIMUM ALLOWABLE QUANTITY OF FLAMMABLE AND</w:t>
      </w:r>
      <w:r w:rsidRPr="00EC4EC4">
        <w:br/>
        <w:t>COMBUSTIBLE LIQUIDS IN WHOLESALE AND RETAIL SALES OCCUPANCIES PER CONTROL ARE</w:t>
      </w:r>
      <w:bookmarkEnd w:id="36"/>
      <w:bookmarkEnd w:id="37"/>
      <w:r w:rsidRPr="00EC4EC4">
        <w:t>A</w:t>
      </w:r>
      <w:r w:rsidRPr="00EC4EC4">
        <w:rPr>
          <w:vertAlign w:val="superscript"/>
        </w:rPr>
        <w: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2532"/>
        <w:gridCol w:w="3656"/>
        <w:gridCol w:w="1683"/>
      </w:tblGrid>
      <w:tr w:rsidR="00140B7C" w:rsidRPr="00EC4EC4" w14:paraId="5562190D" w14:textId="77777777" w:rsidTr="00BC1087">
        <w:trPr>
          <w:cantSplit/>
          <w:trHeight w:val="221"/>
          <w:tblHeader/>
          <w:jc w:val="center"/>
        </w:trPr>
        <w:tc>
          <w:tcPr>
            <w:tcW w:w="1705" w:type="dxa"/>
            <w:vMerge w:val="restart"/>
            <w:vAlign w:val="center"/>
          </w:tcPr>
          <w:p w14:paraId="57CDC51D" w14:textId="77777777" w:rsidR="00140B7C" w:rsidRPr="00EC4EC4" w:rsidRDefault="00140B7C" w:rsidP="00BC1087">
            <w:pPr>
              <w:autoSpaceDE w:val="0"/>
              <w:autoSpaceDN w:val="0"/>
              <w:adjustRightInd w:val="0"/>
              <w:spacing w:after="0" w:line="240" w:lineRule="auto"/>
              <w:jc w:val="center"/>
              <w:rPr>
                <w:rFonts w:eastAsia="Times New Roman" w:cs="Times New Roman"/>
                <w:color w:val="000000"/>
                <w:sz w:val="20"/>
              </w:rPr>
            </w:pPr>
            <w:r w:rsidRPr="00EC4EC4">
              <w:rPr>
                <w:rFonts w:eastAsia="Times New Roman" w:cs="Times New Roman"/>
                <w:b/>
                <w:color w:val="000000"/>
                <w:sz w:val="20"/>
              </w:rPr>
              <w:t>TYPE OF LIQUID</w:t>
            </w:r>
          </w:p>
        </w:tc>
        <w:tc>
          <w:tcPr>
            <w:tcW w:w="7871" w:type="dxa"/>
            <w:gridSpan w:val="3"/>
            <w:vAlign w:val="center"/>
          </w:tcPr>
          <w:p w14:paraId="0C0FCE18" w14:textId="77777777" w:rsidR="00140B7C" w:rsidRPr="00EC4EC4" w:rsidRDefault="00140B7C" w:rsidP="00BC1087">
            <w:pPr>
              <w:autoSpaceDE w:val="0"/>
              <w:autoSpaceDN w:val="0"/>
              <w:adjustRightInd w:val="0"/>
              <w:spacing w:after="0" w:line="240" w:lineRule="auto"/>
              <w:jc w:val="center"/>
              <w:rPr>
                <w:rFonts w:eastAsia="Times New Roman" w:cs="Times New Roman"/>
                <w:color w:val="000000"/>
                <w:sz w:val="20"/>
              </w:rPr>
            </w:pPr>
            <w:r w:rsidRPr="00EC4EC4">
              <w:rPr>
                <w:rFonts w:eastAsia="Times New Roman" w:cs="Times New Roman"/>
                <w:b/>
                <w:color w:val="000000"/>
                <w:sz w:val="20"/>
              </w:rPr>
              <w:t>MAXIMUM ALLOWABLE QUANTITY PER CONTROL AREA (gallons)</w:t>
            </w:r>
          </w:p>
        </w:tc>
      </w:tr>
      <w:tr w:rsidR="00140B7C" w:rsidRPr="00EC4EC4" w14:paraId="699272B5" w14:textId="77777777" w:rsidTr="00BC1087">
        <w:trPr>
          <w:cantSplit/>
          <w:trHeight w:val="540"/>
          <w:tblHeader/>
          <w:jc w:val="center"/>
        </w:trPr>
        <w:tc>
          <w:tcPr>
            <w:tcW w:w="1705" w:type="dxa"/>
            <w:vMerge/>
            <w:vAlign w:val="center"/>
          </w:tcPr>
          <w:p w14:paraId="2F67F99D" w14:textId="77777777" w:rsidR="00140B7C" w:rsidRPr="00EC4EC4" w:rsidRDefault="00140B7C" w:rsidP="00BC1087">
            <w:pPr>
              <w:autoSpaceDE w:val="0"/>
              <w:autoSpaceDN w:val="0"/>
              <w:adjustRightInd w:val="0"/>
              <w:spacing w:after="0" w:line="240" w:lineRule="auto"/>
              <w:rPr>
                <w:rFonts w:eastAsia="Times New Roman" w:cs="Times New Roman"/>
                <w:sz w:val="20"/>
              </w:rPr>
            </w:pPr>
          </w:p>
        </w:tc>
        <w:tc>
          <w:tcPr>
            <w:tcW w:w="2532" w:type="dxa"/>
            <w:vAlign w:val="center"/>
          </w:tcPr>
          <w:p w14:paraId="42DFD979" w14:textId="77777777" w:rsidR="00140B7C" w:rsidRPr="00EC4EC4" w:rsidRDefault="00140B7C" w:rsidP="00BC1087">
            <w:pPr>
              <w:autoSpaceDE w:val="0"/>
              <w:autoSpaceDN w:val="0"/>
              <w:adjustRightInd w:val="0"/>
              <w:spacing w:after="0" w:line="240" w:lineRule="auto"/>
              <w:jc w:val="center"/>
              <w:rPr>
                <w:rFonts w:eastAsia="Times New Roman" w:cs="Times New Roman"/>
                <w:color w:val="000000"/>
                <w:sz w:val="20"/>
              </w:rPr>
            </w:pPr>
            <w:r w:rsidRPr="00EC4EC4">
              <w:rPr>
                <w:rFonts w:eastAsia="Times New Roman" w:cs="Times New Roman"/>
                <w:b/>
                <w:color w:val="000000"/>
                <w:sz w:val="20"/>
              </w:rPr>
              <w:t>Sprinklered in accordance with note</w:t>
            </w:r>
            <w:r w:rsidRPr="00EC4EC4">
              <w:rPr>
                <w:rFonts w:eastAsia="Times New Roman" w:cs="Times New Roman"/>
                <w:b/>
                <w:bCs/>
                <w:color w:val="000000"/>
                <w:sz w:val="20"/>
                <w:szCs w:val="20"/>
              </w:rPr>
              <w:br/>
            </w:r>
            <w:r w:rsidRPr="00EC4EC4">
              <w:rPr>
                <w:rFonts w:eastAsia="Times New Roman" w:cs="Times New Roman"/>
                <w:b/>
                <w:color w:val="000000"/>
                <w:sz w:val="20"/>
              </w:rPr>
              <w:t xml:space="preserve"> b densities and arrangements</w:t>
            </w:r>
          </w:p>
        </w:tc>
        <w:tc>
          <w:tcPr>
            <w:tcW w:w="3656" w:type="dxa"/>
            <w:vAlign w:val="center"/>
          </w:tcPr>
          <w:p w14:paraId="20A6BDD7" w14:textId="77777777" w:rsidR="00140B7C" w:rsidRPr="00EC4EC4" w:rsidRDefault="00140B7C" w:rsidP="00BC1087">
            <w:pPr>
              <w:autoSpaceDE w:val="0"/>
              <w:autoSpaceDN w:val="0"/>
              <w:adjustRightInd w:val="0"/>
              <w:spacing w:after="0" w:line="240" w:lineRule="auto"/>
              <w:jc w:val="center"/>
              <w:rPr>
                <w:rFonts w:eastAsia="Times New Roman" w:cs="Times New Roman"/>
                <w:color w:val="000000"/>
                <w:sz w:val="20"/>
              </w:rPr>
            </w:pPr>
            <w:r w:rsidRPr="00EC4EC4">
              <w:rPr>
                <w:rFonts w:eastAsia="Times New Roman" w:cs="Times New Roman"/>
                <w:b/>
                <w:color w:val="000000"/>
                <w:sz w:val="20"/>
              </w:rPr>
              <w:t>Sprinklered in accordance with Tables [</w:t>
            </w:r>
            <w:r w:rsidRPr="00EC4EC4">
              <w:rPr>
                <w:rFonts w:eastAsia="Times New Roman" w:cs="Times New Roman"/>
                <w:b/>
                <w:bCs/>
                <w:strike/>
                <w:color w:val="000000"/>
                <w:sz w:val="19"/>
                <w:szCs w:val="19"/>
              </w:rPr>
              <w:t>3404</w:t>
            </w:r>
            <w:r w:rsidRPr="00EC4EC4">
              <w:rPr>
                <w:rFonts w:eastAsia="Times New Roman" w:cs="Times New Roman"/>
                <w:b/>
                <w:strike/>
                <w:color w:val="000000"/>
                <w:sz w:val="20"/>
              </w:rPr>
              <w:t>.3.6.3(4</w:t>
            </w:r>
            <w:r w:rsidRPr="00EC4EC4">
              <w:rPr>
                <w:rFonts w:eastAsia="Times New Roman" w:cs="Times New Roman"/>
                <w:b/>
                <w:color w:val="000000"/>
                <w:sz w:val="20"/>
              </w:rPr>
              <w:t>)]</w:t>
            </w:r>
            <w:r w:rsidRPr="00EC4EC4">
              <w:rPr>
                <w:rFonts w:eastAsia="Times New Roman" w:cs="Times New Roman"/>
                <w:b/>
                <w:color w:val="000000"/>
                <w:sz w:val="20"/>
                <w:u w:val="single"/>
              </w:rPr>
              <w:t>5704.3.6.3(4)</w:t>
            </w:r>
            <w:r w:rsidRPr="00EC4EC4">
              <w:rPr>
                <w:rFonts w:eastAsia="Times New Roman" w:cs="Times New Roman"/>
                <w:b/>
                <w:color w:val="000000"/>
                <w:sz w:val="20"/>
              </w:rPr>
              <w:t xml:space="preserve"> through [</w:t>
            </w:r>
            <w:r w:rsidRPr="00EC4EC4">
              <w:rPr>
                <w:rFonts w:eastAsia="Times New Roman" w:cs="Times New Roman"/>
                <w:b/>
                <w:bCs/>
                <w:strike/>
                <w:color w:val="000000"/>
                <w:sz w:val="19"/>
                <w:szCs w:val="19"/>
              </w:rPr>
              <w:t>3404</w:t>
            </w:r>
            <w:r w:rsidRPr="00EC4EC4">
              <w:rPr>
                <w:rFonts w:eastAsia="Times New Roman" w:cs="Times New Roman"/>
                <w:b/>
                <w:strike/>
                <w:color w:val="000000"/>
                <w:sz w:val="20"/>
              </w:rPr>
              <w:t>.3.6.3(8</w:t>
            </w:r>
            <w:r w:rsidRPr="00EC4EC4">
              <w:rPr>
                <w:rFonts w:eastAsia="Times New Roman" w:cs="Times New Roman"/>
                <w:b/>
                <w:color w:val="000000"/>
                <w:sz w:val="20"/>
              </w:rPr>
              <w:t>)]</w:t>
            </w:r>
            <w:r w:rsidRPr="00EC4EC4">
              <w:rPr>
                <w:rFonts w:eastAsia="Times New Roman" w:cs="Times New Roman"/>
                <w:b/>
                <w:color w:val="000000"/>
                <w:sz w:val="20"/>
                <w:u w:val="single"/>
              </w:rPr>
              <w:t>5704.3.6.3(8)</w:t>
            </w:r>
            <w:r w:rsidRPr="00EC4EC4">
              <w:rPr>
                <w:rFonts w:eastAsia="Times New Roman" w:cs="Times New Roman"/>
                <w:b/>
                <w:color w:val="000000"/>
                <w:sz w:val="20"/>
              </w:rPr>
              <w:t xml:space="preserve"> and </w:t>
            </w:r>
            <w:r w:rsidRPr="00EC4EC4">
              <w:rPr>
                <w:rFonts w:eastAsia="Times New Roman" w:cs="Times New Roman"/>
                <w:b/>
                <w:bCs/>
                <w:color w:val="000000"/>
                <w:sz w:val="19"/>
                <w:szCs w:val="19"/>
              </w:rPr>
              <w:t>Table [</w:t>
            </w:r>
            <w:r w:rsidRPr="00EC4EC4">
              <w:rPr>
                <w:rFonts w:eastAsia="Times New Roman" w:cs="Times New Roman"/>
                <w:b/>
                <w:bCs/>
                <w:strike/>
                <w:color w:val="000000"/>
                <w:spacing w:val="6"/>
                <w:sz w:val="19"/>
                <w:szCs w:val="19"/>
              </w:rPr>
              <w:t>3404</w:t>
            </w:r>
            <w:r w:rsidRPr="00EC4EC4">
              <w:rPr>
                <w:rFonts w:eastAsia="Times New Roman" w:cs="Times New Roman"/>
                <w:b/>
                <w:strike/>
                <w:color w:val="000000"/>
                <w:sz w:val="20"/>
              </w:rPr>
              <w:t>.3.7.5.1</w:t>
            </w:r>
            <w:r w:rsidRPr="00EC4EC4">
              <w:rPr>
                <w:rFonts w:eastAsia="Times New Roman" w:cs="Times New Roman"/>
                <w:b/>
                <w:color w:val="000000"/>
                <w:sz w:val="20"/>
              </w:rPr>
              <w:t>]</w:t>
            </w:r>
            <w:r w:rsidRPr="00EC4EC4">
              <w:rPr>
                <w:rFonts w:eastAsia="Times New Roman" w:cs="Times New Roman"/>
                <w:b/>
                <w:color w:val="000000"/>
                <w:sz w:val="20"/>
                <w:u w:val="single"/>
              </w:rPr>
              <w:t>5704.3.7.5.1</w:t>
            </w:r>
            <w:r w:rsidRPr="00EC4EC4">
              <w:rPr>
                <w:rFonts w:eastAsia="Times New Roman" w:cs="Times New Roman"/>
                <w:b/>
                <w:color w:val="000000"/>
                <w:sz w:val="20"/>
              </w:rPr>
              <w:t xml:space="preserve"> of the</w:t>
            </w:r>
            <w:r w:rsidRPr="00EC4EC4">
              <w:rPr>
                <w:rFonts w:eastAsia="Times New Roman" w:cs="Times New Roman"/>
                <w:b/>
                <w:bCs/>
                <w:i/>
                <w:iCs/>
                <w:color w:val="000000"/>
                <w:spacing w:val="-4"/>
                <w:sz w:val="19"/>
                <w:szCs w:val="19"/>
              </w:rPr>
              <w:t xml:space="preserve"> New York City</w:t>
            </w:r>
            <w:r w:rsidRPr="00EC4EC4">
              <w:rPr>
                <w:rFonts w:eastAsia="Times New Roman" w:cs="Times New Roman"/>
                <w:b/>
                <w:i/>
                <w:color w:val="000000"/>
                <w:sz w:val="20"/>
              </w:rPr>
              <w:t xml:space="preserve"> Fire Code</w:t>
            </w:r>
          </w:p>
        </w:tc>
        <w:tc>
          <w:tcPr>
            <w:tcW w:w="1683" w:type="dxa"/>
            <w:vAlign w:val="center"/>
          </w:tcPr>
          <w:p w14:paraId="37CDB480" w14:textId="77777777" w:rsidR="00140B7C" w:rsidRPr="00EC4EC4" w:rsidRDefault="00140B7C" w:rsidP="00BC1087">
            <w:pPr>
              <w:autoSpaceDE w:val="0"/>
              <w:autoSpaceDN w:val="0"/>
              <w:adjustRightInd w:val="0"/>
              <w:spacing w:after="0" w:line="240" w:lineRule="auto"/>
              <w:jc w:val="center"/>
              <w:rPr>
                <w:rFonts w:eastAsia="Times New Roman" w:cs="Times New Roman"/>
                <w:color w:val="000000"/>
                <w:sz w:val="20"/>
              </w:rPr>
            </w:pPr>
            <w:r w:rsidRPr="00EC4EC4">
              <w:rPr>
                <w:rFonts w:eastAsia="Times New Roman" w:cs="Times New Roman"/>
                <w:b/>
                <w:color w:val="000000"/>
                <w:sz w:val="20"/>
              </w:rPr>
              <w:t>Nonsprinklered</w:t>
            </w:r>
          </w:p>
        </w:tc>
      </w:tr>
      <w:tr w:rsidR="00140B7C" w:rsidRPr="00EC4EC4" w14:paraId="65933C77" w14:textId="77777777" w:rsidTr="00BC1087">
        <w:trPr>
          <w:cantSplit/>
          <w:trHeight w:val="540"/>
          <w:jc w:val="center"/>
        </w:trPr>
        <w:tc>
          <w:tcPr>
            <w:tcW w:w="1705" w:type="dxa"/>
            <w:vAlign w:val="center"/>
          </w:tcPr>
          <w:p w14:paraId="32476C49" w14:textId="77777777" w:rsidR="00140B7C" w:rsidRPr="00EC4EC4" w:rsidRDefault="00140B7C" w:rsidP="00BC1087">
            <w:pPr>
              <w:autoSpaceDE w:val="0"/>
              <w:autoSpaceDN w:val="0"/>
              <w:adjustRightInd w:val="0"/>
              <w:spacing w:after="0" w:line="240" w:lineRule="auto"/>
              <w:jc w:val="center"/>
              <w:rPr>
                <w:rFonts w:eastAsia="Times New Roman" w:cs="Times New Roman"/>
                <w:sz w:val="20"/>
              </w:rPr>
            </w:pPr>
            <w:r w:rsidRPr="00EC4EC4">
              <w:rPr>
                <w:rFonts w:eastAsia="Times New Roman" w:cs="Times New Roman"/>
                <w:sz w:val="20"/>
              </w:rPr>
              <w:t>Class IA</w:t>
            </w:r>
          </w:p>
        </w:tc>
        <w:tc>
          <w:tcPr>
            <w:tcW w:w="2532" w:type="dxa"/>
            <w:vAlign w:val="center"/>
          </w:tcPr>
          <w:p w14:paraId="791200E3" w14:textId="77777777" w:rsidR="00140B7C" w:rsidRPr="00EC4EC4" w:rsidRDefault="00140B7C" w:rsidP="00BC1087">
            <w:pPr>
              <w:autoSpaceDE w:val="0"/>
              <w:autoSpaceDN w:val="0"/>
              <w:adjustRightInd w:val="0"/>
              <w:spacing w:after="0" w:line="240" w:lineRule="auto"/>
              <w:jc w:val="center"/>
              <w:rPr>
                <w:rFonts w:eastAsia="Times New Roman" w:cs="Times New Roman"/>
                <w:sz w:val="20"/>
              </w:rPr>
            </w:pPr>
            <w:r w:rsidRPr="00EC4EC4">
              <w:rPr>
                <w:rFonts w:eastAsia="Times New Roman" w:cs="Times New Roman"/>
                <w:sz w:val="20"/>
              </w:rPr>
              <w:t>60</w:t>
            </w:r>
          </w:p>
        </w:tc>
        <w:tc>
          <w:tcPr>
            <w:tcW w:w="3656" w:type="dxa"/>
            <w:vAlign w:val="center"/>
          </w:tcPr>
          <w:p w14:paraId="42B8F289" w14:textId="77777777" w:rsidR="00140B7C" w:rsidRPr="00EC4EC4" w:rsidRDefault="00140B7C" w:rsidP="00BC1087">
            <w:pPr>
              <w:autoSpaceDE w:val="0"/>
              <w:autoSpaceDN w:val="0"/>
              <w:adjustRightInd w:val="0"/>
              <w:spacing w:after="0" w:line="240" w:lineRule="auto"/>
              <w:jc w:val="center"/>
              <w:rPr>
                <w:rFonts w:eastAsia="Times New Roman" w:cs="Times New Roman"/>
                <w:sz w:val="20"/>
              </w:rPr>
            </w:pPr>
            <w:r w:rsidRPr="00EC4EC4">
              <w:rPr>
                <w:rFonts w:eastAsia="Times New Roman" w:cs="Times New Roman"/>
                <w:sz w:val="20"/>
              </w:rPr>
              <w:t>60</w:t>
            </w:r>
          </w:p>
        </w:tc>
        <w:tc>
          <w:tcPr>
            <w:tcW w:w="1683" w:type="dxa"/>
            <w:vAlign w:val="center"/>
          </w:tcPr>
          <w:p w14:paraId="4C3D452A" w14:textId="77777777" w:rsidR="00140B7C" w:rsidRPr="00EC4EC4" w:rsidRDefault="00140B7C" w:rsidP="00BC1087">
            <w:pPr>
              <w:autoSpaceDE w:val="0"/>
              <w:autoSpaceDN w:val="0"/>
              <w:adjustRightInd w:val="0"/>
              <w:spacing w:after="0" w:line="240" w:lineRule="auto"/>
              <w:jc w:val="center"/>
              <w:rPr>
                <w:rFonts w:eastAsia="Times New Roman" w:cs="Times New Roman"/>
                <w:sz w:val="20"/>
              </w:rPr>
            </w:pPr>
            <w:r w:rsidRPr="00EC4EC4">
              <w:rPr>
                <w:rFonts w:eastAsia="Times New Roman" w:cs="Times New Roman"/>
                <w:sz w:val="20"/>
              </w:rPr>
              <w:t>30</w:t>
            </w:r>
          </w:p>
        </w:tc>
      </w:tr>
      <w:tr w:rsidR="00140B7C" w:rsidRPr="00EC4EC4" w14:paraId="2A519D33" w14:textId="77777777" w:rsidTr="00BC1087">
        <w:trPr>
          <w:cantSplit/>
          <w:trHeight w:val="540"/>
          <w:jc w:val="center"/>
        </w:trPr>
        <w:tc>
          <w:tcPr>
            <w:tcW w:w="1705" w:type="dxa"/>
            <w:vAlign w:val="center"/>
          </w:tcPr>
          <w:p w14:paraId="5C8383C2" w14:textId="77777777" w:rsidR="00140B7C" w:rsidRPr="00EC4EC4" w:rsidRDefault="00140B7C" w:rsidP="00BC1087">
            <w:pPr>
              <w:autoSpaceDE w:val="0"/>
              <w:autoSpaceDN w:val="0"/>
              <w:adjustRightInd w:val="0"/>
              <w:spacing w:after="0" w:line="240" w:lineRule="auto"/>
              <w:jc w:val="center"/>
              <w:rPr>
                <w:rFonts w:eastAsia="Times New Roman" w:cs="Times New Roman"/>
                <w:sz w:val="20"/>
              </w:rPr>
            </w:pPr>
            <w:r w:rsidRPr="00EC4EC4">
              <w:rPr>
                <w:rFonts w:eastAsia="Times New Roman" w:cs="Times New Roman"/>
                <w:sz w:val="20"/>
              </w:rPr>
              <w:t>Class IB, IC, II and IIIA</w:t>
            </w:r>
          </w:p>
        </w:tc>
        <w:tc>
          <w:tcPr>
            <w:tcW w:w="2532" w:type="dxa"/>
            <w:vAlign w:val="center"/>
          </w:tcPr>
          <w:p w14:paraId="3C62A436" w14:textId="77777777" w:rsidR="00140B7C" w:rsidRPr="00EC4EC4" w:rsidRDefault="00140B7C" w:rsidP="00BC1087">
            <w:pPr>
              <w:autoSpaceDE w:val="0"/>
              <w:autoSpaceDN w:val="0"/>
              <w:adjustRightInd w:val="0"/>
              <w:spacing w:after="0" w:line="240" w:lineRule="auto"/>
              <w:jc w:val="center"/>
              <w:rPr>
                <w:rFonts w:eastAsia="Times New Roman" w:cs="Times New Roman"/>
                <w:color w:val="000000"/>
                <w:sz w:val="20"/>
              </w:rPr>
            </w:pPr>
            <w:r w:rsidRPr="00EC4EC4">
              <w:rPr>
                <w:rFonts w:eastAsia="Times New Roman" w:cs="Times New Roman"/>
                <w:sz w:val="20"/>
              </w:rPr>
              <w:t>7,500</w:t>
            </w:r>
            <w:r w:rsidRPr="00EC4EC4">
              <w:rPr>
                <w:rFonts w:eastAsia="Times New Roman" w:cs="Times New Roman"/>
                <w:sz w:val="20"/>
                <w:vertAlign w:val="superscript"/>
              </w:rPr>
              <w:t>c</w:t>
            </w:r>
          </w:p>
        </w:tc>
        <w:tc>
          <w:tcPr>
            <w:tcW w:w="3656" w:type="dxa"/>
            <w:vAlign w:val="center"/>
          </w:tcPr>
          <w:p w14:paraId="2F427353" w14:textId="77777777" w:rsidR="00140B7C" w:rsidRPr="00EC4EC4" w:rsidRDefault="00140B7C" w:rsidP="00BC1087">
            <w:pPr>
              <w:autoSpaceDE w:val="0"/>
              <w:autoSpaceDN w:val="0"/>
              <w:adjustRightInd w:val="0"/>
              <w:spacing w:after="0" w:line="240" w:lineRule="auto"/>
              <w:jc w:val="center"/>
              <w:rPr>
                <w:rFonts w:eastAsia="Times New Roman" w:cs="Times New Roman"/>
                <w:color w:val="000000"/>
                <w:sz w:val="20"/>
              </w:rPr>
            </w:pPr>
            <w:r w:rsidRPr="00EC4EC4">
              <w:rPr>
                <w:rFonts w:eastAsia="Times New Roman" w:cs="Times New Roman"/>
                <w:sz w:val="20"/>
              </w:rPr>
              <w:t>15,000</w:t>
            </w:r>
            <w:r w:rsidRPr="00EC4EC4">
              <w:rPr>
                <w:rFonts w:eastAsia="Times New Roman" w:cs="Times New Roman"/>
                <w:sz w:val="20"/>
                <w:vertAlign w:val="superscript"/>
              </w:rPr>
              <w:t>c</w:t>
            </w:r>
          </w:p>
        </w:tc>
        <w:tc>
          <w:tcPr>
            <w:tcW w:w="1683" w:type="dxa"/>
            <w:vAlign w:val="center"/>
          </w:tcPr>
          <w:p w14:paraId="234F0A7A" w14:textId="77777777" w:rsidR="00140B7C" w:rsidRPr="00EC4EC4" w:rsidRDefault="00140B7C" w:rsidP="00BC1087">
            <w:pPr>
              <w:autoSpaceDE w:val="0"/>
              <w:autoSpaceDN w:val="0"/>
              <w:adjustRightInd w:val="0"/>
              <w:spacing w:after="0" w:line="240" w:lineRule="auto"/>
              <w:jc w:val="center"/>
              <w:rPr>
                <w:rFonts w:eastAsia="Times New Roman" w:cs="Times New Roman"/>
                <w:sz w:val="20"/>
              </w:rPr>
            </w:pPr>
            <w:r w:rsidRPr="00EC4EC4">
              <w:rPr>
                <w:rFonts w:eastAsia="Times New Roman" w:cs="Times New Roman"/>
                <w:sz w:val="20"/>
              </w:rPr>
              <w:t>1,600</w:t>
            </w:r>
          </w:p>
        </w:tc>
      </w:tr>
      <w:tr w:rsidR="00140B7C" w:rsidRPr="00EC4EC4" w14:paraId="4442C3B0" w14:textId="77777777" w:rsidTr="00BC1087">
        <w:trPr>
          <w:cantSplit/>
          <w:trHeight w:val="540"/>
          <w:jc w:val="center"/>
        </w:trPr>
        <w:tc>
          <w:tcPr>
            <w:tcW w:w="1705" w:type="dxa"/>
            <w:vAlign w:val="center"/>
          </w:tcPr>
          <w:p w14:paraId="18086DD2" w14:textId="77777777" w:rsidR="00140B7C" w:rsidRPr="00EC4EC4" w:rsidRDefault="00140B7C" w:rsidP="00BC1087">
            <w:pPr>
              <w:autoSpaceDE w:val="0"/>
              <w:autoSpaceDN w:val="0"/>
              <w:adjustRightInd w:val="0"/>
              <w:spacing w:after="0" w:line="240" w:lineRule="auto"/>
              <w:jc w:val="center"/>
              <w:rPr>
                <w:rFonts w:eastAsia="Times New Roman" w:cs="Times New Roman"/>
                <w:sz w:val="20"/>
              </w:rPr>
            </w:pPr>
            <w:r w:rsidRPr="00EC4EC4">
              <w:rPr>
                <w:rFonts w:eastAsia="Times New Roman" w:cs="Times New Roman"/>
                <w:sz w:val="20"/>
              </w:rPr>
              <w:t>Class IIIB</w:t>
            </w:r>
          </w:p>
        </w:tc>
        <w:tc>
          <w:tcPr>
            <w:tcW w:w="2532" w:type="dxa"/>
            <w:vAlign w:val="center"/>
          </w:tcPr>
          <w:p w14:paraId="1669BEEC" w14:textId="77777777" w:rsidR="00140B7C" w:rsidRPr="00EC4EC4" w:rsidRDefault="00140B7C" w:rsidP="00BC1087">
            <w:pPr>
              <w:autoSpaceDE w:val="0"/>
              <w:autoSpaceDN w:val="0"/>
              <w:adjustRightInd w:val="0"/>
              <w:spacing w:after="0" w:line="240" w:lineRule="auto"/>
              <w:jc w:val="center"/>
              <w:rPr>
                <w:rFonts w:eastAsia="Times New Roman" w:cs="Times New Roman"/>
                <w:sz w:val="20"/>
              </w:rPr>
            </w:pPr>
            <w:r w:rsidRPr="00EC4EC4">
              <w:rPr>
                <w:rFonts w:eastAsia="Times New Roman" w:cs="Times New Roman"/>
                <w:sz w:val="20"/>
              </w:rPr>
              <w:t>Unlimited</w:t>
            </w:r>
          </w:p>
        </w:tc>
        <w:tc>
          <w:tcPr>
            <w:tcW w:w="3656" w:type="dxa"/>
            <w:vAlign w:val="center"/>
          </w:tcPr>
          <w:p w14:paraId="71CE2EF6" w14:textId="77777777" w:rsidR="00140B7C" w:rsidRPr="00EC4EC4" w:rsidRDefault="00140B7C" w:rsidP="00BC1087">
            <w:pPr>
              <w:autoSpaceDE w:val="0"/>
              <w:autoSpaceDN w:val="0"/>
              <w:adjustRightInd w:val="0"/>
              <w:spacing w:after="0" w:line="240" w:lineRule="auto"/>
              <w:jc w:val="center"/>
              <w:rPr>
                <w:rFonts w:eastAsia="Times New Roman" w:cs="Times New Roman"/>
                <w:sz w:val="20"/>
              </w:rPr>
            </w:pPr>
            <w:r w:rsidRPr="00EC4EC4">
              <w:rPr>
                <w:rFonts w:eastAsia="Times New Roman" w:cs="Times New Roman"/>
                <w:sz w:val="20"/>
              </w:rPr>
              <w:t>Unlimited</w:t>
            </w:r>
          </w:p>
        </w:tc>
        <w:tc>
          <w:tcPr>
            <w:tcW w:w="1683" w:type="dxa"/>
            <w:vAlign w:val="center"/>
          </w:tcPr>
          <w:p w14:paraId="0DEC7B4C" w14:textId="77777777" w:rsidR="00140B7C" w:rsidRPr="00EC4EC4" w:rsidRDefault="00140B7C" w:rsidP="00BC1087">
            <w:pPr>
              <w:autoSpaceDE w:val="0"/>
              <w:autoSpaceDN w:val="0"/>
              <w:adjustRightInd w:val="0"/>
              <w:spacing w:after="0" w:line="240" w:lineRule="auto"/>
              <w:jc w:val="center"/>
              <w:rPr>
                <w:rFonts w:eastAsia="Times New Roman" w:cs="Times New Roman"/>
                <w:color w:val="000000"/>
                <w:sz w:val="20"/>
              </w:rPr>
            </w:pPr>
            <w:r w:rsidRPr="00EC4EC4">
              <w:rPr>
                <w:rFonts w:eastAsia="Times New Roman" w:cs="Times New Roman"/>
                <w:sz w:val="20"/>
              </w:rPr>
              <w:t>13,200</w:t>
            </w:r>
          </w:p>
        </w:tc>
      </w:tr>
    </w:tbl>
    <w:p w14:paraId="505A0FCD"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Times New Roman"/>
          <w:color w:val="000000"/>
          <w:sz w:val="14"/>
          <w:szCs w:val="14"/>
        </w:rPr>
      </w:pPr>
    </w:p>
    <w:p w14:paraId="2A1D15A6"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Times New Roman"/>
          <w:color w:val="000000"/>
          <w:position w:val="16"/>
          <w:sz w:val="14"/>
          <w:szCs w:val="14"/>
        </w:rPr>
      </w:pPr>
      <w:r w:rsidRPr="00EC4EC4">
        <w:rPr>
          <w:rFonts w:eastAsia="Times New Roman" w:cs="Times New Roman"/>
          <w:color w:val="000000"/>
          <w:sz w:val="14"/>
          <w:szCs w:val="14"/>
        </w:rPr>
        <w:t>For SI: 1 foot = 304.8 mm, 1 square foot = 0.</w:t>
      </w:r>
      <w:r w:rsidRPr="00EC4EC4">
        <w:rPr>
          <w:rFonts w:eastAsia="Times New Roman" w:cs="Times New Roman"/>
          <w:spacing w:val="3"/>
          <w:sz w:val="14"/>
          <w:szCs w:val="14"/>
        </w:rPr>
        <w:t>0929m</w:t>
      </w:r>
      <w:r w:rsidRPr="00EC4EC4">
        <w:rPr>
          <w:rFonts w:eastAsia="Times New Roman" w:cs="Times New Roman"/>
          <w:spacing w:val="3"/>
          <w:w w:val="115"/>
          <w:sz w:val="14"/>
          <w:szCs w:val="14"/>
          <w:vertAlign w:val="superscript"/>
        </w:rPr>
        <w:t>2</w:t>
      </w:r>
      <w:r w:rsidRPr="00EC4EC4">
        <w:rPr>
          <w:rFonts w:eastAsia="Times New Roman" w:cs="Times New Roman"/>
          <w:color w:val="000000"/>
          <w:sz w:val="14"/>
          <w:szCs w:val="14"/>
        </w:rPr>
        <w:t>, 1 gallon = 3.785 L, 1 gallon per minute per square foot = 40.75 L/min/m</w:t>
      </w:r>
      <w:r w:rsidRPr="00EC4EC4">
        <w:rPr>
          <w:rFonts w:eastAsia="Times New Roman" w:cs="Times New Roman"/>
          <w:color w:val="000000"/>
          <w:sz w:val="14"/>
          <w:szCs w:val="14"/>
          <w:vertAlign w:val="superscript"/>
        </w:rPr>
        <w:t>2</w:t>
      </w:r>
      <w:r w:rsidRPr="00EC4EC4">
        <w:rPr>
          <w:rFonts w:eastAsia="Times New Roman" w:cs="Times New Roman"/>
          <w:color w:val="000000"/>
          <w:sz w:val="14"/>
          <w:szCs w:val="14"/>
        </w:rPr>
        <w:t>.</w:t>
      </w:r>
    </w:p>
    <w:p w14:paraId="38D4438B"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Times New Roman"/>
          <w:color w:val="000000"/>
          <w:sz w:val="14"/>
          <w:szCs w:val="14"/>
        </w:rPr>
      </w:pPr>
      <w:r w:rsidRPr="00EC4EC4">
        <w:rPr>
          <w:rFonts w:eastAsia="Times New Roman" w:cs="Times New Roman"/>
          <w:color w:val="000000"/>
          <w:sz w:val="14"/>
          <w:szCs w:val="14"/>
        </w:rPr>
        <w:t>a.</w:t>
      </w:r>
      <w:r w:rsidRPr="00EC4EC4">
        <w:rPr>
          <w:rFonts w:eastAsia="Times New Roman" w:cs="Times New Roman"/>
          <w:color w:val="000000"/>
          <w:sz w:val="14"/>
          <w:szCs w:val="14"/>
        </w:rPr>
        <w:tab/>
        <w:t>Control areas shall be separated from each other by not less than a 1-hour fire barrier wall.</w:t>
      </w:r>
    </w:p>
    <w:p w14:paraId="422FF4DA"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Times New Roman"/>
          <w:color w:val="000000"/>
          <w:sz w:val="14"/>
          <w:szCs w:val="14"/>
        </w:rPr>
      </w:pPr>
      <w:r w:rsidRPr="00EC4EC4">
        <w:rPr>
          <w:rFonts w:eastAsia="Times New Roman" w:cs="Times New Roman"/>
          <w:color w:val="000000"/>
          <w:sz w:val="14"/>
          <w:szCs w:val="14"/>
        </w:rPr>
        <w:t>b.</w:t>
      </w:r>
      <w:r w:rsidRPr="00EC4EC4">
        <w:rPr>
          <w:rFonts w:eastAsia="Times New Roman" w:cs="Times New Roman"/>
          <w:color w:val="000000"/>
          <w:sz w:val="14"/>
          <w:szCs w:val="14"/>
        </w:rPr>
        <w:tab/>
        <w:t>To be considered as sprinklered, a building shall be equipped throughout with an approved automatic sprinkler system with a design providing minimum densities as follows:</w:t>
      </w:r>
    </w:p>
    <w:p w14:paraId="44D1225E" w14:textId="77777777" w:rsidR="00140B7C" w:rsidRPr="00EC4EC4" w:rsidRDefault="00140B7C" w:rsidP="00140B7C">
      <w:pPr>
        <w:tabs>
          <w:tab w:val="left" w:pos="720"/>
        </w:tabs>
        <w:autoSpaceDE w:val="0"/>
        <w:autoSpaceDN w:val="0"/>
        <w:adjustRightInd w:val="0"/>
        <w:spacing w:after="0" w:line="240" w:lineRule="auto"/>
        <w:ind w:left="720" w:hanging="360"/>
        <w:jc w:val="both"/>
        <w:rPr>
          <w:rFonts w:eastAsia="Times New Roman" w:cs="Times New Roman"/>
          <w:color w:val="000000"/>
          <w:sz w:val="14"/>
          <w:szCs w:val="14"/>
        </w:rPr>
      </w:pPr>
      <w:r w:rsidRPr="00EC4EC4">
        <w:rPr>
          <w:rFonts w:eastAsia="Times New Roman" w:cs="Times New Roman"/>
          <w:color w:val="000000"/>
          <w:sz w:val="14"/>
          <w:szCs w:val="14"/>
        </w:rPr>
        <w:t>1.</w:t>
      </w:r>
      <w:r w:rsidRPr="00EC4EC4">
        <w:rPr>
          <w:rFonts w:eastAsia="Times New Roman" w:cs="Times New Roman"/>
          <w:color w:val="000000"/>
          <w:sz w:val="14"/>
          <w:szCs w:val="14"/>
        </w:rPr>
        <w:tab/>
        <w:t>For uncartoned commodities on shelves 6 feet or less in height where the ceiling height does not exceed 18 feet, quantities are those permitted with a minimum sprinkler design density of Ordinary Hazard Group 2.</w:t>
      </w:r>
    </w:p>
    <w:p w14:paraId="26203B74" w14:textId="77777777" w:rsidR="00140B7C" w:rsidRPr="00EC4EC4" w:rsidRDefault="00140B7C" w:rsidP="00140B7C">
      <w:pPr>
        <w:tabs>
          <w:tab w:val="left" w:pos="720"/>
        </w:tabs>
        <w:autoSpaceDE w:val="0"/>
        <w:autoSpaceDN w:val="0"/>
        <w:adjustRightInd w:val="0"/>
        <w:spacing w:after="0" w:line="240" w:lineRule="auto"/>
        <w:ind w:left="720" w:hanging="360"/>
        <w:jc w:val="both"/>
        <w:rPr>
          <w:rFonts w:eastAsia="Times New Roman" w:cs="Times New Roman"/>
          <w:color w:val="000000"/>
          <w:sz w:val="14"/>
          <w:szCs w:val="14"/>
        </w:rPr>
      </w:pPr>
      <w:r w:rsidRPr="00EC4EC4">
        <w:rPr>
          <w:rFonts w:eastAsia="Times New Roman" w:cs="Times New Roman"/>
          <w:color w:val="000000"/>
          <w:sz w:val="14"/>
          <w:szCs w:val="14"/>
        </w:rPr>
        <w:lastRenderedPageBreak/>
        <w:t>2.</w:t>
      </w:r>
      <w:r w:rsidRPr="00EC4EC4">
        <w:rPr>
          <w:rFonts w:eastAsia="Times New Roman" w:cs="Times New Roman"/>
          <w:color w:val="000000"/>
          <w:sz w:val="14"/>
          <w:szCs w:val="14"/>
        </w:rPr>
        <w:tab/>
        <w:t>For cartoned, palletized or racked commodities where storage is 4 feet 6 inches or less in height and where the ceiling height does not exceed 18 feet, quantities are those permitted with a minimum sprinkler design density of 0.21 gallon per minute per square foot over the most remote 1,500-square-foot area.</w:t>
      </w:r>
    </w:p>
    <w:p w14:paraId="3D9599AC"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Times New Roman"/>
          <w:color w:val="000000"/>
          <w:sz w:val="14"/>
          <w:szCs w:val="14"/>
        </w:rPr>
      </w:pPr>
      <w:r w:rsidRPr="00EC4EC4">
        <w:rPr>
          <w:rFonts w:eastAsia="Times New Roman" w:cs="Times New Roman"/>
          <w:color w:val="000000"/>
          <w:sz w:val="14"/>
          <w:szCs w:val="14"/>
        </w:rPr>
        <w:t>c.</w:t>
      </w:r>
      <w:r w:rsidRPr="00EC4EC4">
        <w:rPr>
          <w:rFonts w:eastAsia="Times New Roman" w:cs="Times New Roman"/>
          <w:color w:val="000000"/>
          <w:sz w:val="14"/>
          <w:szCs w:val="14"/>
        </w:rPr>
        <w:tab/>
        <w:t>Where wholesale and retail sales or storage areas exceed 50,000 square feet in area, the maximum allowable quantities are allowed to be increased by 2 percent for each 1,000 square feet of area in excess of 50,000 square feet, up to a maximum of 100 percent of the table amounts. A control area separation is not required. The cumulative amounts, including amounts attained by having an additional control area, shall not exceed 30,000 gallons.</w:t>
      </w:r>
    </w:p>
    <w:p w14:paraId="2F352EBB" w14:textId="77777777" w:rsidR="00140B7C" w:rsidRPr="00EC4EC4" w:rsidRDefault="00140B7C" w:rsidP="00140B7C">
      <w:pPr>
        <w:kinsoku w:val="0"/>
        <w:spacing w:after="0" w:line="240" w:lineRule="auto"/>
        <w:ind w:firstLine="720"/>
        <w:jc w:val="both"/>
        <w:rPr>
          <w:rFonts w:cs="Times New Roman"/>
          <w:sz w:val="23"/>
          <w:szCs w:val="23"/>
        </w:rPr>
      </w:pPr>
    </w:p>
    <w:p w14:paraId="264E8E35" w14:textId="53481BD6"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11</w:t>
      </w:r>
      <w:r w:rsidR="00046546">
        <w:rPr>
          <w:rFonts w:cs="Times New Roman"/>
          <w:sz w:val="23"/>
          <w:szCs w:val="23"/>
        </w:rPr>
        <w:t>7</w:t>
      </w:r>
      <w:r w:rsidRPr="00EC4EC4">
        <w:rPr>
          <w:rFonts w:cs="Times New Roman"/>
          <w:sz w:val="23"/>
          <w:szCs w:val="23"/>
        </w:rPr>
        <w:t>. Section 424.7.3  of  the New York city building code, as renumbered section 427.7.3 by local law number 126 for the year 2021, is amended to read as follows:</w:t>
      </w:r>
    </w:p>
    <w:p w14:paraId="2EB24BAA" w14:textId="77777777" w:rsidR="00140B7C" w:rsidRPr="00EC4EC4" w:rsidRDefault="00140B7C" w:rsidP="00140B7C">
      <w:pPr>
        <w:pStyle w:val="FlushLeftDouble"/>
        <w:spacing w:after="0"/>
        <w:ind w:left="0"/>
        <w:rPr>
          <w:b/>
          <w:color w:val="000000"/>
          <w:szCs w:val="24"/>
        </w:rPr>
      </w:pPr>
    </w:p>
    <w:p w14:paraId="090D8C62" w14:textId="77777777" w:rsidR="00140B7C" w:rsidRPr="00EC4EC4" w:rsidRDefault="00140B7C" w:rsidP="00140B7C">
      <w:pPr>
        <w:pStyle w:val="FlushLeftDouble"/>
        <w:ind w:left="0"/>
        <w:rPr>
          <w:color w:val="000000"/>
          <w:spacing w:val="2"/>
          <w:szCs w:val="24"/>
        </w:rPr>
      </w:pPr>
      <w:r w:rsidRPr="00EC4EC4">
        <w:rPr>
          <w:b/>
          <w:color w:val="000000"/>
          <w:szCs w:val="24"/>
        </w:rPr>
        <w:t>427.7.3 Oxidizers and organic peroxides</w:t>
      </w:r>
      <w:r w:rsidRPr="00EC4EC4">
        <w:rPr>
          <w:b/>
          <w:bCs/>
          <w:color w:val="000000"/>
          <w:spacing w:val="-6"/>
          <w:w w:val="110"/>
          <w:szCs w:val="24"/>
        </w:rPr>
        <w:t xml:space="preserve">. </w:t>
      </w:r>
      <w:r w:rsidRPr="00EC4EC4">
        <w:rPr>
          <w:color w:val="000000"/>
          <w:spacing w:val="1"/>
          <w:szCs w:val="24"/>
        </w:rPr>
        <w:t>The total quan</w:t>
      </w:r>
      <w:r w:rsidRPr="00EC4EC4">
        <w:rPr>
          <w:color w:val="000000"/>
          <w:spacing w:val="1"/>
          <w:szCs w:val="24"/>
        </w:rPr>
        <w:softHyphen/>
        <w:t>tity of solid and liquid oxidizers and organic peroxides com</w:t>
      </w:r>
      <w:r w:rsidRPr="00EC4EC4">
        <w:rPr>
          <w:color w:val="000000"/>
          <w:spacing w:val="1"/>
          <w:szCs w:val="24"/>
        </w:rPr>
        <w:softHyphen/>
        <w:t>bined allowed within a laboratory unit, excluding any quantities in a storage room, shall not exceed 40 pounds (18 kg), provided not more than 2 pounds (0.908 kg) of which are Class 3 oxidizers and 1 pound (0.454 kg) of which is Class I organic peroxides.</w:t>
      </w:r>
    </w:p>
    <w:p w14:paraId="67CF33FC"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color w:val="000000"/>
          <w:spacing w:val="1"/>
          <w:szCs w:val="24"/>
        </w:rPr>
      </w:pPr>
      <w:r w:rsidRPr="00EC4EC4">
        <w:rPr>
          <w:rFonts w:eastAsia="Times New Roman" w:cs="Times New Roman"/>
          <w:b/>
          <w:color w:val="000000"/>
          <w:szCs w:val="24"/>
        </w:rPr>
        <w:t>Exception:</w:t>
      </w:r>
      <w:r w:rsidRPr="00EC4EC4">
        <w:rPr>
          <w:rFonts w:eastAsia="Times New Roman" w:cs="Times New Roman"/>
          <w:b/>
          <w:bCs/>
          <w:color w:val="000000"/>
          <w:w w:val="110"/>
          <w:szCs w:val="24"/>
        </w:rPr>
        <w:t xml:space="preserve"> </w:t>
      </w:r>
      <w:r w:rsidRPr="00EC4EC4">
        <w:rPr>
          <w:rFonts w:eastAsia="Times New Roman" w:cs="Times New Roman"/>
          <w:color w:val="000000"/>
          <w:spacing w:val="1"/>
          <w:szCs w:val="24"/>
        </w:rPr>
        <w:t>The total quantity of solid and liquid oxidiz</w:t>
      </w:r>
      <w:r w:rsidRPr="00EC4EC4">
        <w:rPr>
          <w:rFonts w:eastAsia="Times New Roman" w:cs="Times New Roman"/>
          <w:color w:val="000000"/>
          <w:spacing w:val="1"/>
          <w:szCs w:val="24"/>
        </w:rPr>
        <w:softHyphen/>
        <w:t>ers and organic peroxides combined allowed within a laboratory unit that is provided with walls, floors and ceilings that separate the laboratory unit from all adjoin</w:t>
      </w:r>
      <w:r w:rsidRPr="00EC4EC4">
        <w:rPr>
          <w:rFonts w:eastAsia="Times New Roman" w:cs="Times New Roman"/>
          <w:color w:val="000000"/>
          <w:spacing w:val="1"/>
          <w:szCs w:val="24"/>
        </w:rPr>
        <w:softHyphen/>
        <w:t>ing areas by 2-hour [</w:t>
      </w:r>
      <w:r w:rsidRPr="00EC4EC4">
        <w:rPr>
          <w:rFonts w:eastAsia="Times New Roman" w:cs="Times New Roman"/>
          <w:strike/>
          <w:color w:val="000000"/>
          <w:spacing w:val="1"/>
          <w:szCs w:val="24"/>
        </w:rPr>
        <w:t>fire rated</w:t>
      </w:r>
      <w:r w:rsidRPr="00EC4EC4">
        <w:rPr>
          <w:rFonts w:eastAsia="Times New Roman" w:cs="Times New Roman"/>
          <w:color w:val="000000"/>
          <w:spacing w:val="1"/>
          <w:szCs w:val="24"/>
        </w:rPr>
        <w:t>]</w:t>
      </w:r>
      <w:r w:rsidRPr="00EC4EC4">
        <w:rPr>
          <w:rFonts w:eastAsia="Times New Roman" w:cs="Times New Roman"/>
          <w:color w:val="000000"/>
          <w:spacing w:val="1"/>
          <w:szCs w:val="24"/>
          <w:u w:val="single"/>
        </w:rPr>
        <w:t>fire-rated</w:t>
      </w:r>
      <w:r w:rsidRPr="00EC4EC4">
        <w:rPr>
          <w:rFonts w:eastAsia="Times New Roman" w:cs="Times New Roman"/>
          <w:color w:val="000000"/>
          <w:spacing w:val="1"/>
          <w:szCs w:val="24"/>
        </w:rPr>
        <w:t xml:space="preserve"> construction shall not exceed 50 pounds (23 kg), provided not more than 2 pounds (0.908 kg) of which is Class 3 oxidizers and 1 pound (0.454 kg) of which are Class I organic peroxides.</w:t>
      </w:r>
    </w:p>
    <w:p w14:paraId="130A4715" w14:textId="6D4F705B"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11</w:t>
      </w:r>
      <w:r w:rsidR="00046546">
        <w:rPr>
          <w:rFonts w:cs="Times New Roman"/>
          <w:sz w:val="23"/>
          <w:szCs w:val="23"/>
        </w:rPr>
        <w:t>8</w:t>
      </w:r>
      <w:r w:rsidRPr="00EC4EC4">
        <w:rPr>
          <w:rFonts w:cs="Times New Roman"/>
          <w:sz w:val="23"/>
          <w:szCs w:val="23"/>
        </w:rPr>
        <w:t>. Section 42</w:t>
      </w:r>
      <w:r>
        <w:rPr>
          <w:rFonts w:cs="Times New Roman"/>
          <w:sz w:val="23"/>
          <w:szCs w:val="23"/>
        </w:rPr>
        <w:t>7</w:t>
      </w:r>
      <w:r w:rsidRPr="00EC4EC4">
        <w:rPr>
          <w:rFonts w:cs="Times New Roman"/>
          <w:sz w:val="23"/>
          <w:szCs w:val="23"/>
        </w:rPr>
        <w:t>.7.6  of  the New York city building code, as renumbered by local law number 126 for the year 2021, is amended to read as follows:</w:t>
      </w:r>
    </w:p>
    <w:p w14:paraId="0C559FC3" w14:textId="77777777" w:rsidR="00140B7C" w:rsidRPr="00EC4EC4" w:rsidRDefault="00140B7C" w:rsidP="00140B7C">
      <w:pPr>
        <w:pStyle w:val="FlushLeftDouble"/>
        <w:spacing w:after="0"/>
        <w:rPr>
          <w:b/>
          <w:color w:val="000000"/>
          <w:szCs w:val="24"/>
        </w:rPr>
      </w:pPr>
    </w:p>
    <w:p w14:paraId="4BDEB8FB" w14:textId="77777777" w:rsidR="00140B7C" w:rsidRPr="00EC4EC4" w:rsidRDefault="00140B7C" w:rsidP="00140B7C">
      <w:pPr>
        <w:pStyle w:val="FlushLeftDouble"/>
        <w:ind w:left="0"/>
        <w:rPr>
          <w:color w:val="000000"/>
          <w:spacing w:val="2"/>
          <w:szCs w:val="24"/>
        </w:rPr>
      </w:pPr>
      <w:r w:rsidRPr="00EC4EC4">
        <w:rPr>
          <w:b/>
          <w:color w:val="000000"/>
          <w:szCs w:val="24"/>
        </w:rPr>
        <w:t>427.7.6 Pyrophoric material.</w:t>
      </w:r>
      <w:r w:rsidRPr="00EC4EC4">
        <w:rPr>
          <w:b/>
          <w:bCs/>
          <w:color w:val="000000"/>
          <w:spacing w:val="-6"/>
          <w:w w:val="110"/>
          <w:szCs w:val="24"/>
        </w:rPr>
        <w:t xml:space="preserve"> </w:t>
      </w:r>
      <w:r w:rsidRPr="00EC4EC4">
        <w:rPr>
          <w:color w:val="000000"/>
          <w:spacing w:val="1"/>
          <w:szCs w:val="24"/>
        </w:rPr>
        <w:t>The total quantity of solid or liquid pyrophoric material allowed within a laboratory unit, excluding any quantities in a storage room, shall not exceed 0.5 pounds (0.227 kg).</w:t>
      </w:r>
    </w:p>
    <w:p w14:paraId="43055C5E" w14:textId="686977CB" w:rsidR="00140B7C" w:rsidRPr="008058E1" w:rsidRDefault="00140B7C" w:rsidP="008058E1">
      <w:pPr>
        <w:autoSpaceDE w:val="0"/>
        <w:autoSpaceDN w:val="0"/>
        <w:adjustRightInd w:val="0"/>
        <w:spacing w:after="240" w:line="240" w:lineRule="auto"/>
        <w:ind w:left="720"/>
        <w:jc w:val="both"/>
        <w:rPr>
          <w:rFonts w:eastAsia="Times New Roman" w:cs="Times New Roman"/>
          <w:color w:val="000000"/>
          <w:spacing w:val="3"/>
          <w:szCs w:val="24"/>
        </w:rPr>
      </w:pPr>
      <w:r w:rsidRPr="00EC4EC4">
        <w:rPr>
          <w:rFonts w:eastAsia="Times New Roman" w:cs="Times New Roman"/>
          <w:b/>
          <w:color w:val="000000"/>
          <w:szCs w:val="24"/>
        </w:rPr>
        <w:t>Exception:</w:t>
      </w:r>
      <w:r w:rsidRPr="00EC4EC4">
        <w:rPr>
          <w:rFonts w:eastAsia="Times New Roman" w:cs="Times New Roman"/>
          <w:b/>
          <w:bCs/>
          <w:color w:val="000000"/>
          <w:spacing w:val="1"/>
          <w:w w:val="110"/>
          <w:szCs w:val="24"/>
        </w:rPr>
        <w:t xml:space="preserve"> </w:t>
      </w:r>
      <w:r w:rsidRPr="00EC4EC4">
        <w:rPr>
          <w:rFonts w:eastAsia="Times New Roman" w:cs="Times New Roman"/>
          <w:color w:val="000000"/>
          <w:spacing w:val="1"/>
          <w:szCs w:val="24"/>
        </w:rPr>
        <w:t>The total quantity of pyrophoric material allowed within a laboratory unit that is provided with walls, floors and ceilings that separate the laboratory unit from all adjoining areas by 2-hour [</w:t>
      </w:r>
      <w:r w:rsidRPr="00EC4EC4">
        <w:rPr>
          <w:rFonts w:eastAsia="Times New Roman" w:cs="Times New Roman"/>
          <w:strike/>
          <w:color w:val="000000"/>
          <w:spacing w:val="1"/>
          <w:szCs w:val="24"/>
        </w:rPr>
        <w:t>fire rated</w:t>
      </w:r>
      <w:r w:rsidRPr="00EC4EC4">
        <w:rPr>
          <w:rFonts w:eastAsia="Times New Roman" w:cs="Times New Roman"/>
          <w:color w:val="000000"/>
          <w:spacing w:val="1"/>
          <w:szCs w:val="24"/>
        </w:rPr>
        <w:t>]fire-rated construction shall not exceed 1 pound (0.454 kg).</w:t>
      </w:r>
    </w:p>
    <w:p w14:paraId="3FB55A57" w14:textId="0D895408" w:rsidR="00140B7C" w:rsidRPr="00EC4EC4"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Pr>
          <w:rFonts w:cs="Times New Roman"/>
          <w:sz w:val="23"/>
          <w:szCs w:val="23"/>
        </w:rPr>
        <w:t>11</w:t>
      </w:r>
      <w:r w:rsidR="008058E1">
        <w:rPr>
          <w:rFonts w:cs="Times New Roman"/>
          <w:sz w:val="23"/>
          <w:szCs w:val="23"/>
        </w:rPr>
        <w:t>9</w:t>
      </w:r>
      <w:r w:rsidRPr="00EC4EC4">
        <w:rPr>
          <w:rFonts w:cs="Times New Roman"/>
          <w:sz w:val="23"/>
          <w:szCs w:val="23"/>
        </w:rPr>
        <w:t>. Section 505.</w:t>
      </w:r>
      <w:r>
        <w:rPr>
          <w:rFonts w:cs="Times New Roman"/>
          <w:sz w:val="23"/>
          <w:szCs w:val="23"/>
        </w:rPr>
        <w:t>2.3</w:t>
      </w:r>
      <w:r w:rsidRPr="00EC4EC4">
        <w:rPr>
          <w:rFonts w:cs="Times New Roman"/>
          <w:sz w:val="23"/>
          <w:szCs w:val="23"/>
        </w:rPr>
        <w:t xml:space="preserve">  of  the New York city building code, as renumbered and amended by local law number 126 for the year 2021, is amended to read as follows:</w:t>
      </w:r>
    </w:p>
    <w:p w14:paraId="2B578D6E" w14:textId="77777777" w:rsidR="00140B7C" w:rsidRPr="00EC4EC4" w:rsidRDefault="00140B7C" w:rsidP="00140B7C">
      <w:pPr>
        <w:pStyle w:val="FlushLeftDouble"/>
        <w:ind w:left="0"/>
        <w:rPr>
          <w:szCs w:val="24"/>
        </w:rPr>
      </w:pPr>
      <w:bookmarkStart w:id="38" w:name="_Toc389734110"/>
      <w:bookmarkStart w:id="39" w:name="_Toc389742672"/>
      <w:r w:rsidRPr="00EC4EC4">
        <w:rPr>
          <w:b/>
          <w:szCs w:val="24"/>
        </w:rPr>
        <w:t>5</w:t>
      </w:r>
      <w:r w:rsidRPr="00EC4EC4">
        <w:rPr>
          <w:b/>
          <w:bCs/>
          <w:szCs w:val="24"/>
        </w:rPr>
        <w:t>05.2.3 Openness.</w:t>
      </w:r>
      <w:bookmarkEnd w:id="38"/>
      <w:bookmarkEnd w:id="39"/>
      <w:r w:rsidRPr="00EC4EC4">
        <w:rPr>
          <w:b/>
          <w:bCs/>
          <w:spacing w:val="-1"/>
          <w:w w:val="110"/>
          <w:szCs w:val="24"/>
        </w:rPr>
        <w:t xml:space="preserve"> </w:t>
      </w:r>
      <w:r w:rsidRPr="00EC4EC4">
        <w:rPr>
          <w:szCs w:val="24"/>
        </w:rPr>
        <w:t xml:space="preserve">A mezzanine shall be open and unobstructed to the room in which such mezzanine is located except for walls </w:t>
      </w:r>
      <w:r w:rsidRPr="00EC4EC4">
        <w:rPr>
          <w:spacing w:val="1"/>
          <w:szCs w:val="24"/>
        </w:rPr>
        <w:t xml:space="preserve">or railings </w:t>
      </w:r>
      <w:r w:rsidRPr="00EC4EC4">
        <w:rPr>
          <w:szCs w:val="24"/>
        </w:rPr>
        <w:t>not more than 42 inches (1067 mm)</w:t>
      </w:r>
      <w:r w:rsidRPr="00EC4EC4">
        <w:rPr>
          <w:spacing w:val="1"/>
          <w:szCs w:val="24"/>
        </w:rPr>
        <w:t xml:space="preserve"> </w:t>
      </w:r>
      <w:r w:rsidRPr="00EC4EC4">
        <w:rPr>
          <w:bCs/>
          <w:szCs w:val="24"/>
        </w:rPr>
        <w:t>in height</w:t>
      </w:r>
      <w:r w:rsidRPr="00EC4EC4">
        <w:rPr>
          <w:szCs w:val="24"/>
        </w:rPr>
        <w:t>, columns and posts.</w:t>
      </w:r>
    </w:p>
    <w:p w14:paraId="58D975EC"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b/>
          <w:color w:val="000000"/>
          <w:szCs w:val="24"/>
        </w:rPr>
      </w:pPr>
      <w:r w:rsidRPr="00EC4EC4">
        <w:rPr>
          <w:rFonts w:eastAsia="Times New Roman" w:cs="Times New Roman"/>
          <w:b/>
          <w:color w:val="000000"/>
          <w:szCs w:val="24"/>
        </w:rPr>
        <w:t>Exceptions:</w:t>
      </w:r>
    </w:p>
    <w:p w14:paraId="298DCB15" w14:textId="77777777" w:rsidR="00140B7C" w:rsidRPr="00EC4EC4" w:rsidRDefault="00140B7C" w:rsidP="00140B7C">
      <w:pPr>
        <w:tabs>
          <w:tab w:val="left" w:pos="1440"/>
        </w:tabs>
        <w:autoSpaceDE w:val="0"/>
        <w:autoSpaceDN w:val="0"/>
        <w:adjustRightInd w:val="0"/>
        <w:spacing w:after="240" w:line="240" w:lineRule="auto"/>
        <w:ind w:left="144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color w:val="000000"/>
          <w:szCs w:val="24"/>
        </w:rPr>
        <w:tab/>
        <w:t>Mezzanines or portions thereof are not required to be open to the room in which the mezzanines are located, provided that the occupant load of the aggregate area of the enclosed space</w:t>
      </w:r>
      <w:r w:rsidRPr="00EC4EC4">
        <w:rPr>
          <w:rFonts w:eastAsia="Times New Roman" w:cs="Times New Roman"/>
          <w:spacing w:val="1"/>
          <w:szCs w:val="24"/>
        </w:rPr>
        <w:t xml:space="preserve"> </w:t>
      </w:r>
      <w:r w:rsidRPr="00EC4EC4">
        <w:rPr>
          <w:rFonts w:eastAsia="Times New Roman" w:cs="Times New Roman"/>
          <w:color w:val="000000"/>
          <w:szCs w:val="24"/>
        </w:rPr>
        <w:t>is not</w:t>
      </w:r>
      <w:r w:rsidRPr="00EC4EC4">
        <w:rPr>
          <w:rFonts w:eastAsia="Times New Roman" w:cs="Times New Roman"/>
          <w:spacing w:val="1"/>
          <w:szCs w:val="24"/>
        </w:rPr>
        <w:t xml:space="preserve"> </w:t>
      </w:r>
      <w:r w:rsidRPr="00EC4EC4">
        <w:rPr>
          <w:rFonts w:eastAsia="Times New Roman" w:cs="Times New Roman"/>
          <w:color w:val="000000"/>
          <w:szCs w:val="24"/>
        </w:rPr>
        <w:t>greater than 10.</w:t>
      </w:r>
    </w:p>
    <w:p w14:paraId="3FB4B122" w14:textId="77777777" w:rsidR="00140B7C" w:rsidRPr="00EC4EC4" w:rsidRDefault="00140B7C" w:rsidP="00140B7C">
      <w:pPr>
        <w:tabs>
          <w:tab w:val="left" w:pos="1530"/>
        </w:tabs>
        <w:autoSpaceDE w:val="0"/>
        <w:autoSpaceDN w:val="0"/>
        <w:adjustRightInd w:val="0"/>
        <w:spacing w:after="240" w:line="240" w:lineRule="auto"/>
        <w:ind w:left="1440" w:hanging="360"/>
        <w:jc w:val="both"/>
        <w:rPr>
          <w:rFonts w:eastAsia="Times New Roman" w:cs="Times New Roman"/>
          <w:szCs w:val="24"/>
        </w:rPr>
      </w:pPr>
      <w:r w:rsidRPr="00EC4EC4">
        <w:rPr>
          <w:rFonts w:eastAsia="Times New Roman" w:cs="Times New Roman"/>
          <w:color w:val="000000"/>
          <w:szCs w:val="24"/>
        </w:rPr>
        <w:t>2.</w:t>
      </w:r>
      <w:r w:rsidRPr="00EC4EC4">
        <w:rPr>
          <w:rFonts w:eastAsia="Times New Roman" w:cs="Times New Roman"/>
          <w:color w:val="000000"/>
          <w:szCs w:val="24"/>
        </w:rPr>
        <w:tab/>
        <w:t xml:space="preserve">A mezzanine having two or more </w:t>
      </w:r>
      <w:r w:rsidRPr="00EC4EC4">
        <w:rPr>
          <w:rFonts w:eastAsia="Times New Roman" w:cs="Times New Roman"/>
          <w:spacing w:val="1"/>
          <w:szCs w:val="24"/>
        </w:rPr>
        <w:t>means of egress</w:t>
      </w:r>
      <w:r w:rsidRPr="00EC4EC4">
        <w:rPr>
          <w:rFonts w:eastAsia="Times New Roman" w:cs="Times New Roman"/>
          <w:color w:val="000000"/>
          <w:spacing w:val="1"/>
          <w:szCs w:val="24"/>
        </w:rPr>
        <w:t xml:space="preserve"> </w:t>
      </w:r>
      <w:r w:rsidRPr="00EC4EC4">
        <w:rPr>
          <w:rFonts w:eastAsia="Times New Roman" w:cs="Times New Roman"/>
          <w:color w:val="000000"/>
          <w:szCs w:val="24"/>
        </w:rPr>
        <w:t xml:space="preserve">is not required to be open to the room in which the </w:t>
      </w:r>
      <w:r w:rsidRPr="00EC4EC4">
        <w:rPr>
          <w:rFonts w:eastAsia="Times New Roman" w:cs="Times New Roman"/>
          <w:iCs/>
          <w:color w:val="000000"/>
          <w:szCs w:val="24"/>
        </w:rPr>
        <w:t>mezzanine</w:t>
      </w:r>
      <w:r w:rsidRPr="00EC4EC4">
        <w:rPr>
          <w:rFonts w:eastAsia="Times New Roman" w:cs="Times New Roman"/>
          <w:color w:val="000000"/>
          <w:szCs w:val="24"/>
        </w:rPr>
        <w:t xml:space="preserve"> is located</w:t>
      </w:r>
      <w:r w:rsidRPr="00EC4EC4">
        <w:rPr>
          <w:rFonts w:eastAsia="Times New Roman" w:cs="Times New Roman"/>
          <w:spacing w:val="1"/>
          <w:szCs w:val="24"/>
        </w:rPr>
        <w:t>, if at least one of the means of egress provides direct access to an exit located on the mezzanine level</w:t>
      </w:r>
      <w:r w:rsidRPr="00EC4EC4">
        <w:rPr>
          <w:rFonts w:eastAsia="Times New Roman" w:cs="Times New Roman"/>
          <w:color w:val="000000"/>
          <w:spacing w:val="1"/>
          <w:szCs w:val="24"/>
        </w:rPr>
        <w:t>.</w:t>
      </w:r>
    </w:p>
    <w:p w14:paraId="11FC2A4A" w14:textId="77777777" w:rsidR="00140B7C" w:rsidRPr="00EC4EC4" w:rsidRDefault="00140B7C" w:rsidP="00140B7C">
      <w:pPr>
        <w:tabs>
          <w:tab w:val="left" w:pos="1080"/>
        </w:tabs>
        <w:autoSpaceDE w:val="0"/>
        <w:autoSpaceDN w:val="0"/>
        <w:adjustRightInd w:val="0"/>
        <w:spacing w:after="240" w:line="240" w:lineRule="auto"/>
        <w:ind w:left="1440" w:hanging="360"/>
        <w:jc w:val="both"/>
        <w:rPr>
          <w:rFonts w:eastAsia="Times New Roman" w:cs="Times New Roman"/>
          <w:szCs w:val="24"/>
        </w:rPr>
      </w:pPr>
      <w:r w:rsidRPr="00EC4EC4">
        <w:rPr>
          <w:rFonts w:eastAsia="Times New Roman" w:cs="Times New Roman"/>
          <w:color w:val="000000"/>
          <w:szCs w:val="24"/>
        </w:rPr>
        <w:t>3.</w:t>
      </w:r>
      <w:r w:rsidRPr="00EC4EC4">
        <w:rPr>
          <w:rFonts w:eastAsia="Times New Roman" w:cs="Times New Roman"/>
          <w:color w:val="000000"/>
          <w:szCs w:val="24"/>
        </w:rPr>
        <w:tab/>
        <w:t xml:space="preserve">Mezzanines or portions thereof are not required to be open to the room in which the mezzanines are located, provided that the aggregate floor area of the enclosed space </w:t>
      </w:r>
      <w:r w:rsidRPr="00EC4EC4">
        <w:rPr>
          <w:rFonts w:eastAsia="Times New Roman" w:cs="Times New Roman"/>
          <w:spacing w:val="1"/>
          <w:szCs w:val="24"/>
        </w:rPr>
        <w:t xml:space="preserve"> [</w:t>
      </w:r>
      <w:r w:rsidRPr="00EC4EC4">
        <w:rPr>
          <w:rFonts w:eastAsia="Times New Roman" w:cs="Times New Roman"/>
          <w:strike/>
          <w:color w:val="000000"/>
          <w:szCs w:val="24"/>
        </w:rPr>
        <w:t>Is</w:t>
      </w:r>
      <w:r w:rsidRPr="00EC4EC4">
        <w:rPr>
          <w:rFonts w:eastAsia="Times New Roman" w:cs="Times New Roman"/>
          <w:color w:val="000000"/>
          <w:szCs w:val="24"/>
        </w:rPr>
        <w:t>]</w:t>
      </w:r>
      <w:r w:rsidRPr="00EC4EC4">
        <w:rPr>
          <w:rFonts w:eastAsia="Times New Roman" w:cs="Times New Roman"/>
          <w:color w:val="000000"/>
          <w:szCs w:val="24"/>
          <w:u w:val="single"/>
        </w:rPr>
        <w:t>is</w:t>
      </w:r>
      <w:r w:rsidRPr="00EC4EC4">
        <w:rPr>
          <w:rFonts w:eastAsia="Times New Roman" w:cs="Times New Roman"/>
          <w:color w:val="000000"/>
          <w:szCs w:val="24"/>
        </w:rPr>
        <w:t xml:space="preserve"> not</w:t>
      </w:r>
      <w:r w:rsidRPr="00EC4EC4">
        <w:rPr>
          <w:rFonts w:eastAsia="Times New Roman" w:cs="Times New Roman"/>
          <w:spacing w:val="1"/>
          <w:szCs w:val="24"/>
        </w:rPr>
        <w:t xml:space="preserve"> </w:t>
      </w:r>
      <w:r w:rsidRPr="00EC4EC4">
        <w:rPr>
          <w:rFonts w:eastAsia="Times New Roman" w:cs="Times New Roman"/>
          <w:color w:val="000000"/>
          <w:szCs w:val="24"/>
        </w:rPr>
        <w:t>greater than 10 percent of the mezzanine area.</w:t>
      </w:r>
    </w:p>
    <w:p w14:paraId="11EF108F" w14:textId="77777777" w:rsidR="00140B7C" w:rsidRPr="00EC4EC4" w:rsidRDefault="00140B7C" w:rsidP="00140B7C">
      <w:pPr>
        <w:tabs>
          <w:tab w:val="left" w:pos="1440"/>
        </w:tabs>
        <w:autoSpaceDE w:val="0"/>
        <w:autoSpaceDN w:val="0"/>
        <w:adjustRightInd w:val="0"/>
        <w:spacing w:after="240" w:line="240" w:lineRule="auto"/>
        <w:ind w:left="1440" w:hanging="360"/>
        <w:jc w:val="both"/>
        <w:rPr>
          <w:rFonts w:eastAsia="Times New Roman" w:cs="Times New Roman"/>
          <w:color w:val="000000"/>
          <w:szCs w:val="24"/>
        </w:rPr>
      </w:pPr>
      <w:r w:rsidRPr="00EC4EC4">
        <w:rPr>
          <w:rFonts w:eastAsia="Times New Roman" w:cs="Times New Roman"/>
          <w:color w:val="000000"/>
          <w:szCs w:val="24"/>
        </w:rPr>
        <w:lastRenderedPageBreak/>
        <w:t>4.</w:t>
      </w:r>
      <w:r w:rsidRPr="00EC4EC4">
        <w:rPr>
          <w:rFonts w:eastAsia="Times New Roman" w:cs="Times New Roman"/>
          <w:color w:val="000000"/>
          <w:szCs w:val="24"/>
        </w:rPr>
        <w:tab/>
        <w:t>In industrial facilities, mezzanines used for control equipment are permitted to be glazed on all sides.</w:t>
      </w:r>
    </w:p>
    <w:p w14:paraId="1B5AEFDB" w14:textId="77777777" w:rsidR="00140B7C" w:rsidRPr="00EC4EC4" w:rsidRDefault="00140B7C" w:rsidP="00140B7C">
      <w:pPr>
        <w:tabs>
          <w:tab w:val="left" w:pos="1440"/>
        </w:tabs>
        <w:autoSpaceDE w:val="0"/>
        <w:autoSpaceDN w:val="0"/>
        <w:adjustRightInd w:val="0"/>
        <w:spacing w:after="240" w:line="240" w:lineRule="auto"/>
        <w:ind w:left="144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A mezzanine having two or more means of egress shall not be required to be open to the room in which the mezzanine is located in occupancies</w:t>
      </w:r>
      <w:r w:rsidRPr="00EC4EC4">
        <w:rPr>
          <w:rFonts w:eastAsia="Times New Roman" w:cs="Times New Roman"/>
          <w:spacing w:val="1"/>
          <w:szCs w:val="24"/>
        </w:rPr>
        <w:t xml:space="preserve">, other than Groups H and I, that comply with Items 5.1 through 5.4.  </w:t>
      </w:r>
    </w:p>
    <w:p w14:paraId="0AB056FD" w14:textId="77777777" w:rsidR="00140B7C" w:rsidRPr="00EC4EC4" w:rsidRDefault="00140B7C" w:rsidP="00140B7C">
      <w:pPr>
        <w:tabs>
          <w:tab w:val="num" w:pos="-900"/>
        </w:tabs>
        <w:autoSpaceDE w:val="0"/>
        <w:autoSpaceDN w:val="0"/>
        <w:adjustRightInd w:val="0"/>
        <w:spacing w:after="240" w:line="240" w:lineRule="auto"/>
        <w:ind w:left="1980" w:hanging="540"/>
        <w:jc w:val="both"/>
        <w:rPr>
          <w:rFonts w:eastAsia="Times New Roman" w:cs="Times New Roman"/>
          <w:color w:val="000000"/>
          <w:szCs w:val="24"/>
        </w:rPr>
      </w:pPr>
      <w:r w:rsidRPr="00EC4EC4">
        <w:rPr>
          <w:rFonts w:eastAsia="Times New Roman" w:cs="Times New Roman"/>
          <w:color w:val="000000"/>
          <w:szCs w:val="24"/>
        </w:rPr>
        <w:t>5.1.</w:t>
      </w:r>
      <w:r w:rsidRPr="00EC4EC4">
        <w:rPr>
          <w:rFonts w:eastAsia="Times New Roman" w:cs="Times New Roman"/>
          <w:color w:val="000000"/>
          <w:szCs w:val="24"/>
        </w:rPr>
        <w:tab/>
        <w:t xml:space="preserve">Such occupancy is no more than two stories above grade plane, </w:t>
      </w:r>
    </w:p>
    <w:p w14:paraId="2A05E4C1" w14:textId="77777777" w:rsidR="00140B7C" w:rsidRPr="00EC4EC4" w:rsidRDefault="00140B7C" w:rsidP="00140B7C">
      <w:pPr>
        <w:tabs>
          <w:tab w:val="num" w:pos="-900"/>
        </w:tabs>
        <w:autoSpaceDE w:val="0"/>
        <w:autoSpaceDN w:val="0"/>
        <w:adjustRightInd w:val="0"/>
        <w:spacing w:after="240" w:line="240" w:lineRule="auto"/>
        <w:ind w:left="1980" w:hanging="540"/>
        <w:jc w:val="both"/>
        <w:rPr>
          <w:rFonts w:eastAsia="Times New Roman" w:cs="Times New Roman"/>
          <w:color w:val="000000"/>
          <w:szCs w:val="24"/>
        </w:rPr>
      </w:pPr>
      <w:r w:rsidRPr="00EC4EC4">
        <w:rPr>
          <w:rFonts w:eastAsia="Times New Roman" w:cs="Times New Roman"/>
          <w:color w:val="000000"/>
          <w:szCs w:val="24"/>
        </w:rPr>
        <w:t>5.2.</w:t>
      </w:r>
      <w:r w:rsidRPr="00EC4EC4">
        <w:rPr>
          <w:rFonts w:eastAsia="Times New Roman" w:cs="Times New Roman"/>
          <w:color w:val="000000"/>
          <w:szCs w:val="24"/>
        </w:rPr>
        <w:tab/>
        <w:t>Such occupancy is equipped throughout with an automatic sprinkler system in accordance with Section 903.3.1.1,</w:t>
      </w:r>
    </w:p>
    <w:p w14:paraId="3F258679" w14:textId="77777777" w:rsidR="00140B7C" w:rsidRPr="00EC4EC4" w:rsidRDefault="00140B7C" w:rsidP="00140B7C">
      <w:pPr>
        <w:tabs>
          <w:tab w:val="num" w:pos="-900"/>
        </w:tabs>
        <w:autoSpaceDE w:val="0"/>
        <w:autoSpaceDN w:val="0"/>
        <w:adjustRightInd w:val="0"/>
        <w:spacing w:after="240" w:line="240" w:lineRule="auto"/>
        <w:ind w:left="1980" w:hanging="540"/>
        <w:jc w:val="both"/>
        <w:rPr>
          <w:rFonts w:eastAsia="Times New Roman" w:cs="Times New Roman"/>
          <w:color w:val="000000"/>
          <w:szCs w:val="24"/>
        </w:rPr>
      </w:pPr>
      <w:r w:rsidRPr="00EC4EC4">
        <w:rPr>
          <w:rFonts w:eastAsia="Times New Roman" w:cs="Times New Roman"/>
          <w:color w:val="000000"/>
          <w:szCs w:val="24"/>
        </w:rPr>
        <w:t>5.3.</w:t>
      </w:r>
      <w:r w:rsidRPr="00EC4EC4">
        <w:rPr>
          <w:rFonts w:eastAsia="Times New Roman" w:cs="Times New Roman"/>
          <w:color w:val="000000"/>
          <w:szCs w:val="24"/>
        </w:rPr>
        <w:tab/>
        <w:t xml:space="preserve">An approved fire alarm system is installed throughout the entire building or structure in which such occupancy is located, and </w:t>
      </w:r>
    </w:p>
    <w:p w14:paraId="1DA498F1" w14:textId="77777777" w:rsidR="00140B7C" w:rsidRPr="00EC4EC4" w:rsidRDefault="00140B7C" w:rsidP="00140B7C">
      <w:pPr>
        <w:tabs>
          <w:tab w:val="num" w:pos="-900"/>
        </w:tabs>
        <w:autoSpaceDE w:val="0"/>
        <w:autoSpaceDN w:val="0"/>
        <w:adjustRightInd w:val="0"/>
        <w:spacing w:after="240" w:line="240" w:lineRule="auto"/>
        <w:ind w:left="1980" w:hanging="540"/>
        <w:jc w:val="both"/>
        <w:rPr>
          <w:rFonts w:eastAsia="Times New Roman" w:cs="Times New Roman"/>
          <w:color w:val="000000"/>
          <w:szCs w:val="24"/>
        </w:rPr>
      </w:pPr>
      <w:r w:rsidRPr="00EC4EC4">
        <w:rPr>
          <w:rFonts w:eastAsia="Times New Roman" w:cs="Times New Roman"/>
          <w:color w:val="000000"/>
          <w:szCs w:val="24"/>
        </w:rPr>
        <w:t>5.4.</w:t>
      </w:r>
      <w:r w:rsidRPr="00EC4EC4">
        <w:rPr>
          <w:rFonts w:eastAsia="Times New Roman" w:cs="Times New Roman"/>
          <w:color w:val="000000"/>
          <w:szCs w:val="24"/>
        </w:rPr>
        <w:tab/>
        <w:t>Notification appliances are installed throughout the mezzanine in accordance with NFPA 72.</w:t>
      </w:r>
    </w:p>
    <w:p w14:paraId="4E8C05E1" w14:textId="588742F1" w:rsidR="00140B7C" w:rsidRPr="00EC4EC4"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Pr>
          <w:rFonts w:cs="Times New Roman"/>
          <w:sz w:val="23"/>
          <w:szCs w:val="23"/>
        </w:rPr>
        <w:t>1</w:t>
      </w:r>
      <w:r w:rsidR="000E5037">
        <w:rPr>
          <w:rFonts w:cs="Times New Roman"/>
          <w:sz w:val="23"/>
          <w:szCs w:val="23"/>
        </w:rPr>
        <w:t>20</w:t>
      </w:r>
      <w:r w:rsidRPr="00EC4EC4">
        <w:rPr>
          <w:rFonts w:cs="Times New Roman"/>
          <w:sz w:val="23"/>
          <w:szCs w:val="23"/>
        </w:rPr>
        <w:t>. Table 509</w:t>
      </w:r>
      <w:r w:rsidRPr="00EC4EC4">
        <w:rPr>
          <w:rFonts w:cs="Times New Roman"/>
          <w:sz w:val="23"/>
          <w:szCs w:val="23"/>
          <w:vertAlign w:val="superscript"/>
        </w:rPr>
        <w:t>c</w:t>
      </w:r>
      <w:r w:rsidRPr="00EC4EC4">
        <w:rPr>
          <w:rFonts w:cs="Times New Roman"/>
          <w:sz w:val="23"/>
          <w:szCs w:val="23"/>
        </w:rPr>
        <w:t xml:space="preserve">  of  the New York city building code, as amended by local law number 126 for the year 2021, is amended to read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4840"/>
      </w:tblGrid>
      <w:tr w:rsidR="00140B7C" w:rsidRPr="00EC4EC4" w14:paraId="0036B84D" w14:textId="77777777" w:rsidTr="00BC1087">
        <w:trPr>
          <w:cantSplit/>
          <w:tblHeader/>
          <w:jc w:val="center"/>
        </w:trPr>
        <w:tc>
          <w:tcPr>
            <w:tcW w:w="10161" w:type="dxa"/>
            <w:gridSpan w:val="2"/>
            <w:tcBorders>
              <w:top w:val="nil"/>
              <w:left w:val="nil"/>
              <w:right w:val="nil"/>
            </w:tcBorders>
          </w:tcPr>
          <w:p w14:paraId="6CCA68A5"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color w:val="000000"/>
                <w:sz w:val="20"/>
                <w:szCs w:val="20"/>
              </w:rPr>
            </w:pPr>
            <w:bookmarkStart w:id="40" w:name="_Hlk55209951"/>
            <w:r w:rsidRPr="00EC4EC4">
              <w:rPr>
                <w:rFonts w:eastAsia="Times New Roman" w:cs="Times New Roman"/>
                <w:b/>
                <w:color w:val="000000"/>
                <w:sz w:val="20"/>
                <w:szCs w:val="20"/>
              </w:rPr>
              <w:t>TABLE 509</w:t>
            </w:r>
            <w:r w:rsidRPr="00EC4EC4">
              <w:rPr>
                <w:rFonts w:eastAsia="Times New Roman" w:cs="Times New Roman"/>
                <w:b/>
                <w:color w:val="000000"/>
                <w:sz w:val="20"/>
                <w:szCs w:val="20"/>
                <w:vertAlign w:val="superscript"/>
              </w:rPr>
              <w:t>c</w:t>
            </w:r>
          </w:p>
          <w:p w14:paraId="2C1D6EF7"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iCs/>
                <w:color w:val="000000"/>
                <w:sz w:val="18"/>
                <w:szCs w:val="18"/>
              </w:rPr>
            </w:pPr>
            <w:r w:rsidRPr="00EC4EC4">
              <w:rPr>
                <w:rFonts w:eastAsia="Times New Roman" w:cs="Times New Roman"/>
                <w:b/>
                <w:color w:val="000000"/>
                <w:sz w:val="20"/>
                <w:szCs w:val="20"/>
              </w:rPr>
              <w:t>INCIDENTAL USES</w:t>
            </w:r>
          </w:p>
        </w:tc>
      </w:tr>
      <w:tr w:rsidR="00140B7C" w:rsidRPr="00EC4EC4" w14:paraId="355D7208" w14:textId="77777777" w:rsidTr="00BC1087">
        <w:trPr>
          <w:cantSplit/>
          <w:tblHeader/>
          <w:jc w:val="center"/>
        </w:trPr>
        <w:tc>
          <w:tcPr>
            <w:tcW w:w="5074" w:type="dxa"/>
          </w:tcPr>
          <w:p w14:paraId="4E4908C9"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iCs/>
                <w:color w:val="000000"/>
                <w:sz w:val="18"/>
                <w:szCs w:val="18"/>
              </w:rPr>
            </w:pPr>
            <w:r w:rsidRPr="00EC4EC4">
              <w:rPr>
                <w:rFonts w:eastAsia="Times New Roman" w:cs="Times New Roman"/>
                <w:b/>
                <w:iCs/>
                <w:color w:val="000000"/>
                <w:sz w:val="18"/>
                <w:szCs w:val="18"/>
              </w:rPr>
              <w:t>ROOM OR AREA</w:t>
            </w:r>
          </w:p>
        </w:tc>
        <w:tc>
          <w:tcPr>
            <w:tcW w:w="5087" w:type="dxa"/>
          </w:tcPr>
          <w:p w14:paraId="62E2E44E"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iCs/>
                <w:color w:val="000000"/>
                <w:sz w:val="18"/>
                <w:szCs w:val="18"/>
              </w:rPr>
            </w:pPr>
            <w:r w:rsidRPr="00EC4EC4">
              <w:rPr>
                <w:rFonts w:eastAsia="Times New Roman" w:cs="Times New Roman"/>
                <w:b/>
                <w:iCs/>
                <w:color w:val="000000"/>
                <w:sz w:val="18"/>
                <w:szCs w:val="18"/>
              </w:rPr>
              <w:t>SEPARATION AND/OR PROTECTION</w:t>
            </w:r>
          </w:p>
        </w:tc>
      </w:tr>
      <w:tr w:rsidR="00140B7C" w:rsidRPr="00EC4EC4" w14:paraId="77A94036" w14:textId="77777777" w:rsidTr="00BC1087">
        <w:trPr>
          <w:jc w:val="center"/>
        </w:trPr>
        <w:tc>
          <w:tcPr>
            <w:tcW w:w="5074" w:type="dxa"/>
          </w:tcPr>
          <w:p w14:paraId="5CEC73BF"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Furnace room where any piece of equipment is over 350,000 Btu per hour input</w:t>
            </w:r>
          </w:p>
        </w:tc>
        <w:tc>
          <w:tcPr>
            <w:tcW w:w="5087" w:type="dxa"/>
          </w:tcPr>
          <w:p w14:paraId="7621543B"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2 hour; or 1 hour and provide automatic sprinkler system</w:t>
            </w:r>
            <w:r w:rsidRPr="00EC4EC4">
              <w:rPr>
                <w:rFonts w:eastAsia="Times New Roman" w:cs="Times New Roman"/>
                <w:iCs/>
                <w:color w:val="000000"/>
                <w:sz w:val="18"/>
                <w:szCs w:val="18"/>
                <w:vertAlign w:val="superscript"/>
              </w:rPr>
              <w:t>a</w:t>
            </w:r>
          </w:p>
        </w:tc>
      </w:tr>
      <w:bookmarkEnd w:id="40"/>
      <w:tr w:rsidR="00140B7C" w:rsidRPr="00EC4EC4" w14:paraId="5E9AFD55" w14:textId="77777777" w:rsidTr="00BC1087">
        <w:trPr>
          <w:jc w:val="center"/>
        </w:trPr>
        <w:tc>
          <w:tcPr>
            <w:tcW w:w="5074" w:type="dxa"/>
          </w:tcPr>
          <w:p w14:paraId="33113D4C"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Furnace room where any piece of equipment is 350,000 Btu per hour input or less, except in R-3 occupancy</w:t>
            </w:r>
          </w:p>
        </w:tc>
        <w:tc>
          <w:tcPr>
            <w:tcW w:w="5087" w:type="dxa"/>
          </w:tcPr>
          <w:p w14:paraId="376952D1"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 or provide automatic sprinkler system</w:t>
            </w:r>
            <w:r w:rsidRPr="00EC4EC4">
              <w:rPr>
                <w:rFonts w:eastAsia="Times New Roman" w:cs="Times New Roman"/>
                <w:iCs/>
                <w:color w:val="000000"/>
                <w:sz w:val="18"/>
                <w:szCs w:val="18"/>
                <w:vertAlign w:val="superscript"/>
              </w:rPr>
              <w:t>a</w:t>
            </w:r>
          </w:p>
        </w:tc>
      </w:tr>
      <w:tr w:rsidR="00140B7C" w:rsidRPr="00EC4EC4" w14:paraId="4CDCCD0F" w14:textId="77777777" w:rsidTr="00BC1087">
        <w:trPr>
          <w:jc w:val="center"/>
        </w:trPr>
        <w:tc>
          <w:tcPr>
            <w:tcW w:w="5074" w:type="dxa"/>
          </w:tcPr>
          <w:p w14:paraId="7AF584CF"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Rooms with a high pressure steam or water boiler that exceeds 350,000 Btu per hour input</w:t>
            </w:r>
          </w:p>
        </w:tc>
        <w:tc>
          <w:tcPr>
            <w:tcW w:w="5087" w:type="dxa"/>
          </w:tcPr>
          <w:p w14:paraId="37F4FEB9"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2 hour; or 1 hour and provide automatic fire-extinguishing system</w:t>
            </w:r>
            <w:r w:rsidRPr="00EC4EC4">
              <w:rPr>
                <w:rFonts w:eastAsia="Times New Roman" w:cs="Times New Roman"/>
                <w:iCs/>
                <w:color w:val="000000"/>
                <w:sz w:val="18"/>
                <w:szCs w:val="18"/>
                <w:vertAlign w:val="superscript"/>
              </w:rPr>
              <w:t>a</w:t>
            </w:r>
          </w:p>
        </w:tc>
      </w:tr>
      <w:tr w:rsidR="00140B7C" w:rsidRPr="00EC4EC4" w14:paraId="4540B864" w14:textId="77777777" w:rsidTr="00BC1087">
        <w:trPr>
          <w:jc w:val="center"/>
        </w:trPr>
        <w:tc>
          <w:tcPr>
            <w:tcW w:w="5074" w:type="dxa"/>
          </w:tcPr>
          <w:p w14:paraId="4DB387B9"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Rooms with a high pressure steam or water boiler that is 350,000 Btu per hour input or less</w:t>
            </w:r>
          </w:p>
        </w:tc>
        <w:tc>
          <w:tcPr>
            <w:tcW w:w="5087" w:type="dxa"/>
          </w:tcPr>
          <w:p w14:paraId="7B6AA4C9"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 or provide automatic sprinkler system</w:t>
            </w:r>
            <w:r w:rsidRPr="00EC4EC4">
              <w:rPr>
                <w:rFonts w:eastAsia="Times New Roman" w:cs="Times New Roman"/>
                <w:iCs/>
                <w:color w:val="000000"/>
                <w:sz w:val="18"/>
                <w:szCs w:val="18"/>
                <w:vertAlign w:val="superscript"/>
              </w:rPr>
              <w:t>a</w:t>
            </w:r>
          </w:p>
        </w:tc>
      </w:tr>
      <w:tr w:rsidR="00140B7C" w:rsidRPr="00EC4EC4" w14:paraId="0401E1B5" w14:textId="77777777" w:rsidTr="00BC1087">
        <w:trPr>
          <w:jc w:val="center"/>
        </w:trPr>
        <w:tc>
          <w:tcPr>
            <w:tcW w:w="5074" w:type="dxa"/>
          </w:tcPr>
          <w:p w14:paraId="5EEEBA74"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Rooms that contain a low pressure steam or water boiler regardless of Btu per hour input</w:t>
            </w:r>
          </w:p>
        </w:tc>
        <w:tc>
          <w:tcPr>
            <w:tcW w:w="5087" w:type="dxa"/>
          </w:tcPr>
          <w:p w14:paraId="0773E416"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 or provide automatic sprinkler system</w:t>
            </w:r>
            <w:r w:rsidRPr="00EC4EC4">
              <w:rPr>
                <w:rFonts w:eastAsia="Times New Roman" w:cs="Times New Roman"/>
                <w:iCs/>
                <w:color w:val="000000"/>
                <w:sz w:val="18"/>
                <w:szCs w:val="18"/>
                <w:vertAlign w:val="superscript"/>
              </w:rPr>
              <w:t>a, b</w:t>
            </w:r>
          </w:p>
        </w:tc>
      </w:tr>
      <w:tr w:rsidR="00140B7C" w:rsidRPr="00EC4EC4" w14:paraId="35F7A378" w14:textId="77777777" w:rsidTr="00BC1087">
        <w:trPr>
          <w:jc w:val="center"/>
        </w:trPr>
        <w:tc>
          <w:tcPr>
            <w:tcW w:w="5074" w:type="dxa"/>
          </w:tcPr>
          <w:p w14:paraId="573C9BB1"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Refrigerant machinery room</w:t>
            </w:r>
          </w:p>
        </w:tc>
        <w:tc>
          <w:tcPr>
            <w:tcW w:w="5087" w:type="dxa"/>
          </w:tcPr>
          <w:p w14:paraId="4B2DC551"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 or provide automatic sprinkler system</w:t>
            </w:r>
          </w:p>
        </w:tc>
      </w:tr>
      <w:tr w:rsidR="00140B7C" w:rsidRPr="00EC4EC4" w14:paraId="6290CC4F" w14:textId="77777777" w:rsidTr="00BC1087">
        <w:trPr>
          <w:jc w:val="center"/>
        </w:trPr>
        <w:tc>
          <w:tcPr>
            <w:tcW w:w="5074" w:type="dxa"/>
          </w:tcPr>
          <w:p w14:paraId="784713C6"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cs="Times New Roman"/>
                <w:iCs/>
                <w:sz w:val="18"/>
                <w:szCs w:val="18"/>
              </w:rPr>
              <w:t>Hydrogen fuel gas rooms, not classified as Group H</w:t>
            </w:r>
          </w:p>
        </w:tc>
        <w:tc>
          <w:tcPr>
            <w:tcW w:w="5087" w:type="dxa"/>
          </w:tcPr>
          <w:p w14:paraId="59CE8352"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cs="Times New Roman"/>
                <w:iCs/>
                <w:sz w:val="18"/>
                <w:szCs w:val="18"/>
              </w:rPr>
              <w:t>2 hours in all occupancies</w:t>
            </w:r>
          </w:p>
        </w:tc>
      </w:tr>
      <w:tr w:rsidR="00140B7C" w:rsidRPr="00EC4EC4" w14:paraId="3DDB9899" w14:textId="77777777" w:rsidTr="00BC1087">
        <w:trPr>
          <w:jc w:val="center"/>
        </w:trPr>
        <w:tc>
          <w:tcPr>
            <w:tcW w:w="5074" w:type="dxa"/>
          </w:tcPr>
          <w:p w14:paraId="67FAE5A3"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Incinerator rooms</w:t>
            </w:r>
          </w:p>
        </w:tc>
        <w:tc>
          <w:tcPr>
            <w:tcW w:w="5087" w:type="dxa"/>
          </w:tcPr>
          <w:p w14:paraId="1F48907C"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2 hours and provide automatic sprinkler system</w:t>
            </w:r>
          </w:p>
        </w:tc>
      </w:tr>
      <w:tr w:rsidR="00140B7C" w:rsidRPr="00EC4EC4" w14:paraId="1C5E366C" w14:textId="77777777" w:rsidTr="00BC1087">
        <w:trPr>
          <w:jc w:val="center"/>
        </w:trPr>
        <w:tc>
          <w:tcPr>
            <w:tcW w:w="5074" w:type="dxa"/>
          </w:tcPr>
          <w:p w14:paraId="2C79FE39"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Paint shops, not classified [a</w:t>
            </w:r>
            <w:r w:rsidRPr="00EC4EC4">
              <w:rPr>
                <w:rFonts w:eastAsia="Times New Roman" w:cs="Times New Roman"/>
                <w:iCs/>
                <w:color w:val="000000"/>
                <w:sz w:val="18"/>
                <w:szCs w:val="18"/>
                <w:u w:val="single"/>
              </w:rPr>
              <w:t>]as</w:t>
            </w:r>
            <w:r w:rsidRPr="00EC4EC4">
              <w:rPr>
                <w:rFonts w:eastAsia="Times New Roman" w:cs="Times New Roman"/>
                <w:iCs/>
                <w:color w:val="000000"/>
                <w:sz w:val="18"/>
                <w:szCs w:val="18"/>
              </w:rPr>
              <w:t xml:space="preserve"> Group H, located in occupancies other than Group F</w:t>
            </w:r>
          </w:p>
        </w:tc>
        <w:tc>
          <w:tcPr>
            <w:tcW w:w="5087" w:type="dxa"/>
          </w:tcPr>
          <w:p w14:paraId="5F1AA5F9"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2 hours; or 1 hour and provide automatic sprinkler system</w:t>
            </w:r>
          </w:p>
        </w:tc>
      </w:tr>
      <w:tr w:rsidR="00140B7C" w:rsidRPr="00EC4EC4" w14:paraId="22E48D7D" w14:textId="77777777" w:rsidTr="00BC1087">
        <w:trPr>
          <w:jc w:val="center"/>
        </w:trPr>
        <w:tc>
          <w:tcPr>
            <w:tcW w:w="5074" w:type="dxa"/>
          </w:tcPr>
          <w:p w14:paraId="655A9577"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In Group E occupancies, laboratories and vocational shops not classified as Group H</w:t>
            </w:r>
          </w:p>
        </w:tc>
        <w:tc>
          <w:tcPr>
            <w:tcW w:w="5087" w:type="dxa"/>
          </w:tcPr>
          <w:p w14:paraId="5F24D3F7"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 or provide automatic sprinkler system</w:t>
            </w:r>
          </w:p>
        </w:tc>
      </w:tr>
      <w:tr w:rsidR="00140B7C" w:rsidRPr="00EC4EC4" w14:paraId="31052A95" w14:textId="77777777" w:rsidTr="00BC1087">
        <w:trPr>
          <w:trHeight w:val="172"/>
          <w:jc w:val="center"/>
        </w:trPr>
        <w:tc>
          <w:tcPr>
            <w:tcW w:w="5074" w:type="dxa"/>
          </w:tcPr>
          <w:p w14:paraId="3514B752"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In Group I-2 occupancies, laboratories not classified as Group H</w:t>
            </w:r>
          </w:p>
        </w:tc>
        <w:tc>
          <w:tcPr>
            <w:tcW w:w="5087" w:type="dxa"/>
          </w:tcPr>
          <w:p w14:paraId="76C9A67E"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 and provide automatic sprinkler system</w:t>
            </w:r>
          </w:p>
        </w:tc>
      </w:tr>
      <w:tr w:rsidR="00140B7C" w:rsidRPr="00EC4EC4" w14:paraId="1CA056C7" w14:textId="77777777" w:rsidTr="00BC1087">
        <w:trPr>
          <w:jc w:val="center"/>
        </w:trPr>
        <w:tc>
          <w:tcPr>
            <w:tcW w:w="5074" w:type="dxa"/>
          </w:tcPr>
          <w:p w14:paraId="2E3F64E1"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In ambulatory care facilities, laboratories not classified as Group H</w:t>
            </w:r>
          </w:p>
        </w:tc>
        <w:tc>
          <w:tcPr>
            <w:tcW w:w="5087" w:type="dxa"/>
          </w:tcPr>
          <w:p w14:paraId="510DE1E8" w14:textId="77777777" w:rsidR="00140B7C" w:rsidRPr="00EC4EC4" w:rsidRDefault="00140B7C" w:rsidP="00BC1087">
            <w:pPr>
              <w:widowControl w:val="0"/>
              <w:autoSpaceDE w:val="0"/>
              <w:autoSpaceDN w:val="0"/>
              <w:adjustRightInd w:val="0"/>
              <w:spacing w:after="0" w:line="240" w:lineRule="auto"/>
              <w:rPr>
                <w:rFonts w:eastAsia="Times New Roman" w:cs="Times New Roman"/>
                <w:b/>
                <w:bCs/>
                <w:iCs/>
                <w:color w:val="000000"/>
                <w:sz w:val="18"/>
                <w:szCs w:val="18"/>
              </w:rPr>
            </w:pPr>
            <w:r w:rsidRPr="00EC4EC4">
              <w:rPr>
                <w:rFonts w:eastAsia="Times New Roman" w:cs="Times New Roman"/>
                <w:iCs/>
                <w:color w:val="000000"/>
                <w:sz w:val="18"/>
                <w:szCs w:val="18"/>
              </w:rPr>
              <w:t>1 hour or provide automatic sprinkler system</w:t>
            </w:r>
          </w:p>
        </w:tc>
      </w:tr>
      <w:tr w:rsidR="00140B7C" w:rsidRPr="00EC4EC4" w14:paraId="7BC20F71" w14:textId="77777777" w:rsidTr="00BC1087">
        <w:trPr>
          <w:jc w:val="center"/>
        </w:trPr>
        <w:tc>
          <w:tcPr>
            <w:tcW w:w="5074" w:type="dxa"/>
          </w:tcPr>
          <w:p w14:paraId="4E2DCD6F"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Laundry rooms over 100 square feet</w:t>
            </w:r>
          </w:p>
        </w:tc>
        <w:tc>
          <w:tcPr>
            <w:tcW w:w="5087" w:type="dxa"/>
          </w:tcPr>
          <w:p w14:paraId="4E2EFD8E"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 or provide automatic sprinkler system</w:t>
            </w:r>
          </w:p>
        </w:tc>
      </w:tr>
      <w:tr w:rsidR="00140B7C" w:rsidRPr="00EC4EC4" w14:paraId="69EF752F" w14:textId="77777777" w:rsidTr="00BC1087">
        <w:trPr>
          <w:jc w:val="center"/>
        </w:trPr>
        <w:tc>
          <w:tcPr>
            <w:tcW w:w="5074" w:type="dxa"/>
          </w:tcPr>
          <w:p w14:paraId="5ED7609A"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In Group I-2, laundry rooms over 100 square feet</w:t>
            </w:r>
          </w:p>
        </w:tc>
        <w:tc>
          <w:tcPr>
            <w:tcW w:w="5087" w:type="dxa"/>
          </w:tcPr>
          <w:p w14:paraId="07A1EC35"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w:t>
            </w:r>
          </w:p>
        </w:tc>
      </w:tr>
      <w:tr w:rsidR="00140B7C" w:rsidRPr="00EC4EC4" w14:paraId="6DEEBE9B" w14:textId="77777777" w:rsidTr="00BC1087">
        <w:trPr>
          <w:jc w:val="center"/>
        </w:trPr>
        <w:tc>
          <w:tcPr>
            <w:tcW w:w="5074" w:type="dxa"/>
          </w:tcPr>
          <w:p w14:paraId="226F744D"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Group I-3 cells and Group I-2 patient rooms equipped with padded surfaces</w:t>
            </w:r>
          </w:p>
        </w:tc>
        <w:tc>
          <w:tcPr>
            <w:tcW w:w="5087" w:type="dxa"/>
          </w:tcPr>
          <w:p w14:paraId="28CD7ADA"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w:t>
            </w:r>
          </w:p>
        </w:tc>
      </w:tr>
      <w:tr w:rsidR="00140B7C" w:rsidRPr="00EC4EC4" w14:paraId="091354C1" w14:textId="77777777" w:rsidTr="00BC1087">
        <w:trPr>
          <w:jc w:val="center"/>
        </w:trPr>
        <w:tc>
          <w:tcPr>
            <w:tcW w:w="5074" w:type="dxa"/>
          </w:tcPr>
          <w:p w14:paraId="7B133019"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In Group I-2, physical plant maintenance shops</w:t>
            </w:r>
          </w:p>
        </w:tc>
        <w:tc>
          <w:tcPr>
            <w:tcW w:w="5087" w:type="dxa"/>
          </w:tcPr>
          <w:p w14:paraId="2A292F96"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w:t>
            </w:r>
          </w:p>
        </w:tc>
      </w:tr>
      <w:tr w:rsidR="00140B7C" w:rsidRPr="00EC4EC4" w14:paraId="2169F5FA" w14:textId="77777777" w:rsidTr="00BC1087">
        <w:trPr>
          <w:jc w:val="center"/>
        </w:trPr>
        <w:tc>
          <w:tcPr>
            <w:tcW w:w="5074" w:type="dxa"/>
          </w:tcPr>
          <w:p w14:paraId="45A719A0"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In ambulatory care facilities or Group I-2 occupancies, waste and linen collection rooms with containers that have an aggregate volume of 10 cubic feet or greater</w:t>
            </w:r>
          </w:p>
        </w:tc>
        <w:tc>
          <w:tcPr>
            <w:tcW w:w="5087" w:type="dxa"/>
          </w:tcPr>
          <w:p w14:paraId="368EDABB"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w:t>
            </w:r>
          </w:p>
        </w:tc>
      </w:tr>
      <w:tr w:rsidR="00140B7C" w:rsidRPr="00EC4EC4" w14:paraId="01BC0965" w14:textId="77777777" w:rsidTr="00BC1087">
        <w:trPr>
          <w:jc w:val="center"/>
        </w:trPr>
        <w:tc>
          <w:tcPr>
            <w:tcW w:w="5074" w:type="dxa"/>
          </w:tcPr>
          <w:p w14:paraId="790E3A94"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In other than ambulatory care facilities and Group I-2 occupancies, waste and linen collection rooms over 100 square feet</w:t>
            </w:r>
          </w:p>
        </w:tc>
        <w:tc>
          <w:tcPr>
            <w:tcW w:w="5087" w:type="dxa"/>
          </w:tcPr>
          <w:p w14:paraId="31EA39E6"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 or provide automatic sprinkler system</w:t>
            </w:r>
          </w:p>
        </w:tc>
      </w:tr>
      <w:tr w:rsidR="00140B7C" w:rsidRPr="00EC4EC4" w14:paraId="4903E2B0" w14:textId="77777777" w:rsidTr="00BC1087">
        <w:trPr>
          <w:jc w:val="center"/>
        </w:trPr>
        <w:tc>
          <w:tcPr>
            <w:tcW w:w="5074" w:type="dxa"/>
          </w:tcPr>
          <w:p w14:paraId="25C11D31"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lastRenderedPageBreak/>
              <w:t>In ambulatory care facilities or Group I-2 occupancies, storage rooms greater than 100 square feet</w:t>
            </w:r>
          </w:p>
        </w:tc>
        <w:tc>
          <w:tcPr>
            <w:tcW w:w="5087" w:type="dxa"/>
          </w:tcPr>
          <w:p w14:paraId="7C89AECD"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w:t>
            </w:r>
          </w:p>
        </w:tc>
      </w:tr>
      <w:tr w:rsidR="00140B7C" w:rsidRPr="00EC4EC4" w14:paraId="08E3566E" w14:textId="77777777" w:rsidTr="00BC1087">
        <w:trPr>
          <w:jc w:val="center"/>
        </w:trPr>
        <w:tc>
          <w:tcPr>
            <w:tcW w:w="5074" w:type="dxa"/>
          </w:tcPr>
          <w:p w14:paraId="351C494A"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 xml:space="preserve">Stationary storage battery systems having an energy capacity greater than the threshold quantity specified in Table 608.9.1.1 of the </w:t>
            </w:r>
            <w:r w:rsidRPr="00EC4EC4">
              <w:rPr>
                <w:rFonts w:eastAsia="Times New Roman" w:cs="Times New Roman"/>
                <w:i/>
                <w:color w:val="000000"/>
                <w:sz w:val="18"/>
                <w:szCs w:val="18"/>
              </w:rPr>
              <w:t>New York City Fire Code</w:t>
            </w:r>
          </w:p>
        </w:tc>
        <w:tc>
          <w:tcPr>
            <w:tcW w:w="5087" w:type="dxa"/>
          </w:tcPr>
          <w:p w14:paraId="19345D13"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1 hour in group B, F, M, S and U occupancies; 2 hours in Group A, E, I and R occupancies</w:t>
            </w:r>
          </w:p>
        </w:tc>
      </w:tr>
      <w:tr w:rsidR="00140B7C" w:rsidRPr="00EC4EC4" w14:paraId="36711156" w14:textId="77777777" w:rsidTr="00BC1087">
        <w:trPr>
          <w:jc w:val="center"/>
        </w:trPr>
        <w:tc>
          <w:tcPr>
            <w:tcW w:w="5074" w:type="dxa"/>
          </w:tcPr>
          <w:p w14:paraId="14777A1A"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Rooms containing fire pumps in non-high-rise buildings</w:t>
            </w:r>
          </w:p>
        </w:tc>
        <w:tc>
          <w:tcPr>
            <w:tcW w:w="5087" w:type="dxa"/>
          </w:tcPr>
          <w:p w14:paraId="4693FD81"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2 hours; or 1 hour and provide automatic sprinkler system throughout the building</w:t>
            </w:r>
          </w:p>
        </w:tc>
      </w:tr>
      <w:tr w:rsidR="00140B7C" w:rsidRPr="00EC4EC4" w14:paraId="21ECB0E2" w14:textId="77777777" w:rsidTr="00BC1087">
        <w:trPr>
          <w:jc w:val="center"/>
        </w:trPr>
        <w:tc>
          <w:tcPr>
            <w:tcW w:w="5074" w:type="dxa"/>
          </w:tcPr>
          <w:p w14:paraId="2AB2D10F"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Rooms containing fire pumps in high-rise buildings</w:t>
            </w:r>
          </w:p>
        </w:tc>
        <w:tc>
          <w:tcPr>
            <w:tcW w:w="5087" w:type="dxa"/>
          </w:tcPr>
          <w:p w14:paraId="290AE47F" w14:textId="77777777" w:rsidR="00140B7C" w:rsidRPr="00EC4EC4" w:rsidRDefault="00140B7C" w:rsidP="00BC1087">
            <w:pPr>
              <w:widowControl w:val="0"/>
              <w:autoSpaceDE w:val="0"/>
              <w:autoSpaceDN w:val="0"/>
              <w:adjustRightInd w:val="0"/>
              <w:spacing w:after="0" w:line="240" w:lineRule="auto"/>
              <w:rPr>
                <w:rFonts w:eastAsia="Times New Roman" w:cs="Times New Roman"/>
                <w:iCs/>
                <w:color w:val="000000"/>
                <w:sz w:val="18"/>
                <w:szCs w:val="18"/>
              </w:rPr>
            </w:pPr>
            <w:r w:rsidRPr="00EC4EC4">
              <w:rPr>
                <w:rFonts w:eastAsia="Times New Roman" w:cs="Times New Roman"/>
                <w:iCs/>
                <w:color w:val="000000"/>
                <w:sz w:val="18"/>
                <w:szCs w:val="18"/>
              </w:rPr>
              <w:t>2 hours</w:t>
            </w:r>
          </w:p>
        </w:tc>
      </w:tr>
    </w:tbl>
    <w:p w14:paraId="104A924A" w14:textId="77777777" w:rsidR="00140B7C" w:rsidRPr="00EC4EC4" w:rsidRDefault="00140B7C" w:rsidP="00140B7C">
      <w:pPr>
        <w:widowControl w:val="0"/>
        <w:autoSpaceDE w:val="0"/>
        <w:autoSpaceDN w:val="0"/>
        <w:adjustRightInd w:val="0"/>
        <w:spacing w:after="0" w:line="240" w:lineRule="auto"/>
        <w:ind w:left="720" w:hanging="360"/>
        <w:jc w:val="both"/>
        <w:rPr>
          <w:rFonts w:eastAsia="Times New Roman" w:cs="Times New Roman"/>
          <w:iCs/>
          <w:color w:val="000000"/>
          <w:sz w:val="16"/>
          <w:szCs w:val="16"/>
        </w:rPr>
      </w:pPr>
    </w:p>
    <w:p w14:paraId="17DADF9A" w14:textId="77777777" w:rsidR="00140B7C" w:rsidRPr="00EC4EC4" w:rsidRDefault="00140B7C" w:rsidP="00140B7C">
      <w:pPr>
        <w:widowControl w:val="0"/>
        <w:autoSpaceDE w:val="0"/>
        <w:autoSpaceDN w:val="0"/>
        <w:adjustRightInd w:val="0"/>
        <w:spacing w:after="0" w:line="240" w:lineRule="auto"/>
        <w:ind w:left="720" w:hanging="360"/>
        <w:jc w:val="both"/>
        <w:rPr>
          <w:rFonts w:eastAsia="Times New Roman" w:cs="Times New Roman"/>
          <w:iCs/>
          <w:color w:val="000000"/>
          <w:sz w:val="16"/>
          <w:szCs w:val="16"/>
        </w:rPr>
      </w:pPr>
      <w:r w:rsidRPr="00EC4EC4">
        <w:rPr>
          <w:rFonts w:eastAsia="Times New Roman" w:cs="Times New Roman"/>
          <w:iCs/>
          <w:color w:val="000000"/>
          <w:sz w:val="16"/>
          <w:szCs w:val="16"/>
        </w:rPr>
        <w:t>a.</w:t>
      </w:r>
      <w:r w:rsidRPr="00EC4EC4">
        <w:rPr>
          <w:rFonts w:eastAsia="Times New Roman" w:cs="Times New Roman"/>
          <w:iCs/>
          <w:color w:val="000000"/>
          <w:sz w:val="16"/>
          <w:szCs w:val="16"/>
        </w:rPr>
        <w:tab/>
        <w:t xml:space="preserve">Boilers servicing more than one dwelling unit in multiple dwellings shall also comply with Section 65 of the </w:t>
      </w:r>
      <w:r w:rsidRPr="00EC4EC4">
        <w:rPr>
          <w:rFonts w:eastAsia="Times New Roman" w:cs="Times New Roman"/>
          <w:i/>
          <w:iCs/>
          <w:color w:val="000000"/>
          <w:sz w:val="16"/>
          <w:szCs w:val="16"/>
        </w:rPr>
        <w:t>New York State Multiple Dwelling Law</w:t>
      </w:r>
      <w:r w:rsidRPr="00EC4EC4">
        <w:rPr>
          <w:rFonts w:eastAsia="Times New Roman" w:cs="Times New Roman"/>
          <w:iCs/>
          <w:color w:val="000000"/>
          <w:sz w:val="16"/>
          <w:szCs w:val="16"/>
        </w:rPr>
        <w:t>.</w:t>
      </w:r>
    </w:p>
    <w:p w14:paraId="42C0CBB2" w14:textId="77777777" w:rsidR="00140B7C" w:rsidRPr="00EC4EC4" w:rsidRDefault="00140B7C" w:rsidP="00140B7C">
      <w:pPr>
        <w:widowControl w:val="0"/>
        <w:autoSpaceDE w:val="0"/>
        <w:autoSpaceDN w:val="0"/>
        <w:adjustRightInd w:val="0"/>
        <w:spacing w:after="0" w:line="240" w:lineRule="auto"/>
        <w:ind w:left="720" w:hanging="360"/>
        <w:jc w:val="both"/>
        <w:rPr>
          <w:rFonts w:eastAsia="Times New Roman" w:cs="Times New Roman"/>
          <w:iCs/>
          <w:color w:val="000000"/>
          <w:sz w:val="16"/>
          <w:szCs w:val="16"/>
        </w:rPr>
      </w:pPr>
      <w:r w:rsidRPr="00EC4EC4">
        <w:rPr>
          <w:rFonts w:eastAsia="Times New Roman" w:cs="Times New Roman"/>
          <w:iCs/>
          <w:color w:val="000000"/>
          <w:sz w:val="16"/>
          <w:szCs w:val="16"/>
        </w:rPr>
        <w:t>b.</w:t>
      </w:r>
      <w:r w:rsidRPr="00EC4EC4">
        <w:rPr>
          <w:rFonts w:eastAsia="Times New Roman" w:cs="Times New Roman"/>
          <w:iCs/>
          <w:color w:val="000000"/>
          <w:sz w:val="16"/>
          <w:szCs w:val="16"/>
        </w:rPr>
        <w:tab/>
        <w:t xml:space="preserve">Sealed combustion direct vent boilers shall comply with Section 303 of the </w:t>
      </w:r>
      <w:r w:rsidRPr="00EC4EC4">
        <w:rPr>
          <w:rFonts w:eastAsia="Times New Roman" w:cs="Times New Roman"/>
          <w:i/>
          <w:iCs/>
          <w:color w:val="000000"/>
          <w:sz w:val="16"/>
          <w:szCs w:val="16"/>
        </w:rPr>
        <w:t>New York City Mechanical Code</w:t>
      </w:r>
      <w:r w:rsidRPr="00EC4EC4">
        <w:rPr>
          <w:rFonts w:eastAsia="Times New Roman" w:cs="Times New Roman"/>
          <w:iCs/>
          <w:color w:val="000000"/>
          <w:sz w:val="16"/>
          <w:szCs w:val="16"/>
        </w:rPr>
        <w:t xml:space="preserve"> and Section 303 of the </w:t>
      </w:r>
      <w:r w:rsidRPr="00EC4EC4">
        <w:rPr>
          <w:rFonts w:eastAsia="Times New Roman" w:cs="Times New Roman"/>
          <w:i/>
          <w:iCs/>
          <w:color w:val="000000"/>
          <w:sz w:val="16"/>
          <w:szCs w:val="16"/>
        </w:rPr>
        <w:t>New York City Fuel Gas Code</w:t>
      </w:r>
      <w:r w:rsidRPr="00EC4EC4">
        <w:rPr>
          <w:rFonts w:eastAsia="Times New Roman" w:cs="Times New Roman"/>
          <w:iCs/>
          <w:color w:val="000000"/>
          <w:sz w:val="16"/>
          <w:szCs w:val="16"/>
        </w:rPr>
        <w:t>, as applicable.</w:t>
      </w:r>
    </w:p>
    <w:p w14:paraId="795340B4" w14:textId="77777777" w:rsidR="00140B7C" w:rsidRPr="00EC4EC4" w:rsidRDefault="00140B7C" w:rsidP="00140B7C">
      <w:pPr>
        <w:widowControl w:val="0"/>
        <w:autoSpaceDE w:val="0"/>
        <w:autoSpaceDN w:val="0"/>
        <w:adjustRightInd w:val="0"/>
        <w:spacing w:after="0" w:line="240" w:lineRule="auto"/>
        <w:ind w:left="360"/>
        <w:jc w:val="both"/>
        <w:rPr>
          <w:rFonts w:eastAsia="Times New Roman" w:cs="Times New Roman"/>
          <w:iCs/>
          <w:sz w:val="16"/>
          <w:szCs w:val="16"/>
        </w:rPr>
      </w:pPr>
      <w:bookmarkStart w:id="41" w:name="_Toc389734179"/>
      <w:bookmarkStart w:id="42" w:name="_Toc389742741"/>
      <w:bookmarkEnd w:id="27"/>
      <w:bookmarkEnd w:id="28"/>
      <w:r w:rsidRPr="00EC4EC4">
        <w:rPr>
          <w:rFonts w:eastAsia="Times New Roman" w:cs="Times New Roman"/>
          <w:iCs/>
          <w:sz w:val="16"/>
          <w:szCs w:val="16"/>
        </w:rPr>
        <w:t>c.</w:t>
      </w:r>
      <w:r w:rsidRPr="00EC4EC4">
        <w:rPr>
          <w:rFonts w:eastAsia="Times New Roman" w:cs="Times New Roman"/>
          <w:iCs/>
          <w:sz w:val="16"/>
          <w:szCs w:val="16"/>
        </w:rPr>
        <w:tab/>
        <w:t>For mechanical and/or electrical equipment rooms not identified in this [</w:t>
      </w:r>
      <w:r w:rsidRPr="00EC4EC4">
        <w:rPr>
          <w:rFonts w:eastAsia="Times New Roman" w:cs="Times New Roman"/>
          <w:iCs/>
          <w:strike/>
          <w:sz w:val="16"/>
          <w:szCs w:val="16"/>
        </w:rPr>
        <w:t>Table</w:t>
      </w:r>
      <w:r w:rsidRPr="00EC4EC4">
        <w:rPr>
          <w:rFonts w:eastAsia="Times New Roman" w:cs="Times New Roman"/>
          <w:iCs/>
          <w:sz w:val="16"/>
          <w:szCs w:val="16"/>
        </w:rPr>
        <w:t>]</w:t>
      </w:r>
      <w:r w:rsidRPr="00EC4EC4">
        <w:rPr>
          <w:rFonts w:eastAsia="Times New Roman" w:cs="Times New Roman"/>
          <w:iCs/>
          <w:sz w:val="16"/>
          <w:szCs w:val="16"/>
          <w:u w:val="single"/>
        </w:rPr>
        <w:t>table</w:t>
      </w:r>
      <w:r w:rsidRPr="00EC4EC4">
        <w:rPr>
          <w:rFonts w:eastAsia="Times New Roman" w:cs="Times New Roman"/>
          <w:iCs/>
          <w:sz w:val="16"/>
          <w:szCs w:val="16"/>
        </w:rPr>
        <w:t>, see Section 508.1.</w:t>
      </w:r>
    </w:p>
    <w:p w14:paraId="09E63FD1" w14:textId="77777777" w:rsidR="00140B7C" w:rsidRPr="00EC4EC4" w:rsidRDefault="00140B7C" w:rsidP="00140B7C">
      <w:pPr>
        <w:widowControl w:val="0"/>
        <w:autoSpaceDE w:val="0"/>
        <w:autoSpaceDN w:val="0"/>
        <w:adjustRightInd w:val="0"/>
        <w:spacing w:after="0" w:line="240" w:lineRule="auto"/>
        <w:ind w:left="360"/>
        <w:jc w:val="both"/>
        <w:rPr>
          <w:rFonts w:eastAsia="Times New Roman" w:cs="Times New Roman"/>
          <w:iCs/>
          <w:sz w:val="16"/>
          <w:szCs w:val="16"/>
        </w:rPr>
      </w:pPr>
      <w:r w:rsidRPr="00EC4EC4">
        <w:rPr>
          <w:rFonts w:eastAsia="Times New Roman" w:cs="Times New Roman"/>
          <w:iCs/>
          <w:sz w:val="16"/>
          <w:szCs w:val="16"/>
        </w:rPr>
        <w:t>For SI: 1 square foot = 0.0929 m</w:t>
      </w:r>
      <w:r w:rsidRPr="00EC4EC4">
        <w:rPr>
          <w:rFonts w:eastAsia="Times New Roman" w:cs="Times New Roman"/>
          <w:iCs/>
          <w:sz w:val="16"/>
          <w:szCs w:val="16"/>
          <w:vertAlign w:val="superscript"/>
        </w:rPr>
        <w:t>2</w:t>
      </w:r>
      <w:r w:rsidRPr="00EC4EC4">
        <w:rPr>
          <w:rFonts w:eastAsia="Times New Roman" w:cs="Times New Roman"/>
          <w:iCs/>
          <w:sz w:val="16"/>
          <w:szCs w:val="16"/>
        </w:rPr>
        <w:t>, 1 pound per square inch (psi) = 6.9 kPa, 1 British thermal unit (Btu) per hour = 0.293 watts, 1 horsepower = 746 watts, 1 gallon = 3.785 L, 1 cubic foot = 0.0283m</w:t>
      </w:r>
      <w:r w:rsidRPr="00EC4EC4">
        <w:rPr>
          <w:rFonts w:eastAsia="Times New Roman" w:cs="Times New Roman"/>
          <w:iCs/>
          <w:sz w:val="16"/>
          <w:szCs w:val="16"/>
          <w:vertAlign w:val="superscript"/>
        </w:rPr>
        <w:t>3</w:t>
      </w:r>
      <w:r w:rsidRPr="00EC4EC4">
        <w:rPr>
          <w:rFonts w:eastAsia="Times New Roman" w:cs="Times New Roman"/>
          <w:iCs/>
          <w:sz w:val="16"/>
          <w:szCs w:val="16"/>
        </w:rPr>
        <w:t>.</w:t>
      </w:r>
    </w:p>
    <w:p w14:paraId="612AE34E" w14:textId="77777777" w:rsidR="00140B7C" w:rsidRPr="00EC4EC4" w:rsidRDefault="00140B7C" w:rsidP="00140B7C">
      <w:pPr>
        <w:widowControl w:val="0"/>
        <w:autoSpaceDE w:val="0"/>
        <w:autoSpaceDN w:val="0"/>
        <w:adjustRightInd w:val="0"/>
        <w:spacing w:after="0" w:line="240" w:lineRule="auto"/>
        <w:ind w:left="360"/>
        <w:jc w:val="both"/>
        <w:rPr>
          <w:rFonts w:eastAsia="Times New Roman" w:cs="Times New Roman"/>
          <w:iCs/>
          <w:sz w:val="16"/>
          <w:szCs w:val="16"/>
        </w:rPr>
      </w:pPr>
    </w:p>
    <w:p w14:paraId="455F11E2" w14:textId="29DC7F7D" w:rsidR="00140B7C" w:rsidRDefault="00140B7C" w:rsidP="00140B7C">
      <w:pPr>
        <w:pStyle w:val="FlushLeft"/>
        <w:ind w:firstLine="720"/>
        <w:rPr>
          <w:sz w:val="23"/>
          <w:szCs w:val="23"/>
        </w:rPr>
      </w:pPr>
      <w:bookmarkStart w:id="43" w:name="_Toc389734196"/>
      <w:bookmarkStart w:id="44" w:name="_Toc389742758"/>
      <w:bookmarkStart w:id="45" w:name="CHAPTER_6_TYPES_OF_CONSTRUCTION"/>
      <w:bookmarkEnd w:id="41"/>
      <w:bookmarkEnd w:id="42"/>
      <w:r w:rsidRPr="00EC4EC4">
        <w:rPr>
          <w:sz w:val="23"/>
          <w:szCs w:val="23"/>
        </w:rPr>
        <w:t>§</w:t>
      </w:r>
      <w:r>
        <w:rPr>
          <w:sz w:val="23"/>
          <w:szCs w:val="23"/>
        </w:rPr>
        <w:t>1</w:t>
      </w:r>
      <w:r w:rsidR="006C4965">
        <w:rPr>
          <w:sz w:val="23"/>
          <w:szCs w:val="23"/>
        </w:rPr>
        <w:t>21</w:t>
      </w:r>
      <w:r w:rsidRPr="00EC4EC4">
        <w:rPr>
          <w:sz w:val="23"/>
          <w:szCs w:val="23"/>
        </w:rPr>
        <w:t xml:space="preserve">. </w:t>
      </w:r>
      <w:r>
        <w:rPr>
          <w:sz w:val="23"/>
          <w:szCs w:val="23"/>
        </w:rPr>
        <w:t>S</w:t>
      </w:r>
      <w:r w:rsidRPr="00EC4EC4">
        <w:rPr>
          <w:sz w:val="23"/>
          <w:szCs w:val="23"/>
        </w:rPr>
        <w:t xml:space="preserve">ection </w:t>
      </w:r>
      <w:r>
        <w:rPr>
          <w:sz w:val="23"/>
          <w:szCs w:val="23"/>
        </w:rPr>
        <w:t xml:space="preserve">510 </w:t>
      </w:r>
      <w:r w:rsidRPr="00EC4EC4">
        <w:rPr>
          <w:sz w:val="23"/>
          <w:szCs w:val="23"/>
        </w:rPr>
        <w:t xml:space="preserve">of the New York city building code, as </w:t>
      </w:r>
      <w:r>
        <w:rPr>
          <w:sz w:val="23"/>
          <w:szCs w:val="23"/>
        </w:rPr>
        <w:t xml:space="preserve">renumbered </w:t>
      </w:r>
      <w:r w:rsidRPr="00EC4EC4">
        <w:rPr>
          <w:sz w:val="23"/>
          <w:szCs w:val="23"/>
        </w:rPr>
        <w:t>by local law number</w:t>
      </w:r>
      <w:r>
        <w:rPr>
          <w:sz w:val="23"/>
          <w:szCs w:val="23"/>
        </w:rPr>
        <w:t xml:space="preserve"> 141 of 2013</w:t>
      </w:r>
      <w:r w:rsidRPr="00EC4EC4">
        <w:rPr>
          <w:sz w:val="23"/>
          <w:szCs w:val="23"/>
        </w:rPr>
        <w:t xml:space="preserve"> for the year 2021, is amended</w:t>
      </w:r>
      <w:r>
        <w:rPr>
          <w:sz w:val="23"/>
          <w:szCs w:val="23"/>
        </w:rPr>
        <w:t xml:space="preserve"> to read as follows:</w:t>
      </w:r>
    </w:p>
    <w:p w14:paraId="6B3DF02D" w14:textId="77777777" w:rsidR="00140B7C" w:rsidRPr="00D566A9" w:rsidRDefault="00140B7C" w:rsidP="00140B7C">
      <w:pPr>
        <w:pStyle w:val="FlushLeft"/>
        <w:spacing w:after="0"/>
        <w:jc w:val="center"/>
        <w:rPr>
          <w:b/>
          <w:bCs/>
          <w:szCs w:val="24"/>
        </w:rPr>
      </w:pPr>
      <w:r w:rsidRPr="00D566A9">
        <w:rPr>
          <w:b/>
          <w:bCs/>
          <w:szCs w:val="24"/>
        </w:rPr>
        <w:t>SECTION BC 510</w:t>
      </w:r>
    </w:p>
    <w:p w14:paraId="4233EFD3" w14:textId="77777777" w:rsidR="00140B7C" w:rsidRDefault="00140B7C" w:rsidP="00140B7C">
      <w:pPr>
        <w:pStyle w:val="FlushLeft"/>
        <w:spacing w:after="0"/>
        <w:jc w:val="center"/>
        <w:rPr>
          <w:b/>
          <w:bCs/>
          <w:szCs w:val="24"/>
        </w:rPr>
      </w:pPr>
      <w:r w:rsidRPr="00D566A9">
        <w:rPr>
          <w:b/>
          <w:bCs/>
          <w:szCs w:val="24"/>
        </w:rPr>
        <w:t>SPECIAL PROVISIONS</w:t>
      </w:r>
    </w:p>
    <w:p w14:paraId="5D8446B2" w14:textId="77777777" w:rsidR="00140B7C" w:rsidRPr="00D566A9" w:rsidRDefault="00140B7C" w:rsidP="00140B7C">
      <w:pPr>
        <w:pStyle w:val="FlushLeft"/>
        <w:spacing w:after="0"/>
        <w:jc w:val="center"/>
        <w:rPr>
          <w:b/>
          <w:bCs/>
          <w:szCs w:val="24"/>
        </w:rPr>
      </w:pPr>
    </w:p>
    <w:p w14:paraId="3698FAB9" w14:textId="77777777" w:rsidR="00140B7C" w:rsidRPr="00D566A9" w:rsidRDefault="00140B7C" w:rsidP="00140B7C">
      <w:pPr>
        <w:pStyle w:val="FlushLeft"/>
        <w:rPr>
          <w:szCs w:val="24"/>
        </w:rPr>
      </w:pPr>
      <w:r w:rsidRPr="00D566A9">
        <w:rPr>
          <w:b/>
          <w:bCs/>
          <w:szCs w:val="24"/>
        </w:rPr>
        <w:t>510.1 General.</w:t>
      </w:r>
      <w:r w:rsidRPr="00D566A9">
        <w:rPr>
          <w:szCs w:val="24"/>
        </w:rPr>
        <w:t xml:space="preserve"> The provisions in [</w:t>
      </w:r>
      <w:r w:rsidRPr="00D566A9">
        <w:rPr>
          <w:strike/>
          <w:szCs w:val="24"/>
        </w:rPr>
        <w:t>this section</w:t>
      </w:r>
      <w:r w:rsidRPr="00D566A9">
        <w:rPr>
          <w:szCs w:val="24"/>
        </w:rPr>
        <w:t>]</w:t>
      </w:r>
      <w:r w:rsidRPr="00D566A9">
        <w:rPr>
          <w:szCs w:val="24"/>
          <w:u w:val="single"/>
        </w:rPr>
        <w:t>Sections 510.2 through 510.10</w:t>
      </w:r>
      <w:r w:rsidRPr="00D566A9">
        <w:rPr>
          <w:szCs w:val="24"/>
        </w:rPr>
        <w:t xml:space="preserve"> shall permit the use of special conditions that are exempt from, or modify, the specific requirements of this chapter regarding the allowable </w:t>
      </w:r>
      <w:r w:rsidRPr="00D566A9">
        <w:rPr>
          <w:szCs w:val="24"/>
          <w:u w:val="single"/>
        </w:rPr>
        <w:t>building</w:t>
      </w:r>
      <w:r w:rsidRPr="00D566A9">
        <w:rPr>
          <w:szCs w:val="24"/>
        </w:rPr>
        <w:t xml:space="preserve"> heights and areas of buildings based on the occupancy classification and type of construction, provided the special condition complies with the provisions specified in this section for such condition and other applicable requirements of this code. The provisions of Sections 510.2 through 510.8 are to be considered independent and separate from each other.</w:t>
      </w:r>
    </w:p>
    <w:p w14:paraId="25D75FCE" w14:textId="77777777" w:rsidR="00140B7C" w:rsidRPr="00D566A9" w:rsidRDefault="00140B7C" w:rsidP="00140B7C">
      <w:pPr>
        <w:pStyle w:val="FlushLeft"/>
        <w:rPr>
          <w:szCs w:val="24"/>
        </w:rPr>
      </w:pPr>
      <w:r w:rsidRPr="00E367CA">
        <w:rPr>
          <w:b/>
          <w:bCs/>
          <w:szCs w:val="24"/>
        </w:rPr>
        <w:t>510.2 Horizontal building separation allowance.</w:t>
      </w:r>
      <w:r w:rsidRPr="00D566A9">
        <w:rPr>
          <w:szCs w:val="24"/>
        </w:rPr>
        <w:t xml:space="preserve"> Buildings shall be considered as separate and distinct from each other for the purpose of determining area limitations, continuity of fire walls, limitation of number of stories and type of construction, where all of the following conditions are met:</w:t>
      </w:r>
    </w:p>
    <w:p w14:paraId="52831815" w14:textId="77777777" w:rsidR="00140B7C" w:rsidRPr="00D566A9" w:rsidRDefault="00140B7C" w:rsidP="00140B7C">
      <w:pPr>
        <w:pStyle w:val="FlushLeft"/>
        <w:ind w:left="450" w:hanging="450"/>
        <w:rPr>
          <w:szCs w:val="24"/>
        </w:rPr>
      </w:pPr>
      <w:r w:rsidRPr="00D566A9">
        <w:rPr>
          <w:szCs w:val="24"/>
        </w:rPr>
        <w:t>1.</w:t>
      </w:r>
      <w:r>
        <w:rPr>
          <w:szCs w:val="24"/>
        </w:rPr>
        <w:tab/>
      </w:r>
      <w:r w:rsidRPr="00D566A9">
        <w:rPr>
          <w:szCs w:val="24"/>
        </w:rPr>
        <w:t>The buildings are separated with a horizontal floor assembly having a [</w:t>
      </w:r>
      <w:r w:rsidRPr="00E367CA">
        <w:rPr>
          <w:strike/>
          <w:szCs w:val="24"/>
        </w:rPr>
        <w:t>minimum 3-hour</w:t>
      </w:r>
      <w:r w:rsidRPr="00D566A9">
        <w:rPr>
          <w:szCs w:val="24"/>
        </w:rPr>
        <w:t xml:space="preserve"> ]fire-resistance rating </w:t>
      </w:r>
      <w:r w:rsidRPr="00E367CA">
        <w:rPr>
          <w:szCs w:val="24"/>
          <w:u w:val="single"/>
        </w:rPr>
        <w:t>of not less than 3 hours</w:t>
      </w:r>
      <w:r w:rsidRPr="00D566A9">
        <w:rPr>
          <w:szCs w:val="24"/>
        </w:rPr>
        <w:t>.</w:t>
      </w:r>
    </w:p>
    <w:p w14:paraId="0A3FCAF4" w14:textId="77777777" w:rsidR="00140B7C" w:rsidRPr="00D566A9" w:rsidRDefault="00140B7C" w:rsidP="00140B7C">
      <w:pPr>
        <w:pStyle w:val="FlushLeft"/>
        <w:rPr>
          <w:szCs w:val="24"/>
        </w:rPr>
      </w:pPr>
      <w:r w:rsidRPr="00D566A9">
        <w:rPr>
          <w:szCs w:val="24"/>
        </w:rPr>
        <w:t>2.</w:t>
      </w:r>
      <w:r>
        <w:rPr>
          <w:szCs w:val="24"/>
        </w:rPr>
        <w:t xml:space="preserve">    </w:t>
      </w:r>
      <w:r w:rsidRPr="00D566A9">
        <w:rPr>
          <w:szCs w:val="24"/>
        </w:rPr>
        <w:t>[</w:t>
      </w:r>
      <w:r w:rsidRPr="00E367CA">
        <w:rPr>
          <w:strike/>
          <w:szCs w:val="24"/>
        </w:rPr>
        <w:t>The building below the horizontal assembly is no more than one story above grade plane.</w:t>
      </w:r>
      <w:r w:rsidRPr="00D566A9">
        <w:rPr>
          <w:szCs w:val="24"/>
        </w:rPr>
        <w:t>]</w:t>
      </w:r>
    </w:p>
    <w:p w14:paraId="4C59A6A4" w14:textId="77777777" w:rsidR="00140B7C" w:rsidRPr="00D566A9" w:rsidRDefault="00140B7C" w:rsidP="00140B7C">
      <w:pPr>
        <w:pStyle w:val="FlushLeft"/>
        <w:rPr>
          <w:szCs w:val="24"/>
        </w:rPr>
      </w:pPr>
      <w:r w:rsidRPr="00D566A9">
        <w:rPr>
          <w:szCs w:val="24"/>
        </w:rPr>
        <w:t>[</w:t>
      </w:r>
      <w:r w:rsidRPr="00E367CA">
        <w:rPr>
          <w:strike/>
          <w:szCs w:val="24"/>
        </w:rPr>
        <w:t>3.</w:t>
      </w:r>
      <w:r w:rsidRPr="00D566A9">
        <w:rPr>
          <w:szCs w:val="24"/>
        </w:rPr>
        <w:t>]The building below the horizontal assembly is of Type IA construction.</w:t>
      </w:r>
    </w:p>
    <w:p w14:paraId="265ABDAB" w14:textId="77777777" w:rsidR="00140B7C" w:rsidRPr="00D566A9" w:rsidRDefault="00140B7C" w:rsidP="00140B7C">
      <w:pPr>
        <w:pStyle w:val="FlushLeft"/>
        <w:ind w:left="720" w:hanging="720"/>
        <w:rPr>
          <w:szCs w:val="24"/>
        </w:rPr>
      </w:pPr>
      <w:r w:rsidRPr="00D566A9">
        <w:rPr>
          <w:szCs w:val="24"/>
        </w:rPr>
        <w:t>[</w:t>
      </w:r>
      <w:r w:rsidRPr="00E367CA">
        <w:rPr>
          <w:strike/>
          <w:szCs w:val="24"/>
        </w:rPr>
        <w:t>4.</w:t>
      </w:r>
      <w:r w:rsidRPr="00D566A9">
        <w:rPr>
          <w:szCs w:val="24"/>
        </w:rPr>
        <w:t xml:space="preserve">]3. </w:t>
      </w:r>
      <w:r>
        <w:rPr>
          <w:szCs w:val="24"/>
        </w:rPr>
        <w:t xml:space="preserve"> </w:t>
      </w:r>
      <w:r w:rsidRPr="00D566A9">
        <w:rPr>
          <w:szCs w:val="24"/>
        </w:rPr>
        <w:t>Shaft, stairway, ramp or escalator enclosures through the horizontal floor assembly shall have [</w:t>
      </w:r>
      <w:r w:rsidRPr="00E367CA">
        <w:rPr>
          <w:strike/>
          <w:szCs w:val="24"/>
        </w:rPr>
        <w:t>a minimum of</w:t>
      </w:r>
      <w:r w:rsidRPr="00D566A9">
        <w:rPr>
          <w:szCs w:val="24"/>
        </w:rPr>
        <w:t>]</w:t>
      </w:r>
      <w:r w:rsidRPr="00E367CA">
        <w:rPr>
          <w:szCs w:val="24"/>
          <w:u w:val="single"/>
        </w:rPr>
        <w:t>not less than a</w:t>
      </w:r>
      <w:r w:rsidRPr="00D566A9">
        <w:rPr>
          <w:szCs w:val="24"/>
        </w:rPr>
        <w:t xml:space="preserve"> 2-hour fire-resistance rating with opening protectives in accordance with Section [</w:t>
      </w:r>
      <w:r w:rsidRPr="00E367CA">
        <w:rPr>
          <w:strike/>
          <w:szCs w:val="24"/>
        </w:rPr>
        <w:t>715.4</w:t>
      </w:r>
      <w:r w:rsidRPr="00D566A9">
        <w:rPr>
          <w:szCs w:val="24"/>
        </w:rPr>
        <w:t>]</w:t>
      </w:r>
      <w:r w:rsidRPr="00E367CA">
        <w:rPr>
          <w:szCs w:val="24"/>
          <w:u w:val="single"/>
        </w:rPr>
        <w:t>716.5</w:t>
      </w:r>
      <w:r w:rsidRPr="00D566A9">
        <w:rPr>
          <w:szCs w:val="24"/>
        </w:rPr>
        <w:t>.</w:t>
      </w:r>
    </w:p>
    <w:p w14:paraId="022B05AB" w14:textId="77777777" w:rsidR="00140B7C" w:rsidRPr="00D566A9" w:rsidRDefault="00140B7C" w:rsidP="00140B7C">
      <w:pPr>
        <w:pStyle w:val="FlushLeft"/>
        <w:rPr>
          <w:szCs w:val="24"/>
        </w:rPr>
      </w:pPr>
      <w:r w:rsidRPr="00E367CA">
        <w:rPr>
          <w:b/>
          <w:bCs/>
          <w:szCs w:val="24"/>
        </w:rPr>
        <w:t>Exception:</w:t>
      </w:r>
      <w:r w:rsidRPr="00D566A9">
        <w:rPr>
          <w:szCs w:val="24"/>
        </w:rPr>
        <w:t xml:space="preserve"> Where the enclosure walls below the horizontal floor assembly have [</w:t>
      </w:r>
      <w:r w:rsidRPr="00E367CA">
        <w:rPr>
          <w:strike/>
          <w:szCs w:val="24"/>
        </w:rPr>
        <w:t>a minimum of</w:t>
      </w:r>
      <w:r w:rsidRPr="00D566A9">
        <w:rPr>
          <w:szCs w:val="24"/>
        </w:rPr>
        <w:t>]</w:t>
      </w:r>
      <w:r w:rsidRPr="00E367CA">
        <w:rPr>
          <w:szCs w:val="24"/>
          <w:u w:val="single"/>
        </w:rPr>
        <w:t>not less than a</w:t>
      </w:r>
      <w:r w:rsidRPr="00D566A9">
        <w:rPr>
          <w:szCs w:val="24"/>
        </w:rPr>
        <w:t xml:space="preserve"> 3-hour fire-resistance rating with opening protectives in accordance with Section [</w:t>
      </w:r>
      <w:r w:rsidRPr="00E367CA">
        <w:rPr>
          <w:strike/>
          <w:szCs w:val="24"/>
        </w:rPr>
        <w:t>715.4</w:t>
      </w:r>
      <w:r w:rsidRPr="00D566A9">
        <w:rPr>
          <w:szCs w:val="24"/>
        </w:rPr>
        <w:t>]</w:t>
      </w:r>
      <w:r w:rsidRPr="00E367CA">
        <w:rPr>
          <w:szCs w:val="24"/>
          <w:u w:val="single"/>
        </w:rPr>
        <w:t>716.5</w:t>
      </w:r>
      <w:r w:rsidRPr="00D566A9">
        <w:rPr>
          <w:szCs w:val="24"/>
        </w:rPr>
        <w:t>, the enclosure walls extending above the horizontal floor assembly shall be permitted to have a 1-hour fire-resistance rating</w:t>
      </w:r>
      <w:r w:rsidRPr="00E367CA">
        <w:rPr>
          <w:szCs w:val="24"/>
          <w:u w:val="single"/>
        </w:rPr>
        <w:t xml:space="preserve">, </w:t>
      </w:r>
      <w:r w:rsidRPr="00D566A9">
        <w:rPr>
          <w:szCs w:val="24"/>
        </w:rPr>
        <w:t>provided:</w:t>
      </w:r>
    </w:p>
    <w:p w14:paraId="47851B9B" w14:textId="77777777" w:rsidR="00140B7C" w:rsidRPr="00D566A9" w:rsidRDefault="00140B7C" w:rsidP="00140B7C">
      <w:pPr>
        <w:pStyle w:val="FlushLeft"/>
        <w:ind w:left="720" w:hanging="720"/>
        <w:rPr>
          <w:szCs w:val="24"/>
        </w:rPr>
      </w:pPr>
      <w:r w:rsidRPr="00D566A9">
        <w:rPr>
          <w:szCs w:val="24"/>
        </w:rPr>
        <w:lastRenderedPageBreak/>
        <w:t>[</w:t>
      </w:r>
      <w:r w:rsidRPr="00E367CA">
        <w:rPr>
          <w:strike/>
          <w:szCs w:val="24"/>
        </w:rPr>
        <w:t>4.1.</w:t>
      </w:r>
      <w:r w:rsidRPr="00D566A9">
        <w:rPr>
          <w:szCs w:val="24"/>
        </w:rPr>
        <w:t>]</w:t>
      </w:r>
      <w:r w:rsidRPr="00E367CA">
        <w:rPr>
          <w:szCs w:val="24"/>
          <w:u w:val="single"/>
        </w:rPr>
        <w:t>1.</w:t>
      </w:r>
      <w:r w:rsidRPr="00E367CA">
        <w:rPr>
          <w:szCs w:val="24"/>
          <w:u w:val="single"/>
        </w:rPr>
        <w:tab/>
      </w:r>
      <w:r w:rsidRPr="00D566A9">
        <w:rPr>
          <w:szCs w:val="24"/>
        </w:rPr>
        <w:t>The building above the horizontal floor assembly is not required to be of Type I construction;</w:t>
      </w:r>
    </w:p>
    <w:p w14:paraId="5880E2C6" w14:textId="77777777" w:rsidR="00140B7C" w:rsidRPr="00D566A9" w:rsidRDefault="00140B7C" w:rsidP="00140B7C">
      <w:pPr>
        <w:pStyle w:val="FlushLeft"/>
        <w:rPr>
          <w:szCs w:val="24"/>
        </w:rPr>
      </w:pPr>
      <w:r w:rsidRPr="00D566A9">
        <w:rPr>
          <w:szCs w:val="24"/>
        </w:rPr>
        <w:t>[</w:t>
      </w:r>
      <w:r w:rsidRPr="00E367CA">
        <w:rPr>
          <w:strike/>
          <w:szCs w:val="24"/>
        </w:rPr>
        <w:t>4.2.</w:t>
      </w:r>
      <w:r w:rsidRPr="00D566A9">
        <w:rPr>
          <w:szCs w:val="24"/>
        </w:rPr>
        <w:t>]</w:t>
      </w:r>
      <w:r w:rsidRPr="00E367CA">
        <w:rPr>
          <w:szCs w:val="24"/>
          <w:u w:val="single"/>
        </w:rPr>
        <w:t>2.</w:t>
      </w:r>
      <w:r w:rsidRPr="00D566A9">
        <w:rPr>
          <w:szCs w:val="24"/>
        </w:rPr>
        <w:tab/>
        <w:t>The enclosure connects [</w:t>
      </w:r>
      <w:r w:rsidRPr="00E367CA">
        <w:rPr>
          <w:strike/>
          <w:szCs w:val="24"/>
        </w:rPr>
        <w:t>less</w:t>
      </w:r>
      <w:r w:rsidRPr="00D566A9">
        <w:rPr>
          <w:szCs w:val="24"/>
        </w:rPr>
        <w:t>]</w:t>
      </w:r>
      <w:r w:rsidRPr="00E367CA">
        <w:rPr>
          <w:szCs w:val="24"/>
          <w:u w:val="single"/>
        </w:rPr>
        <w:t>fewer</w:t>
      </w:r>
      <w:r w:rsidRPr="00D566A9">
        <w:rPr>
          <w:szCs w:val="24"/>
        </w:rPr>
        <w:t xml:space="preserve"> than four stories[</w:t>
      </w:r>
      <w:r w:rsidRPr="00E367CA">
        <w:rPr>
          <w:strike/>
          <w:szCs w:val="24"/>
        </w:rPr>
        <w:t>,</w:t>
      </w:r>
      <w:r w:rsidRPr="00D566A9">
        <w:rPr>
          <w:szCs w:val="24"/>
        </w:rPr>
        <w:t>]; and</w:t>
      </w:r>
    </w:p>
    <w:p w14:paraId="6388B220" w14:textId="77777777" w:rsidR="00140B7C" w:rsidRPr="00D566A9" w:rsidRDefault="00140B7C" w:rsidP="00140B7C">
      <w:pPr>
        <w:pStyle w:val="FlushLeft"/>
        <w:ind w:left="720" w:hanging="720"/>
        <w:rPr>
          <w:szCs w:val="24"/>
        </w:rPr>
      </w:pPr>
      <w:r w:rsidRPr="00D566A9">
        <w:rPr>
          <w:szCs w:val="24"/>
        </w:rPr>
        <w:t>[</w:t>
      </w:r>
      <w:r w:rsidRPr="00E367CA">
        <w:rPr>
          <w:strike/>
          <w:szCs w:val="24"/>
        </w:rPr>
        <w:t>4.3.</w:t>
      </w:r>
      <w:r w:rsidRPr="00D566A9">
        <w:rPr>
          <w:szCs w:val="24"/>
        </w:rPr>
        <w:t>]</w:t>
      </w:r>
      <w:r w:rsidRPr="00E367CA">
        <w:rPr>
          <w:szCs w:val="24"/>
          <w:u w:val="single"/>
        </w:rPr>
        <w:t>3.</w:t>
      </w:r>
      <w:r w:rsidRPr="00D566A9">
        <w:rPr>
          <w:szCs w:val="24"/>
        </w:rPr>
        <w:tab/>
        <w:t>The enclosure opening protectives above the horizontal floor assembly have a [</w:t>
      </w:r>
      <w:r w:rsidRPr="00E367CA">
        <w:rPr>
          <w:strike/>
          <w:szCs w:val="24"/>
        </w:rPr>
        <w:t>minimum 1-hour</w:t>
      </w:r>
      <w:r w:rsidRPr="00D566A9">
        <w:rPr>
          <w:szCs w:val="24"/>
        </w:rPr>
        <w:t xml:space="preserve"> ]fire protection rating </w:t>
      </w:r>
      <w:r w:rsidRPr="00E367CA">
        <w:rPr>
          <w:szCs w:val="24"/>
          <w:u w:val="single"/>
        </w:rPr>
        <w:t>of not less than 1 hour</w:t>
      </w:r>
      <w:r w:rsidRPr="00D566A9">
        <w:rPr>
          <w:szCs w:val="24"/>
        </w:rPr>
        <w:t>.</w:t>
      </w:r>
    </w:p>
    <w:p w14:paraId="0E265A8F" w14:textId="77777777" w:rsidR="00140B7C" w:rsidRPr="00D566A9" w:rsidRDefault="00140B7C" w:rsidP="00140B7C">
      <w:pPr>
        <w:pStyle w:val="FlushLeft"/>
        <w:rPr>
          <w:szCs w:val="24"/>
        </w:rPr>
      </w:pPr>
      <w:r w:rsidRPr="00D566A9">
        <w:rPr>
          <w:szCs w:val="24"/>
        </w:rPr>
        <w:t>[</w:t>
      </w:r>
      <w:r w:rsidRPr="00E367CA">
        <w:rPr>
          <w:strike/>
          <w:szCs w:val="24"/>
        </w:rPr>
        <w:t>5.</w:t>
      </w:r>
      <w:r w:rsidRPr="00D566A9">
        <w:rPr>
          <w:szCs w:val="24"/>
        </w:rPr>
        <w:t>]</w:t>
      </w:r>
      <w:r w:rsidRPr="00E367CA">
        <w:rPr>
          <w:szCs w:val="24"/>
          <w:u w:val="single"/>
        </w:rPr>
        <w:t>4.</w:t>
      </w:r>
      <w:r w:rsidRPr="00D566A9">
        <w:rPr>
          <w:szCs w:val="24"/>
        </w:rPr>
        <w:tab/>
        <w:t>The building or buildings above the horizontal assembly shall be permitted to have multiple Group A occupancy uses, each with an occupant load of less than 300, or Group B, M, R[</w:t>
      </w:r>
      <w:r w:rsidRPr="00F92FDC">
        <w:rPr>
          <w:strike/>
          <w:szCs w:val="24"/>
        </w:rPr>
        <w:t>,</w:t>
      </w:r>
      <w:r w:rsidRPr="00D566A9">
        <w:rPr>
          <w:szCs w:val="24"/>
        </w:rPr>
        <w:t>] or S occupancies.</w:t>
      </w:r>
    </w:p>
    <w:p w14:paraId="706CC6C2" w14:textId="77777777" w:rsidR="00140B7C" w:rsidRPr="00D566A9" w:rsidRDefault="00140B7C" w:rsidP="00140B7C">
      <w:pPr>
        <w:pStyle w:val="FlushLeft"/>
        <w:rPr>
          <w:szCs w:val="24"/>
        </w:rPr>
      </w:pPr>
      <w:r w:rsidRPr="00D566A9">
        <w:rPr>
          <w:szCs w:val="24"/>
        </w:rPr>
        <w:t>[</w:t>
      </w:r>
      <w:r w:rsidRPr="00F92FDC">
        <w:rPr>
          <w:strike/>
          <w:szCs w:val="24"/>
        </w:rPr>
        <w:t>6.</w:t>
      </w:r>
      <w:r w:rsidRPr="00D566A9">
        <w:rPr>
          <w:szCs w:val="24"/>
        </w:rPr>
        <w:t>]</w:t>
      </w:r>
      <w:r w:rsidRPr="00E367CA">
        <w:rPr>
          <w:szCs w:val="24"/>
          <w:u w:val="single"/>
        </w:rPr>
        <w:t>5.</w:t>
      </w:r>
      <w:r w:rsidRPr="00D566A9">
        <w:rPr>
          <w:szCs w:val="24"/>
        </w:rPr>
        <w:tab/>
        <w:t>The building below the horizontal assembly shall be protected throughout by an approved automatic sprinkler system in accordance with Section 903.3.1.1, and shall be permitted to be any [</w:t>
      </w:r>
      <w:r w:rsidRPr="00F92FDC">
        <w:rPr>
          <w:strike/>
          <w:szCs w:val="24"/>
        </w:rPr>
        <w:t>of the following occupancies:</w:t>
      </w:r>
      <w:r w:rsidRPr="00D566A9">
        <w:rPr>
          <w:szCs w:val="24"/>
        </w:rPr>
        <w:t>]</w:t>
      </w:r>
    </w:p>
    <w:p w14:paraId="18120421" w14:textId="77777777" w:rsidR="00140B7C" w:rsidRPr="00D566A9" w:rsidRDefault="00140B7C" w:rsidP="00140B7C">
      <w:pPr>
        <w:pStyle w:val="FlushLeft"/>
        <w:rPr>
          <w:szCs w:val="24"/>
        </w:rPr>
      </w:pPr>
      <w:r w:rsidRPr="00D566A9">
        <w:rPr>
          <w:szCs w:val="24"/>
        </w:rPr>
        <w:t>[</w:t>
      </w:r>
      <w:r w:rsidRPr="00F92FDC">
        <w:rPr>
          <w:strike/>
          <w:szCs w:val="24"/>
        </w:rPr>
        <w:t>6.1.</w:t>
      </w:r>
      <w:r w:rsidRPr="00F92FDC">
        <w:rPr>
          <w:strike/>
          <w:szCs w:val="24"/>
        </w:rPr>
        <w:tab/>
        <w:t>Group S-2 parking garage used for the parking and storage of private motor vehicles.</w:t>
      </w:r>
      <w:r w:rsidRPr="00D566A9">
        <w:rPr>
          <w:szCs w:val="24"/>
        </w:rPr>
        <w:t>]</w:t>
      </w:r>
    </w:p>
    <w:p w14:paraId="06351F03" w14:textId="77777777" w:rsidR="00140B7C" w:rsidRPr="00D566A9" w:rsidRDefault="00140B7C" w:rsidP="00140B7C">
      <w:pPr>
        <w:pStyle w:val="FlushLeft"/>
        <w:rPr>
          <w:szCs w:val="24"/>
        </w:rPr>
      </w:pPr>
      <w:r w:rsidRPr="00D566A9">
        <w:rPr>
          <w:szCs w:val="24"/>
        </w:rPr>
        <w:t>[</w:t>
      </w:r>
      <w:r w:rsidRPr="00F92FDC">
        <w:rPr>
          <w:strike/>
          <w:szCs w:val="24"/>
        </w:rPr>
        <w:t>6.2.</w:t>
      </w:r>
      <w:r w:rsidRPr="00F92FDC">
        <w:rPr>
          <w:strike/>
          <w:szCs w:val="24"/>
        </w:rPr>
        <w:tab/>
        <w:t>Uses incidental to the operation of the building (including entry lobbies, mechanical rooms, storage areas and similar uses).</w:t>
      </w:r>
      <w:r w:rsidRPr="00D566A9">
        <w:rPr>
          <w:szCs w:val="24"/>
        </w:rPr>
        <w:t>]</w:t>
      </w:r>
      <w:r w:rsidRPr="00F92FDC">
        <w:rPr>
          <w:szCs w:val="24"/>
          <w:u w:val="single"/>
        </w:rPr>
        <w:t>occupancy allowed by this code except Group H</w:t>
      </w:r>
      <w:r w:rsidRPr="00D566A9">
        <w:rPr>
          <w:szCs w:val="24"/>
        </w:rPr>
        <w:t>.</w:t>
      </w:r>
    </w:p>
    <w:p w14:paraId="3EF37255" w14:textId="77777777" w:rsidR="00140B7C" w:rsidRPr="00D566A9" w:rsidRDefault="00140B7C" w:rsidP="00140B7C">
      <w:pPr>
        <w:pStyle w:val="FlushLeft"/>
        <w:rPr>
          <w:szCs w:val="24"/>
        </w:rPr>
      </w:pPr>
      <w:r w:rsidRPr="00D566A9">
        <w:rPr>
          <w:szCs w:val="24"/>
        </w:rPr>
        <w:t>[</w:t>
      </w:r>
      <w:r w:rsidRPr="00F92FDC">
        <w:rPr>
          <w:strike/>
          <w:szCs w:val="24"/>
        </w:rPr>
        <w:t>7.</w:t>
      </w:r>
      <w:r w:rsidRPr="00F92FDC">
        <w:rPr>
          <w:szCs w:val="24"/>
        </w:rPr>
        <w:t>]</w:t>
      </w:r>
      <w:r w:rsidRPr="00D566A9">
        <w:rPr>
          <w:szCs w:val="24"/>
        </w:rPr>
        <w:t>6.</w:t>
      </w:r>
      <w:r w:rsidRPr="00D566A9">
        <w:rPr>
          <w:szCs w:val="24"/>
        </w:rPr>
        <w:tab/>
        <w:t>The maximum building height in feet (mm) as measured from the grade plane shall not exceed the limits set forth in Section [</w:t>
      </w:r>
      <w:r w:rsidRPr="00F92FDC">
        <w:rPr>
          <w:strike/>
          <w:szCs w:val="24"/>
        </w:rPr>
        <w:t>503</w:t>
      </w:r>
      <w:r w:rsidRPr="00D566A9">
        <w:rPr>
          <w:szCs w:val="24"/>
        </w:rPr>
        <w:t>]504.3 for the building having the smaller allowable height as measured from the grade plane.</w:t>
      </w:r>
    </w:p>
    <w:p w14:paraId="1C760238" w14:textId="77777777" w:rsidR="00140B7C" w:rsidRPr="00D566A9" w:rsidRDefault="00140B7C" w:rsidP="00140B7C">
      <w:pPr>
        <w:pStyle w:val="FlushLeft"/>
        <w:rPr>
          <w:szCs w:val="24"/>
        </w:rPr>
      </w:pPr>
      <w:r w:rsidRPr="00F92FDC">
        <w:rPr>
          <w:b/>
          <w:bCs/>
          <w:szCs w:val="24"/>
        </w:rPr>
        <w:t>510.3 Group S-2 enclosed parking garage with Group S-2 open parking garage above.</w:t>
      </w:r>
      <w:r w:rsidRPr="00D566A9">
        <w:rPr>
          <w:szCs w:val="24"/>
        </w:rPr>
        <w:t xml:space="preserve"> A Group S-2 enclosed parking garage with [</w:t>
      </w:r>
      <w:r w:rsidRPr="00F92FDC">
        <w:rPr>
          <w:szCs w:val="24"/>
          <w:u w:val="single"/>
        </w:rPr>
        <w:t>no</w:t>
      </w:r>
      <w:r w:rsidRPr="00D566A9">
        <w:rPr>
          <w:szCs w:val="24"/>
        </w:rPr>
        <w:t>]</w:t>
      </w:r>
      <w:r w:rsidRPr="00F92FDC">
        <w:rPr>
          <w:szCs w:val="24"/>
          <w:u w:val="single"/>
        </w:rPr>
        <w:t>not</w:t>
      </w:r>
      <w:r w:rsidRPr="00D566A9">
        <w:rPr>
          <w:szCs w:val="24"/>
        </w:rPr>
        <w:t xml:space="preserve"> more than one story above grade plane and located below a Group S-2 open parking garage shall be classified as a separate and distinct building for the purpose of determining the type of construction where all of the following conditions are met:</w:t>
      </w:r>
    </w:p>
    <w:p w14:paraId="763FE1ED" w14:textId="77777777" w:rsidR="00140B7C" w:rsidRPr="00D566A9" w:rsidRDefault="00140B7C" w:rsidP="00140B7C">
      <w:pPr>
        <w:pStyle w:val="FlushLeft"/>
        <w:ind w:left="720" w:hanging="720"/>
        <w:rPr>
          <w:szCs w:val="24"/>
        </w:rPr>
      </w:pPr>
      <w:r w:rsidRPr="00D566A9">
        <w:rPr>
          <w:szCs w:val="24"/>
        </w:rPr>
        <w:t>1.</w:t>
      </w:r>
      <w:r>
        <w:rPr>
          <w:szCs w:val="24"/>
        </w:rPr>
        <w:tab/>
      </w:r>
      <w:r w:rsidRPr="00D566A9">
        <w:rPr>
          <w:szCs w:val="24"/>
        </w:rPr>
        <w:t>The allowable area of the building shall be such that the sum of the ratios of the actual area divided by the allowable area for each separate occupancy shall not exceed 1.</w:t>
      </w:r>
    </w:p>
    <w:p w14:paraId="0BCB3B29" w14:textId="77777777" w:rsidR="00140B7C" w:rsidRPr="00D566A9" w:rsidRDefault="00140B7C" w:rsidP="00140B7C">
      <w:pPr>
        <w:pStyle w:val="FlushLeft"/>
        <w:ind w:left="720" w:hanging="720"/>
        <w:rPr>
          <w:szCs w:val="24"/>
        </w:rPr>
      </w:pPr>
      <w:r w:rsidRPr="00D566A9">
        <w:rPr>
          <w:szCs w:val="24"/>
        </w:rPr>
        <w:t>2.</w:t>
      </w:r>
      <w:r w:rsidRPr="00D566A9">
        <w:rPr>
          <w:szCs w:val="24"/>
        </w:rPr>
        <w:tab/>
        <w:t>The Group S-2 enclosed parking garage is of Type I or II construction and is at least equal to the fire-resistance requirements of the Group S-2 open parking garage.</w:t>
      </w:r>
    </w:p>
    <w:p w14:paraId="0EA94354" w14:textId="77777777" w:rsidR="00140B7C" w:rsidRPr="00D566A9" w:rsidRDefault="00140B7C" w:rsidP="00140B7C">
      <w:pPr>
        <w:pStyle w:val="FlushLeft"/>
        <w:ind w:left="720" w:hanging="720"/>
        <w:rPr>
          <w:szCs w:val="24"/>
        </w:rPr>
      </w:pPr>
      <w:r w:rsidRPr="00D566A9">
        <w:rPr>
          <w:szCs w:val="24"/>
        </w:rPr>
        <w:t>3.</w:t>
      </w:r>
      <w:r w:rsidRPr="00D566A9">
        <w:rPr>
          <w:szCs w:val="24"/>
        </w:rPr>
        <w:tab/>
        <w:t>The height and the number of the tiers of the Group S-2 open parking garage shall be limited as specified in Table[</w:t>
      </w:r>
      <w:r w:rsidRPr="00F92FDC">
        <w:rPr>
          <w:strike/>
          <w:szCs w:val="24"/>
        </w:rPr>
        <w:t>406.3.5</w:t>
      </w:r>
      <w:r w:rsidRPr="00D566A9">
        <w:rPr>
          <w:szCs w:val="24"/>
        </w:rPr>
        <w:t>]</w:t>
      </w:r>
      <w:r w:rsidRPr="00F92FDC">
        <w:rPr>
          <w:szCs w:val="24"/>
          <w:u w:val="single"/>
        </w:rPr>
        <w:t>406.5.4</w:t>
      </w:r>
      <w:r w:rsidRPr="00D566A9">
        <w:rPr>
          <w:szCs w:val="24"/>
        </w:rPr>
        <w:t>.</w:t>
      </w:r>
    </w:p>
    <w:p w14:paraId="0E88A02C" w14:textId="77777777" w:rsidR="00140B7C" w:rsidRPr="00D566A9" w:rsidRDefault="00140B7C" w:rsidP="00140B7C">
      <w:pPr>
        <w:pStyle w:val="FlushLeft"/>
        <w:ind w:left="720" w:hanging="720"/>
        <w:rPr>
          <w:szCs w:val="24"/>
        </w:rPr>
      </w:pPr>
      <w:r w:rsidRPr="00D566A9">
        <w:rPr>
          <w:szCs w:val="24"/>
        </w:rPr>
        <w:t>4.</w:t>
      </w:r>
      <w:r w:rsidRPr="00D566A9">
        <w:rPr>
          <w:szCs w:val="24"/>
        </w:rPr>
        <w:tab/>
        <w:t>The floor assembly separating the Group S-2 enclosed parking garage and Group S-2 open parking garage shall be protected as required for the floor assembly of the Group S-2 enclosed parking garage. Openings between the Group S-2 enclosed parking garage and Group S-2 open parking garage, except exit openings, shall not be required to be protected.</w:t>
      </w:r>
    </w:p>
    <w:p w14:paraId="2A75635F" w14:textId="77777777" w:rsidR="00140B7C" w:rsidRPr="00D566A9" w:rsidRDefault="00140B7C" w:rsidP="00140B7C">
      <w:pPr>
        <w:pStyle w:val="FlushLeft"/>
        <w:ind w:left="720" w:hanging="720"/>
        <w:rPr>
          <w:szCs w:val="24"/>
        </w:rPr>
      </w:pPr>
      <w:r w:rsidRPr="00D566A9">
        <w:rPr>
          <w:szCs w:val="24"/>
        </w:rPr>
        <w:t>5.</w:t>
      </w:r>
      <w:r w:rsidRPr="00D566A9">
        <w:rPr>
          <w:szCs w:val="24"/>
        </w:rPr>
        <w:tab/>
        <w:t>The Group S-2 enclosed parking garage is used exclusively for the parking or storage of private motor vehicles, but shall be permitted to contain an accessory office, waiting room and toilet room having a total area of not more than 1,000 square feet (93 m2)[</w:t>
      </w:r>
      <w:r w:rsidRPr="00F92FDC">
        <w:rPr>
          <w:strike/>
          <w:szCs w:val="24"/>
        </w:rPr>
        <w:t>,</w:t>
      </w:r>
      <w:r w:rsidRPr="00D566A9">
        <w:rPr>
          <w:szCs w:val="24"/>
        </w:rPr>
        <w:t>] and mechanical equipment rooms incidental to the operation of the building.</w:t>
      </w:r>
    </w:p>
    <w:p w14:paraId="7471ED81" w14:textId="77777777" w:rsidR="00140B7C" w:rsidRPr="00D566A9" w:rsidRDefault="00140B7C" w:rsidP="00140B7C">
      <w:pPr>
        <w:pStyle w:val="FlushLeft"/>
        <w:rPr>
          <w:szCs w:val="24"/>
        </w:rPr>
      </w:pPr>
      <w:r w:rsidRPr="00F92FDC">
        <w:rPr>
          <w:b/>
          <w:bCs/>
          <w:szCs w:val="24"/>
        </w:rPr>
        <w:lastRenderedPageBreak/>
        <w:t>510.4 Parking beneath Group R.</w:t>
      </w:r>
      <w:r w:rsidRPr="00D566A9">
        <w:rPr>
          <w:szCs w:val="24"/>
        </w:rPr>
        <w:t xml:space="preserve"> Where a maximum [</w:t>
      </w:r>
      <w:r w:rsidRPr="00F92FDC">
        <w:rPr>
          <w:strike/>
          <w:szCs w:val="24"/>
        </w:rPr>
        <w:t>one-story</w:t>
      </w:r>
      <w:r w:rsidRPr="00D566A9">
        <w:rPr>
          <w:szCs w:val="24"/>
        </w:rPr>
        <w:t>]</w:t>
      </w:r>
      <w:r w:rsidRPr="00F92FDC">
        <w:rPr>
          <w:szCs w:val="24"/>
          <w:u w:val="single"/>
        </w:rPr>
        <w:t>one story</w:t>
      </w:r>
      <w:r w:rsidRPr="00D566A9">
        <w:rPr>
          <w:szCs w:val="24"/>
        </w:rPr>
        <w:t xml:space="preserve"> above grade plane Group S-2 parking garage, enclosed or open, or combination thereof, of Type I construction or open of Type IV construction, with grade entrance, is provided under a building of Group R, the number of stories to be used in determining the minimum type of construction shall be measured from the floor above such a parking area. The horizontal floor assembly between the parking garage and the Group R above shall comply with the type of construction required for the parking garage and shall also provide a fire-resistance rating not less than the mixed occupancy separation required in Section 508.4.</w:t>
      </w:r>
    </w:p>
    <w:p w14:paraId="51B15E54" w14:textId="77777777" w:rsidR="00140B7C" w:rsidRPr="00F92FDC" w:rsidRDefault="00140B7C" w:rsidP="00140B7C">
      <w:pPr>
        <w:pStyle w:val="FlushLeft"/>
        <w:rPr>
          <w:b/>
          <w:bCs/>
          <w:szCs w:val="24"/>
        </w:rPr>
      </w:pPr>
      <w:r w:rsidRPr="00F92FDC">
        <w:rPr>
          <w:b/>
          <w:bCs/>
          <w:szCs w:val="24"/>
        </w:rPr>
        <w:t>510.5 Reserved.</w:t>
      </w:r>
    </w:p>
    <w:p w14:paraId="1C7CAF15" w14:textId="77777777" w:rsidR="00140B7C" w:rsidRPr="00D566A9" w:rsidRDefault="00140B7C" w:rsidP="00140B7C">
      <w:pPr>
        <w:pStyle w:val="FlushLeft"/>
        <w:rPr>
          <w:szCs w:val="24"/>
        </w:rPr>
      </w:pPr>
      <w:r w:rsidRPr="00F92FDC">
        <w:rPr>
          <w:b/>
          <w:bCs/>
          <w:szCs w:val="24"/>
        </w:rPr>
        <w:t>510.6 Group R-2 buildings of Type IIA construction.</w:t>
      </w:r>
      <w:r w:rsidRPr="00D566A9">
        <w:rPr>
          <w:szCs w:val="24"/>
        </w:rPr>
        <w:t xml:space="preserve"> The height limitation for buildings of Type IIA construction in Group R-2 shall be increased to nine stories and 100 feet (30 480 mm) where the building is separated by not less than 50 feet (15 240 mm) from any other building on the lot and from lot lines, the exits are segregated in an area enclosed by a 2-hour fire-resistance-rated fire wall and the [</w:t>
      </w:r>
      <w:r w:rsidRPr="00F92FDC">
        <w:rPr>
          <w:strike/>
          <w:szCs w:val="24"/>
        </w:rPr>
        <w:t>first-floor</w:t>
      </w:r>
      <w:r w:rsidRPr="00D566A9">
        <w:rPr>
          <w:szCs w:val="24"/>
        </w:rPr>
        <w:t>]</w:t>
      </w:r>
      <w:r w:rsidRPr="00F92FDC">
        <w:rPr>
          <w:szCs w:val="24"/>
          <w:u w:val="single"/>
        </w:rPr>
        <w:t>first floor</w:t>
      </w:r>
      <w:r w:rsidRPr="00D566A9">
        <w:rPr>
          <w:szCs w:val="24"/>
        </w:rPr>
        <w:t xml:space="preserve"> assembly has a fire-resistance rating of not less than 1</w:t>
      </w:r>
      <w:r>
        <w:rPr>
          <w:szCs w:val="24"/>
        </w:rPr>
        <w:t xml:space="preserve"> ½ </w:t>
      </w:r>
      <w:r w:rsidRPr="00D566A9">
        <w:rPr>
          <w:szCs w:val="24"/>
        </w:rPr>
        <w:t xml:space="preserve"> hours.</w:t>
      </w:r>
    </w:p>
    <w:p w14:paraId="7655880D" w14:textId="77777777" w:rsidR="00140B7C" w:rsidRPr="00D566A9" w:rsidRDefault="00140B7C" w:rsidP="00140B7C">
      <w:pPr>
        <w:pStyle w:val="FlushLeft"/>
        <w:rPr>
          <w:szCs w:val="24"/>
        </w:rPr>
      </w:pPr>
      <w:r w:rsidRPr="00246E0F">
        <w:rPr>
          <w:b/>
          <w:bCs/>
          <w:szCs w:val="24"/>
        </w:rPr>
        <w:t>510.7 Open parking garage beneath Groups A, I, B, M and R.</w:t>
      </w:r>
      <w:r w:rsidRPr="00D566A9">
        <w:rPr>
          <w:szCs w:val="24"/>
        </w:rPr>
        <w:t xml:space="preserve"> Open parking garages constructed under Groups A, I, B, M and R shall not exceed the height and area limitations permitted under Section [</w:t>
      </w:r>
      <w:r w:rsidRPr="00246E0F">
        <w:rPr>
          <w:strike/>
          <w:szCs w:val="24"/>
        </w:rPr>
        <w:t>406.3</w:t>
      </w:r>
      <w:r w:rsidRPr="00D566A9">
        <w:rPr>
          <w:szCs w:val="24"/>
        </w:rPr>
        <w:t>]</w:t>
      </w:r>
      <w:r w:rsidRPr="00246E0F">
        <w:rPr>
          <w:szCs w:val="24"/>
          <w:u w:val="single"/>
        </w:rPr>
        <w:t xml:space="preserve">406.5. </w:t>
      </w:r>
      <w:r w:rsidRPr="00D566A9">
        <w:rPr>
          <w:szCs w:val="24"/>
        </w:rPr>
        <w:t>The height and area of the portion of the building above the open parking garage shall not exceed the limitations in Section 503 for the upper occupancy. The height, in both feet and stories, of the portion of the building above the open parking garage shall be measured from grade plane and shall include both the open parking garage and the portion of the building above the parking garage.</w:t>
      </w:r>
    </w:p>
    <w:p w14:paraId="4A51493E" w14:textId="77777777" w:rsidR="00140B7C" w:rsidRPr="00D566A9" w:rsidRDefault="00140B7C" w:rsidP="00140B7C">
      <w:pPr>
        <w:pStyle w:val="FlushLeft"/>
        <w:ind w:left="720"/>
        <w:rPr>
          <w:szCs w:val="24"/>
        </w:rPr>
      </w:pPr>
      <w:r w:rsidRPr="00246E0F">
        <w:rPr>
          <w:b/>
          <w:bCs/>
          <w:szCs w:val="24"/>
        </w:rPr>
        <w:t>510.7.1 Fire separation.</w:t>
      </w:r>
      <w:r w:rsidRPr="00D566A9">
        <w:rPr>
          <w:szCs w:val="24"/>
        </w:rPr>
        <w:t xml:space="preserve"> Fire barriers constructed in accordance with Section 707 or horizontal assemblies constructed in accordance with Section [</w:t>
      </w:r>
      <w:r w:rsidRPr="00246E0F">
        <w:rPr>
          <w:strike/>
          <w:szCs w:val="24"/>
        </w:rPr>
        <w:t>712</w:t>
      </w:r>
      <w:r w:rsidRPr="00D566A9">
        <w:rPr>
          <w:szCs w:val="24"/>
        </w:rPr>
        <w:t>]</w:t>
      </w:r>
      <w:r w:rsidRPr="00246E0F">
        <w:rPr>
          <w:szCs w:val="24"/>
          <w:u w:val="single"/>
        </w:rPr>
        <w:t>711</w:t>
      </w:r>
      <w:r w:rsidRPr="00D566A9">
        <w:rPr>
          <w:szCs w:val="24"/>
        </w:rPr>
        <w:t xml:space="preserve"> between the parking occupancy and the upper occupancy shall correspond to the required fire-resistance rating prescribed in Table 508.4 for the occupancies involved. The type of construction shall apply to each occupancy individually, except that structural members, including main bracing within the open parking structure, which is necessary to support the upper occupancy, shall be protected with the more restrictive fire-resistance-rated assemblies of the groups involved as shown in Table 601. Means of egress for the upper occupancy shall conform to Chapter 10 and shall be separated from the parking occupancy by fire barriers having [</w:t>
      </w:r>
      <w:r w:rsidRPr="00246E0F">
        <w:rPr>
          <w:strike/>
          <w:szCs w:val="24"/>
        </w:rPr>
        <w:t>at least</w:t>
      </w:r>
      <w:r w:rsidRPr="00D566A9">
        <w:rPr>
          <w:szCs w:val="24"/>
        </w:rPr>
        <w:t>]</w:t>
      </w:r>
      <w:r w:rsidRPr="00246E0F">
        <w:rPr>
          <w:szCs w:val="24"/>
          <w:u w:val="single"/>
        </w:rPr>
        <w:t>not less than</w:t>
      </w:r>
      <w:r w:rsidRPr="00D566A9">
        <w:rPr>
          <w:szCs w:val="24"/>
        </w:rPr>
        <w:t xml:space="preserve"> a 2-hour fire-resistance rating as required by Section 707, with self-closing doors complying with Section [</w:t>
      </w:r>
      <w:r w:rsidRPr="00246E0F">
        <w:rPr>
          <w:strike/>
          <w:szCs w:val="24"/>
        </w:rPr>
        <w:t>715</w:t>
      </w:r>
      <w:r w:rsidRPr="00D566A9">
        <w:rPr>
          <w:szCs w:val="24"/>
        </w:rPr>
        <w:t>]</w:t>
      </w:r>
      <w:r w:rsidRPr="00246E0F">
        <w:rPr>
          <w:szCs w:val="24"/>
          <w:u w:val="single"/>
        </w:rPr>
        <w:t>716</w:t>
      </w:r>
      <w:r w:rsidRPr="00D566A9">
        <w:rPr>
          <w:szCs w:val="24"/>
        </w:rPr>
        <w:t xml:space="preserve"> or horizontal assemblies having [</w:t>
      </w:r>
      <w:r w:rsidRPr="00246E0F">
        <w:rPr>
          <w:strike/>
          <w:szCs w:val="24"/>
        </w:rPr>
        <w:t>at least</w:t>
      </w:r>
      <w:r w:rsidRPr="00D566A9">
        <w:rPr>
          <w:szCs w:val="24"/>
        </w:rPr>
        <w:t>]</w:t>
      </w:r>
      <w:r w:rsidRPr="00246E0F">
        <w:rPr>
          <w:szCs w:val="24"/>
          <w:u w:val="single"/>
        </w:rPr>
        <w:t>not less than</w:t>
      </w:r>
      <w:r w:rsidRPr="00D566A9">
        <w:rPr>
          <w:szCs w:val="24"/>
        </w:rPr>
        <w:t xml:space="preserve"> a 2-hour fire-resistance rating as required by Section [</w:t>
      </w:r>
      <w:r w:rsidRPr="00246E0F">
        <w:rPr>
          <w:strike/>
          <w:szCs w:val="24"/>
        </w:rPr>
        <w:t>712</w:t>
      </w:r>
      <w:r w:rsidRPr="00D566A9">
        <w:rPr>
          <w:szCs w:val="24"/>
        </w:rPr>
        <w:t>]</w:t>
      </w:r>
      <w:r w:rsidRPr="00246E0F">
        <w:rPr>
          <w:szCs w:val="24"/>
          <w:u w:val="single"/>
        </w:rPr>
        <w:t>711</w:t>
      </w:r>
      <w:r w:rsidRPr="00D566A9">
        <w:rPr>
          <w:szCs w:val="24"/>
        </w:rPr>
        <w:t>, with self-closing doors complying with Section [</w:t>
      </w:r>
      <w:r w:rsidRPr="00246E0F">
        <w:rPr>
          <w:strike/>
          <w:szCs w:val="24"/>
        </w:rPr>
        <w:t>715</w:t>
      </w:r>
      <w:r w:rsidRPr="00D566A9">
        <w:rPr>
          <w:szCs w:val="24"/>
        </w:rPr>
        <w:t>]</w:t>
      </w:r>
      <w:r w:rsidRPr="00246E0F">
        <w:rPr>
          <w:szCs w:val="24"/>
          <w:u w:val="single"/>
        </w:rPr>
        <w:t>716</w:t>
      </w:r>
      <w:r w:rsidRPr="00D566A9">
        <w:rPr>
          <w:szCs w:val="24"/>
        </w:rPr>
        <w:t>. Means of egress from the open parking garage shall comply with Section [</w:t>
      </w:r>
      <w:r w:rsidRPr="00246E0F">
        <w:rPr>
          <w:strike/>
          <w:szCs w:val="24"/>
        </w:rPr>
        <w:t>406.3</w:t>
      </w:r>
      <w:r w:rsidRPr="00D566A9">
        <w:rPr>
          <w:szCs w:val="24"/>
        </w:rPr>
        <w:t>]</w:t>
      </w:r>
      <w:r w:rsidRPr="00246E0F">
        <w:rPr>
          <w:szCs w:val="24"/>
          <w:u w:val="single"/>
        </w:rPr>
        <w:t>406.5</w:t>
      </w:r>
      <w:r w:rsidRPr="00D566A9">
        <w:rPr>
          <w:szCs w:val="24"/>
        </w:rPr>
        <w:t>.</w:t>
      </w:r>
    </w:p>
    <w:p w14:paraId="2B73A65E" w14:textId="77777777" w:rsidR="00140B7C" w:rsidRPr="00D566A9" w:rsidRDefault="00140B7C" w:rsidP="00140B7C">
      <w:pPr>
        <w:pStyle w:val="FlushLeft"/>
        <w:rPr>
          <w:szCs w:val="24"/>
        </w:rPr>
      </w:pPr>
      <w:r w:rsidRPr="00246E0F">
        <w:rPr>
          <w:b/>
          <w:bCs/>
          <w:szCs w:val="24"/>
        </w:rPr>
        <w:t>510.8 Industrial uses in buildings containing Group R.</w:t>
      </w:r>
      <w:r w:rsidRPr="00D566A9">
        <w:rPr>
          <w:szCs w:val="24"/>
        </w:rPr>
        <w:t xml:space="preserve"> No space classified as Factory Industrial Group F shall be located above the second story of any building of Type III, IV or V construction containing a space classified as Residential Group R-1 or R-2.</w:t>
      </w:r>
    </w:p>
    <w:p w14:paraId="0EC22BA2" w14:textId="77777777" w:rsidR="00140B7C" w:rsidRPr="00D566A9" w:rsidRDefault="00140B7C" w:rsidP="00140B7C">
      <w:pPr>
        <w:pStyle w:val="FlushLeft"/>
        <w:rPr>
          <w:szCs w:val="24"/>
        </w:rPr>
      </w:pPr>
      <w:r w:rsidRPr="00424DCE">
        <w:rPr>
          <w:b/>
          <w:bCs/>
          <w:szCs w:val="24"/>
        </w:rPr>
        <w:t>510.9 Multiple buildings above Group S-2 parking garages.</w:t>
      </w:r>
      <w:r w:rsidRPr="00D566A9">
        <w:rPr>
          <w:szCs w:val="24"/>
        </w:rPr>
        <w:t xml:space="preserve"> Where two or more buildings are provided above the horizontal assembly separating a Group S-2 open or closed parking garage from the buildings above in accordance with the special provisions in Section 510.2, 510.3 or 510.8, the buildings above the horizontal assembly shall be regarded as separate and distinct buildings from </w:t>
      </w:r>
      <w:r w:rsidRPr="00D566A9">
        <w:rPr>
          <w:szCs w:val="24"/>
        </w:rPr>
        <w:lastRenderedPageBreak/>
        <w:t>each other and shall comply with all other provisions of this code as applicable to each separate and distinct building.</w:t>
      </w:r>
    </w:p>
    <w:p w14:paraId="4A10A444" w14:textId="77777777" w:rsidR="00140B7C" w:rsidRPr="00D566A9" w:rsidRDefault="00140B7C" w:rsidP="00140B7C">
      <w:pPr>
        <w:pStyle w:val="FlushLeft"/>
        <w:rPr>
          <w:szCs w:val="24"/>
        </w:rPr>
      </w:pPr>
      <w:r w:rsidRPr="00424DCE">
        <w:rPr>
          <w:b/>
          <w:bCs/>
          <w:szCs w:val="24"/>
        </w:rPr>
        <w:t>510.10 Separation of different tenancies.</w:t>
      </w:r>
      <w:r w:rsidRPr="00D566A9">
        <w:rPr>
          <w:szCs w:val="24"/>
        </w:rPr>
        <w:t xml:space="preserve"> Spaces or dwelling units occupied by different tenants shall be separated by fire barriers having at least 1-hour fire-resistance ratings.</w:t>
      </w:r>
    </w:p>
    <w:p w14:paraId="7B7AAA4D" w14:textId="77777777" w:rsidR="00140B7C" w:rsidRPr="00424DCE" w:rsidRDefault="00140B7C" w:rsidP="00140B7C">
      <w:pPr>
        <w:pStyle w:val="FlushLeft"/>
        <w:rPr>
          <w:b/>
          <w:bCs/>
          <w:szCs w:val="24"/>
        </w:rPr>
      </w:pPr>
      <w:r w:rsidRPr="00424DCE">
        <w:rPr>
          <w:b/>
          <w:bCs/>
          <w:szCs w:val="24"/>
        </w:rPr>
        <w:t>Exceptions:</w:t>
      </w:r>
    </w:p>
    <w:p w14:paraId="2BE457DE" w14:textId="77777777" w:rsidR="00140B7C" w:rsidRPr="00D566A9" w:rsidRDefault="00140B7C" w:rsidP="00140B7C">
      <w:pPr>
        <w:pStyle w:val="FlushLeft"/>
        <w:ind w:left="720" w:hanging="720"/>
        <w:rPr>
          <w:szCs w:val="24"/>
        </w:rPr>
      </w:pPr>
      <w:r w:rsidRPr="00D566A9">
        <w:rPr>
          <w:szCs w:val="24"/>
        </w:rPr>
        <w:t>1.</w:t>
      </w:r>
      <w:r w:rsidRPr="00D566A9">
        <w:rPr>
          <w:szCs w:val="24"/>
        </w:rPr>
        <w:tab/>
        <w:t>Nonresidential spaces occupied by different tenants located in buildings that are sprinklered throughout.</w:t>
      </w:r>
    </w:p>
    <w:p w14:paraId="720B97EB" w14:textId="77777777" w:rsidR="00140B7C" w:rsidRPr="006F4044" w:rsidRDefault="00140B7C" w:rsidP="00140B7C">
      <w:pPr>
        <w:pStyle w:val="FlushLeft"/>
        <w:rPr>
          <w:szCs w:val="24"/>
        </w:rPr>
      </w:pPr>
      <w:r w:rsidRPr="00D566A9">
        <w:rPr>
          <w:szCs w:val="24"/>
        </w:rPr>
        <w:t>2.</w:t>
      </w:r>
      <w:r w:rsidRPr="00D566A9">
        <w:rPr>
          <w:szCs w:val="24"/>
        </w:rPr>
        <w:tab/>
        <w:t>Tenant spaces in covered mall buildings complying with Section 402.</w:t>
      </w:r>
    </w:p>
    <w:p w14:paraId="5CBBF738" w14:textId="65085B8B" w:rsidR="00140B7C" w:rsidRPr="00EC4EC4" w:rsidRDefault="00140B7C" w:rsidP="00140B7C">
      <w:pPr>
        <w:kinsoku w:val="0"/>
        <w:spacing w:after="0" w:line="240" w:lineRule="auto"/>
        <w:ind w:firstLine="720"/>
        <w:jc w:val="both"/>
        <w:rPr>
          <w:rFonts w:cs="Times New Roman"/>
          <w:sz w:val="23"/>
          <w:szCs w:val="23"/>
        </w:rPr>
      </w:pPr>
      <w:r w:rsidRPr="00676FF0">
        <w:rPr>
          <w:rFonts w:cs="Times New Roman"/>
          <w:sz w:val="23"/>
          <w:szCs w:val="23"/>
        </w:rPr>
        <w:t>§</w:t>
      </w:r>
      <w:r>
        <w:rPr>
          <w:rFonts w:cs="Times New Roman"/>
          <w:sz w:val="23"/>
          <w:szCs w:val="23"/>
        </w:rPr>
        <w:t>1</w:t>
      </w:r>
      <w:r w:rsidR="004F546B">
        <w:rPr>
          <w:rFonts w:cs="Times New Roman"/>
          <w:sz w:val="23"/>
          <w:szCs w:val="23"/>
        </w:rPr>
        <w:t>22</w:t>
      </w:r>
      <w:r w:rsidRPr="00676FF0">
        <w:rPr>
          <w:rFonts w:cs="Times New Roman"/>
          <w:sz w:val="23"/>
          <w:szCs w:val="23"/>
        </w:rPr>
        <w:t>. Section 602.4 of  the New York city building code, as amended by local law number 126 for the year 2021, is amended to read as follows:</w:t>
      </w:r>
    </w:p>
    <w:p w14:paraId="3208040C" w14:textId="77777777" w:rsidR="00140B7C" w:rsidRPr="00EC4EC4" w:rsidRDefault="00140B7C" w:rsidP="00140B7C">
      <w:pPr>
        <w:pStyle w:val="DoubleSpaceParagaph"/>
        <w:spacing w:line="240" w:lineRule="auto"/>
        <w:ind w:firstLine="720"/>
        <w:rPr>
          <w:sz w:val="23"/>
          <w:szCs w:val="23"/>
        </w:rPr>
      </w:pPr>
    </w:p>
    <w:p w14:paraId="78901EFE" w14:textId="77777777" w:rsidR="00140B7C" w:rsidRPr="00EC4EC4" w:rsidRDefault="00140B7C" w:rsidP="00140B7C">
      <w:pPr>
        <w:pStyle w:val="FlushLeft"/>
        <w:rPr>
          <w:bCs/>
          <w:szCs w:val="24"/>
        </w:rPr>
      </w:pPr>
      <w:bookmarkStart w:id="46" w:name="_Toc389734206"/>
      <w:bookmarkStart w:id="47" w:name="_Toc389742768"/>
      <w:bookmarkStart w:id="48" w:name="_Hlk82675222"/>
      <w:r w:rsidRPr="00EC4EC4">
        <w:rPr>
          <w:b/>
          <w:bCs/>
          <w:szCs w:val="26"/>
        </w:rPr>
        <w:t>602.4 Type IV.</w:t>
      </w:r>
      <w:bookmarkEnd w:id="46"/>
      <w:bookmarkEnd w:id="47"/>
      <w:r w:rsidRPr="00EC4EC4">
        <w:rPr>
          <w:szCs w:val="24"/>
        </w:rPr>
        <w:t xml:space="preserve"> </w:t>
      </w:r>
      <w:bookmarkEnd w:id="48"/>
      <w:r w:rsidRPr="00EC4EC4">
        <w:rPr>
          <w:szCs w:val="24"/>
        </w:rPr>
        <w:t xml:space="preserve">Type IV construction is that type of construction in which the exterior walls are of noncombustible materials or other materials permitted by Section 602.4.1 or 602.4.2, and the interior building elements are of solid wood, glue-laminated timber, heavy timber (HT), structural composite lumber (SCL), or cross-laminated timber (CLT) without concealed spaces. The minimum dimensions for permitted materials including solid timber, glued-laminated timber, SCL, and CLT and details of Type IV construction shall comply with the </w:t>
      </w:r>
      <w:r w:rsidRPr="00EC4EC4">
        <w:rPr>
          <w:bCs/>
          <w:szCs w:val="24"/>
        </w:rPr>
        <w:t>provisions</w:t>
      </w:r>
      <w:r w:rsidRPr="00EC4EC4">
        <w:rPr>
          <w:szCs w:val="24"/>
        </w:rPr>
        <w:t xml:space="preserve"> of Section 2304.11 and this section. </w:t>
      </w:r>
      <w:r w:rsidRPr="00EC4EC4">
        <w:rPr>
          <w:bCs/>
          <w:szCs w:val="24"/>
        </w:rPr>
        <w:t xml:space="preserve">Interior walls and partitions not less than 1-hour fire-resistance rating or heavy timber complying with Section 2304.11.2.2 shall be permitted. Buildings of Type IV construction utilizing </w:t>
      </w:r>
      <w:r w:rsidRPr="00EC4EC4">
        <w:rPr>
          <w:szCs w:val="24"/>
        </w:rPr>
        <w:t>SCL or CLT shall be equipped throughout with an automatic sprinkler system where required by Section 903.2.13</w:t>
      </w:r>
      <w:r w:rsidRPr="00EC4EC4">
        <w:rPr>
          <w:bCs/>
          <w:szCs w:val="24"/>
        </w:rPr>
        <w:t>.</w:t>
      </w:r>
      <w:r w:rsidRPr="00EC4EC4">
        <w:rPr>
          <w:szCs w:val="24"/>
        </w:rPr>
        <w:t xml:space="preserve"> </w:t>
      </w:r>
      <w:r w:rsidRPr="00EC4EC4">
        <w:rPr>
          <w:bCs/>
          <w:szCs w:val="24"/>
        </w:rPr>
        <w:t>In buildings of Type IV construction utilizing</w:t>
      </w:r>
      <w:r w:rsidRPr="00EC4EC4">
        <w:rPr>
          <w:szCs w:val="24"/>
        </w:rPr>
        <w:t xml:space="preserve"> SCL or CLT, a</w:t>
      </w:r>
      <w:r w:rsidRPr="00EC4EC4">
        <w:rPr>
          <w:bCs/>
          <w:szCs w:val="24"/>
        </w:rPr>
        <w:t xml:space="preserve"> fire watch shall be maintained in accordance with Section 901.7.2 of the </w:t>
      </w:r>
      <w:r w:rsidRPr="00EC4EC4">
        <w:rPr>
          <w:bCs/>
          <w:i/>
          <w:szCs w:val="24"/>
        </w:rPr>
        <w:t>New York City Fire Code</w:t>
      </w:r>
      <w:r w:rsidRPr="00EC4EC4">
        <w:rPr>
          <w:bCs/>
          <w:szCs w:val="24"/>
        </w:rPr>
        <w:t xml:space="preserve"> and Section 3303.3 of this code.</w:t>
      </w:r>
    </w:p>
    <w:p w14:paraId="4C01DFEC" w14:textId="77777777" w:rsidR="00140B7C" w:rsidRPr="00EC4EC4" w:rsidRDefault="00140B7C" w:rsidP="00140B7C">
      <w:pPr>
        <w:autoSpaceDE w:val="0"/>
        <w:autoSpaceDN w:val="0"/>
        <w:adjustRightInd w:val="0"/>
        <w:spacing w:after="240" w:line="240" w:lineRule="auto"/>
        <w:ind w:left="360" w:right="-43"/>
        <w:jc w:val="both"/>
        <w:rPr>
          <w:rFonts w:eastAsia="Times New Roman" w:cs="Times New Roman"/>
          <w:b/>
          <w:bCs/>
          <w:szCs w:val="24"/>
        </w:rPr>
      </w:pPr>
      <w:r w:rsidRPr="00EC4EC4">
        <w:rPr>
          <w:rFonts w:eastAsia="Times New Roman" w:cs="Times New Roman"/>
          <w:b/>
          <w:bCs/>
          <w:szCs w:val="24"/>
        </w:rPr>
        <w:t>Exceptions:</w:t>
      </w:r>
    </w:p>
    <w:p w14:paraId="7EF83F11" w14:textId="77777777" w:rsidR="00140B7C" w:rsidRPr="00EC4EC4" w:rsidRDefault="00140B7C" w:rsidP="00140B7C">
      <w:pPr>
        <w:autoSpaceDE w:val="0"/>
        <w:autoSpaceDN w:val="0"/>
        <w:adjustRightInd w:val="0"/>
        <w:spacing w:after="240" w:line="240" w:lineRule="auto"/>
        <w:ind w:left="1080" w:right="-43"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In Group I-1, R-1, and R-2 occupancies, all exterior walls, fire walls, exit passageways, and shaft enclosures shall be noncombustible.</w:t>
      </w:r>
    </w:p>
    <w:p w14:paraId="14986351" w14:textId="77777777" w:rsidR="00140B7C" w:rsidRPr="00EC4EC4" w:rsidRDefault="00140B7C" w:rsidP="00140B7C">
      <w:pPr>
        <w:autoSpaceDE w:val="0"/>
        <w:autoSpaceDN w:val="0"/>
        <w:adjustRightInd w:val="0"/>
        <w:spacing w:after="240" w:line="240" w:lineRule="auto"/>
        <w:ind w:left="1080" w:right="-43"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 xml:space="preserve">In Group F occupancies subject to Section 270(1) of the </w:t>
      </w:r>
      <w:r w:rsidRPr="00EC4EC4">
        <w:rPr>
          <w:rFonts w:eastAsia="Times New Roman" w:cs="Times New Roman"/>
          <w:i/>
          <w:szCs w:val="24"/>
        </w:rPr>
        <w:t>New York State Labor Law</w:t>
      </w:r>
      <w:r w:rsidRPr="00EC4EC4">
        <w:rPr>
          <w:rFonts w:eastAsia="Times New Roman" w:cs="Times New Roman"/>
          <w:szCs w:val="24"/>
        </w:rPr>
        <w:t>, all exterior wall assemblies and all structural elements shall meet the requirements for a "fireproof building" as defined in Section 264 of such law.</w:t>
      </w:r>
    </w:p>
    <w:p w14:paraId="3526E2E2" w14:textId="77777777" w:rsidR="00140B7C" w:rsidRPr="00EC4EC4" w:rsidRDefault="00140B7C" w:rsidP="00140B7C">
      <w:pPr>
        <w:autoSpaceDE w:val="0"/>
        <w:autoSpaceDN w:val="0"/>
        <w:adjustRightInd w:val="0"/>
        <w:spacing w:after="240" w:line="240" w:lineRule="auto"/>
        <w:ind w:left="1080" w:right="-43"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Inside the fire district, exterior load-bearing walls shall be constructed of noncombustible material.</w:t>
      </w:r>
    </w:p>
    <w:p w14:paraId="2FDAC461" w14:textId="77777777" w:rsidR="00140B7C" w:rsidRPr="00EC4EC4" w:rsidRDefault="00140B7C" w:rsidP="00140B7C">
      <w:pPr>
        <w:autoSpaceDE w:val="0"/>
        <w:autoSpaceDN w:val="0"/>
        <w:adjustRightInd w:val="0"/>
        <w:spacing w:after="240" w:line="240" w:lineRule="auto"/>
        <w:ind w:left="1080" w:right="-43"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Inside the fire district, exterior [</w:t>
      </w:r>
      <w:r w:rsidRPr="00EC4EC4">
        <w:rPr>
          <w:rFonts w:eastAsia="Times New Roman" w:cs="Times New Roman"/>
          <w:strike/>
          <w:szCs w:val="24"/>
        </w:rPr>
        <w:t>non-bearing</w:t>
      </w:r>
      <w:r w:rsidRPr="00EC4EC4">
        <w:rPr>
          <w:rFonts w:eastAsia="Times New Roman" w:cs="Times New Roman"/>
          <w:szCs w:val="24"/>
        </w:rPr>
        <w:t>]</w:t>
      </w:r>
      <w:r w:rsidRPr="00EC4EC4">
        <w:rPr>
          <w:rFonts w:eastAsia="Times New Roman" w:cs="Times New Roman"/>
          <w:szCs w:val="24"/>
          <w:u w:val="single"/>
        </w:rPr>
        <w:t xml:space="preserve">nonbearing </w:t>
      </w:r>
      <w:r w:rsidRPr="00EC4EC4">
        <w:rPr>
          <w:rFonts w:eastAsia="Times New Roman" w:cs="Times New Roman"/>
          <w:szCs w:val="24"/>
        </w:rPr>
        <w:t>walls may be constructed with fire-retardant-treated wood complying with Section 2303.2 of this code where the building is equipped throughout with an automatic sprinkler system in accordance with Sections 903.3.1.1 through 903.3.1.3, unless otherwise prohibited by Exception 1 or 2 above.</w:t>
      </w:r>
    </w:p>
    <w:p w14:paraId="76AC93A1" w14:textId="77777777" w:rsidR="00140B7C" w:rsidRPr="00EC4EC4" w:rsidRDefault="00140B7C" w:rsidP="00140B7C">
      <w:pPr>
        <w:autoSpaceDE w:val="0"/>
        <w:autoSpaceDN w:val="0"/>
        <w:adjustRightInd w:val="0"/>
        <w:spacing w:after="240" w:line="240" w:lineRule="auto"/>
        <w:ind w:left="1080" w:right="-43" w:hanging="360"/>
        <w:jc w:val="both"/>
        <w:rPr>
          <w:rFonts w:eastAsia="Times New Roman" w:cs="Times New Roman"/>
          <w:b/>
          <w:bCs/>
          <w:szCs w:val="24"/>
        </w:rPr>
      </w:pPr>
      <w:r w:rsidRPr="00EC4EC4">
        <w:rPr>
          <w:rFonts w:eastAsia="Times New Roman" w:cs="Times New Roman"/>
          <w:szCs w:val="24"/>
        </w:rPr>
        <w:t>5.</w:t>
      </w:r>
      <w:r w:rsidRPr="00EC4EC4">
        <w:rPr>
          <w:rFonts w:eastAsia="Times New Roman" w:cs="Times New Roman"/>
          <w:szCs w:val="24"/>
        </w:rPr>
        <w:tab/>
        <w:t>Inside the fire district, exterior [</w:t>
      </w:r>
      <w:r w:rsidRPr="00EC4EC4">
        <w:rPr>
          <w:rFonts w:eastAsia="Times New Roman" w:cs="Times New Roman"/>
          <w:strike/>
          <w:szCs w:val="24"/>
        </w:rPr>
        <w:t>non-bearing</w:t>
      </w:r>
      <w:r w:rsidRPr="00EC4EC4">
        <w:rPr>
          <w:rFonts w:eastAsia="Times New Roman" w:cs="Times New Roman"/>
          <w:szCs w:val="24"/>
        </w:rPr>
        <w:t>]</w:t>
      </w:r>
      <w:r w:rsidRPr="00EC4EC4">
        <w:rPr>
          <w:rFonts w:eastAsia="Times New Roman" w:cs="Times New Roman"/>
          <w:szCs w:val="24"/>
          <w:u w:val="single"/>
        </w:rPr>
        <w:t>nonbearing</w:t>
      </w:r>
      <w:r w:rsidRPr="00EC4EC4">
        <w:rPr>
          <w:rFonts w:eastAsia="Times New Roman" w:cs="Times New Roman"/>
          <w:szCs w:val="24"/>
        </w:rPr>
        <w:t xml:space="preserve"> walls are permitted to be constructed with cross-laminated timber (CLT) complying with Section 602.4.2 of this code, unless otherwise prohibited by Exception 1 or 2 above.</w:t>
      </w:r>
    </w:p>
    <w:p w14:paraId="55A871E3" w14:textId="5E791160" w:rsidR="00140B7C" w:rsidRPr="00EC4EC4" w:rsidRDefault="00140B7C" w:rsidP="00140B7C">
      <w:pPr>
        <w:kinsoku w:val="0"/>
        <w:spacing w:after="240" w:line="240" w:lineRule="auto"/>
        <w:ind w:firstLine="720"/>
        <w:jc w:val="both"/>
        <w:rPr>
          <w:rFonts w:eastAsia="Times New Roman" w:cs="Times New Roman"/>
          <w:b/>
          <w:bCs/>
          <w:szCs w:val="24"/>
        </w:rPr>
      </w:pPr>
      <w:bookmarkStart w:id="49" w:name="_Hlk115088270"/>
      <w:bookmarkEnd w:id="43"/>
      <w:bookmarkEnd w:id="44"/>
      <w:bookmarkEnd w:id="45"/>
      <w:r w:rsidRPr="00A51F3F">
        <w:rPr>
          <w:rFonts w:cs="Times New Roman"/>
          <w:sz w:val="23"/>
          <w:szCs w:val="23"/>
        </w:rPr>
        <w:lastRenderedPageBreak/>
        <w:t>§</w:t>
      </w:r>
      <w:r>
        <w:rPr>
          <w:rFonts w:cs="Times New Roman"/>
          <w:sz w:val="23"/>
          <w:szCs w:val="23"/>
        </w:rPr>
        <w:t>1</w:t>
      </w:r>
      <w:r w:rsidR="004F546B">
        <w:rPr>
          <w:rFonts w:cs="Times New Roman"/>
          <w:sz w:val="23"/>
          <w:szCs w:val="23"/>
        </w:rPr>
        <w:t>23</w:t>
      </w:r>
      <w:r w:rsidRPr="00A51F3F">
        <w:rPr>
          <w:rFonts w:cs="Times New Roman"/>
          <w:sz w:val="23"/>
          <w:szCs w:val="23"/>
        </w:rPr>
        <w:t>. Section 705.12.3.1 of  the New York city building code, as added by local law number 126 for the year 2021, is amended to read as follows:</w:t>
      </w:r>
    </w:p>
    <w:bookmarkEnd w:id="49"/>
    <w:p w14:paraId="3A25E89B" w14:textId="77777777" w:rsidR="00140B7C" w:rsidRPr="00EC4EC4" w:rsidRDefault="00140B7C" w:rsidP="00140B7C">
      <w:pPr>
        <w:spacing w:after="240" w:line="240" w:lineRule="auto"/>
        <w:jc w:val="both"/>
        <w:rPr>
          <w:rFonts w:eastAsia="Times New Roman" w:cs="Times New Roman"/>
          <w:szCs w:val="24"/>
        </w:rPr>
      </w:pPr>
      <w:r w:rsidRPr="00EC4EC4">
        <w:rPr>
          <w:rFonts w:eastAsia="Times New Roman" w:cs="Times New Roman"/>
          <w:b/>
          <w:szCs w:val="24"/>
        </w:rPr>
        <w:t>705.12.3.1[</w:t>
      </w:r>
      <w:r w:rsidRPr="00EC4EC4">
        <w:rPr>
          <w:rFonts w:eastAsia="Times New Roman" w:cs="Times New Roman"/>
          <w:b/>
          <w:strike/>
          <w:szCs w:val="24"/>
        </w:rPr>
        <w:t>.</w:t>
      </w:r>
      <w:r w:rsidRPr="00EC4EC4">
        <w:rPr>
          <w:rFonts w:eastAsia="Times New Roman" w:cs="Times New Roman"/>
          <w:b/>
          <w:szCs w:val="24"/>
        </w:rPr>
        <w:t>] Fire protection peer reviewer</w:t>
      </w:r>
      <w:r w:rsidRPr="00EC4EC4">
        <w:rPr>
          <w:rFonts w:eastAsia="Times New Roman" w:cs="Times New Roman"/>
          <w:szCs w:val="24"/>
        </w:rPr>
        <w:t>. The fire protection peer review shall be performed by a qualified independent fire protection engineer who has been retained by or on behalf of the owner. [</w:t>
      </w:r>
      <w:r w:rsidRPr="00EC4EC4">
        <w:rPr>
          <w:rFonts w:eastAsia="Times New Roman" w:cs="Times New Roman"/>
          <w:strike/>
          <w:szCs w:val="24"/>
        </w:rPr>
        <w:t>A fire protection peer reviewer shall meet the requirements of the rules of the department.</w:t>
      </w:r>
      <w:r w:rsidRPr="00EC4EC4">
        <w:rPr>
          <w:rFonts w:eastAsia="Times New Roman" w:cs="Times New Roman"/>
          <w:szCs w:val="24"/>
        </w:rPr>
        <w:t>]</w:t>
      </w:r>
      <w:r>
        <w:rPr>
          <w:rFonts w:eastAsia="Times New Roman" w:cs="Times New Roman"/>
          <w:szCs w:val="24"/>
        </w:rPr>
        <w:t xml:space="preserve"> </w:t>
      </w:r>
      <w:r w:rsidRPr="00D400AC">
        <w:rPr>
          <w:rFonts w:eastAsia="Times New Roman" w:cs="Times New Roman"/>
          <w:szCs w:val="24"/>
          <w:u w:val="single"/>
        </w:rPr>
        <w:t>The peer reviewer shall have relevant experience performing fire-engineering analyses.</w:t>
      </w:r>
    </w:p>
    <w:p w14:paraId="5B5965AA" w14:textId="407EE985" w:rsidR="00140B7C" w:rsidRPr="00EC4EC4" w:rsidRDefault="00140B7C" w:rsidP="00140B7C">
      <w:pPr>
        <w:kinsoku w:val="0"/>
        <w:spacing w:after="240" w:line="240" w:lineRule="auto"/>
        <w:ind w:firstLine="720"/>
        <w:jc w:val="both"/>
        <w:rPr>
          <w:rFonts w:eastAsia="Times New Roman" w:cs="Times New Roman"/>
          <w:b/>
          <w:bCs/>
          <w:szCs w:val="24"/>
        </w:rPr>
      </w:pPr>
      <w:bookmarkStart w:id="50" w:name="_Toc389734381"/>
      <w:bookmarkStart w:id="51" w:name="_Toc389742943"/>
      <w:bookmarkStart w:id="52" w:name="SECTION_708"/>
      <w:r w:rsidRPr="00EC4EC4">
        <w:rPr>
          <w:rFonts w:cs="Times New Roman"/>
          <w:sz w:val="23"/>
          <w:szCs w:val="23"/>
        </w:rPr>
        <w:t>§</w:t>
      </w:r>
      <w:r>
        <w:rPr>
          <w:rFonts w:cs="Times New Roman"/>
          <w:sz w:val="23"/>
          <w:szCs w:val="23"/>
        </w:rPr>
        <w:t>12</w:t>
      </w:r>
      <w:r w:rsidR="00636C21">
        <w:rPr>
          <w:rFonts w:cs="Times New Roman"/>
          <w:sz w:val="23"/>
          <w:szCs w:val="23"/>
        </w:rPr>
        <w:t>4</w:t>
      </w:r>
      <w:r w:rsidRPr="00EC4EC4">
        <w:rPr>
          <w:rFonts w:cs="Times New Roman"/>
          <w:sz w:val="23"/>
          <w:szCs w:val="23"/>
        </w:rPr>
        <w:t>. Section 70</w:t>
      </w:r>
      <w:r>
        <w:rPr>
          <w:rFonts w:cs="Times New Roman"/>
          <w:sz w:val="23"/>
          <w:szCs w:val="23"/>
        </w:rPr>
        <w:t>8</w:t>
      </w:r>
      <w:r w:rsidRPr="00EC4EC4">
        <w:rPr>
          <w:rFonts w:cs="Times New Roman"/>
          <w:sz w:val="23"/>
          <w:szCs w:val="23"/>
        </w:rPr>
        <w:t>.3 of  the New York city building code, as renumbered by local law number 126 for the year 2021, is amended to read as follows:</w:t>
      </w:r>
    </w:p>
    <w:p w14:paraId="0F9DFF0E" w14:textId="77777777" w:rsidR="00140B7C" w:rsidRPr="00EC4EC4" w:rsidRDefault="00140B7C" w:rsidP="00140B7C">
      <w:pPr>
        <w:pStyle w:val="FlushLeft"/>
        <w:rPr>
          <w:spacing w:val="1"/>
          <w:szCs w:val="24"/>
        </w:rPr>
      </w:pPr>
      <w:r w:rsidRPr="00EC4EC4">
        <w:rPr>
          <w:b/>
          <w:szCs w:val="24"/>
        </w:rPr>
        <w:t>708.3 Fire-resistance rating.</w:t>
      </w:r>
      <w:r w:rsidRPr="00EC4EC4">
        <w:rPr>
          <w:b/>
          <w:bCs/>
          <w:spacing w:val="-2"/>
          <w:w w:val="110"/>
          <w:szCs w:val="24"/>
        </w:rPr>
        <w:t xml:space="preserve"> </w:t>
      </w:r>
      <w:r w:rsidRPr="00EC4EC4">
        <w:rPr>
          <w:spacing w:val="1"/>
          <w:szCs w:val="24"/>
        </w:rPr>
        <w:t>Fire partitions shall have a fire-resistance rating of not less than 1 hour.</w:t>
      </w:r>
    </w:p>
    <w:p w14:paraId="3B4E7CD3" w14:textId="77777777" w:rsidR="00140B7C" w:rsidRPr="00EC4EC4" w:rsidRDefault="00140B7C" w:rsidP="00140B7C">
      <w:pPr>
        <w:pStyle w:val="FlushLeftDouble"/>
        <w:rPr>
          <w:spacing w:val="1"/>
          <w:szCs w:val="24"/>
        </w:rPr>
      </w:pPr>
      <w:r w:rsidRPr="00EC4EC4">
        <w:rPr>
          <w:b/>
          <w:szCs w:val="24"/>
        </w:rPr>
        <w:t>Exception</w:t>
      </w:r>
      <w:r w:rsidRPr="00EC4EC4">
        <w:rPr>
          <w:b/>
          <w:bCs/>
          <w:spacing w:val="4"/>
          <w:w w:val="110"/>
          <w:szCs w:val="24"/>
        </w:rPr>
        <w:t xml:space="preserve">: </w:t>
      </w:r>
      <w:r w:rsidRPr="00EC4EC4">
        <w:rPr>
          <w:spacing w:val="1"/>
          <w:szCs w:val="24"/>
        </w:rPr>
        <w:t>Interior corridor walls as permitted by Table [</w:t>
      </w:r>
      <w:r w:rsidRPr="00EC4EC4">
        <w:rPr>
          <w:strike/>
          <w:spacing w:val="1"/>
          <w:szCs w:val="24"/>
        </w:rPr>
        <w:t>1020.1</w:t>
      </w:r>
      <w:r w:rsidRPr="00EC4EC4">
        <w:rPr>
          <w:spacing w:val="1"/>
          <w:szCs w:val="24"/>
        </w:rPr>
        <w:t>]</w:t>
      </w:r>
      <w:r w:rsidRPr="00EC4EC4">
        <w:rPr>
          <w:spacing w:val="1"/>
          <w:szCs w:val="24"/>
          <w:u w:val="single"/>
        </w:rPr>
        <w:t>1020.1.1</w:t>
      </w:r>
      <w:r w:rsidRPr="00EC4EC4">
        <w:rPr>
          <w:spacing w:val="1"/>
          <w:szCs w:val="24"/>
        </w:rPr>
        <w:t>.</w:t>
      </w:r>
    </w:p>
    <w:bookmarkEnd w:id="50"/>
    <w:bookmarkEnd w:id="51"/>
    <w:bookmarkEnd w:id="52"/>
    <w:p w14:paraId="4D178218" w14:textId="0243D2F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12</w:t>
      </w:r>
      <w:r w:rsidR="00636C21">
        <w:rPr>
          <w:rFonts w:cs="Times New Roman"/>
          <w:sz w:val="23"/>
          <w:szCs w:val="23"/>
        </w:rPr>
        <w:t>5</w:t>
      </w:r>
      <w:r w:rsidRPr="00EC4EC4">
        <w:rPr>
          <w:rFonts w:cs="Times New Roman"/>
          <w:sz w:val="23"/>
          <w:szCs w:val="23"/>
        </w:rPr>
        <w:t>. Section 712.1.9 of  the New York city building code, as added by local law number 126 for the year 2021, is amended to read as follows:</w:t>
      </w:r>
    </w:p>
    <w:p w14:paraId="19E6AB96" w14:textId="77777777" w:rsidR="00140B7C" w:rsidRPr="00EC4EC4" w:rsidRDefault="00140B7C" w:rsidP="00140B7C">
      <w:pPr>
        <w:pStyle w:val="FlushLeftDouble"/>
        <w:rPr>
          <w:bCs/>
          <w:szCs w:val="24"/>
        </w:rPr>
      </w:pPr>
      <w:r w:rsidRPr="00EC4EC4">
        <w:rPr>
          <w:b/>
          <w:bCs/>
          <w:szCs w:val="24"/>
        </w:rPr>
        <w:t xml:space="preserve">712.1.9 Two-story openings. </w:t>
      </w:r>
      <w:r w:rsidRPr="00EC4EC4">
        <w:rPr>
          <w:bCs/>
          <w:szCs w:val="24"/>
        </w:rPr>
        <w:t>In other than Groups I-2 and I-3, a vertical opening that is not used as one of the applications listed in this section shall be permitted if the opening complies with all of the items below:</w:t>
      </w:r>
    </w:p>
    <w:p w14:paraId="41515D4D" w14:textId="77777777" w:rsidR="00140B7C" w:rsidRPr="00EC4EC4" w:rsidRDefault="00140B7C" w:rsidP="00140B7C">
      <w:pPr>
        <w:tabs>
          <w:tab w:val="left" w:pos="1080"/>
        </w:tabs>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Does not connect more than two stories.</w:t>
      </w:r>
    </w:p>
    <w:p w14:paraId="69753B92" w14:textId="77777777" w:rsidR="00140B7C" w:rsidRPr="00EC4EC4" w:rsidRDefault="00140B7C" w:rsidP="00140B7C">
      <w:pPr>
        <w:tabs>
          <w:tab w:val="left" w:pos="1080"/>
        </w:tabs>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Does not penetrate a horizontal assembly that separates fire areas or smoke barriers that separate smoke compartments.</w:t>
      </w:r>
    </w:p>
    <w:p w14:paraId="517B3FC2" w14:textId="77777777" w:rsidR="00140B7C" w:rsidRPr="00EC4EC4" w:rsidRDefault="00140B7C" w:rsidP="00140B7C">
      <w:pPr>
        <w:tabs>
          <w:tab w:val="left" w:pos="1080"/>
        </w:tabs>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Is not concealed within the construction of a wall or a floor/ceiling assembly.</w:t>
      </w:r>
    </w:p>
    <w:p w14:paraId="0049C8A7" w14:textId="77777777" w:rsidR="00140B7C" w:rsidRPr="00EC4EC4" w:rsidRDefault="00140B7C" w:rsidP="00140B7C">
      <w:pPr>
        <w:tabs>
          <w:tab w:val="left" w:pos="1080"/>
        </w:tabs>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Is not open to a corridor in Group I and R occupancies, where such corridor is required to be fire-resistance-rated in accordance with Table [</w:t>
      </w:r>
      <w:r w:rsidRPr="00EC4EC4">
        <w:rPr>
          <w:rFonts w:eastAsia="Times New Roman" w:cs="Times New Roman"/>
          <w:strike/>
          <w:szCs w:val="24"/>
        </w:rPr>
        <w:t>1020.1</w:t>
      </w:r>
      <w:r w:rsidRPr="00EC4EC4">
        <w:rPr>
          <w:rFonts w:eastAsia="Times New Roman" w:cs="Times New Roman"/>
          <w:szCs w:val="24"/>
        </w:rPr>
        <w:t>]</w:t>
      </w:r>
      <w:r w:rsidRPr="00EC4EC4">
        <w:rPr>
          <w:rFonts w:eastAsia="Times New Roman" w:cs="Times New Roman"/>
          <w:szCs w:val="24"/>
          <w:u w:val="single"/>
        </w:rPr>
        <w:t>1020.1.1 or 1020.1.2</w:t>
      </w:r>
      <w:r w:rsidRPr="00EC4EC4">
        <w:rPr>
          <w:rFonts w:eastAsia="Times New Roman" w:cs="Times New Roman"/>
          <w:szCs w:val="24"/>
        </w:rPr>
        <w:t>.</w:t>
      </w:r>
    </w:p>
    <w:p w14:paraId="29A3539C" w14:textId="77777777" w:rsidR="00140B7C" w:rsidRPr="00EC4EC4" w:rsidRDefault="00140B7C" w:rsidP="00140B7C">
      <w:pPr>
        <w:tabs>
          <w:tab w:val="left" w:pos="1080"/>
        </w:tabs>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Is not open to a corridor on nonsprinklered floors, where such corridor is required to be fire-resistance-rated in accordance with Table [</w:t>
      </w:r>
      <w:r w:rsidRPr="00EC4EC4">
        <w:rPr>
          <w:rFonts w:eastAsia="Times New Roman" w:cs="Times New Roman"/>
          <w:strike/>
          <w:szCs w:val="24"/>
        </w:rPr>
        <w:t>1020.1</w:t>
      </w:r>
      <w:r w:rsidRPr="00EC4EC4">
        <w:rPr>
          <w:rFonts w:eastAsia="Times New Roman" w:cs="Times New Roman"/>
          <w:szCs w:val="24"/>
        </w:rPr>
        <w:t>]</w:t>
      </w:r>
      <w:r w:rsidRPr="00EC4EC4">
        <w:rPr>
          <w:rFonts w:eastAsia="Times New Roman" w:cs="Times New Roman"/>
          <w:szCs w:val="24"/>
          <w:u w:val="single"/>
        </w:rPr>
        <w:t>1020.1.1 or 1020.1.2</w:t>
      </w:r>
      <w:r w:rsidRPr="00EC4EC4">
        <w:rPr>
          <w:rFonts w:eastAsia="Times New Roman" w:cs="Times New Roman"/>
          <w:szCs w:val="24"/>
        </w:rPr>
        <w:t>.</w:t>
      </w:r>
    </w:p>
    <w:p w14:paraId="79CB5033" w14:textId="77777777" w:rsidR="00140B7C" w:rsidRPr="00EC4EC4" w:rsidRDefault="00140B7C" w:rsidP="00140B7C">
      <w:pPr>
        <w:tabs>
          <w:tab w:val="left" w:pos="1080"/>
        </w:tabs>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Is separated from floor openings and air transfer openings serving other floors by construction conforming to required shaft enclosures.</w:t>
      </w:r>
    </w:p>
    <w:p w14:paraId="07D0BC87" w14:textId="61C98042" w:rsidR="00140B7C" w:rsidRPr="00EC4EC4"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12</w:t>
      </w:r>
      <w:r w:rsidR="00636C21">
        <w:rPr>
          <w:rFonts w:cs="Times New Roman"/>
          <w:sz w:val="23"/>
          <w:szCs w:val="23"/>
        </w:rPr>
        <w:t>6</w:t>
      </w:r>
      <w:r w:rsidRPr="00EC4EC4">
        <w:rPr>
          <w:rFonts w:cs="Times New Roman"/>
          <w:sz w:val="23"/>
          <w:szCs w:val="23"/>
        </w:rPr>
        <w:t>. Section 71</w:t>
      </w:r>
      <w:r>
        <w:rPr>
          <w:rFonts w:cs="Times New Roman"/>
          <w:sz w:val="23"/>
          <w:szCs w:val="23"/>
        </w:rPr>
        <w:t>6</w:t>
      </w:r>
      <w:r w:rsidRPr="00EC4EC4">
        <w:rPr>
          <w:rFonts w:cs="Times New Roman"/>
          <w:sz w:val="23"/>
          <w:szCs w:val="23"/>
        </w:rPr>
        <w:t>.</w:t>
      </w:r>
      <w:r>
        <w:rPr>
          <w:rFonts w:cs="Times New Roman"/>
          <w:sz w:val="23"/>
          <w:szCs w:val="23"/>
        </w:rPr>
        <w:t>5.9</w:t>
      </w:r>
      <w:r w:rsidRPr="00EC4EC4">
        <w:rPr>
          <w:rFonts w:cs="Times New Roman"/>
          <w:sz w:val="23"/>
          <w:szCs w:val="23"/>
        </w:rPr>
        <w:t xml:space="preserve"> of  the New York city building code, as renumbered and amended by local law number 126 for the year 2021, is amended to read as follows:</w:t>
      </w:r>
    </w:p>
    <w:p w14:paraId="6DDD2E3A" w14:textId="77777777" w:rsidR="00140B7C" w:rsidRPr="00EC4EC4" w:rsidRDefault="00140B7C" w:rsidP="00140B7C">
      <w:pPr>
        <w:kinsoku w:val="0"/>
        <w:spacing w:after="0" w:line="240" w:lineRule="auto"/>
        <w:ind w:firstLine="720"/>
        <w:jc w:val="both"/>
        <w:rPr>
          <w:rFonts w:cs="Times New Roman"/>
          <w:sz w:val="23"/>
          <w:szCs w:val="23"/>
        </w:rPr>
      </w:pPr>
    </w:p>
    <w:p w14:paraId="59436732" w14:textId="77777777" w:rsidR="00140B7C" w:rsidRPr="00EC4EC4" w:rsidRDefault="00140B7C" w:rsidP="00140B7C">
      <w:pPr>
        <w:spacing w:after="240" w:line="240" w:lineRule="auto"/>
        <w:jc w:val="both"/>
        <w:rPr>
          <w:rFonts w:eastAsia="Times New Roman" w:cs="Times New Roman"/>
          <w:szCs w:val="24"/>
        </w:rPr>
      </w:pPr>
      <w:bookmarkStart w:id="53" w:name="_Toc389734553"/>
      <w:bookmarkStart w:id="54" w:name="_Toc389743115"/>
      <w:r w:rsidRPr="00EC4EC4">
        <w:rPr>
          <w:rFonts w:cs="Times New Roman"/>
          <w:b/>
          <w:bCs/>
          <w:color w:val="000000"/>
          <w:szCs w:val="24"/>
        </w:rPr>
        <w:t>716.5.9 Door closing.</w:t>
      </w:r>
      <w:bookmarkEnd w:id="53"/>
      <w:bookmarkEnd w:id="54"/>
      <w:r w:rsidRPr="00EC4EC4">
        <w:rPr>
          <w:rFonts w:eastAsia="Times New Roman" w:cs="Times New Roman"/>
          <w:b/>
          <w:bCs/>
          <w:color w:val="000000"/>
          <w:spacing w:val="2"/>
          <w:w w:val="110"/>
          <w:szCs w:val="24"/>
        </w:rPr>
        <w:t xml:space="preserve"> </w:t>
      </w:r>
      <w:r w:rsidRPr="00EC4EC4">
        <w:rPr>
          <w:rFonts w:eastAsia="Times New Roman" w:cs="Times New Roman"/>
          <w:szCs w:val="24"/>
        </w:rPr>
        <w:t xml:space="preserve">Fire doors shall be </w:t>
      </w:r>
      <w:r w:rsidRPr="00EC4EC4">
        <w:rPr>
          <w:rFonts w:eastAsia="Times New Roman" w:cs="Times New Roman"/>
          <w:bCs/>
          <w:color w:val="000000"/>
          <w:szCs w:val="24"/>
        </w:rPr>
        <w:t xml:space="preserve">latching and </w:t>
      </w:r>
      <w:r w:rsidRPr="00EC4EC4">
        <w:rPr>
          <w:rFonts w:eastAsia="Times New Roman" w:cs="Times New Roman"/>
          <w:szCs w:val="24"/>
        </w:rPr>
        <w:t>self</w:t>
      </w:r>
      <w:r w:rsidRPr="00EC4EC4">
        <w:rPr>
          <w:rFonts w:eastAsia="Times New Roman" w:cs="Times New Roman"/>
          <w:color w:val="000000"/>
          <w:spacing w:val="1"/>
          <w:szCs w:val="24"/>
        </w:rPr>
        <w:t xml:space="preserve">- </w:t>
      </w:r>
      <w:r w:rsidRPr="00EC4EC4">
        <w:rPr>
          <w:rFonts w:eastAsia="Times New Roman" w:cs="Times New Roman"/>
          <w:szCs w:val="24"/>
        </w:rPr>
        <w:t>or automatic-closing in accordance with this section.</w:t>
      </w:r>
    </w:p>
    <w:p w14:paraId="09DADA62" w14:textId="77777777" w:rsidR="00140B7C" w:rsidRPr="00EC4EC4" w:rsidRDefault="00140B7C" w:rsidP="00140B7C">
      <w:pPr>
        <w:spacing w:after="240" w:line="240" w:lineRule="auto"/>
        <w:ind w:left="720"/>
        <w:jc w:val="both"/>
        <w:rPr>
          <w:rFonts w:eastAsia="Times New Roman" w:cs="Times New Roman"/>
          <w:b/>
          <w:color w:val="000000"/>
          <w:szCs w:val="24"/>
        </w:rPr>
      </w:pPr>
      <w:r w:rsidRPr="00EC4EC4">
        <w:rPr>
          <w:rFonts w:eastAsia="Times New Roman" w:cs="Times New Roman"/>
          <w:b/>
          <w:color w:val="000000"/>
          <w:szCs w:val="24"/>
        </w:rPr>
        <w:t>Exceptions:</w:t>
      </w:r>
    </w:p>
    <w:p w14:paraId="2BF8A6B0" w14:textId="77777777" w:rsidR="00140B7C" w:rsidRPr="00EC4EC4" w:rsidRDefault="00140B7C" w:rsidP="00140B7C">
      <w:pPr>
        <w:tabs>
          <w:tab w:val="left" w:pos="1440"/>
        </w:tabs>
        <w:autoSpaceDE w:val="0"/>
        <w:autoSpaceDN w:val="0"/>
        <w:adjustRightInd w:val="0"/>
        <w:spacing w:after="240" w:line="240" w:lineRule="auto"/>
        <w:ind w:left="1440" w:hanging="360"/>
        <w:jc w:val="both"/>
        <w:rPr>
          <w:rFonts w:eastAsia="Times New Roman" w:cs="Times New Roman"/>
          <w:szCs w:val="24"/>
        </w:rPr>
      </w:pPr>
      <w:r w:rsidRPr="00EC4EC4">
        <w:rPr>
          <w:rFonts w:eastAsia="Times New Roman" w:cs="Times New Roman"/>
          <w:color w:val="000000"/>
          <w:szCs w:val="24"/>
        </w:rPr>
        <w:t>1.</w:t>
      </w:r>
      <w:r w:rsidRPr="00EC4EC4">
        <w:rPr>
          <w:rFonts w:eastAsia="Times New Roman" w:cs="Times New Roman"/>
          <w:color w:val="000000"/>
          <w:szCs w:val="24"/>
        </w:rPr>
        <w:tab/>
        <w:t>Fire doors located in common walls separating sleeping units in Group R-1 shall be permitted without [</w:t>
      </w:r>
      <w:r w:rsidRPr="00EC4EC4">
        <w:rPr>
          <w:rFonts w:eastAsia="Times New Roman" w:cs="Times New Roman"/>
          <w:strike/>
          <w:color w:val="000000"/>
          <w:szCs w:val="24"/>
        </w:rPr>
        <w:t>or</w:t>
      </w:r>
      <w:r w:rsidRPr="00EC4EC4">
        <w:rPr>
          <w:rFonts w:eastAsia="Times New Roman" w:cs="Times New Roman"/>
          <w:color w:val="000000"/>
          <w:szCs w:val="24"/>
        </w:rPr>
        <w:t>] self- or automatic-closing devices.</w:t>
      </w:r>
    </w:p>
    <w:p w14:paraId="3AA091E2" w14:textId="2467B20B" w:rsidR="00140B7C" w:rsidRPr="00636C21" w:rsidRDefault="00140B7C" w:rsidP="00636C21">
      <w:pPr>
        <w:tabs>
          <w:tab w:val="left" w:pos="1440"/>
        </w:tabs>
        <w:autoSpaceDE w:val="0"/>
        <w:autoSpaceDN w:val="0"/>
        <w:adjustRightInd w:val="0"/>
        <w:spacing w:after="240" w:line="240" w:lineRule="auto"/>
        <w:ind w:left="1440" w:hanging="360"/>
        <w:jc w:val="both"/>
        <w:rPr>
          <w:rFonts w:eastAsia="Times New Roman" w:cs="Times New Roman"/>
          <w:color w:val="000000"/>
          <w:szCs w:val="24"/>
        </w:rPr>
      </w:pPr>
      <w:r w:rsidRPr="00EC4EC4">
        <w:rPr>
          <w:rFonts w:eastAsia="Times New Roman" w:cs="Times New Roman"/>
          <w:color w:val="000000"/>
          <w:szCs w:val="24"/>
        </w:rPr>
        <w:lastRenderedPageBreak/>
        <w:t>2.</w:t>
      </w:r>
      <w:r w:rsidRPr="00EC4EC4">
        <w:rPr>
          <w:rFonts w:eastAsia="Times New Roman" w:cs="Times New Roman"/>
          <w:color w:val="000000"/>
          <w:szCs w:val="24"/>
        </w:rPr>
        <w:tab/>
        <w:t>The elevator car doors and the associated hoistway enclosure doors at the floor level designated for recall in accordance with Section 3003.2 shall be permitted to remain open during Phase I emergency recall operation.</w:t>
      </w:r>
    </w:p>
    <w:p w14:paraId="3D0964A4" w14:textId="5FC1AF1C" w:rsidR="00140B7C" w:rsidRPr="00EC4EC4"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Pr>
          <w:rFonts w:cs="Times New Roman"/>
          <w:sz w:val="23"/>
          <w:szCs w:val="23"/>
        </w:rPr>
        <w:t>12</w:t>
      </w:r>
      <w:r w:rsidR="00636C21">
        <w:rPr>
          <w:rFonts w:cs="Times New Roman"/>
          <w:sz w:val="23"/>
          <w:szCs w:val="23"/>
        </w:rPr>
        <w:t>7</w:t>
      </w:r>
      <w:r w:rsidRPr="00EC4EC4">
        <w:rPr>
          <w:rFonts w:cs="Times New Roman"/>
          <w:sz w:val="23"/>
          <w:szCs w:val="23"/>
        </w:rPr>
        <w:t>. Section 71</w:t>
      </w:r>
      <w:r>
        <w:rPr>
          <w:rFonts w:cs="Times New Roman"/>
          <w:sz w:val="23"/>
          <w:szCs w:val="23"/>
        </w:rPr>
        <w:t>8</w:t>
      </w:r>
      <w:r w:rsidRPr="00EC4EC4">
        <w:rPr>
          <w:rFonts w:cs="Times New Roman"/>
          <w:sz w:val="23"/>
          <w:szCs w:val="23"/>
        </w:rPr>
        <w:t>.2.6 of  the New York city building code, as renumbered and amended by local law number 126 for the year 2021, is amended to read as follows:</w:t>
      </w:r>
    </w:p>
    <w:p w14:paraId="2C66C3BE" w14:textId="77777777" w:rsidR="00140B7C" w:rsidRPr="00EC4EC4" w:rsidRDefault="00140B7C" w:rsidP="00140B7C">
      <w:pPr>
        <w:spacing w:after="240" w:line="240" w:lineRule="auto"/>
        <w:jc w:val="both"/>
        <w:rPr>
          <w:rFonts w:eastAsia="Times New Roman" w:cs="Times New Roman"/>
          <w:spacing w:val="2"/>
          <w:szCs w:val="24"/>
        </w:rPr>
      </w:pPr>
      <w:bookmarkStart w:id="55" w:name="_Hlk82688629"/>
      <w:r w:rsidRPr="00EC4EC4">
        <w:rPr>
          <w:rFonts w:eastAsia="Times New Roman" w:cs="Times New Roman"/>
          <w:b/>
          <w:szCs w:val="24"/>
        </w:rPr>
        <w:t>718.2.6 Architectural trim.</w:t>
      </w:r>
      <w:r w:rsidRPr="00EC4EC4">
        <w:rPr>
          <w:rFonts w:eastAsia="Times New Roman" w:cs="Times New Roman"/>
          <w:b/>
          <w:bCs/>
          <w:spacing w:val="-6"/>
          <w:w w:val="110"/>
          <w:szCs w:val="24"/>
        </w:rPr>
        <w:t xml:space="preserve"> </w:t>
      </w:r>
      <w:bookmarkEnd w:id="55"/>
      <w:r w:rsidRPr="00EC4EC4">
        <w:rPr>
          <w:rFonts w:eastAsia="Times New Roman" w:cs="Times New Roman"/>
          <w:spacing w:val="1"/>
          <w:szCs w:val="24"/>
        </w:rPr>
        <w:t xml:space="preserve">Fireblocking shall be installed within concealed spaces of exterior </w:t>
      </w:r>
      <w:r w:rsidRPr="00EC4EC4">
        <w:rPr>
          <w:rFonts w:eastAsia="Times New Roman" w:cs="Times New Roman"/>
          <w:bCs/>
          <w:szCs w:val="24"/>
        </w:rPr>
        <w:t xml:space="preserve">wall coverings </w:t>
      </w:r>
      <w:r w:rsidRPr="00EC4EC4">
        <w:rPr>
          <w:rFonts w:eastAsia="Times New Roman" w:cs="Times New Roman"/>
          <w:spacing w:val="1"/>
          <w:szCs w:val="24"/>
        </w:rPr>
        <w:t>and other exterior architectural elements where permitted to be of combustible construction as specified in Section 1406 or where erected with combustible frames, at maximum intervals of 20 feet (6096 mm) so that there will be no open space exceeding 100 square feet (9.3 m</w:t>
      </w:r>
      <w:r w:rsidRPr="00EC4EC4">
        <w:rPr>
          <w:rFonts w:eastAsia="Times New Roman" w:cs="Times New Roman"/>
          <w:spacing w:val="1"/>
          <w:szCs w:val="24"/>
          <w:vertAlign w:val="superscript"/>
        </w:rPr>
        <w:t>2</w:t>
      </w:r>
      <w:r w:rsidRPr="00EC4EC4">
        <w:rPr>
          <w:rFonts w:eastAsia="Times New Roman" w:cs="Times New Roman"/>
          <w:spacing w:val="1"/>
          <w:szCs w:val="24"/>
        </w:rPr>
        <w:t>). Where wood furring strips are used, they shall be of approved wood of natural decay resistance or preservative-treated wood. If non-continuous, such elements shall have closed ends, with at least 4 inches (</w:t>
      </w:r>
      <w:r w:rsidRPr="00EC4EC4">
        <w:rPr>
          <w:rFonts w:eastAsia="Times New Roman" w:cs="Times New Roman"/>
          <w:szCs w:val="24"/>
        </w:rPr>
        <w:t>101.6</w:t>
      </w:r>
      <w:r w:rsidRPr="00EC4EC4">
        <w:rPr>
          <w:rFonts w:eastAsia="Times New Roman" w:cs="Times New Roman"/>
          <w:spacing w:val="1"/>
          <w:szCs w:val="24"/>
        </w:rPr>
        <w:t xml:space="preserve"> mm) of separation between sections.</w:t>
      </w:r>
      <w:r w:rsidRPr="00EC4EC4">
        <w:rPr>
          <w:rFonts w:eastAsia="Times New Roman" w:cs="Times New Roman"/>
          <w:spacing w:val="1"/>
        </w:rPr>
        <w:t xml:space="preserve"> For the purposes of this section, fenestration products, and flashing of fenestration products and water-resistive barrier flashing and accessories at other locations, including through wall flashings and attachment accessories, shall not be considered combustible construction.</w:t>
      </w:r>
    </w:p>
    <w:p w14:paraId="7D701388" w14:textId="77777777" w:rsidR="00140B7C" w:rsidRPr="00EC4EC4" w:rsidRDefault="00140B7C" w:rsidP="00140B7C">
      <w:pPr>
        <w:tabs>
          <w:tab w:val="left" w:pos="-2280"/>
        </w:tabs>
        <w:spacing w:after="240" w:line="240" w:lineRule="auto"/>
        <w:ind w:left="720"/>
        <w:jc w:val="both"/>
        <w:rPr>
          <w:rFonts w:eastAsia="Times New Roman" w:cs="Times New Roman"/>
          <w:b/>
          <w:szCs w:val="24"/>
        </w:rPr>
      </w:pPr>
      <w:r w:rsidRPr="00EC4EC4">
        <w:rPr>
          <w:rFonts w:eastAsia="Times New Roman" w:cs="Times New Roman"/>
          <w:b/>
          <w:szCs w:val="24"/>
        </w:rPr>
        <w:t>Exceptions:</w:t>
      </w:r>
    </w:p>
    <w:p w14:paraId="4FAA3B7F" w14:textId="77777777" w:rsidR="00140B7C" w:rsidRPr="00EC4EC4" w:rsidRDefault="00140B7C" w:rsidP="00140B7C">
      <w:pPr>
        <w:tabs>
          <w:tab w:val="left" w:pos="-2280"/>
        </w:tabs>
        <w:kinsoku w:val="0"/>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Fireblocking of cornices is not required in sin</w:t>
      </w:r>
      <w:r w:rsidRPr="00EC4EC4">
        <w:rPr>
          <w:rFonts w:eastAsia="Times New Roman" w:cs="Times New Roman"/>
          <w:spacing w:val="1"/>
          <w:szCs w:val="24"/>
        </w:rPr>
        <w:softHyphen/>
        <w:t>gle-family dwellings. Fireblocking of cornices of a two-family dwelling is required only at the line of dwelling unit separation.</w:t>
      </w:r>
    </w:p>
    <w:p w14:paraId="50B950FA" w14:textId="77777777" w:rsidR="00140B7C" w:rsidRPr="00EC4EC4" w:rsidRDefault="00140B7C" w:rsidP="00140B7C">
      <w:pPr>
        <w:autoSpaceDE w:val="0"/>
        <w:autoSpaceDN w:val="0"/>
        <w:adjustRightInd w:val="0"/>
        <w:spacing w:after="240" w:line="240" w:lineRule="auto"/>
        <w:ind w:left="1440" w:hanging="360"/>
        <w:jc w:val="both"/>
        <w:rPr>
          <w:rFonts w:eastAsia="Times New Roman" w:cs="Times New Roman"/>
          <w:spacing w:val="1"/>
          <w:szCs w:val="24"/>
        </w:rPr>
      </w:pPr>
      <w:r w:rsidRPr="00EC4EC4">
        <w:rPr>
          <w:rFonts w:eastAsia="Times New Roman" w:cs="Times New Roman"/>
          <w:bCs/>
          <w:szCs w:val="24"/>
        </w:rPr>
        <w:t>2.</w:t>
      </w:r>
      <w:r w:rsidRPr="00EC4EC4">
        <w:rPr>
          <w:rFonts w:eastAsia="Times New Roman" w:cs="Times New Roman"/>
          <w:bCs/>
          <w:szCs w:val="24"/>
        </w:rPr>
        <w:tab/>
        <w:t>Fireblocking shall not be required where the exterior wall covering does not contain plastic or foam plastic insulation, is installed on noncombustible framing and the  exterior wall covering is one of the following materials:</w:t>
      </w:r>
    </w:p>
    <w:p w14:paraId="7064587D" w14:textId="77777777" w:rsidR="00140B7C" w:rsidRPr="00EC4EC4" w:rsidRDefault="00140B7C" w:rsidP="00140B7C">
      <w:pPr>
        <w:spacing w:after="240" w:line="240" w:lineRule="auto"/>
        <w:ind w:left="2070" w:hanging="630"/>
        <w:jc w:val="both"/>
        <w:rPr>
          <w:rFonts w:eastAsia="Times New Roman" w:cs="Times New Roman"/>
          <w:spacing w:val="1"/>
          <w:szCs w:val="24"/>
        </w:rPr>
      </w:pPr>
      <w:r w:rsidRPr="00EC4EC4">
        <w:rPr>
          <w:rFonts w:eastAsia="Times New Roman" w:cs="Times New Roman"/>
          <w:spacing w:val="1"/>
          <w:szCs w:val="24"/>
        </w:rPr>
        <w:t>2.1.</w:t>
      </w:r>
      <w:r w:rsidRPr="00EC4EC4">
        <w:rPr>
          <w:rFonts w:eastAsia="Times New Roman" w:cs="Times New Roman"/>
          <w:spacing w:val="1"/>
          <w:szCs w:val="24"/>
        </w:rPr>
        <w:tab/>
      </w:r>
      <w:r w:rsidRPr="00EC4EC4">
        <w:rPr>
          <w:rFonts w:eastAsia="Times New Roman" w:cs="Times New Roman"/>
          <w:bCs/>
          <w:szCs w:val="24"/>
        </w:rPr>
        <w:t>Aluminum siding having a minimum thickness of 0.019 inch (0.5 mm).</w:t>
      </w:r>
    </w:p>
    <w:p w14:paraId="54A3B329" w14:textId="77777777" w:rsidR="00140B7C" w:rsidRPr="00EC4EC4" w:rsidRDefault="00140B7C" w:rsidP="00140B7C">
      <w:pPr>
        <w:spacing w:after="240" w:line="240" w:lineRule="auto"/>
        <w:ind w:left="2070" w:hanging="630"/>
        <w:jc w:val="both"/>
        <w:rPr>
          <w:rFonts w:eastAsia="Times New Roman" w:cs="Times New Roman"/>
          <w:spacing w:val="1"/>
          <w:szCs w:val="24"/>
        </w:rPr>
      </w:pPr>
      <w:r w:rsidRPr="00EC4EC4">
        <w:rPr>
          <w:rFonts w:eastAsia="Times New Roman" w:cs="Times New Roman"/>
          <w:spacing w:val="1"/>
          <w:szCs w:val="24"/>
        </w:rPr>
        <w:t>2.2.</w:t>
      </w:r>
      <w:r w:rsidRPr="00EC4EC4">
        <w:rPr>
          <w:rFonts w:eastAsia="Times New Roman" w:cs="Times New Roman"/>
          <w:spacing w:val="1"/>
          <w:szCs w:val="24"/>
        </w:rPr>
        <w:tab/>
      </w:r>
      <w:r w:rsidRPr="00EC4EC4">
        <w:rPr>
          <w:rFonts w:eastAsia="Times New Roman" w:cs="Times New Roman"/>
          <w:bCs/>
          <w:szCs w:val="24"/>
        </w:rPr>
        <w:t>Corrosion</w:t>
      </w:r>
      <w:r w:rsidRPr="00EC4EC4">
        <w:rPr>
          <w:rFonts w:ascii="Cambria Math" w:eastAsia="Times New Roman" w:hAnsi="Cambria Math" w:cs="Cambria Math"/>
          <w:bCs/>
          <w:szCs w:val="24"/>
        </w:rPr>
        <w:t>‐</w:t>
      </w:r>
      <w:r w:rsidRPr="00EC4EC4">
        <w:rPr>
          <w:rFonts w:eastAsia="Times New Roman" w:cs="Times New Roman"/>
          <w:bCs/>
          <w:szCs w:val="24"/>
        </w:rPr>
        <w:t>resistant steel siding not less than 0.016 inch (0.4 mm) at any point.</w:t>
      </w:r>
    </w:p>
    <w:p w14:paraId="271D208F" w14:textId="77777777" w:rsidR="00140B7C" w:rsidRPr="00EC4EC4" w:rsidRDefault="00140B7C" w:rsidP="00140B7C">
      <w:pPr>
        <w:widowControl w:val="0"/>
        <w:spacing w:before="120" w:after="120" w:line="240" w:lineRule="auto"/>
        <w:ind w:left="2070" w:hanging="630"/>
        <w:rPr>
          <w:rFonts w:cs="Times New Roman"/>
        </w:rPr>
      </w:pPr>
      <w:r w:rsidRPr="00EC4EC4">
        <w:rPr>
          <w:rFonts w:cs="Times New Roman"/>
        </w:rPr>
        <w:t>2.3</w:t>
      </w:r>
      <w:r w:rsidRPr="00EC4EC4">
        <w:rPr>
          <w:rFonts w:cs="Times New Roman"/>
          <w:u w:val="single"/>
        </w:rPr>
        <w:t xml:space="preserve">. </w:t>
      </w:r>
      <w:r w:rsidRPr="00EC4EC4">
        <w:rPr>
          <w:rFonts w:cs="Times New Roman"/>
        </w:rPr>
        <w:tab/>
        <w:t>Walls in which the water-resistive barrier is the only combustible component and the exterior wall has a wall covering of brick, concrete, stone, terra cotta, stucco or steel with minimum thicknesses in accordance with Table 1405.2.</w:t>
      </w:r>
    </w:p>
    <w:p w14:paraId="2376E0AC" w14:textId="77777777" w:rsidR="00140B7C" w:rsidRPr="00EC4EC4" w:rsidRDefault="00140B7C" w:rsidP="00140B7C">
      <w:pPr>
        <w:spacing w:after="240" w:line="240" w:lineRule="auto"/>
        <w:ind w:left="2070" w:hanging="630"/>
        <w:jc w:val="both"/>
        <w:rPr>
          <w:rFonts w:cs="Times New Roman"/>
        </w:rPr>
      </w:pPr>
      <w:r w:rsidRPr="00EC4EC4">
        <w:rPr>
          <w:rFonts w:cs="Times New Roman"/>
        </w:rPr>
        <w:t xml:space="preserve">3. </w:t>
      </w:r>
      <w:r w:rsidRPr="00EC4EC4">
        <w:rPr>
          <w:rFonts w:cs="Times New Roman"/>
        </w:rPr>
        <w:tab/>
        <w:t xml:space="preserve">Exterior wall coverings containing plastics, metal composite materials (MCM) or </w:t>
      </w:r>
      <w:r w:rsidRPr="00EC4EC4">
        <w:rPr>
          <w:rFonts w:eastAsia="Times New Roman" w:cs="Times New Roman"/>
          <w:bCs/>
          <w:szCs w:val="24"/>
        </w:rPr>
        <w:t xml:space="preserve">high-pressure decorative exterior-grade compact laminates </w:t>
      </w:r>
      <w:r w:rsidRPr="00EC4EC4">
        <w:rPr>
          <w:rFonts w:cs="Times New Roman"/>
        </w:rPr>
        <w:t>(HPL) panels shall comply with Section 718.2.6.1.</w:t>
      </w:r>
    </w:p>
    <w:p w14:paraId="2295EE58" w14:textId="434EFECF" w:rsidR="00140B7C" w:rsidRPr="00EC4EC4" w:rsidRDefault="00140B7C" w:rsidP="00140B7C">
      <w:pPr>
        <w:kinsoku w:val="0"/>
        <w:spacing w:after="240" w:line="240" w:lineRule="auto"/>
        <w:ind w:firstLine="720"/>
        <w:jc w:val="both"/>
        <w:rPr>
          <w:rFonts w:cs="Times New Roman"/>
          <w:sz w:val="23"/>
          <w:szCs w:val="23"/>
        </w:rPr>
      </w:pPr>
      <w:r w:rsidRPr="005F397C">
        <w:rPr>
          <w:rFonts w:cs="Times New Roman"/>
          <w:sz w:val="23"/>
          <w:szCs w:val="23"/>
        </w:rPr>
        <w:t>§</w:t>
      </w:r>
      <w:r>
        <w:rPr>
          <w:rFonts w:cs="Times New Roman"/>
          <w:sz w:val="23"/>
          <w:szCs w:val="23"/>
        </w:rPr>
        <w:t>12</w:t>
      </w:r>
      <w:r w:rsidR="00F57F57">
        <w:rPr>
          <w:rFonts w:cs="Times New Roman"/>
          <w:sz w:val="23"/>
          <w:szCs w:val="23"/>
        </w:rPr>
        <w:t>8</w:t>
      </w:r>
      <w:r w:rsidRPr="005F397C">
        <w:rPr>
          <w:rFonts w:cs="Times New Roman"/>
          <w:sz w:val="23"/>
          <w:szCs w:val="23"/>
        </w:rPr>
        <w:t>. Section 7</w:t>
      </w:r>
      <w:r>
        <w:rPr>
          <w:rFonts w:cs="Times New Roman"/>
          <w:sz w:val="23"/>
          <w:szCs w:val="23"/>
        </w:rPr>
        <w:t>20</w:t>
      </w:r>
      <w:r w:rsidRPr="005F397C">
        <w:rPr>
          <w:rFonts w:cs="Times New Roman"/>
          <w:sz w:val="23"/>
          <w:szCs w:val="23"/>
        </w:rPr>
        <w:t>.2 of  the New York city building code, as renumbered and amended by local law number 126 for the year 2021, is amended to read as follows:</w:t>
      </w:r>
    </w:p>
    <w:p w14:paraId="6CE560DC" w14:textId="77777777" w:rsidR="00140B7C" w:rsidRPr="00EC4EC4" w:rsidRDefault="00140B7C" w:rsidP="00140B7C">
      <w:pPr>
        <w:pStyle w:val="FlushLeft"/>
        <w:rPr>
          <w:b/>
          <w:bCs/>
          <w:szCs w:val="24"/>
        </w:rPr>
      </w:pPr>
      <w:r w:rsidRPr="00EC4EC4">
        <w:rPr>
          <w:b/>
          <w:color w:val="000000"/>
          <w:szCs w:val="24"/>
        </w:rPr>
        <w:t>720.2 C</w:t>
      </w:r>
      <w:r w:rsidRPr="00EC4EC4">
        <w:rPr>
          <w:b/>
          <w:bCs/>
          <w:color w:val="000000"/>
          <w:szCs w:val="24"/>
        </w:rPr>
        <w:t>oncealed installation.</w:t>
      </w:r>
      <w:r w:rsidRPr="00EC4EC4">
        <w:rPr>
          <w:b/>
          <w:bCs/>
          <w:color w:val="000000"/>
          <w:spacing w:val="-3"/>
          <w:w w:val="110"/>
          <w:szCs w:val="24"/>
        </w:rPr>
        <w:t xml:space="preserve"> </w:t>
      </w:r>
      <w:r w:rsidRPr="00EC4EC4">
        <w:rPr>
          <w:szCs w:val="24"/>
        </w:rPr>
        <w:t xml:space="preserve">Insulating materials, where concealed as installed in buildings of any </w:t>
      </w:r>
      <w:r w:rsidRPr="00EC4EC4">
        <w:rPr>
          <w:color w:val="000000"/>
          <w:spacing w:val="1"/>
          <w:szCs w:val="24"/>
        </w:rPr>
        <w:t>type construction, shall comply with Sections</w:t>
      </w:r>
      <w:r w:rsidRPr="00EC4EC4">
        <w:rPr>
          <w:color w:val="000000"/>
          <w:szCs w:val="24"/>
        </w:rPr>
        <w:t xml:space="preserve"> [</w:t>
      </w:r>
      <w:r w:rsidRPr="00EC4EC4">
        <w:rPr>
          <w:strike/>
          <w:color w:val="000000"/>
          <w:szCs w:val="24"/>
        </w:rPr>
        <w:t>720.1.1</w:t>
      </w:r>
      <w:r w:rsidRPr="00EC4EC4">
        <w:rPr>
          <w:strike/>
          <w:color w:val="000000"/>
          <w:spacing w:val="1"/>
          <w:szCs w:val="24"/>
        </w:rPr>
        <w:t>,</w:t>
      </w:r>
      <w:r w:rsidRPr="00EC4EC4">
        <w:rPr>
          <w:strike/>
          <w:color w:val="000000"/>
          <w:szCs w:val="24"/>
        </w:rPr>
        <w:t xml:space="preserve"> 720.1</w:t>
      </w:r>
      <w:r w:rsidRPr="00EC4EC4">
        <w:rPr>
          <w:color w:val="000000"/>
          <w:szCs w:val="24"/>
        </w:rPr>
        <w:t>]</w:t>
      </w:r>
      <w:r w:rsidRPr="00EC4EC4">
        <w:rPr>
          <w:color w:val="000000"/>
          <w:szCs w:val="24"/>
          <w:u w:val="single"/>
        </w:rPr>
        <w:t>720.1, 720.1.1</w:t>
      </w:r>
      <w:r w:rsidRPr="00EC4EC4">
        <w:rPr>
          <w:color w:val="000000"/>
          <w:spacing w:val="1"/>
          <w:szCs w:val="24"/>
        </w:rPr>
        <w:t xml:space="preserve"> and</w:t>
      </w:r>
      <w:r w:rsidRPr="00EC4EC4">
        <w:rPr>
          <w:color w:val="000000"/>
          <w:szCs w:val="24"/>
        </w:rPr>
        <w:t xml:space="preserve"> 720.1.2</w:t>
      </w:r>
      <w:r w:rsidRPr="00EC4EC4">
        <w:rPr>
          <w:color w:val="000000"/>
          <w:spacing w:val="1"/>
          <w:szCs w:val="24"/>
        </w:rPr>
        <w:t>. Con</w:t>
      </w:r>
      <w:r w:rsidRPr="00EC4EC4">
        <w:rPr>
          <w:color w:val="000000"/>
          <w:spacing w:val="1"/>
          <w:szCs w:val="24"/>
        </w:rPr>
        <w:softHyphen/>
        <w:t xml:space="preserve">cealed insulation shall be separated from the building interior by a thermal barrier consisting of at least </w:t>
      </w:r>
      <w:r w:rsidRPr="00EC4EC4">
        <w:rPr>
          <w:szCs w:val="24"/>
          <w:vertAlign w:val="superscript"/>
        </w:rPr>
        <w:t>1</w:t>
      </w:r>
      <w:r w:rsidRPr="00EC4EC4">
        <w:rPr>
          <w:szCs w:val="24"/>
        </w:rPr>
        <w:t>/</w:t>
      </w:r>
      <w:r w:rsidRPr="00EC4EC4">
        <w:rPr>
          <w:szCs w:val="24"/>
          <w:vertAlign w:val="subscript"/>
        </w:rPr>
        <w:t>2</w:t>
      </w:r>
      <w:r w:rsidRPr="00EC4EC4">
        <w:rPr>
          <w:color w:val="000000"/>
          <w:spacing w:val="1"/>
          <w:szCs w:val="24"/>
        </w:rPr>
        <w:t>-inch (12.7 mm) thick gypsum wallboard or approved equivalent.</w:t>
      </w:r>
      <w:r w:rsidRPr="00EC4EC4">
        <w:rPr>
          <w:b/>
          <w:bCs/>
          <w:szCs w:val="24"/>
        </w:rPr>
        <w:t xml:space="preserve"> </w:t>
      </w:r>
    </w:p>
    <w:p w14:paraId="36C1CF49" w14:textId="77777777" w:rsidR="00140B7C" w:rsidRPr="00EC4EC4" w:rsidRDefault="00140B7C" w:rsidP="00140B7C">
      <w:pPr>
        <w:pStyle w:val="FlushLeftDouble"/>
        <w:rPr>
          <w:color w:val="000000"/>
          <w:szCs w:val="24"/>
        </w:rPr>
      </w:pPr>
      <w:r w:rsidRPr="00EC4EC4">
        <w:rPr>
          <w:b/>
          <w:color w:val="000000"/>
          <w:szCs w:val="24"/>
        </w:rPr>
        <w:lastRenderedPageBreak/>
        <w:t>Exception:</w:t>
      </w:r>
      <w:r w:rsidRPr="00EC4EC4">
        <w:rPr>
          <w:color w:val="000000"/>
          <w:szCs w:val="24"/>
        </w:rPr>
        <w:t xml:space="preserve"> Cellulosic fiber loose-fill insulation</w:t>
      </w:r>
      <w:r w:rsidRPr="00EC4EC4">
        <w:rPr>
          <w:color w:val="000000"/>
          <w:spacing w:val="1"/>
          <w:szCs w:val="24"/>
        </w:rPr>
        <w:t xml:space="preserve"> </w:t>
      </w:r>
      <w:r w:rsidRPr="00EC4EC4">
        <w:rPr>
          <w:color w:val="000000"/>
          <w:szCs w:val="24"/>
        </w:rPr>
        <w:t>complying with the requirements of Section</w:t>
      </w:r>
      <w:r w:rsidRPr="00EC4EC4">
        <w:rPr>
          <w:color w:val="000000"/>
          <w:spacing w:val="1"/>
          <w:szCs w:val="24"/>
        </w:rPr>
        <w:t xml:space="preserve"> 7</w:t>
      </w:r>
      <w:r w:rsidRPr="00EC4EC4">
        <w:rPr>
          <w:color w:val="000000"/>
          <w:szCs w:val="24"/>
        </w:rPr>
        <w:t xml:space="preserve">20.6 shall </w:t>
      </w:r>
      <w:r w:rsidRPr="00EC4EC4">
        <w:rPr>
          <w:color w:val="000000"/>
          <w:spacing w:val="1"/>
          <w:szCs w:val="24"/>
        </w:rPr>
        <w:t xml:space="preserve">only </w:t>
      </w:r>
      <w:r w:rsidRPr="00EC4EC4">
        <w:rPr>
          <w:color w:val="000000"/>
          <w:szCs w:val="24"/>
        </w:rPr>
        <w:t>be required to meet</w:t>
      </w:r>
      <w:r w:rsidRPr="00EC4EC4">
        <w:rPr>
          <w:color w:val="000000"/>
          <w:spacing w:val="1"/>
          <w:szCs w:val="24"/>
        </w:rPr>
        <w:t xml:space="preserve"> a smoke-development </w:t>
      </w:r>
      <w:r w:rsidRPr="00EC4EC4">
        <w:rPr>
          <w:color w:val="000000"/>
          <w:szCs w:val="24"/>
        </w:rPr>
        <w:t xml:space="preserve">index of not more than 450, when tested in accordance with CAN/ULC S102.2, provided such insulation has a smoke-development index that complies with the requirements of Section </w:t>
      </w:r>
      <w:r w:rsidRPr="00EC4EC4">
        <w:rPr>
          <w:color w:val="000000"/>
          <w:spacing w:val="1"/>
          <w:szCs w:val="24"/>
        </w:rPr>
        <w:t xml:space="preserve">720.2 or 720.3, as applicable, and Section </w:t>
      </w:r>
      <w:r w:rsidRPr="00EC4EC4">
        <w:rPr>
          <w:color w:val="000000"/>
          <w:szCs w:val="24"/>
        </w:rPr>
        <w:t>720.6 of this code.</w:t>
      </w:r>
    </w:p>
    <w:p w14:paraId="4439E4A2" w14:textId="2BCEA059" w:rsidR="00140B7C" w:rsidRPr="00EC4EC4" w:rsidRDefault="00140B7C" w:rsidP="00140B7C">
      <w:pPr>
        <w:kinsoku w:val="0"/>
        <w:spacing w:after="240" w:line="240" w:lineRule="auto"/>
        <w:ind w:firstLine="720"/>
        <w:jc w:val="both"/>
        <w:rPr>
          <w:rFonts w:cs="Times New Roman"/>
          <w:sz w:val="23"/>
          <w:szCs w:val="23"/>
        </w:rPr>
      </w:pPr>
      <w:bookmarkStart w:id="56" w:name="_Hlk115185828"/>
      <w:r w:rsidRPr="00EC4EC4">
        <w:rPr>
          <w:rFonts w:cs="Times New Roman"/>
          <w:sz w:val="23"/>
          <w:szCs w:val="23"/>
        </w:rPr>
        <w:t>§</w:t>
      </w:r>
      <w:r>
        <w:rPr>
          <w:rFonts w:cs="Times New Roman"/>
          <w:sz w:val="23"/>
          <w:szCs w:val="23"/>
        </w:rPr>
        <w:t>12</w:t>
      </w:r>
      <w:r w:rsidR="00F57F57">
        <w:rPr>
          <w:rFonts w:cs="Times New Roman"/>
          <w:sz w:val="23"/>
          <w:szCs w:val="23"/>
        </w:rPr>
        <w:t>9</w:t>
      </w:r>
      <w:r w:rsidRPr="00EC4EC4">
        <w:rPr>
          <w:rFonts w:cs="Times New Roman"/>
          <w:sz w:val="23"/>
          <w:szCs w:val="23"/>
        </w:rPr>
        <w:t xml:space="preserve">. </w:t>
      </w:r>
      <w:r>
        <w:rPr>
          <w:rFonts w:cs="Times New Roman"/>
          <w:sz w:val="23"/>
          <w:szCs w:val="23"/>
        </w:rPr>
        <w:t xml:space="preserve">Footnote e of </w:t>
      </w:r>
      <w:r w:rsidRPr="00EC4EC4">
        <w:rPr>
          <w:rFonts w:cs="Times New Roman"/>
          <w:sz w:val="23"/>
          <w:szCs w:val="23"/>
        </w:rPr>
        <w:t>Table 721.1(2) of the New York city building code, as amended by local law number 126 for the year 2021, is amended to read as follows:</w:t>
      </w:r>
    </w:p>
    <w:bookmarkEnd w:id="56"/>
    <w:p w14:paraId="7C04EEC5" w14:textId="77777777" w:rsidR="00140B7C" w:rsidRPr="00EC4EC4" w:rsidRDefault="00140B7C" w:rsidP="00226293">
      <w:pPr>
        <w:pStyle w:val="ListParagraph"/>
        <w:numPr>
          <w:ilvl w:val="0"/>
          <w:numId w:val="37"/>
        </w:numPr>
        <w:kinsoku w:val="0"/>
        <w:spacing w:before="36"/>
        <w:jc w:val="both"/>
        <w:rPr>
          <w:rFonts w:ascii="Times New Roman" w:hAnsi="Times New Roman" w:cs="Times New Roman"/>
          <w:spacing w:val="2"/>
          <w:sz w:val="14"/>
          <w:szCs w:val="14"/>
        </w:rPr>
      </w:pPr>
      <w:r w:rsidRPr="00EC4EC4">
        <w:rPr>
          <w:rFonts w:ascii="Times New Roman" w:hAnsi="Times New Roman" w:cs="Times New Roman"/>
          <w:spacing w:val="1"/>
          <w:sz w:val="14"/>
          <w:szCs w:val="14"/>
        </w:rPr>
        <w:t>For all of the construction with gypsum wallboard described in this table, gypsum base for veneer plaster of the same size, thickness and core type shall be permit</w:t>
      </w:r>
      <w:r w:rsidRPr="00EC4EC4">
        <w:rPr>
          <w:rFonts w:ascii="Times New Roman" w:hAnsi="Times New Roman" w:cs="Times New Roman"/>
          <w:spacing w:val="1"/>
          <w:sz w:val="14"/>
          <w:szCs w:val="14"/>
        </w:rPr>
        <w:softHyphen/>
      </w:r>
      <w:r w:rsidRPr="00EC4EC4">
        <w:rPr>
          <w:rFonts w:ascii="Times New Roman" w:hAnsi="Times New Roman" w:cs="Times New Roman"/>
          <w:spacing w:val="2"/>
          <w:sz w:val="14"/>
          <w:szCs w:val="14"/>
        </w:rPr>
        <w:t>ted to be substituted for gypsum wallboard, provided attachment is identical to that specified for the wallboard, and the joints on the face layer are reinforced and the entire surface is covered with a</w:t>
      </w:r>
      <w:r w:rsidRPr="00EC4EC4">
        <w:rPr>
          <w:rFonts w:ascii="Times New Roman" w:hAnsi="Times New Roman" w:cs="Times New Roman"/>
          <w:spacing w:val="1"/>
          <w:sz w:val="14"/>
          <w:szCs w:val="14"/>
        </w:rPr>
        <w:t xml:space="preserve"> not less than</w:t>
      </w:r>
      <w:r w:rsidRPr="00EC4EC4">
        <w:rPr>
          <w:rFonts w:ascii="Times New Roman" w:hAnsi="Times New Roman" w:cs="Times New Roman"/>
          <w:spacing w:val="2"/>
          <w:sz w:val="14"/>
          <w:szCs w:val="14"/>
        </w:rPr>
        <w:t xml:space="preserve"> [</w:t>
      </w:r>
      <w:r w:rsidRPr="00EC4EC4">
        <w:rPr>
          <w:rFonts w:ascii="Times New Roman" w:hAnsi="Times New Roman" w:cs="Times New Roman"/>
          <w:strike/>
          <w:spacing w:val="2"/>
          <w:sz w:val="14"/>
          <w:szCs w:val="14"/>
        </w:rPr>
        <w:t>of</w:t>
      </w:r>
      <w:r w:rsidRPr="00EC4EC4">
        <w:rPr>
          <w:rFonts w:ascii="Times New Roman" w:hAnsi="Times New Roman" w:cs="Times New Roman"/>
          <w:spacing w:val="2"/>
          <w:sz w:val="14"/>
          <w:szCs w:val="14"/>
        </w:rPr>
        <w:t xml:space="preserve">] </w:t>
      </w:r>
      <w:r w:rsidRPr="00EC4EC4">
        <w:rPr>
          <w:rFonts w:ascii="Times New Roman" w:hAnsi="Times New Roman" w:cs="Times New Roman"/>
          <w:spacing w:val="2"/>
          <w:w w:val="115"/>
          <w:sz w:val="14"/>
          <w:szCs w:val="14"/>
          <w:vertAlign w:val="superscript"/>
        </w:rPr>
        <w:t>1</w:t>
      </w:r>
      <w:r w:rsidRPr="00EC4EC4">
        <w:rPr>
          <w:rFonts w:ascii="Times New Roman" w:hAnsi="Times New Roman" w:cs="Times New Roman"/>
          <w:spacing w:val="2"/>
          <w:sz w:val="14"/>
          <w:szCs w:val="14"/>
        </w:rPr>
        <w:t>/</w:t>
      </w:r>
      <w:r w:rsidRPr="00EC4EC4">
        <w:rPr>
          <w:rFonts w:ascii="Times New Roman" w:hAnsi="Times New Roman" w:cs="Times New Roman"/>
          <w:spacing w:val="2"/>
          <w:w w:val="115"/>
          <w:sz w:val="14"/>
          <w:szCs w:val="14"/>
          <w:vertAlign w:val="subscript"/>
        </w:rPr>
        <w:t>16</w:t>
      </w:r>
      <w:r w:rsidRPr="00EC4EC4">
        <w:rPr>
          <w:rFonts w:ascii="Times New Roman" w:hAnsi="Times New Roman" w:cs="Times New Roman"/>
          <w:spacing w:val="2"/>
          <w:sz w:val="14"/>
          <w:szCs w:val="14"/>
        </w:rPr>
        <w:t>-inch gypsum veneer plaster.</w:t>
      </w:r>
    </w:p>
    <w:p w14:paraId="6448E630" w14:textId="77777777" w:rsidR="00140B7C" w:rsidRPr="00EC4EC4" w:rsidRDefault="00140B7C" w:rsidP="00140B7C">
      <w:pPr>
        <w:kinsoku w:val="0"/>
        <w:spacing w:after="0" w:line="240" w:lineRule="auto"/>
        <w:ind w:firstLine="720"/>
        <w:jc w:val="both"/>
        <w:rPr>
          <w:rFonts w:cs="Times New Roman"/>
          <w:sz w:val="23"/>
          <w:szCs w:val="23"/>
        </w:rPr>
      </w:pPr>
    </w:p>
    <w:p w14:paraId="5BB3AB8F" w14:textId="1EA24E7D" w:rsidR="00140B7C" w:rsidRPr="00EC4EC4"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Pr>
          <w:rFonts w:cs="Times New Roman"/>
          <w:sz w:val="23"/>
          <w:szCs w:val="23"/>
        </w:rPr>
        <w:t>1</w:t>
      </w:r>
      <w:r w:rsidR="00F57F57">
        <w:rPr>
          <w:rFonts w:cs="Times New Roman"/>
          <w:sz w:val="23"/>
          <w:szCs w:val="23"/>
        </w:rPr>
        <w:t>30</w:t>
      </w:r>
      <w:r w:rsidRPr="00EC4EC4">
        <w:rPr>
          <w:rFonts w:cs="Times New Roman"/>
          <w:sz w:val="23"/>
          <w:szCs w:val="23"/>
        </w:rPr>
        <w:t>. Table 72</w:t>
      </w:r>
      <w:r>
        <w:rPr>
          <w:rFonts w:cs="Times New Roman"/>
          <w:sz w:val="23"/>
          <w:szCs w:val="23"/>
        </w:rPr>
        <w:t>1</w:t>
      </w:r>
      <w:r w:rsidRPr="00EC4EC4">
        <w:rPr>
          <w:rFonts w:cs="Times New Roman"/>
          <w:sz w:val="23"/>
          <w:szCs w:val="23"/>
        </w:rPr>
        <w:t>.1(3) of the New York city building code, as renumbered and amended by local law number 126 for the year 2021, is amended to read as follows:</w:t>
      </w:r>
    </w:p>
    <w:tbl>
      <w:tblPr>
        <w:tblW w:w="4898" w:type="pct"/>
        <w:jc w:val="center"/>
        <w:tblCellMar>
          <w:left w:w="0" w:type="dxa"/>
          <w:right w:w="0" w:type="dxa"/>
        </w:tblCellMar>
        <w:tblLook w:val="0000" w:firstRow="0" w:lastRow="0" w:firstColumn="0" w:lastColumn="0" w:noHBand="0" w:noVBand="0"/>
      </w:tblPr>
      <w:tblGrid>
        <w:gridCol w:w="1659"/>
        <w:gridCol w:w="642"/>
        <w:gridCol w:w="2132"/>
        <w:gridCol w:w="439"/>
        <w:gridCol w:w="707"/>
        <w:gridCol w:w="783"/>
        <w:gridCol w:w="796"/>
        <w:gridCol w:w="387"/>
        <w:gridCol w:w="605"/>
        <w:gridCol w:w="654"/>
        <w:gridCol w:w="524"/>
        <w:gridCol w:w="123"/>
      </w:tblGrid>
      <w:tr w:rsidR="00140B7C" w:rsidRPr="00EC4EC4" w14:paraId="48173DF1" w14:textId="77777777" w:rsidTr="00BC1087">
        <w:trPr>
          <w:gridAfter w:val="1"/>
          <w:wAfter w:w="65" w:type="pct"/>
          <w:cantSplit/>
          <w:trHeight w:hRule="exact" w:val="586"/>
          <w:tblHeader/>
          <w:jc w:val="center"/>
        </w:trPr>
        <w:tc>
          <w:tcPr>
            <w:tcW w:w="4935" w:type="pct"/>
            <w:gridSpan w:val="11"/>
            <w:tcBorders>
              <w:bottom w:val="nil"/>
            </w:tcBorders>
            <w:vAlign w:val="center"/>
          </w:tcPr>
          <w:p w14:paraId="16C96AEA" w14:textId="77777777" w:rsidR="00140B7C" w:rsidRPr="00EC4EC4" w:rsidRDefault="00140B7C" w:rsidP="00BC1087">
            <w:pPr>
              <w:pStyle w:val="DoubleSpaceParagaph"/>
              <w:ind w:firstLine="0"/>
            </w:pPr>
          </w:p>
        </w:tc>
      </w:tr>
      <w:tr w:rsidR="00140B7C" w:rsidRPr="00EC4EC4" w14:paraId="064D48B4" w14:textId="77777777" w:rsidTr="00BC1087">
        <w:trPr>
          <w:trHeight w:hRule="exact" w:val="566"/>
          <w:tblHeader/>
          <w:jc w:val="center"/>
        </w:trPr>
        <w:tc>
          <w:tcPr>
            <w:tcW w:w="5000" w:type="pct"/>
            <w:gridSpan w:val="12"/>
            <w:tcBorders>
              <w:bottom w:val="nil"/>
            </w:tcBorders>
            <w:vAlign w:val="center"/>
          </w:tcPr>
          <w:p w14:paraId="3EB02376" w14:textId="77777777" w:rsidR="00140B7C" w:rsidRPr="00EC4EC4" w:rsidRDefault="00140B7C" w:rsidP="00BC1087">
            <w:pPr>
              <w:pStyle w:val="HeadingCaps"/>
              <w:rPr>
                <w:sz w:val="20"/>
              </w:rPr>
            </w:pPr>
            <w:r w:rsidRPr="00EC4EC4">
              <w:rPr>
                <w:sz w:val="20"/>
              </w:rPr>
              <w:t>TABLE 721.1(3)</w:t>
            </w:r>
            <w:r w:rsidRPr="00EC4EC4">
              <w:rPr>
                <w:sz w:val="20"/>
              </w:rPr>
              <w:br/>
              <w:t>MINIMUM PROTECTION FOR FLOOR AND ROOF SYSTEMS</w:t>
            </w:r>
            <w:r w:rsidRPr="00EC4EC4">
              <w:rPr>
                <w:w w:val="110"/>
                <w:sz w:val="20"/>
                <w:vertAlign w:val="superscript"/>
              </w:rPr>
              <w:t>a,q</w:t>
            </w:r>
          </w:p>
        </w:tc>
      </w:tr>
      <w:tr w:rsidR="00140B7C" w:rsidRPr="00EC4EC4" w14:paraId="13E46376" w14:textId="77777777" w:rsidTr="00BC1087">
        <w:trPr>
          <w:trHeight w:hRule="exact" w:val="566"/>
          <w:tblHeader/>
          <w:jc w:val="center"/>
        </w:trPr>
        <w:tc>
          <w:tcPr>
            <w:tcW w:w="878" w:type="pct"/>
            <w:vMerge w:val="restart"/>
            <w:tcBorders>
              <w:top w:val="single" w:sz="2" w:space="0" w:color="auto"/>
              <w:left w:val="single" w:sz="2" w:space="0" w:color="auto"/>
              <w:bottom w:val="nil"/>
              <w:right w:val="single" w:sz="2" w:space="0" w:color="auto"/>
            </w:tcBorders>
            <w:vAlign w:val="center"/>
          </w:tcPr>
          <w:p w14:paraId="5DEAC4E8" w14:textId="77777777" w:rsidR="00140B7C" w:rsidRPr="00EC4EC4" w:rsidRDefault="00140B7C" w:rsidP="00BC1087">
            <w:pPr>
              <w:spacing w:after="0" w:line="240" w:lineRule="auto"/>
              <w:ind w:left="3"/>
              <w:jc w:val="center"/>
              <w:rPr>
                <w:rFonts w:eastAsia="Times New Roman" w:cs="Times New Roman"/>
                <w:b/>
                <w:bCs/>
                <w:color w:val="000000"/>
                <w:sz w:val="14"/>
                <w:szCs w:val="14"/>
              </w:rPr>
            </w:pPr>
            <w:r w:rsidRPr="00EC4EC4">
              <w:rPr>
                <w:rFonts w:eastAsia="Times New Roman" w:cs="Times New Roman"/>
                <w:b/>
                <w:bCs/>
                <w:color w:val="000000"/>
                <w:sz w:val="14"/>
                <w:szCs w:val="14"/>
              </w:rPr>
              <w:t>FLOOR OR ROOF</w:t>
            </w:r>
            <w:r w:rsidRPr="00EC4EC4">
              <w:rPr>
                <w:rFonts w:eastAsia="Times New Roman" w:cs="Times New Roman"/>
                <w:b/>
                <w:bCs/>
                <w:color w:val="000000"/>
                <w:sz w:val="14"/>
                <w:szCs w:val="14"/>
              </w:rPr>
              <w:br/>
              <w:t>CONSTRUCTION</w:t>
            </w:r>
          </w:p>
        </w:tc>
        <w:tc>
          <w:tcPr>
            <w:tcW w:w="340" w:type="pct"/>
            <w:vMerge w:val="restart"/>
            <w:tcBorders>
              <w:top w:val="single" w:sz="2" w:space="0" w:color="auto"/>
              <w:left w:val="single" w:sz="2" w:space="0" w:color="auto"/>
              <w:bottom w:val="nil"/>
              <w:right w:val="single" w:sz="2" w:space="0" w:color="auto"/>
            </w:tcBorders>
            <w:vAlign w:val="center"/>
          </w:tcPr>
          <w:p w14:paraId="1290D5DF"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ITEM</w:t>
            </w:r>
            <w:r w:rsidRPr="00EC4EC4">
              <w:rPr>
                <w:rFonts w:eastAsia="Times New Roman" w:cs="Times New Roman"/>
                <w:b/>
                <w:bCs/>
                <w:color w:val="000000"/>
                <w:sz w:val="14"/>
                <w:szCs w:val="14"/>
              </w:rPr>
              <w:br/>
              <w:t>NUMBER</w:t>
            </w:r>
          </w:p>
        </w:tc>
        <w:tc>
          <w:tcPr>
            <w:tcW w:w="1128" w:type="pct"/>
            <w:vMerge w:val="restart"/>
            <w:tcBorders>
              <w:top w:val="single" w:sz="2" w:space="0" w:color="auto"/>
              <w:left w:val="single" w:sz="2" w:space="0" w:color="auto"/>
              <w:bottom w:val="nil"/>
              <w:right w:val="single" w:sz="2" w:space="0" w:color="auto"/>
            </w:tcBorders>
            <w:vAlign w:val="center"/>
          </w:tcPr>
          <w:p w14:paraId="59697A77"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CEILING CONSTRUCTION</w:t>
            </w:r>
          </w:p>
        </w:tc>
        <w:tc>
          <w:tcPr>
            <w:tcW w:w="1441" w:type="pct"/>
            <w:gridSpan w:val="4"/>
            <w:tcBorders>
              <w:top w:val="single" w:sz="2" w:space="0" w:color="auto"/>
              <w:left w:val="single" w:sz="2" w:space="0" w:color="auto"/>
              <w:bottom w:val="single" w:sz="2" w:space="0" w:color="auto"/>
              <w:right w:val="single" w:sz="2" w:space="0" w:color="auto"/>
            </w:tcBorders>
            <w:vAlign w:val="center"/>
          </w:tcPr>
          <w:p w14:paraId="3E8C18BF"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pacing w:val="-1"/>
                <w:sz w:val="14"/>
                <w:szCs w:val="14"/>
              </w:rPr>
              <w:t>THICKNESS OF FLOOR</w:t>
            </w:r>
            <w:r w:rsidRPr="00EC4EC4">
              <w:rPr>
                <w:rFonts w:eastAsia="Times New Roman" w:cs="Times New Roman"/>
                <w:b/>
                <w:bCs/>
                <w:color w:val="000000"/>
                <w:spacing w:val="-1"/>
                <w:sz w:val="14"/>
                <w:szCs w:val="14"/>
              </w:rPr>
              <w:br/>
            </w:r>
            <w:r w:rsidRPr="00EC4EC4">
              <w:rPr>
                <w:rFonts w:eastAsia="Times New Roman" w:cs="Times New Roman"/>
                <w:b/>
                <w:bCs/>
                <w:color w:val="000000"/>
                <w:sz w:val="14"/>
                <w:szCs w:val="14"/>
              </w:rPr>
              <w:t>OR ROOF SLAB</w:t>
            </w:r>
            <w:r w:rsidRPr="00EC4EC4">
              <w:rPr>
                <w:rFonts w:eastAsia="Times New Roman" w:cs="Times New Roman"/>
                <w:b/>
                <w:bCs/>
                <w:color w:val="000000"/>
                <w:sz w:val="14"/>
                <w:szCs w:val="14"/>
              </w:rPr>
              <w:br/>
              <w:t>(inches)</w:t>
            </w:r>
          </w:p>
        </w:tc>
        <w:tc>
          <w:tcPr>
            <w:tcW w:w="1213" w:type="pct"/>
            <w:gridSpan w:val="5"/>
            <w:tcBorders>
              <w:top w:val="single" w:sz="2" w:space="0" w:color="auto"/>
              <w:left w:val="single" w:sz="2" w:space="0" w:color="auto"/>
              <w:bottom w:val="single" w:sz="2" w:space="0" w:color="auto"/>
              <w:right w:val="single" w:sz="2" w:space="0" w:color="auto"/>
            </w:tcBorders>
            <w:vAlign w:val="center"/>
          </w:tcPr>
          <w:p w14:paraId="1F9E3859"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MINIMUM THICKNESS</w:t>
            </w:r>
            <w:r w:rsidRPr="00EC4EC4">
              <w:rPr>
                <w:rFonts w:eastAsia="Times New Roman" w:cs="Times New Roman"/>
                <w:b/>
                <w:bCs/>
                <w:color w:val="000000"/>
                <w:sz w:val="14"/>
                <w:szCs w:val="14"/>
              </w:rPr>
              <w:br/>
              <w:t>OF CEILING</w:t>
            </w:r>
            <w:r w:rsidRPr="00EC4EC4">
              <w:rPr>
                <w:rFonts w:eastAsia="Times New Roman" w:cs="Times New Roman"/>
                <w:b/>
                <w:bCs/>
                <w:color w:val="000000"/>
                <w:sz w:val="14"/>
                <w:szCs w:val="14"/>
              </w:rPr>
              <w:br/>
              <w:t>(inches)</w:t>
            </w:r>
          </w:p>
        </w:tc>
      </w:tr>
      <w:tr w:rsidR="00140B7C" w:rsidRPr="00EC4EC4" w14:paraId="6AE6130E" w14:textId="77777777" w:rsidTr="00BC1087">
        <w:trPr>
          <w:trHeight w:hRule="exact" w:val="617"/>
          <w:tblHeader/>
          <w:jc w:val="center"/>
        </w:trPr>
        <w:tc>
          <w:tcPr>
            <w:tcW w:w="878" w:type="pct"/>
            <w:vMerge/>
            <w:tcBorders>
              <w:top w:val="nil"/>
              <w:left w:val="single" w:sz="2" w:space="0" w:color="auto"/>
              <w:bottom w:val="single" w:sz="2" w:space="0" w:color="auto"/>
              <w:right w:val="single" w:sz="2" w:space="0" w:color="auto"/>
            </w:tcBorders>
            <w:vAlign w:val="bottom"/>
          </w:tcPr>
          <w:p w14:paraId="3BC85107" w14:textId="77777777" w:rsidR="00140B7C" w:rsidRPr="00EC4EC4" w:rsidRDefault="00140B7C" w:rsidP="00BC1087">
            <w:pPr>
              <w:spacing w:after="0" w:line="240" w:lineRule="auto"/>
              <w:ind w:left="360"/>
              <w:jc w:val="both"/>
              <w:rPr>
                <w:rFonts w:eastAsia="Times New Roman" w:cs="Times New Roman"/>
                <w:b/>
                <w:bCs/>
                <w:color w:val="000000"/>
                <w:spacing w:val="-1"/>
                <w:sz w:val="14"/>
                <w:szCs w:val="14"/>
              </w:rPr>
            </w:pPr>
          </w:p>
        </w:tc>
        <w:tc>
          <w:tcPr>
            <w:tcW w:w="340" w:type="pct"/>
            <w:vMerge/>
            <w:tcBorders>
              <w:top w:val="nil"/>
              <w:left w:val="single" w:sz="2" w:space="0" w:color="auto"/>
              <w:bottom w:val="single" w:sz="2" w:space="0" w:color="auto"/>
              <w:right w:val="single" w:sz="2" w:space="0" w:color="auto"/>
            </w:tcBorders>
            <w:vAlign w:val="bottom"/>
          </w:tcPr>
          <w:p w14:paraId="0ED94500" w14:textId="77777777" w:rsidR="00140B7C" w:rsidRPr="00EC4EC4" w:rsidRDefault="00140B7C" w:rsidP="00BC1087">
            <w:pPr>
              <w:spacing w:after="0" w:line="240" w:lineRule="auto"/>
              <w:ind w:left="360"/>
              <w:jc w:val="both"/>
              <w:rPr>
                <w:rFonts w:eastAsia="Times New Roman" w:cs="Times New Roman"/>
                <w:b/>
                <w:bCs/>
                <w:color w:val="000000"/>
                <w:spacing w:val="-1"/>
                <w:sz w:val="14"/>
                <w:szCs w:val="14"/>
              </w:rPr>
            </w:pPr>
          </w:p>
        </w:tc>
        <w:tc>
          <w:tcPr>
            <w:tcW w:w="1128" w:type="pct"/>
            <w:vMerge/>
            <w:tcBorders>
              <w:top w:val="nil"/>
              <w:left w:val="single" w:sz="2" w:space="0" w:color="auto"/>
              <w:bottom w:val="single" w:sz="2" w:space="0" w:color="auto"/>
              <w:right w:val="single" w:sz="2" w:space="0" w:color="auto"/>
            </w:tcBorders>
            <w:vAlign w:val="bottom"/>
          </w:tcPr>
          <w:p w14:paraId="4038C11B" w14:textId="77777777" w:rsidR="00140B7C" w:rsidRPr="00EC4EC4" w:rsidRDefault="00140B7C" w:rsidP="00BC1087">
            <w:pPr>
              <w:spacing w:after="0" w:line="240" w:lineRule="auto"/>
              <w:ind w:left="360"/>
              <w:jc w:val="both"/>
              <w:rPr>
                <w:rFonts w:eastAsia="Times New Roman" w:cs="Times New Roman"/>
                <w:b/>
                <w:bCs/>
                <w:color w:val="000000"/>
                <w:spacing w:val="-1"/>
                <w:sz w:val="14"/>
                <w:szCs w:val="14"/>
              </w:rPr>
            </w:pPr>
          </w:p>
        </w:tc>
        <w:tc>
          <w:tcPr>
            <w:tcW w:w="232" w:type="pct"/>
            <w:tcBorders>
              <w:top w:val="single" w:sz="2" w:space="0" w:color="auto"/>
              <w:left w:val="single" w:sz="2" w:space="0" w:color="auto"/>
              <w:bottom w:val="single" w:sz="2" w:space="0" w:color="auto"/>
              <w:right w:val="single" w:sz="2" w:space="0" w:color="auto"/>
            </w:tcBorders>
          </w:tcPr>
          <w:p w14:paraId="5C54F3CF"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4</w:t>
            </w:r>
            <w:r w:rsidRPr="00EC4EC4">
              <w:rPr>
                <w:rFonts w:eastAsia="Times New Roman" w:cs="Times New Roman"/>
                <w:b/>
                <w:bCs/>
                <w:color w:val="000000"/>
                <w:sz w:val="14"/>
                <w:szCs w:val="14"/>
              </w:rPr>
              <w:br/>
              <w:t>[</w:t>
            </w:r>
            <w:r w:rsidRPr="00EC4EC4">
              <w:rPr>
                <w:rFonts w:eastAsia="Times New Roman" w:cs="Times New Roman"/>
                <w:b/>
                <w:bCs/>
                <w:strike/>
                <w:color w:val="000000"/>
                <w:sz w:val="14"/>
                <w:szCs w:val="14"/>
              </w:rPr>
              <w:t>hour</w:t>
            </w:r>
            <w:r w:rsidRPr="00EC4EC4">
              <w:rPr>
                <w:rFonts w:eastAsia="Times New Roman" w:cs="Times New Roman"/>
                <w:b/>
                <w:bCs/>
                <w:color w:val="000000"/>
                <w:sz w:val="14"/>
                <w:szCs w:val="14"/>
              </w:rPr>
              <w:t>]</w:t>
            </w:r>
            <w:r w:rsidRPr="00EC4EC4">
              <w:rPr>
                <w:rFonts w:eastAsia="Times New Roman" w:cs="Times New Roman"/>
                <w:b/>
                <w:bCs/>
                <w:color w:val="000000"/>
                <w:sz w:val="14"/>
                <w:szCs w:val="14"/>
              </w:rPr>
              <w:br/>
            </w:r>
            <w:r w:rsidRPr="00EC4EC4">
              <w:rPr>
                <w:rFonts w:eastAsia="Times New Roman" w:cs="Times New Roman"/>
                <w:b/>
                <w:bCs/>
                <w:color w:val="000000"/>
                <w:sz w:val="14"/>
                <w:szCs w:val="14"/>
                <w:u w:val="single"/>
              </w:rPr>
              <w:t>hours</w:t>
            </w:r>
          </w:p>
        </w:tc>
        <w:tc>
          <w:tcPr>
            <w:tcW w:w="374" w:type="pct"/>
            <w:tcBorders>
              <w:top w:val="single" w:sz="2" w:space="0" w:color="auto"/>
              <w:left w:val="single" w:sz="2" w:space="0" w:color="auto"/>
              <w:bottom w:val="single" w:sz="2" w:space="0" w:color="auto"/>
              <w:right w:val="single" w:sz="2" w:space="0" w:color="auto"/>
            </w:tcBorders>
          </w:tcPr>
          <w:p w14:paraId="421A4595"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3</w:t>
            </w:r>
            <w:r w:rsidRPr="00EC4EC4">
              <w:rPr>
                <w:rFonts w:eastAsia="Times New Roman" w:cs="Times New Roman"/>
                <w:b/>
                <w:bCs/>
                <w:color w:val="000000"/>
                <w:sz w:val="14"/>
                <w:szCs w:val="14"/>
              </w:rPr>
              <w:br/>
              <w:t>[</w:t>
            </w:r>
            <w:r w:rsidRPr="00EC4EC4">
              <w:rPr>
                <w:rFonts w:eastAsia="Times New Roman" w:cs="Times New Roman"/>
                <w:b/>
                <w:bCs/>
                <w:strike/>
                <w:color w:val="000000"/>
                <w:sz w:val="14"/>
                <w:szCs w:val="14"/>
              </w:rPr>
              <w:t>hour</w:t>
            </w:r>
            <w:r w:rsidRPr="00EC4EC4">
              <w:rPr>
                <w:rFonts w:eastAsia="Times New Roman" w:cs="Times New Roman"/>
                <w:b/>
                <w:bCs/>
                <w:color w:val="000000"/>
                <w:sz w:val="14"/>
                <w:szCs w:val="14"/>
              </w:rPr>
              <w:t>]</w:t>
            </w:r>
            <w:r w:rsidRPr="00EC4EC4">
              <w:rPr>
                <w:rFonts w:eastAsia="Times New Roman" w:cs="Times New Roman"/>
                <w:b/>
                <w:bCs/>
                <w:color w:val="000000"/>
                <w:sz w:val="14"/>
                <w:szCs w:val="14"/>
              </w:rPr>
              <w:br/>
            </w:r>
            <w:r w:rsidRPr="00EC4EC4">
              <w:rPr>
                <w:rFonts w:eastAsia="Times New Roman" w:cs="Times New Roman"/>
                <w:b/>
                <w:bCs/>
                <w:color w:val="000000"/>
                <w:sz w:val="14"/>
                <w:szCs w:val="14"/>
                <w:u w:val="single"/>
              </w:rPr>
              <w:t>hours</w:t>
            </w:r>
          </w:p>
        </w:tc>
        <w:tc>
          <w:tcPr>
            <w:tcW w:w="414" w:type="pct"/>
            <w:tcBorders>
              <w:top w:val="single" w:sz="2" w:space="0" w:color="auto"/>
              <w:left w:val="single" w:sz="2" w:space="0" w:color="auto"/>
              <w:bottom w:val="single" w:sz="2" w:space="0" w:color="auto"/>
              <w:right w:val="single" w:sz="2" w:space="0" w:color="auto"/>
            </w:tcBorders>
          </w:tcPr>
          <w:p w14:paraId="04EC48DD"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2</w:t>
            </w:r>
            <w:r w:rsidRPr="00EC4EC4">
              <w:rPr>
                <w:rFonts w:eastAsia="Times New Roman" w:cs="Times New Roman"/>
                <w:b/>
                <w:bCs/>
                <w:color w:val="000000"/>
                <w:sz w:val="14"/>
                <w:szCs w:val="14"/>
              </w:rPr>
              <w:br/>
              <w:t>[</w:t>
            </w:r>
            <w:r w:rsidRPr="00EC4EC4">
              <w:rPr>
                <w:rFonts w:eastAsia="Times New Roman" w:cs="Times New Roman"/>
                <w:b/>
                <w:bCs/>
                <w:strike/>
                <w:color w:val="000000"/>
                <w:sz w:val="14"/>
                <w:szCs w:val="14"/>
              </w:rPr>
              <w:t>hour</w:t>
            </w:r>
            <w:r w:rsidRPr="00EC4EC4">
              <w:rPr>
                <w:rFonts w:eastAsia="Times New Roman" w:cs="Times New Roman"/>
                <w:b/>
                <w:bCs/>
                <w:color w:val="000000"/>
                <w:sz w:val="14"/>
                <w:szCs w:val="14"/>
              </w:rPr>
              <w:t>]</w:t>
            </w:r>
            <w:r w:rsidRPr="00EC4EC4">
              <w:rPr>
                <w:rFonts w:eastAsia="Times New Roman" w:cs="Times New Roman"/>
                <w:b/>
                <w:bCs/>
                <w:color w:val="000000"/>
                <w:sz w:val="14"/>
                <w:szCs w:val="14"/>
              </w:rPr>
              <w:br/>
            </w:r>
            <w:r w:rsidRPr="00EC4EC4">
              <w:rPr>
                <w:rFonts w:eastAsia="Times New Roman" w:cs="Times New Roman"/>
                <w:b/>
                <w:bCs/>
                <w:color w:val="000000"/>
                <w:sz w:val="14"/>
                <w:szCs w:val="14"/>
                <w:u w:val="single"/>
              </w:rPr>
              <w:t>hours</w:t>
            </w:r>
          </w:p>
        </w:tc>
        <w:tc>
          <w:tcPr>
            <w:tcW w:w="421" w:type="pct"/>
            <w:tcBorders>
              <w:top w:val="single" w:sz="2" w:space="0" w:color="auto"/>
              <w:left w:val="single" w:sz="2" w:space="0" w:color="auto"/>
              <w:bottom w:val="single" w:sz="2" w:space="0" w:color="auto"/>
              <w:right w:val="single" w:sz="2" w:space="0" w:color="auto"/>
            </w:tcBorders>
          </w:tcPr>
          <w:p w14:paraId="77B3F0B1"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1</w:t>
            </w:r>
            <w:r w:rsidRPr="00EC4EC4">
              <w:rPr>
                <w:rFonts w:eastAsia="Times New Roman" w:cs="Times New Roman"/>
                <w:b/>
                <w:bCs/>
                <w:color w:val="000000"/>
                <w:sz w:val="14"/>
                <w:szCs w:val="14"/>
              </w:rPr>
              <w:br/>
              <w:t>hour</w:t>
            </w:r>
          </w:p>
        </w:tc>
        <w:tc>
          <w:tcPr>
            <w:tcW w:w="205" w:type="pct"/>
            <w:tcBorders>
              <w:top w:val="single" w:sz="2" w:space="0" w:color="auto"/>
              <w:left w:val="single" w:sz="2" w:space="0" w:color="auto"/>
              <w:bottom w:val="single" w:sz="2" w:space="0" w:color="auto"/>
              <w:right w:val="single" w:sz="2" w:space="0" w:color="auto"/>
            </w:tcBorders>
          </w:tcPr>
          <w:p w14:paraId="4D25AF29"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4</w:t>
            </w:r>
            <w:r w:rsidRPr="00EC4EC4">
              <w:rPr>
                <w:rFonts w:eastAsia="Times New Roman" w:cs="Times New Roman"/>
                <w:b/>
                <w:bCs/>
                <w:color w:val="000000"/>
                <w:sz w:val="14"/>
                <w:szCs w:val="14"/>
              </w:rPr>
              <w:br/>
              <w:t>[</w:t>
            </w:r>
            <w:r w:rsidRPr="00EC4EC4">
              <w:rPr>
                <w:rFonts w:eastAsia="Times New Roman" w:cs="Times New Roman"/>
                <w:b/>
                <w:bCs/>
                <w:strike/>
                <w:color w:val="000000"/>
                <w:sz w:val="14"/>
                <w:szCs w:val="14"/>
              </w:rPr>
              <w:t>hour</w:t>
            </w:r>
            <w:r w:rsidRPr="00EC4EC4">
              <w:rPr>
                <w:rFonts w:eastAsia="Times New Roman" w:cs="Times New Roman"/>
                <w:b/>
                <w:bCs/>
                <w:color w:val="000000"/>
                <w:sz w:val="14"/>
                <w:szCs w:val="14"/>
              </w:rPr>
              <w:t>]</w:t>
            </w:r>
            <w:r w:rsidRPr="00EC4EC4">
              <w:rPr>
                <w:rFonts w:eastAsia="Times New Roman" w:cs="Times New Roman"/>
                <w:b/>
                <w:bCs/>
                <w:color w:val="000000"/>
                <w:sz w:val="14"/>
                <w:szCs w:val="14"/>
              </w:rPr>
              <w:br/>
            </w:r>
            <w:r w:rsidRPr="00EC4EC4">
              <w:rPr>
                <w:rFonts w:eastAsia="Times New Roman" w:cs="Times New Roman"/>
                <w:b/>
                <w:bCs/>
                <w:color w:val="000000"/>
                <w:sz w:val="14"/>
                <w:szCs w:val="14"/>
                <w:u w:val="single"/>
              </w:rPr>
              <w:t>hours</w:t>
            </w:r>
          </w:p>
        </w:tc>
        <w:tc>
          <w:tcPr>
            <w:tcW w:w="320" w:type="pct"/>
            <w:tcBorders>
              <w:top w:val="single" w:sz="2" w:space="0" w:color="auto"/>
              <w:left w:val="single" w:sz="2" w:space="0" w:color="auto"/>
              <w:bottom w:val="single" w:sz="2" w:space="0" w:color="auto"/>
              <w:right w:val="single" w:sz="2" w:space="0" w:color="auto"/>
            </w:tcBorders>
          </w:tcPr>
          <w:p w14:paraId="39BD9149"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3</w:t>
            </w:r>
            <w:r w:rsidRPr="00EC4EC4">
              <w:rPr>
                <w:rFonts w:eastAsia="Times New Roman" w:cs="Times New Roman"/>
                <w:b/>
                <w:bCs/>
                <w:color w:val="000000"/>
                <w:sz w:val="14"/>
                <w:szCs w:val="14"/>
              </w:rPr>
              <w:br/>
              <w:t>[</w:t>
            </w:r>
            <w:r w:rsidRPr="00EC4EC4">
              <w:rPr>
                <w:rFonts w:eastAsia="Times New Roman" w:cs="Times New Roman"/>
                <w:b/>
                <w:bCs/>
                <w:strike/>
                <w:color w:val="000000"/>
                <w:sz w:val="14"/>
                <w:szCs w:val="14"/>
              </w:rPr>
              <w:t>hour</w:t>
            </w:r>
            <w:r w:rsidRPr="00EC4EC4">
              <w:rPr>
                <w:rFonts w:eastAsia="Times New Roman" w:cs="Times New Roman"/>
                <w:b/>
                <w:bCs/>
                <w:color w:val="000000"/>
                <w:sz w:val="14"/>
                <w:szCs w:val="14"/>
              </w:rPr>
              <w:t>]</w:t>
            </w:r>
            <w:r w:rsidRPr="00EC4EC4">
              <w:rPr>
                <w:rFonts w:eastAsia="Times New Roman" w:cs="Times New Roman"/>
                <w:b/>
                <w:bCs/>
                <w:color w:val="000000"/>
                <w:sz w:val="14"/>
                <w:szCs w:val="14"/>
              </w:rPr>
              <w:br/>
            </w:r>
            <w:r w:rsidRPr="00EC4EC4">
              <w:rPr>
                <w:rFonts w:eastAsia="Times New Roman" w:cs="Times New Roman"/>
                <w:b/>
                <w:bCs/>
                <w:color w:val="000000"/>
                <w:sz w:val="14"/>
                <w:szCs w:val="14"/>
                <w:u w:val="single"/>
              </w:rPr>
              <w:t>hours</w:t>
            </w:r>
          </w:p>
        </w:tc>
        <w:tc>
          <w:tcPr>
            <w:tcW w:w="346" w:type="pct"/>
            <w:tcBorders>
              <w:top w:val="single" w:sz="2" w:space="0" w:color="auto"/>
              <w:left w:val="single" w:sz="2" w:space="0" w:color="auto"/>
              <w:bottom w:val="single" w:sz="2" w:space="0" w:color="auto"/>
              <w:right w:val="single" w:sz="2" w:space="0" w:color="auto"/>
            </w:tcBorders>
          </w:tcPr>
          <w:p w14:paraId="387B6BBF"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2</w:t>
            </w:r>
            <w:r w:rsidRPr="00EC4EC4">
              <w:rPr>
                <w:rFonts w:eastAsia="Times New Roman" w:cs="Times New Roman"/>
                <w:b/>
                <w:bCs/>
                <w:color w:val="000000"/>
                <w:sz w:val="14"/>
                <w:szCs w:val="14"/>
              </w:rPr>
              <w:br/>
              <w:t>[</w:t>
            </w:r>
            <w:r w:rsidRPr="00EC4EC4">
              <w:rPr>
                <w:rFonts w:eastAsia="Times New Roman" w:cs="Times New Roman"/>
                <w:b/>
                <w:bCs/>
                <w:strike/>
                <w:color w:val="000000"/>
                <w:sz w:val="14"/>
                <w:szCs w:val="14"/>
              </w:rPr>
              <w:t>hour</w:t>
            </w:r>
            <w:r w:rsidRPr="00EC4EC4">
              <w:rPr>
                <w:rFonts w:eastAsia="Times New Roman" w:cs="Times New Roman"/>
                <w:b/>
                <w:bCs/>
                <w:color w:val="000000"/>
                <w:sz w:val="14"/>
                <w:szCs w:val="14"/>
              </w:rPr>
              <w:t>]</w:t>
            </w:r>
            <w:r w:rsidRPr="00EC4EC4">
              <w:rPr>
                <w:rFonts w:eastAsia="Times New Roman" w:cs="Times New Roman"/>
                <w:b/>
                <w:bCs/>
                <w:color w:val="000000"/>
                <w:sz w:val="14"/>
                <w:szCs w:val="14"/>
              </w:rPr>
              <w:br/>
            </w:r>
            <w:r w:rsidRPr="00EC4EC4">
              <w:rPr>
                <w:rFonts w:eastAsia="Times New Roman" w:cs="Times New Roman"/>
                <w:b/>
                <w:bCs/>
                <w:color w:val="000000"/>
                <w:sz w:val="14"/>
                <w:szCs w:val="14"/>
                <w:u w:val="single"/>
              </w:rPr>
              <w:t>hours</w:t>
            </w:r>
          </w:p>
        </w:tc>
        <w:tc>
          <w:tcPr>
            <w:tcW w:w="342" w:type="pct"/>
            <w:gridSpan w:val="2"/>
            <w:tcBorders>
              <w:top w:val="single" w:sz="2" w:space="0" w:color="auto"/>
              <w:left w:val="single" w:sz="2" w:space="0" w:color="auto"/>
              <w:bottom w:val="single" w:sz="2" w:space="0" w:color="auto"/>
              <w:right w:val="single" w:sz="2" w:space="0" w:color="auto"/>
            </w:tcBorders>
          </w:tcPr>
          <w:p w14:paraId="71E14A23"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1</w:t>
            </w:r>
            <w:r w:rsidRPr="00EC4EC4">
              <w:rPr>
                <w:rFonts w:eastAsia="Times New Roman" w:cs="Times New Roman"/>
                <w:b/>
                <w:bCs/>
                <w:color w:val="000000"/>
                <w:sz w:val="14"/>
                <w:szCs w:val="14"/>
              </w:rPr>
              <w:br/>
              <w:t>hour</w:t>
            </w:r>
          </w:p>
        </w:tc>
      </w:tr>
      <w:tr w:rsidR="00140B7C" w:rsidRPr="00EC4EC4" w14:paraId="34250813" w14:textId="77777777" w:rsidTr="00BC1087">
        <w:trPr>
          <w:trHeight w:hRule="exact" w:val="4910"/>
          <w:jc w:val="center"/>
        </w:trPr>
        <w:tc>
          <w:tcPr>
            <w:tcW w:w="878" w:type="pct"/>
            <w:tcBorders>
              <w:top w:val="single" w:sz="2" w:space="0" w:color="auto"/>
              <w:left w:val="single" w:sz="2" w:space="0" w:color="auto"/>
              <w:bottom w:val="single" w:sz="4" w:space="0" w:color="auto"/>
              <w:right w:val="single" w:sz="2" w:space="0" w:color="auto"/>
            </w:tcBorders>
            <w:vAlign w:val="center"/>
          </w:tcPr>
          <w:p w14:paraId="1775E11F" w14:textId="77777777" w:rsidR="00140B7C" w:rsidRPr="00EC4EC4" w:rsidRDefault="00140B7C" w:rsidP="00BC1087">
            <w:pPr>
              <w:tabs>
                <w:tab w:val="left" w:pos="-1721"/>
              </w:tabs>
              <w:spacing w:after="0" w:line="240" w:lineRule="auto"/>
              <w:ind w:left="101" w:right="158"/>
              <w:rPr>
                <w:rFonts w:eastAsia="Times New Roman" w:cs="Times New Roman"/>
                <w:color w:val="000000"/>
                <w:sz w:val="12"/>
                <w:szCs w:val="12"/>
              </w:rPr>
            </w:pPr>
            <w:r w:rsidRPr="00EC4EC4">
              <w:rPr>
                <w:rFonts w:eastAsia="Times New Roman" w:cs="Times New Roman"/>
                <w:color w:val="000000"/>
                <w:sz w:val="17"/>
                <w:szCs w:val="17"/>
              </w:rPr>
              <w:t>12. 1</w:t>
            </w: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sz w:val="12"/>
                <w:szCs w:val="12"/>
              </w:rPr>
              <w:t>2</w:t>
            </w:r>
            <w:r w:rsidRPr="00EC4EC4">
              <w:rPr>
                <w:rFonts w:eastAsia="Times New Roman" w:cs="Times New Roman"/>
                <w:color w:val="000000"/>
                <w:spacing w:val="4"/>
                <w:sz w:val="17"/>
                <w:szCs w:val="17"/>
              </w:rPr>
              <w:t xml:space="preserve">″ </w:t>
            </w:r>
            <w:r w:rsidRPr="00EC4EC4">
              <w:rPr>
                <w:rFonts w:eastAsia="Times New Roman" w:cs="Times New Roman"/>
                <w:color w:val="000000"/>
                <w:sz w:val="6"/>
                <w:szCs w:val="6"/>
              </w:rPr>
              <w:t xml:space="preserve"> </w:t>
            </w:r>
            <w:r w:rsidRPr="00EC4EC4">
              <w:rPr>
                <w:rFonts w:eastAsia="Times New Roman" w:cs="Times New Roman"/>
                <w:color w:val="000000"/>
                <w:sz w:val="17"/>
                <w:szCs w:val="17"/>
              </w:rPr>
              <w:t xml:space="preserve">deep steel roof deck on steel-framing insulation of rigid board consisting of expanded perlite and fibers impregnated with integral asphalt waterproofing; density 9 to 12 pcf secured to metal roof deck by </w:t>
            </w: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sz w:val="12"/>
                <w:szCs w:val="12"/>
              </w:rPr>
              <w:t>2</w:t>
            </w:r>
            <w:r w:rsidRPr="00EC4EC4">
              <w:rPr>
                <w:rFonts w:eastAsia="Times New Roman" w:cs="Times New Roman"/>
                <w:color w:val="000000"/>
                <w:spacing w:val="4"/>
                <w:sz w:val="17"/>
                <w:szCs w:val="17"/>
              </w:rPr>
              <w:t>″</w:t>
            </w:r>
            <w:r w:rsidRPr="00EC4EC4">
              <w:rPr>
                <w:rFonts w:eastAsia="Times New Roman" w:cs="Times New Roman"/>
                <w:color w:val="000000"/>
                <w:sz w:val="6"/>
                <w:szCs w:val="6"/>
              </w:rPr>
              <w:t xml:space="preserve"> </w:t>
            </w:r>
            <w:r w:rsidRPr="00EC4EC4">
              <w:rPr>
                <w:rFonts w:eastAsia="Times New Roman" w:cs="Times New Roman"/>
                <w:color w:val="000000"/>
                <w:sz w:val="17"/>
                <w:szCs w:val="17"/>
              </w:rPr>
              <w:t>wide ribbons of waterproof, cold-process liquid</w:t>
            </w:r>
            <w:r w:rsidRPr="00EC4EC4">
              <w:rPr>
                <w:rFonts w:eastAsia="Times New Roman" w:cs="Times New Roman"/>
                <w:color w:val="000000"/>
                <w:sz w:val="17"/>
                <w:szCs w:val="17"/>
                <w:vertAlign w:val="superscript"/>
              </w:rPr>
              <w:t xml:space="preserve"> </w:t>
            </w:r>
            <w:r w:rsidRPr="00EC4EC4">
              <w:rPr>
                <w:rFonts w:eastAsia="Times New Roman" w:cs="Times New Roman"/>
                <w:color w:val="000000"/>
                <w:sz w:val="17"/>
                <w:szCs w:val="17"/>
              </w:rPr>
              <w:t>adhesive spaced  [6</w:t>
            </w:r>
            <w:r w:rsidRPr="00EC4EC4">
              <w:rPr>
                <w:rFonts w:eastAsia="Times New Roman" w:cs="Times New Roman"/>
                <w:color w:val="000000"/>
                <w:sz w:val="6"/>
                <w:szCs w:val="6"/>
              </w:rPr>
              <w:t>″</w:t>
            </w:r>
            <w:r w:rsidRPr="00EC4EC4">
              <w:rPr>
                <w:rFonts w:eastAsia="Times New Roman" w:cs="Times New Roman"/>
                <w:color w:val="000000"/>
                <w:sz w:val="17"/>
                <w:szCs w:val="17"/>
              </w:rPr>
              <w:t>]</w:t>
            </w:r>
            <w:r w:rsidRPr="00EC4EC4">
              <w:rPr>
                <w:rFonts w:eastAsia="Times New Roman" w:cs="Times New Roman"/>
                <w:color w:val="000000"/>
                <w:sz w:val="17"/>
                <w:szCs w:val="17"/>
                <w:u w:val="single"/>
              </w:rPr>
              <w:t>6”</w:t>
            </w:r>
            <w:r w:rsidRPr="00EC4EC4">
              <w:rPr>
                <w:rFonts w:eastAsia="Times New Roman" w:cs="Times New Roman"/>
                <w:color w:val="000000"/>
                <w:sz w:val="17"/>
                <w:szCs w:val="17"/>
              </w:rPr>
              <w:t xml:space="preserve"> apart. Steel joist or light steel construction with metal roof deck, insulation, and Class A or B built-up roof covering.</w:t>
            </w:r>
            <w:r w:rsidRPr="00EC4EC4">
              <w:rPr>
                <w:rFonts w:eastAsia="Times New Roman" w:cs="Times New Roman"/>
                <w:color w:val="000000"/>
                <w:sz w:val="17"/>
                <w:szCs w:val="17"/>
                <w:vertAlign w:val="superscript"/>
              </w:rPr>
              <w:t>e</w:t>
            </w:r>
          </w:p>
        </w:tc>
        <w:tc>
          <w:tcPr>
            <w:tcW w:w="340" w:type="pct"/>
            <w:tcBorders>
              <w:top w:val="single" w:sz="2" w:space="0" w:color="auto"/>
              <w:left w:val="single" w:sz="2" w:space="0" w:color="auto"/>
              <w:bottom w:val="single" w:sz="2" w:space="0" w:color="auto"/>
              <w:right w:val="single" w:sz="2" w:space="0" w:color="auto"/>
            </w:tcBorders>
            <w:vAlign w:val="center"/>
          </w:tcPr>
          <w:p w14:paraId="204A1E6E" w14:textId="77777777" w:rsidR="00140B7C" w:rsidRPr="00EC4EC4" w:rsidRDefault="00140B7C" w:rsidP="00BC1087">
            <w:pPr>
              <w:tabs>
                <w:tab w:val="decimal" w:pos="-4039"/>
              </w:tabs>
              <w:spacing w:after="0" w:line="240" w:lineRule="auto"/>
              <w:jc w:val="center"/>
              <w:rPr>
                <w:rFonts w:eastAsia="Times New Roman" w:cs="Times New Roman"/>
                <w:color w:val="000000"/>
                <w:sz w:val="17"/>
                <w:szCs w:val="17"/>
              </w:rPr>
            </w:pPr>
            <w:r w:rsidRPr="00EC4EC4">
              <w:rPr>
                <w:rFonts w:eastAsia="Times New Roman" w:cs="Times New Roman"/>
                <w:color w:val="000000"/>
                <w:sz w:val="17"/>
                <w:szCs w:val="17"/>
              </w:rPr>
              <w:t>12-1.1</w:t>
            </w:r>
          </w:p>
        </w:tc>
        <w:tc>
          <w:tcPr>
            <w:tcW w:w="1128" w:type="pct"/>
            <w:tcBorders>
              <w:top w:val="single" w:sz="2" w:space="0" w:color="auto"/>
              <w:left w:val="single" w:sz="2" w:space="0" w:color="auto"/>
              <w:bottom w:val="single" w:sz="2" w:space="0" w:color="auto"/>
              <w:right w:val="single" w:sz="2" w:space="0" w:color="auto"/>
            </w:tcBorders>
            <w:vAlign w:val="center"/>
          </w:tcPr>
          <w:p w14:paraId="567E3654" w14:textId="77777777" w:rsidR="00140B7C" w:rsidRPr="00EC4EC4" w:rsidRDefault="00140B7C" w:rsidP="00BC1087">
            <w:pPr>
              <w:spacing w:after="0" w:line="240" w:lineRule="auto"/>
              <w:ind w:left="90" w:right="109"/>
              <w:rPr>
                <w:rFonts w:eastAsia="Times New Roman" w:cs="Times New Roman"/>
                <w:color w:val="000000"/>
                <w:spacing w:val="2"/>
                <w:sz w:val="17"/>
                <w:szCs w:val="17"/>
              </w:rPr>
            </w:pPr>
            <w:r w:rsidRPr="00EC4EC4">
              <w:rPr>
                <w:rFonts w:eastAsia="Times New Roman" w:cs="Times New Roman"/>
                <w:color w:val="000000"/>
                <w:spacing w:val="4"/>
                <w:sz w:val="17"/>
                <w:szCs w:val="17"/>
              </w:rPr>
              <w:t xml:space="preserve">Gypsum-vermiculite plaster on metal lath wire tied </w:t>
            </w:r>
            <w:r w:rsidRPr="00EC4EC4">
              <w:rPr>
                <w:rFonts w:eastAsia="Times New Roman" w:cs="Times New Roman"/>
                <w:color w:val="000000"/>
                <w:spacing w:val="8"/>
                <w:sz w:val="17"/>
                <w:szCs w:val="17"/>
              </w:rPr>
              <w:t>at 6</w:t>
            </w:r>
            <w:r w:rsidRPr="00EC4EC4">
              <w:rPr>
                <w:rFonts w:eastAsia="Times New Roman" w:cs="Times New Roman"/>
                <w:color w:val="000000"/>
                <w:spacing w:val="4"/>
                <w:sz w:val="17"/>
                <w:szCs w:val="17"/>
              </w:rPr>
              <w:t>″</w:t>
            </w:r>
            <w:r w:rsidRPr="00EC4EC4">
              <w:rPr>
                <w:rFonts w:eastAsia="Times New Roman" w:cs="Times New Roman"/>
                <w:color w:val="000000"/>
                <w:spacing w:val="8"/>
                <w:sz w:val="6"/>
                <w:szCs w:val="6"/>
              </w:rPr>
              <w:t xml:space="preserve"> </w:t>
            </w:r>
            <w:r w:rsidRPr="00EC4EC4">
              <w:rPr>
                <w:rFonts w:eastAsia="Times New Roman" w:cs="Times New Roman"/>
                <w:color w:val="000000"/>
                <w:spacing w:val="8"/>
                <w:sz w:val="17"/>
                <w:szCs w:val="17"/>
              </w:rPr>
              <w:t xml:space="preserve">intervals to </w:t>
            </w:r>
            <w:r w:rsidRPr="00EC4EC4">
              <w:rPr>
                <w:rFonts w:eastAsia="Times New Roman" w:cs="Times New Roman"/>
                <w:color w:val="000000"/>
                <w:sz w:val="17"/>
                <w:szCs w:val="17"/>
                <w:vertAlign w:val="superscript"/>
              </w:rPr>
              <w:t>3</w:t>
            </w:r>
            <w:r w:rsidRPr="00EC4EC4">
              <w:rPr>
                <w:rFonts w:eastAsia="Times New Roman" w:cs="Times New Roman"/>
                <w:color w:val="000000"/>
                <w:sz w:val="17"/>
                <w:szCs w:val="17"/>
              </w:rPr>
              <w:t>/</w:t>
            </w:r>
            <w:r w:rsidRPr="00EC4EC4">
              <w:rPr>
                <w:rFonts w:eastAsia="Times New Roman" w:cs="Times New Roman"/>
                <w:color w:val="000000"/>
                <w:w w:val="115"/>
                <w:sz w:val="12"/>
                <w:szCs w:val="12"/>
              </w:rPr>
              <w:t>4</w:t>
            </w:r>
            <w:r w:rsidRPr="00EC4EC4">
              <w:rPr>
                <w:rFonts w:eastAsia="Times New Roman" w:cs="Times New Roman"/>
                <w:color w:val="000000"/>
                <w:spacing w:val="4"/>
                <w:sz w:val="17"/>
                <w:szCs w:val="17"/>
              </w:rPr>
              <w:t xml:space="preserve">″ </w:t>
            </w:r>
            <w:r w:rsidRPr="00EC4EC4">
              <w:rPr>
                <w:rFonts w:eastAsia="Times New Roman" w:cs="Times New Roman"/>
                <w:color w:val="000000"/>
                <w:spacing w:val="8"/>
                <w:sz w:val="17"/>
                <w:szCs w:val="17"/>
              </w:rPr>
              <w:t>furring channels spaced 12</w:t>
            </w:r>
            <w:r w:rsidRPr="00EC4EC4">
              <w:rPr>
                <w:rFonts w:eastAsia="Times New Roman" w:cs="Times New Roman"/>
                <w:color w:val="000000"/>
                <w:spacing w:val="4"/>
                <w:sz w:val="17"/>
                <w:szCs w:val="17"/>
              </w:rPr>
              <w:t>″</w:t>
            </w:r>
            <w:r w:rsidRPr="00EC4EC4">
              <w:rPr>
                <w:rFonts w:eastAsia="Times New Roman" w:cs="Times New Roman"/>
                <w:color w:val="000000"/>
                <w:spacing w:val="8"/>
                <w:sz w:val="6"/>
                <w:szCs w:val="6"/>
              </w:rPr>
              <w:t xml:space="preserve"> </w:t>
            </w:r>
            <w:r w:rsidRPr="00EC4EC4">
              <w:rPr>
                <w:rFonts w:eastAsia="Times New Roman" w:cs="Times New Roman"/>
                <w:color w:val="000000"/>
                <w:spacing w:val="8"/>
                <w:sz w:val="17"/>
                <w:szCs w:val="17"/>
              </w:rPr>
              <w:t xml:space="preserve">on </w:t>
            </w:r>
            <w:r w:rsidRPr="00EC4EC4">
              <w:rPr>
                <w:rFonts w:eastAsia="Times New Roman" w:cs="Times New Roman"/>
                <w:color w:val="000000"/>
                <w:spacing w:val="5"/>
                <w:sz w:val="17"/>
                <w:szCs w:val="17"/>
              </w:rPr>
              <w:t>center and wire tied to 2″ runner channels spaced 32</w:t>
            </w:r>
            <w:r w:rsidRPr="00EC4EC4">
              <w:rPr>
                <w:rFonts w:eastAsia="Times New Roman" w:cs="Times New Roman"/>
                <w:color w:val="000000"/>
                <w:spacing w:val="4"/>
                <w:sz w:val="17"/>
                <w:szCs w:val="17"/>
              </w:rPr>
              <w:t>″</w:t>
            </w:r>
            <w:r w:rsidRPr="00EC4EC4">
              <w:rPr>
                <w:rFonts w:eastAsia="Times New Roman" w:cs="Times New Roman"/>
                <w:color w:val="000000"/>
                <w:spacing w:val="5"/>
                <w:sz w:val="6"/>
                <w:szCs w:val="6"/>
              </w:rPr>
              <w:t xml:space="preserve"> </w:t>
            </w:r>
            <w:r w:rsidRPr="00EC4EC4">
              <w:rPr>
                <w:rFonts w:eastAsia="Times New Roman" w:cs="Times New Roman"/>
                <w:color w:val="000000"/>
                <w:spacing w:val="5"/>
                <w:sz w:val="17"/>
                <w:szCs w:val="17"/>
              </w:rPr>
              <w:t xml:space="preserve">on center. Runners wire tied to bottom chord of </w:t>
            </w:r>
            <w:r w:rsidRPr="00EC4EC4">
              <w:rPr>
                <w:rFonts w:eastAsia="Times New Roman" w:cs="Times New Roman"/>
                <w:color w:val="000000"/>
                <w:spacing w:val="2"/>
                <w:sz w:val="17"/>
                <w:szCs w:val="17"/>
              </w:rPr>
              <w:t>steel joists.</w:t>
            </w:r>
          </w:p>
        </w:tc>
        <w:tc>
          <w:tcPr>
            <w:tcW w:w="232" w:type="pct"/>
            <w:tcBorders>
              <w:top w:val="single" w:sz="2" w:space="0" w:color="auto"/>
              <w:left w:val="single" w:sz="2" w:space="0" w:color="auto"/>
              <w:bottom w:val="single" w:sz="2" w:space="0" w:color="auto"/>
              <w:right w:val="single" w:sz="2" w:space="0" w:color="auto"/>
            </w:tcBorders>
            <w:vAlign w:val="center"/>
          </w:tcPr>
          <w:p w14:paraId="42F72296" w14:textId="77777777" w:rsidR="00140B7C" w:rsidRPr="00EC4EC4" w:rsidRDefault="00140B7C" w:rsidP="00BC1087">
            <w:pPr>
              <w:spacing w:after="0" w:line="240" w:lineRule="auto"/>
              <w:ind w:left="-8"/>
              <w:jc w:val="center"/>
              <w:rPr>
                <w:rFonts w:eastAsia="Times New Roman" w:cs="Times New Roman"/>
                <w:color w:val="000000"/>
                <w:sz w:val="17"/>
                <w:szCs w:val="17"/>
              </w:rPr>
            </w:pPr>
            <w:r w:rsidRPr="00EC4EC4">
              <w:rPr>
                <w:rFonts w:eastAsia="Times New Roman" w:cs="Times New Roman"/>
                <w:color w:val="000000"/>
                <w:sz w:val="17"/>
                <w:szCs w:val="17"/>
              </w:rPr>
              <w:t>—</w:t>
            </w:r>
          </w:p>
        </w:tc>
        <w:tc>
          <w:tcPr>
            <w:tcW w:w="374" w:type="pct"/>
            <w:tcBorders>
              <w:top w:val="single" w:sz="2" w:space="0" w:color="auto"/>
              <w:left w:val="single" w:sz="2" w:space="0" w:color="auto"/>
              <w:bottom w:val="single" w:sz="2" w:space="0" w:color="auto"/>
              <w:right w:val="single" w:sz="2" w:space="0" w:color="auto"/>
            </w:tcBorders>
            <w:vAlign w:val="center"/>
          </w:tcPr>
          <w:p w14:paraId="1DF6A7D1" w14:textId="77777777" w:rsidR="00140B7C" w:rsidRPr="00EC4EC4" w:rsidRDefault="00140B7C" w:rsidP="00BC1087">
            <w:pPr>
              <w:spacing w:after="0" w:line="240" w:lineRule="auto"/>
              <w:ind w:left="-8"/>
              <w:jc w:val="center"/>
              <w:rPr>
                <w:rFonts w:eastAsia="Times New Roman" w:cs="Times New Roman"/>
                <w:color w:val="000000"/>
                <w:sz w:val="17"/>
                <w:szCs w:val="17"/>
              </w:rPr>
            </w:pPr>
            <w:r w:rsidRPr="00EC4EC4">
              <w:rPr>
                <w:rFonts w:eastAsia="Times New Roman" w:cs="Times New Roman"/>
                <w:color w:val="000000"/>
                <w:sz w:val="17"/>
                <w:szCs w:val="17"/>
              </w:rPr>
              <w:t>—</w:t>
            </w:r>
          </w:p>
        </w:tc>
        <w:tc>
          <w:tcPr>
            <w:tcW w:w="414" w:type="pct"/>
            <w:tcBorders>
              <w:top w:val="single" w:sz="2" w:space="0" w:color="auto"/>
              <w:left w:val="single" w:sz="2" w:space="0" w:color="auto"/>
              <w:bottom w:val="single" w:sz="2" w:space="0" w:color="auto"/>
              <w:right w:val="single" w:sz="2" w:space="0" w:color="auto"/>
            </w:tcBorders>
            <w:vAlign w:val="center"/>
          </w:tcPr>
          <w:p w14:paraId="1A90AFCE" w14:textId="77777777" w:rsidR="00140B7C" w:rsidRPr="00EC4EC4" w:rsidRDefault="00140B7C" w:rsidP="00BC1087">
            <w:pPr>
              <w:spacing w:after="0" w:line="240" w:lineRule="auto"/>
              <w:ind w:left="-8"/>
              <w:jc w:val="center"/>
              <w:rPr>
                <w:rFonts w:eastAsia="Times New Roman" w:cs="Times New Roman"/>
                <w:color w:val="000000"/>
                <w:sz w:val="17"/>
                <w:szCs w:val="17"/>
              </w:rPr>
            </w:pPr>
            <w:r w:rsidRPr="00EC4EC4">
              <w:rPr>
                <w:rFonts w:eastAsia="Times New Roman" w:cs="Times New Roman"/>
                <w:color w:val="000000"/>
                <w:sz w:val="17"/>
                <w:szCs w:val="17"/>
              </w:rPr>
              <w:t>1</w:t>
            </w:r>
          </w:p>
        </w:tc>
        <w:tc>
          <w:tcPr>
            <w:tcW w:w="421" w:type="pct"/>
            <w:tcBorders>
              <w:top w:val="single" w:sz="2" w:space="0" w:color="auto"/>
              <w:left w:val="single" w:sz="2" w:space="0" w:color="auto"/>
              <w:bottom w:val="single" w:sz="2" w:space="0" w:color="auto"/>
              <w:right w:val="single" w:sz="2" w:space="0" w:color="auto"/>
            </w:tcBorders>
            <w:vAlign w:val="center"/>
          </w:tcPr>
          <w:p w14:paraId="3BB53220" w14:textId="77777777" w:rsidR="00140B7C" w:rsidRPr="00EC4EC4" w:rsidRDefault="00140B7C" w:rsidP="00BC1087">
            <w:pPr>
              <w:spacing w:after="0" w:line="240" w:lineRule="auto"/>
              <w:ind w:left="-8"/>
              <w:jc w:val="center"/>
              <w:rPr>
                <w:rFonts w:eastAsia="Times New Roman" w:cs="Times New Roman"/>
                <w:color w:val="000000"/>
                <w:sz w:val="17"/>
                <w:szCs w:val="17"/>
              </w:rPr>
            </w:pPr>
            <w:r w:rsidRPr="00EC4EC4">
              <w:rPr>
                <w:rFonts w:eastAsia="Times New Roman" w:cs="Times New Roman"/>
                <w:color w:val="000000"/>
                <w:sz w:val="17"/>
                <w:szCs w:val="17"/>
              </w:rPr>
              <w:t>—</w:t>
            </w:r>
          </w:p>
        </w:tc>
        <w:tc>
          <w:tcPr>
            <w:tcW w:w="205" w:type="pct"/>
            <w:tcBorders>
              <w:top w:val="single" w:sz="2" w:space="0" w:color="auto"/>
              <w:left w:val="single" w:sz="2" w:space="0" w:color="auto"/>
              <w:bottom w:val="single" w:sz="2" w:space="0" w:color="auto"/>
              <w:right w:val="single" w:sz="2" w:space="0" w:color="auto"/>
            </w:tcBorders>
            <w:vAlign w:val="center"/>
          </w:tcPr>
          <w:p w14:paraId="3150C99F" w14:textId="77777777" w:rsidR="00140B7C" w:rsidRPr="00EC4EC4" w:rsidRDefault="00140B7C" w:rsidP="00BC1087">
            <w:pPr>
              <w:spacing w:after="0" w:line="240" w:lineRule="auto"/>
              <w:ind w:left="-8"/>
              <w:jc w:val="center"/>
              <w:rPr>
                <w:rFonts w:eastAsia="Times New Roman" w:cs="Times New Roman"/>
                <w:color w:val="000000"/>
                <w:sz w:val="17"/>
                <w:szCs w:val="17"/>
              </w:rPr>
            </w:pPr>
            <w:r w:rsidRPr="00EC4EC4">
              <w:rPr>
                <w:rFonts w:eastAsia="Times New Roman" w:cs="Times New Roman"/>
                <w:color w:val="000000"/>
                <w:sz w:val="17"/>
                <w:szCs w:val="17"/>
              </w:rPr>
              <w:t>—</w:t>
            </w:r>
          </w:p>
        </w:tc>
        <w:tc>
          <w:tcPr>
            <w:tcW w:w="320" w:type="pct"/>
            <w:tcBorders>
              <w:top w:val="single" w:sz="2" w:space="0" w:color="auto"/>
              <w:left w:val="single" w:sz="2" w:space="0" w:color="auto"/>
              <w:bottom w:val="single" w:sz="2" w:space="0" w:color="auto"/>
              <w:right w:val="single" w:sz="2" w:space="0" w:color="auto"/>
            </w:tcBorders>
            <w:vAlign w:val="center"/>
          </w:tcPr>
          <w:p w14:paraId="0353A3FE" w14:textId="77777777" w:rsidR="00140B7C" w:rsidRPr="00EC4EC4" w:rsidRDefault="00140B7C" w:rsidP="00BC1087">
            <w:pPr>
              <w:spacing w:after="0" w:line="240" w:lineRule="auto"/>
              <w:ind w:left="-8"/>
              <w:jc w:val="center"/>
              <w:rPr>
                <w:rFonts w:eastAsia="Times New Roman" w:cs="Times New Roman"/>
                <w:color w:val="000000"/>
                <w:sz w:val="17"/>
                <w:szCs w:val="17"/>
              </w:rPr>
            </w:pPr>
            <w:r w:rsidRPr="00EC4EC4">
              <w:rPr>
                <w:rFonts w:eastAsia="Times New Roman" w:cs="Times New Roman"/>
                <w:color w:val="000000"/>
                <w:sz w:val="17"/>
                <w:szCs w:val="17"/>
              </w:rPr>
              <w:t>—</w:t>
            </w:r>
          </w:p>
        </w:tc>
        <w:tc>
          <w:tcPr>
            <w:tcW w:w="346" w:type="pct"/>
            <w:tcBorders>
              <w:top w:val="single" w:sz="2" w:space="0" w:color="auto"/>
              <w:left w:val="single" w:sz="2" w:space="0" w:color="auto"/>
              <w:bottom w:val="single" w:sz="2" w:space="0" w:color="auto"/>
              <w:right w:val="single" w:sz="2" w:space="0" w:color="auto"/>
            </w:tcBorders>
            <w:vAlign w:val="center"/>
          </w:tcPr>
          <w:p w14:paraId="3AC708D6" w14:textId="77777777" w:rsidR="00140B7C" w:rsidRPr="00EC4EC4" w:rsidRDefault="00140B7C" w:rsidP="00BC1087">
            <w:pPr>
              <w:spacing w:after="0" w:line="240" w:lineRule="auto"/>
              <w:ind w:left="-8"/>
              <w:jc w:val="center"/>
              <w:rPr>
                <w:rFonts w:eastAsia="Times New Roman" w:cs="Times New Roman"/>
                <w:color w:val="000000"/>
                <w:sz w:val="12"/>
                <w:szCs w:val="12"/>
              </w:rPr>
            </w:pPr>
            <w:r w:rsidRPr="00EC4EC4">
              <w:rPr>
                <w:rFonts w:eastAsia="Times New Roman" w:cs="Times New Roman"/>
                <w:color w:val="000000"/>
                <w:sz w:val="17"/>
                <w:szCs w:val="17"/>
                <w:vertAlign w:val="superscript"/>
              </w:rPr>
              <w:t>7</w:t>
            </w:r>
            <w:r w:rsidRPr="00EC4EC4">
              <w:rPr>
                <w:rFonts w:eastAsia="Times New Roman" w:cs="Times New Roman"/>
                <w:color w:val="000000"/>
                <w:sz w:val="17"/>
                <w:szCs w:val="17"/>
              </w:rPr>
              <w:t>/</w:t>
            </w:r>
            <w:r w:rsidRPr="00EC4EC4">
              <w:rPr>
                <w:rFonts w:eastAsia="Times New Roman" w:cs="Times New Roman"/>
                <w:color w:val="000000"/>
                <w:sz w:val="12"/>
                <w:szCs w:val="12"/>
              </w:rPr>
              <w:t>8</w:t>
            </w:r>
          </w:p>
        </w:tc>
        <w:tc>
          <w:tcPr>
            <w:tcW w:w="342" w:type="pct"/>
            <w:gridSpan w:val="2"/>
            <w:tcBorders>
              <w:top w:val="single" w:sz="2" w:space="0" w:color="auto"/>
              <w:left w:val="single" w:sz="2" w:space="0" w:color="auto"/>
              <w:bottom w:val="single" w:sz="2" w:space="0" w:color="auto"/>
              <w:right w:val="single" w:sz="2" w:space="0" w:color="auto"/>
            </w:tcBorders>
            <w:vAlign w:val="center"/>
          </w:tcPr>
          <w:p w14:paraId="00AAD11D" w14:textId="77777777" w:rsidR="00140B7C" w:rsidRPr="00EC4EC4" w:rsidRDefault="00140B7C" w:rsidP="00BC1087">
            <w:pPr>
              <w:spacing w:after="0" w:line="240" w:lineRule="auto"/>
              <w:ind w:left="-8"/>
              <w:jc w:val="center"/>
              <w:rPr>
                <w:rFonts w:eastAsia="Times New Roman" w:cs="Times New Roman"/>
                <w:color w:val="000000"/>
                <w:sz w:val="17"/>
                <w:szCs w:val="17"/>
              </w:rPr>
            </w:pPr>
            <w:r w:rsidRPr="00EC4EC4">
              <w:rPr>
                <w:rFonts w:eastAsia="Times New Roman" w:cs="Times New Roman"/>
                <w:color w:val="000000"/>
                <w:sz w:val="17"/>
                <w:szCs w:val="17"/>
              </w:rPr>
              <w:t>—</w:t>
            </w:r>
          </w:p>
        </w:tc>
      </w:tr>
      <w:tr w:rsidR="00140B7C" w:rsidRPr="00EC4EC4" w14:paraId="43D89D98" w14:textId="77777777" w:rsidTr="00BC1087">
        <w:trPr>
          <w:trHeight w:hRule="exact" w:val="6175"/>
          <w:jc w:val="center"/>
        </w:trPr>
        <w:tc>
          <w:tcPr>
            <w:tcW w:w="878" w:type="pct"/>
            <w:tcBorders>
              <w:top w:val="single" w:sz="4" w:space="0" w:color="auto"/>
              <w:left w:val="single" w:sz="4" w:space="0" w:color="auto"/>
              <w:bottom w:val="single" w:sz="4" w:space="0" w:color="auto"/>
              <w:right w:val="single" w:sz="4" w:space="0" w:color="auto"/>
            </w:tcBorders>
            <w:vAlign w:val="center"/>
          </w:tcPr>
          <w:p w14:paraId="0BB37FC6" w14:textId="77777777" w:rsidR="00140B7C" w:rsidRPr="00EC4EC4" w:rsidRDefault="00140B7C" w:rsidP="00BC1087">
            <w:pPr>
              <w:spacing w:after="0" w:line="240" w:lineRule="auto"/>
              <w:ind w:left="101" w:right="68"/>
              <w:jc w:val="both"/>
              <w:rPr>
                <w:rFonts w:eastAsia="Times New Roman" w:cs="Times New Roman"/>
                <w:color w:val="000000"/>
                <w:spacing w:val="-4"/>
                <w:sz w:val="12"/>
                <w:szCs w:val="12"/>
              </w:rPr>
            </w:pPr>
            <w:r w:rsidRPr="00EC4EC4">
              <w:rPr>
                <w:rFonts w:eastAsia="Times New Roman" w:cs="Times New Roman"/>
                <w:color w:val="000000"/>
                <w:spacing w:val="3"/>
                <w:sz w:val="17"/>
                <w:szCs w:val="17"/>
              </w:rPr>
              <w:lastRenderedPageBreak/>
              <w:t xml:space="preserve">13. Double wood floor over </w:t>
            </w:r>
            <w:r w:rsidRPr="00EC4EC4">
              <w:rPr>
                <w:rFonts w:eastAsia="Times New Roman" w:cs="Times New Roman"/>
                <w:color w:val="000000"/>
                <w:sz w:val="17"/>
                <w:szCs w:val="17"/>
              </w:rPr>
              <w:t>wood joists spaced [16</w:t>
            </w:r>
            <w:r w:rsidRPr="00EC4EC4">
              <w:rPr>
                <w:rFonts w:eastAsia="Times New Roman" w:cs="Times New Roman"/>
                <w:color w:val="000000"/>
                <w:sz w:val="6"/>
                <w:szCs w:val="6"/>
              </w:rPr>
              <w:t>″</w:t>
            </w:r>
            <w:r w:rsidRPr="00EC4EC4">
              <w:rPr>
                <w:rFonts w:eastAsia="Times New Roman" w:cs="Times New Roman"/>
                <w:color w:val="000000"/>
                <w:sz w:val="17"/>
                <w:szCs w:val="17"/>
              </w:rPr>
              <w:t>]</w:t>
            </w:r>
            <w:r w:rsidRPr="00EC4EC4">
              <w:rPr>
                <w:rFonts w:eastAsia="Times New Roman" w:cs="Times New Roman"/>
                <w:color w:val="000000"/>
                <w:sz w:val="6"/>
                <w:szCs w:val="6"/>
              </w:rPr>
              <w:t xml:space="preserve"> </w:t>
            </w:r>
            <w:r w:rsidRPr="00EC4EC4">
              <w:rPr>
                <w:rFonts w:eastAsia="Times New Roman" w:cs="Times New Roman"/>
                <w:color w:val="000000"/>
                <w:sz w:val="17"/>
                <w:szCs w:val="17"/>
                <w:u w:val="single"/>
              </w:rPr>
              <w:t>16”</w:t>
            </w:r>
            <w:r w:rsidRPr="00EC4EC4">
              <w:rPr>
                <w:rFonts w:eastAsia="Times New Roman" w:cs="Times New Roman"/>
                <w:color w:val="000000"/>
                <w:sz w:val="6"/>
                <w:szCs w:val="6"/>
              </w:rPr>
              <w:t xml:space="preserve"> </w:t>
            </w:r>
            <w:r w:rsidRPr="00EC4EC4">
              <w:rPr>
                <w:rFonts w:eastAsia="Times New Roman" w:cs="Times New Roman"/>
                <w:color w:val="000000"/>
                <w:sz w:val="17"/>
                <w:szCs w:val="17"/>
              </w:rPr>
              <w:t xml:space="preserve">on </w:t>
            </w:r>
            <w:r w:rsidRPr="00EC4EC4">
              <w:rPr>
                <w:rFonts w:eastAsia="Times New Roman" w:cs="Times New Roman"/>
                <w:color w:val="000000"/>
                <w:spacing w:val="-4"/>
                <w:sz w:val="17"/>
                <w:szCs w:val="17"/>
              </w:rPr>
              <w:t>center.</w:t>
            </w:r>
            <w:r w:rsidRPr="00EC4EC4">
              <w:rPr>
                <w:rFonts w:eastAsia="Times New Roman" w:cs="Times New Roman"/>
                <w:color w:val="000000"/>
                <w:spacing w:val="-4"/>
                <w:sz w:val="17"/>
                <w:szCs w:val="17"/>
                <w:vertAlign w:val="superscript"/>
              </w:rPr>
              <w:t>m,n</w:t>
            </w:r>
          </w:p>
        </w:tc>
        <w:tc>
          <w:tcPr>
            <w:tcW w:w="340" w:type="pct"/>
            <w:tcBorders>
              <w:top w:val="single" w:sz="2" w:space="0" w:color="auto"/>
              <w:left w:val="single" w:sz="4" w:space="0" w:color="auto"/>
              <w:bottom w:val="single" w:sz="2" w:space="0" w:color="auto"/>
              <w:right w:val="single" w:sz="2" w:space="0" w:color="auto"/>
            </w:tcBorders>
            <w:vAlign w:val="center"/>
          </w:tcPr>
          <w:p w14:paraId="003976C2" w14:textId="77777777" w:rsidR="00140B7C" w:rsidRPr="00EC4EC4" w:rsidRDefault="00140B7C" w:rsidP="00BC1087">
            <w:pPr>
              <w:tabs>
                <w:tab w:val="decimal" w:pos="-4039"/>
              </w:tabs>
              <w:spacing w:after="0" w:line="240" w:lineRule="auto"/>
              <w:jc w:val="center"/>
              <w:rPr>
                <w:rFonts w:eastAsia="Times New Roman" w:cs="Times New Roman"/>
                <w:color w:val="000000"/>
                <w:sz w:val="17"/>
                <w:szCs w:val="17"/>
              </w:rPr>
            </w:pPr>
            <w:r w:rsidRPr="00EC4EC4">
              <w:rPr>
                <w:rFonts w:eastAsia="Times New Roman" w:cs="Times New Roman"/>
                <w:color w:val="000000"/>
                <w:sz w:val="17"/>
                <w:szCs w:val="17"/>
              </w:rPr>
              <w:t>13-1.1</w:t>
            </w:r>
          </w:p>
        </w:tc>
        <w:tc>
          <w:tcPr>
            <w:tcW w:w="1128" w:type="pct"/>
            <w:tcBorders>
              <w:top w:val="single" w:sz="2" w:space="0" w:color="auto"/>
              <w:left w:val="single" w:sz="2" w:space="0" w:color="auto"/>
              <w:bottom w:val="single" w:sz="2" w:space="0" w:color="auto"/>
              <w:right w:val="single" w:sz="2" w:space="0" w:color="auto"/>
            </w:tcBorders>
            <w:vAlign w:val="center"/>
          </w:tcPr>
          <w:p w14:paraId="378DA590" w14:textId="77777777" w:rsidR="00140B7C" w:rsidRPr="00EC4EC4" w:rsidRDefault="00140B7C" w:rsidP="00BC1087">
            <w:pPr>
              <w:spacing w:after="0" w:line="240" w:lineRule="auto"/>
              <w:ind w:left="90" w:right="109"/>
              <w:rPr>
                <w:rFonts w:eastAsia="Times New Roman" w:cs="Times New Roman"/>
                <w:color w:val="000000"/>
                <w:spacing w:val="4"/>
                <w:sz w:val="17"/>
                <w:szCs w:val="17"/>
              </w:rPr>
            </w:pPr>
            <w:r w:rsidRPr="00EC4EC4">
              <w:rPr>
                <w:rFonts w:eastAsia="Times New Roman" w:cs="Times New Roman"/>
                <w:color w:val="000000"/>
                <w:sz w:val="17"/>
                <w:szCs w:val="17"/>
              </w:rPr>
              <w:t xml:space="preserve">Gypsum plaster over </w:t>
            </w:r>
            <w:r w:rsidRPr="00EC4EC4">
              <w:rPr>
                <w:rFonts w:eastAsia="Times New Roman" w:cs="Times New Roman"/>
                <w:color w:val="000000"/>
                <w:sz w:val="17"/>
                <w:szCs w:val="17"/>
                <w:vertAlign w:val="superscript"/>
              </w:rPr>
              <w:t>3</w:t>
            </w:r>
            <w:r w:rsidRPr="00EC4EC4">
              <w:rPr>
                <w:rFonts w:eastAsia="Times New Roman" w:cs="Times New Roman"/>
                <w:color w:val="000000"/>
                <w:sz w:val="17"/>
                <w:szCs w:val="17"/>
              </w:rPr>
              <w:t>/</w:t>
            </w:r>
            <w:r w:rsidRPr="00EC4EC4">
              <w:rPr>
                <w:rFonts w:eastAsia="Times New Roman" w:cs="Times New Roman"/>
                <w:color w:val="000000"/>
                <w:w w:val="115"/>
                <w:sz w:val="12"/>
                <w:szCs w:val="12"/>
              </w:rPr>
              <w:t>8</w:t>
            </w:r>
            <w:r w:rsidRPr="00EC4EC4">
              <w:rPr>
                <w:rFonts w:eastAsia="Times New Roman" w:cs="Times New Roman"/>
                <w:color w:val="000000"/>
                <w:spacing w:val="4"/>
                <w:sz w:val="17"/>
                <w:szCs w:val="17"/>
              </w:rPr>
              <w:t xml:space="preserve">″ </w:t>
            </w:r>
            <w:r w:rsidRPr="00EC4EC4">
              <w:rPr>
                <w:rFonts w:eastAsia="Times New Roman" w:cs="Times New Roman"/>
                <w:color w:val="000000"/>
                <w:sz w:val="17"/>
                <w:szCs w:val="17"/>
              </w:rPr>
              <w:t>Type X gypsum lath. Lath initially applied with not less than four 1</w:t>
            </w: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w w:val="115"/>
                <w:sz w:val="12"/>
                <w:szCs w:val="12"/>
              </w:rPr>
              <w:t>8</w:t>
            </w:r>
            <w:r w:rsidRPr="00EC4EC4">
              <w:rPr>
                <w:rFonts w:eastAsia="Times New Roman" w:cs="Times New Roman"/>
                <w:color w:val="000000"/>
                <w:spacing w:val="4"/>
                <w:sz w:val="17"/>
                <w:szCs w:val="17"/>
              </w:rPr>
              <w:t xml:space="preserve">″ </w:t>
            </w:r>
            <w:r w:rsidRPr="00EC4EC4">
              <w:rPr>
                <w:rFonts w:eastAsia="Times New Roman" w:cs="Times New Roman"/>
                <w:color w:val="000000"/>
                <w:sz w:val="6"/>
                <w:szCs w:val="6"/>
              </w:rPr>
              <w:t xml:space="preserve"> </w:t>
            </w:r>
            <w:r w:rsidRPr="00EC4EC4">
              <w:rPr>
                <w:rFonts w:eastAsia="Times New Roman" w:cs="Times New Roman"/>
                <w:color w:val="000000"/>
                <w:sz w:val="17"/>
                <w:szCs w:val="17"/>
              </w:rPr>
              <w:t xml:space="preserve">by No. 13 gage by </w:t>
            </w:r>
            <w:r w:rsidRPr="00EC4EC4">
              <w:rPr>
                <w:rFonts w:eastAsia="Times New Roman" w:cs="Times New Roman"/>
                <w:color w:val="000000"/>
                <w:sz w:val="17"/>
                <w:szCs w:val="17"/>
                <w:vertAlign w:val="superscript"/>
              </w:rPr>
              <w:t>19</w:t>
            </w:r>
            <w:r w:rsidRPr="00EC4EC4">
              <w:rPr>
                <w:rFonts w:eastAsia="Times New Roman" w:cs="Times New Roman"/>
                <w:color w:val="000000"/>
                <w:sz w:val="17"/>
                <w:szCs w:val="17"/>
              </w:rPr>
              <w:t>/</w:t>
            </w:r>
            <w:r w:rsidRPr="00EC4EC4">
              <w:rPr>
                <w:rFonts w:eastAsia="Times New Roman" w:cs="Times New Roman"/>
                <w:color w:val="000000"/>
                <w:sz w:val="12"/>
                <w:szCs w:val="12"/>
              </w:rPr>
              <w:t>64</w:t>
            </w:r>
            <w:r w:rsidRPr="00EC4EC4">
              <w:rPr>
                <w:rFonts w:eastAsia="Times New Roman" w:cs="Times New Roman"/>
                <w:color w:val="000000"/>
                <w:spacing w:val="4"/>
                <w:sz w:val="17"/>
                <w:szCs w:val="17"/>
              </w:rPr>
              <w:t xml:space="preserve">″ </w:t>
            </w:r>
            <w:r w:rsidRPr="00EC4EC4">
              <w:rPr>
                <w:rFonts w:eastAsia="Times New Roman" w:cs="Times New Roman"/>
                <w:color w:val="000000"/>
                <w:sz w:val="17"/>
                <w:szCs w:val="17"/>
              </w:rPr>
              <w:t>head plasterboard blued nails per bearing. Continuous stripping over lath along all joist lines. Stripping consists of 3</w:t>
            </w:r>
            <w:r w:rsidRPr="00EC4EC4">
              <w:rPr>
                <w:rFonts w:eastAsia="Times New Roman" w:cs="Times New Roman"/>
                <w:color w:val="000000"/>
                <w:spacing w:val="4"/>
                <w:sz w:val="17"/>
                <w:szCs w:val="17"/>
              </w:rPr>
              <w:t>″</w:t>
            </w:r>
            <w:r w:rsidRPr="00EC4EC4">
              <w:rPr>
                <w:rFonts w:eastAsia="Times New Roman" w:cs="Times New Roman"/>
                <w:color w:val="000000"/>
                <w:sz w:val="14"/>
                <w:szCs w:val="6"/>
              </w:rPr>
              <w:t xml:space="preserve"> </w:t>
            </w:r>
            <w:r w:rsidRPr="00EC4EC4">
              <w:rPr>
                <w:rFonts w:eastAsia="Times New Roman" w:cs="Times New Roman"/>
                <w:color w:val="000000"/>
                <w:sz w:val="17"/>
                <w:szCs w:val="17"/>
              </w:rPr>
              <w:t>wide strips of metal lath attached by 1</w:t>
            </w: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sz w:val="12"/>
                <w:szCs w:val="12"/>
              </w:rPr>
              <w:t>2</w:t>
            </w:r>
            <w:r w:rsidRPr="00EC4EC4">
              <w:rPr>
                <w:rFonts w:eastAsia="Times New Roman" w:cs="Times New Roman"/>
                <w:color w:val="000000"/>
                <w:spacing w:val="4"/>
                <w:sz w:val="17"/>
                <w:szCs w:val="17"/>
              </w:rPr>
              <w:t xml:space="preserve">″ </w:t>
            </w:r>
            <w:r w:rsidRPr="00EC4EC4">
              <w:rPr>
                <w:rFonts w:eastAsia="Times New Roman" w:cs="Times New Roman"/>
                <w:color w:val="000000"/>
                <w:sz w:val="17"/>
                <w:szCs w:val="17"/>
              </w:rPr>
              <w:t xml:space="preserve">by No. 11 gage by </w:t>
            </w: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sz w:val="12"/>
                <w:szCs w:val="12"/>
              </w:rPr>
              <w:t>2</w:t>
            </w:r>
            <w:r w:rsidRPr="00EC4EC4">
              <w:rPr>
                <w:rFonts w:eastAsia="Times New Roman" w:cs="Times New Roman"/>
                <w:color w:val="000000"/>
                <w:spacing w:val="4"/>
                <w:sz w:val="17"/>
                <w:szCs w:val="17"/>
              </w:rPr>
              <w:t xml:space="preserve">″ </w:t>
            </w:r>
            <w:r w:rsidRPr="00EC4EC4">
              <w:rPr>
                <w:rFonts w:eastAsia="Times New Roman" w:cs="Times New Roman"/>
                <w:color w:val="000000"/>
                <w:sz w:val="17"/>
                <w:szCs w:val="17"/>
              </w:rPr>
              <w:t>head roofing nails spaced 6</w:t>
            </w:r>
            <w:r w:rsidRPr="00EC4EC4">
              <w:rPr>
                <w:rFonts w:eastAsia="Times New Roman" w:cs="Times New Roman"/>
                <w:color w:val="000000"/>
                <w:spacing w:val="4"/>
                <w:sz w:val="17"/>
                <w:szCs w:val="17"/>
              </w:rPr>
              <w:t xml:space="preserve">″ </w:t>
            </w:r>
            <w:r w:rsidRPr="00EC4EC4">
              <w:rPr>
                <w:rFonts w:eastAsia="Times New Roman" w:cs="Times New Roman"/>
                <w:color w:val="000000"/>
                <w:sz w:val="17"/>
                <w:szCs w:val="17"/>
              </w:rPr>
              <w:t>on center. Alternate stripping consists of 3</w:t>
            </w:r>
            <w:r w:rsidRPr="00EC4EC4">
              <w:rPr>
                <w:rFonts w:eastAsia="Times New Roman" w:cs="Times New Roman"/>
                <w:color w:val="000000"/>
                <w:spacing w:val="4"/>
                <w:sz w:val="17"/>
                <w:szCs w:val="17"/>
              </w:rPr>
              <w:t xml:space="preserve">″ </w:t>
            </w:r>
            <w:r w:rsidRPr="00EC4EC4">
              <w:rPr>
                <w:rFonts w:eastAsia="Times New Roman" w:cs="Times New Roman"/>
                <w:color w:val="000000"/>
                <w:sz w:val="17"/>
                <w:szCs w:val="17"/>
              </w:rPr>
              <w:t>wide 0.049</w:t>
            </w:r>
            <w:r w:rsidRPr="00EC4EC4">
              <w:rPr>
                <w:rFonts w:eastAsia="Times New Roman" w:cs="Times New Roman"/>
                <w:color w:val="000000"/>
                <w:sz w:val="6"/>
                <w:szCs w:val="6"/>
              </w:rPr>
              <w:t xml:space="preserve">″ </w:t>
            </w:r>
            <w:r w:rsidRPr="00EC4EC4">
              <w:rPr>
                <w:rFonts w:eastAsia="Times New Roman" w:cs="Times New Roman"/>
                <w:color w:val="000000"/>
                <w:sz w:val="17"/>
                <w:szCs w:val="17"/>
              </w:rPr>
              <w:t>diameter wire stripping weighing 1 pound per square yard and attached by No.16 gage by 1</w:t>
            </w: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sz w:val="12"/>
                <w:szCs w:val="12"/>
              </w:rPr>
              <w:t>2</w:t>
            </w:r>
            <w:r w:rsidRPr="00EC4EC4">
              <w:rPr>
                <w:rFonts w:eastAsia="Times New Roman" w:cs="Times New Roman"/>
                <w:color w:val="000000"/>
                <w:spacing w:val="4"/>
                <w:sz w:val="17"/>
                <w:szCs w:val="17"/>
              </w:rPr>
              <w:t xml:space="preserve">″ </w:t>
            </w:r>
            <w:r w:rsidRPr="00EC4EC4">
              <w:rPr>
                <w:rFonts w:eastAsia="Times New Roman" w:cs="Times New Roman"/>
                <w:color w:val="000000"/>
                <w:sz w:val="17"/>
                <w:szCs w:val="17"/>
              </w:rPr>
              <w:t xml:space="preserve">by </w:t>
            </w:r>
            <w:r w:rsidRPr="00EC4EC4">
              <w:rPr>
                <w:rFonts w:eastAsia="Times New Roman" w:cs="Times New Roman"/>
                <w:color w:val="000000"/>
                <w:sz w:val="17"/>
                <w:szCs w:val="17"/>
                <w:vertAlign w:val="superscript"/>
              </w:rPr>
              <w:t>3</w:t>
            </w:r>
            <w:r w:rsidRPr="00EC4EC4">
              <w:rPr>
                <w:rFonts w:eastAsia="Times New Roman" w:cs="Times New Roman"/>
                <w:color w:val="000000"/>
                <w:sz w:val="17"/>
                <w:szCs w:val="17"/>
              </w:rPr>
              <w:t>/</w:t>
            </w:r>
            <w:r w:rsidRPr="00EC4EC4">
              <w:rPr>
                <w:rFonts w:eastAsia="Times New Roman" w:cs="Times New Roman"/>
                <w:color w:val="000000"/>
                <w:sz w:val="12"/>
                <w:szCs w:val="12"/>
              </w:rPr>
              <w:t>4</w:t>
            </w:r>
            <w:r w:rsidRPr="00EC4EC4">
              <w:rPr>
                <w:rFonts w:eastAsia="Times New Roman" w:cs="Times New Roman"/>
                <w:color w:val="000000"/>
                <w:spacing w:val="4"/>
                <w:sz w:val="17"/>
                <w:szCs w:val="17"/>
              </w:rPr>
              <w:t xml:space="preserve">″ </w:t>
            </w:r>
            <w:r w:rsidRPr="00EC4EC4">
              <w:rPr>
                <w:rFonts w:eastAsia="Times New Roman" w:cs="Times New Roman"/>
                <w:color w:val="000000"/>
                <w:sz w:val="17"/>
                <w:szCs w:val="17"/>
              </w:rPr>
              <w:t>crown width staples, spaced 4</w:t>
            </w:r>
            <w:r w:rsidRPr="00EC4EC4">
              <w:rPr>
                <w:rFonts w:eastAsia="Times New Roman" w:cs="Times New Roman"/>
                <w:color w:val="000000"/>
                <w:spacing w:val="4"/>
                <w:sz w:val="17"/>
                <w:szCs w:val="17"/>
              </w:rPr>
              <w:t xml:space="preserve">″ </w:t>
            </w:r>
            <w:r w:rsidRPr="00EC4EC4">
              <w:rPr>
                <w:rFonts w:eastAsia="Times New Roman" w:cs="Times New Roman"/>
                <w:color w:val="000000"/>
                <w:sz w:val="17"/>
                <w:szCs w:val="17"/>
              </w:rPr>
              <w:t>on center. Where alternate stripping is used, the lath nailing [</w:t>
            </w:r>
            <w:r w:rsidRPr="00EC4EC4">
              <w:rPr>
                <w:rFonts w:eastAsia="Times New Roman" w:cs="Times New Roman"/>
                <w:strike/>
                <w:color w:val="000000"/>
                <w:sz w:val="17"/>
                <w:szCs w:val="17"/>
              </w:rPr>
              <w:t>may</w:t>
            </w:r>
            <w:r w:rsidRPr="00EC4EC4">
              <w:rPr>
                <w:rFonts w:eastAsia="Times New Roman" w:cs="Times New Roman"/>
                <w:color w:val="000000"/>
                <w:sz w:val="17"/>
                <w:szCs w:val="17"/>
              </w:rPr>
              <w:t xml:space="preserve">] </w:t>
            </w:r>
            <w:r w:rsidRPr="00EC4EC4">
              <w:rPr>
                <w:rFonts w:eastAsia="Times New Roman" w:cs="Times New Roman"/>
                <w:color w:val="000000"/>
                <w:sz w:val="17"/>
                <w:szCs w:val="17"/>
                <w:u w:val="single"/>
              </w:rPr>
              <w:t>shall</w:t>
            </w:r>
            <w:r w:rsidRPr="00EC4EC4">
              <w:rPr>
                <w:rFonts w:eastAsia="Times New Roman" w:cs="Times New Roman"/>
                <w:color w:val="000000"/>
                <w:sz w:val="17"/>
                <w:szCs w:val="17"/>
              </w:rPr>
              <w:t xml:space="preserve"> consist of two nails at each end and one nail at each intermediate bearing. Plaster mixed 1:2 by weight, gypsum-to-sand aggregate.</w:t>
            </w:r>
          </w:p>
        </w:tc>
        <w:tc>
          <w:tcPr>
            <w:tcW w:w="232" w:type="pct"/>
            <w:tcBorders>
              <w:top w:val="single" w:sz="2" w:space="0" w:color="auto"/>
              <w:left w:val="single" w:sz="2" w:space="0" w:color="auto"/>
              <w:bottom w:val="single" w:sz="2" w:space="0" w:color="auto"/>
              <w:right w:val="single" w:sz="2" w:space="0" w:color="auto"/>
            </w:tcBorders>
            <w:vAlign w:val="center"/>
          </w:tcPr>
          <w:p w14:paraId="50156688"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74" w:type="pct"/>
            <w:tcBorders>
              <w:top w:val="single" w:sz="2" w:space="0" w:color="auto"/>
              <w:left w:val="single" w:sz="2" w:space="0" w:color="auto"/>
              <w:bottom w:val="single" w:sz="2" w:space="0" w:color="auto"/>
              <w:right w:val="single" w:sz="2" w:space="0" w:color="auto"/>
            </w:tcBorders>
            <w:vAlign w:val="center"/>
          </w:tcPr>
          <w:p w14:paraId="600B5E73"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414" w:type="pct"/>
            <w:tcBorders>
              <w:top w:val="single" w:sz="2" w:space="0" w:color="auto"/>
              <w:left w:val="single" w:sz="2" w:space="0" w:color="auto"/>
              <w:bottom w:val="single" w:sz="2" w:space="0" w:color="auto"/>
              <w:right w:val="single" w:sz="2" w:space="0" w:color="auto"/>
            </w:tcBorders>
            <w:vAlign w:val="center"/>
          </w:tcPr>
          <w:p w14:paraId="2F3342F6"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421" w:type="pct"/>
            <w:tcBorders>
              <w:top w:val="single" w:sz="2" w:space="0" w:color="auto"/>
              <w:left w:val="single" w:sz="2" w:space="0" w:color="auto"/>
              <w:bottom w:val="single" w:sz="2" w:space="0" w:color="auto"/>
              <w:right w:val="single" w:sz="2" w:space="0" w:color="auto"/>
            </w:tcBorders>
            <w:vAlign w:val="center"/>
          </w:tcPr>
          <w:p w14:paraId="5C9CA165"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205" w:type="pct"/>
            <w:tcBorders>
              <w:top w:val="single" w:sz="2" w:space="0" w:color="auto"/>
              <w:left w:val="single" w:sz="2" w:space="0" w:color="auto"/>
              <w:bottom w:val="single" w:sz="2" w:space="0" w:color="auto"/>
              <w:right w:val="single" w:sz="2" w:space="0" w:color="auto"/>
            </w:tcBorders>
            <w:vAlign w:val="center"/>
          </w:tcPr>
          <w:p w14:paraId="7FE88B36"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20" w:type="pct"/>
            <w:tcBorders>
              <w:top w:val="single" w:sz="2" w:space="0" w:color="auto"/>
              <w:left w:val="single" w:sz="2" w:space="0" w:color="auto"/>
              <w:bottom w:val="single" w:sz="2" w:space="0" w:color="auto"/>
              <w:right w:val="single" w:sz="2" w:space="0" w:color="auto"/>
            </w:tcBorders>
            <w:vAlign w:val="center"/>
          </w:tcPr>
          <w:p w14:paraId="1731898F"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46" w:type="pct"/>
            <w:tcBorders>
              <w:top w:val="single" w:sz="2" w:space="0" w:color="auto"/>
              <w:left w:val="single" w:sz="2" w:space="0" w:color="auto"/>
              <w:bottom w:val="single" w:sz="2" w:space="0" w:color="auto"/>
              <w:right w:val="single" w:sz="2" w:space="0" w:color="auto"/>
            </w:tcBorders>
            <w:vAlign w:val="center"/>
          </w:tcPr>
          <w:p w14:paraId="6276FF00"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42" w:type="pct"/>
            <w:gridSpan w:val="2"/>
            <w:tcBorders>
              <w:top w:val="single" w:sz="2" w:space="0" w:color="auto"/>
              <w:left w:val="single" w:sz="2" w:space="0" w:color="auto"/>
              <w:bottom w:val="single" w:sz="2" w:space="0" w:color="auto"/>
              <w:right w:val="single" w:sz="2" w:space="0" w:color="auto"/>
            </w:tcBorders>
            <w:vAlign w:val="center"/>
          </w:tcPr>
          <w:p w14:paraId="0A218ADB" w14:textId="77777777" w:rsidR="00140B7C" w:rsidRPr="00EC4EC4" w:rsidRDefault="00140B7C" w:rsidP="00BC1087">
            <w:pPr>
              <w:spacing w:after="0" w:line="240" w:lineRule="auto"/>
              <w:jc w:val="center"/>
              <w:rPr>
                <w:rFonts w:eastAsia="Times New Roman" w:cs="Times New Roman"/>
                <w:color w:val="000000"/>
                <w:sz w:val="12"/>
                <w:szCs w:val="12"/>
              </w:rPr>
            </w:pPr>
            <w:r w:rsidRPr="00EC4EC4">
              <w:rPr>
                <w:rFonts w:eastAsia="Times New Roman" w:cs="Times New Roman"/>
                <w:color w:val="000000"/>
                <w:sz w:val="17"/>
                <w:szCs w:val="17"/>
                <w:vertAlign w:val="superscript"/>
              </w:rPr>
              <w:t>7</w:t>
            </w:r>
            <w:r w:rsidRPr="00EC4EC4">
              <w:rPr>
                <w:rFonts w:eastAsia="Times New Roman" w:cs="Times New Roman"/>
                <w:color w:val="000000"/>
                <w:sz w:val="17"/>
                <w:szCs w:val="17"/>
              </w:rPr>
              <w:t>/</w:t>
            </w:r>
            <w:r w:rsidRPr="00EC4EC4">
              <w:rPr>
                <w:rFonts w:eastAsia="Times New Roman" w:cs="Times New Roman"/>
                <w:color w:val="000000"/>
                <w:sz w:val="12"/>
                <w:szCs w:val="12"/>
              </w:rPr>
              <w:t>8</w:t>
            </w:r>
          </w:p>
        </w:tc>
      </w:tr>
      <w:tr w:rsidR="00140B7C" w:rsidRPr="00EC4EC4" w14:paraId="752BE43E" w14:textId="77777777" w:rsidTr="00BC1087">
        <w:trPr>
          <w:trHeight w:hRule="exact" w:val="2395"/>
          <w:jc w:val="center"/>
        </w:trPr>
        <w:tc>
          <w:tcPr>
            <w:tcW w:w="878" w:type="pct"/>
            <w:tcBorders>
              <w:top w:val="single" w:sz="4" w:space="0" w:color="auto"/>
              <w:left w:val="single" w:sz="4" w:space="0" w:color="auto"/>
              <w:bottom w:val="single" w:sz="4" w:space="0" w:color="auto"/>
              <w:right w:val="single" w:sz="4" w:space="0" w:color="auto"/>
            </w:tcBorders>
            <w:vAlign w:val="center"/>
          </w:tcPr>
          <w:p w14:paraId="6822A63C" w14:textId="77777777" w:rsidR="00140B7C" w:rsidRPr="00EC4EC4" w:rsidRDefault="00140B7C" w:rsidP="00BC1087">
            <w:pPr>
              <w:spacing w:after="0" w:line="240" w:lineRule="auto"/>
              <w:ind w:left="101" w:right="68"/>
              <w:jc w:val="both"/>
              <w:rPr>
                <w:rFonts w:eastAsia="Times New Roman" w:cs="Times New Roman"/>
                <w:color w:val="000000"/>
                <w:sz w:val="11"/>
                <w:szCs w:val="11"/>
                <w:vertAlign w:val="superscript"/>
              </w:rPr>
            </w:pPr>
            <w:r w:rsidRPr="00EC4EC4">
              <w:rPr>
                <w:rFonts w:eastAsia="Times New Roman" w:cs="Times New Roman"/>
                <w:color w:val="000000"/>
                <w:spacing w:val="3"/>
                <w:sz w:val="17"/>
                <w:szCs w:val="17"/>
              </w:rPr>
              <w:t xml:space="preserve">13. Double wood floor over </w:t>
            </w:r>
            <w:r w:rsidRPr="00EC4EC4">
              <w:rPr>
                <w:rFonts w:eastAsia="Times New Roman" w:cs="Times New Roman"/>
                <w:color w:val="000000"/>
                <w:sz w:val="17"/>
                <w:szCs w:val="17"/>
              </w:rPr>
              <w:t>wood joists spaced [16</w:t>
            </w:r>
            <w:r w:rsidRPr="00EC4EC4">
              <w:rPr>
                <w:rFonts w:eastAsia="Times New Roman" w:cs="Times New Roman"/>
                <w:color w:val="000000"/>
                <w:sz w:val="6"/>
                <w:szCs w:val="6"/>
              </w:rPr>
              <w:t>″</w:t>
            </w:r>
            <w:r w:rsidRPr="00EC4EC4">
              <w:rPr>
                <w:rFonts w:eastAsia="Times New Roman" w:cs="Times New Roman"/>
                <w:color w:val="000000"/>
                <w:sz w:val="17"/>
                <w:szCs w:val="17"/>
              </w:rPr>
              <w:t>]</w:t>
            </w:r>
            <w:r w:rsidRPr="00EC4EC4">
              <w:rPr>
                <w:rFonts w:eastAsia="Times New Roman" w:cs="Times New Roman"/>
                <w:color w:val="000000"/>
                <w:sz w:val="6"/>
                <w:szCs w:val="6"/>
              </w:rPr>
              <w:t xml:space="preserve"> </w:t>
            </w:r>
            <w:r w:rsidRPr="00EC4EC4">
              <w:rPr>
                <w:rFonts w:eastAsia="Times New Roman" w:cs="Times New Roman"/>
                <w:color w:val="000000"/>
                <w:sz w:val="17"/>
                <w:szCs w:val="17"/>
                <w:u w:val="single"/>
              </w:rPr>
              <w:t>16”</w:t>
            </w:r>
            <w:r w:rsidRPr="00EC4EC4">
              <w:rPr>
                <w:rFonts w:eastAsia="Times New Roman" w:cs="Times New Roman"/>
                <w:color w:val="000000"/>
                <w:sz w:val="6"/>
                <w:szCs w:val="6"/>
              </w:rPr>
              <w:t xml:space="preserve">  </w:t>
            </w:r>
            <w:r w:rsidRPr="00EC4EC4">
              <w:rPr>
                <w:rFonts w:eastAsia="Times New Roman" w:cs="Times New Roman"/>
                <w:color w:val="000000"/>
                <w:sz w:val="17"/>
                <w:szCs w:val="17"/>
              </w:rPr>
              <w:t xml:space="preserve">on </w:t>
            </w:r>
            <w:r w:rsidRPr="00EC4EC4">
              <w:rPr>
                <w:rFonts w:eastAsia="Times New Roman" w:cs="Times New Roman"/>
                <w:color w:val="000000"/>
                <w:spacing w:val="-4"/>
                <w:sz w:val="17"/>
                <w:szCs w:val="17"/>
              </w:rPr>
              <w:t>center.</w:t>
            </w:r>
            <w:r w:rsidRPr="00EC4EC4">
              <w:rPr>
                <w:rFonts w:eastAsia="Times New Roman" w:cs="Times New Roman"/>
                <w:color w:val="000000"/>
                <w:spacing w:val="-4"/>
                <w:sz w:val="17"/>
                <w:szCs w:val="17"/>
                <w:vertAlign w:val="superscript"/>
              </w:rPr>
              <w:t>m,n</w:t>
            </w:r>
          </w:p>
        </w:tc>
        <w:tc>
          <w:tcPr>
            <w:tcW w:w="340" w:type="pct"/>
            <w:tcBorders>
              <w:top w:val="single" w:sz="2" w:space="0" w:color="auto"/>
              <w:left w:val="single" w:sz="4" w:space="0" w:color="auto"/>
              <w:bottom w:val="single" w:sz="2" w:space="0" w:color="auto"/>
              <w:right w:val="single" w:sz="2" w:space="0" w:color="auto"/>
            </w:tcBorders>
            <w:vAlign w:val="center"/>
          </w:tcPr>
          <w:p w14:paraId="145039B8" w14:textId="77777777" w:rsidR="00140B7C" w:rsidRPr="00EC4EC4" w:rsidRDefault="00140B7C" w:rsidP="00BC1087">
            <w:pPr>
              <w:tabs>
                <w:tab w:val="decimal" w:pos="-4039"/>
              </w:tabs>
              <w:spacing w:after="0" w:line="240" w:lineRule="auto"/>
              <w:jc w:val="center"/>
              <w:rPr>
                <w:rFonts w:eastAsia="Times New Roman" w:cs="Times New Roman"/>
                <w:color w:val="000000"/>
                <w:sz w:val="17"/>
                <w:szCs w:val="17"/>
              </w:rPr>
            </w:pPr>
            <w:r w:rsidRPr="00EC4EC4">
              <w:rPr>
                <w:rFonts w:eastAsia="Times New Roman" w:cs="Times New Roman"/>
                <w:color w:val="000000"/>
                <w:sz w:val="17"/>
                <w:szCs w:val="17"/>
              </w:rPr>
              <w:t>13-1.2</w:t>
            </w:r>
          </w:p>
        </w:tc>
        <w:tc>
          <w:tcPr>
            <w:tcW w:w="1128" w:type="pct"/>
            <w:tcBorders>
              <w:top w:val="single" w:sz="2" w:space="0" w:color="auto"/>
              <w:left w:val="single" w:sz="2" w:space="0" w:color="auto"/>
              <w:bottom w:val="single" w:sz="2" w:space="0" w:color="auto"/>
              <w:right w:val="single" w:sz="2" w:space="0" w:color="auto"/>
            </w:tcBorders>
            <w:vAlign w:val="center"/>
          </w:tcPr>
          <w:p w14:paraId="64C30D3A" w14:textId="77777777" w:rsidR="00140B7C" w:rsidRPr="00EC4EC4" w:rsidRDefault="00140B7C" w:rsidP="00BC1087">
            <w:pPr>
              <w:spacing w:after="0" w:line="240" w:lineRule="auto"/>
              <w:ind w:left="90" w:right="109"/>
              <w:rPr>
                <w:rFonts w:eastAsia="Times New Roman" w:cs="Times New Roman"/>
                <w:color w:val="000000"/>
                <w:spacing w:val="3"/>
                <w:sz w:val="17"/>
                <w:szCs w:val="17"/>
              </w:rPr>
            </w:pPr>
            <w:r w:rsidRPr="00EC4EC4">
              <w:rPr>
                <w:rFonts w:eastAsia="Times New Roman" w:cs="Times New Roman"/>
                <w:color w:val="000000"/>
                <w:spacing w:val="3"/>
                <w:sz w:val="17"/>
                <w:szCs w:val="17"/>
              </w:rPr>
              <w:t xml:space="preserve">Cement or gypsum plaster on metal lath. Lath </w:t>
            </w:r>
            <w:r w:rsidRPr="00EC4EC4">
              <w:rPr>
                <w:rFonts w:eastAsia="Times New Roman" w:cs="Times New Roman"/>
                <w:color w:val="000000"/>
                <w:spacing w:val="4"/>
                <w:sz w:val="17"/>
                <w:szCs w:val="17"/>
              </w:rPr>
              <w:t>fastened with 1</w:t>
            </w: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w w:val="115"/>
                <w:sz w:val="12"/>
                <w:szCs w:val="12"/>
              </w:rPr>
              <w:t>2</w:t>
            </w:r>
            <w:r w:rsidRPr="00EC4EC4">
              <w:rPr>
                <w:rFonts w:eastAsia="Times New Roman" w:cs="Times New Roman"/>
                <w:color w:val="000000"/>
                <w:spacing w:val="4"/>
                <w:sz w:val="17"/>
                <w:szCs w:val="17"/>
              </w:rPr>
              <w:t xml:space="preserve">″ by No. 11 gage by </w:t>
            </w:r>
            <w:r w:rsidRPr="00EC4EC4">
              <w:rPr>
                <w:rFonts w:eastAsia="Times New Roman" w:cs="Times New Roman"/>
                <w:color w:val="000000"/>
                <w:sz w:val="17"/>
                <w:szCs w:val="17"/>
                <w:vertAlign w:val="superscript"/>
              </w:rPr>
              <w:t>7</w:t>
            </w:r>
            <w:r w:rsidRPr="00EC4EC4">
              <w:rPr>
                <w:rFonts w:eastAsia="Times New Roman" w:cs="Times New Roman"/>
                <w:color w:val="000000"/>
                <w:sz w:val="17"/>
                <w:szCs w:val="17"/>
              </w:rPr>
              <w:t>/</w:t>
            </w:r>
            <w:r w:rsidRPr="00EC4EC4">
              <w:rPr>
                <w:rFonts w:eastAsia="Times New Roman" w:cs="Times New Roman"/>
                <w:color w:val="000000"/>
                <w:w w:val="115"/>
                <w:sz w:val="12"/>
                <w:szCs w:val="12"/>
              </w:rPr>
              <w:t>16</w:t>
            </w:r>
            <w:r w:rsidRPr="00EC4EC4">
              <w:rPr>
                <w:rFonts w:eastAsia="Times New Roman" w:cs="Times New Roman"/>
                <w:color w:val="000000"/>
                <w:spacing w:val="4"/>
                <w:sz w:val="17"/>
                <w:szCs w:val="17"/>
              </w:rPr>
              <w:t xml:space="preserve">″ head </w:t>
            </w:r>
            <w:r w:rsidRPr="00EC4EC4">
              <w:rPr>
                <w:rFonts w:eastAsia="Times New Roman" w:cs="Times New Roman"/>
                <w:color w:val="000000"/>
                <w:spacing w:val="6"/>
                <w:sz w:val="17"/>
                <w:szCs w:val="17"/>
              </w:rPr>
              <w:t xml:space="preserve">barbed shank roofing nails spaced 5″ on center. </w:t>
            </w:r>
            <w:r w:rsidRPr="00EC4EC4">
              <w:rPr>
                <w:rFonts w:eastAsia="Times New Roman" w:cs="Times New Roman"/>
                <w:color w:val="000000"/>
                <w:spacing w:val="3"/>
                <w:sz w:val="17"/>
                <w:szCs w:val="17"/>
              </w:rPr>
              <w:t>Plaster mixed 1:2 for scratch coat and 1:3 for brown coat, by weight, cement to sand aggregate.</w:t>
            </w:r>
          </w:p>
        </w:tc>
        <w:tc>
          <w:tcPr>
            <w:tcW w:w="232" w:type="pct"/>
            <w:tcBorders>
              <w:top w:val="single" w:sz="2" w:space="0" w:color="auto"/>
              <w:left w:val="single" w:sz="2" w:space="0" w:color="auto"/>
              <w:bottom w:val="single" w:sz="2" w:space="0" w:color="auto"/>
              <w:right w:val="single" w:sz="2" w:space="0" w:color="auto"/>
            </w:tcBorders>
            <w:vAlign w:val="center"/>
          </w:tcPr>
          <w:p w14:paraId="29DF4B8E"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74" w:type="pct"/>
            <w:tcBorders>
              <w:top w:val="single" w:sz="2" w:space="0" w:color="auto"/>
              <w:left w:val="single" w:sz="2" w:space="0" w:color="auto"/>
              <w:bottom w:val="single" w:sz="2" w:space="0" w:color="auto"/>
              <w:right w:val="single" w:sz="2" w:space="0" w:color="auto"/>
            </w:tcBorders>
            <w:vAlign w:val="center"/>
          </w:tcPr>
          <w:p w14:paraId="7662461F"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414" w:type="pct"/>
            <w:tcBorders>
              <w:top w:val="single" w:sz="2" w:space="0" w:color="auto"/>
              <w:left w:val="single" w:sz="2" w:space="0" w:color="auto"/>
              <w:bottom w:val="single" w:sz="2" w:space="0" w:color="auto"/>
              <w:right w:val="single" w:sz="2" w:space="0" w:color="auto"/>
            </w:tcBorders>
            <w:vAlign w:val="center"/>
          </w:tcPr>
          <w:p w14:paraId="332914AA"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421" w:type="pct"/>
            <w:tcBorders>
              <w:top w:val="single" w:sz="2" w:space="0" w:color="auto"/>
              <w:left w:val="single" w:sz="2" w:space="0" w:color="auto"/>
              <w:bottom w:val="single" w:sz="2" w:space="0" w:color="auto"/>
              <w:right w:val="single" w:sz="2" w:space="0" w:color="auto"/>
            </w:tcBorders>
            <w:vAlign w:val="center"/>
          </w:tcPr>
          <w:p w14:paraId="4A0A8BE8"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205" w:type="pct"/>
            <w:tcBorders>
              <w:top w:val="single" w:sz="2" w:space="0" w:color="auto"/>
              <w:left w:val="single" w:sz="2" w:space="0" w:color="auto"/>
              <w:bottom w:val="single" w:sz="2" w:space="0" w:color="auto"/>
              <w:right w:val="single" w:sz="2" w:space="0" w:color="auto"/>
            </w:tcBorders>
            <w:vAlign w:val="center"/>
          </w:tcPr>
          <w:p w14:paraId="11A62E6F"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20" w:type="pct"/>
            <w:tcBorders>
              <w:top w:val="single" w:sz="2" w:space="0" w:color="auto"/>
              <w:left w:val="single" w:sz="2" w:space="0" w:color="auto"/>
              <w:bottom w:val="single" w:sz="2" w:space="0" w:color="auto"/>
              <w:right w:val="single" w:sz="2" w:space="0" w:color="auto"/>
            </w:tcBorders>
            <w:vAlign w:val="center"/>
          </w:tcPr>
          <w:p w14:paraId="2F500210"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46" w:type="pct"/>
            <w:tcBorders>
              <w:top w:val="single" w:sz="2" w:space="0" w:color="auto"/>
              <w:left w:val="single" w:sz="2" w:space="0" w:color="auto"/>
              <w:bottom w:val="single" w:sz="2" w:space="0" w:color="auto"/>
              <w:right w:val="single" w:sz="2" w:space="0" w:color="auto"/>
            </w:tcBorders>
            <w:vAlign w:val="center"/>
          </w:tcPr>
          <w:p w14:paraId="2B6BD9F5"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42" w:type="pct"/>
            <w:gridSpan w:val="2"/>
            <w:tcBorders>
              <w:top w:val="single" w:sz="2" w:space="0" w:color="auto"/>
              <w:left w:val="single" w:sz="2" w:space="0" w:color="auto"/>
              <w:bottom w:val="single" w:sz="2" w:space="0" w:color="auto"/>
              <w:right w:val="single" w:sz="2" w:space="0" w:color="auto"/>
            </w:tcBorders>
            <w:vAlign w:val="center"/>
          </w:tcPr>
          <w:p w14:paraId="6395640B" w14:textId="77777777" w:rsidR="00140B7C" w:rsidRPr="00EC4EC4" w:rsidRDefault="00140B7C" w:rsidP="00BC1087">
            <w:pPr>
              <w:spacing w:after="0" w:line="240" w:lineRule="auto"/>
              <w:jc w:val="center"/>
              <w:rPr>
                <w:rFonts w:eastAsia="Times New Roman" w:cs="Times New Roman"/>
                <w:color w:val="000000"/>
                <w:sz w:val="17"/>
                <w:szCs w:val="17"/>
              </w:rPr>
            </w:pPr>
            <w:r w:rsidRPr="00EC4EC4">
              <w:rPr>
                <w:rFonts w:eastAsia="Times New Roman" w:cs="Times New Roman"/>
                <w:color w:val="000000"/>
                <w:sz w:val="17"/>
                <w:szCs w:val="17"/>
                <w:vertAlign w:val="superscript"/>
              </w:rPr>
              <w:t>5</w:t>
            </w:r>
            <w:r w:rsidRPr="00EC4EC4">
              <w:rPr>
                <w:rFonts w:eastAsia="Times New Roman" w:cs="Times New Roman"/>
                <w:color w:val="000000"/>
                <w:sz w:val="17"/>
                <w:szCs w:val="17"/>
              </w:rPr>
              <w:t>/</w:t>
            </w:r>
            <w:r w:rsidRPr="00EC4EC4">
              <w:rPr>
                <w:rFonts w:eastAsia="Times New Roman" w:cs="Times New Roman"/>
                <w:color w:val="000000"/>
                <w:sz w:val="17"/>
                <w:szCs w:val="17"/>
                <w:vertAlign w:val="subscript"/>
              </w:rPr>
              <w:t>8</w:t>
            </w:r>
          </w:p>
        </w:tc>
      </w:tr>
      <w:tr w:rsidR="00140B7C" w:rsidRPr="00EC4EC4" w14:paraId="19C84744" w14:textId="77777777" w:rsidTr="00BC1087">
        <w:trPr>
          <w:trHeight w:hRule="exact" w:val="1684"/>
          <w:jc w:val="center"/>
        </w:trPr>
        <w:tc>
          <w:tcPr>
            <w:tcW w:w="878" w:type="pct"/>
            <w:tcBorders>
              <w:top w:val="single" w:sz="4" w:space="0" w:color="auto"/>
              <w:left w:val="single" w:sz="4" w:space="0" w:color="auto"/>
              <w:bottom w:val="single" w:sz="4" w:space="0" w:color="auto"/>
              <w:right w:val="single" w:sz="4" w:space="0" w:color="auto"/>
            </w:tcBorders>
            <w:vAlign w:val="center"/>
          </w:tcPr>
          <w:p w14:paraId="2FE00E18" w14:textId="77777777" w:rsidR="00140B7C" w:rsidRPr="00EC4EC4" w:rsidRDefault="00140B7C" w:rsidP="00BC1087">
            <w:pPr>
              <w:spacing w:after="0" w:line="240" w:lineRule="auto"/>
              <w:ind w:left="101" w:right="68"/>
              <w:jc w:val="both"/>
              <w:rPr>
                <w:rFonts w:eastAsia="Times New Roman" w:cs="Times New Roman"/>
                <w:color w:val="000000"/>
                <w:sz w:val="11"/>
                <w:szCs w:val="11"/>
                <w:vertAlign w:val="superscript"/>
              </w:rPr>
            </w:pPr>
            <w:r w:rsidRPr="00EC4EC4">
              <w:rPr>
                <w:rFonts w:eastAsia="Times New Roman" w:cs="Times New Roman"/>
                <w:color w:val="000000"/>
                <w:spacing w:val="3"/>
                <w:sz w:val="17"/>
                <w:szCs w:val="17"/>
              </w:rPr>
              <w:t xml:space="preserve">13. Double wood floor over </w:t>
            </w:r>
            <w:r w:rsidRPr="00EC4EC4">
              <w:rPr>
                <w:rFonts w:eastAsia="Times New Roman" w:cs="Times New Roman"/>
                <w:color w:val="000000"/>
                <w:sz w:val="17"/>
                <w:szCs w:val="17"/>
              </w:rPr>
              <w:t>wood joists spaced [16</w:t>
            </w:r>
            <w:r w:rsidRPr="00EC4EC4">
              <w:rPr>
                <w:rFonts w:eastAsia="Times New Roman" w:cs="Times New Roman"/>
                <w:color w:val="000000"/>
                <w:sz w:val="6"/>
                <w:szCs w:val="6"/>
              </w:rPr>
              <w:t>″</w:t>
            </w:r>
            <w:r w:rsidRPr="00EC4EC4">
              <w:rPr>
                <w:rFonts w:eastAsia="Times New Roman" w:cs="Times New Roman"/>
                <w:color w:val="000000"/>
                <w:sz w:val="17"/>
                <w:szCs w:val="17"/>
              </w:rPr>
              <w:t>]</w:t>
            </w:r>
            <w:r w:rsidRPr="00EC4EC4">
              <w:rPr>
                <w:rFonts w:eastAsia="Times New Roman" w:cs="Times New Roman"/>
                <w:color w:val="000000"/>
                <w:sz w:val="6"/>
                <w:szCs w:val="6"/>
              </w:rPr>
              <w:t xml:space="preserve"> </w:t>
            </w:r>
            <w:r w:rsidRPr="00EC4EC4">
              <w:rPr>
                <w:rFonts w:eastAsia="Times New Roman" w:cs="Times New Roman"/>
                <w:color w:val="000000"/>
                <w:sz w:val="17"/>
                <w:szCs w:val="17"/>
                <w:u w:val="single"/>
              </w:rPr>
              <w:t>16”</w:t>
            </w:r>
            <w:r w:rsidRPr="00EC4EC4">
              <w:rPr>
                <w:rFonts w:eastAsia="Times New Roman" w:cs="Times New Roman"/>
                <w:color w:val="000000"/>
                <w:sz w:val="6"/>
                <w:szCs w:val="6"/>
              </w:rPr>
              <w:t xml:space="preserve">  </w:t>
            </w:r>
            <w:r w:rsidRPr="00EC4EC4">
              <w:rPr>
                <w:rFonts w:eastAsia="Times New Roman" w:cs="Times New Roman"/>
                <w:color w:val="000000"/>
                <w:sz w:val="17"/>
                <w:szCs w:val="17"/>
              </w:rPr>
              <w:t xml:space="preserve">on </w:t>
            </w:r>
            <w:r w:rsidRPr="00EC4EC4">
              <w:rPr>
                <w:rFonts w:eastAsia="Times New Roman" w:cs="Times New Roman"/>
                <w:color w:val="000000"/>
                <w:spacing w:val="-4"/>
                <w:sz w:val="17"/>
                <w:szCs w:val="17"/>
              </w:rPr>
              <w:t>center.</w:t>
            </w:r>
            <w:r w:rsidRPr="00EC4EC4">
              <w:rPr>
                <w:rFonts w:eastAsia="Times New Roman" w:cs="Times New Roman"/>
                <w:color w:val="000000"/>
                <w:spacing w:val="-4"/>
                <w:sz w:val="17"/>
                <w:szCs w:val="17"/>
                <w:vertAlign w:val="superscript"/>
              </w:rPr>
              <w:t>m,n</w:t>
            </w:r>
          </w:p>
        </w:tc>
        <w:tc>
          <w:tcPr>
            <w:tcW w:w="340" w:type="pct"/>
            <w:tcBorders>
              <w:top w:val="single" w:sz="2" w:space="0" w:color="auto"/>
              <w:left w:val="single" w:sz="4" w:space="0" w:color="auto"/>
              <w:bottom w:val="single" w:sz="2" w:space="0" w:color="auto"/>
              <w:right w:val="single" w:sz="2" w:space="0" w:color="auto"/>
            </w:tcBorders>
            <w:vAlign w:val="center"/>
          </w:tcPr>
          <w:p w14:paraId="41897407" w14:textId="77777777" w:rsidR="00140B7C" w:rsidRPr="00EC4EC4" w:rsidRDefault="00140B7C" w:rsidP="00BC1087">
            <w:pPr>
              <w:tabs>
                <w:tab w:val="decimal" w:pos="-4039"/>
              </w:tabs>
              <w:spacing w:after="0" w:line="240" w:lineRule="auto"/>
              <w:jc w:val="center"/>
              <w:rPr>
                <w:rFonts w:eastAsia="Times New Roman" w:cs="Times New Roman"/>
                <w:color w:val="000000"/>
                <w:sz w:val="17"/>
                <w:szCs w:val="17"/>
              </w:rPr>
            </w:pPr>
            <w:r w:rsidRPr="00EC4EC4">
              <w:rPr>
                <w:rFonts w:eastAsia="Times New Roman" w:cs="Times New Roman"/>
                <w:color w:val="000000"/>
                <w:sz w:val="17"/>
                <w:szCs w:val="17"/>
              </w:rPr>
              <w:t>13-1.3</w:t>
            </w:r>
          </w:p>
        </w:tc>
        <w:tc>
          <w:tcPr>
            <w:tcW w:w="1128" w:type="pct"/>
            <w:tcBorders>
              <w:top w:val="single" w:sz="2" w:space="0" w:color="auto"/>
              <w:left w:val="single" w:sz="2" w:space="0" w:color="auto"/>
              <w:bottom w:val="single" w:sz="2" w:space="0" w:color="auto"/>
              <w:right w:val="single" w:sz="2" w:space="0" w:color="auto"/>
            </w:tcBorders>
            <w:vAlign w:val="center"/>
          </w:tcPr>
          <w:p w14:paraId="51350B0E" w14:textId="77777777" w:rsidR="00140B7C" w:rsidRPr="00EC4EC4" w:rsidRDefault="00140B7C" w:rsidP="00BC1087">
            <w:pPr>
              <w:spacing w:after="0" w:line="240" w:lineRule="auto"/>
              <w:ind w:left="90" w:right="109"/>
              <w:jc w:val="both"/>
              <w:rPr>
                <w:rFonts w:eastAsia="Times New Roman" w:cs="Times New Roman"/>
                <w:color w:val="000000"/>
                <w:spacing w:val="5"/>
                <w:sz w:val="17"/>
                <w:szCs w:val="17"/>
              </w:rPr>
            </w:pPr>
            <w:r w:rsidRPr="00EC4EC4">
              <w:rPr>
                <w:rFonts w:eastAsia="Times New Roman" w:cs="Times New Roman"/>
                <w:color w:val="000000"/>
                <w:sz w:val="17"/>
                <w:szCs w:val="17"/>
              </w:rPr>
              <w:t>Perlite or vermiculite gypsum plaster on metal lath secured to joists with 1</w:t>
            </w: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w w:val="115"/>
                <w:sz w:val="12"/>
                <w:szCs w:val="12"/>
              </w:rPr>
              <w:t>2</w:t>
            </w:r>
            <w:r w:rsidRPr="00EC4EC4">
              <w:rPr>
                <w:rFonts w:eastAsia="Times New Roman" w:cs="Times New Roman"/>
                <w:color w:val="000000"/>
                <w:sz w:val="17"/>
                <w:szCs w:val="17"/>
              </w:rPr>
              <w:t xml:space="preserve">″ by No. 11 gage by </w:t>
            </w:r>
            <w:r w:rsidRPr="00EC4EC4">
              <w:rPr>
                <w:rFonts w:eastAsia="Times New Roman" w:cs="Times New Roman"/>
                <w:color w:val="000000"/>
                <w:sz w:val="17"/>
                <w:szCs w:val="17"/>
                <w:vertAlign w:val="superscript"/>
              </w:rPr>
              <w:t>7</w:t>
            </w:r>
            <w:r w:rsidRPr="00EC4EC4">
              <w:rPr>
                <w:rFonts w:eastAsia="Times New Roman" w:cs="Times New Roman"/>
                <w:color w:val="000000"/>
                <w:sz w:val="17"/>
                <w:szCs w:val="17"/>
              </w:rPr>
              <w:t>/</w:t>
            </w:r>
            <w:r w:rsidRPr="00EC4EC4">
              <w:rPr>
                <w:rFonts w:eastAsia="Times New Roman" w:cs="Times New Roman"/>
                <w:color w:val="000000"/>
                <w:w w:val="115"/>
                <w:sz w:val="12"/>
                <w:szCs w:val="12"/>
              </w:rPr>
              <w:t>16</w:t>
            </w:r>
            <w:r w:rsidRPr="00EC4EC4">
              <w:rPr>
                <w:rFonts w:eastAsia="Times New Roman" w:cs="Times New Roman"/>
                <w:color w:val="000000"/>
                <w:sz w:val="17"/>
                <w:szCs w:val="17"/>
              </w:rPr>
              <w:t>″ head barbed shank roofing nails spaced 5″ on center.</w:t>
            </w:r>
          </w:p>
        </w:tc>
        <w:tc>
          <w:tcPr>
            <w:tcW w:w="232" w:type="pct"/>
            <w:tcBorders>
              <w:top w:val="single" w:sz="2" w:space="0" w:color="auto"/>
              <w:left w:val="single" w:sz="2" w:space="0" w:color="auto"/>
              <w:bottom w:val="single" w:sz="2" w:space="0" w:color="auto"/>
              <w:right w:val="single" w:sz="2" w:space="0" w:color="auto"/>
            </w:tcBorders>
            <w:vAlign w:val="center"/>
          </w:tcPr>
          <w:p w14:paraId="7AF6021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74" w:type="pct"/>
            <w:tcBorders>
              <w:top w:val="single" w:sz="2" w:space="0" w:color="auto"/>
              <w:left w:val="single" w:sz="2" w:space="0" w:color="auto"/>
              <w:bottom w:val="single" w:sz="2" w:space="0" w:color="auto"/>
              <w:right w:val="single" w:sz="2" w:space="0" w:color="auto"/>
            </w:tcBorders>
            <w:vAlign w:val="center"/>
          </w:tcPr>
          <w:p w14:paraId="4ABBC6D6"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414" w:type="pct"/>
            <w:tcBorders>
              <w:top w:val="single" w:sz="2" w:space="0" w:color="auto"/>
              <w:left w:val="single" w:sz="2" w:space="0" w:color="auto"/>
              <w:bottom w:val="single" w:sz="2" w:space="0" w:color="auto"/>
              <w:right w:val="single" w:sz="2" w:space="0" w:color="auto"/>
            </w:tcBorders>
            <w:vAlign w:val="center"/>
          </w:tcPr>
          <w:p w14:paraId="20C7D17E"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421" w:type="pct"/>
            <w:tcBorders>
              <w:top w:val="single" w:sz="2" w:space="0" w:color="auto"/>
              <w:left w:val="single" w:sz="2" w:space="0" w:color="auto"/>
              <w:bottom w:val="single" w:sz="2" w:space="0" w:color="auto"/>
              <w:right w:val="single" w:sz="2" w:space="0" w:color="auto"/>
            </w:tcBorders>
            <w:vAlign w:val="center"/>
          </w:tcPr>
          <w:p w14:paraId="2CBC88C5"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205" w:type="pct"/>
            <w:tcBorders>
              <w:top w:val="single" w:sz="2" w:space="0" w:color="auto"/>
              <w:left w:val="single" w:sz="2" w:space="0" w:color="auto"/>
              <w:bottom w:val="single" w:sz="2" w:space="0" w:color="auto"/>
              <w:right w:val="single" w:sz="2" w:space="0" w:color="auto"/>
            </w:tcBorders>
            <w:vAlign w:val="center"/>
          </w:tcPr>
          <w:p w14:paraId="57D7B7A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20" w:type="pct"/>
            <w:tcBorders>
              <w:top w:val="single" w:sz="2" w:space="0" w:color="auto"/>
              <w:left w:val="single" w:sz="2" w:space="0" w:color="auto"/>
              <w:bottom w:val="single" w:sz="2" w:space="0" w:color="auto"/>
              <w:right w:val="single" w:sz="2" w:space="0" w:color="auto"/>
            </w:tcBorders>
            <w:vAlign w:val="center"/>
          </w:tcPr>
          <w:p w14:paraId="09AE0D9D"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46" w:type="pct"/>
            <w:tcBorders>
              <w:top w:val="single" w:sz="2" w:space="0" w:color="auto"/>
              <w:left w:val="single" w:sz="2" w:space="0" w:color="auto"/>
              <w:bottom w:val="single" w:sz="2" w:space="0" w:color="auto"/>
              <w:right w:val="single" w:sz="2" w:space="0" w:color="auto"/>
            </w:tcBorders>
            <w:vAlign w:val="center"/>
          </w:tcPr>
          <w:p w14:paraId="754D087D"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42" w:type="pct"/>
            <w:gridSpan w:val="2"/>
            <w:tcBorders>
              <w:top w:val="single" w:sz="2" w:space="0" w:color="auto"/>
              <w:left w:val="single" w:sz="2" w:space="0" w:color="auto"/>
              <w:bottom w:val="single" w:sz="2" w:space="0" w:color="auto"/>
              <w:right w:val="single" w:sz="2" w:space="0" w:color="auto"/>
            </w:tcBorders>
            <w:vAlign w:val="center"/>
          </w:tcPr>
          <w:p w14:paraId="274B960D" w14:textId="77777777" w:rsidR="00140B7C" w:rsidRPr="00EC4EC4" w:rsidRDefault="00140B7C" w:rsidP="00BC1087">
            <w:pPr>
              <w:spacing w:after="0" w:line="240" w:lineRule="auto"/>
              <w:jc w:val="center"/>
              <w:rPr>
                <w:rFonts w:eastAsia="Times New Roman" w:cs="Times New Roman"/>
                <w:color w:val="000000"/>
                <w:sz w:val="12"/>
                <w:szCs w:val="12"/>
              </w:rPr>
            </w:pPr>
            <w:r w:rsidRPr="00EC4EC4">
              <w:rPr>
                <w:rFonts w:eastAsia="Times New Roman" w:cs="Times New Roman"/>
                <w:color w:val="000000"/>
                <w:sz w:val="17"/>
                <w:szCs w:val="17"/>
                <w:vertAlign w:val="superscript"/>
              </w:rPr>
              <w:t>5</w:t>
            </w:r>
            <w:r w:rsidRPr="00EC4EC4">
              <w:rPr>
                <w:rFonts w:eastAsia="Times New Roman" w:cs="Times New Roman"/>
                <w:color w:val="000000"/>
                <w:sz w:val="17"/>
                <w:szCs w:val="17"/>
              </w:rPr>
              <w:t>/</w:t>
            </w:r>
            <w:r w:rsidRPr="00EC4EC4">
              <w:rPr>
                <w:rFonts w:eastAsia="Times New Roman" w:cs="Times New Roman"/>
                <w:color w:val="000000"/>
                <w:sz w:val="17"/>
                <w:szCs w:val="17"/>
                <w:vertAlign w:val="subscript"/>
              </w:rPr>
              <w:t>8</w:t>
            </w:r>
          </w:p>
        </w:tc>
      </w:tr>
      <w:tr w:rsidR="00140B7C" w:rsidRPr="00EC4EC4" w14:paraId="2619640D" w14:textId="77777777" w:rsidTr="00BC1087">
        <w:trPr>
          <w:trHeight w:hRule="exact" w:val="1432"/>
          <w:jc w:val="center"/>
        </w:trPr>
        <w:tc>
          <w:tcPr>
            <w:tcW w:w="878" w:type="pct"/>
            <w:tcBorders>
              <w:top w:val="single" w:sz="4" w:space="0" w:color="auto"/>
              <w:left w:val="single" w:sz="4" w:space="0" w:color="auto"/>
              <w:bottom w:val="single" w:sz="4" w:space="0" w:color="auto"/>
              <w:right w:val="single" w:sz="4" w:space="0" w:color="auto"/>
            </w:tcBorders>
            <w:vAlign w:val="center"/>
          </w:tcPr>
          <w:p w14:paraId="3362CDAD" w14:textId="77777777" w:rsidR="00140B7C" w:rsidRPr="00EC4EC4" w:rsidRDefault="00140B7C" w:rsidP="00BC1087">
            <w:pPr>
              <w:spacing w:after="0" w:line="240" w:lineRule="auto"/>
              <w:ind w:left="101" w:right="68"/>
              <w:jc w:val="both"/>
              <w:rPr>
                <w:rFonts w:eastAsia="Times New Roman" w:cs="Times New Roman"/>
                <w:color w:val="000000"/>
                <w:sz w:val="12"/>
                <w:szCs w:val="12"/>
              </w:rPr>
            </w:pPr>
            <w:r w:rsidRPr="00EC4EC4">
              <w:rPr>
                <w:rFonts w:eastAsia="Times New Roman" w:cs="Times New Roman"/>
                <w:color w:val="000000"/>
                <w:spacing w:val="3"/>
                <w:sz w:val="17"/>
                <w:szCs w:val="17"/>
              </w:rPr>
              <w:lastRenderedPageBreak/>
              <w:t xml:space="preserve">13. Double wood floor over </w:t>
            </w:r>
            <w:r w:rsidRPr="00EC4EC4">
              <w:rPr>
                <w:rFonts w:eastAsia="Times New Roman" w:cs="Times New Roman"/>
                <w:color w:val="000000"/>
                <w:sz w:val="17"/>
                <w:szCs w:val="17"/>
              </w:rPr>
              <w:t>wood joists spaced [16</w:t>
            </w:r>
            <w:r w:rsidRPr="00EC4EC4">
              <w:rPr>
                <w:rFonts w:eastAsia="Times New Roman" w:cs="Times New Roman"/>
                <w:color w:val="000000"/>
                <w:sz w:val="6"/>
                <w:szCs w:val="6"/>
              </w:rPr>
              <w:t>″</w:t>
            </w:r>
            <w:r w:rsidRPr="00EC4EC4">
              <w:rPr>
                <w:rFonts w:eastAsia="Times New Roman" w:cs="Times New Roman"/>
                <w:color w:val="000000"/>
                <w:sz w:val="17"/>
                <w:szCs w:val="17"/>
              </w:rPr>
              <w:t>]</w:t>
            </w:r>
            <w:r w:rsidRPr="00EC4EC4">
              <w:rPr>
                <w:rFonts w:eastAsia="Times New Roman" w:cs="Times New Roman"/>
                <w:color w:val="000000"/>
                <w:sz w:val="6"/>
                <w:szCs w:val="6"/>
              </w:rPr>
              <w:t xml:space="preserve"> </w:t>
            </w:r>
            <w:r w:rsidRPr="00EC4EC4">
              <w:rPr>
                <w:rFonts w:eastAsia="Times New Roman" w:cs="Times New Roman"/>
                <w:color w:val="000000"/>
                <w:sz w:val="17"/>
                <w:szCs w:val="17"/>
                <w:u w:val="single"/>
              </w:rPr>
              <w:t>16”</w:t>
            </w:r>
            <w:r w:rsidRPr="00EC4EC4">
              <w:rPr>
                <w:rFonts w:eastAsia="Times New Roman" w:cs="Times New Roman"/>
                <w:color w:val="000000"/>
                <w:sz w:val="6"/>
                <w:szCs w:val="6"/>
              </w:rPr>
              <w:t xml:space="preserve">  </w:t>
            </w:r>
            <w:r w:rsidRPr="00EC4EC4">
              <w:rPr>
                <w:rFonts w:eastAsia="Times New Roman" w:cs="Times New Roman"/>
                <w:color w:val="000000"/>
                <w:sz w:val="17"/>
                <w:szCs w:val="17"/>
              </w:rPr>
              <w:t xml:space="preserve">on </w:t>
            </w:r>
            <w:r w:rsidRPr="00EC4EC4">
              <w:rPr>
                <w:rFonts w:eastAsia="Times New Roman" w:cs="Times New Roman"/>
                <w:color w:val="000000"/>
                <w:spacing w:val="-4"/>
                <w:sz w:val="17"/>
                <w:szCs w:val="17"/>
              </w:rPr>
              <w:t>center.</w:t>
            </w:r>
            <w:r w:rsidRPr="00EC4EC4">
              <w:rPr>
                <w:rFonts w:eastAsia="Times New Roman" w:cs="Times New Roman"/>
                <w:color w:val="000000"/>
                <w:spacing w:val="-4"/>
                <w:sz w:val="17"/>
                <w:szCs w:val="17"/>
                <w:vertAlign w:val="superscript"/>
              </w:rPr>
              <w:t>m,n</w:t>
            </w:r>
          </w:p>
        </w:tc>
        <w:tc>
          <w:tcPr>
            <w:tcW w:w="340" w:type="pct"/>
            <w:tcBorders>
              <w:top w:val="single" w:sz="2" w:space="0" w:color="auto"/>
              <w:left w:val="single" w:sz="4" w:space="0" w:color="auto"/>
              <w:bottom w:val="single" w:sz="2" w:space="0" w:color="auto"/>
              <w:right w:val="single" w:sz="2" w:space="0" w:color="auto"/>
            </w:tcBorders>
            <w:vAlign w:val="center"/>
          </w:tcPr>
          <w:p w14:paraId="707934BF" w14:textId="77777777" w:rsidR="00140B7C" w:rsidRPr="00EC4EC4" w:rsidRDefault="00140B7C" w:rsidP="00BC1087">
            <w:pPr>
              <w:tabs>
                <w:tab w:val="decimal" w:pos="-4039"/>
              </w:tabs>
              <w:spacing w:after="0" w:line="240" w:lineRule="auto"/>
              <w:jc w:val="center"/>
              <w:rPr>
                <w:rFonts w:eastAsia="Times New Roman" w:cs="Times New Roman"/>
                <w:color w:val="000000"/>
                <w:sz w:val="17"/>
                <w:szCs w:val="17"/>
              </w:rPr>
            </w:pPr>
            <w:r w:rsidRPr="00EC4EC4">
              <w:rPr>
                <w:rFonts w:eastAsia="Times New Roman" w:cs="Times New Roman"/>
                <w:color w:val="000000"/>
                <w:sz w:val="17"/>
                <w:szCs w:val="17"/>
              </w:rPr>
              <w:t>13-1.4</w:t>
            </w:r>
          </w:p>
        </w:tc>
        <w:tc>
          <w:tcPr>
            <w:tcW w:w="1128" w:type="pct"/>
            <w:tcBorders>
              <w:top w:val="single" w:sz="2" w:space="0" w:color="auto"/>
              <w:left w:val="single" w:sz="2" w:space="0" w:color="auto"/>
              <w:bottom w:val="single" w:sz="2" w:space="0" w:color="auto"/>
              <w:right w:val="single" w:sz="2" w:space="0" w:color="auto"/>
            </w:tcBorders>
            <w:vAlign w:val="center"/>
          </w:tcPr>
          <w:p w14:paraId="74E9677D" w14:textId="77777777" w:rsidR="00140B7C" w:rsidRPr="00EC4EC4" w:rsidRDefault="00140B7C" w:rsidP="00BC1087">
            <w:pPr>
              <w:spacing w:after="0" w:line="240" w:lineRule="auto"/>
              <w:ind w:left="90" w:right="109"/>
              <w:jc w:val="both"/>
              <w:rPr>
                <w:rFonts w:eastAsia="Times New Roman" w:cs="Times New Roman"/>
                <w:color w:val="000000"/>
                <w:spacing w:val="3"/>
                <w:sz w:val="17"/>
                <w:szCs w:val="17"/>
              </w:rPr>
            </w:pP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w w:val="115"/>
                <w:sz w:val="12"/>
                <w:szCs w:val="12"/>
              </w:rPr>
              <w:t>2</w:t>
            </w:r>
            <w:r w:rsidRPr="00EC4EC4">
              <w:rPr>
                <w:rFonts w:eastAsia="Times New Roman" w:cs="Times New Roman"/>
                <w:color w:val="000000"/>
                <w:spacing w:val="4"/>
                <w:sz w:val="17"/>
                <w:szCs w:val="6"/>
              </w:rPr>
              <w:t xml:space="preserve">″ </w:t>
            </w:r>
            <w:r w:rsidRPr="00EC4EC4">
              <w:rPr>
                <w:rFonts w:eastAsia="Times New Roman" w:cs="Times New Roman"/>
                <w:color w:val="000000"/>
                <w:spacing w:val="4"/>
                <w:sz w:val="17"/>
                <w:szCs w:val="17"/>
              </w:rPr>
              <w:t>Type X gypsum wallboard</w:t>
            </w:r>
            <w:r w:rsidRPr="00EC4EC4">
              <w:rPr>
                <w:rFonts w:eastAsia="Times New Roman" w:cs="Times New Roman"/>
                <w:color w:val="000000"/>
                <w:spacing w:val="4"/>
                <w:sz w:val="17"/>
                <w:szCs w:val="17"/>
                <w:vertAlign w:val="superscript"/>
              </w:rPr>
              <w:t>c</w:t>
            </w:r>
            <w:r w:rsidRPr="00EC4EC4">
              <w:rPr>
                <w:rFonts w:eastAsia="Times New Roman" w:cs="Times New Roman"/>
                <w:color w:val="000000"/>
                <w:spacing w:val="4"/>
                <w:sz w:val="17"/>
                <w:szCs w:val="17"/>
              </w:rPr>
              <w:t xml:space="preserve"> nailed to joists with 5d cooler</w:t>
            </w:r>
            <w:r w:rsidRPr="00EC4EC4">
              <w:rPr>
                <w:rFonts w:eastAsia="Times New Roman" w:cs="Times New Roman"/>
                <w:color w:val="000000"/>
                <w:spacing w:val="4"/>
                <w:sz w:val="17"/>
                <w:szCs w:val="17"/>
                <w:vertAlign w:val="superscript"/>
              </w:rPr>
              <w:t>o</w:t>
            </w:r>
            <w:r w:rsidRPr="00EC4EC4">
              <w:rPr>
                <w:rFonts w:eastAsia="Times New Roman" w:cs="Times New Roman"/>
                <w:color w:val="000000"/>
                <w:spacing w:val="4"/>
                <w:sz w:val="17"/>
                <w:szCs w:val="17"/>
              </w:rPr>
              <w:t xml:space="preserve"> or wallboard</w:t>
            </w:r>
            <w:r w:rsidRPr="00EC4EC4">
              <w:rPr>
                <w:rFonts w:eastAsia="Times New Roman" w:cs="Times New Roman"/>
                <w:color w:val="000000"/>
                <w:spacing w:val="4"/>
                <w:sz w:val="17"/>
                <w:szCs w:val="17"/>
                <w:vertAlign w:val="superscript"/>
              </w:rPr>
              <w:t>o</w:t>
            </w:r>
            <w:r w:rsidRPr="00EC4EC4">
              <w:rPr>
                <w:rFonts w:eastAsia="Times New Roman" w:cs="Times New Roman"/>
                <w:color w:val="000000"/>
                <w:spacing w:val="4"/>
                <w:sz w:val="17"/>
                <w:szCs w:val="17"/>
              </w:rPr>
              <w:t xml:space="preserve"> nails at 6</w:t>
            </w:r>
            <w:r w:rsidRPr="00EC4EC4">
              <w:rPr>
                <w:rFonts w:eastAsia="Times New Roman" w:cs="Times New Roman"/>
                <w:color w:val="000000"/>
                <w:spacing w:val="4"/>
                <w:sz w:val="17"/>
                <w:szCs w:val="6"/>
              </w:rPr>
              <w:t xml:space="preserve">″ </w:t>
            </w:r>
            <w:r w:rsidRPr="00EC4EC4">
              <w:rPr>
                <w:rFonts w:eastAsia="Times New Roman" w:cs="Times New Roman"/>
                <w:color w:val="000000"/>
                <w:spacing w:val="4"/>
                <w:sz w:val="17"/>
                <w:szCs w:val="17"/>
              </w:rPr>
              <w:t xml:space="preserve">on center. End </w:t>
            </w:r>
            <w:r w:rsidRPr="00EC4EC4">
              <w:rPr>
                <w:rFonts w:eastAsia="Times New Roman" w:cs="Times New Roman"/>
                <w:color w:val="000000"/>
                <w:spacing w:val="3"/>
                <w:sz w:val="17"/>
                <w:szCs w:val="17"/>
              </w:rPr>
              <w:t>joints of wallboard centered on joists.</w:t>
            </w:r>
          </w:p>
        </w:tc>
        <w:tc>
          <w:tcPr>
            <w:tcW w:w="232" w:type="pct"/>
            <w:tcBorders>
              <w:top w:val="single" w:sz="2" w:space="0" w:color="auto"/>
              <w:left w:val="single" w:sz="2" w:space="0" w:color="auto"/>
              <w:bottom w:val="single" w:sz="2" w:space="0" w:color="auto"/>
              <w:right w:val="single" w:sz="2" w:space="0" w:color="auto"/>
            </w:tcBorders>
            <w:vAlign w:val="center"/>
          </w:tcPr>
          <w:p w14:paraId="39341A06"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74" w:type="pct"/>
            <w:tcBorders>
              <w:top w:val="single" w:sz="2" w:space="0" w:color="auto"/>
              <w:left w:val="single" w:sz="2" w:space="0" w:color="auto"/>
              <w:bottom w:val="single" w:sz="2" w:space="0" w:color="auto"/>
              <w:right w:val="single" w:sz="2" w:space="0" w:color="auto"/>
            </w:tcBorders>
            <w:vAlign w:val="center"/>
          </w:tcPr>
          <w:p w14:paraId="1ED73C83"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414" w:type="pct"/>
            <w:tcBorders>
              <w:top w:val="single" w:sz="2" w:space="0" w:color="auto"/>
              <w:left w:val="single" w:sz="2" w:space="0" w:color="auto"/>
              <w:bottom w:val="single" w:sz="2" w:space="0" w:color="auto"/>
              <w:right w:val="single" w:sz="2" w:space="0" w:color="auto"/>
            </w:tcBorders>
            <w:vAlign w:val="center"/>
          </w:tcPr>
          <w:p w14:paraId="42392962"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421" w:type="pct"/>
            <w:tcBorders>
              <w:top w:val="single" w:sz="2" w:space="0" w:color="auto"/>
              <w:left w:val="single" w:sz="2" w:space="0" w:color="auto"/>
              <w:bottom w:val="single" w:sz="2" w:space="0" w:color="auto"/>
              <w:right w:val="single" w:sz="2" w:space="0" w:color="auto"/>
            </w:tcBorders>
            <w:vAlign w:val="center"/>
          </w:tcPr>
          <w:p w14:paraId="25F56C7F"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205" w:type="pct"/>
            <w:tcBorders>
              <w:top w:val="single" w:sz="2" w:space="0" w:color="auto"/>
              <w:left w:val="single" w:sz="2" w:space="0" w:color="auto"/>
              <w:bottom w:val="single" w:sz="2" w:space="0" w:color="auto"/>
              <w:right w:val="single" w:sz="2" w:space="0" w:color="auto"/>
            </w:tcBorders>
            <w:vAlign w:val="center"/>
          </w:tcPr>
          <w:p w14:paraId="534FFA16"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20" w:type="pct"/>
            <w:tcBorders>
              <w:top w:val="single" w:sz="2" w:space="0" w:color="auto"/>
              <w:left w:val="single" w:sz="2" w:space="0" w:color="auto"/>
              <w:bottom w:val="single" w:sz="2" w:space="0" w:color="auto"/>
              <w:right w:val="single" w:sz="2" w:space="0" w:color="auto"/>
            </w:tcBorders>
            <w:vAlign w:val="center"/>
          </w:tcPr>
          <w:p w14:paraId="3E39EF71"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46" w:type="pct"/>
            <w:tcBorders>
              <w:top w:val="single" w:sz="2" w:space="0" w:color="auto"/>
              <w:left w:val="single" w:sz="2" w:space="0" w:color="auto"/>
              <w:bottom w:val="single" w:sz="2" w:space="0" w:color="auto"/>
              <w:right w:val="single" w:sz="2" w:space="0" w:color="auto"/>
            </w:tcBorders>
            <w:vAlign w:val="center"/>
          </w:tcPr>
          <w:p w14:paraId="4FA38689"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z w:val="17"/>
                <w:szCs w:val="17"/>
              </w:rPr>
              <w:t>—</w:t>
            </w:r>
          </w:p>
        </w:tc>
        <w:tc>
          <w:tcPr>
            <w:tcW w:w="342" w:type="pct"/>
            <w:gridSpan w:val="2"/>
            <w:tcBorders>
              <w:top w:val="single" w:sz="2" w:space="0" w:color="auto"/>
              <w:left w:val="single" w:sz="2" w:space="0" w:color="auto"/>
              <w:bottom w:val="single" w:sz="2" w:space="0" w:color="auto"/>
              <w:right w:val="single" w:sz="2" w:space="0" w:color="auto"/>
            </w:tcBorders>
            <w:vAlign w:val="center"/>
          </w:tcPr>
          <w:p w14:paraId="4F6D105B" w14:textId="77777777" w:rsidR="00140B7C" w:rsidRPr="00EC4EC4" w:rsidRDefault="00140B7C" w:rsidP="00BC1087">
            <w:pPr>
              <w:spacing w:after="0" w:line="240" w:lineRule="auto"/>
              <w:jc w:val="center"/>
              <w:rPr>
                <w:rFonts w:eastAsia="Times New Roman" w:cs="Times New Roman"/>
                <w:color w:val="000000"/>
                <w:sz w:val="17"/>
                <w:szCs w:val="17"/>
              </w:rPr>
            </w:pPr>
            <w:r w:rsidRPr="00EC4EC4">
              <w:rPr>
                <w:rFonts w:eastAsia="Times New Roman" w:cs="Times New Roman"/>
                <w:color w:val="000000"/>
                <w:sz w:val="17"/>
                <w:szCs w:val="17"/>
                <w:vertAlign w:val="superscript"/>
              </w:rPr>
              <w:t>1</w:t>
            </w:r>
            <w:r w:rsidRPr="00EC4EC4">
              <w:rPr>
                <w:rFonts w:eastAsia="Times New Roman" w:cs="Times New Roman"/>
                <w:color w:val="000000"/>
                <w:sz w:val="17"/>
                <w:szCs w:val="17"/>
              </w:rPr>
              <w:t>/</w:t>
            </w:r>
            <w:r w:rsidRPr="00EC4EC4">
              <w:rPr>
                <w:rFonts w:eastAsia="Times New Roman" w:cs="Times New Roman"/>
                <w:color w:val="000000"/>
                <w:sz w:val="17"/>
                <w:szCs w:val="17"/>
                <w:vertAlign w:val="subscript"/>
              </w:rPr>
              <w:t>2</w:t>
            </w:r>
          </w:p>
        </w:tc>
      </w:tr>
    </w:tbl>
    <w:p w14:paraId="37201D44" w14:textId="77777777" w:rsidR="00140B7C" w:rsidRPr="00EC4EC4" w:rsidRDefault="00140B7C" w:rsidP="00140B7C">
      <w:pPr>
        <w:spacing w:after="0" w:line="240" w:lineRule="auto"/>
        <w:ind w:left="360"/>
        <w:jc w:val="both"/>
        <w:rPr>
          <w:rFonts w:eastAsia="Times New Roman" w:cs="Times New Roman"/>
          <w:b/>
          <w:color w:val="000000"/>
          <w:sz w:val="14"/>
          <w:szCs w:val="14"/>
        </w:rPr>
      </w:pPr>
    </w:p>
    <w:p w14:paraId="660F8BAC" w14:textId="77777777" w:rsidR="00140B7C" w:rsidRPr="00EC4EC4" w:rsidRDefault="00140B7C" w:rsidP="00140B7C">
      <w:pPr>
        <w:widowControl w:val="0"/>
        <w:kinsoku w:val="0"/>
        <w:spacing w:after="0" w:line="240" w:lineRule="auto"/>
        <w:jc w:val="both"/>
        <w:rPr>
          <w:rFonts w:eastAsia="Times New Roman" w:cs="Times New Roman"/>
          <w:color w:val="000000"/>
          <w:spacing w:val="1"/>
          <w:sz w:val="14"/>
          <w:szCs w:val="14"/>
        </w:rPr>
      </w:pPr>
    </w:p>
    <w:p w14:paraId="7D6E3ABE"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szCs w:val="24"/>
        </w:rPr>
      </w:pPr>
    </w:p>
    <w:p w14:paraId="08D0957F" w14:textId="77777777" w:rsidR="00140B7C" w:rsidRPr="00EC4EC4" w:rsidRDefault="00140B7C" w:rsidP="00140B7C">
      <w:pPr>
        <w:kinsoku w:val="0"/>
        <w:spacing w:after="240" w:line="240" w:lineRule="auto"/>
        <w:ind w:firstLine="720"/>
        <w:jc w:val="both"/>
        <w:rPr>
          <w:rFonts w:cs="Times New Roman"/>
          <w:sz w:val="23"/>
          <w:szCs w:val="23"/>
        </w:rPr>
      </w:pPr>
      <w:bookmarkStart w:id="57" w:name="_Toc389734817"/>
      <w:bookmarkStart w:id="58" w:name="_Toc389743379"/>
    </w:p>
    <w:p w14:paraId="4503D006" w14:textId="29FAF34C" w:rsidR="00140B7C" w:rsidRPr="00EC4EC4" w:rsidRDefault="00140B7C" w:rsidP="00140B7C">
      <w:pPr>
        <w:kinsoku w:val="0"/>
        <w:spacing w:after="240" w:line="240" w:lineRule="auto"/>
        <w:ind w:firstLine="720"/>
        <w:jc w:val="both"/>
        <w:rPr>
          <w:rFonts w:cs="Times New Roman"/>
          <w:sz w:val="23"/>
          <w:szCs w:val="23"/>
        </w:rPr>
      </w:pPr>
      <w:r w:rsidRPr="00601AA0">
        <w:rPr>
          <w:rFonts w:cs="Times New Roman"/>
          <w:sz w:val="23"/>
          <w:szCs w:val="23"/>
        </w:rPr>
        <w:t>§</w:t>
      </w:r>
      <w:r>
        <w:rPr>
          <w:rFonts w:cs="Times New Roman"/>
          <w:sz w:val="23"/>
          <w:szCs w:val="23"/>
        </w:rPr>
        <w:t>1</w:t>
      </w:r>
      <w:r w:rsidR="001B3EB0">
        <w:rPr>
          <w:rFonts w:cs="Times New Roman"/>
          <w:sz w:val="23"/>
          <w:szCs w:val="23"/>
        </w:rPr>
        <w:t>31</w:t>
      </w:r>
      <w:r w:rsidRPr="00601AA0">
        <w:rPr>
          <w:rFonts w:cs="Times New Roman"/>
          <w:sz w:val="23"/>
          <w:szCs w:val="23"/>
        </w:rPr>
        <w:t>. Table 72</w:t>
      </w:r>
      <w:r>
        <w:rPr>
          <w:rFonts w:cs="Times New Roman"/>
          <w:sz w:val="23"/>
          <w:szCs w:val="23"/>
        </w:rPr>
        <w:t>2</w:t>
      </w:r>
      <w:r w:rsidRPr="00601AA0">
        <w:rPr>
          <w:rFonts w:cs="Times New Roman"/>
          <w:sz w:val="23"/>
          <w:szCs w:val="23"/>
        </w:rPr>
        <w:t>.5.1(7) of  the New York city building code, as renumbered and amended by local law number 126 for the year 2021, is amended to read as follows:</w:t>
      </w:r>
    </w:p>
    <w:tbl>
      <w:tblPr>
        <w:tblW w:w="0" w:type="auto"/>
        <w:jc w:val="center"/>
        <w:tblLayout w:type="fixed"/>
        <w:tblCellMar>
          <w:left w:w="0" w:type="dxa"/>
          <w:right w:w="0" w:type="dxa"/>
        </w:tblCellMar>
        <w:tblLook w:val="0000" w:firstRow="0" w:lastRow="0" w:firstColumn="0" w:lastColumn="0" w:noHBand="0" w:noVBand="0"/>
      </w:tblPr>
      <w:tblGrid>
        <w:gridCol w:w="1286"/>
        <w:gridCol w:w="725"/>
        <w:gridCol w:w="725"/>
        <w:gridCol w:w="725"/>
        <w:gridCol w:w="725"/>
        <w:gridCol w:w="734"/>
      </w:tblGrid>
      <w:tr w:rsidR="00140B7C" w:rsidRPr="00EC4EC4" w14:paraId="2BAA2F83" w14:textId="77777777" w:rsidTr="00BC1087">
        <w:trPr>
          <w:cantSplit/>
          <w:trHeight w:hRule="exact" w:val="1490"/>
          <w:tblHeader/>
          <w:jc w:val="center"/>
        </w:trPr>
        <w:tc>
          <w:tcPr>
            <w:tcW w:w="4920" w:type="dxa"/>
            <w:gridSpan w:val="6"/>
            <w:tcBorders>
              <w:bottom w:val="single" w:sz="4" w:space="0" w:color="auto"/>
            </w:tcBorders>
            <w:vAlign w:val="center"/>
          </w:tcPr>
          <w:p w14:paraId="3E505A6F" w14:textId="77777777" w:rsidR="00140B7C" w:rsidRPr="00EC4EC4" w:rsidRDefault="00140B7C" w:rsidP="00BC1087">
            <w:pPr>
              <w:spacing w:after="0" w:line="240" w:lineRule="auto"/>
              <w:ind w:left="30"/>
              <w:jc w:val="center"/>
              <w:rPr>
                <w:rFonts w:eastAsia="Times New Roman" w:cs="Times New Roman"/>
                <w:b/>
                <w:bCs/>
                <w:color w:val="000000"/>
                <w:sz w:val="20"/>
                <w:szCs w:val="20"/>
              </w:rPr>
            </w:pPr>
            <w:r w:rsidRPr="00EC4EC4">
              <w:rPr>
                <w:rFonts w:eastAsia="Times New Roman" w:cs="Times New Roman"/>
                <w:b/>
                <w:bCs/>
                <w:color w:val="000000"/>
                <w:sz w:val="20"/>
                <w:szCs w:val="20"/>
              </w:rPr>
              <w:t>TABLE 722.5.1(7)</w:t>
            </w:r>
            <w:r w:rsidRPr="00EC4EC4">
              <w:rPr>
                <w:rFonts w:eastAsia="Times New Roman" w:cs="Times New Roman"/>
                <w:b/>
                <w:bCs/>
                <w:color w:val="000000"/>
                <w:sz w:val="20"/>
                <w:szCs w:val="20"/>
              </w:rPr>
              <w:br/>
              <w:t>MINIMUM COVER (inch) FOR STEEL COLUMNS ENCASED IN NORMAL-WEIGHT CONCRETE</w:t>
            </w:r>
            <w:r w:rsidRPr="00EC4EC4">
              <w:rPr>
                <w:rFonts w:eastAsia="Times New Roman" w:cs="Times New Roman"/>
                <w:b/>
                <w:bCs/>
                <w:color w:val="000000"/>
                <w:sz w:val="20"/>
                <w:szCs w:val="20"/>
                <w:vertAlign w:val="superscript"/>
              </w:rPr>
              <w:t>a</w:t>
            </w:r>
            <w:r w:rsidRPr="00EC4EC4">
              <w:rPr>
                <w:rFonts w:eastAsia="Times New Roman" w:cs="Times New Roman"/>
                <w:b/>
                <w:bCs/>
                <w:color w:val="000000"/>
                <w:sz w:val="20"/>
                <w:szCs w:val="20"/>
                <w:vertAlign w:val="superscript"/>
              </w:rPr>
              <w:br/>
            </w:r>
            <w:r w:rsidRPr="00EC4EC4">
              <w:rPr>
                <w:rFonts w:eastAsia="Times New Roman" w:cs="Times New Roman"/>
                <w:b/>
                <w:bCs/>
                <w:color w:val="000000"/>
                <w:spacing w:val="-2"/>
                <w:sz w:val="20"/>
                <w:szCs w:val="20"/>
              </w:rPr>
              <w:t>[</w:t>
            </w:r>
            <w:r w:rsidRPr="00EC4EC4">
              <w:rPr>
                <w:rFonts w:eastAsia="Times New Roman" w:cs="Times New Roman"/>
                <w:b/>
                <w:bCs/>
                <w:strike/>
                <w:color w:val="000000"/>
                <w:spacing w:val="-2"/>
                <w:sz w:val="20"/>
                <w:szCs w:val="20"/>
              </w:rPr>
              <w:t>[</w:t>
            </w:r>
            <w:r w:rsidRPr="00EC4EC4">
              <w:rPr>
                <w:rFonts w:eastAsia="Times New Roman" w:cs="Times New Roman"/>
                <w:b/>
                <w:bCs/>
                <w:color w:val="000000"/>
                <w:spacing w:val="-2"/>
                <w:sz w:val="20"/>
                <w:szCs w:val="20"/>
              </w:rPr>
              <w:t>]FIGURE 722.5.1(6)(c)[</w:t>
            </w:r>
            <w:r w:rsidRPr="00EC4EC4">
              <w:rPr>
                <w:rFonts w:eastAsia="Times New Roman" w:cs="Times New Roman"/>
                <w:b/>
                <w:bCs/>
                <w:strike/>
                <w:color w:val="000000"/>
                <w:spacing w:val="-2"/>
                <w:sz w:val="20"/>
                <w:szCs w:val="20"/>
              </w:rPr>
              <w:t>]</w:t>
            </w:r>
            <w:r w:rsidRPr="00EC4EC4">
              <w:rPr>
                <w:rFonts w:eastAsia="Times New Roman" w:cs="Times New Roman"/>
                <w:b/>
                <w:bCs/>
                <w:color w:val="000000"/>
                <w:spacing w:val="-2"/>
                <w:sz w:val="20"/>
                <w:szCs w:val="20"/>
              </w:rPr>
              <w:t>]</w:t>
            </w:r>
          </w:p>
        </w:tc>
      </w:tr>
      <w:tr w:rsidR="00140B7C" w:rsidRPr="00EC4EC4" w14:paraId="648C9611" w14:textId="77777777" w:rsidTr="00BC1087">
        <w:trPr>
          <w:cantSplit/>
          <w:trHeight w:hRule="exact" w:val="283"/>
          <w:tblHeader/>
          <w:jc w:val="center"/>
        </w:trPr>
        <w:tc>
          <w:tcPr>
            <w:tcW w:w="1286" w:type="dxa"/>
            <w:vMerge w:val="restart"/>
            <w:tcBorders>
              <w:top w:val="single" w:sz="4" w:space="0" w:color="auto"/>
              <w:left w:val="single" w:sz="2" w:space="0" w:color="auto"/>
              <w:bottom w:val="nil"/>
              <w:right w:val="single" w:sz="2" w:space="0" w:color="auto"/>
            </w:tcBorders>
            <w:vAlign w:val="bottom"/>
          </w:tcPr>
          <w:p w14:paraId="3AED909A" w14:textId="77777777" w:rsidR="00140B7C" w:rsidRPr="00EC4EC4" w:rsidRDefault="00140B7C" w:rsidP="00BC1087">
            <w:pPr>
              <w:spacing w:before="216" w:after="0" w:line="240" w:lineRule="auto"/>
              <w:ind w:left="30"/>
              <w:jc w:val="center"/>
              <w:rPr>
                <w:rFonts w:eastAsia="Times New Roman" w:cs="Times New Roman"/>
                <w:b/>
                <w:bCs/>
                <w:color w:val="000000"/>
                <w:sz w:val="14"/>
                <w:szCs w:val="14"/>
              </w:rPr>
            </w:pPr>
            <w:r w:rsidRPr="00EC4EC4">
              <w:rPr>
                <w:rFonts w:eastAsia="Times New Roman" w:cs="Times New Roman"/>
                <w:b/>
                <w:bCs/>
                <w:color w:val="000000"/>
                <w:sz w:val="14"/>
                <w:szCs w:val="14"/>
              </w:rPr>
              <w:t>STRUCTURAL</w:t>
            </w:r>
            <w:r w:rsidRPr="00EC4EC4">
              <w:rPr>
                <w:rFonts w:eastAsia="Times New Roman" w:cs="Times New Roman"/>
                <w:b/>
                <w:bCs/>
                <w:color w:val="000000"/>
                <w:sz w:val="14"/>
                <w:szCs w:val="14"/>
              </w:rPr>
              <w:br/>
              <w:t>SHAPE</w:t>
            </w:r>
          </w:p>
        </w:tc>
        <w:tc>
          <w:tcPr>
            <w:tcW w:w="3634" w:type="dxa"/>
            <w:gridSpan w:val="5"/>
            <w:tcBorders>
              <w:top w:val="single" w:sz="4" w:space="0" w:color="auto"/>
              <w:left w:val="single" w:sz="2" w:space="0" w:color="auto"/>
              <w:bottom w:val="single" w:sz="2" w:space="0" w:color="auto"/>
              <w:right w:val="single" w:sz="2" w:space="0" w:color="auto"/>
            </w:tcBorders>
            <w:vAlign w:val="center"/>
          </w:tcPr>
          <w:p w14:paraId="46D13FE2"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FIRE-RESISTANCE RATING (hours)</w:t>
            </w:r>
          </w:p>
        </w:tc>
      </w:tr>
      <w:tr w:rsidR="00140B7C" w:rsidRPr="00EC4EC4" w14:paraId="790A811A" w14:textId="77777777" w:rsidTr="00BC1087">
        <w:trPr>
          <w:cantSplit/>
          <w:trHeight w:hRule="exact" w:val="283"/>
          <w:tblHeader/>
          <w:jc w:val="center"/>
        </w:trPr>
        <w:tc>
          <w:tcPr>
            <w:tcW w:w="1286" w:type="dxa"/>
            <w:vMerge/>
            <w:tcBorders>
              <w:top w:val="nil"/>
              <w:left w:val="single" w:sz="2" w:space="0" w:color="auto"/>
              <w:bottom w:val="single" w:sz="2" w:space="0" w:color="auto"/>
              <w:right w:val="single" w:sz="2" w:space="0" w:color="auto"/>
            </w:tcBorders>
            <w:vAlign w:val="bottom"/>
          </w:tcPr>
          <w:p w14:paraId="006609A2" w14:textId="77777777" w:rsidR="00140B7C" w:rsidRPr="00EC4EC4" w:rsidRDefault="00140B7C" w:rsidP="00BC1087">
            <w:pPr>
              <w:spacing w:after="0" w:line="240" w:lineRule="auto"/>
              <w:ind w:left="30"/>
              <w:jc w:val="both"/>
              <w:rPr>
                <w:rFonts w:eastAsia="Times New Roman" w:cs="Times New Roman"/>
                <w:b/>
                <w:bCs/>
                <w:color w:val="000000"/>
                <w:sz w:val="14"/>
                <w:szCs w:val="14"/>
              </w:rPr>
            </w:pPr>
          </w:p>
        </w:tc>
        <w:tc>
          <w:tcPr>
            <w:tcW w:w="725" w:type="dxa"/>
            <w:tcBorders>
              <w:top w:val="single" w:sz="2" w:space="0" w:color="auto"/>
              <w:left w:val="single" w:sz="2" w:space="0" w:color="auto"/>
              <w:bottom w:val="single" w:sz="2" w:space="0" w:color="auto"/>
              <w:right w:val="single" w:sz="2" w:space="0" w:color="auto"/>
            </w:tcBorders>
            <w:vAlign w:val="center"/>
          </w:tcPr>
          <w:p w14:paraId="658C3E34"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1</w:t>
            </w:r>
          </w:p>
        </w:tc>
        <w:tc>
          <w:tcPr>
            <w:tcW w:w="725" w:type="dxa"/>
            <w:tcBorders>
              <w:top w:val="single" w:sz="2" w:space="0" w:color="auto"/>
              <w:left w:val="single" w:sz="2" w:space="0" w:color="auto"/>
              <w:bottom w:val="single" w:sz="2" w:space="0" w:color="auto"/>
              <w:right w:val="single" w:sz="2" w:space="0" w:color="auto"/>
            </w:tcBorders>
            <w:vAlign w:val="center"/>
          </w:tcPr>
          <w:p w14:paraId="503B2D21" w14:textId="77777777" w:rsidR="00140B7C" w:rsidRPr="00EC4EC4" w:rsidRDefault="00140B7C" w:rsidP="00BC1087">
            <w:pPr>
              <w:spacing w:after="0" w:line="240" w:lineRule="auto"/>
              <w:jc w:val="center"/>
              <w:rPr>
                <w:rFonts w:eastAsia="Times New Roman" w:cs="Times New Roman"/>
                <w:b/>
                <w:bCs/>
                <w:color w:val="000000"/>
                <w:spacing w:val="-2"/>
                <w:sz w:val="6"/>
                <w:szCs w:val="6"/>
              </w:rPr>
            </w:pPr>
            <w:r w:rsidRPr="00EC4EC4">
              <w:rPr>
                <w:rFonts w:eastAsia="Times New Roman" w:cs="Times New Roman"/>
                <w:b/>
                <w:bCs/>
                <w:color w:val="000000"/>
                <w:spacing w:val="-2"/>
                <w:sz w:val="14"/>
                <w:szCs w:val="14"/>
              </w:rPr>
              <w:t>1</w:t>
            </w:r>
            <w:r w:rsidRPr="00EC4EC4">
              <w:rPr>
                <w:rFonts w:eastAsia="Times New Roman" w:cs="Times New Roman"/>
                <w:b/>
                <w:bCs/>
                <w:color w:val="000000"/>
                <w:spacing w:val="-2"/>
                <w:sz w:val="14"/>
                <w:szCs w:val="14"/>
                <w:vertAlign w:val="superscript"/>
              </w:rPr>
              <w:t>1</w:t>
            </w:r>
            <w:r w:rsidRPr="00EC4EC4">
              <w:rPr>
                <w:rFonts w:eastAsia="Times New Roman" w:cs="Times New Roman"/>
                <w:b/>
                <w:bCs/>
                <w:color w:val="000000"/>
                <w:spacing w:val="-2"/>
                <w:sz w:val="14"/>
                <w:szCs w:val="14"/>
              </w:rPr>
              <w:t>/</w:t>
            </w:r>
            <w:r w:rsidRPr="00EC4EC4">
              <w:rPr>
                <w:rFonts w:eastAsia="Times New Roman" w:cs="Times New Roman"/>
                <w:b/>
                <w:bCs/>
                <w:color w:val="000000"/>
                <w:spacing w:val="-2"/>
                <w:w w:val="120"/>
                <w:sz w:val="14"/>
                <w:szCs w:val="14"/>
                <w:vertAlign w:val="subscript"/>
              </w:rPr>
              <w:t>2</w:t>
            </w:r>
          </w:p>
        </w:tc>
        <w:tc>
          <w:tcPr>
            <w:tcW w:w="725" w:type="dxa"/>
            <w:tcBorders>
              <w:top w:val="single" w:sz="2" w:space="0" w:color="auto"/>
              <w:left w:val="single" w:sz="2" w:space="0" w:color="auto"/>
              <w:bottom w:val="single" w:sz="2" w:space="0" w:color="auto"/>
              <w:right w:val="single" w:sz="2" w:space="0" w:color="auto"/>
            </w:tcBorders>
            <w:vAlign w:val="center"/>
          </w:tcPr>
          <w:p w14:paraId="093F23DB"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2</w:t>
            </w:r>
          </w:p>
        </w:tc>
        <w:tc>
          <w:tcPr>
            <w:tcW w:w="725" w:type="dxa"/>
            <w:tcBorders>
              <w:top w:val="single" w:sz="2" w:space="0" w:color="auto"/>
              <w:left w:val="single" w:sz="2" w:space="0" w:color="auto"/>
              <w:bottom w:val="single" w:sz="2" w:space="0" w:color="auto"/>
              <w:right w:val="single" w:sz="2" w:space="0" w:color="auto"/>
            </w:tcBorders>
            <w:vAlign w:val="center"/>
          </w:tcPr>
          <w:p w14:paraId="564F4C5E"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3</w:t>
            </w:r>
          </w:p>
        </w:tc>
        <w:tc>
          <w:tcPr>
            <w:tcW w:w="734" w:type="dxa"/>
            <w:tcBorders>
              <w:top w:val="single" w:sz="2" w:space="0" w:color="auto"/>
              <w:left w:val="single" w:sz="2" w:space="0" w:color="auto"/>
              <w:bottom w:val="single" w:sz="2" w:space="0" w:color="auto"/>
              <w:right w:val="single" w:sz="2" w:space="0" w:color="auto"/>
            </w:tcBorders>
            <w:vAlign w:val="center"/>
          </w:tcPr>
          <w:p w14:paraId="3B319AC0"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4</w:t>
            </w:r>
          </w:p>
        </w:tc>
      </w:tr>
      <w:tr w:rsidR="00140B7C" w:rsidRPr="00EC4EC4" w14:paraId="1B2859EF" w14:textId="77777777" w:rsidTr="00BC1087">
        <w:trPr>
          <w:cantSplit/>
          <w:trHeight w:hRule="exact" w:val="317"/>
          <w:jc w:val="center"/>
        </w:trPr>
        <w:tc>
          <w:tcPr>
            <w:tcW w:w="1286" w:type="dxa"/>
            <w:tcBorders>
              <w:top w:val="single" w:sz="2" w:space="0" w:color="auto"/>
              <w:left w:val="single" w:sz="2" w:space="0" w:color="auto"/>
              <w:bottom w:val="single" w:sz="2" w:space="0" w:color="auto"/>
              <w:right w:val="single" w:sz="2" w:space="0" w:color="auto"/>
            </w:tcBorders>
            <w:vAlign w:val="center"/>
          </w:tcPr>
          <w:p w14:paraId="2307BBFB" w14:textId="77777777" w:rsidR="00140B7C" w:rsidRPr="00EC4EC4" w:rsidRDefault="00140B7C" w:rsidP="00BC1087">
            <w:pPr>
              <w:spacing w:after="0" w:line="240" w:lineRule="auto"/>
              <w:ind w:left="30"/>
              <w:jc w:val="center"/>
              <w:rPr>
                <w:rFonts w:eastAsia="Times New Roman" w:cs="Times New Roman"/>
                <w:color w:val="000000"/>
                <w:spacing w:val="-8"/>
                <w:w w:val="110"/>
                <w:sz w:val="18"/>
                <w:szCs w:val="18"/>
              </w:rPr>
            </w:pPr>
            <w:r w:rsidRPr="00EC4EC4">
              <w:rPr>
                <w:rFonts w:eastAsia="Times New Roman" w:cs="Times New Roman"/>
                <w:color w:val="000000"/>
                <w:spacing w:val="-8"/>
                <w:w w:val="110"/>
                <w:sz w:val="18"/>
                <w:szCs w:val="18"/>
              </w:rPr>
              <w:t>W14 × 233</w:t>
            </w:r>
          </w:p>
        </w:tc>
        <w:tc>
          <w:tcPr>
            <w:tcW w:w="725" w:type="dxa"/>
            <w:vMerge w:val="restart"/>
            <w:tcBorders>
              <w:top w:val="single" w:sz="2" w:space="0" w:color="auto"/>
              <w:left w:val="single" w:sz="2" w:space="0" w:color="auto"/>
              <w:right w:val="single" w:sz="2" w:space="0" w:color="auto"/>
            </w:tcBorders>
            <w:vAlign w:val="center"/>
          </w:tcPr>
          <w:p w14:paraId="7AC357A2"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p>
        </w:tc>
        <w:tc>
          <w:tcPr>
            <w:tcW w:w="725" w:type="dxa"/>
            <w:vMerge w:val="restart"/>
            <w:tcBorders>
              <w:top w:val="single" w:sz="2" w:space="0" w:color="auto"/>
              <w:left w:val="single" w:sz="2" w:space="0" w:color="auto"/>
              <w:right w:val="single" w:sz="2" w:space="0" w:color="auto"/>
            </w:tcBorders>
            <w:vAlign w:val="center"/>
          </w:tcPr>
          <w:p w14:paraId="3305DEAF"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p>
        </w:tc>
        <w:tc>
          <w:tcPr>
            <w:tcW w:w="725" w:type="dxa"/>
            <w:vMerge w:val="restart"/>
            <w:tcBorders>
              <w:top w:val="single" w:sz="2" w:space="0" w:color="auto"/>
              <w:left w:val="single" w:sz="2" w:space="0" w:color="auto"/>
              <w:right w:val="single" w:sz="2" w:space="0" w:color="auto"/>
            </w:tcBorders>
            <w:vAlign w:val="center"/>
          </w:tcPr>
          <w:p w14:paraId="033CAABB"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p>
        </w:tc>
        <w:tc>
          <w:tcPr>
            <w:tcW w:w="725" w:type="dxa"/>
            <w:vMerge w:val="restart"/>
            <w:tcBorders>
              <w:top w:val="single" w:sz="2" w:space="0" w:color="auto"/>
              <w:left w:val="single" w:sz="2" w:space="0" w:color="auto"/>
              <w:right w:val="single" w:sz="2" w:space="0" w:color="auto"/>
            </w:tcBorders>
            <w:vAlign w:val="center"/>
          </w:tcPr>
          <w:p w14:paraId="496E8287"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5"/>
                <w:sz w:val="18"/>
                <w:szCs w:val="18"/>
              </w:rPr>
              <w:t xml:space="preserve"> 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34" w:type="dxa"/>
            <w:tcBorders>
              <w:top w:val="single" w:sz="2" w:space="0" w:color="auto"/>
              <w:left w:val="single" w:sz="2" w:space="0" w:color="auto"/>
              <w:bottom w:val="single" w:sz="2" w:space="0" w:color="auto"/>
              <w:right w:val="single" w:sz="2" w:space="0" w:color="auto"/>
            </w:tcBorders>
            <w:vAlign w:val="center"/>
          </w:tcPr>
          <w:p w14:paraId="2F925089"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r>
      <w:tr w:rsidR="00140B7C" w:rsidRPr="00EC4EC4" w14:paraId="389806DF" w14:textId="77777777" w:rsidTr="00BC1087">
        <w:trPr>
          <w:cantSplit/>
          <w:trHeight w:hRule="exact" w:val="216"/>
          <w:jc w:val="center"/>
        </w:trPr>
        <w:tc>
          <w:tcPr>
            <w:tcW w:w="1286" w:type="dxa"/>
            <w:tcBorders>
              <w:top w:val="nil"/>
              <w:left w:val="single" w:sz="2" w:space="0" w:color="auto"/>
              <w:bottom w:val="single" w:sz="2" w:space="0" w:color="auto"/>
              <w:right w:val="single" w:sz="2" w:space="0" w:color="auto"/>
            </w:tcBorders>
            <w:vAlign w:val="center"/>
          </w:tcPr>
          <w:p w14:paraId="760EE835"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176</w:t>
            </w:r>
          </w:p>
        </w:tc>
        <w:tc>
          <w:tcPr>
            <w:tcW w:w="725" w:type="dxa"/>
            <w:vMerge/>
            <w:tcBorders>
              <w:left w:val="single" w:sz="2" w:space="0" w:color="auto"/>
              <w:right w:val="single" w:sz="2" w:space="0" w:color="auto"/>
            </w:tcBorders>
          </w:tcPr>
          <w:p w14:paraId="34EF36E9"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tcPr>
          <w:p w14:paraId="581A53A6"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0507DA54"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25" w:type="dxa"/>
            <w:vMerge/>
            <w:tcBorders>
              <w:left w:val="single" w:sz="2" w:space="0" w:color="auto"/>
              <w:bottom w:val="single" w:sz="2" w:space="0" w:color="auto"/>
              <w:right w:val="single" w:sz="2" w:space="0" w:color="auto"/>
            </w:tcBorders>
            <w:vAlign w:val="center"/>
          </w:tcPr>
          <w:p w14:paraId="194F85E2"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34" w:type="dxa"/>
            <w:vMerge w:val="restart"/>
            <w:tcBorders>
              <w:top w:val="nil"/>
              <w:left w:val="single" w:sz="2" w:space="0" w:color="auto"/>
              <w:right w:val="single" w:sz="2" w:space="0" w:color="auto"/>
            </w:tcBorders>
            <w:vAlign w:val="center"/>
          </w:tcPr>
          <w:p w14:paraId="1ACFFFE0"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r>
      <w:tr w:rsidR="00140B7C" w:rsidRPr="00EC4EC4" w14:paraId="1FE4D5DD" w14:textId="77777777" w:rsidTr="00BC1087">
        <w:trPr>
          <w:cantSplit/>
          <w:trHeight w:hRule="exact" w:val="321"/>
          <w:jc w:val="center"/>
        </w:trPr>
        <w:tc>
          <w:tcPr>
            <w:tcW w:w="1286" w:type="dxa"/>
            <w:tcBorders>
              <w:top w:val="single" w:sz="2" w:space="0" w:color="auto"/>
              <w:left w:val="single" w:sz="2" w:space="0" w:color="auto"/>
              <w:bottom w:val="single" w:sz="2" w:space="0" w:color="auto"/>
              <w:right w:val="single" w:sz="2" w:space="0" w:color="auto"/>
            </w:tcBorders>
            <w:vAlign w:val="center"/>
          </w:tcPr>
          <w:p w14:paraId="3B4C7254"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132</w:t>
            </w:r>
          </w:p>
        </w:tc>
        <w:tc>
          <w:tcPr>
            <w:tcW w:w="725" w:type="dxa"/>
            <w:vMerge/>
            <w:tcBorders>
              <w:left w:val="single" w:sz="2" w:space="0" w:color="auto"/>
              <w:right w:val="single" w:sz="2" w:space="0" w:color="auto"/>
            </w:tcBorders>
          </w:tcPr>
          <w:p w14:paraId="7ECAC7C5"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445EC6CE"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25" w:type="dxa"/>
            <w:vMerge/>
            <w:tcBorders>
              <w:left w:val="single" w:sz="2" w:space="0" w:color="auto"/>
              <w:bottom w:val="single" w:sz="2" w:space="0" w:color="auto"/>
              <w:right w:val="single" w:sz="2" w:space="0" w:color="auto"/>
            </w:tcBorders>
          </w:tcPr>
          <w:p w14:paraId="02FD9898"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val="restart"/>
            <w:tcBorders>
              <w:top w:val="single" w:sz="2" w:space="0" w:color="auto"/>
              <w:left w:val="single" w:sz="2" w:space="0" w:color="auto"/>
              <w:right w:val="single" w:sz="2" w:space="0" w:color="auto"/>
            </w:tcBorders>
            <w:vAlign w:val="center"/>
          </w:tcPr>
          <w:p w14:paraId="55D3A4D5"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2</w:t>
            </w:r>
          </w:p>
        </w:tc>
        <w:tc>
          <w:tcPr>
            <w:tcW w:w="734" w:type="dxa"/>
            <w:vMerge/>
            <w:tcBorders>
              <w:left w:val="single" w:sz="2" w:space="0" w:color="auto"/>
              <w:right w:val="single" w:sz="2" w:space="0" w:color="auto"/>
            </w:tcBorders>
            <w:vAlign w:val="center"/>
          </w:tcPr>
          <w:p w14:paraId="33676044" w14:textId="77777777" w:rsidR="00140B7C" w:rsidRPr="00EC4EC4" w:rsidRDefault="00140B7C" w:rsidP="00BC1087">
            <w:pPr>
              <w:spacing w:after="0" w:line="240" w:lineRule="auto"/>
              <w:ind w:left="4"/>
              <w:jc w:val="center"/>
              <w:rPr>
                <w:rFonts w:eastAsia="Times New Roman" w:cs="Times New Roman"/>
                <w:color w:val="000000"/>
                <w:w w:val="115"/>
                <w:sz w:val="18"/>
                <w:szCs w:val="18"/>
              </w:rPr>
            </w:pPr>
          </w:p>
        </w:tc>
      </w:tr>
      <w:tr w:rsidR="00140B7C" w:rsidRPr="00EC4EC4" w14:paraId="37B1E108" w14:textId="77777777" w:rsidTr="00BC1087">
        <w:trPr>
          <w:cantSplit/>
          <w:trHeight w:hRule="exact" w:val="317"/>
          <w:jc w:val="center"/>
        </w:trPr>
        <w:tc>
          <w:tcPr>
            <w:tcW w:w="1286" w:type="dxa"/>
            <w:tcBorders>
              <w:top w:val="single" w:sz="2" w:space="0" w:color="auto"/>
              <w:left w:val="single" w:sz="2" w:space="0" w:color="auto"/>
              <w:bottom w:val="single" w:sz="2" w:space="0" w:color="auto"/>
              <w:right w:val="single" w:sz="2" w:space="0" w:color="auto"/>
            </w:tcBorders>
            <w:vAlign w:val="center"/>
          </w:tcPr>
          <w:p w14:paraId="28ED4BDD"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90</w:t>
            </w:r>
          </w:p>
        </w:tc>
        <w:tc>
          <w:tcPr>
            <w:tcW w:w="725" w:type="dxa"/>
            <w:vMerge/>
            <w:tcBorders>
              <w:left w:val="single" w:sz="2" w:space="0" w:color="auto"/>
              <w:right w:val="single" w:sz="2" w:space="0" w:color="auto"/>
            </w:tcBorders>
            <w:vAlign w:val="center"/>
          </w:tcPr>
          <w:p w14:paraId="32842930"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25" w:type="dxa"/>
            <w:vMerge/>
            <w:tcBorders>
              <w:left w:val="single" w:sz="2" w:space="0" w:color="auto"/>
              <w:right w:val="single" w:sz="2" w:space="0" w:color="auto"/>
            </w:tcBorders>
          </w:tcPr>
          <w:p w14:paraId="132CF05B"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val="restart"/>
            <w:tcBorders>
              <w:top w:val="single" w:sz="2" w:space="0" w:color="auto"/>
              <w:left w:val="single" w:sz="2" w:space="0" w:color="auto"/>
              <w:right w:val="single" w:sz="2" w:space="0" w:color="auto"/>
            </w:tcBorders>
            <w:vAlign w:val="center"/>
          </w:tcPr>
          <w:p w14:paraId="3E0D8556"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spacing w:val="-4"/>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vMerge/>
            <w:tcBorders>
              <w:left w:val="single" w:sz="2" w:space="0" w:color="auto"/>
              <w:right w:val="single" w:sz="2" w:space="0" w:color="auto"/>
            </w:tcBorders>
            <w:vAlign w:val="center"/>
          </w:tcPr>
          <w:p w14:paraId="27C10983"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34" w:type="dxa"/>
            <w:vMerge/>
            <w:tcBorders>
              <w:left w:val="single" w:sz="2" w:space="0" w:color="auto"/>
              <w:bottom w:val="single" w:sz="2" w:space="0" w:color="auto"/>
              <w:right w:val="single" w:sz="2" w:space="0" w:color="auto"/>
            </w:tcBorders>
          </w:tcPr>
          <w:p w14:paraId="3396B531" w14:textId="77777777" w:rsidR="00140B7C" w:rsidRPr="00EC4EC4" w:rsidRDefault="00140B7C" w:rsidP="00BC1087">
            <w:pPr>
              <w:spacing w:after="0" w:line="240" w:lineRule="auto"/>
              <w:ind w:left="4"/>
              <w:jc w:val="center"/>
              <w:rPr>
                <w:rFonts w:eastAsia="Times New Roman" w:cs="Times New Roman"/>
                <w:color w:val="000000"/>
                <w:sz w:val="18"/>
                <w:szCs w:val="18"/>
              </w:rPr>
            </w:pPr>
          </w:p>
        </w:tc>
      </w:tr>
      <w:tr w:rsidR="00140B7C" w:rsidRPr="00EC4EC4" w14:paraId="07524423" w14:textId="77777777" w:rsidTr="00BC1087">
        <w:trPr>
          <w:cantSplit/>
          <w:trHeight w:hRule="exact" w:val="322"/>
          <w:jc w:val="center"/>
        </w:trPr>
        <w:tc>
          <w:tcPr>
            <w:tcW w:w="1286" w:type="dxa"/>
            <w:tcBorders>
              <w:top w:val="single" w:sz="2" w:space="0" w:color="auto"/>
              <w:left w:val="single" w:sz="2" w:space="0" w:color="auto"/>
              <w:bottom w:val="single" w:sz="2" w:space="0" w:color="auto"/>
              <w:right w:val="single" w:sz="2" w:space="0" w:color="auto"/>
            </w:tcBorders>
            <w:vAlign w:val="center"/>
          </w:tcPr>
          <w:p w14:paraId="3E12CDA4"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61</w:t>
            </w:r>
          </w:p>
        </w:tc>
        <w:tc>
          <w:tcPr>
            <w:tcW w:w="725" w:type="dxa"/>
            <w:vMerge/>
            <w:tcBorders>
              <w:left w:val="single" w:sz="2" w:space="0" w:color="auto"/>
              <w:right w:val="single" w:sz="2" w:space="0" w:color="auto"/>
            </w:tcBorders>
          </w:tcPr>
          <w:p w14:paraId="7267EF55"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18557928"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2215AEF4" w14:textId="77777777" w:rsidR="00140B7C" w:rsidRPr="00EC4EC4" w:rsidRDefault="00140B7C" w:rsidP="00BC1087">
            <w:pPr>
              <w:spacing w:after="0" w:line="240" w:lineRule="auto"/>
              <w:ind w:left="4"/>
              <w:jc w:val="center"/>
              <w:rPr>
                <w:rFonts w:eastAsia="Times New Roman" w:cs="Times New Roman"/>
                <w:color w:val="000000"/>
                <w:spacing w:val="-4"/>
                <w:w w:val="115"/>
                <w:sz w:val="18"/>
                <w:szCs w:val="18"/>
              </w:rPr>
            </w:pPr>
          </w:p>
        </w:tc>
        <w:tc>
          <w:tcPr>
            <w:tcW w:w="725" w:type="dxa"/>
            <w:vMerge/>
            <w:tcBorders>
              <w:left w:val="single" w:sz="2" w:space="0" w:color="auto"/>
              <w:bottom w:val="single" w:sz="2" w:space="0" w:color="auto"/>
              <w:right w:val="single" w:sz="2" w:space="0" w:color="auto"/>
            </w:tcBorders>
            <w:vAlign w:val="center"/>
          </w:tcPr>
          <w:p w14:paraId="34E57BB1"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34" w:type="dxa"/>
            <w:vMerge w:val="restart"/>
            <w:tcBorders>
              <w:top w:val="single" w:sz="2" w:space="0" w:color="auto"/>
              <w:left w:val="single" w:sz="2" w:space="0" w:color="auto"/>
              <w:right w:val="single" w:sz="2" w:space="0" w:color="auto"/>
            </w:tcBorders>
            <w:vAlign w:val="center"/>
          </w:tcPr>
          <w:p w14:paraId="62C6FFDA"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3</w:t>
            </w:r>
          </w:p>
        </w:tc>
      </w:tr>
      <w:tr w:rsidR="00140B7C" w:rsidRPr="00EC4EC4" w14:paraId="377E8B4F" w14:textId="77777777" w:rsidTr="00BC1087">
        <w:trPr>
          <w:cantSplit/>
          <w:trHeight w:hRule="exact" w:val="321"/>
          <w:jc w:val="center"/>
        </w:trPr>
        <w:tc>
          <w:tcPr>
            <w:tcW w:w="1286" w:type="dxa"/>
            <w:tcBorders>
              <w:top w:val="single" w:sz="2" w:space="0" w:color="auto"/>
              <w:left w:val="single" w:sz="2" w:space="0" w:color="auto"/>
              <w:bottom w:val="single" w:sz="2" w:space="0" w:color="auto"/>
              <w:right w:val="single" w:sz="2" w:space="0" w:color="auto"/>
            </w:tcBorders>
            <w:vAlign w:val="center"/>
          </w:tcPr>
          <w:p w14:paraId="7A0CA271"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48</w:t>
            </w:r>
          </w:p>
        </w:tc>
        <w:tc>
          <w:tcPr>
            <w:tcW w:w="725" w:type="dxa"/>
            <w:vMerge/>
            <w:tcBorders>
              <w:left w:val="single" w:sz="2" w:space="0" w:color="auto"/>
              <w:right w:val="single" w:sz="2" w:space="0" w:color="auto"/>
            </w:tcBorders>
          </w:tcPr>
          <w:p w14:paraId="51C0BDF0"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25" w:type="dxa"/>
            <w:vMerge w:val="restart"/>
            <w:tcBorders>
              <w:top w:val="single" w:sz="2" w:space="0" w:color="auto"/>
              <w:left w:val="single" w:sz="2" w:space="0" w:color="auto"/>
              <w:right w:val="single" w:sz="2" w:space="0" w:color="auto"/>
            </w:tcBorders>
            <w:vAlign w:val="center"/>
          </w:tcPr>
          <w:p w14:paraId="6A4387D0" w14:textId="77777777" w:rsidR="00140B7C" w:rsidRPr="00EC4EC4" w:rsidRDefault="00140B7C" w:rsidP="00BC1087">
            <w:pPr>
              <w:spacing w:after="0" w:line="240" w:lineRule="auto"/>
              <w:jc w:val="center"/>
              <w:rPr>
                <w:rFonts w:eastAsia="Times New Roman" w:cs="Times New Roman"/>
                <w:color w:val="000000"/>
                <w:sz w:val="18"/>
                <w:szCs w:val="18"/>
              </w:rPr>
            </w:pPr>
            <w:r w:rsidRPr="00EC4EC4">
              <w:rPr>
                <w:rFonts w:eastAsia="Times New Roman" w:cs="Times New Roman"/>
                <w:color w:val="000000"/>
                <w:spacing w:val="-6"/>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vMerge/>
            <w:tcBorders>
              <w:left w:val="single" w:sz="2" w:space="0" w:color="auto"/>
              <w:right w:val="single" w:sz="2" w:space="0" w:color="auto"/>
            </w:tcBorders>
            <w:vAlign w:val="center"/>
          </w:tcPr>
          <w:p w14:paraId="3BBE186B" w14:textId="77777777" w:rsidR="00140B7C" w:rsidRPr="00EC4EC4" w:rsidRDefault="00140B7C" w:rsidP="00BC1087">
            <w:pPr>
              <w:spacing w:after="0" w:line="240" w:lineRule="auto"/>
              <w:jc w:val="center"/>
              <w:rPr>
                <w:rFonts w:eastAsia="Times New Roman" w:cs="Times New Roman"/>
                <w:color w:val="000000"/>
                <w:sz w:val="18"/>
                <w:szCs w:val="18"/>
              </w:rPr>
            </w:pPr>
          </w:p>
        </w:tc>
        <w:tc>
          <w:tcPr>
            <w:tcW w:w="725" w:type="dxa"/>
            <w:vMerge w:val="restart"/>
            <w:tcBorders>
              <w:top w:val="single" w:sz="2" w:space="0" w:color="auto"/>
              <w:left w:val="single" w:sz="2" w:space="0" w:color="auto"/>
              <w:right w:val="single" w:sz="2" w:space="0" w:color="auto"/>
            </w:tcBorders>
            <w:vAlign w:val="center"/>
          </w:tcPr>
          <w:p w14:paraId="06BBA341" w14:textId="77777777" w:rsidR="00140B7C" w:rsidRPr="00EC4EC4" w:rsidRDefault="00140B7C" w:rsidP="00BC1087">
            <w:pPr>
              <w:spacing w:after="0" w:line="240" w:lineRule="auto"/>
              <w:jc w:val="center"/>
              <w:rPr>
                <w:rFonts w:eastAsia="Times New Roman" w:cs="Times New Roman"/>
                <w:color w:val="000000"/>
                <w:sz w:val="18"/>
                <w:szCs w:val="18"/>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34" w:type="dxa"/>
            <w:vMerge/>
            <w:tcBorders>
              <w:left w:val="single" w:sz="2" w:space="0" w:color="auto"/>
              <w:right w:val="single" w:sz="2" w:space="0" w:color="auto"/>
            </w:tcBorders>
            <w:vAlign w:val="center"/>
          </w:tcPr>
          <w:p w14:paraId="6772BB0B"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r>
      <w:tr w:rsidR="00140B7C" w:rsidRPr="00EC4EC4" w14:paraId="76114780" w14:textId="77777777" w:rsidTr="00BC1087">
        <w:trPr>
          <w:cantSplit/>
          <w:trHeight w:hRule="exact" w:val="317"/>
          <w:jc w:val="center"/>
        </w:trPr>
        <w:tc>
          <w:tcPr>
            <w:tcW w:w="1286" w:type="dxa"/>
            <w:tcBorders>
              <w:top w:val="single" w:sz="2" w:space="0" w:color="auto"/>
              <w:left w:val="single" w:sz="2" w:space="0" w:color="auto"/>
              <w:bottom w:val="single" w:sz="2" w:space="0" w:color="auto"/>
              <w:right w:val="single" w:sz="2" w:space="0" w:color="auto"/>
            </w:tcBorders>
            <w:vAlign w:val="center"/>
          </w:tcPr>
          <w:p w14:paraId="0CB32846"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43</w:t>
            </w:r>
          </w:p>
        </w:tc>
        <w:tc>
          <w:tcPr>
            <w:tcW w:w="725" w:type="dxa"/>
            <w:vMerge/>
            <w:tcBorders>
              <w:left w:val="single" w:sz="2" w:space="0" w:color="auto"/>
              <w:bottom w:val="single" w:sz="2" w:space="0" w:color="auto"/>
              <w:right w:val="single" w:sz="2" w:space="0" w:color="auto"/>
            </w:tcBorders>
          </w:tcPr>
          <w:p w14:paraId="501CBF59"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79E5A2D4" w14:textId="77777777" w:rsidR="00140B7C" w:rsidRPr="00EC4EC4" w:rsidRDefault="00140B7C" w:rsidP="00BC1087">
            <w:pPr>
              <w:spacing w:after="0" w:line="240" w:lineRule="auto"/>
              <w:ind w:left="360"/>
              <w:jc w:val="center"/>
              <w:rPr>
                <w:rFonts w:eastAsia="Times New Roman" w:cs="Times New Roman"/>
                <w:color w:val="000000"/>
                <w:spacing w:val="-6"/>
                <w:w w:val="115"/>
                <w:sz w:val="18"/>
                <w:szCs w:val="18"/>
              </w:rPr>
            </w:pPr>
          </w:p>
        </w:tc>
        <w:tc>
          <w:tcPr>
            <w:tcW w:w="725" w:type="dxa"/>
            <w:vMerge/>
            <w:tcBorders>
              <w:left w:val="single" w:sz="2" w:space="0" w:color="auto"/>
              <w:bottom w:val="single" w:sz="2" w:space="0" w:color="auto"/>
              <w:right w:val="single" w:sz="2" w:space="0" w:color="auto"/>
            </w:tcBorders>
          </w:tcPr>
          <w:p w14:paraId="79A495A0"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3A0D09A5" w14:textId="77777777" w:rsidR="00140B7C" w:rsidRPr="00EC4EC4" w:rsidRDefault="00140B7C" w:rsidP="00BC1087">
            <w:pPr>
              <w:spacing w:after="0" w:line="240" w:lineRule="auto"/>
              <w:ind w:left="360"/>
              <w:jc w:val="center"/>
              <w:rPr>
                <w:rFonts w:eastAsia="Times New Roman" w:cs="Times New Roman"/>
                <w:color w:val="000000"/>
                <w:w w:val="115"/>
                <w:sz w:val="18"/>
                <w:szCs w:val="18"/>
              </w:rPr>
            </w:pPr>
          </w:p>
        </w:tc>
        <w:tc>
          <w:tcPr>
            <w:tcW w:w="734" w:type="dxa"/>
            <w:vMerge/>
            <w:tcBorders>
              <w:left w:val="single" w:sz="2" w:space="0" w:color="auto"/>
              <w:bottom w:val="single" w:sz="2" w:space="0" w:color="auto"/>
              <w:right w:val="single" w:sz="2" w:space="0" w:color="auto"/>
            </w:tcBorders>
          </w:tcPr>
          <w:p w14:paraId="2137D5C9"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r>
      <w:tr w:rsidR="00140B7C" w:rsidRPr="00EC4EC4" w14:paraId="6EC39F16" w14:textId="77777777" w:rsidTr="00BC1087">
        <w:trPr>
          <w:cantSplit/>
          <w:trHeight w:hRule="exact" w:val="322"/>
          <w:jc w:val="center"/>
        </w:trPr>
        <w:tc>
          <w:tcPr>
            <w:tcW w:w="1286" w:type="dxa"/>
            <w:tcBorders>
              <w:top w:val="single" w:sz="2" w:space="0" w:color="auto"/>
              <w:left w:val="single" w:sz="2" w:space="0" w:color="auto"/>
              <w:bottom w:val="single" w:sz="2" w:space="0" w:color="auto"/>
              <w:right w:val="single" w:sz="2" w:space="0" w:color="auto"/>
            </w:tcBorders>
            <w:vAlign w:val="center"/>
          </w:tcPr>
          <w:p w14:paraId="0FF0DE48"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W12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152</w:t>
            </w:r>
          </w:p>
        </w:tc>
        <w:tc>
          <w:tcPr>
            <w:tcW w:w="725" w:type="dxa"/>
            <w:vMerge w:val="restart"/>
            <w:tcBorders>
              <w:top w:val="single" w:sz="2" w:space="0" w:color="auto"/>
              <w:left w:val="single" w:sz="2" w:space="0" w:color="auto"/>
              <w:right w:val="single" w:sz="2" w:space="0" w:color="auto"/>
            </w:tcBorders>
            <w:vAlign w:val="center"/>
          </w:tcPr>
          <w:p w14:paraId="268C2F79"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p>
        </w:tc>
        <w:tc>
          <w:tcPr>
            <w:tcW w:w="725" w:type="dxa"/>
            <w:vMerge w:val="restart"/>
            <w:tcBorders>
              <w:top w:val="single" w:sz="2" w:space="0" w:color="auto"/>
              <w:left w:val="single" w:sz="2" w:space="0" w:color="auto"/>
              <w:right w:val="single" w:sz="2" w:space="0" w:color="auto"/>
            </w:tcBorders>
            <w:vAlign w:val="center"/>
          </w:tcPr>
          <w:p w14:paraId="6B05FB16"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p>
        </w:tc>
        <w:tc>
          <w:tcPr>
            <w:tcW w:w="725" w:type="dxa"/>
            <w:vMerge w:val="restart"/>
            <w:tcBorders>
              <w:top w:val="single" w:sz="2" w:space="0" w:color="auto"/>
              <w:left w:val="single" w:sz="2" w:space="0" w:color="auto"/>
              <w:right w:val="single" w:sz="2" w:space="0" w:color="auto"/>
            </w:tcBorders>
            <w:vAlign w:val="center"/>
          </w:tcPr>
          <w:p w14:paraId="5F7E7BCB"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r w:rsidRPr="00EC4EC4">
              <w:rPr>
                <w:rFonts w:eastAsia="Times New Roman" w:cs="Times New Roman"/>
                <w:color w:val="000000"/>
                <w:w w:val="110"/>
                <w:sz w:val="18"/>
                <w:szCs w:val="18"/>
              </w:rPr>
              <w:t>1</w:t>
            </w:r>
          </w:p>
        </w:tc>
        <w:tc>
          <w:tcPr>
            <w:tcW w:w="725" w:type="dxa"/>
            <w:vMerge w:val="restart"/>
            <w:tcBorders>
              <w:top w:val="single" w:sz="2" w:space="0" w:color="auto"/>
              <w:left w:val="single" w:sz="2" w:space="0" w:color="auto"/>
              <w:right w:val="single" w:sz="2" w:space="0" w:color="auto"/>
            </w:tcBorders>
            <w:vAlign w:val="center"/>
          </w:tcPr>
          <w:p w14:paraId="125FFDE1"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2</w:t>
            </w:r>
          </w:p>
        </w:tc>
        <w:tc>
          <w:tcPr>
            <w:tcW w:w="734" w:type="dxa"/>
            <w:vMerge w:val="restart"/>
            <w:tcBorders>
              <w:top w:val="single" w:sz="2" w:space="0" w:color="auto"/>
              <w:left w:val="single" w:sz="2" w:space="0" w:color="auto"/>
              <w:right w:val="single" w:sz="2" w:space="0" w:color="auto"/>
            </w:tcBorders>
            <w:vAlign w:val="center"/>
          </w:tcPr>
          <w:p w14:paraId="079B6022" w14:textId="77777777" w:rsidR="00140B7C" w:rsidRPr="00EC4EC4" w:rsidRDefault="00140B7C" w:rsidP="00BC1087">
            <w:pPr>
              <w:spacing w:after="0" w:line="240" w:lineRule="auto"/>
              <w:ind w:left="4"/>
              <w:jc w:val="center"/>
              <w:rPr>
                <w:rFonts w:eastAsia="Times New Roman" w:cs="Times New Roman"/>
                <w:color w:val="000000"/>
                <w:w w:val="115"/>
                <w:sz w:val="18"/>
                <w:szCs w:val="18"/>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r>
      <w:tr w:rsidR="00140B7C" w:rsidRPr="00EC4EC4" w14:paraId="579ADCDE" w14:textId="77777777" w:rsidTr="00BC1087">
        <w:trPr>
          <w:cantSplit/>
          <w:trHeight w:hRule="exact" w:val="321"/>
          <w:jc w:val="center"/>
        </w:trPr>
        <w:tc>
          <w:tcPr>
            <w:tcW w:w="1286" w:type="dxa"/>
            <w:tcBorders>
              <w:top w:val="single" w:sz="2" w:space="0" w:color="auto"/>
              <w:left w:val="single" w:sz="2" w:space="0" w:color="auto"/>
              <w:bottom w:val="single" w:sz="2" w:space="0" w:color="auto"/>
              <w:right w:val="single" w:sz="2" w:space="0" w:color="auto"/>
            </w:tcBorders>
            <w:vAlign w:val="center"/>
          </w:tcPr>
          <w:p w14:paraId="61BB0BAC"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96</w:t>
            </w:r>
          </w:p>
        </w:tc>
        <w:tc>
          <w:tcPr>
            <w:tcW w:w="725" w:type="dxa"/>
            <w:vMerge/>
            <w:tcBorders>
              <w:left w:val="single" w:sz="2" w:space="0" w:color="auto"/>
              <w:right w:val="single" w:sz="2" w:space="0" w:color="auto"/>
            </w:tcBorders>
          </w:tcPr>
          <w:p w14:paraId="5FBBA8EA"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3D4BF445"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25" w:type="dxa"/>
            <w:vMerge/>
            <w:tcBorders>
              <w:left w:val="single" w:sz="2" w:space="0" w:color="auto"/>
              <w:bottom w:val="single" w:sz="2" w:space="0" w:color="auto"/>
              <w:right w:val="single" w:sz="2" w:space="0" w:color="auto"/>
            </w:tcBorders>
          </w:tcPr>
          <w:p w14:paraId="25E6DE0C"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24E14A2D"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34" w:type="dxa"/>
            <w:vMerge/>
            <w:tcBorders>
              <w:left w:val="single" w:sz="2" w:space="0" w:color="auto"/>
              <w:bottom w:val="single" w:sz="2" w:space="0" w:color="auto"/>
              <w:right w:val="single" w:sz="2" w:space="0" w:color="auto"/>
            </w:tcBorders>
          </w:tcPr>
          <w:p w14:paraId="71E775B0" w14:textId="77777777" w:rsidR="00140B7C" w:rsidRPr="00EC4EC4" w:rsidRDefault="00140B7C" w:rsidP="00BC1087">
            <w:pPr>
              <w:spacing w:after="0" w:line="240" w:lineRule="auto"/>
              <w:ind w:left="4"/>
              <w:jc w:val="center"/>
              <w:rPr>
                <w:rFonts w:eastAsia="Times New Roman" w:cs="Times New Roman"/>
                <w:color w:val="000000"/>
                <w:sz w:val="18"/>
                <w:szCs w:val="18"/>
              </w:rPr>
            </w:pPr>
          </w:p>
        </w:tc>
      </w:tr>
      <w:tr w:rsidR="00140B7C" w:rsidRPr="00EC4EC4" w14:paraId="54994392" w14:textId="77777777" w:rsidTr="00BC1087">
        <w:trPr>
          <w:cantSplit/>
          <w:trHeight w:hRule="exact" w:val="317"/>
          <w:jc w:val="center"/>
        </w:trPr>
        <w:tc>
          <w:tcPr>
            <w:tcW w:w="1286" w:type="dxa"/>
            <w:tcBorders>
              <w:top w:val="single" w:sz="2" w:space="0" w:color="auto"/>
              <w:left w:val="single" w:sz="2" w:space="0" w:color="auto"/>
              <w:bottom w:val="single" w:sz="2" w:space="0" w:color="auto"/>
              <w:right w:val="single" w:sz="2" w:space="0" w:color="auto"/>
            </w:tcBorders>
            <w:vAlign w:val="center"/>
          </w:tcPr>
          <w:p w14:paraId="6B181B45"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65</w:t>
            </w:r>
          </w:p>
        </w:tc>
        <w:tc>
          <w:tcPr>
            <w:tcW w:w="725" w:type="dxa"/>
            <w:vMerge/>
            <w:tcBorders>
              <w:left w:val="single" w:sz="2" w:space="0" w:color="auto"/>
              <w:right w:val="single" w:sz="2" w:space="0" w:color="auto"/>
            </w:tcBorders>
            <w:vAlign w:val="center"/>
          </w:tcPr>
          <w:p w14:paraId="16DB121E"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25" w:type="dxa"/>
            <w:vMerge w:val="restart"/>
            <w:tcBorders>
              <w:top w:val="single" w:sz="2" w:space="0" w:color="auto"/>
              <w:left w:val="single" w:sz="2" w:space="0" w:color="auto"/>
              <w:right w:val="single" w:sz="2" w:space="0" w:color="auto"/>
            </w:tcBorders>
            <w:vAlign w:val="center"/>
          </w:tcPr>
          <w:p w14:paraId="6D52B9AD"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vMerge w:val="restart"/>
            <w:tcBorders>
              <w:top w:val="single" w:sz="2" w:space="0" w:color="auto"/>
              <w:left w:val="single" w:sz="2" w:space="0" w:color="auto"/>
              <w:right w:val="single" w:sz="2" w:space="0" w:color="auto"/>
            </w:tcBorders>
            <w:vAlign w:val="center"/>
          </w:tcPr>
          <w:p w14:paraId="19AA0535"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vMerge/>
            <w:tcBorders>
              <w:left w:val="single" w:sz="2" w:space="0" w:color="auto"/>
              <w:bottom w:val="single" w:sz="2" w:space="0" w:color="auto"/>
              <w:right w:val="single" w:sz="2" w:space="0" w:color="auto"/>
            </w:tcBorders>
            <w:vAlign w:val="center"/>
          </w:tcPr>
          <w:p w14:paraId="2A967056"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34" w:type="dxa"/>
            <w:vMerge w:val="restart"/>
            <w:tcBorders>
              <w:top w:val="single" w:sz="2" w:space="0" w:color="auto"/>
              <w:left w:val="single" w:sz="2" w:space="0" w:color="auto"/>
              <w:right w:val="single" w:sz="2" w:space="0" w:color="auto"/>
            </w:tcBorders>
            <w:vAlign w:val="center"/>
          </w:tcPr>
          <w:p w14:paraId="686061EA"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3</w:t>
            </w:r>
          </w:p>
        </w:tc>
      </w:tr>
      <w:tr w:rsidR="00140B7C" w:rsidRPr="00EC4EC4" w14:paraId="263AC0A6" w14:textId="77777777" w:rsidTr="00BC1087">
        <w:trPr>
          <w:cantSplit/>
          <w:trHeight w:hRule="exact" w:val="322"/>
          <w:jc w:val="center"/>
        </w:trPr>
        <w:tc>
          <w:tcPr>
            <w:tcW w:w="1286" w:type="dxa"/>
            <w:tcBorders>
              <w:top w:val="single" w:sz="2" w:space="0" w:color="auto"/>
              <w:left w:val="single" w:sz="2" w:space="0" w:color="auto"/>
              <w:bottom w:val="single" w:sz="2" w:space="0" w:color="auto"/>
              <w:right w:val="single" w:sz="2" w:space="0" w:color="auto"/>
            </w:tcBorders>
            <w:vAlign w:val="center"/>
          </w:tcPr>
          <w:p w14:paraId="16C211A8"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50</w:t>
            </w:r>
          </w:p>
        </w:tc>
        <w:tc>
          <w:tcPr>
            <w:tcW w:w="725" w:type="dxa"/>
            <w:vMerge/>
            <w:tcBorders>
              <w:left w:val="single" w:sz="2" w:space="0" w:color="auto"/>
              <w:right w:val="single" w:sz="2" w:space="0" w:color="auto"/>
            </w:tcBorders>
          </w:tcPr>
          <w:p w14:paraId="2E2C16CD"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6C7375DC"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247D6C63" w14:textId="77777777" w:rsidR="00140B7C" w:rsidRPr="00EC4EC4" w:rsidRDefault="00140B7C" w:rsidP="00BC1087">
            <w:pPr>
              <w:spacing w:after="0" w:line="240" w:lineRule="auto"/>
              <w:ind w:left="360"/>
              <w:jc w:val="center"/>
              <w:rPr>
                <w:rFonts w:eastAsia="Times New Roman" w:cs="Times New Roman"/>
                <w:color w:val="000000"/>
                <w:w w:val="115"/>
                <w:sz w:val="18"/>
                <w:szCs w:val="18"/>
              </w:rPr>
            </w:pPr>
          </w:p>
        </w:tc>
        <w:tc>
          <w:tcPr>
            <w:tcW w:w="725" w:type="dxa"/>
            <w:vMerge w:val="restart"/>
            <w:tcBorders>
              <w:top w:val="single" w:sz="2" w:space="0" w:color="auto"/>
              <w:left w:val="single" w:sz="2" w:space="0" w:color="auto"/>
              <w:right w:val="single" w:sz="2" w:space="0" w:color="auto"/>
            </w:tcBorders>
            <w:vAlign w:val="center"/>
          </w:tcPr>
          <w:p w14:paraId="7AB3E85B" w14:textId="77777777" w:rsidR="00140B7C" w:rsidRPr="00EC4EC4" w:rsidRDefault="00140B7C" w:rsidP="00BC1087">
            <w:pPr>
              <w:spacing w:after="0" w:line="240" w:lineRule="auto"/>
              <w:jc w:val="center"/>
              <w:rPr>
                <w:rFonts w:eastAsia="Times New Roman" w:cs="Times New Roman"/>
                <w:color w:val="000000"/>
                <w:sz w:val="18"/>
                <w:szCs w:val="18"/>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34" w:type="dxa"/>
            <w:vMerge/>
            <w:tcBorders>
              <w:left w:val="single" w:sz="2" w:space="0" w:color="auto"/>
              <w:right w:val="single" w:sz="2" w:space="0" w:color="auto"/>
            </w:tcBorders>
            <w:vAlign w:val="center"/>
          </w:tcPr>
          <w:p w14:paraId="62E5D574"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r>
      <w:tr w:rsidR="00140B7C" w:rsidRPr="00EC4EC4" w14:paraId="54D60A64" w14:textId="77777777" w:rsidTr="00BC1087">
        <w:trPr>
          <w:cantSplit/>
          <w:trHeight w:hRule="exact" w:val="321"/>
          <w:jc w:val="center"/>
        </w:trPr>
        <w:tc>
          <w:tcPr>
            <w:tcW w:w="1286" w:type="dxa"/>
            <w:tcBorders>
              <w:top w:val="single" w:sz="2" w:space="0" w:color="auto"/>
              <w:left w:val="single" w:sz="2" w:space="0" w:color="auto"/>
              <w:bottom w:val="single" w:sz="2" w:space="0" w:color="auto"/>
              <w:right w:val="single" w:sz="2" w:space="0" w:color="auto"/>
            </w:tcBorders>
            <w:vAlign w:val="center"/>
          </w:tcPr>
          <w:p w14:paraId="36FD5D4C"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40</w:t>
            </w:r>
          </w:p>
        </w:tc>
        <w:tc>
          <w:tcPr>
            <w:tcW w:w="725" w:type="dxa"/>
            <w:vMerge/>
            <w:tcBorders>
              <w:left w:val="single" w:sz="2" w:space="0" w:color="auto"/>
              <w:bottom w:val="single" w:sz="2" w:space="0" w:color="auto"/>
              <w:right w:val="single" w:sz="2" w:space="0" w:color="auto"/>
            </w:tcBorders>
          </w:tcPr>
          <w:p w14:paraId="30F100E8"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28BC8505" w14:textId="77777777" w:rsidR="00140B7C" w:rsidRPr="00EC4EC4" w:rsidRDefault="00140B7C" w:rsidP="00BC1087">
            <w:pPr>
              <w:spacing w:after="0" w:line="240" w:lineRule="auto"/>
              <w:ind w:left="360"/>
              <w:jc w:val="center"/>
              <w:rPr>
                <w:rFonts w:eastAsia="Times New Roman" w:cs="Times New Roman"/>
                <w:color w:val="000000"/>
                <w:w w:val="115"/>
                <w:sz w:val="18"/>
                <w:szCs w:val="18"/>
              </w:rPr>
            </w:pPr>
          </w:p>
        </w:tc>
        <w:tc>
          <w:tcPr>
            <w:tcW w:w="725" w:type="dxa"/>
            <w:vMerge/>
            <w:tcBorders>
              <w:left w:val="single" w:sz="2" w:space="0" w:color="auto"/>
              <w:bottom w:val="single" w:sz="2" w:space="0" w:color="auto"/>
              <w:right w:val="single" w:sz="2" w:space="0" w:color="auto"/>
            </w:tcBorders>
          </w:tcPr>
          <w:p w14:paraId="6347E842"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58A604D7" w14:textId="77777777" w:rsidR="00140B7C" w:rsidRPr="00EC4EC4" w:rsidRDefault="00140B7C" w:rsidP="00BC1087">
            <w:pPr>
              <w:spacing w:after="0" w:line="240" w:lineRule="auto"/>
              <w:ind w:left="360"/>
              <w:jc w:val="center"/>
              <w:rPr>
                <w:rFonts w:eastAsia="Times New Roman" w:cs="Times New Roman"/>
                <w:color w:val="000000"/>
                <w:w w:val="115"/>
                <w:sz w:val="18"/>
                <w:szCs w:val="18"/>
              </w:rPr>
            </w:pPr>
          </w:p>
        </w:tc>
        <w:tc>
          <w:tcPr>
            <w:tcW w:w="734" w:type="dxa"/>
            <w:vMerge/>
            <w:tcBorders>
              <w:left w:val="single" w:sz="2" w:space="0" w:color="auto"/>
              <w:bottom w:val="single" w:sz="2" w:space="0" w:color="auto"/>
              <w:right w:val="single" w:sz="2" w:space="0" w:color="auto"/>
            </w:tcBorders>
          </w:tcPr>
          <w:p w14:paraId="74149647"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r>
      <w:tr w:rsidR="00140B7C" w:rsidRPr="00EC4EC4" w14:paraId="5E34E1B2" w14:textId="77777777" w:rsidTr="00BC1087">
        <w:trPr>
          <w:cantSplit/>
          <w:trHeight w:hRule="exact" w:val="317"/>
          <w:jc w:val="center"/>
        </w:trPr>
        <w:tc>
          <w:tcPr>
            <w:tcW w:w="1286" w:type="dxa"/>
            <w:tcBorders>
              <w:top w:val="single" w:sz="2" w:space="0" w:color="auto"/>
              <w:left w:val="single" w:sz="2" w:space="0" w:color="auto"/>
              <w:bottom w:val="single" w:sz="2" w:space="0" w:color="auto"/>
              <w:right w:val="single" w:sz="2" w:space="0" w:color="auto"/>
            </w:tcBorders>
            <w:vAlign w:val="center"/>
          </w:tcPr>
          <w:p w14:paraId="32598E0C"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W10 </w:t>
            </w:r>
            <w:r w:rsidRPr="00EC4EC4">
              <w:rPr>
                <w:rFonts w:eastAsia="Times New Roman" w:cs="Times New Roman"/>
                <w:color w:val="000000"/>
                <w:spacing w:val="-8"/>
                <w:w w:val="110"/>
                <w:sz w:val="18"/>
                <w:szCs w:val="18"/>
              </w:rPr>
              <w:t xml:space="preserve">× </w:t>
            </w:r>
            <w:r w:rsidRPr="00EC4EC4">
              <w:rPr>
                <w:rFonts w:eastAsia="Times New Roman" w:cs="Times New Roman"/>
                <w:color w:val="000000"/>
                <w:w w:val="110"/>
                <w:sz w:val="18"/>
                <w:szCs w:val="18"/>
              </w:rPr>
              <w:t>88</w:t>
            </w:r>
          </w:p>
        </w:tc>
        <w:tc>
          <w:tcPr>
            <w:tcW w:w="725" w:type="dxa"/>
            <w:tcBorders>
              <w:top w:val="single" w:sz="2" w:space="0" w:color="auto"/>
              <w:left w:val="single" w:sz="2" w:space="0" w:color="auto"/>
              <w:bottom w:val="single" w:sz="2" w:space="0" w:color="auto"/>
              <w:right w:val="single" w:sz="2" w:space="0" w:color="auto"/>
            </w:tcBorders>
            <w:vAlign w:val="center"/>
          </w:tcPr>
          <w:p w14:paraId="30AB3588"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r w:rsidRPr="00EC4EC4">
              <w:rPr>
                <w:rFonts w:eastAsia="Times New Roman" w:cs="Times New Roman"/>
                <w:color w:val="000000"/>
                <w:w w:val="110"/>
                <w:sz w:val="18"/>
                <w:szCs w:val="18"/>
              </w:rPr>
              <w:t>1</w:t>
            </w:r>
          </w:p>
        </w:tc>
        <w:tc>
          <w:tcPr>
            <w:tcW w:w="725" w:type="dxa"/>
            <w:vMerge w:val="restart"/>
            <w:tcBorders>
              <w:top w:val="single" w:sz="2" w:space="0" w:color="auto"/>
              <w:left w:val="single" w:sz="2" w:space="0" w:color="auto"/>
              <w:right w:val="single" w:sz="2" w:space="0" w:color="auto"/>
            </w:tcBorders>
            <w:vAlign w:val="center"/>
          </w:tcPr>
          <w:p w14:paraId="33316DB6"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spacing w:val="-6"/>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vMerge w:val="restart"/>
            <w:tcBorders>
              <w:top w:val="single" w:sz="2" w:space="0" w:color="auto"/>
              <w:left w:val="single" w:sz="2" w:space="0" w:color="auto"/>
              <w:right w:val="single" w:sz="2" w:space="0" w:color="auto"/>
            </w:tcBorders>
            <w:vAlign w:val="center"/>
          </w:tcPr>
          <w:p w14:paraId="0A4AA7A7"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spacing w:val="-4"/>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tcBorders>
              <w:top w:val="single" w:sz="2" w:space="0" w:color="auto"/>
              <w:left w:val="single" w:sz="2" w:space="0" w:color="auto"/>
              <w:bottom w:val="single" w:sz="2" w:space="0" w:color="auto"/>
              <w:right w:val="single" w:sz="2" w:space="0" w:color="auto"/>
            </w:tcBorders>
            <w:vAlign w:val="center"/>
          </w:tcPr>
          <w:p w14:paraId="6D0E5E8C"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734" w:type="dxa"/>
            <w:vMerge w:val="restart"/>
            <w:tcBorders>
              <w:top w:val="single" w:sz="2" w:space="0" w:color="auto"/>
              <w:left w:val="single" w:sz="2" w:space="0" w:color="auto"/>
              <w:right w:val="single" w:sz="2" w:space="0" w:color="auto"/>
            </w:tcBorders>
            <w:vAlign w:val="center"/>
          </w:tcPr>
          <w:p w14:paraId="5B4E197E"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3</w:t>
            </w:r>
          </w:p>
        </w:tc>
      </w:tr>
      <w:tr w:rsidR="00140B7C" w:rsidRPr="00EC4EC4" w14:paraId="2E1BBFC1" w14:textId="77777777" w:rsidTr="00BC1087">
        <w:trPr>
          <w:cantSplit/>
          <w:trHeight w:hRule="exact" w:val="322"/>
          <w:jc w:val="center"/>
        </w:trPr>
        <w:tc>
          <w:tcPr>
            <w:tcW w:w="1286" w:type="dxa"/>
            <w:tcBorders>
              <w:top w:val="single" w:sz="2" w:space="0" w:color="auto"/>
              <w:left w:val="single" w:sz="2" w:space="0" w:color="auto"/>
              <w:bottom w:val="single" w:sz="2" w:space="0" w:color="auto"/>
              <w:right w:val="single" w:sz="2" w:space="0" w:color="auto"/>
            </w:tcBorders>
            <w:vAlign w:val="center"/>
          </w:tcPr>
          <w:p w14:paraId="2DC34B39"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49</w:t>
            </w:r>
          </w:p>
        </w:tc>
        <w:tc>
          <w:tcPr>
            <w:tcW w:w="725" w:type="dxa"/>
            <w:vMerge w:val="restart"/>
            <w:tcBorders>
              <w:top w:val="single" w:sz="2" w:space="0" w:color="auto"/>
              <w:left w:val="single" w:sz="2" w:space="0" w:color="auto"/>
              <w:right w:val="single" w:sz="2" w:space="0" w:color="auto"/>
            </w:tcBorders>
            <w:vAlign w:val="center"/>
          </w:tcPr>
          <w:p w14:paraId="38299037"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p>
        </w:tc>
        <w:tc>
          <w:tcPr>
            <w:tcW w:w="725" w:type="dxa"/>
            <w:vMerge/>
            <w:tcBorders>
              <w:left w:val="single" w:sz="2" w:space="0" w:color="auto"/>
              <w:right w:val="single" w:sz="2" w:space="0" w:color="auto"/>
            </w:tcBorders>
            <w:vAlign w:val="center"/>
          </w:tcPr>
          <w:p w14:paraId="2D8E64E6"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4AC19A01"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val="restart"/>
            <w:tcBorders>
              <w:top w:val="single" w:sz="2" w:space="0" w:color="auto"/>
              <w:left w:val="single" w:sz="2" w:space="0" w:color="auto"/>
              <w:right w:val="single" w:sz="2" w:space="0" w:color="auto"/>
            </w:tcBorders>
            <w:vAlign w:val="center"/>
          </w:tcPr>
          <w:p w14:paraId="003DF906"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34" w:type="dxa"/>
            <w:vMerge/>
            <w:tcBorders>
              <w:left w:val="single" w:sz="2" w:space="0" w:color="auto"/>
              <w:right w:val="single" w:sz="2" w:space="0" w:color="auto"/>
            </w:tcBorders>
            <w:vAlign w:val="center"/>
          </w:tcPr>
          <w:p w14:paraId="64871ACB"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r>
      <w:tr w:rsidR="00140B7C" w:rsidRPr="00EC4EC4" w14:paraId="535BF3B9" w14:textId="77777777" w:rsidTr="00BC1087">
        <w:trPr>
          <w:cantSplit/>
          <w:trHeight w:hRule="exact" w:val="321"/>
          <w:jc w:val="center"/>
        </w:trPr>
        <w:tc>
          <w:tcPr>
            <w:tcW w:w="1286" w:type="dxa"/>
            <w:tcBorders>
              <w:top w:val="single" w:sz="2" w:space="0" w:color="auto"/>
              <w:left w:val="single" w:sz="2" w:space="0" w:color="auto"/>
              <w:bottom w:val="single" w:sz="2" w:space="0" w:color="auto"/>
              <w:right w:val="single" w:sz="2" w:space="0" w:color="auto"/>
            </w:tcBorders>
            <w:vAlign w:val="center"/>
          </w:tcPr>
          <w:p w14:paraId="79982773"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45</w:t>
            </w:r>
          </w:p>
        </w:tc>
        <w:tc>
          <w:tcPr>
            <w:tcW w:w="725" w:type="dxa"/>
            <w:vMerge/>
            <w:tcBorders>
              <w:left w:val="single" w:sz="2" w:space="0" w:color="auto"/>
              <w:right w:val="single" w:sz="2" w:space="0" w:color="auto"/>
            </w:tcBorders>
            <w:vAlign w:val="center"/>
          </w:tcPr>
          <w:p w14:paraId="5D2E6CE6"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25" w:type="dxa"/>
            <w:vMerge/>
            <w:tcBorders>
              <w:left w:val="single" w:sz="2" w:space="0" w:color="auto"/>
              <w:right w:val="single" w:sz="2" w:space="0" w:color="auto"/>
            </w:tcBorders>
            <w:vAlign w:val="center"/>
          </w:tcPr>
          <w:p w14:paraId="591492CA" w14:textId="77777777" w:rsidR="00140B7C" w:rsidRPr="00EC4EC4" w:rsidRDefault="00140B7C" w:rsidP="00BC1087">
            <w:pPr>
              <w:spacing w:after="0" w:line="240" w:lineRule="auto"/>
              <w:ind w:left="4"/>
              <w:jc w:val="center"/>
              <w:rPr>
                <w:rFonts w:eastAsia="Times New Roman" w:cs="Times New Roman"/>
                <w:color w:val="000000"/>
                <w:spacing w:val="-6"/>
                <w:w w:val="115"/>
                <w:sz w:val="18"/>
                <w:szCs w:val="18"/>
              </w:rPr>
            </w:pPr>
          </w:p>
        </w:tc>
        <w:tc>
          <w:tcPr>
            <w:tcW w:w="725" w:type="dxa"/>
            <w:vMerge/>
            <w:tcBorders>
              <w:left w:val="single" w:sz="2" w:space="0" w:color="auto"/>
              <w:right w:val="single" w:sz="2" w:space="0" w:color="auto"/>
            </w:tcBorders>
            <w:vAlign w:val="center"/>
          </w:tcPr>
          <w:p w14:paraId="0550240E" w14:textId="77777777" w:rsidR="00140B7C" w:rsidRPr="00EC4EC4" w:rsidRDefault="00140B7C" w:rsidP="00BC1087">
            <w:pPr>
              <w:spacing w:after="0" w:line="240" w:lineRule="auto"/>
              <w:ind w:left="4"/>
              <w:jc w:val="center"/>
              <w:rPr>
                <w:rFonts w:eastAsia="Times New Roman" w:cs="Times New Roman"/>
                <w:color w:val="000000"/>
                <w:spacing w:val="-4"/>
                <w:w w:val="115"/>
                <w:sz w:val="18"/>
                <w:szCs w:val="18"/>
              </w:rPr>
            </w:pPr>
          </w:p>
        </w:tc>
        <w:tc>
          <w:tcPr>
            <w:tcW w:w="725" w:type="dxa"/>
            <w:vMerge/>
            <w:tcBorders>
              <w:left w:val="single" w:sz="2" w:space="0" w:color="auto"/>
              <w:right w:val="single" w:sz="2" w:space="0" w:color="auto"/>
            </w:tcBorders>
            <w:vAlign w:val="center"/>
          </w:tcPr>
          <w:p w14:paraId="6E83EA4D"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34" w:type="dxa"/>
            <w:vMerge/>
            <w:tcBorders>
              <w:left w:val="single" w:sz="2" w:space="0" w:color="auto"/>
              <w:bottom w:val="single" w:sz="2" w:space="0" w:color="auto"/>
              <w:right w:val="single" w:sz="2" w:space="0" w:color="auto"/>
            </w:tcBorders>
            <w:vAlign w:val="center"/>
          </w:tcPr>
          <w:p w14:paraId="55C0752C" w14:textId="77777777" w:rsidR="00140B7C" w:rsidRPr="00EC4EC4" w:rsidRDefault="00140B7C" w:rsidP="00BC1087">
            <w:pPr>
              <w:spacing w:after="0" w:line="240" w:lineRule="auto"/>
              <w:ind w:left="4"/>
              <w:jc w:val="center"/>
              <w:rPr>
                <w:rFonts w:eastAsia="Times New Roman" w:cs="Times New Roman"/>
                <w:color w:val="000000"/>
                <w:sz w:val="18"/>
                <w:szCs w:val="18"/>
              </w:rPr>
            </w:pPr>
          </w:p>
        </w:tc>
      </w:tr>
      <w:tr w:rsidR="00140B7C" w:rsidRPr="00EC4EC4" w14:paraId="37ECBAAF" w14:textId="77777777" w:rsidTr="00BC1087">
        <w:trPr>
          <w:cantSplit/>
          <w:trHeight w:hRule="exact" w:val="317"/>
          <w:jc w:val="center"/>
        </w:trPr>
        <w:tc>
          <w:tcPr>
            <w:tcW w:w="1286" w:type="dxa"/>
            <w:tcBorders>
              <w:top w:val="single" w:sz="2" w:space="0" w:color="auto"/>
              <w:left w:val="single" w:sz="2" w:space="0" w:color="auto"/>
              <w:bottom w:val="single" w:sz="2" w:space="0" w:color="auto"/>
              <w:right w:val="single" w:sz="2" w:space="0" w:color="auto"/>
            </w:tcBorders>
            <w:vAlign w:val="center"/>
          </w:tcPr>
          <w:p w14:paraId="09A1D8C7"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39</w:t>
            </w:r>
          </w:p>
        </w:tc>
        <w:tc>
          <w:tcPr>
            <w:tcW w:w="725" w:type="dxa"/>
            <w:vMerge/>
            <w:tcBorders>
              <w:left w:val="single" w:sz="2" w:space="0" w:color="auto"/>
              <w:right w:val="single" w:sz="2" w:space="0" w:color="auto"/>
            </w:tcBorders>
            <w:vAlign w:val="center"/>
          </w:tcPr>
          <w:p w14:paraId="2105F23B"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7C2A9427"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08828A64"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1303D94D" w14:textId="77777777" w:rsidR="00140B7C" w:rsidRPr="00EC4EC4" w:rsidRDefault="00140B7C" w:rsidP="00BC1087">
            <w:pPr>
              <w:spacing w:after="0" w:line="240" w:lineRule="auto"/>
              <w:ind w:left="4"/>
              <w:jc w:val="center"/>
              <w:rPr>
                <w:rFonts w:eastAsia="Times New Roman" w:cs="Times New Roman"/>
                <w:color w:val="000000"/>
                <w:w w:val="115"/>
                <w:sz w:val="18"/>
                <w:szCs w:val="18"/>
              </w:rPr>
            </w:pPr>
          </w:p>
        </w:tc>
        <w:tc>
          <w:tcPr>
            <w:tcW w:w="734" w:type="dxa"/>
            <w:vMerge w:val="restart"/>
            <w:tcBorders>
              <w:top w:val="single" w:sz="2" w:space="0" w:color="auto"/>
              <w:left w:val="single" w:sz="2" w:space="0" w:color="auto"/>
              <w:right w:val="single" w:sz="2" w:space="0" w:color="auto"/>
            </w:tcBorders>
            <w:vAlign w:val="center"/>
          </w:tcPr>
          <w:p w14:paraId="15B41094" w14:textId="77777777" w:rsidR="00140B7C" w:rsidRPr="00EC4EC4" w:rsidRDefault="00140B7C" w:rsidP="00BC1087">
            <w:pPr>
              <w:spacing w:after="0" w:line="240" w:lineRule="auto"/>
              <w:ind w:left="4"/>
              <w:jc w:val="center"/>
              <w:rPr>
                <w:rFonts w:eastAsia="Times New Roman" w:cs="Times New Roman"/>
                <w:color w:val="000000"/>
                <w:w w:val="115"/>
                <w:sz w:val="18"/>
                <w:szCs w:val="18"/>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r>
      <w:tr w:rsidR="00140B7C" w:rsidRPr="00EC4EC4" w14:paraId="680A5FB1" w14:textId="77777777" w:rsidTr="00BC1087">
        <w:trPr>
          <w:cantSplit/>
          <w:trHeight w:hRule="exact" w:val="322"/>
          <w:jc w:val="center"/>
        </w:trPr>
        <w:tc>
          <w:tcPr>
            <w:tcW w:w="1286" w:type="dxa"/>
            <w:tcBorders>
              <w:top w:val="single" w:sz="2" w:space="0" w:color="auto"/>
              <w:left w:val="single" w:sz="2" w:space="0" w:color="auto"/>
              <w:bottom w:val="single" w:sz="4" w:space="0" w:color="auto"/>
              <w:right w:val="single" w:sz="2" w:space="0" w:color="auto"/>
            </w:tcBorders>
            <w:vAlign w:val="center"/>
          </w:tcPr>
          <w:p w14:paraId="0FC298E7"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lastRenderedPageBreak/>
              <w:t>×</w:t>
            </w:r>
            <w:r w:rsidRPr="00EC4EC4">
              <w:rPr>
                <w:rFonts w:eastAsia="Times New Roman" w:cs="Times New Roman"/>
                <w:color w:val="000000"/>
                <w:w w:val="110"/>
                <w:sz w:val="18"/>
                <w:szCs w:val="18"/>
              </w:rPr>
              <w:t xml:space="preserve"> 33</w:t>
            </w:r>
          </w:p>
        </w:tc>
        <w:tc>
          <w:tcPr>
            <w:tcW w:w="725" w:type="dxa"/>
            <w:vMerge/>
            <w:tcBorders>
              <w:left w:val="single" w:sz="2" w:space="0" w:color="auto"/>
              <w:bottom w:val="single" w:sz="4" w:space="0" w:color="auto"/>
              <w:right w:val="single" w:sz="2" w:space="0" w:color="auto"/>
            </w:tcBorders>
            <w:vAlign w:val="center"/>
          </w:tcPr>
          <w:p w14:paraId="37709AC7"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25" w:type="dxa"/>
            <w:vMerge/>
            <w:tcBorders>
              <w:left w:val="single" w:sz="2" w:space="0" w:color="auto"/>
              <w:bottom w:val="single" w:sz="4" w:space="0" w:color="auto"/>
              <w:right w:val="single" w:sz="2" w:space="0" w:color="auto"/>
            </w:tcBorders>
            <w:vAlign w:val="center"/>
          </w:tcPr>
          <w:p w14:paraId="75EE9B5B"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25" w:type="dxa"/>
            <w:tcBorders>
              <w:top w:val="single" w:sz="2" w:space="0" w:color="auto"/>
              <w:left w:val="single" w:sz="2" w:space="0" w:color="auto"/>
              <w:bottom w:val="single" w:sz="4" w:space="0" w:color="auto"/>
              <w:right w:val="single" w:sz="2" w:space="0" w:color="auto"/>
            </w:tcBorders>
            <w:vAlign w:val="center"/>
          </w:tcPr>
          <w:p w14:paraId="5DCAF4CF"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725" w:type="dxa"/>
            <w:vMerge/>
            <w:tcBorders>
              <w:left w:val="single" w:sz="2" w:space="0" w:color="auto"/>
              <w:bottom w:val="single" w:sz="4" w:space="0" w:color="auto"/>
              <w:right w:val="single" w:sz="2" w:space="0" w:color="auto"/>
            </w:tcBorders>
            <w:vAlign w:val="center"/>
          </w:tcPr>
          <w:p w14:paraId="4E1E81B0"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c>
          <w:tcPr>
            <w:tcW w:w="734" w:type="dxa"/>
            <w:vMerge/>
            <w:tcBorders>
              <w:left w:val="single" w:sz="2" w:space="0" w:color="auto"/>
              <w:bottom w:val="single" w:sz="4" w:space="0" w:color="auto"/>
              <w:right w:val="single" w:sz="2" w:space="0" w:color="auto"/>
            </w:tcBorders>
            <w:vAlign w:val="center"/>
          </w:tcPr>
          <w:p w14:paraId="03622AA3" w14:textId="77777777" w:rsidR="00140B7C" w:rsidRPr="00EC4EC4" w:rsidRDefault="00140B7C" w:rsidP="00BC1087">
            <w:pPr>
              <w:spacing w:after="0" w:line="240" w:lineRule="auto"/>
              <w:ind w:left="360"/>
              <w:jc w:val="center"/>
              <w:rPr>
                <w:rFonts w:eastAsia="Times New Roman" w:cs="Times New Roman"/>
                <w:color w:val="000000"/>
                <w:sz w:val="18"/>
                <w:szCs w:val="18"/>
              </w:rPr>
            </w:pPr>
          </w:p>
        </w:tc>
      </w:tr>
      <w:tr w:rsidR="00140B7C" w:rsidRPr="00EC4EC4" w14:paraId="14EF9752" w14:textId="77777777" w:rsidTr="00BC1087">
        <w:trPr>
          <w:cantSplit/>
          <w:trHeight w:hRule="exact" w:val="321"/>
          <w:jc w:val="center"/>
        </w:trPr>
        <w:tc>
          <w:tcPr>
            <w:tcW w:w="1286" w:type="dxa"/>
            <w:tcBorders>
              <w:top w:val="single" w:sz="4" w:space="0" w:color="auto"/>
              <w:left w:val="single" w:sz="4" w:space="0" w:color="auto"/>
              <w:bottom w:val="single" w:sz="4" w:space="0" w:color="auto"/>
              <w:right w:val="single" w:sz="4" w:space="0" w:color="auto"/>
            </w:tcBorders>
            <w:vAlign w:val="center"/>
          </w:tcPr>
          <w:p w14:paraId="7105F725" w14:textId="77777777" w:rsidR="00140B7C" w:rsidRPr="00EC4EC4" w:rsidRDefault="00140B7C" w:rsidP="00BC1087">
            <w:pPr>
              <w:spacing w:after="0" w:line="240" w:lineRule="auto"/>
              <w:jc w:val="center"/>
              <w:rPr>
                <w:rFonts w:eastAsia="Times New Roman" w:cs="Times New Roman"/>
                <w:color w:val="000000"/>
                <w:spacing w:val="-2"/>
                <w:w w:val="110"/>
                <w:sz w:val="18"/>
                <w:szCs w:val="18"/>
              </w:rPr>
            </w:pPr>
            <w:r w:rsidRPr="00EC4EC4">
              <w:rPr>
                <w:rFonts w:eastAsia="Times New Roman" w:cs="Times New Roman"/>
                <w:color w:val="000000"/>
                <w:spacing w:val="-2"/>
                <w:w w:val="110"/>
                <w:sz w:val="18"/>
                <w:szCs w:val="18"/>
              </w:rPr>
              <w:t xml:space="preserve">W8 </w:t>
            </w:r>
            <w:r w:rsidRPr="00EC4EC4">
              <w:rPr>
                <w:rFonts w:eastAsia="Times New Roman" w:cs="Times New Roman"/>
                <w:color w:val="000000"/>
                <w:spacing w:val="-8"/>
                <w:w w:val="110"/>
                <w:sz w:val="18"/>
                <w:szCs w:val="18"/>
              </w:rPr>
              <w:t xml:space="preserve">× </w:t>
            </w:r>
            <w:r w:rsidRPr="00EC4EC4">
              <w:rPr>
                <w:rFonts w:eastAsia="Times New Roman" w:cs="Times New Roman"/>
                <w:color w:val="000000"/>
                <w:spacing w:val="-2"/>
                <w:w w:val="110"/>
                <w:sz w:val="18"/>
                <w:szCs w:val="18"/>
              </w:rPr>
              <w:t>67</w:t>
            </w:r>
          </w:p>
        </w:tc>
        <w:tc>
          <w:tcPr>
            <w:tcW w:w="725" w:type="dxa"/>
            <w:vMerge w:val="restart"/>
            <w:tcBorders>
              <w:top w:val="single" w:sz="4" w:space="0" w:color="auto"/>
              <w:left w:val="single" w:sz="4" w:space="0" w:color="auto"/>
              <w:bottom w:val="single" w:sz="4" w:space="0" w:color="auto"/>
              <w:right w:val="single" w:sz="4" w:space="0" w:color="auto"/>
            </w:tcBorders>
            <w:vAlign w:val="center"/>
          </w:tcPr>
          <w:p w14:paraId="0CE72B39"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p>
        </w:tc>
        <w:tc>
          <w:tcPr>
            <w:tcW w:w="725" w:type="dxa"/>
            <w:vMerge w:val="restart"/>
            <w:tcBorders>
              <w:top w:val="single" w:sz="4" w:space="0" w:color="auto"/>
              <w:left w:val="single" w:sz="4" w:space="0" w:color="auto"/>
              <w:bottom w:val="single" w:sz="4" w:space="0" w:color="auto"/>
              <w:right w:val="single" w:sz="4" w:space="0" w:color="auto"/>
            </w:tcBorders>
            <w:vAlign w:val="center"/>
          </w:tcPr>
          <w:p w14:paraId="1B71E906"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r w:rsidRPr="00EC4EC4">
              <w:rPr>
                <w:rFonts w:eastAsia="Times New Roman" w:cs="Times New Roman"/>
                <w:color w:val="000000"/>
                <w:w w:val="110"/>
                <w:sz w:val="18"/>
                <w:szCs w:val="18"/>
              </w:rPr>
              <w:t>1</w:t>
            </w:r>
          </w:p>
        </w:tc>
        <w:tc>
          <w:tcPr>
            <w:tcW w:w="725" w:type="dxa"/>
            <w:vMerge w:val="restart"/>
            <w:tcBorders>
              <w:top w:val="single" w:sz="4" w:space="0" w:color="auto"/>
              <w:left w:val="single" w:sz="4" w:space="0" w:color="auto"/>
              <w:bottom w:val="single" w:sz="4" w:space="0" w:color="auto"/>
              <w:right w:val="single" w:sz="4" w:space="0" w:color="auto"/>
            </w:tcBorders>
            <w:vAlign w:val="center"/>
          </w:tcPr>
          <w:p w14:paraId="7C05514F"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vMerge w:val="restart"/>
            <w:tcBorders>
              <w:top w:val="single" w:sz="4" w:space="0" w:color="auto"/>
              <w:left w:val="single" w:sz="4" w:space="0" w:color="auto"/>
              <w:bottom w:val="single" w:sz="4" w:space="0" w:color="auto"/>
              <w:right w:val="single" w:sz="4" w:space="0" w:color="auto"/>
            </w:tcBorders>
            <w:vAlign w:val="center"/>
          </w:tcPr>
          <w:p w14:paraId="730D4480"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34" w:type="dxa"/>
            <w:vMerge w:val="restart"/>
            <w:tcBorders>
              <w:top w:val="single" w:sz="4" w:space="0" w:color="auto"/>
              <w:left w:val="single" w:sz="4" w:space="0" w:color="auto"/>
              <w:bottom w:val="single" w:sz="4" w:space="0" w:color="auto"/>
              <w:right w:val="single" w:sz="4" w:space="0" w:color="auto"/>
            </w:tcBorders>
            <w:vAlign w:val="center"/>
          </w:tcPr>
          <w:p w14:paraId="5F09C5A1"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r w:rsidRPr="00EC4EC4">
              <w:rPr>
                <w:rFonts w:eastAsia="Times New Roman" w:cs="Times New Roman"/>
                <w:color w:val="000000"/>
                <w:w w:val="110"/>
                <w:sz w:val="18"/>
                <w:szCs w:val="18"/>
              </w:rPr>
              <w:t>3</w:t>
            </w:r>
          </w:p>
        </w:tc>
      </w:tr>
      <w:tr w:rsidR="00140B7C" w:rsidRPr="00EC4EC4" w14:paraId="05619B12" w14:textId="77777777" w:rsidTr="00BC1087">
        <w:trPr>
          <w:cantSplit/>
          <w:trHeight w:hRule="exact" w:val="317"/>
          <w:jc w:val="center"/>
        </w:trPr>
        <w:tc>
          <w:tcPr>
            <w:tcW w:w="1286" w:type="dxa"/>
            <w:tcBorders>
              <w:top w:val="single" w:sz="4" w:space="0" w:color="auto"/>
              <w:left w:val="single" w:sz="2" w:space="0" w:color="auto"/>
              <w:bottom w:val="single" w:sz="2" w:space="0" w:color="auto"/>
              <w:right w:val="single" w:sz="2" w:space="0" w:color="auto"/>
            </w:tcBorders>
            <w:vAlign w:val="center"/>
          </w:tcPr>
          <w:p w14:paraId="468CD27F"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58</w:t>
            </w:r>
          </w:p>
        </w:tc>
        <w:tc>
          <w:tcPr>
            <w:tcW w:w="725" w:type="dxa"/>
            <w:vMerge/>
            <w:tcBorders>
              <w:top w:val="single" w:sz="4" w:space="0" w:color="auto"/>
              <w:left w:val="single" w:sz="2" w:space="0" w:color="auto"/>
              <w:right w:val="single" w:sz="2" w:space="0" w:color="auto"/>
            </w:tcBorders>
            <w:vAlign w:val="center"/>
          </w:tcPr>
          <w:p w14:paraId="23742456"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top w:val="single" w:sz="4" w:space="0" w:color="auto"/>
              <w:left w:val="single" w:sz="2" w:space="0" w:color="auto"/>
              <w:bottom w:val="single" w:sz="2" w:space="0" w:color="auto"/>
              <w:right w:val="single" w:sz="2" w:space="0" w:color="auto"/>
            </w:tcBorders>
            <w:vAlign w:val="center"/>
          </w:tcPr>
          <w:p w14:paraId="39A2B4AF"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top w:val="single" w:sz="4" w:space="0" w:color="auto"/>
              <w:left w:val="single" w:sz="2" w:space="0" w:color="auto"/>
              <w:right w:val="single" w:sz="2" w:space="0" w:color="auto"/>
            </w:tcBorders>
            <w:vAlign w:val="center"/>
          </w:tcPr>
          <w:p w14:paraId="31FA7551" w14:textId="77777777" w:rsidR="00140B7C" w:rsidRPr="00EC4EC4" w:rsidRDefault="00140B7C" w:rsidP="00BC1087">
            <w:pPr>
              <w:spacing w:after="0" w:line="240" w:lineRule="auto"/>
              <w:ind w:left="4"/>
              <w:jc w:val="center"/>
              <w:rPr>
                <w:rFonts w:eastAsia="Times New Roman" w:cs="Times New Roman"/>
                <w:color w:val="000000"/>
                <w:w w:val="115"/>
                <w:sz w:val="18"/>
                <w:szCs w:val="18"/>
              </w:rPr>
            </w:pPr>
          </w:p>
        </w:tc>
        <w:tc>
          <w:tcPr>
            <w:tcW w:w="725" w:type="dxa"/>
            <w:vMerge/>
            <w:tcBorders>
              <w:top w:val="single" w:sz="4" w:space="0" w:color="auto"/>
              <w:left w:val="single" w:sz="2" w:space="0" w:color="auto"/>
              <w:right w:val="single" w:sz="2" w:space="0" w:color="auto"/>
            </w:tcBorders>
            <w:vAlign w:val="center"/>
          </w:tcPr>
          <w:p w14:paraId="707372CC"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34" w:type="dxa"/>
            <w:vMerge/>
            <w:tcBorders>
              <w:top w:val="single" w:sz="4" w:space="0" w:color="auto"/>
              <w:left w:val="single" w:sz="2" w:space="0" w:color="auto"/>
              <w:bottom w:val="single" w:sz="2" w:space="0" w:color="auto"/>
              <w:right w:val="single" w:sz="2" w:space="0" w:color="auto"/>
            </w:tcBorders>
            <w:vAlign w:val="center"/>
          </w:tcPr>
          <w:p w14:paraId="1807FC2A" w14:textId="77777777" w:rsidR="00140B7C" w:rsidRPr="00EC4EC4" w:rsidRDefault="00140B7C" w:rsidP="00BC1087">
            <w:pPr>
              <w:spacing w:after="0" w:line="240" w:lineRule="auto"/>
              <w:ind w:left="4"/>
              <w:jc w:val="center"/>
              <w:rPr>
                <w:rFonts w:eastAsia="Times New Roman" w:cs="Times New Roman"/>
                <w:color w:val="000000"/>
                <w:sz w:val="18"/>
                <w:szCs w:val="18"/>
              </w:rPr>
            </w:pPr>
          </w:p>
        </w:tc>
      </w:tr>
      <w:tr w:rsidR="00140B7C" w:rsidRPr="00EC4EC4" w14:paraId="4A19D410" w14:textId="77777777" w:rsidTr="00BC1087">
        <w:trPr>
          <w:cantSplit/>
          <w:trHeight w:hRule="exact" w:val="322"/>
          <w:jc w:val="center"/>
        </w:trPr>
        <w:tc>
          <w:tcPr>
            <w:tcW w:w="1286" w:type="dxa"/>
            <w:tcBorders>
              <w:top w:val="single" w:sz="2" w:space="0" w:color="auto"/>
              <w:left w:val="single" w:sz="2" w:space="0" w:color="auto"/>
              <w:bottom w:val="single" w:sz="2" w:space="0" w:color="auto"/>
              <w:right w:val="single" w:sz="2" w:space="0" w:color="auto"/>
            </w:tcBorders>
            <w:vAlign w:val="center"/>
          </w:tcPr>
          <w:p w14:paraId="0C86C3C7"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48</w:t>
            </w:r>
          </w:p>
        </w:tc>
        <w:tc>
          <w:tcPr>
            <w:tcW w:w="725" w:type="dxa"/>
            <w:vMerge/>
            <w:tcBorders>
              <w:left w:val="single" w:sz="2" w:space="0" w:color="auto"/>
              <w:right w:val="single" w:sz="2" w:space="0" w:color="auto"/>
            </w:tcBorders>
            <w:vAlign w:val="center"/>
          </w:tcPr>
          <w:p w14:paraId="291172A6"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25" w:type="dxa"/>
            <w:vMerge w:val="restart"/>
            <w:tcBorders>
              <w:top w:val="single" w:sz="2" w:space="0" w:color="auto"/>
              <w:left w:val="single" w:sz="2" w:space="0" w:color="auto"/>
              <w:right w:val="single" w:sz="2" w:space="0" w:color="auto"/>
            </w:tcBorders>
            <w:vAlign w:val="center"/>
          </w:tcPr>
          <w:p w14:paraId="1D681D7A"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vMerge/>
            <w:tcBorders>
              <w:left w:val="single" w:sz="2" w:space="0" w:color="auto"/>
              <w:bottom w:val="single" w:sz="2" w:space="0" w:color="auto"/>
              <w:right w:val="single" w:sz="2" w:space="0" w:color="auto"/>
            </w:tcBorders>
            <w:vAlign w:val="center"/>
          </w:tcPr>
          <w:p w14:paraId="3E3F9CA0"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29686EA8" w14:textId="77777777" w:rsidR="00140B7C" w:rsidRPr="00EC4EC4" w:rsidRDefault="00140B7C" w:rsidP="00BC1087">
            <w:pPr>
              <w:spacing w:after="0" w:line="240" w:lineRule="auto"/>
              <w:ind w:left="4"/>
              <w:jc w:val="center"/>
              <w:rPr>
                <w:rFonts w:eastAsia="Times New Roman" w:cs="Times New Roman"/>
                <w:color w:val="000000"/>
                <w:w w:val="115"/>
                <w:sz w:val="18"/>
                <w:szCs w:val="18"/>
              </w:rPr>
            </w:pPr>
          </w:p>
        </w:tc>
        <w:tc>
          <w:tcPr>
            <w:tcW w:w="734" w:type="dxa"/>
            <w:vMerge w:val="restart"/>
            <w:tcBorders>
              <w:top w:val="single" w:sz="2" w:space="0" w:color="auto"/>
              <w:left w:val="single" w:sz="2" w:space="0" w:color="auto"/>
              <w:right w:val="single" w:sz="2" w:space="0" w:color="auto"/>
            </w:tcBorders>
            <w:vAlign w:val="center"/>
          </w:tcPr>
          <w:p w14:paraId="2669F647"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r>
      <w:tr w:rsidR="00140B7C" w:rsidRPr="00EC4EC4" w14:paraId="0EA6F677" w14:textId="77777777" w:rsidTr="00BC1087">
        <w:trPr>
          <w:cantSplit/>
          <w:trHeight w:hRule="exact" w:val="321"/>
          <w:jc w:val="center"/>
        </w:trPr>
        <w:tc>
          <w:tcPr>
            <w:tcW w:w="1286" w:type="dxa"/>
            <w:tcBorders>
              <w:top w:val="single" w:sz="2" w:space="0" w:color="auto"/>
              <w:left w:val="single" w:sz="2" w:space="0" w:color="auto"/>
              <w:bottom w:val="single" w:sz="2" w:space="0" w:color="auto"/>
              <w:right w:val="single" w:sz="2" w:space="0" w:color="auto"/>
            </w:tcBorders>
            <w:vAlign w:val="center"/>
          </w:tcPr>
          <w:p w14:paraId="5BE95495"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31</w:t>
            </w:r>
          </w:p>
        </w:tc>
        <w:tc>
          <w:tcPr>
            <w:tcW w:w="725" w:type="dxa"/>
            <w:vMerge/>
            <w:tcBorders>
              <w:left w:val="single" w:sz="2" w:space="0" w:color="auto"/>
              <w:right w:val="single" w:sz="2" w:space="0" w:color="auto"/>
            </w:tcBorders>
            <w:vAlign w:val="center"/>
          </w:tcPr>
          <w:p w14:paraId="215ED21D"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4DAF7149" w14:textId="77777777" w:rsidR="00140B7C" w:rsidRPr="00EC4EC4" w:rsidRDefault="00140B7C" w:rsidP="00BC1087">
            <w:pPr>
              <w:spacing w:after="0" w:line="240" w:lineRule="auto"/>
              <w:ind w:left="4"/>
              <w:jc w:val="center"/>
              <w:rPr>
                <w:rFonts w:eastAsia="Times New Roman" w:cs="Times New Roman"/>
                <w:color w:val="000000"/>
                <w:w w:val="115"/>
                <w:sz w:val="18"/>
                <w:szCs w:val="18"/>
              </w:rPr>
            </w:pPr>
          </w:p>
        </w:tc>
        <w:tc>
          <w:tcPr>
            <w:tcW w:w="725" w:type="dxa"/>
            <w:vMerge w:val="restart"/>
            <w:tcBorders>
              <w:top w:val="single" w:sz="2" w:space="0" w:color="auto"/>
              <w:left w:val="single" w:sz="2" w:space="0" w:color="auto"/>
              <w:right w:val="single" w:sz="2" w:space="0" w:color="auto"/>
            </w:tcBorders>
            <w:vAlign w:val="center"/>
          </w:tcPr>
          <w:p w14:paraId="5E99D3AF"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2</w:t>
            </w:r>
          </w:p>
        </w:tc>
        <w:tc>
          <w:tcPr>
            <w:tcW w:w="725" w:type="dxa"/>
            <w:vMerge w:val="restart"/>
            <w:tcBorders>
              <w:top w:val="single" w:sz="2" w:space="0" w:color="auto"/>
              <w:left w:val="single" w:sz="2" w:space="0" w:color="auto"/>
              <w:right w:val="single" w:sz="2" w:space="0" w:color="auto"/>
            </w:tcBorders>
            <w:vAlign w:val="center"/>
          </w:tcPr>
          <w:p w14:paraId="4E5ADC6E" w14:textId="77777777" w:rsidR="00140B7C" w:rsidRPr="00EC4EC4" w:rsidRDefault="00140B7C" w:rsidP="00BC1087">
            <w:pPr>
              <w:spacing w:after="0" w:line="240" w:lineRule="auto"/>
              <w:ind w:left="4"/>
              <w:jc w:val="center"/>
              <w:rPr>
                <w:rFonts w:eastAsia="Times New Roman" w:cs="Times New Roman"/>
                <w:color w:val="000000"/>
                <w:sz w:val="18"/>
                <w:szCs w:val="18"/>
              </w:rPr>
            </w:pPr>
            <w:r w:rsidRPr="00EC4EC4">
              <w:rPr>
                <w:rFonts w:eastAsia="Times New Roman" w:cs="Times New Roman"/>
                <w:color w:val="000000"/>
                <w:w w:val="110"/>
                <w:sz w:val="18"/>
                <w:szCs w:val="18"/>
              </w:rPr>
              <w:t>3</w:t>
            </w:r>
          </w:p>
        </w:tc>
        <w:tc>
          <w:tcPr>
            <w:tcW w:w="734" w:type="dxa"/>
            <w:vMerge/>
            <w:tcBorders>
              <w:left w:val="single" w:sz="2" w:space="0" w:color="auto"/>
              <w:right w:val="single" w:sz="2" w:space="0" w:color="auto"/>
            </w:tcBorders>
            <w:vAlign w:val="center"/>
          </w:tcPr>
          <w:p w14:paraId="0EC74B78" w14:textId="77777777" w:rsidR="00140B7C" w:rsidRPr="00EC4EC4" w:rsidRDefault="00140B7C" w:rsidP="00BC1087">
            <w:pPr>
              <w:spacing w:after="0" w:line="240" w:lineRule="auto"/>
              <w:ind w:left="4"/>
              <w:jc w:val="center"/>
              <w:rPr>
                <w:rFonts w:eastAsia="Times New Roman" w:cs="Times New Roman"/>
                <w:color w:val="000000"/>
                <w:w w:val="115"/>
                <w:sz w:val="18"/>
                <w:szCs w:val="18"/>
              </w:rPr>
            </w:pPr>
          </w:p>
        </w:tc>
      </w:tr>
      <w:tr w:rsidR="00140B7C" w:rsidRPr="00EC4EC4" w14:paraId="52F4EA45" w14:textId="77777777" w:rsidTr="00BC1087">
        <w:trPr>
          <w:cantSplit/>
          <w:trHeight w:hRule="exact" w:val="317"/>
          <w:jc w:val="center"/>
        </w:trPr>
        <w:tc>
          <w:tcPr>
            <w:tcW w:w="1286" w:type="dxa"/>
            <w:tcBorders>
              <w:top w:val="single" w:sz="2" w:space="0" w:color="auto"/>
              <w:left w:val="single" w:sz="2" w:space="0" w:color="auto"/>
              <w:bottom w:val="single" w:sz="2" w:space="0" w:color="auto"/>
              <w:right w:val="single" w:sz="2" w:space="0" w:color="auto"/>
            </w:tcBorders>
            <w:vAlign w:val="center"/>
          </w:tcPr>
          <w:p w14:paraId="3649EBBA"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21</w:t>
            </w:r>
          </w:p>
        </w:tc>
        <w:tc>
          <w:tcPr>
            <w:tcW w:w="725" w:type="dxa"/>
            <w:vMerge/>
            <w:tcBorders>
              <w:left w:val="single" w:sz="2" w:space="0" w:color="auto"/>
              <w:right w:val="single" w:sz="2" w:space="0" w:color="auto"/>
            </w:tcBorders>
            <w:vAlign w:val="center"/>
          </w:tcPr>
          <w:p w14:paraId="4CE516C3"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0BA708AA"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right w:val="single" w:sz="2" w:space="0" w:color="auto"/>
            </w:tcBorders>
            <w:vAlign w:val="center"/>
          </w:tcPr>
          <w:p w14:paraId="220422B9"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25" w:type="dxa"/>
            <w:vMerge/>
            <w:tcBorders>
              <w:left w:val="single" w:sz="2" w:space="0" w:color="auto"/>
              <w:right w:val="single" w:sz="2" w:space="0" w:color="auto"/>
            </w:tcBorders>
            <w:vAlign w:val="center"/>
          </w:tcPr>
          <w:p w14:paraId="13B4D931"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34" w:type="dxa"/>
            <w:vMerge/>
            <w:tcBorders>
              <w:left w:val="single" w:sz="2" w:space="0" w:color="auto"/>
              <w:bottom w:val="single" w:sz="2" w:space="0" w:color="auto"/>
              <w:right w:val="single" w:sz="2" w:space="0" w:color="auto"/>
            </w:tcBorders>
            <w:vAlign w:val="center"/>
          </w:tcPr>
          <w:p w14:paraId="1BFCF94E" w14:textId="77777777" w:rsidR="00140B7C" w:rsidRPr="00EC4EC4" w:rsidRDefault="00140B7C" w:rsidP="00BC1087">
            <w:pPr>
              <w:spacing w:after="0" w:line="240" w:lineRule="auto"/>
              <w:ind w:left="4"/>
              <w:jc w:val="center"/>
              <w:rPr>
                <w:rFonts w:eastAsia="Times New Roman" w:cs="Times New Roman"/>
                <w:color w:val="000000"/>
                <w:sz w:val="18"/>
                <w:szCs w:val="18"/>
              </w:rPr>
            </w:pPr>
          </w:p>
        </w:tc>
      </w:tr>
      <w:tr w:rsidR="00140B7C" w:rsidRPr="00EC4EC4" w14:paraId="437ED9C1" w14:textId="77777777" w:rsidTr="00BC1087">
        <w:trPr>
          <w:cantSplit/>
          <w:trHeight w:hRule="exact" w:val="322"/>
          <w:jc w:val="center"/>
        </w:trPr>
        <w:tc>
          <w:tcPr>
            <w:tcW w:w="1286" w:type="dxa"/>
            <w:tcBorders>
              <w:top w:val="single" w:sz="2" w:space="0" w:color="auto"/>
              <w:left w:val="single" w:sz="2" w:space="0" w:color="auto"/>
              <w:bottom w:val="single" w:sz="2" w:space="0" w:color="auto"/>
              <w:right w:val="single" w:sz="2" w:space="0" w:color="auto"/>
            </w:tcBorders>
            <w:vAlign w:val="center"/>
          </w:tcPr>
          <w:p w14:paraId="18CC371B"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18</w:t>
            </w:r>
          </w:p>
        </w:tc>
        <w:tc>
          <w:tcPr>
            <w:tcW w:w="725" w:type="dxa"/>
            <w:vMerge/>
            <w:tcBorders>
              <w:left w:val="single" w:sz="2" w:space="0" w:color="auto"/>
              <w:bottom w:val="single" w:sz="2" w:space="0" w:color="auto"/>
              <w:right w:val="single" w:sz="2" w:space="0" w:color="auto"/>
            </w:tcBorders>
            <w:vAlign w:val="center"/>
          </w:tcPr>
          <w:p w14:paraId="6D6AB8B5"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323CF6E9"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67D9058F" w14:textId="77777777" w:rsidR="00140B7C" w:rsidRPr="00EC4EC4" w:rsidRDefault="00140B7C" w:rsidP="00BC1087">
            <w:pPr>
              <w:spacing w:after="0" w:line="240" w:lineRule="auto"/>
              <w:ind w:left="4"/>
              <w:jc w:val="center"/>
              <w:rPr>
                <w:rFonts w:eastAsia="Times New Roman" w:cs="Times New Roman"/>
                <w:color w:val="000000"/>
                <w:sz w:val="18"/>
                <w:szCs w:val="18"/>
              </w:rPr>
            </w:pPr>
          </w:p>
        </w:tc>
        <w:tc>
          <w:tcPr>
            <w:tcW w:w="725" w:type="dxa"/>
            <w:vMerge/>
            <w:tcBorders>
              <w:left w:val="single" w:sz="2" w:space="0" w:color="auto"/>
              <w:bottom w:val="single" w:sz="2" w:space="0" w:color="auto"/>
              <w:right w:val="single" w:sz="2" w:space="0" w:color="auto"/>
            </w:tcBorders>
            <w:vAlign w:val="center"/>
          </w:tcPr>
          <w:p w14:paraId="0BB732A4"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p>
        </w:tc>
        <w:tc>
          <w:tcPr>
            <w:tcW w:w="734" w:type="dxa"/>
            <w:tcBorders>
              <w:top w:val="single" w:sz="2" w:space="0" w:color="auto"/>
              <w:left w:val="single" w:sz="2" w:space="0" w:color="auto"/>
              <w:bottom w:val="single" w:sz="2" w:space="0" w:color="auto"/>
              <w:right w:val="single" w:sz="2" w:space="0" w:color="auto"/>
            </w:tcBorders>
            <w:vAlign w:val="center"/>
          </w:tcPr>
          <w:p w14:paraId="0E1E8271" w14:textId="77777777" w:rsidR="00140B7C" w:rsidRPr="00EC4EC4" w:rsidRDefault="00140B7C" w:rsidP="00BC1087">
            <w:pPr>
              <w:spacing w:after="0" w:line="240" w:lineRule="auto"/>
              <w:ind w:left="4"/>
              <w:jc w:val="center"/>
              <w:rPr>
                <w:rFonts w:eastAsia="Times New Roman" w:cs="Times New Roman"/>
                <w:color w:val="000000"/>
                <w:w w:val="110"/>
                <w:sz w:val="18"/>
                <w:szCs w:val="18"/>
              </w:rPr>
            </w:pPr>
            <w:r w:rsidRPr="00EC4EC4">
              <w:rPr>
                <w:rFonts w:eastAsia="Times New Roman" w:cs="Times New Roman"/>
                <w:color w:val="000000"/>
                <w:w w:val="110"/>
                <w:sz w:val="18"/>
                <w:szCs w:val="18"/>
              </w:rPr>
              <w:t>4</w:t>
            </w:r>
          </w:p>
        </w:tc>
      </w:tr>
      <w:tr w:rsidR="00140B7C" w:rsidRPr="00EC4EC4" w14:paraId="12A1EF54" w14:textId="77777777" w:rsidTr="00BC1087">
        <w:trPr>
          <w:cantSplit/>
          <w:trHeight w:hRule="exact" w:val="321"/>
          <w:jc w:val="center"/>
        </w:trPr>
        <w:tc>
          <w:tcPr>
            <w:tcW w:w="1286" w:type="dxa"/>
            <w:tcBorders>
              <w:top w:val="single" w:sz="2" w:space="0" w:color="auto"/>
              <w:left w:val="single" w:sz="2" w:space="0" w:color="auto"/>
              <w:bottom w:val="single" w:sz="2" w:space="0" w:color="auto"/>
              <w:right w:val="single" w:sz="2" w:space="0" w:color="auto"/>
            </w:tcBorders>
            <w:vAlign w:val="center"/>
          </w:tcPr>
          <w:p w14:paraId="74749D7F" w14:textId="77777777" w:rsidR="00140B7C" w:rsidRPr="00EC4EC4" w:rsidRDefault="00140B7C" w:rsidP="00BC1087">
            <w:pPr>
              <w:spacing w:after="0" w:line="240" w:lineRule="auto"/>
              <w:jc w:val="center"/>
              <w:rPr>
                <w:rFonts w:eastAsia="Times New Roman" w:cs="Times New Roman"/>
                <w:color w:val="000000"/>
                <w:spacing w:val="-2"/>
                <w:w w:val="110"/>
                <w:sz w:val="18"/>
                <w:szCs w:val="18"/>
              </w:rPr>
            </w:pPr>
            <w:r w:rsidRPr="00EC4EC4">
              <w:rPr>
                <w:rFonts w:eastAsia="Times New Roman" w:cs="Times New Roman"/>
                <w:color w:val="000000"/>
                <w:spacing w:val="-2"/>
                <w:w w:val="110"/>
                <w:sz w:val="18"/>
                <w:szCs w:val="18"/>
              </w:rPr>
              <w:t xml:space="preserve">W6 </w:t>
            </w:r>
            <w:r w:rsidRPr="00EC4EC4">
              <w:rPr>
                <w:rFonts w:eastAsia="Times New Roman" w:cs="Times New Roman"/>
                <w:color w:val="000000"/>
                <w:spacing w:val="-8"/>
                <w:w w:val="110"/>
                <w:sz w:val="18"/>
                <w:szCs w:val="18"/>
              </w:rPr>
              <w:t xml:space="preserve">× </w:t>
            </w:r>
            <w:r w:rsidRPr="00EC4EC4">
              <w:rPr>
                <w:rFonts w:eastAsia="Times New Roman" w:cs="Times New Roman"/>
                <w:color w:val="000000"/>
                <w:spacing w:val="-2"/>
                <w:w w:val="110"/>
                <w:sz w:val="18"/>
                <w:szCs w:val="18"/>
              </w:rPr>
              <w:t>25</w:t>
            </w:r>
          </w:p>
        </w:tc>
        <w:tc>
          <w:tcPr>
            <w:tcW w:w="725" w:type="dxa"/>
            <w:vMerge w:val="restart"/>
            <w:tcBorders>
              <w:top w:val="single" w:sz="2" w:space="0" w:color="auto"/>
              <w:left w:val="single" w:sz="2" w:space="0" w:color="auto"/>
              <w:right w:val="single" w:sz="2" w:space="0" w:color="auto"/>
            </w:tcBorders>
            <w:vAlign w:val="center"/>
          </w:tcPr>
          <w:p w14:paraId="38CB0FEB" w14:textId="77777777" w:rsidR="00140B7C" w:rsidRPr="00EC4EC4" w:rsidRDefault="00140B7C" w:rsidP="00BC1087">
            <w:pPr>
              <w:spacing w:after="0" w:line="240" w:lineRule="auto"/>
              <w:jc w:val="center"/>
              <w:rPr>
                <w:rFonts w:eastAsia="Times New Roman" w:cs="Times New Roman"/>
                <w:color w:val="000000"/>
                <w:sz w:val="18"/>
                <w:szCs w:val="18"/>
              </w:rPr>
            </w:pPr>
            <w:r w:rsidRPr="00EC4EC4">
              <w:rPr>
                <w:rFonts w:eastAsia="Times New Roman" w:cs="Times New Roman"/>
                <w:color w:val="000000"/>
                <w:w w:val="110"/>
                <w:sz w:val="18"/>
                <w:szCs w:val="18"/>
              </w:rPr>
              <w:t>1</w:t>
            </w:r>
          </w:p>
        </w:tc>
        <w:tc>
          <w:tcPr>
            <w:tcW w:w="725" w:type="dxa"/>
            <w:tcBorders>
              <w:top w:val="single" w:sz="2" w:space="0" w:color="auto"/>
              <w:left w:val="single" w:sz="2" w:space="0" w:color="auto"/>
              <w:bottom w:val="single" w:sz="2" w:space="0" w:color="auto"/>
              <w:right w:val="single" w:sz="2" w:space="0" w:color="auto"/>
            </w:tcBorders>
            <w:vAlign w:val="center"/>
          </w:tcPr>
          <w:p w14:paraId="612E6ABC" w14:textId="77777777" w:rsidR="00140B7C" w:rsidRPr="00EC4EC4" w:rsidRDefault="00140B7C" w:rsidP="00BC1087">
            <w:pPr>
              <w:spacing w:after="0" w:line="240" w:lineRule="auto"/>
              <w:jc w:val="center"/>
              <w:rPr>
                <w:rFonts w:eastAsia="Times New Roman" w:cs="Times New Roman"/>
                <w:color w:val="000000"/>
                <w:w w:val="115"/>
                <w:sz w:val="18"/>
                <w:szCs w:val="18"/>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tcBorders>
              <w:top w:val="single" w:sz="2" w:space="0" w:color="auto"/>
              <w:left w:val="single" w:sz="2" w:space="0" w:color="auto"/>
              <w:bottom w:val="single" w:sz="2" w:space="0" w:color="auto"/>
              <w:right w:val="single" w:sz="2" w:space="0" w:color="auto"/>
            </w:tcBorders>
            <w:vAlign w:val="center"/>
          </w:tcPr>
          <w:p w14:paraId="4CC1894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725" w:type="dxa"/>
            <w:vMerge w:val="restart"/>
            <w:tcBorders>
              <w:top w:val="single" w:sz="2" w:space="0" w:color="auto"/>
              <w:left w:val="single" w:sz="2" w:space="0" w:color="auto"/>
              <w:bottom w:val="single" w:sz="4" w:space="0" w:color="auto"/>
              <w:right w:val="single" w:sz="2" w:space="0" w:color="auto"/>
            </w:tcBorders>
            <w:vAlign w:val="center"/>
          </w:tcPr>
          <w:p w14:paraId="37BB9673" w14:textId="77777777" w:rsidR="00140B7C" w:rsidRPr="00EC4EC4" w:rsidRDefault="00140B7C" w:rsidP="00BC1087">
            <w:pPr>
              <w:spacing w:after="0" w:line="240" w:lineRule="auto"/>
              <w:jc w:val="center"/>
              <w:rPr>
                <w:rFonts w:eastAsia="Times New Roman" w:cs="Times New Roman"/>
                <w:color w:val="000000"/>
                <w:sz w:val="18"/>
                <w:szCs w:val="18"/>
              </w:rPr>
            </w:pPr>
            <w:r w:rsidRPr="00EC4EC4">
              <w:rPr>
                <w:rFonts w:eastAsia="Times New Roman" w:cs="Times New Roman"/>
                <w:color w:val="000000"/>
                <w:w w:val="110"/>
                <w:sz w:val="18"/>
                <w:szCs w:val="18"/>
              </w:rPr>
              <w:t>3</w:t>
            </w:r>
          </w:p>
        </w:tc>
        <w:tc>
          <w:tcPr>
            <w:tcW w:w="734" w:type="dxa"/>
            <w:tcBorders>
              <w:top w:val="single" w:sz="2" w:space="0" w:color="auto"/>
              <w:left w:val="single" w:sz="2" w:space="0" w:color="auto"/>
              <w:bottom w:val="single" w:sz="2" w:space="0" w:color="auto"/>
              <w:right w:val="single" w:sz="2" w:space="0" w:color="auto"/>
            </w:tcBorders>
            <w:vAlign w:val="center"/>
          </w:tcPr>
          <w:p w14:paraId="32877BB7" w14:textId="77777777" w:rsidR="00140B7C" w:rsidRPr="00EC4EC4" w:rsidRDefault="00140B7C" w:rsidP="00BC1087">
            <w:pPr>
              <w:spacing w:after="0" w:line="240" w:lineRule="auto"/>
              <w:jc w:val="center"/>
              <w:rPr>
                <w:rFonts w:eastAsia="Times New Roman" w:cs="Times New Roman"/>
                <w:color w:val="000000"/>
                <w:w w:val="115"/>
                <w:sz w:val="18"/>
                <w:szCs w:val="18"/>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r>
      <w:tr w:rsidR="00140B7C" w:rsidRPr="00EC4EC4" w14:paraId="320D511A" w14:textId="77777777" w:rsidTr="00BC1087">
        <w:trPr>
          <w:cantSplit/>
          <w:trHeight w:hRule="exact" w:val="317"/>
          <w:jc w:val="center"/>
        </w:trPr>
        <w:tc>
          <w:tcPr>
            <w:tcW w:w="1286" w:type="dxa"/>
            <w:tcBorders>
              <w:top w:val="single" w:sz="2" w:space="0" w:color="auto"/>
              <w:left w:val="single" w:sz="2" w:space="0" w:color="auto"/>
              <w:bottom w:val="single" w:sz="2" w:space="0" w:color="auto"/>
              <w:right w:val="single" w:sz="2" w:space="0" w:color="auto"/>
            </w:tcBorders>
            <w:vAlign w:val="center"/>
          </w:tcPr>
          <w:p w14:paraId="696726CE"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20</w:t>
            </w:r>
          </w:p>
        </w:tc>
        <w:tc>
          <w:tcPr>
            <w:tcW w:w="725" w:type="dxa"/>
            <w:vMerge/>
            <w:tcBorders>
              <w:left w:val="single" w:sz="2" w:space="0" w:color="auto"/>
              <w:right w:val="single" w:sz="2" w:space="0" w:color="auto"/>
            </w:tcBorders>
            <w:vAlign w:val="center"/>
          </w:tcPr>
          <w:p w14:paraId="35489D01" w14:textId="77777777" w:rsidR="00140B7C" w:rsidRPr="00EC4EC4" w:rsidRDefault="00140B7C" w:rsidP="00BC1087">
            <w:pPr>
              <w:spacing w:after="0" w:line="240" w:lineRule="auto"/>
              <w:jc w:val="center"/>
              <w:rPr>
                <w:rFonts w:eastAsia="Times New Roman" w:cs="Times New Roman"/>
                <w:color w:val="000000"/>
                <w:sz w:val="18"/>
                <w:szCs w:val="18"/>
              </w:rPr>
            </w:pPr>
          </w:p>
        </w:tc>
        <w:tc>
          <w:tcPr>
            <w:tcW w:w="725" w:type="dxa"/>
            <w:vMerge w:val="restart"/>
            <w:tcBorders>
              <w:top w:val="single" w:sz="2" w:space="0" w:color="auto"/>
              <w:left w:val="single" w:sz="2" w:space="0" w:color="auto"/>
              <w:right w:val="single" w:sz="2" w:space="0" w:color="auto"/>
            </w:tcBorders>
            <w:vAlign w:val="center"/>
          </w:tcPr>
          <w:p w14:paraId="3DBC05FB" w14:textId="77777777" w:rsidR="00140B7C" w:rsidRPr="00EC4EC4" w:rsidRDefault="00140B7C" w:rsidP="00BC1087">
            <w:pPr>
              <w:spacing w:after="0" w:line="240" w:lineRule="auto"/>
              <w:jc w:val="center"/>
              <w:rPr>
                <w:rFonts w:eastAsia="Times New Roman" w:cs="Times New Roman"/>
                <w:color w:val="000000"/>
                <w:sz w:val="18"/>
                <w:szCs w:val="18"/>
              </w:rPr>
            </w:pPr>
            <w:r w:rsidRPr="00EC4EC4">
              <w:rPr>
                <w:rFonts w:eastAsia="Times New Roman" w:cs="Times New Roman"/>
                <w:color w:val="000000"/>
                <w:w w:val="110"/>
                <w:sz w:val="18"/>
                <w:szCs w:val="18"/>
              </w:rPr>
              <w:t>2</w:t>
            </w:r>
          </w:p>
        </w:tc>
        <w:tc>
          <w:tcPr>
            <w:tcW w:w="725" w:type="dxa"/>
            <w:vMerge w:val="restart"/>
            <w:tcBorders>
              <w:top w:val="single" w:sz="2" w:space="0" w:color="auto"/>
              <w:left w:val="single" w:sz="2" w:space="0" w:color="auto"/>
              <w:right w:val="single" w:sz="2" w:space="0" w:color="auto"/>
            </w:tcBorders>
            <w:vAlign w:val="center"/>
          </w:tcPr>
          <w:p w14:paraId="713E471F" w14:textId="77777777" w:rsidR="00140B7C" w:rsidRPr="00EC4EC4" w:rsidRDefault="00140B7C" w:rsidP="00BC1087">
            <w:pPr>
              <w:spacing w:after="0" w:line="240" w:lineRule="auto"/>
              <w:jc w:val="center"/>
              <w:rPr>
                <w:rFonts w:eastAsia="Times New Roman" w:cs="Times New Roman"/>
                <w:color w:val="000000"/>
                <w:sz w:val="18"/>
                <w:szCs w:val="18"/>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vMerge/>
            <w:tcBorders>
              <w:left w:val="single" w:sz="2" w:space="0" w:color="auto"/>
              <w:bottom w:val="single" w:sz="4" w:space="0" w:color="auto"/>
              <w:right w:val="single" w:sz="2" w:space="0" w:color="auto"/>
            </w:tcBorders>
            <w:vAlign w:val="center"/>
          </w:tcPr>
          <w:p w14:paraId="7D3B6166"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34" w:type="dxa"/>
            <w:vMerge w:val="restart"/>
            <w:tcBorders>
              <w:top w:val="single" w:sz="2" w:space="0" w:color="auto"/>
              <w:left w:val="single" w:sz="2" w:space="0" w:color="auto"/>
              <w:right w:val="single" w:sz="2" w:space="0" w:color="auto"/>
            </w:tcBorders>
            <w:vAlign w:val="center"/>
          </w:tcPr>
          <w:p w14:paraId="6A14910B" w14:textId="77777777" w:rsidR="00140B7C" w:rsidRPr="00EC4EC4" w:rsidRDefault="00140B7C" w:rsidP="00BC1087">
            <w:pPr>
              <w:spacing w:after="0" w:line="240" w:lineRule="auto"/>
              <w:jc w:val="center"/>
              <w:rPr>
                <w:rFonts w:eastAsia="Times New Roman" w:cs="Times New Roman"/>
                <w:color w:val="000000"/>
                <w:sz w:val="18"/>
                <w:szCs w:val="18"/>
              </w:rPr>
            </w:pPr>
            <w:r w:rsidRPr="00EC4EC4">
              <w:rPr>
                <w:rFonts w:eastAsia="Times New Roman" w:cs="Times New Roman"/>
                <w:color w:val="000000"/>
                <w:w w:val="110"/>
                <w:sz w:val="18"/>
                <w:szCs w:val="18"/>
              </w:rPr>
              <w:t>4</w:t>
            </w:r>
          </w:p>
        </w:tc>
      </w:tr>
      <w:tr w:rsidR="00140B7C" w:rsidRPr="00EC4EC4" w14:paraId="207DD3BF" w14:textId="77777777" w:rsidTr="00BC1087">
        <w:trPr>
          <w:cantSplit/>
          <w:trHeight w:hRule="exact" w:val="322"/>
          <w:jc w:val="center"/>
        </w:trPr>
        <w:tc>
          <w:tcPr>
            <w:tcW w:w="1286" w:type="dxa"/>
            <w:tcBorders>
              <w:top w:val="single" w:sz="2" w:space="0" w:color="auto"/>
              <w:left w:val="single" w:sz="2" w:space="0" w:color="auto"/>
              <w:bottom w:val="single" w:sz="2" w:space="0" w:color="auto"/>
              <w:right w:val="single" w:sz="2" w:space="0" w:color="auto"/>
            </w:tcBorders>
            <w:vAlign w:val="center"/>
          </w:tcPr>
          <w:p w14:paraId="43ED20D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16</w:t>
            </w:r>
          </w:p>
        </w:tc>
        <w:tc>
          <w:tcPr>
            <w:tcW w:w="725" w:type="dxa"/>
            <w:vMerge/>
            <w:tcBorders>
              <w:left w:val="single" w:sz="2" w:space="0" w:color="auto"/>
              <w:bottom w:val="single" w:sz="2" w:space="0" w:color="auto"/>
              <w:right w:val="single" w:sz="2" w:space="0" w:color="auto"/>
            </w:tcBorders>
            <w:vAlign w:val="center"/>
          </w:tcPr>
          <w:p w14:paraId="7B10F1FA"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25" w:type="dxa"/>
            <w:vMerge/>
            <w:tcBorders>
              <w:left w:val="single" w:sz="2" w:space="0" w:color="auto"/>
              <w:right w:val="single" w:sz="2" w:space="0" w:color="auto"/>
            </w:tcBorders>
            <w:vAlign w:val="center"/>
          </w:tcPr>
          <w:p w14:paraId="541FEDEB"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25" w:type="dxa"/>
            <w:vMerge/>
            <w:tcBorders>
              <w:left w:val="single" w:sz="2" w:space="0" w:color="auto"/>
              <w:right w:val="single" w:sz="2" w:space="0" w:color="auto"/>
            </w:tcBorders>
            <w:vAlign w:val="center"/>
          </w:tcPr>
          <w:p w14:paraId="67F73200" w14:textId="77777777" w:rsidR="00140B7C" w:rsidRPr="00EC4EC4" w:rsidRDefault="00140B7C" w:rsidP="00BC1087">
            <w:pPr>
              <w:spacing w:after="0" w:line="240" w:lineRule="auto"/>
              <w:ind w:left="360"/>
              <w:jc w:val="center"/>
              <w:rPr>
                <w:rFonts w:eastAsia="Times New Roman" w:cs="Times New Roman"/>
                <w:color w:val="000000"/>
                <w:w w:val="115"/>
                <w:sz w:val="18"/>
                <w:szCs w:val="18"/>
              </w:rPr>
            </w:pPr>
          </w:p>
        </w:tc>
        <w:tc>
          <w:tcPr>
            <w:tcW w:w="725" w:type="dxa"/>
            <w:vMerge w:val="restart"/>
            <w:tcBorders>
              <w:top w:val="single" w:sz="4" w:space="0" w:color="auto"/>
              <w:left w:val="single" w:sz="2" w:space="0" w:color="auto"/>
              <w:bottom w:val="nil"/>
              <w:right w:val="single" w:sz="2" w:space="0" w:color="auto"/>
            </w:tcBorders>
            <w:vAlign w:val="center"/>
          </w:tcPr>
          <w:p w14:paraId="11461DD8" w14:textId="77777777" w:rsidR="00140B7C" w:rsidRPr="00EC4EC4" w:rsidRDefault="00140B7C" w:rsidP="00BC1087">
            <w:pPr>
              <w:spacing w:after="0" w:line="240" w:lineRule="auto"/>
              <w:ind w:left="-11"/>
              <w:jc w:val="center"/>
              <w:rPr>
                <w:rFonts w:eastAsia="Times New Roman" w:cs="Times New Roman"/>
                <w:color w:val="000000"/>
                <w:w w:val="115"/>
                <w:sz w:val="18"/>
                <w:szCs w:val="18"/>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34" w:type="dxa"/>
            <w:vMerge/>
            <w:tcBorders>
              <w:left w:val="single" w:sz="2" w:space="0" w:color="auto"/>
              <w:right w:val="single" w:sz="2" w:space="0" w:color="auto"/>
            </w:tcBorders>
            <w:vAlign w:val="center"/>
          </w:tcPr>
          <w:p w14:paraId="49F393E7"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r>
      <w:tr w:rsidR="00140B7C" w:rsidRPr="00EC4EC4" w14:paraId="384D55E7" w14:textId="77777777" w:rsidTr="00BC1087">
        <w:trPr>
          <w:cantSplit/>
          <w:trHeight w:hRule="exact" w:val="321"/>
          <w:jc w:val="center"/>
        </w:trPr>
        <w:tc>
          <w:tcPr>
            <w:tcW w:w="1286" w:type="dxa"/>
            <w:tcBorders>
              <w:top w:val="single" w:sz="2" w:space="0" w:color="auto"/>
              <w:left w:val="single" w:sz="2" w:space="0" w:color="auto"/>
              <w:bottom w:val="single" w:sz="2" w:space="0" w:color="auto"/>
              <w:right w:val="single" w:sz="2" w:space="0" w:color="auto"/>
            </w:tcBorders>
            <w:vAlign w:val="center"/>
          </w:tcPr>
          <w:p w14:paraId="1630FD2A"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15</w:t>
            </w:r>
          </w:p>
        </w:tc>
        <w:tc>
          <w:tcPr>
            <w:tcW w:w="725" w:type="dxa"/>
            <w:vMerge w:val="restart"/>
            <w:tcBorders>
              <w:top w:val="single" w:sz="2" w:space="0" w:color="auto"/>
              <w:left w:val="single" w:sz="2" w:space="0" w:color="auto"/>
              <w:bottom w:val="nil"/>
              <w:right w:val="single" w:sz="2" w:space="0" w:color="auto"/>
            </w:tcBorders>
            <w:vAlign w:val="center"/>
          </w:tcPr>
          <w:p w14:paraId="706CDF44" w14:textId="77777777" w:rsidR="00140B7C" w:rsidRPr="00EC4EC4" w:rsidRDefault="00140B7C" w:rsidP="00BC1087">
            <w:pPr>
              <w:spacing w:after="0" w:line="240" w:lineRule="auto"/>
              <w:ind w:left="4"/>
              <w:jc w:val="center"/>
              <w:rPr>
                <w:rFonts w:eastAsia="Times New Roman" w:cs="Times New Roman"/>
                <w:color w:val="000000"/>
                <w:w w:val="115"/>
                <w:sz w:val="11"/>
                <w:szCs w:val="11"/>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8"/>
                <w:szCs w:val="18"/>
                <w:vertAlign w:val="subscript"/>
              </w:rPr>
              <w:t>2</w:t>
            </w:r>
          </w:p>
        </w:tc>
        <w:tc>
          <w:tcPr>
            <w:tcW w:w="725" w:type="dxa"/>
            <w:vMerge/>
            <w:tcBorders>
              <w:left w:val="single" w:sz="2" w:space="0" w:color="auto"/>
              <w:right w:val="single" w:sz="2" w:space="0" w:color="auto"/>
            </w:tcBorders>
          </w:tcPr>
          <w:p w14:paraId="1BBE1796" w14:textId="77777777" w:rsidR="00140B7C" w:rsidRPr="00EC4EC4" w:rsidRDefault="00140B7C" w:rsidP="00BC1087">
            <w:pPr>
              <w:spacing w:before="360" w:after="0" w:line="240" w:lineRule="auto"/>
              <w:ind w:left="360"/>
              <w:jc w:val="center"/>
              <w:rPr>
                <w:rFonts w:eastAsia="Times New Roman" w:cs="Times New Roman"/>
                <w:color w:val="000000"/>
                <w:w w:val="115"/>
                <w:sz w:val="11"/>
                <w:szCs w:val="11"/>
              </w:rPr>
            </w:pPr>
          </w:p>
        </w:tc>
        <w:tc>
          <w:tcPr>
            <w:tcW w:w="725" w:type="dxa"/>
            <w:vMerge/>
            <w:tcBorders>
              <w:left w:val="single" w:sz="2" w:space="0" w:color="auto"/>
              <w:right w:val="single" w:sz="2" w:space="0" w:color="auto"/>
            </w:tcBorders>
            <w:vAlign w:val="bottom"/>
          </w:tcPr>
          <w:p w14:paraId="669B8DE9" w14:textId="77777777" w:rsidR="00140B7C" w:rsidRPr="00EC4EC4" w:rsidRDefault="00140B7C" w:rsidP="00BC1087">
            <w:pPr>
              <w:spacing w:before="360" w:after="0" w:line="240" w:lineRule="auto"/>
              <w:ind w:left="360"/>
              <w:jc w:val="center"/>
              <w:rPr>
                <w:rFonts w:eastAsia="Times New Roman" w:cs="Times New Roman"/>
                <w:color w:val="000000"/>
                <w:w w:val="115"/>
                <w:sz w:val="11"/>
                <w:szCs w:val="11"/>
              </w:rPr>
            </w:pPr>
          </w:p>
        </w:tc>
        <w:tc>
          <w:tcPr>
            <w:tcW w:w="725" w:type="dxa"/>
            <w:vMerge/>
            <w:tcBorders>
              <w:top w:val="nil"/>
              <w:left w:val="single" w:sz="2" w:space="0" w:color="auto"/>
              <w:bottom w:val="nil"/>
              <w:right w:val="single" w:sz="2" w:space="0" w:color="auto"/>
            </w:tcBorders>
            <w:vAlign w:val="bottom"/>
          </w:tcPr>
          <w:p w14:paraId="78A01B3A" w14:textId="77777777" w:rsidR="00140B7C" w:rsidRPr="00EC4EC4" w:rsidRDefault="00140B7C" w:rsidP="00BC1087">
            <w:pPr>
              <w:spacing w:before="360" w:after="0" w:line="240" w:lineRule="auto"/>
              <w:ind w:left="360"/>
              <w:jc w:val="center"/>
              <w:rPr>
                <w:rFonts w:eastAsia="Times New Roman" w:cs="Times New Roman"/>
                <w:color w:val="000000"/>
                <w:w w:val="115"/>
                <w:sz w:val="11"/>
                <w:szCs w:val="11"/>
              </w:rPr>
            </w:pPr>
          </w:p>
        </w:tc>
        <w:tc>
          <w:tcPr>
            <w:tcW w:w="734" w:type="dxa"/>
            <w:vMerge/>
            <w:tcBorders>
              <w:left w:val="single" w:sz="2" w:space="0" w:color="auto"/>
              <w:right w:val="single" w:sz="2" w:space="0" w:color="auto"/>
            </w:tcBorders>
          </w:tcPr>
          <w:p w14:paraId="31417C61" w14:textId="77777777" w:rsidR="00140B7C" w:rsidRPr="00EC4EC4" w:rsidRDefault="00140B7C" w:rsidP="00BC1087">
            <w:pPr>
              <w:spacing w:before="360" w:after="0" w:line="240" w:lineRule="auto"/>
              <w:ind w:left="360"/>
              <w:jc w:val="center"/>
              <w:rPr>
                <w:rFonts w:eastAsia="Times New Roman" w:cs="Times New Roman"/>
                <w:color w:val="000000"/>
                <w:w w:val="115"/>
                <w:sz w:val="11"/>
                <w:szCs w:val="11"/>
              </w:rPr>
            </w:pPr>
          </w:p>
        </w:tc>
      </w:tr>
      <w:tr w:rsidR="00140B7C" w:rsidRPr="00EC4EC4" w14:paraId="16FE7FE3" w14:textId="77777777" w:rsidTr="00BC1087">
        <w:trPr>
          <w:cantSplit/>
          <w:trHeight w:hRule="exact" w:val="327"/>
          <w:jc w:val="center"/>
        </w:trPr>
        <w:tc>
          <w:tcPr>
            <w:tcW w:w="1286" w:type="dxa"/>
            <w:tcBorders>
              <w:top w:val="single" w:sz="2" w:space="0" w:color="auto"/>
              <w:left w:val="single" w:sz="2" w:space="0" w:color="auto"/>
              <w:bottom w:val="single" w:sz="2" w:space="0" w:color="auto"/>
              <w:right w:val="single" w:sz="2" w:space="0" w:color="auto"/>
            </w:tcBorders>
            <w:vAlign w:val="center"/>
          </w:tcPr>
          <w:p w14:paraId="09E54F65" w14:textId="77777777" w:rsidR="00140B7C" w:rsidRPr="00EC4EC4" w:rsidRDefault="00140B7C" w:rsidP="00BC1087">
            <w:pPr>
              <w:tabs>
                <w:tab w:val="right" w:pos="1008"/>
              </w:tabs>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9</w:t>
            </w:r>
          </w:p>
        </w:tc>
        <w:tc>
          <w:tcPr>
            <w:tcW w:w="725" w:type="dxa"/>
            <w:vMerge/>
            <w:tcBorders>
              <w:top w:val="nil"/>
              <w:left w:val="single" w:sz="2" w:space="0" w:color="auto"/>
              <w:bottom w:val="single" w:sz="2" w:space="0" w:color="auto"/>
              <w:right w:val="single" w:sz="2" w:space="0" w:color="auto"/>
            </w:tcBorders>
            <w:vAlign w:val="bottom"/>
          </w:tcPr>
          <w:p w14:paraId="3D238C51" w14:textId="77777777" w:rsidR="00140B7C" w:rsidRPr="00EC4EC4" w:rsidRDefault="00140B7C" w:rsidP="00BC1087">
            <w:pPr>
              <w:tabs>
                <w:tab w:val="right" w:pos="1008"/>
              </w:tabs>
              <w:spacing w:after="0" w:line="240" w:lineRule="auto"/>
              <w:ind w:left="360"/>
              <w:jc w:val="right"/>
              <w:rPr>
                <w:rFonts w:eastAsia="Times New Roman" w:cs="Times New Roman"/>
                <w:color w:val="000000"/>
                <w:w w:val="110"/>
                <w:sz w:val="18"/>
                <w:szCs w:val="18"/>
              </w:rPr>
            </w:pPr>
          </w:p>
        </w:tc>
        <w:tc>
          <w:tcPr>
            <w:tcW w:w="725" w:type="dxa"/>
            <w:vMerge/>
            <w:tcBorders>
              <w:left w:val="single" w:sz="2" w:space="0" w:color="auto"/>
              <w:bottom w:val="single" w:sz="2" w:space="0" w:color="auto"/>
              <w:right w:val="single" w:sz="2" w:space="0" w:color="auto"/>
            </w:tcBorders>
          </w:tcPr>
          <w:p w14:paraId="17CAC2DD" w14:textId="77777777" w:rsidR="00140B7C" w:rsidRPr="00EC4EC4" w:rsidRDefault="00140B7C" w:rsidP="00BC1087">
            <w:pPr>
              <w:tabs>
                <w:tab w:val="right" w:pos="1008"/>
              </w:tabs>
              <w:spacing w:after="0" w:line="240" w:lineRule="auto"/>
              <w:ind w:left="360"/>
              <w:jc w:val="right"/>
              <w:rPr>
                <w:rFonts w:eastAsia="Times New Roman" w:cs="Times New Roman"/>
                <w:color w:val="000000"/>
                <w:w w:val="110"/>
                <w:sz w:val="18"/>
                <w:szCs w:val="18"/>
              </w:rPr>
            </w:pPr>
          </w:p>
        </w:tc>
        <w:tc>
          <w:tcPr>
            <w:tcW w:w="725" w:type="dxa"/>
            <w:vMerge/>
            <w:tcBorders>
              <w:left w:val="single" w:sz="2" w:space="0" w:color="auto"/>
              <w:bottom w:val="single" w:sz="2" w:space="0" w:color="auto"/>
              <w:right w:val="single" w:sz="2" w:space="0" w:color="auto"/>
            </w:tcBorders>
            <w:vAlign w:val="bottom"/>
          </w:tcPr>
          <w:p w14:paraId="58A25E0B" w14:textId="77777777" w:rsidR="00140B7C" w:rsidRPr="00EC4EC4" w:rsidRDefault="00140B7C" w:rsidP="00BC1087">
            <w:pPr>
              <w:tabs>
                <w:tab w:val="right" w:pos="1008"/>
              </w:tabs>
              <w:spacing w:after="0" w:line="240" w:lineRule="auto"/>
              <w:ind w:left="360"/>
              <w:jc w:val="right"/>
              <w:rPr>
                <w:rFonts w:eastAsia="Times New Roman" w:cs="Times New Roman"/>
                <w:color w:val="000000"/>
                <w:w w:val="110"/>
                <w:sz w:val="18"/>
                <w:szCs w:val="18"/>
              </w:rPr>
            </w:pPr>
          </w:p>
        </w:tc>
        <w:tc>
          <w:tcPr>
            <w:tcW w:w="725" w:type="dxa"/>
            <w:vMerge/>
            <w:tcBorders>
              <w:top w:val="nil"/>
              <w:left w:val="single" w:sz="2" w:space="0" w:color="auto"/>
              <w:bottom w:val="single" w:sz="2" w:space="0" w:color="auto"/>
              <w:right w:val="single" w:sz="2" w:space="0" w:color="auto"/>
            </w:tcBorders>
            <w:vAlign w:val="bottom"/>
          </w:tcPr>
          <w:p w14:paraId="67FEA9F4" w14:textId="77777777" w:rsidR="00140B7C" w:rsidRPr="00EC4EC4" w:rsidRDefault="00140B7C" w:rsidP="00BC1087">
            <w:pPr>
              <w:tabs>
                <w:tab w:val="right" w:pos="1008"/>
              </w:tabs>
              <w:spacing w:after="0" w:line="240" w:lineRule="auto"/>
              <w:ind w:left="360"/>
              <w:jc w:val="right"/>
              <w:rPr>
                <w:rFonts w:eastAsia="Times New Roman" w:cs="Times New Roman"/>
                <w:color w:val="000000"/>
                <w:w w:val="110"/>
                <w:sz w:val="18"/>
                <w:szCs w:val="18"/>
              </w:rPr>
            </w:pPr>
          </w:p>
        </w:tc>
        <w:tc>
          <w:tcPr>
            <w:tcW w:w="734" w:type="dxa"/>
            <w:vMerge/>
            <w:tcBorders>
              <w:left w:val="single" w:sz="2" w:space="0" w:color="auto"/>
              <w:bottom w:val="single" w:sz="2" w:space="0" w:color="auto"/>
              <w:right w:val="single" w:sz="2" w:space="0" w:color="auto"/>
            </w:tcBorders>
          </w:tcPr>
          <w:p w14:paraId="2FCAED4D" w14:textId="77777777" w:rsidR="00140B7C" w:rsidRPr="00EC4EC4" w:rsidRDefault="00140B7C" w:rsidP="00BC1087">
            <w:pPr>
              <w:tabs>
                <w:tab w:val="right" w:pos="1008"/>
              </w:tabs>
              <w:spacing w:after="0" w:line="240" w:lineRule="auto"/>
              <w:ind w:left="360"/>
              <w:jc w:val="right"/>
              <w:rPr>
                <w:rFonts w:eastAsia="Times New Roman" w:cs="Times New Roman"/>
                <w:color w:val="000000"/>
                <w:w w:val="110"/>
                <w:sz w:val="18"/>
                <w:szCs w:val="18"/>
              </w:rPr>
            </w:pPr>
          </w:p>
        </w:tc>
      </w:tr>
    </w:tbl>
    <w:p w14:paraId="3C7CE3EF" w14:textId="77777777" w:rsidR="00140B7C" w:rsidRPr="00EC4EC4" w:rsidRDefault="00140B7C" w:rsidP="00140B7C">
      <w:pPr>
        <w:spacing w:after="0" w:line="152" w:lineRule="exact"/>
        <w:ind w:left="2160"/>
        <w:jc w:val="both"/>
        <w:rPr>
          <w:rFonts w:eastAsia="Times New Roman" w:cs="Times New Roman"/>
          <w:color w:val="000000"/>
          <w:spacing w:val="8"/>
          <w:sz w:val="14"/>
          <w:szCs w:val="14"/>
        </w:rPr>
      </w:pPr>
      <w:r w:rsidRPr="00EC4EC4">
        <w:rPr>
          <w:rFonts w:eastAsia="Times New Roman" w:cs="Times New Roman"/>
          <w:color w:val="000000"/>
          <w:spacing w:val="8"/>
          <w:sz w:val="14"/>
          <w:szCs w:val="14"/>
        </w:rPr>
        <w:t>For SI: 1 inch = 25.4 mm.</w:t>
      </w:r>
    </w:p>
    <w:p w14:paraId="1E4111B5" w14:textId="77777777" w:rsidR="00140B7C" w:rsidRPr="00EC4EC4" w:rsidRDefault="00140B7C" w:rsidP="00140B7C">
      <w:pPr>
        <w:spacing w:before="36" w:after="0" w:line="177" w:lineRule="exact"/>
        <w:ind w:left="360"/>
        <w:jc w:val="both"/>
        <w:rPr>
          <w:rFonts w:eastAsia="Times New Roman" w:cs="Times New Roman"/>
          <w:color w:val="000000"/>
          <w:sz w:val="14"/>
          <w:szCs w:val="14"/>
        </w:rPr>
      </w:pPr>
      <w:r w:rsidRPr="00EC4EC4">
        <w:rPr>
          <w:rFonts w:eastAsia="Times New Roman" w:cs="Times New Roman"/>
          <w:color w:val="000000"/>
          <w:spacing w:val="5"/>
          <w:sz w:val="14"/>
          <w:szCs w:val="14"/>
        </w:rPr>
        <w:t>a. The tabulated thicknesses are based upon the assumed properties of nor</w:t>
      </w:r>
      <w:r w:rsidRPr="00EC4EC4">
        <w:rPr>
          <w:rFonts w:eastAsia="Times New Roman" w:cs="Times New Roman"/>
          <w:color w:val="000000"/>
          <w:spacing w:val="2"/>
          <w:sz w:val="14"/>
          <w:szCs w:val="14"/>
        </w:rPr>
        <w:t>mal-weight concrete given in Table 722.5.1(2).</w:t>
      </w:r>
    </w:p>
    <w:p w14:paraId="415103FA" w14:textId="77777777" w:rsidR="00140B7C" w:rsidRPr="00EC4EC4" w:rsidRDefault="00140B7C" w:rsidP="00140B7C">
      <w:pPr>
        <w:autoSpaceDE w:val="0"/>
        <w:autoSpaceDN w:val="0"/>
        <w:adjustRightInd w:val="0"/>
        <w:spacing w:after="0" w:line="240" w:lineRule="auto"/>
        <w:jc w:val="both"/>
        <w:rPr>
          <w:rFonts w:eastAsia="Times New Roman" w:cs="Times New Roman"/>
          <w:bCs/>
          <w:sz w:val="20"/>
          <w:szCs w:val="20"/>
          <w:lang w:eastAsia="x-none"/>
        </w:rPr>
      </w:pPr>
    </w:p>
    <w:p w14:paraId="5C1262A3" w14:textId="50588EBC" w:rsidR="00140B7C" w:rsidRPr="00EC4EC4" w:rsidRDefault="00140B7C" w:rsidP="00140B7C">
      <w:pPr>
        <w:kinsoku w:val="0"/>
        <w:spacing w:after="240" w:line="240" w:lineRule="auto"/>
        <w:ind w:firstLine="720"/>
        <w:jc w:val="both"/>
        <w:rPr>
          <w:rFonts w:cs="Times New Roman"/>
          <w:sz w:val="23"/>
          <w:szCs w:val="23"/>
        </w:rPr>
      </w:pPr>
      <w:r w:rsidRPr="00EC4EC4">
        <w:br w:type="page"/>
      </w:r>
      <w:r w:rsidRPr="00EC4EC4">
        <w:rPr>
          <w:rFonts w:cs="Times New Roman"/>
          <w:sz w:val="23"/>
          <w:szCs w:val="23"/>
        </w:rPr>
        <w:lastRenderedPageBreak/>
        <w:t>§</w:t>
      </w:r>
      <w:r>
        <w:rPr>
          <w:rFonts w:cs="Times New Roman"/>
          <w:sz w:val="23"/>
          <w:szCs w:val="23"/>
        </w:rPr>
        <w:t>1</w:t>
      </w:r>
      <w:r w:rsidR="00E73567">
        <w:rPr>
          <w:rFonts w:cs="Times New Roman"/>
          <w:sz w:val="23"/>
          <w:szCs w:val="23"/>
        </w:rPr>
        <w:t>32</w:t>
      </w:r>
      <w:r w:rsidRPr="00EC4EC4">
        <w:rPr>
          <w:rFonts w:cs="Times New Roman"/>
          <w:sz w:val="23"/>
          <w:szCs w:val="23"/>
        </w:rPr>
        <w:t>. Table 72</w:t>
      </w:r>
      <w:r>
        <w:rPr>
          <w:rFonts w:cs="Times New Roman"/>
          <w:sz w:val="23"/>
          <w:szCs w:val="23"/>
        </w:rPr>
        <w:t>2</w:t>
      </w:r>
      <w:r w:rsidRPr="00EC4EC4">
        <w:rPr>
          <w:rFonts w:cs="Times New Roman"/>
          <w:sz w:val="23"/>
          <w:szCs w:val="23"/>
        </w:rPr>
        <w:t>.5.1(8) of  the New York city building code, as renumbered amended by local law number 126 for the year 2021, is amended to read as follows:</w:t>
      </w:r>
    </w:p>
    <w:p w14:paraId="485EF8BB" w14:textId="77777777" w:rsidR="00140B7C" w:rsidRPr="00EC4EC4" w:rsidRDefault="00140B7C" w:rsidP="00140B7C"/>
    <w:tbl>
      <w:tblPr>
        <w:tblW w:w="0" w:type="auto"/>
        <w:jc w:val="center"/>
        <w:tblLayout w:type="fixed"/>
        <w:tblCellMar>
          <w:left w:w="0" w:type="dxa"/>
          <w:right w:w="0" w:type="dxa"/>
        </w:tblCellMar>
        <w:tblLook w:val="0000" w:firstRow="0" w:lastRow="0" w:firstColumn="0" w:lastColumn="0" w:noHBand="0" w:noVBand="0"/>
      </w:tblPr>
      <w:tblGrid>
        <w:gridCol w:w="1205"/>
        <w:gridCol w:w="739"/>
        <w:gridCol w:w="744"/>
        <w:gridCol w:w="739"/>
        <w:gridCol w:w="744"/>
        <w:gridCol w:w="749"/>
      </w:tblGrid>
      <w:tr w:rsidR="00140B7C" w:rsidRPr="00EC4EC4" w14:paraId="02D74C52" w14:textId="77777777" w:rsidTr="00BC1087">
        <w:trPr>
          <w:cantSplit/>
          <w:trHeight w:hRule="exact" w:val="1328"/>
          <w:tblHeader/>
          <w:jc w:val="center"/>
        </w:trPr>
        <w:tc>
          <w:tcPr>
            <w:tcW w:w="4920" w:type="dxa"/>
            <w:gridSpan w:val="6"/>
            <w:tcBorders>
              <w:bottom w:val="nil"/>
            </w:tcBorders>
            <w:vAlign w:val="center"/>
          </w:tcPr>
          <w:p w14:paraId="7E78FEE3" w14:textId="77777777" w:rsidR="00140B7C" w:rsidRPr="00EC4EC4" w:rsidRDefault="00140B7C" w:rsidP="00BC1087">
            <w:pPr>
              <w:spacing w:after="0" w:line="240" w:lineRule="auto"/>
              <w:ind w:left="360"/>
              <w:jc w:val="center"/>
              <w:rPr>
                <w:rFonts w:eastAsia="Times New Roman" w:cs="Times New Roman"/>
                <w:b/>
                <w:bCs/>
                <w:color w:val="000000"/>
                <w:sz w:val="20"/>
                <w:szCs w:val="20"/>
              </w:rPr>
            </w:pPr>
            <w:r w:rsidRPr="00EC4EC4">
              <w:rPr>
                <w:rFonts w:eastAsia="Times New Roman" w:cs="Times New Roman"/>
                <w:b/>
                <w:bCs/>
                <w:color w:val="000000"/>
                <w:sz w:val="20"/>
                <w:szCs w:val="20"/>
              </w:rPr>
              <w:t>TABLE  722.5.1(8)</w:t>
            </w:r>
            <w:r w:rsidRPr="00EC4EC4">
              <w:rPr>
                <w:rFonts w:eastAsia="Times New Roman" w:cs="Times New Roman"/>
                <w:b/>
                <w:bCs/>
                <w:color w:val="000000"/>
                <w:sz w:val="20"/>
                <w:szCs w:val="20"/>
              </w:rPr>
              <w:br/>
              <w:t>MINIMUM COVER (inch) FOR STEEL COLUMNS ENCASED IN STRUCTURAL LIGHTWEIGHT CONCRETE</w:t>
            </w:r>
            <w:r w:rsidRPr="00EC4EC4">
              <w:rPr>
                <w:rFonts w:eastAsia="Times New Roman" w:cs="Times New Roman"/>
                <w:b/>
                <w:bCs/>
                <w:color w:val="000000"/>
                <w:sz w:val="20"/>
                <w:szCs w:val="20"/>
                <w:vertAlign w:val="superscript"/>
              </w:rPr>
              <w:t>a</w:t>
            </w:r>
            <w:r w:rsidRPr="00EC4EC4">
              <w:rPr>
                <w:rFonts w:eastAsia="Times New Roman" w:cs="Times New Roman"/>
                <w:b/>
                <w:bCs/>
                <w:color w:val="000000"/>
                <w:sz w:val="20"/>
                <w:szCs w:val="20"/>
              </w:rPr>
              <w:br/>
            </w:r>
            <w:r w:rsidRPr="00EC4EC4">
              <w:rPr>
                <w:rFonts w:eastAsia="Times New Roman" w:cs="Times New Roman"/>
                <w:b/>
                <w:bCs/>
                <w:color w:val="000000"/>
                <w:spacing w:val="-2"/>
                <w:sz w:val="20"/>
                <w:szCs w:val="20"/>
              </w:rPr>
              <w:t>[</w:t>
            </w:r>
            <w:r w:rsidRPr="00EC4EC4">
              <w:rPr>
                <w:rFonts w:eastAsia="Times New Roman" w:cs="Times New Roman"/>
                <w:b/>
                <w:bCs/>
                <w:strike/>
                <w:color w:val="000000"/>
                <w:spacing w:val="-2"/>
                <w:sz w:val="20"/>
                <w:szCs w:val="20"/>
              </w:rPr>
              <w:t>[</w:t>
            </w:r>
            <w:r w:rsidRPr="00EC4EC4">
              <w:rPr>
                <w:rFonts w:eastAsia="Times New Roman" w:cs="Times New Roman"/>
                <w:b/>
                <w:bCs/>
                <w:color w:val="000000"/>
                <w:spacing w:val="-2"/>
                <w:sz w:val="20"/>
                <w:szCs w:val="20"/>
              </w:rPr>
              <w:t>]FIGURE 722.5.1(6)(c)</w:t>
            </w:r>
          </w:p>
        </w:tc>
      </w:tr>
      <w:tr w:rsidR="00140B7C" w:rsidRPr="00EC4EC4" w14:paraId="5C7DAE4B" w14:textId="77777777" w:rsidTr="00BC1087">
        <w:trPr>
          <w:cantSplit/>
          <w:trHeight w:hRule="exact" w:val="283"/>
          <w:tblHeader/>
          <w:jc w:val="center"/>
        </w:trPr>
        <w:tc>
          <w:tcPr>
            <w:tcW w:w="1205" w:type="dxa"/>
            <w:vMerge w:val="restart"/>
            <w:tcBorders>
              <w:top w:val="single" w:sz="2" w:space="0" w:color="auto"/>
              <w:left w:val="single" w:sz="2" w:space="0" w:color="auto"/>
              <w:bottom w:val="nil"/>
              <w:right w:val="single" w:sz="2" w:space="0" w:color="auto"/>
            </w:tcBorders>
            <w:vAlign w:val="bottom"/>
          </w:tcPr>
          <w:p w14:paraId="18979107" w14:textId="77777777" w:rsidR="00140B7C" w:rsidRPr="00EC4EC4" w:rsidRDefault="00140B7C" w:rsidP="00BC1087">
            <w:pPr>
              <w:spacing w:before="216" w:after="0" w:line="240" w:lineRule="auto"/>
              <w:ind w:left="30"/>
              <w:jc w:val="center"/>
              <w:rPr>
                <w:rFonts w:eastAsia="Times New Roman" w:cs="Times New Roman"/>
                <w:b/>
                <w:bCs/>
                <w:color w:val="000000"/>
                <w:sz w:val="14"/>
                <w:szCs w:val="14"/>
              </w:rPr>
            </w:pPr>
            <w:r w:rsidRPr="00EC4EC4">
              <w:rPr>
                <w:rFonts w:eastAsia="Times New Roman" w:cs="Times New Roman"/>
                <w:b/>
                <w:bCs/>
                <w:color w:val="000000"/>
                <w:sz w:val="14"/>
                <w:szCs w:val="14"/>
              </w:rPr>
              <w:t>STRUCTURAL</w:t>
            </w:r>
            <w:r w:rsidRPr="00EC4EC4">
              <w:rPr>
                <w:rFonts w:eastAsia="Times New Roman" w:cs="Times New Roman"/>
                <w:b/>
                <w:bCs/>
                <w:color w:val="000000"/>
                <w:sz w:val="14"/>
                <w:szCs w:val="14"/>
              </w:rPr>
              <w:br/>
              <w:t>SHAPE</w:t>
            </w:r>
          </w:p>
        </w:tc>
        <w:tc>
          <w:tcPr>
            <w:tcW w:w="3715" w:type="dxa"/>
            <w:gridSpan w:val="5"/>
            <w:tcBorders>
              <w:top w:val="single" w:sz="2" w:space="0" w:color="auto"/>
              <w:left w:val="single" w:sz="2" w:space="0" w:color="auto"/>
              <w:bottom w:val="single" w:sz="2" w:space="0" w:color="auto"/>
              <w:right w:val="single" w:sz="2" w:space="0" w:color="auto"/>
            </w:tcBorders>
            <w:vAlign w:val="center"/>
          </w:tcPr>
          <w:p w14:paraId="09A3659B"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FIRE-RESISTANCE RATING (HOURS)</w:t>
            </w:r>
          </w:p>
        </w:tc>
      </w:tr>
      <w:tr w:rsidR="00140B7C" w:rsidRPr="00EC4EC4" w14:paraId="7B6B0DF9" w14:textId="77777777" w:rsidTr="00BC1087">
        <w:trPr>
          <w:cantSplit/>
          <w:trHeight w:hRule="exact" w:val="283"/>
          <w:tblHeader/>
          <w:jc w:val="center"/>
        </w:trPr>
        <w:tc>
          <w:tcPr>
            <w:tcW w:w="1205" w:type="dxa"/>
            <w:vMerge/>
            <w:tcBorders>
              <w:top w:val="nil"/>
              <w:left w:val="single" w:sz="2" w:space="0" w:color="auto"/>
              <w:bottom w:val="single" w:sz="2" w:space="0" w:color="auto"/>
              <w:right w:val="single" w:sz="2" w:space="0" w:color="auto"/>
            </w:tcBorders>
            <w:vAlign w:val="bottom"/>
          </w:tcPr>
          <w:p w14:paraId="5C945BEB" w14:textId="77777777" w:rsidR="00140B7C" w:rsidRPr="00EC4EC4" w:rsidRDefault="00140B7C" w:rsidP="00BC1087">
            <w:pPr>
              <w:spacing w:after="0" w:line="240" w:lineRule="auto"/>
              <w:ind w:left="30"/>
              <w:jc w:val="both"/>
              <w:rPr>
                <w:rFonts w:eastAsia="Times New Roman" w:cs="Times New Roman"/>
                <w:b/>
                <w:bCs/>
                <w:color w:val="000000"/>
                <w:sz w:val="14"/>
                <w:szCs w:val="14"/>
              </w:rPr>
            </w:pPr>
          </w:p>
        </w:tc>
        <w:tc>
          <w:tcPr>
            <w:tcW w:w="739" w:type="dxa"/>
            <w:tcBorders>
              <w:top w:val="single" w:sz="2" w:space="0" w:color="auto"/>
              <w:left w:val="single" w:sz="2" w:space="0" w:color="auto"/>
              <w:bottom w:val="single" w:sz="2" w:space="0" w:color="auto"/>
              <w:right w:val="single" w:sz="2" w:space="0" w:color="auto"/>
            </w:tcBorders>
            <w:vAlign w:val="center"/>
          </w:tcPr>
          <w:p w14:paraId="42973D0F"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1</w:t>
            </w:r>
          </w:p>
        </w:tc>
        <w:tc>
          <w:tcPr>
            <w:tcW w:w="744" w:type="dxa"/>
            <w:tcBorders>
              <w:top w:val="single" w:sz="2" w:space="0" w:color="auto"/>
              <w:left w:val="single" w:sz="2" w:space="0" w:color="auto"/>
              <w:bottom w:val="single" w:sz="2" w:space="0" w:color="auto"/>
              <w:right w:val="single" w:sz="2" w:space="0" w:color="auto"/>
            </w:tcBorders>
            <w:vAlign w:val="center"/>
          </w:tcPr>
          <w:p w14:paraId="3F0E3780" w14:textId="77777777" w:rsidR="00140B7C" w:rsidRPr="00EC4EC4" w:rsidRDefault="00140B7C" w:rsidP="00BC1087">
            <w:pPr>
              <w:spacing w:after="0" w:line="240" w:lineRule="auto"/>
              <w:jc w:val="center"/>
              <w:rPr>
                <w:rFonts w:eastAsia="Times New Roman" w:cs="Times New Roman"/>
                <w:b/>
                <w:bCs/>
                <w:color w:val="000000"/>
                <w:spacing w:val="-2"/>
                <w:sz w:val="6"/>
                <w:szCs w:val="6"/>
              </w:rPr>
            </w:pPr>
            <w:r w:rsidRPr="00EC4EC4">
              <w:rPr>
                <w:rFonts w:eastAsia="Times New Roman" w:cs="Times New Roman"/>
                <w:b/>
                <w:bCs/>
                <w:color w:val="000000"/>
                <w:spacing w:val="-2"/>
                <w:sz w:val="14"/>
                <w:szCs w:val="14"/>
              </w:rPr>
              <w:t>1</w:t>
            </w:r>
            <w:r w:rsidRPr="00EC4EC4">
              <w:rPr>
                <w:rFonts w:eastAsia="Times New Roman" w:cs="Times New Roman"/>
                <w:b/>
                <w:bCs/>
                <w:color w:val="000000"/>
                <w:spacing w:val="-2"/>
                <w:sz w:val="14"/>
                <w:szCs w:val="14"/>
                <w:vertAlign w:val="superscript"/>
              </w:rPr>
              <w:t>1</w:t>
            </w:r>
            <w:r w:rsidRPr="00EC4EC4">
              <w:rPr>
                <w:rFonts w:eastAsia="Times New Roman" w:cs="Times New Roman"/>
                <w:b/>
                <w:bCs/>
                <w:color w:val="000000"/>
                <w:spacing w:val="-2"/>
                <w:sz w:val="14"/>
                <w:szCs w:val="14"/>
              </w:rPr>
              <w:t>/</w:t>
            </w:r>
            <w:r w:rsidRPr="00EC4EC4">
              <w:rPr>
                <w:rFonts w:eastAsia="Times New Roman" w:cs="Times New Roman"/>
                <w:b/>
                <w:bCs/>
                <w:color w:val="000000"/>
                <w:spacing w:val="-2"/>
                <w:w w:val="120"/>
                <w:sz w:val="14"/>
                <w:szCs w:val="14"/>
                <w:vertAlign w:val="subscript"/>
              </w:rPr>
              <w:t>2</w:t>
            </w:r>
          </w:p>
        </w:tc>
        <w:tc>
          <w:tcPr>
            <w:tcW w:w="739" w:type="dxa"/>
            <w:tcBorders>
              <w:top w:val="single" w:sz="2" w:space="0" w:color="auto"/>
              <w:left w:val="single" w:sz="2" w:space="0" w:color="auto"/>
              <w:bottom w:val="single" w:sz="2" w:space="0" w:color="auto"/>
              <w:right w:val="single" w:sz="2" w:space="0" w:color="auto"/>
            </w:tcBorders>
            <w:vAlign w:val="center"/>
          </w:tcPr>
          <w:p w14:paraId="1F73F52E"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2</w:t>
            </w:r>
          </w:p>
        </w:tc>
        <w:tc>
          <w:tcPr>
            <w:tcW w:w="744" w:type="dxa"/>
            <w:tcBorders>
              <w:top w:val="single" w:sz="2" w:space="0" w:color="auto"/>
              <w:left w:val="single" w:sz="2" w:space="0" w:color="auto"/>
              <w:bottom w:val="single" w:sz="2" w:space="0" w:color="auto"/>
              <w:right w:val="single" w:sz="2" w:space="0" w:color="auto"/>
            </w:tcBorders>
            <w:vAlign w:val="center"/>
          </w:tcPr>
          <w:p w14:paraId="3E91AAB8"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3</w:t>
            </w:r>
          </w:p>
        </w:tc>
        <w:tc>
          <w:tcPr>
            <w:tcW w:w="749" w:type="dxa"/>
            <w:tcBorders>
              <w:top w:val="single" w:sz="2" w:space="0" w:color="auto"/>
              <w:left w:val="single" w:sz="2" w:space="0" w:color="auto"/>
              <w:bottom w:val="single" w:sz="2" w:space="0" w:color="auto"/>
              <w:right w:val="single" w:sz="2" w:space="0" w:color="auto"/>
            </w:tcBorders>
            <w:vAlign w:val="center"/>
          </w:tcPr>
          <w:p w14:paraId="754F39D8"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4</w:t>
            </w:r>
          </w:p>
        </w:tc>
      </w:tr>
      <w:tr w:rsidR="00140B7C" w:rsidRPr="00EC4EC4" w14:paraId="619E8B6B" w14:textId="77777777" w:rsidTr="00BC1087">
        <w:trPr>
          <w:cantSplit/>
          <w:trHeight w:hRule="exact" w:val="317"/>
          <w:jc w:val="center"/>
        </w:trPr>
        <w:tc>
          <w:tcPr>
            <w:tcW w:w="1205" w:type="dxa"/>
            <w:tcBorders>
              <w:top w:val="single" w:sz="2" w:space="0" w:color="auto"/>
              <w:left w:val="single" w:sz="2" w:space="0" w:color="auto"/>
              <w:bottom w:val="single" w:sz="2" w:space="0" w:color="auto"/>
              <w:right w:val="single" w:sz="2" w:space="0" w:color="auto"/>
            </w:tcBorders>
            <w:vAlign w:val="center"/>
          </w:tcPr>
          <w:p w14:paraId="5504090F"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W14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233</w:t>
            </w:r>
          </w:p>
        </w:tc>
        <w:tc>
          <w:tcPr>
            <w:tcW w:w="739" w:type="dxa"/>
            <w:vMerge w:val="restart"/>
            <w:tcBorders>
              <w:top w:val="single" w:sz="2" w:space="0" w:color="auto"/>
              <w:left w:val="single" w:sz="2" w:space="0" w:color="auto"/>
              <w:right w:val="single" w:sz="2" w:space="0" w:color="auto"/>
            </w:tcBorders>
            <w:vAlign w:val="center"/>
          </w:tcPr>
          <w:p w14:paraId="16DC6B2E"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44" w:type="dxa"/>
            <w:vMerge w:val="restart"/>
            <w:tcBorders>
              <w:top w:val="single" w:sz="2" w:space="0" w:color="auto"/>
              <w:left w:val="single" w:sz="2" w:space="0" w:color="auto"/>
              <w:right w:val="single" w:sz="2" w:space="0" w:color="auto"/>
            </w:tcBorders>
            <w:vAlign w:val="center"/>
          </w:tcPr>
          <w:p w14:paraId="21087850"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39" w:type="dxa"/>
            <w:vMerge w:val="restart"/>
            <w:tcBorders>
              <w:top w:val="single" w:sz="2" w:space="0" w:color="auto"/>
              <w:left w:val="single" w:sz="2" w:space="0" w:color="auto"/>
              <w:right w:val="single" w:sz="2" w:space="0" w:color="auto"/>
            </w:tcBorders>
            <w:vAlign w:val="center"/>
          </w:tcPr>
          <w:p w14:paraId="5CFC5C2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44" w:type="dxa"/>
            <w:tcBorders>
              <w:top w:val="single" w:sz="2" w:space="0" w:color="auto"/>
              <w:left w:val="single" w:sz="2" w:space="0" w:color="auto"/>
              <w:bottom w:val="single" w:sz="2" w:space="0" w:color="auto"/>
              <w:right w:val="single" w:sz="2" w:space="0" w:color="auto"/>
            </w:tcBorders>
            <w:vAlign w:val="center"/>
          </w:tcPr>
          <w:p w14:paraId="5868C5EC"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1</w:t>
            </w:r>
          </w:p>
        </w:tc>
        <w:tc>
          <w:tcPr>
            <w:tcW w:w="749" w:type="dxa"/>
            <w:vMerge w:val="restart"/>
            <w:tcBorders>
              <w:top w:val="single" w:sz="2" w:space="0" w:color="auto"/>
              <w:left w:val="single" w:sz="2" w:space="0" w:color="auto"/>
              <w:right w:val="single" w:sz="2" w:space="0" w:color="auto"/>
            </w:tcBorders>
            <w:vAlign w:val="center"/>
          </w:tcPr>
          <w:p w14:paraId="467DC294"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4"/>
                <w:w w:val="110"/>
                <w:sz w:val="18"/>
                <w:szCs w:val="18"/>
              </w:rPr>
              <w:t>1</w:t>
            </w:r>
            <w:r w:rsidRPr="00EC4EC4">
              <w:rPr>
                <w:rFonts w:eastAsia="Times New Roman" w:cs="Times New Roman"/>
                <w:color w:val="000000"/>
                <w:spacing w:val="-4"/>
                <w:w w:val="125"/>
                <w:sz w:val="18"/>
                <w:szCs w:val="18"/>
                <w:vertAlign w:val="superscript"/>
              </w:rPr>
              <w:t>1</w:t>
            </w:r>
            <w:r w:rsidRPr="00EC4EC4">
              <w:rPr>
                <w:rFonts w:eastAsia="Times New Roman" w:cs="Times New Roman"/>
                <w:color w:val="000000"/>
                <w:spacing w:val="-4"/>
                <w:w w:val="110"/>
                <w:sz w:val="18"/>
                <w:szCs w:val="18"/>
              </w:rPr>
              <w:t>/</w:t>
            </w:r>
            <w:r w:rsidRPr="00EC4EC4">
              <w:rPr>
                <w:rFonts w:eastAsia="Times New Roman" w:cs="Times New Roman"/>
                <w:color w:val="000000"/>
                <w:spacing w:val="-4"/>
                <w:w w:val="115"/>
                <w:sz w:val="11"/>
                <w:szCs w:val="11"/>
              </w:rPr>
              <w:t>2</w:t>
            </w:r>
          </w:p>
        </w:tc>
      </w:tr>
      <w:tr w:rsidR="00140B7C" w:rsidRPr="00EC4EC4" w14:paraId="4F75210C" w14:textId="77777777" w:rsidTr="00BC1087">
        <w:trPr>
          <w:cantSplit/>
          <w:trHeight w:hRule="exact" w:val="322"/>
          <w:jc w:val="center"/>
        </w:trPr>
        <w:tc>
          <w:tcPr>
            <w:tcW w:w="1205" w:type="dxa"/>
            <w:tcBorders>
              <w:top w:val="single" w:sz="2" w:space="0" w:color="auto"/>
              <w:left w:val="single" w:sz="2" w:space="0" w:color="auto"/>
              <w:bottom w:val="single" w:sz="2" w:space="0" w:color="auto"/>
              <w:right w:val="single" w:sz="2" w:space="0" w:color="auto"/>
            </w:tcBorders>
            <w:vAlign w:val="center"/>
          </w:tcPr>
          <w:p w14:paraId="1A57780B"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193</w:t>
            </w:r>
          </w:p>
        </w:tc>
        <w:tc>
          <w:tcPr>
            <w:tcW w:w="739" w:type="dxa"/>
            <w:vMerge/>
            <w:tcBorders>
              <w:left w:val="single" w:sz="2" w:space="0" w:color="auto"/>
              <w:right w:val="single" w:sz="2" w:space="0" w:color="auto"/>
            </w:tcBorders>
            <w:vAlign w:val="center"/>
          </w:tcPr>
          <w:p w14:paraId="28A4EE40"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vAlign w:val="center"/>
          </w:tcPr>
          <w:p w14:paraId="5A54E630"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39" w:type="dxa"/>
            <w:vMerge/>
            <w:tcBorders>
              <w:left w:val="single" w:sz="2" w:space="0" w:color="auto"/>
              <w:right w:val="single" w:sz="2" w:space="0" w:color="auto"/>
            </w:tcBorders>
            <w:vAlign w:val="center"/>
          </w:tcPr>
          <w:p w14:paraId="060FB095"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val="restart"/>
            <w:tcBorders>
              <w:top w:val="single" w:sz="2" w:space="0" w:color="auto"/>
              <w:left w:val="single" w:sz="2" w:space="0" w:color="auto"/>
              <w:bottom w:val="nil"/>
              <w:right w:val="single" w:sz="2" w:space="0" w:color="auto"/>
            </w:tcBorders>
            <w:vAlign w:val="center"/>
          </w:tcPr>
          <w:p w14:paraId="22F6023F" w14:textId="77777777" w:rsidR="00140B7C" w:rsidRPr="00EC4EC4" w:rsidRDefault="00140B7C" w:rsidP="00BC1087">
            <w:pPr>
              <w:spacing w:after="0" w:line="240" w:lineRule="auto"/>
              <w:jc w:val="center"/>
              <w:rPr>
                <w:rFonts w:eastAsia="Times New Roman" w:cs="Times New Roman"/>
                <w:color w:val="000000"/>
                <w:spacing w:val="-6"/>
                <w:w w:val="115"/>
                <w:sz w:val="11"/>
                <w:szCs w:val="11"/>
              </w:rPr>
            </w:pPr>
            <w:r w:rsidRPr="00EC4EC4">
              <w:rPr>
                <w:rFonts w:eastAsia="Times New Roman" w:cs="Times New Roman"/>
                <w:color w:val="000000"/>
                <w:spacing w:val="-6"/>
                <w:w w:val="110"/>
                <w:sz w:val="18"/>
                <w:szCs w:val="18"/>
              </w:rPr>
              <w:t>1</w:t>
            </w:r>
            <w:r w:rsidRPr="00EC4EC4">
              <w:rPr>
                <w:rFonts w:eastAsia="Times New Roman" w:cs="Times New Roman"/>
                <w:color w:val="000000"/>
                <w:spacing w:val="-6"/>
                <w:w w:val="125"/>
                <w:sz w:val="18"/>
                <w:szCs w:val="18"/>
                <w:vertAlign w:val="superscript"/>
              </w:rPr>
              <w:t>1</w:t>
            </w:r>
            <w:r w:rsidRPr="00EC4EC4">
              <w:rPr>
                <w:rFonts w:eastAsia="Times New Roman" w:cs="Times New Roman"/>
                <w:color w:val="000000"/>
                <w:spacing w:val="-6"/>
                <w:w w:val="110"/>
                <w:sz w:val="18"/>
                <w:szCs w:val="18"/>
              </w:rPr>
              <w:t>/</w:t>
            </w:r>
            <w:r w:rsidRPr="00EC4EC4">
              <w:rPr>
                <w:rFonts w:eastAsia="Times New Roman" w:cs="Times New Roman"/>
                <w:color w:val="000000"/>
                <w:spacing w:val="-6"/>
                <w:w w:val="115"/>
                <w:sz w:val="11"/>
                <w:szCs w:val="11"/>
              </w:rPr>
              <w:t>2</w:t>
            </w:r>
          </w:p>
        </w:tc>
        <w:tc>
          <w:tcPr>
            <w:tcW w:w="749" w:type="dxa"/>
            <w:vMerge/>
            <w:tcBorders>
              <w:left w:val="single" w:sz="2" w:space="0" w:color="auto"/>
              <w:bottom w:val="single" w:sz="2" w:space="0" w:color="auto"/>
              <w:right w:val="single" w:sz="2" w:space="0" w:color="auto"/>
            </w:tcBorders>
            <w:vAlign w:val="center"/>
          </w:tcPr>
          <w:p w14:paraId="52C0F49E" w14:textId="77777777" w:rsidR="00140B7C" w:rsidRPr="00EC4EC4" w:rsidRDefault="00140B7C" w:rsidP="00BC1087">
            <w:pPr>
              <w:tabs>
                <w:tab w:val="left" w:pos="468"/>
              </w:tabs>
              <w:spacing w:after="0" w:line="240" w:lineRule="auto"/>
              <w:jc w:val="center"/>
              <w:rPr>
                <w:rFonts w:eastAsia="Times New Roman" w:cs="Times New Roman"/>
                <w:color w:val="000000"/>
                <w:w w:val="115"/>
                <w:sz w:val="11"/>
                <w:szCs w:val="11"/>
              </w:rPr>
            </w:pPr>
          </w:p>
        </w:tc>
      </w:tr>
      <w:tr w:rsidR="00140B7C" w:rsidRPr="00EC4EC4" w14:paraId="0A10AEDF" w14:textId="77777777" w:rsidTr="00BC1087">
        <w:trPr>
          <w:cantSplit/>
          <w:trHeight w:hRule="exact" w:val="321"/>
          <w:jc w:val="center"/>
        </w:trPr>
        <w:tc>
          <w:tcPr>
            <w:tcW w:w="1205" w:type="dxa"/>
            <w:tcBorders>
              <w:top w:val="single" w:sz="2" w:space="0" w:color="auto"/>
              <w:left w:val="single" w:sz="2" w:space="0" w:color="auto"/>
              <w:bottom w:val="single" w:sz="2" w:space="0" w:color="auto"/>
              <w:right w:val="single" w:sz="2" w:space="0" w:color="auto"/>
            </w:tcBorders>
            <w:vAlign w:val="center"/>
          </w:tcPr>
          <w:p w14:paraId="5B81A66B"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74</w:t>
            </w:r>
          </w:p>
        </w:tc>
        <w:tc>
          <w:tcPr>
            <w:tcW w:w="739" w:type="dxa"/>
            <w:vMerge/>
            <w:tcBorders>
              <w:left w:val="single" w:sz="2" w:space="0" w:color="auto"/>
              <w:right w:val="single" w:sz="2" w:space="0" w:color="auto"/>
            </w:tcBorders>
            <w:vAlign w:val="center"/>
          </w:tcPr>
          <w:p w14:paraId="17DA47A4"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vAlign w:val="center"/>
          </w:tcPr>
          <w:p w14:paraId="2BFB2038"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39" w:type="dxa"/>
            <w:vMerge/>
            <w:tcBorders>
              <w:left w:val="single" w:sz="2" w:space="0" w:color="auto"/>
              <w:right w:val="single" w:sz="2" w:space="0" w:color="auto"/>
            </w:tcBorders>
            <w:vAlign w:val="center"/>
          </w:tcPr>
          <w:p w14:paraId="5C0FBC50"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top w:val="nil"/>
              <w:left w:val="single" w:sz="2" w:space="0" w:color="auto"/>
              <w:bottom w:val="nil"/>
              <w:right w:val="single" w:sz="2" w:space="0" w:color="auto"/>
            </w:tcBorders>
            <w:vAlign w:val="center"/>
          </w:tcPr>
          <w:p w14:paraId="62B83D33"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9" w:type="dxa"/>
            <w:tcBorders>
              <w:top w:val="single" w:sz="2" w:space="0" w:color="auto"/>
              <w:left w:val="single" w:sz="2" w:space="0" w:color="auto"/>
              <w:bottom w:val="single" w:sz="2" w:space="0" w:color="auto"/>
              <w:right w:val="single" w:sz="2" w:space="0" w:color="auto"/>
            </w:tcBorders>
            <w:vAlign w:val="center"/>
          </w:tcPr>
          <w:p w14:paraId="5110BC3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r>
      <w:tr w:rsidR="00140B7C" w:rsidRPr="00EC4EC4" w14:paraId="7D4AE256" w14:textId="77777777" w:rsidTr="00BC1087">
        <w:trPr>
          <w:cantSplit/>
          <w:trHeight w:hRule="exact" w:val="317"/>
          <w:jc w:val="center"/>
        </w:trPr>
        <w:tc>
          <w:tcPr>
            <w:tcW w:w="1205" w:type="dxa"/>
            <w:tcBorders>
              <w:top w:val="single" w:sz="2" w:space="0" w:color="auto"/>
              <w:left w:val="single" w:sz="2" w:space="0" w:color="auto"/>
              <w:bottom w:val="single" w:sz="2" w:space="0" w:color="auto"/>
              <w:right w:val="single" w:sz="2" w:space="0" w:color="auto"/>
            </w:tcBorders>
            <w:vAlign w:val="center"/>
          </w:tcPr>
          <w:p w14:paraId="3D115949"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61</w:t>
            </w:r>
          </w:p>
        </w:tc>
        <w:tc>
          <w:tcPr>
            <w:tcW w:w="739" w:type="dxa"/>
            <w:vMerge/>
            <w:tcBorders>
              <w:left w:val="single" w:sz="2" w:space="0" w:color="auto"/>
              <w:right w:val="single" w:sz="2" w:space="0" w:color="auto"/>
            </w:tcBorders>
            <w:vAlign w:val="center"/>
          </w:tcPr>
          <w:p w14:paraId="5D9B08CE"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vAlign w:val="center"/>
          </w:tcPr>
          <w:p w14:paraId="1FADA506"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39" w:type="dxa"/>
            <w:vMerge/>
            <w:tcBorders>
              <w:left w:val="single" w:sz="2" w:space="0" w:color="auto"/>
              <w:bottom w:val="single" w:sz="2" w:space="0" w:color="auto"/>
              <w:right w:val="single" w:sz="2" w:space="0" w:color="auto"/>
            </w:tcBorders>
            <w:vAlign w:val="center"/>
          </w:tcPr>
          <w:p w14:paraId="63A09704"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top w:val="nil"/>
              <w:left w:val="single" w:sz="2" w:space="0" w:color="auto"/>
              <w:bottom w:val="single" w:sz="2" w:space="0" w:color="auto"/>
              <w:right w:val="single" w:sz="2" w:space="0" w:color="auto"/>
            </w:tcBorders>
            <w:vAlign w:val="center"/>
          </w:tcPr>
          <w:p w14:paraId="22CE6B5E"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9" w:type="dxa"/>
            <w:vMerge w:val="restart"/>
            <w:tcBorders>
              <w:top w:val="single" w:sz="2" w:space="0" w:color="auto"/>
              <w:left w:val="single" w:sz="2" w:space="0" w:color="auto"/>
              <w:bottom w:val="nil"/>
              <w:right w:val="single" w:sz="2" w:space="0" w:color="auto"/>
            </w:tcBorders>
            <w:vAlign w:val="center"/>
          </w:tcPr>
          <w:p w14:paraId="63F9B2BD" w14:textId="77777777" w:rsidR="00140B7C" w:rsidRPr="00EC4EC4" w:rsidRDefault="00140B7C" w:rsidP="00BC1087">
            <w:pPr>
              <w:spacing w:after="0" w:line="240" w:lineRule="auto"/>
              <w:jc w:val="center"/>
              <w:rPr>
                <w:rFonts w:eastAsia="Times New Roman" w:cs="Times New Roman"/>
                <w:color w:val="000000"/>
                <w:w w:val="115"/>
                <w:sz w:val="11"/>
                <w:szCs w:val="11"/>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r>
      <w:tr w:rsidR="00140B7C" w:rsidRPr="00EC4EC4" w14:paraId="4CF1FFC1" w14:textId="77777777" w:rsidTr="00BC1087">
        <w:trPr>
          <w:cantSplit/>
          <w:trHeight w:hRule="exact" w:val="322"/>
          <w:jc w:val="center"/>
        </w:trPr>
        <w:tc>
          <w:tcPr>
            <w:tcW w:w="1205" w:type="dxa"/>
            <w:tcBorders>
              <w:top w:val="single" w:sz="2" w:space="0" w:color="auto"/>
              <w:left w:val="single" w:sz="2" w:space="0" w:color="auto"/>
              <w:bottom w:val="single" w:sz="2" w:space="0" w:color="auto"/>
              <w:right w:val="single" w:sz="2" w:space="0" w:color="auto"/>
            </w:tcBorders>
            <w:vAlign w:val="center"/>
          </w:tcPr>
          <w:p w14:paraId="3CD9E9BD"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43</w:t>
            </w:r>
          </w:p>
        </w:tc>
        <w:tc>
          <w:tcPr>
            <w:tcW w:w="739" w:type="dxa"/>
            <w:vMerge/>
            <w:tcBorders>
              <w:left w:val="single" w:sz="2" w:space="0" w:color="auto"/>
              <w:bottom w:val="single" w:sz="2" w:space="0" w:color="auto"/>
              <w:right w:val="single" w:sz="2" w:space="0" w:color="auto"/>
            </w:tcBorders>
          </w:tcPr>
          <w:p w14:paraId="0EE8D21A"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bottom w:val="single" w:sz="2" w:space="0" w:color="auto"/>
              <w:right w:val="single" w:sz="2" w:space="0" w:color="auto"/>
            </w:tcBorders>
          </w:tcPr>
          <w:p w14:paraId="14D0EC24"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39" w:type="dxa"/>
            <w:tcBorders>
              <w:top w:val="single" w:sz="2" w:space="0" w:color="auto"/>
              <w:left w:val="single" w:sz="2" w:space="0" w:color="auto"/>
              <w:bottom w:val="single" w:sz="2" w:space="0" w:color="auto"/>
              <w:right w:val="single" w:sz="2" w:space="0" w:color="auto"/>
            </w:tcBorders>
            <w:vAlign w:val="center"/>
          </w:tcPr>
          <w:p w14:paraId="2DFFD980" w14:textId="77777777" w:rsidR="00140B7C" w:rsidRPr="00EC4EC4" w:rsidRDefault="00140B7C" w:rsidP="00BC1087">
            <w:pPr>
              <w:spacing w:after="0" w:line="240" w:lineRule="auto"/>
              <w:jc w:val="center"/>
              <w:rPr>
                <w:rFonts w:eastAsia="Times New Roman" w:cs="Times New Roman"/>
                <w:color w:val="000000"/>
                <w:w w:val="115"/>
                <w:sz w:val="11"/>
                <w:szCs w:val="11"/>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744" w:type="dxa"/>
            <w:tcBorders>
              <w:top w:val="single" w:sz="2" w:space="0" w:color="auto"/>
              <w:left w:val="single" w:sz="2" w:space="0" w:color="auto"/>
              <w:bottom w:val="single" w:sz="2" w:space="0" w:color="auto"/>
              <w:right w:val="single" w:sz="2" w:space="0" w:color="auto"/>
            </w:tcBorders>
            <w:vAlign w:val="center"/>
          </w:tcPr>
          <w:p w14:paraId="4B47D4B9"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749" w:type="dxa"/>
            <w:vMerge/>
            <w:tcBorders>
              <w:top w:val="nil"/>
              <w:left w:val="single" w:sz="2" w:space="0" w:color="auto"/>
              <w:bottom w:val="single" w:sz="2" w:space="0" w:color="auto"/>
              <w:right w:val="single" w:sz="2" w:space="0" w:color="auto"/>
            </w:tcBorders>
            <w:vAlign w:val="bottom"/>
          </w:tcPr>
          <w:p w14:paraId="1DB89327"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62E4155A" w14:textId="77777777" w:rsidTr="00BC1087">
        <w:trPr>
          <w:cantSplit/>
          <w:trHeight w:hRule="exact" w:val="321"/>
          <w:jc w:val="center"/>
        </w:trPr>
        <w:tc>
          <w:tcPr>
            <w:tcW w:w="1205" w:type="dxa"/>
            <w:tcBorders>
              <w:top w:val="single" w:sz="2" w:space="0" w:color="auto"/>
              <w:left w:val="single" w:sz="2" w:space="0" w:color="auto"/>
              <w:bottom w:val="single" w:sz="2" w:space="0" w:color="auto"/>
              <w:right w:val="single" w:sz="2" w:space="0" w:color="auto"/>
            </w:tcBorders>
            <w:vAlign w:val="center"/>
          </w:tcPr>
          <w:p w14:paraId="7AED7EFA"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W12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65</w:t>
            </w:r>
          </w:p>
        </w:tc>
        <w:tc>
          <w:tcPr>
            <w:tcW w:w="739" w:type="dxa"/>
            <w:vMerge w:val="restart"/>
            <w:tcBorders>
              <w:top w:val="single" w:sz="2" w:space="0" w:color="auto"/>
              <w:left w:val="single" w:sz="2" w:space="0" w:color="auto"/>
              <w:right w:val="single" w:sz="2" w:space="0" w:color="auto"/>
            </w:tcBorders>
            <w:vAlign w:val="center"/>
          </w:tcPr>
          <w:p w14:paraId="042D444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44" w:type="dxa"/>
            <w:vMerge w:val="restart"/>
            <w:tcBorders>
              <w:top w:val="single" w:sz="2" w:space="0" w:color="auto"/>
              <w:left w:val="single" w:sz="2" w:space="0" w:color="auto"/>
              <w:right w:val="single" w:sz="2" w:space="0" w:color="auto"/>
            </w:tcBorders>
            <w:vAlign w:val="center"/>
          </w:tcPr>
          <w:p w14:paraId="57A1B44E"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39" w:type="dxa"/>
            <w:vMerge w:val="restart"/>
            <w:tcBorders>
              <w:top w:val="single" w:sz="2" w:space="0" w:color="auto"/>
              <w:left w:val="single" w:sz="2" w:space="0" w:color="auto"/>
              <w:right w:val="single" w:sz="2" w:space="0" w:color="auto"/>
            </w:tcBorders>
            <w:vAlign w:val="center"/>
          </w:tcPr>
          <w:p w14:paraId="718F03FA"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44" w:type="dxa"/>
            <w:tcBorders>
              <w:top w:val="single" w:sz="2" w:space="0" w:color="auto"/>
              <w:left w:val="single" w:sz="2" w:space="0" w:color="auto"/>
              <w:bottom w:val="single" w:sz="2" w:space="0" w:color="auto"/>
              <w:right w:val="single" w:sz="2" w:space="0" w:color="auto"/>
            </w:tcBorders>
            <w:vAlign w:val="center"/>
          </w:tcPr>
          <w:p w14:paraId="16988063" w14:textId="77777777" w:rsidR="00140B7C" w:rsidRPr="00EC4EC4" w:rsidRDefault="00140B7C" w:rsidP="00BC1087">
            <w:pPr>
              <w:spacing w:after="0" w:line="240" w:lineRule="auto"/>
              <w:jc w:val="center"/>
              <w:rPr>
                <w:rFonts w:eastAsia="Times New Roman" w:cs="Times New Roman"/>
                <w:color w:val="000000"/>
                <w:w w:val="115"/>
                <w:sz w:val="11"/>
                <w:szCs w:val="11"/>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749" w:type="dxa"/>
            <w:tcBorders>
              <w:top w:val="single" w:sz="2" w:space="0" w:color="auto"/>
              <w:left w:val="single" w:sz="2" w:space="0" w:color="auto"/>
              <w:bottom w:val="single" w:sz="2" w:space="0" w:color="auto"/>
              <w:right w:val="single" w:sz="2" w:space="0" w:color="auto"/>
            </w:tcBorders>
            <w:vAlign w:val="center"/>
          </w:tcPr>
          <w:p w14:paraId="73822576"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r>
      <w:tr w:rsidR="00140B7C" w:rsidRPr="00EC4EC4" w14:paraId="59CAC4E1" w14:textId="77777777" w:rsidTr="00BC1087">
        <w:trPr>
          <w:cantSplit/>
          <w:trHeight w:hRule="exact" w:val="317"/>
          <w:jc w:val="center"/>
        </w:trPr>
        <w:tc>
          <w:tcPr>
            <w:tcW w:w="1205" w:type="dxa"/>
            <w:tcBorders>
              <w:top w:val="single" w:sz="2" w:space="0" w:color="auto"/>
              <w:left w:val="single" w:sz="2" w:space="0" w:color="auto"/>
              <w:bottom w:val="single" w:sz="2" w:space="0" w:color="auto"/>
              <w:right w:val="single" w:sz="2" w:space="0" w:color="auto"/>
            </w:tcBorders>
            <w:vAlign w:val="center"/>
          </w:tcPr>
          <w:p w14:paraId="631416B4"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53</w:t>
            </w:r>
          </w:p>
        </w:tc>
        <w:tc>
          <w:tcPr>
            <w:tcW w:w="739" w:type="dxa"/>
            <w:vMerge/>
            <w:tcBorders>
              <w:left w:val="single" w:sz="2" w:space="0" w:color="auto"/>
              <w:right w:val="single" w:sz="2" w:space="0" w:color="auto"/>
            </w:tcBorders>
            <w:vAlign w:val="center"/>
          </w:tcPr>
          <w:p w14:paraId="14B7DEA5"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vAlign w:val="center"/>
          </w:tcPr>
          <w:p w14:paraId="6CE51EF4"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39" w:type="dxa"/>
            <w:vMerge/>
            <w:tcBorders>
              <w:left w:val="single" w:sz="2" w:space="0" w:color="auto"/>
              <w:bottom w:val="single" w:sz="2" w:space="0" w:color="auto"/>
              <w:right w:val="single" w:sz="2" w:space="0" w:color="auto"/>
            </w:tcBorders>
            <w:vAlign w:val="center"/>
          </w:tcPr>
          <w:p w14:paraId="2CE16DA1"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val="restart"/>
            <w:tcBorders>
              <w:top w:val="single" w:sz="2" w:space="0" w:color="auto"/>
              <w:left w:val="single" w:sz="2" w:space="0" w:color="auto"/>
              <w:right w:val="single" w:sz="2" w:space="0" w:color="auto"/>
            </w:tcBorders>
            <w:vAlign w:val="center"/>
          </w:tcPr>
          <w:p w14:paraId="5F377E0C"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49" w:type="dxa"/>
            <w:vMerge w:val="restart"/>
            <w:tcBorders>
              <w:top w:val="single" w:sz="2" w:space="0" w:color="auto"/>
              <w:left w:val="single" w:sz="2" w:space="0" w:color="auto"/>
              <w:right w:val="single" w:sz="2" w:space="0" w:color="auto"/>
            </w:tcBorders>
            <w:vAlign w:val="center"/>
          </w:tcPr>
          <w:p w14:paraId="6EEB73EA"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r>
      <w:tr w:rsidR="00140B7C" w:rsidRPr="00EC4EC4" w14:paraId="66950DD4" w14:textId="77777777" w:rsidTr="00BC1087">
        <w:trPr>
          <w:cantSplit/>
          <w:trHeight w:hRule="exact" w:val="322"/>
          <w:jc w:val="center"/>
        </w:trPr>
        <w:tc>
          <w:tcPr>
            <w:tcW w:w="1205" w:type="dxa"/>
            <w:tcBorders>
              <w:top w:val="single" w:sz="2" w:space="0" w:color="auto"/>
              <w:left w:val="single" w:sz="2" w:space="0" w:color="auto"/>
              <w:bottom w:val="single" w:sz="2" w:space="0" w:color="auto"/>
              <w:right w:val="single" w:sz="2" w:space="0" w:color="auto"/>
            </w:tcBorders>
            <w:vAlign w:val="center"/>
          </w:tcPr>
          <w:p w14:paraId="52EFC2BB"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40</w:t>
            </w:r>
          </w:p>
        </w:tc>
        <w:tc>
          <w:tcPr>
            <w:tcW w:w="739" w:type="dxa"/>
            <w:vMerge/>
            <w:tcBorders>
              <w:left w:val="single" w:sz="2" w:space="0" w:color="auto"/>
              <w:bottom w:val="single" w:sz="2" w:space="0" w:color="auto"/>
              <w:right w:val="single" w:sz="2" w:space="0" w:color="auto"/>
            </w:tcBorders>
          </w:tcPr>
          <w:p w14:paraId="530E555A"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bottom w:val="single" w:sz="2" w:space="0" w:color="auto"/>
              <w:right w:val="single" w:sz="2" w:space="0" w:color="auto"/>
            </w:tcBorders>
          </w:tcPr>
          <w:p w14:paraId="67ED3A3B" w14:textId="77777777" w:rsidR="00140B7C" w:rsidRPr="00EC4EC4" w:rsidRDefault="00140B7C" w:rsidP="00BC1087">
            <w:pPr>
              <w:spacing w:after="0" w:line="240" w:lineRule="auto"/>
              <w:jc w:val="center"/>
              <w:rPr>
                <w:rFonts w:eastAsia="Times New Roman" w:cs="Times New Roman"/>
                <w:color w:val="000000"/>
              </w:rPr>
            </w:pPr>
          </w:p>
        </w:tc>
        <w:tc>
          <w:tcPr>
            <w:tcW w:w="739" w:type="dxa"/>
            <w:tcBorders>
              <w:top w:val="single" w:sz="2" w:space="0" w:color="auto"/>
              <w:left w:val="single" w:sz="2" w:space="0" w:color="auto"/>
              <w:bottom w:val="single" w:sz="2" w:space="0" w:color="auto"/>
              <w:right w:val="single" w:sz="2" w:space="0" w:color="auto"/>
            </w:tcBorders>
            <w:vAlign w:val="center"/>
          </w:tcPr>
          <w:p w14:paraId="12DFCFCA" w14:textId="77777777" w:rsidR="00140B7C" w:rsidRPr="00EC4EC4" w:rsidRDefault="00140B7C" w:rsidP="00BC1087">
            <w:pPr>
              <w:spacing w:after="0" w:line="240" w:lineRule="auto"/>
              <w:jc w:val="center"/>
              <w:rPr>
                <w:rFonts w:eastAsia="Times New Roman" w:cs="Times New Roman"/>
                <w:color w:val="000000"/>
                <w:w w:val="115"/>
                <w:sz w:val="11"/>
                <w:szCs w:val="11"/>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744" w:type="dxa"/>
            <w:vMerge/>
            <w:tcBorders>
              <w:left w:val="single" w:sz="2" w:space="0" w:color="auto"/>
              <w:bottom w:val="single" w:sz="2" w:space="0" w:color="auto"/>
              <w:right w:val="single" w:sz="2" w:space="0" w:color="auto"/>
            </w:tcBorders>
            <w:vAlign w:val="center"/>
          </w:tcPr>
          <w:p w14:paraId="2F333081"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9" w:type="dxa"/>
            <w:vMerge/>
            <w:tcBorders>
              <w:left w:val="single" w:sz="2" w:space="0" w:color="auto"/>
              <w:bottom w:val="single" w:sz="2" w:space="0" w:color="auto"/>
              <w:right w:val="single" w:sz="2" w:space="0" w:color="auto"/>
            </w:tcBorders>
            <w:vAlign w:val="center"/>
          </w:tcPr>
          <w:p w14:paraId="59D8A093" w14:textId="77777777" w:rsidR="00140B7C" w:rsidRPr="00EC4EC4" w:rsidRDefault="00140B7C" w:rsidP="00BC1087">
            <w:pPr>
              <w:spacing w:after="0" w:line="240" w:lineRule="auto"/>
              <w:jc w:val="center"/>
              <w:rPr>
                <w:rFonts w:eastAsia="Times New Roman" w:cs="Times New Roman"/>
                <w:color w:val="000000"/>
                <w:w w:val="115"/>
                <w:sz w:val="11"/>
                <w:szCs w:val="11"/>
              </w:rPr>
            </w:pPr>
          </w:p>
        </w:tc>
      </w:tr>
      <w:tr w:rsidR="00140B7C" w:rsidRPr="00EC4EC4" w14:paraId="1575BBF2" w14:textId="77777777" w:rsidTr="00BC1087">
        <w:trPr>
          <w:cantSplit/>
          <w:trHeight w:hRule="exact" w:val="321"/>
          <w:jc w:val="center"/>
        </w:trPr>
        <w:tc>
          <w:tcPr>
            <w:tcW w:w="1205" w:type="dxa"/>
            <w:tcBorders>
              <w:top w:val="single" w:sz="2" w:space="0" w:color="auto"/>
              <w:left w:val="single" w:sz="2" w:space="0" w:color="auto"/>
              <w:bottom w:val="single" w:sz="2" w:space="0" w:color="auto"/>
              <w:right w:val="single" w:sz="2" w:space="0" w:color="auto"/>
            </w:tcBorders>
            <w:vAlign w:val="center"/>
          </w:tcPr>
          <w:p w14:paraId="7F406377"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W10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112</w:t>
            </w:r>
          </w:p>
        </w:tc>
        <w:tc>
          <w:tcPr>
            <w:tcW w:w="739" w:type="dxa"/>
            <w:vMerge w:val="restart"/>
            <w:tcBorders>
              <w:top w:val="single" w:sz="2" w:space="0" w:color="auto"/>
              <w:left w:val="single" w:sz="2" w:space="0" w:color="auto"/>
              <w:right w:val="single" w:sz="2" w:space="0" w:color="auto"/>
            </w:tcBorders>
            <w:vAlign w:val="center"/>
          </w:tcPr>
          <w:p w14:paraId="6434CA2F"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44" w:type="dxa"/>
            <w:vMerge w:val="restart"/>
            <w:tcBorders>
              <w:top w:val="single" w:sz="2" w:space="0" w:color="auto"/>
              <w:left w:val="single" w:sz="2" w:space="0" w:color="auto"/>
              <w:right w:val="single" w:sz="2" w:space="0" w:color="auto"/>
            </w:tcBorders>
            <w:vAlign w:val="center"/>
          </w:tcPr>
          <w:p w14:paraId="583D53F3"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39" w:type="dxa"/>
            <w:vMerge w:val="restart"/>
            <w:tcBorders>
              <w:top w:val="single" w:sz="2" w:space="0" w:color="auto"/>
              <w:left w:val="single" w:sz="2" w:space="0" w:color="auto"/>
              <w:right w:val="single" w:sz="2" w:space="0" w:color="auto"/>
            </w:tcBorders>
            <w:vAlign w:val="center"/>
          </w:tcPr>
          <w:p w14:paraId="43CA7A2D"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44" w:type="dxa"/>
            <w:vMerge w:val="restart"/>
            <w:tcBorders>
              <w:top w:val="single" w:sz="2" w:space="0" w:color="auto"/>
              <w:left w:val="single" w:sz="2" w:space="0" w:color="auto"/>
              <w:right w:val="single" w:sz="2" w:space="0" w:color="auto"/>
            </w:tcBorders>
            <w:vAlign w:val="center"/>
          </w:tcPr>
          <w:p w14:paraId="49BDF593"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749" w:type="dxa"/>
            <w:vMerge w:val="restart"/>
            <w:tcBorders>
              <w:top w:val="single" w:sz="2" w:space="0" w:color="auto"/>
              <w:left w:val="single" w:sz="2" w:space="0" w:color="auto"/>
              <w:right w:val="single" w:sz="2" w:space="0" w:color="auto"/>
            </w:tcBorders>
            <w:vAlign w:val="center"/>
          </w:tcPr>
          <w:p w14:paraId="1782F17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r>
      <w:tr w:rsidR="00140B7C" w:rsidRPr="00EC4EC4" w14:paraId="0FBE0045" w14:textId="77777777" w:rsidTr="00BC1087">
        <w:trPr>
          <w:cantSplit/>
          <w:trHeight w:hRule="exact" w:val="317"/>
          <w:jc w:val="center"/>
        </w:trPr>
        <w:tc>
          <w:tcPr>
            <w:tcW w:w="1205" w:type="dxa"/>
            <w:tcBorders>
              <w:top w:val="single" w:sz="2" w:space="0" w:color="auto"/>
              <w:left w:val="single" w:sz="2" w:space="0" w:color="auto"/>
              <w:bottom w:val="single" w:sz="2" w:space="0" w:color="auto"/>
              <w:right w:val="single" w:sz="2" w:space="0" w:color="auto"/>
            </w:tcBorders>
            <w:vAlign w:val="center"/>
          </w:tcPr>
          <w:p w14:paraId="60B7ED5B"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88</w:t>
            </w:r>
          </w:p>
        </w:tc>
        <w:tc>
          <w:tcPr>
            <w:tcW w:w="739" w:type="dxa"/>
            <w:vMerge/>
            <w:tcBorders>
              <w:left w:val="single" w:sz="2" w:space="0" w:color="auto"/>
              <w:right w:val="single" w:sz="2" w:space="0" w:color="auto"/>
            </w:tcBorders>
            <w:vAlign w:val="center"/>
          </w:tcPr>
          <w:p w14:paraId="0B19AFFA"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tcPr>
          <w:p w14:paraId="7380BD38" w14:textId="77777777" w:rsidR="00140B7C" w:rsidRPr="00EC4EC4" w:rsidRDefault="00140B7C" w:rsidP="00BC1087">
            <w:pPr>
              <w:spacing w:after="0" w:line="240" w:lineRule="auto"/>
              <w:jc w:val="center"/>
              <w:rPr>
                <w:rFonts w:eastAsia="Times New Roman" w:cs="Times New Roman"/>
                <w:color w:val="000000"/>
              </w:rPr>
            </w:pPr>
          </w:p>
        </w:tc>
        <w:tc>
          <w:tcPr>
            <w:tcW w:w="739" w:type="dxa"/>
            <w:vMerge/>
            <w:tcBorders>
              <w:left w:val="single" w:sz="2" w:space="0" w:color="auto"/>
              <w:right w:val="single" w:sz="2" w:space="0" w:color="auto"/>
            </w:tcBorders>
            <w:vAlign w:val="center"/>
          </w:tcPr>
          <w:p w14:paraId="2CE7FE69"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bottom w:val="single" w:sz="2" w:space="0" w:color="auto"/>
              <w:right w:val="single" w:sz="2" w:space="0" w:color="auto"/>
            </w:tcBorders>
            <w:vAlign w:val="center"/>
          </w:tcPr>
          <w:p w14:paraId="5B17DFBB" w14:textId="77777777" w:rsidR="00140B7C" w:rsidRPr="00EC4EC4" w:rsidRDefault="00140B7C" w:rsidP="00BC1087">
            <w:pPr>
              <w:spacing w:after="0" w:line="240" w:lineRule="auto"/>
              <w:jc w:val="center"/>
              <w:rPr>
                <w:rFonts w:eastAsia="Times New Roman" w:cs="Times New Roman"/>
                <w:color w:val="000000"/>
                <w:w w:val="115"/>
                <w:sz w:val="11"/>
                <w:szCs w:val="11"/>
              </w:rPr>
            </w:pPr>
          </w:p>
        </w:tc>
        <w:tc>
          <w:tcPr>
            <w:tcW w:w="749" w:type="dxa"/>
            <w:vMerge/>
            <w:tcBorders>
              <w:left w:val="single" w:sz="2" w:space="0" w:color="auto"/>
              <w:bottom w:val="single" w:sz="2" w:space="0" w:color="auto"/>
              <w:right w:val="single" w:sz="2" w:space="0" w:color="auto"/>
            </w:tcBorders>
          </w:tcPr>
          <w:p w14:paraId="3DEEDDC1"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493997C4" w14:textId="77777777" w:rsidTr="00BC1087">
        <w:trPr>
          <w:cantSplit/>
          <w:trHeight w:hRule="exact" w:val="322"/>
          <w:jc w:val="center"/>
        </w:trPr>
        <w:tc>
          <w:tcPr>
            <w:tcW w:w="1205" w:type="dxa"/>
            <w:tcBorders>
              <w:top w:val="single" w:sz="2" w:space="0" w:color="auto"/>
              <w:left w:val="single" w:sz="2" w:space="0" w:color="auto"/>
              <w:bottom w:val="single" w:sz="2" w:space="0" w:color="auto"/>
              <w:right w:val="single" w:sz="2" w:space="0" w:color="auto"/>
            </w:tcBorders>
            <w:vAlign w:val="center"/>
          </w:tcPr>
          <w:p w14:paraId="071D11AA"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60</w:t>
            </w:r>
          </w:p>
        </w:tc>
        <w:tc>
          <w:tcPr>
            <w:tcW w:w="739" w:type="dxa"/>
            <w:vMerge/>
            <w:tcBorders>
              <w:left w:val="single" w:sz="2" w:space="0" w:color="auto"/>
              <w:right w:val="single" w:sz="2" w:space="0" w:color="auto"/>
            </w:tcBorders>
          </w:tcPr>
          <w:p w14:paraId="013B5BE3"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5D40BE9F"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39" w:type="dxa"/>
            <w:vMerge/>
            <w:tcBorders>
              <w:left w:val="single" w:sz="2" w:space="0" w:color="auto"/>
              <w:bottom w:val="single" w:sz="2" w:space="0" w:color="auto"/>
              <w:right w:val="single" w:sz="2" w:space="0" w:color="auto"/>
            </w:tcBorders>
          </w:tcPr>
          <w:p w14:paraId="17DDCB95" w14:textId="77777777" w:rsidR="00140B7C" w:rsidRPr="00EC4EC4" w:rsidRDefault="00140B7C" w:rsidP="00BC1087">
            <w:pPr>
              <w:spacing w:after="0" w:line="240" w:lineRule="auto"/>
              <w:jc w:val="center"/>
              <w:rPr>
                <w:rFonts w:eastAsia="Times New Roman" w:cs="Times New Roman"/>
                <w:color w:val="000000"/>
              </w:rPr>
            </w:pPr>
          </w:p>
        </w:tc>
        <w:tc>
          <w:tcPr>
            <w:tcW w:w="744" w:type="dxa"/>
            <w:vMerge w:val="restart"/>
            <w:tcBorders>
              <w:top w:val="single" w:sz="2" w:space="0" w:color="auto"/>
              <w:left w:val="single" w:sz="2" w:space="0" w:color="auto"/>
              <w:right w:val="single" w:sz="2" w:space="0" w:color="auto"/>
            </w:tcBorders>
            <w:vAlign w:val="center"/>
          </w:tcPr>
          <w:p w14:paraId="32D7CEB3"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49" w:type="dxa"/>
            <w:vMerge w:val="restart"/>
            <w:tcBorders>
              <w:top w:val="single" w:sz="2" w:space="0" w:color="auto"/>
              <w:left w:val="single" w:sz="2" w:space="0" w:color="auto"/>
              <w:right w:val="single" w:sz="2" w:space="0" w:color="auto"/>
            </w:tcBorders>
            <w:vAlign w:val="center"/>
          </w:tcPr>
          <w:p w14:paraId="1C216C04"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r>
      <w:tr w:rsidR="00140B7C" w:rsidRPr="00EC4EC4" w14:paraId="400999B4" w14:textId="77777777" w:rsidTr="00BC1087">
        <w:trPr>
          <w:cantSplit/>
          <w:trHeight w:hRule="exact" w:val="321"/>
          <w:jc w:val="center"/>
        </w:trPr>
        <w:tc>
          <w:tcPr>
            <w:tcW w:w="1205" w:type="dxa"/>
            <w:tcBorders>
              <w:top w:val="single" w:sz="2" w:space="0" w:color="auto"/>
              <w:left w:val="single" w:sz="2" w:space="0" w:color="auto"/>
              <w:bottom w:val="single" w:sz="4" w:space="0" w:color="auto"/>
              <w:right w:val="single" w:sz="2" w:space="0" w:color="auto"/>
            </w:tcBorders>
            <w:vAlign w:val="center"/>
          </w:tcPr>
          <w:p w14:paraId="41800A87"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33</w:t>
            </w:r>
          </w:p>
        </w:tc>
        <w:tc>
          <w:tcPr>
            <w:tcW w:w="739" w:type="dxa"/>
            <w:vMerge/>
            <w:tcBorders>
              <w:left w:val="single" w:sz="2" w:space="0" w:color="auto"/>
              <w:bottom w:val="single" w:sz="4" w:space="0" w:color="auto"/>
              <w:right w:val="single" w:sz="2" w:space="0" w:color="auto"/>
            </w:tcBorders>
          </w:tcPr>
          <w:p w14:paraId="6820AC17"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bottom w:val="single" w:sz="4" w:space="0" w:color="auto"/>
              <w:right w:val="single" w:sz="2" w:space="0" w:color="auto"/>
            </w:tcBorders>
          </w:tcPr>
          <w:p w14:paraId="4876E065" w14:textId="77777777" w:rsidR="00140B7C" w:rsidRPr="00EC4EC4" w:rsidRDefault="00140B7C" w:rsidP="00BC1087">
            <w:pPr>
              <w:spacing w:after="0" w:line="240" w:lineRule="auto"/>
              <w:jc w:val="center"/>
              <w:rPr>
                <w:rFonts w:eastAsia="Times New Roman" w:cs="Times New Roman"/>
                <w:color w:val="000000"/>
              </w:rPr>
            </w:pPr>
          </w:p>
        </w:tc>
        <w:tc>
          <w:tcPr>
            <w:tcW w:w="739" w:type="dxa"/>
            <w:tcBorders>
              <w:top w:val="single" w:sz="2" w:space="0" w:color="auto"/>
              <w:left w:val="single" w:sz="2" w:space="0" w:color="auto"/>
              <w:bottom w:val="single" w:sz="4" w:space="0" w:color="auto"/>
              <w:right w:val="single" w:sz="2" w:space="0" w:color="auto"/>
            </w:tcBorders>
            <w:vAlign w:val="center"/>
          </w:tcPr>
          <w:p w14:paraId="138B6E11" w14:textId="77777777" w:rsidR="00140B7C" w:rsidRPr="00EC4EC4" w:rsidRDefault="00140B7C" w:rsidP="00BC1087">
            <w:pPr>
              <w:spacing w:after="0" w:line="240" w:lineRule="auto"/>
              <w:jc w:val="center"/>
              <w:rPr>
                <w:rFonts w:eastAsia="Times New Roman" w:cs="Times New Roman"/>
                <w:color w:val="000000"/>
                <w:w w:val="115"/>
                <w:sz w:val="11"/>
                <w:szCs w:val="11"/>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744" w:type="dxa"/>
            <w:vMerge/>
            <w:tcBorders>
              <w:left w:val="single" w:sz="2" w:space="0" w:color="auto"/>
              <w:bottom w:val="single" w:sz="4" w:space="0" w:color="auto"/>
              <w:right w:val="single" w:sz="2" w:space="0" w:color="auto"/>
            </w:tcBorders>
            <w:vAlign w:val="center"/>
          </w:tcPr>
          <w:p w14:paraId="670A40D0"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9" w:type="dxa"/>
            <w:vMerge/>
            <w:tcBorders>
              <w:left w:val="single" w:sz="2" w:space="0" w:color="auto"/>
              <w:bottom w:val="single" w:sz="4" w:space="0" w:color="auto"/>
              <w:right w:val="single" w:sz="2" w:space="0" w:color="auto"/>
            </w:tcBorders>
            <w:vAlign w:val="center"/>
          </w:tcPr>
          <w:p w14:paraId="0F656613" w14:textId="77777777" w:rsidR="00140B7C" w:rsidRPr="00EC4EC4" w:rsidRDefault="00140B7C" w:rsidP="00BC1087">
            <w:pPr>
              <w:spacing w:after="0" w:line="240" w:lineRule="auto"/>
              <w:jc w:val="center"/>
              <w:rPr>
                <w:rFonts w:eastAsia="Times New Roman" w:cs="Times New Roman"/>
                <w:color w:val="000000"/>
                <w:w w:val="115"/>
                <w:sz w:val="11"/>
                <w:szCs w:val="11"/>
              </w:rPr>
            </w:pPr>
          </w:p>
        </w:tc>
      </w:tr>
      <w:tr w:rsidR="00140B7C" w:rsidRPr="00EC4EC4" w14:paraId="2750B20F" w14:textId="77777777" w:rsidTr="00BC1087">
        <w:trPr>
          <w:cantSplit/>
          <w:trHeight w:hRule="exact" w:val="317"/>
          <w:jc w:val="center"/>
        </w:trPr>
        <w:tc>
          <w:tcPr>
            <w:tcW w:w="1205" w:type="dxa"/>
            <w:tcBorders>
              <w:top w:val="single" w:sz="4" w:space="0" w:color="auto"/>
              <w:left w:val="single" w:sz="4" w:space="0" w:color="auto"/>
              <w:bottom w:val="single" w:sz="4" w:space="0" w:color="auto"/>
              <w:right w:val="single" w:sz="4" w:space="0" w:color="auto"/>
            </w:tcBorders>
            <w:vAlign w:val="center"/>
          </w:tcPr>
          <w:p w14:paraId="4B5A6E13"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W8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35</w:t>
            </w:r>
          </w:p>
        </w:tc>
        <w:tc>
          <w:tcPr>
            <w:tcW w:w="739" w:type="dxa"/>
            <w:vMerge w:val="restart"/>
            <w:tcBorders>
              <w:top w:val="single" w:sz="4" w:space="0" w:color="auto"/>
              <w:left w:val="single" w:sz="4" w:space="0" w:color="auto"/>
              <w:bottom w:val="single" w:sz="4" w:space="0" w:color="auto"/>
              <w:right w:val="single" w:sz="4" w:space="0" w:color="auto"/>
            </w:tcBorders>
            <w:vAlign w:val="center"/>
          </w:tcPr>
          <w:p w14:paraId="673DA704"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44" w:type="dxa"/>
            <w:vMerge w:val="restart"/>
            <w:tcBorders>
              <w:top w:val="single" w:sz="4" w:space="0" w:color="auto"/>
              <w:left w:val="single" w:sz="4" w:space="0" w:color="auto"/>
              <w:bottom w:val="single" w:sz="4" w:space="0" w:color="auto"/>
              <w:right w:val="single" w:sz="4" w:space="0" w:color="auto"/>
            </w:tcBorders>
            <w:vAlign w:val="center"/>
          </w:tcPr>
          <w:p w14:paraId="433D35A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p>
        </w:tc>
        <w:tc>
          <w:tcPr>
            <w:tcW w:w="739" w:type="dxa"/>
            <w:vMerge w:val="restart"/>
            <w:tcBorders>
              <w:top w:val="single" w:sz="4" w:space="0" w:color="auto"/>
              <w:left w:val="single" w:sz="4" w:space="0" w:color="auto"/>
              <w:bottom w:val="single" w:sz="4" w:space="0" w:color="auto"/>
              <w:right w:val="single" w:sz="4" w:space="0" w:color="auto"/>
            </w:tcBorders>
            <w:vAlign w:val="center"/>
          </w:tcPr>
          <w:p w14:paraId="1E40CC92"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4"/>
                <w:w w:val="110"/>
                <w:sz w:val="18"/>
                <w:szCs w:val="18"/>
              </w:rPr>
              <w:t>1</w:t>
            </w:r>
            <w:r w:rsidRPr="00EC4EC4">
              <w:rPr>
                <w:rFonts w:eastAsia="Times New Roman" w:cs="Times New Roman"/>
                <w:color w:val="000000"/>
                <w:spacing w:val="-4"/>
                <w:w w:val="125"/>
                <w:sz w:val="18"/>
                <w:szCs w:val="18"/>
                <w:vertAlign w:val="superscript"/>
              </w:rPr>
              <w:t>1</w:t>
            </w:r>
            <w:r w:rsidRPr="00EC4EC4">
              <w:rPr>
                <w:rFonts w:eastAsia="Times New Roman" w:cs="Times New Roman"/>
                <w:color w:val="000000"/>
                <w:spacing w:val="-4"/>
                <w:w w:val="110"/>
                <w:sz w:val="18"/>
                <w:szCs w:val="18"/>
              </w:rPr>
              <w:t>/</w:t>
            </w:r>
            <w:r w:rsidRPr="00EC4EC4">
              <w:rPr>
                <w:rFonts w:eastAsia="Times New Roman" w:cs="Times New Roman"/>
                <w:color w:val="000000"/>
                <w:spacing w:val="-4"/>
                <w:w w:val="115"/>
                <w:sz w:val="11"/>
                <w:szCs w:val="11"/>
              </w:rPr>
              <w:t>2</w:t>
            </w:r>
          </w:p>
        </w:tc>
        <w:tc>
          <w:tcPr>
            <w:tcW w:w="744" w:type="dxa"/>
            <w:vMerge w:val="restart"/>
            <w:tcBorders>
              <w:top w:val="single" w:sz="4" w:space="0" w:color="auto"/>
              <w:left w:val="single" w:sz="4" w:space="0" w:color="auto"/>
              <w:bottom w:val="single" w:sz="4" w:space="0" w:color="auto"/>
              <w:right w:val="single" w:sz="4" w:space="0" w:color="auto"/>
            </w:tcBorders>
            <w:vAlign w:val="center"/>
          </w:tcPr>
          <w:p w14:paraId="36F4C2A6"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49" w:type="dxa"/>
            <w:tcBorders>
              <w:top w:val="single" w:sz="4" w:space="0" w:color="auto"/>
              <w:left w:val="single" w:sz="4" w:space="0" w:color="auto"/>
              <w:bottom w:val="single" w:sz="4" w:space="0" w:color="auto"/>
              <w:right w:val="single" w:sz="4" w:space="0" w:color="auto"/>
            </w:tcBorders>
            <w:vAlign w:val="center"/>
          </w:tcPr>
          <w:p w14:paraId="66DC2A53" w14:textId="77777777" w:rsidR="00140B7C" w:rsidRPr="00EC4EC4" w:rsidRDefault="00140B7C" w:rsidP="00BC1087">
            <w:pPr>
              <w:spacing w:after="0" w:line="240" w:lineRule="auto"/>
              <w:jc w:val="center"/>
              <w:rPr>
                <w:rFonts w:eastAsia="Times New Roman" w:cs="Times New Roman"/>
                <w:color w:val="000000"/>
                <w:w w:val="115"/>
                <w:sz w:val="11"/>
                <w:szCs w:val="11"/>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r>
      <w:tr w:rsidR="00140B7C" w:rsidRPr="00EC4EC4" w14:paraId="0EDA302E" w14:textId="77777777" w:rsidTr="00BC1087">
        <w:trPr>
          <w:cantSplit/>
          <w:trHeight w:hRule="exact" w:val="322"/>
          <w:jc w:val="center"/>
        </w:trPr>
        <w:tc>
          <w:tcPr>
            <w:tcW w:w="1205" w:type="dxa"/>
            <w:tcBorders>
              <w:top w:val="single" w:sz="4" w:space="0" w:color="auto"/>
              <w:left w:val="single" w:sz="4" w:space="0" w:color="auto"/>
              <w:bottom w:val="single" w:sz="4" w:space="0" w:color="auto"/>
              <w:right w:val="single" w:sz="4" w:space="0" w:color="auto"/>
            </w:tcBorders>
            <w:vAlign w:val="center"/>
          </w:tcPr>
          <w:p w14:paraId="5DCB9F3F"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28</w:t>
            </w:r>
          </w:p>
        </w:tc>
        <w:tc>
          <w:tcPr>
            <w:tcW w:w="739" w:type="dxa"/>
            <w:vMerge/>
            <w:tcBorders>
              <w:top w:val="single" w:sz="4" w:space="0" w:color="auto"/>
              <w:left w:val="single" w:sz="4" w:space="0" w:color="auto"/>
              <w:bottom w:val="single" w:sz="4" w:space="0" w:color="auto"/>
              <w:right w:val="single" w:sz="4" w:space="0" w:color="auto"/>
            </w:tcBorders>
            <w:vAlign w:val="center"/>
          </w:tcPr>
          <w:p w14:paraId="67A91DC2"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4" w:type="dxa"/>
            <w:vMerge/>
            <w:tcBorders>
              <w:top w:val="single" w:sz="4" w:space="0" w:color="auto"/>
              <w:left w:val="single" w:sz="4" w:space="0" w:color="auto"/>
              <w:bottom w:val="single" w:sz="4" w:space="0" w:color="auto"/>
              <w:right w:val="single" w:sz="4" w:space="0" w:color="auto"/>
            </w:tcBorders>
            <w:vAlign w:val="center"/>
          </w:tcPr>
          <w:p w14:paraId="5DE78E91"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39" w:type="dxa"/>
            <w:vMerge/>
            <w:tcBorders>
              <w:top w:val="single" w:sz="4" w:space="0" w:color="auto"/>
              <w:left w:val="single" w:sz="4" w:space="0" w:color="auto"/>
              <w:bottom w:val="single" w:sz="4" w:space="0" w:color="auto"/>
              <w:right w:val="single" w:sz="4" w:space="0" w:color="auto"/>
            </w:tcBorders>
          </w:tcPr>
          <w:p w14:paraId="17552A85" w14:textId="77777777" w:rsidR="00140B7C" w:rsidRPr="00EC4EC4" w:rsidRDefault="00140B7C" w:rsidP="00BC1087">
            <w:pPr>
              <w:spacing w:after="0" w:line="240" w:lineRule="auto"/>
              <w:ind w:left="360"/>
              <w:jc w:val="center"/>
              <w:rPr>
                <w:rFonts w:eastAsia="Times New Roman" w:cs="Times New Roman"/>
                <w:color w:val="000000"/>
              </w:rPr>
            </w:pPr>
          </w:p>
        </w:tc>
        <w:tc>
          <w:tcPr>
            <w:tcW w:w="744" w:type="dxa"/>
            <w:vMerge/>
            <w:tcBorders>
              <w:top w:val="single" w:sz="4" w:space="0" w:color="auto"/>
              <w:left w:val="single" w:sz="4" w:space="0" w:color="auto"/>
              <w:bottom w:val="single" w:sz="4" w:space="0" w:color="auto"/>
              <w:right w:val="single" w:sz="4" w:space="0" w:color="auto"/>
            </w:tcBorders>
            <w:vAlign w:val="center"/>
          </w:tcPr>
          <w:p w14:paraId="394CDBA0"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9" w:type="dxa"/>
            <w:vMerge w:val="restart"/>
            <w:tcBorders>
              <w:top w:val="single" w:sz="4" w:space="0" w:color="auto"/>
              <w:left w:val="single" w:sz="4" w:space="0" w:color="auto"/>
              <w:bottom w:val="single" w:sz="4" w:space="0" w:color="auto"/>
              <w:right w:val="single" w:sz="4" w:space="0" w:color="auto"/>
            </w:tcBorders>
            <w:vAlign w:val="center"/>
          </w:tcPr>
          <w:p w14:paraId="54926283"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p>
        </w:tc>
      </w:tr>
      <w:tr w:rsidR="00140B7C" w:rsidRPr="00EC4EC4" w14:paraId="51E2A0F1" w14:textId="77777777" w:rsidTr="00BC1087">
        <w:trPr>
          <w:cantSplit/>
          <w:trHeight w:hRule="exact" w:val="321"/>
          <w:jc w:val="center"/>
        </w:trPr>
        <w:tc>
          <w:tcPr>
            <w:tcW w:w="1205" w:type="dxa"/>
            <w:tcBorders>
              <w:top w:val="single" w:sz="4" w:space="0" w:color="auto"/>
              <w:left w:val="single" w:sz="2" w:space="0" w:color="auto"/>
              <w:bottom w:val="single" w:sz="2" w:space="0" w:color="auto"/>
              <w:right w:val="single" w:sz="2" w:space="0" w:color="auto"/>
            </w:tcBorders>
            <w:vAlign w:val="center"/>
          </w:tcPr>
          <w:p w14:paraId="63772076" w14:textId="77777777" w:rsidR="00140B7C" w:rsidRPr="00EC4EC4" w:rsidRDefault="00140B7C" w:rsidP="00BC1087">
            <w:pPr>
              <w:spacing w:after="0" w:line="240" w:lineRule="auto"/>
              <w:ind w:left="30"/>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24</w:t>
            </w:r>
          </w:p>
        </w:tc>
        <w:tc>
          <w:tcPr>
            <w:tcW w:w="739" w:type="dxa"/>
            <w:vMerge/>
            <w:tcBorders>
              <w:top w:val="single" w:sz="4" w:space="0" w:color="auto"/>
              <w:left w:val="single" w:sz="2" w:space="0" w:color="auto"/>
              <w:right w:val="single" w:sz="2" w:space="0" w:color="auto"/>
            </w:tcBorders>
          </w:tcPr>
          <w:p w14:paraId="6C254135" w14:textId="77777777" w:rsidR="00140B7C" w:rsidRPr="00EC4EC4" w:rsidRDefault="00140B7C" w:rsidP="00BC1087">
            <w:pPr>
              <w:spacing w:after="0" w:line="240" w:lineRule="auto"/>
              <w:ind w:left="360"/>
              <w:jc w:val="center"/>
              <w:rPr>
                <w:rFonts w:eastAsia="Times New Roman" w:cs="Times New Roman"/>
                <w:color w:val="000000"/>
              </w:rPr>
            </w:pPr>
          </w:p>
        </w:tc>
        <w:tc>
          <w:tcPr>
            <w:tcW w:w="744" w:type="dxa"/>
            <w:vMerge/>
            <w:tcBorders>
              <w:top w:val="single" w:sz="4" w:space="0" w:color="auto"/>
              <w:left w:val="single" w:sz="2" w:space="0" w:color="auto"/>
              <w:bottom w:val="single" w:sz="2" w:space="0" w:color="auto"/>
              <w:right w:val="single" w:sz="2" w:space="0" w:color="auto"/>
            </w:tcBorders>
          </w:tcPr>
          <w:p w14:paraId="6C436F22" w14:textId="77777777" w:rsidR="00140B7C" w:rsidRPr="00EC4EC4" w:rsidRDefault="00140B7C" w:rsidP="00BC1087">
            <w:pPr>
              <w:spacing w:after="0" w:line="240" w:lineRule="auto"/>
              <w:ind w:left="360"/>
              <w:jc w:val="center"/>
              <w:rPr>
                <w:rFonts w:eastAsia="Times New Roman" w:cs="Times New Roman"/>
                <w:color w:val="000000"/>
              </w:rPr>
            </w:pPr>
          </w:p>
        </w:tc>
        <w:tc>
          <w:tcPr>
            <w:tcW w:w="739" w:type="dxa"/>
            <w:vMerge/>
            <w:tcBorders>
              <w:top w:val="single" w:sz="4" w:space="0" w:color="auto"/>
              <w:left w:val="single" w:sz="2" w:space="0" w:color="auto"/>
              <w:right w:val="single" w:sz="2" w:space="0" w:color="auto"/>
            </w:tcBorders>
            <w:vAlign w:val="center"/>
          </w:tcPr>
          <w:p w14:paraId="720B664E" w14:textId="77777777" w:rsidR="00140B7C" w:rsidRPr="00EC4EC4" w:rsidRDefault="00140B7C" w:rsidP="00BC1087">
            <w:pPr>
              <w:spacing w:after="0" w:line="240" w:lineRule="auto"/>
              <w:ind w:left="360"/>
              <w:jc w:val="center"/>
              <w:rPr>
                <w:rFonts w:eastAsia="Times New Roman" w:cs="Times New Roman"/>
                <w:color w:val="000000"/>
                <w:spacing w:val="-4"/>
                <w:w w:val="115"/>
                <w:sz w:val="11"/>
                <w:szCs w:val="11"/>
              </w:rPr>
            </w:pPr>
          </w:p>
        </w:tc>
        <w:tc>
          <w:tcPr>
            <w:tcW w:w="744" w:type="dxa"/>
            <w:vMerge w:val="restart"/>
            <w:tcBorders>
              <w:top w:val="single" w:sz="4" w:space="0" w:color="auto"/>
              <w:left w:val="single" w:sz="2" w:space="0" w:color="auto"/>
              <w:right w:val="single" w:sz="2" w:space="0" w:color="auto"/>
            </w:tcBorders>
            <w:vAlign w:val="center"/>
          </w:tcPr>
          <w:p w14:paraId="3A60C163"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749" w:type="dxa"/>
            <w:vMerge/>
            <w:tcBorders>
              <w:top w:val="single" w:sz="4" w:space="0" w:color="auto"/>
              <w:left w:val="single" w:sz="2" w:space="0" w:color="auto"/>
              <w:right w:val="single" w:sz="2" w:space="0" w:color="auto"/>
            </w:tcBorders>
            <w:vAlign w:val="center"/>
          </w:tcPr>
          <w:p w14:paraId="2CE7C0F7"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r>
      <w:tr w:rsidR="00140B7C" w:rsidRPr="00EC4EC4" w14:paraId="6A2D1C87" w14:textId="77777777" w:rsidTr="00BC1087">
        <w:trPr>
          <w:cantSplit/>
          <w:trHeight w:hRule="exact" w:val="327"/>
          <w:jc w:val="center"/>
        </w:trPr>
        <w:tc>
          <w:tcPr>
            <w:tcW w:w="1205" w:type="dxa"/>
            <w:tcBorders>
              <w:top w:val="single" w:sz="2" w:space="0" w:color="auto"/>
              <w:left w:val="single" w:sz="2" w:space="0" w:color="auto"/>
              <w:bottom w:val="single" w:sz="2" w:space="0" w:color="auto"/>
              <w:right w:val="single" w:sz="2" w:space="0" w:color="auto"/>
            </w:tcBorders>
            <w:vAlign w:val="center"/>
          </w:tcPr>
          <w:p w14:paraId="7E4515E3"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18</w:t>
            </w:r>
          </w:p>
        </w:tc>
        <w:tc>
          <w:tcPr>
            <w:tcW w:w="739" w:type="dxa"/>
            <w:vMerge/>
            <w:tcBorders>
              <w:left w:val="single" w:sz="2" w:space="0" w:color="auto"/>
              <w:bottom w:val="single" w:sz="2" w:space="0" w:color="auto"/>
              <w:right w:val="single" w:sz="2" w:space="0" w:color="auto"/>
            </w:tcBorders>
          </w:tcPr>
          <w:p w14:paraId="3B65AB96" w14:textId="77777777" w:rsidR="00140B7C" w:rsidRPr="00EC4EC4" w:rsidRDefault="00140B7C" w:rsidP="00BC1087">
            <w:pPr>
              <w:spacing w:after="0" w:line="240" w:lineRule="auto"/>
              <w:ind w:left="360"/>
              <w:jc w:val="center"/>
              <w:rPr>
                <w:rFonts w:eastAsia="Times New Roman" w:cs="Times New Roman"/>
                <w:color w:val="000000"/>
              </w:rPr>
            </w:pPr>
          </w:p>
        </w:tc>
        <w:tc>
          <w:tcPr>
            <w:tcW w:w="744" w:type="dxa"/>
            <w:tcBorders>
              <w:top w:val="single" w:sz="2" w:space="0" w:color="auto"/>
              <w:left w:val="single" w:sz="2" w:space="0" w:color="auto"/>
              <w:bottom w:val="single" w:sz="2" w:space="0" w:color="auto"/>
              <w:right w:val="single" w:sz="2" w:space="0" w:color="auto"/>
            </w:tcBorders>
            <w:vAlign w:val="center"/>
          </w:tcPr>
          <w:p w14:paraId="467478BA" w14:textId="77777777" w:rsidR="00140B7C" w:rsidRPr="00EC4EC4" w:rsidRDefault="00140B7C" w:rsidP="00BC1087">
            <w:pPr>
              <w:spacing w:after="0" w:line="240" w:lineRule="auto"/>
              <w:jc w:val="center"/>
              <w:rPr>
                <w:rFonts w:eastAsia="Times New Roman" w:cs="Times New Roman"/>
                <w:color w:val="000000"/>
                <w:w w:val="115"/>
                <w:sz w:val="11"/>
                <w:szCs w:val="11"/>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739" w:type="dxa"/>
            <w:vMerge/>
            <w:tcBorders>
              <w:left w:val="single" w:sz="2" w:space="0" w:color="auto"/>
              <w:bottom w:val="single" w:sz="2" w:space="0" w:color="auto"/>
              <w:right w:val="single" w:sz="2" w:space="0" w:color="auto"/>
            </w:tcBorders>
          </w:tcPr>
          <w:p w14:paraId="7D484C3C" w14:textId="77777777" w:rsidR="00140B7C" w:rsidRPr="00EC4EC4" w:rsidRDefault="00140B7C" w:rsidP="00BC1087">
            <w:pPr>
              <w:spacing w:after="0" w:line="240" w:lineRule="auto"/>
              <w:ind w:left="360"/>
              <w:jc w:val="center"/>
              <w:rPr>
                <w:rFonts w:eastAsia="Times New Roman" w:cs="Times New Roman"/>
                <w:color w:val="000000"/>
              </w:rPr>
            </w:pPr>
          </w:p>
        </w:tc>
        <w:tc>
          <w:tcPr>
            <w:tcW w:w="744" w:type="dxa"/>
            <w:vMerge/>
            <w:tcBorders>
              <w:left w:val="single" w:sz="2" w:space="0" w:color="auto"/>
              <w:bottom w:val="single" w:sz="2" w:space="0" w:color="auto"/>
              <w:right w:val="single" w:sz="2" w:space="0" w:color="auto"/>
            </w:tcBorders>
            <w:vAlign w:val="center"/>
          </w:tcPr>
          <w:p w14:paraId="59A1A3BD" w14:textId="77777777" w:rsidR="00140B7C" w:rsidRPr="00EC4EC4" w:rsidRDefault="00140B7C" w:rsidP="00BC1087">
            <w:pPr>
              <w:spacing w:after="0" w:line="240" w:lineRule="auto"/>
              <w:ind w:left="360"/>
              <w:jc w:val="center"/>
              <w:rPr>
                <w:rFonts w:eastAsia="Times New Roman" w:cs="Times New Roman"/>
                <w:color w:val="000000"/>
                <w:w w:val="115"/>
                <w:sz w:val="11"/>
                <w:szCs w:val="11"/>
              </w:rPr>
            </w:pPr>
          </w:p>
        </w:tc>
        <w:tc>
          <w:tcPr>
            <w:tcW w:w="749" w:type="dxa"/>
            <w:vMerge/>
            <w:tcBorders>
              <w:left w:val="single" w:sz="2" w:space="0" w:color="auto"/>
              <w:bottom w:val="single" w:sz="2" w:space="0" w:color="auto"/>
              <w:right w:val="single" w:sz="2" w:space="0" w:color="auto"/>
            </w:tcBorders>
          </w:tcPr>
          <w:p w14:paraId="291372F0" w14:textId="77777777" w:rsidR="00140B7C" w:rsidRPr="00EC4EC4" w:rsidRDefault="00140B7C" w:rsidP="00BC1087">
            <w:pPr>
              <w:spacing w:after="0" w:line="240" w:lineRule="auto"/>
              <w:ind w:left="360"/>
              <w:jc w:val="center"/>
              <w:rPr>
                <w:rFonts w:eastAsia="Times New Roman" w:cs="Times New Roman"/>
                <w:color w:val="000000"/>
              </w:rPr>
            </w:pPr>
          </w:p>
        </w:tc>
      </w:tr>
    </w:tbl>
    <w:p w14:paraId="5FAC61D9" w14:textId="77777777" w:rsidR="00140B7C" w:rsidRPr="00EC4EC4" w:rsidRDefault="00140B7C" w:rsidP="00140B7C">
      <w:pPr>
        <w:spacing w:after="0" w:line="152" w:lineRule="exact"/>
        <w:ind w:left="360"/>
        <w:jc w:val="both"/>
        <w:rPr>
          <w:rFonts w:eastAsia="Times New Roman" w:cs="Times New Roman"/>
          <w:color w:val="000000"/>
          <w:spacing w:val="8"/>
          <w:sz w:val="14"/>
          <w:szCs w:val="14"/>
        </w:rPr>
      </w:pPr>
      <w:r w:rsidRPr="00EC4EC4">
        <w:rPr>
          <w:rFonts w:eastAsia="Times New Roman" w:cs="Times New Roman"/>
          <w:color w:val="000000"/>
          <w:spacing w:val="8"/>
          <w:sz w:val="14"/>
          <w:szCs w:val="14"/>
        </w:rPr>
        <w:t>For SI: 1 inch = 25.4 mm.</w:t>
      </w:r>
    </w:p>
    <w:p w14:paraId="7332B6DE" w14:textId="77777777" w:rsidR="00140B7C" w:rsidRPr="00EC4EC4" w:rsidRDefault="00140B7C" w:rsidP="00140B7C">
      <w:pPr>
        <w:spacing w:before="36" w:after="0" w:line="177" w:lineRule="exact"/>
        <w:ind w:left="720" w:hanging="360"/>
        <w:jc w:val="both"/>
        <w:rPr>
          <w:rFonts w:eastAsia="Times New Roman" w:cs="Times New Roman"/>
          <w:color w:val="000000"/>
          <w:spacing w:val="2"/>
          <w:sz w:val="14"/>
          <w:szCs w:val="14"/>
        </w:rPr>
      </w:pPr>
      <w:r w:rsidRPr="00EC4EC4">
        <w:rPr>
          <w:rFonts w:eastAsia="Times New Roman" w:cs="Times New Roman"/>
          <w:color w:val="000000"/>
          <w:spacing w:val="4"/>
          <w:sz w:val="14"/>
          <w:szCs w:val="14"/>
        </w:rPr>
        <w:t>a.</w:t>
      </w:r>
      <w:r w:rsidRPr="00EC4EC4">
        <w:rPr>
          <w:rFonts w:eastAsia="Times New Roman" w:cs="Times New Roman"/>
          <w:color w:val="000000"/>
          <w:spacing w:val="4"/>
          <w:sz w:val="14"/>
          <w:szCs w:val="14"/>
        </w:rPr>
        <w:tab/>
        <w:t>The tabulated thicknesses are based upon the assumed properties of struc</w:t>
      </w:r>
      <w:r w:rsidRPr="00EC4EC4">
        <w:rPr>
          <w:rFonts w:eastAsia="Times New Roman" w:cs="Times New Roman"/>
          <w:color w:val="000000"/>
          <w:spacing w:val="2"/>
          <w:sz w:val="14"/>
          <w:szCs w:val="14"/>
        </w:rPr>
        <w:t>tural lightweight concrete given in Table 722.5.1(2).</w:t>
      </w:r>
    </w:p>
    <w:p w14:paraId="7B9E5835" w14:textId="77777777" w:rsidR="00140B7C" w:rsidRPr="00EC4EC4" w:rsidRDefault="00140B7C" w:rsidP="00140B7C">
      <w:pPr>
        <w:spacing w:before="36" w:after="0" w:line="177" w:lineRule="exact"/>
        <w:ind w:left="720" w:hanging="360"/>
        <w:jc w:val="both"/>
        <w:rPr>
          <w:rFonts w:eastAsia="Times New Roman" w:cs="Times New Roman"/>
          <w:color w:val="000000"/>
          <w:spacing w:val="2"/>
          <w:sz w:val="14"/>
          <w:szCs w:val="14"/>
        </w:rPr>
      </w:pPr>
    </w:p>
    <w:p w14:paraId="04AAE94F" w14:textId="77777777" w:rsidR="00140B7C" w:rsidRPr="00EC4EC4" w:rsidRDefault="00140B7C" w:rsidP="00140B7C">
      <w:pPr>
        <w:spacing w:before="36" w:after="0" w:line="177" w:lineRule="exact"/>
        <w:ind w:left="720" w:hanging="360"/>
        <w:jc w:val="both"/>
        <w:rPr>
          <w:rFonts w:eastAsia="Times New Roman" w:cs="Times New Roman"/>
          <w:color w:val="000000"/>
          <w:sz w:val="14"/>
          <w:szCs w:val="14"/>
        </w:rPr>
      </w:pPr>
    </w:p>
    <w:p w14:paraId="2BC53F83" w14:textId="519A1F0C" w:rsidR="00140B7C" w:rsidRPr="00EC4EC4"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Pr>
          <w:rFonts w:cs="Times New Roman"/>
          <w:sz w:val="23"/>
          <w:szCs w:val="23"/>
        </w:rPr>
        <w:t>1</w:t>
      </w:r>
      <w:r w:rsidR="001953A0">
        <w:rPr>
          <w:rFonts w:cs="Times New Roman"/>
          <w:sz w:val="23"/>
          <w:szCs w:val="23"/>
        </w:rPr>
        <w:t>33</w:t>
      </w:r>
      <w:r w:rsidRPr="00EC4EC4">
        <w:rPr>
          <w:rFonts w:cs="Times New Roman"/>
          <w:sz w:val="23"/>
          <w:szCs w:val="23"/>
        </w:rPr>
        <w:t>. Table 72</w:t>
      </w:r>
      <w:r>
        <w:rPr>
          <w:rFonts w:cs="Times New Roman"/>
          <w:sz w:val="23"/>
          <w:szCs w:val="23"/>
        </w:rPr>
        <w:t>2</w:t>
      </w:r>
      <w:r w:rsidRPr="00EC4EC4">
        <w:rPr>
          <w:rFonts w:cs="Times New Roman"/>
          <w:sz w:val="23"/>
          <w:szCs w:val="23"/>
        </w:rPr>
        <w:t>.5.1(9) of  the New York city building code, as renumbered and amended by local law number 126 for the year 2021, is amended to read as follows:</w:t>
      </w:r>
    </w:p>
    <w:tbl>
      <w:tblPr>
        <w:tblpPr w:leftFromText="180" w:rightFromText="180" w:vertAnchor="text" w:tblpXSpec="center" w:tblpY="1"/>
        <w:tblOverlap w:val="never"/>
        <w:tblW w:w="4929" w:type="dxa"/>
        <w:tblLayout w:type="fixed"/>
        <w:tblCellMar>
          <w:left w:w="0" w:type="dxa"/>
          <w:right w:w="0" w:type="dxa"/>
        </w:tblCellMar>
        <w:tblLook w:val="0000" w:firstRow="0" w:lastRow="0" w:firstColumn="0" w:lastColumn="0" w:noHBand="0" w:noVBand="0"/>
      </w:tblPr>
      <w:tblGrid>
        <w:gridCol w:w="1478"/>
        <w:gridCol w:w="687"/>
        <w:gridCol w:w="691"/>
        <w:gridCol w:w="686"/>
        <w:gridCol w:w="692"/>
        <w:gridCol w:w="695"/>
      </w:tblGrid>
      <w:tr w:rsidR="00140B7C" w:rsidRPr="00EC4EC4" w14:paraId="4303FC5F" w14:textId="77777777" w:rsidTr="00BC1087">
        <w:trPr>
          <w:cantSplit/>
          <w:trHeight w:hRule="exact" w:val="1494"/>
          <w:tblHeader/>
        </w:trPr>
        <w:tc>
          <w:tcPr>
            <w:tcW w:w="4929" w:type="dxa"/>
            <w:gridSpan w:val="6"/>
            <w:tcBorders>
              <w:bottom w:val="nil"/>
            </w:tcBorders>
            <w:vAlign w:val="center"/>
          </w:tcPr>
          <w:p w14:paraId="492246D4" w14:textId="77777777" w:rsidR="00140B7C" w:rsidRPr="00EC4EC4" w:rsidRDefault="00140B7C" w:rsidP="00BC1087">
            <w:pPr>
              <w:spacing w:after="0" w:line="240" w:lineRule="auto"/>
              <w:jc w:val="center"/>
              <w:rPr>
                <w:rFonts w:eastAsia="Times New Roman" w:cs="Times New Roman"/>
                <w:b/>
                <w:bCs/>
                <w:color w:val="000000"/>
                <w:sz w:val="20"/>
                <w:szCs w:val="20"/>
              </w:rPr>
            </w:pPr>
            <w:r w:rsidRPr="00EC4EC4">
              <w:rPr>
                <w:rFonts w:eastAsia="Times New Roman" w:cs="Times New Roman"/>
                <w:b/>
                <w:bCs/>
                <w:color w:val="000000"/>
                <w:sz w:val="20"/>
                <w:szCs w:val="20"/>
              </w:rPr>
              <w:t>TABLE 722.5.1(9)</w:t>
            </w:r>
            <w:r w:rsidRPr="00EC4EC4">
              <w:rPr>
                <w:rFonts w:eastAsia="Times New Roman" w:cs="Times New Roman"/>
                <w:b/>
                <w:bCs/>
                <w:color w:val="000000"/>
                <w:sz w:val="20"/>
                <w:szCs w:val="20"/>
              </w:rPr>
              <w:br/>
              <w:t>MINIMUM COVER (inch) FOR STEEL COLUMNS IN NORMAL-WEIGHT PRECAST COVERS</w:t>
            </w:r>
            <w:r w:rsidRPr="00EC4EC4">
              <w:rPr>
                <w:rFonts w:eastAsia="Times New Roman" w:cs="Times New Roman"/>
                <w:b/>
                <w:bCs/>
                <w:color w:val="000000"/>
                <w:sz w:val="20"/>
                <w:szCs w:val="20"/>
                <w:vertAlign w:val="superscript"/>
              </w:rPr>
              <w:t>a</w:t>
            </w:r>
            <w:r w:rsidRPr="00EC4EC4">
              <w:rPr>
                <w:rFonts w:eastAsia="Times New Roman" w:cs="Times New Roman"/>
                <w:b/>
                <w:bCs/>
                <w:color w:val="000000"/>
                <w:sz w:val="20"/>
                <w:szCs w:val="20"/>
              </w:rPr>
              <w:br/>
            </w:r>
            <w:r w:rsidRPr="00EC4EC4">
              <w:rPr>
                <w:rFonts w:eastAsia="Times New Roman" w:cs="Times New Roman"/>
                <w:b/>
                <w:bCs/>
                <w:color w:val="000000"/>
                <w:spacing w:val="-2"/>
                <w:sz w:val="20"/>
                <w:szCs w:val="20"/>
              </w:rPr>
              <w:t>[</w:t>
            </w:r>
            <w:r w:rsidRPr="00EC4EC4">
              <w:rPr>
                <w:rFonts w:eastAsia="Times New Roman" w:cs="Times New Roman"/>
                <w:b/>
                <w:bCs/>
                <w:strike/>
                <w:color w:val="000000"/>
                <w:spacing w:val="-2"/>
                <w:sz w:val="20"/>
                <w:szCs w:val="20"/>
              </w:rPr>
              <w:t>[</w:t>
            </w:r>
            <w:r w:rsidRPr="00EC4EC4">
              <w:rPr>
                <w:rFonts w:eastAsia="Times New Roman" w:cs="Times New Roman"/>
                <w:b/>
                <w:bCs/>
                <w:color w:val="000000"/>
                <w:spacing w:val="-2"/>
                <w:sz w:val="20"/>
                <w:szCs w:val="20"/>
              </w:rPr>
              <w:t>]FIGURE 722.5.1(6)(a)[</w:t>
            </w:r>
            <w:r w:rsidRPr="00EC4EC4">
              <w:rPr>
                <w:rFonts w:eastAsia="Times New Roman" w:cs="Times New Roman"/>
                <w:b/>
                <w:bCs/>
                <w:strike/>
                <w:color w:val="000000"/>
                <w:spacing w:val="-2"/>
                <w:sz w:val="20"/>
                <w:szCs w:val="20"/>
              </w:rPr>
              <w:t>]</w:t>
            </w:r>
            <w:r w:rsidRPr="00EC4EC4">
              <w:rPr>
                <w:rFonts w:eastAsia="Times New Roman" w:cs="Times New Roman"/>
                <w:b/>
                <w:bCs/>
                <w:color w:val="000000"/>
                <w:spacing w:val="-2"/>
                <w:sz w:val="20"/>
                <w:szCs w:val="20"/>
              </w:rPr>
              <w:t>]</w:t>
            </w:r>
          </w:p>
        </w:tc>
      </w:tr>
      <w:tr w:rsidR="00140B7C" w:rsidRPr="00EC4EC4" w14:paraId="5638A745" w14:textId="77777777" w:rsidTr="00BC1087">
        <w:trPr>
          <w:cantSplit/>
          <w:trHeight w:hRule="exact" w:val="283"/>
          <w:tblHeader/>
        </w:trPr>
        <w:tc>
          <w:tcPr>
            <w:tcW w:w="1478" w:type="dxa"/>
            <w:vMerge w:val="restart"/>
            <w:tcBorders>
              <w:top w:val="single" w:sz="2" w:space="0" w:color="auto"/>
              <w:left w:val="single" w:sz="2" w:space="0" w:color="auto"/>
              <w:bottom w:val="nil"/>
              <w:right w:val="single" w:sz="2" w:space="0" w:color="auto"/>
            </w:tcBorders>
            <w:vAlign w:val="center"/>
          </w:tcPr>
          <w:p w14:paraId="0AF59BB0" w14:textId="77777777" w:rsidR="00140B7C" w:rsidRPr="00EC4EC4" w:rsidRDefault="00140B7C" w:rsidP="00BC1087">
            <w:pPr>
              <w:spacing w:before="216"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STRUCTURAL</w:t>
            </w:r>
            <w:r w:rsidRPr="00EC4EC4">
              <w:rPr>
                <w:rFonts w:eastAsia="Times New Roman" w:cs="Times New Roman"/>
                <w:b/>
                <w:bCs/>
                <w:color w:val="000000"/>
                <w:sz w:val="14"/>
                <w:szCs w:val="14"/>
              </w:rPr>
              <w:br/>
              <w:t>SHAPE</w:t>
            </w:r>
          </w:p>
        </w:tc>
        <w:tc>
          <w:tcPr>
            <w:tcW w:w="3451" w:type="dxa"/>
            <w:gridSpan w:val="5"/>
            <w:tcBorders>
              <w:top w:val="single" w:sz="2" w:space="0" w:color="auto"/>
              <w:left w:val="single" w:sz="2" w:space="0" w:color="auto"/>
              <w:bottom w:val="single" w:sz="2" w:space="0" w:color="auto"/>
              <w:right w:val="single" w:sz="2" w:space="0" w:color="auto"/>
            </w:tcBorders>
            <w:vAlign w:val="center"/>
          </w:tcPr>
          <w:p w14:paraId="0B6253E1" w14:textId="77777777" w:rsidR="00140B7C" w:rsidRPr="00EC4EC4" w:rsidRDefault="00140B7C" w:rsidP="00BC1087">
            <w:pPr>
              <w:spacing w:after="0" w:line="240" w:lineRule="auto"/>
              <w:ind w:left="-3"/>
              <w:jc w:val="center"/>
              <w:rPr>
                <w:rFonts w:eastAsia="Times New Roman" w:cs="Times New Roman"/>
                <w:b/>
                <w:bCs/>
                <w:color w:val="000000"/>
                <w:sz w:val="14"/>
                <w:szCs w:val="14"/>
              </w:rPr>
            </w:pPr>
            <w:r w:rsidRPr="00EC4EC4">
              <w:rPr>
                <w:rFonts w:eastAsia="Times New Roman" w:cs="Times New Roman"/>
                <w:b/>
                <w:bCs/>
                <w:color w:val="000000"/>
                <w:sz w:val="14"/>
                <w:szCs w:val="14"/>
              </w:rPr>
              <w:t>FIRE-RESISTANCE RATING (hours)</w:t>
            </w:r>
          </w:p>
        </w:tc>
      </w:tr>
      <w:tr w:rsidR="00140B7C" w:rsidRPr="00EC4EC4" w14:paraId="06C3A77A" w14:textId="77777777" w:rsidTr="00BC1087">
        <w:trPr>
          <w:cantSplit/>
          <w:trHeight w:hRule="exact" w:val="283"/>
          <w:tblHeader/>
        </w:trPr>
        <w:tc>
          <w:tcPr>
            <w:tcW w:w="1478" w:type="dxa"/>
            <w:vMerge/>
            <w:tcBorders>
              <w:top w:val="nil"/>
              <w:left w:val="single" w:sz="2" w:space="0" w:color="auto"/>
              <w:bottom w:val="single" w:sz="2" w:space="0" w:color="auto"/>
              <w:right w:val="single" w:sz="2" w:space="0" w:color="auto"/>
            </w:tcBorders>
            <w:vAlign w:val="center"/>
          </w:tcPr>
          <w:p w14:paraId="5675D550" w14:textId="77777777" w:rsidR="00140B7C" w:rsidRPr="00EC4EC4" w:rsidRDefault="00140B7C" w:rsidP="00BC1087">
            <w:pPr>
              <w:spacing w:after="0" w:line="240" w:lineRule="auto"/>
              <w:jc w:val="center"/>
              <w:rPr>
                <w:rFonts w:eastAsia="Times New Roman" w:cs="Times New Roman"/>
                <w:b/>
                <w:bCs/>
                <w:color w:val="000000"/>
                <w:sz w:val="14"/>
                <w:szCs w:val="14"/>
              </w:rPr>
            </w:pPr>
          </w:p>
        </w:tc>
        <w:tc>
          <w:tcPr>
            <w:tcW w:w="687" w:type="dxa"/>
            <w:tcBorders>
              <w:top w:val="single" w:sz="2" w:space="0" w:color="auto"/>
              <w:left w:val="single" w:sz="2" w:space="0" w:color="auto"/>
              <w:bottom w:val="single" w:sz="2" w:space="0" w:color="auto"/>
              <w:right w:val="single" w:sz="2" w:space="0" w:color="auto"/>
            </w:tcBorders>
            <w:vAlign w:val="center"/>
          </w:tcPr>
          <w:p w14:paraId="01853057"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1</w:t>
            </w:r>
          </w:p>
        </w:tc>
        <w:tc>
          <w:tcPr>
            <w:tcW w:w="691" w:type="dxa"/>
            <w:tcBorders>
              <w:top w:val="single" w:sz="2" w:space="0" w:color="auto"/>
              <w:left w:val="single" w:sz="2" w:space="0" w:color="auto"/>
              <w:bottom w:val="single" w:sz="2" w:space="0" w:color="auto"/>
              <w:right w:val="single" w:sz="2" w:space="0" w:color="auto"/>
            </w:tcBorders>
            <w:vAlign w:val="center"/>
          </w:tcPr>
          <w:p w14:paraId="6D9C17A6" w14:textId="77777777" w:rsidR="00140B7C" w:rsidRPr="00EC4EC4" w:rsidRDefault="00140B7C" w:rsidP="00BC1087">
            <w:pPr>
              <w:spacing w:after="0" w:line="240" w:lineRule="auto"/>
              <w:jc w:val="center"/>
              <w:rPr>
                <w:rFonts w:eastAsia="Times New Roman" w:cs="Times New Roman"/>
                <w:b/>
                <w:bCs/>
                <w:color w:val="000000"/>
                <w:sz w:val="6"/>
                <w:szCs w:val="6"/>
              </w:rPr>
            </w:pPr>
            <w:r w:rsidRPr="00EC4EC4">
              <w:rPr>
                <w:rFonts w:eastAsia="Times New Roman" w:cs="Times New Roman"/>
                <w:b/>
                <w:bCs/>
                <w:color w:val="000000"/>
                <w:sz w:val="14"/>
                <w:szCs w:val="14"/>
              </w:rPr>
              <w:t>1</w:t>
            </w:r>
            <w:r w:rsidRPr="00EC4EC4">
              <w:rPr>
                <w:rFonts w:eastAsia="Times New Roman" w:cs="Times New Roman"/>
                <w:b/>
                <w:bCs/>
                <w:color w:val="000000"/>
                <w:sz w:val="14"/>
                <w:szCs w:val="14"/>
                <w:vertAlign w:val="superscript"/>
              </w:rPr>
              <w:t>1</w:t>
            </w:r>
            <w:r w:rsidRPr="00EC4EC4">
              <w:rPr>
                <w:rFonts w:eastAsia="Times New Roman" w:cs="Times New Roman"/>
                <w:b/>
                <w:bCs/>
                <w:color w:val="000000"/>
                <w:sz w:val="14"/>
                <w:szCs w:val="14"/>
              </w:rPr>
              <w:t>/</w:t>
            </w:r>
            <w:r w:rsidRPr="00EC4EC4">
              <w:rPr>
                <w:rFonts w:eastAsia="Times New Roman" w:cs="Times New Roman"/>
                <w:b/>
                <w:bCs/>
                <w:color w:val="000000"/>
                <w:w w:val="120"/>
                <w:sz w:val="14"/>
                <w:szCs w:val="14"/>
                <w:vertAlign w:val="subscript"/>
              </w:rPr>
              <w:t>2</w:t>
            </w:r>
          </w:p>
        </w:tc>
        <w:tc>
          <w:tcPr>
            <w:tcW w:w="686" w:type="dxa"/>
            <w:tcBorders>
              <w:top w:val="single" w:sz="2" w:space="0" w:color="auto"/>
              <w:left w:val="single" w:sz="2" w:space="0" w:color="auto"/>
              <w:bottom w:val="single" w:sz="2" w:space="0" w:color="auto"/>
              <w:right w:val="single" w:sz="2" w:space="0" w:color="auto"/>
            </w:tcBorders>
            <w:vAlign w:val="center"/>
          </w:tcPr>
          <w:p w14:paraId="1844354B"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2</w:t>
            </w:r>
          </w:p>
        </w:tc>
        <w:tc>
          <w:tcPr>
            <w:tcW w:w="692" w:type="dxa"/>
            <w:tcBorders>
              <w:top w:val="single" w:sz="2" w:space="0" w:color="auto"/>
              <w:left w:val="single" w:sz="2" w:space="0" w:color="auto"/>
              <w:bottom w:val="single" w:sz="2" w:space="0" w:color="auto"/>
              <w:right w:val="single" w:sz="2" w:space="0" w:color="auto"/>
            </w:tcBorders>
            <w:vAlign w:val="center"/>
          </w:tcPr>
          <w:p w14:paraId="0BBD322D" w14:textId="77777777" w:rsidR="00140B7C" w:rsidRPr="00EC4EC4" w:rsidRDefault="00140B7C" w:rsidP="00BC1087">
            <w:pPr>
              <w:spacing w:after="0" w:line="240" w:lineRule="auto"/>
              <w:ind w:left="3"/>
              <w:jc w:val="center"/>
              <w:rPr>
                <w:rFonts w:eastAsia="Times New Roman" w:cs="Times New Roman"/>
                <w:b/>
                <w:bCs/>
                <w:color w:val="000000"/>
                <w:sz w:val="14"/>
                <w:szCs w:val="14"/>
              </w:rPr>
            </w:pPr>
            <w:r w:rsidRPr="00EC4EC4">
              <w:rPr>
                <w:rFonts w:eastAsia="Times New Roman" w:cs="Times New Roman"/>
                <w:b/>
                <w:bCs/>
                <w:color w:val="000000"/>
                <w:sz w:val="14"/>
                <w:szCs w:val="14"/>
              </w:rPr>
              <w:t>3</w:t>
            </w:r>
          </w:p>
        </w:tc>
        <w:tc>
          <w:tcPr>
            <w:tcW w:w="695" w:type="dxa"/>
            <w:tcBorders>
              <w:top w:val="single" w:sz="2" w:space="0" w:color="auto"/>
              <w:left w:val="single" w:sz="2" w:space="0" w:color="auto"/>
              <w:bottom w:val="single" w:sz="2" w:space="0" w:color="auto"/>
              <w:right w:val="single" w:sz="2" w:space="0" w:color="auto"/>
            </w:tcBorders>
            <w:vAlign w:val="center"/>
          </w:tcPr>
          <w:p w14:paraId="743A971A"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4</w:t>
            </w:r>
          </w:p>
        </w:tc>
      </w:tr>
      <w:tr w:rsidR="00140B7C" w:rsidRPr="00EC4EC4" w14:paraId="2FF3FF2A"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1AFC9D82" w14:textId="77777777" w:rsidR="00140B7C" w:rsidRPr="00EC4EC4" w:rsidRDefault="00140B7C" w:rsidP="00BC1087">
            <w:pPr>
              <w:spacing w:after="0" w:line="240" w:lineRule="auto"/>
              <w:jc w:val="center"/>
              <w:rPr>
                <w:rFonts w:eastAsia="Times New Roman" w:cs="Times New Roman"/>
                <w:color w:val="000000"/>
                <w:spacing w:val="-8"/>
                <w:w w:val="110"/>
                <w:sz w:val="18"/>
                <w:szCs w:val="18"/>
              </w:rPr>
            </w:pPr>
            <w:r w:rsidRPr="00EC4EC4">
              <w:rPr>
                <w:rFonts w:eastAsia="Times New Roman" w:cs="Times New Roman"/>
                <w:color w:val="000000"/>
                <w:spacing w:val="-8"/>
                <w:w w:val="110"/>
                <w:sz w:val="18"/>
                <w:szCs w:val="18"/>
              </w:rPr>
              <w:t>W14 × 233</w:t>
            </w:r>
          </w:p>
        </w:tc>
        <w:tc>
          <w:tcPr>
            <w:tcW w:w="687" w:type="dxa"/>
            <w:vMerge w:val="restart"/>
            <w:tcBorders>
              <w:top w:val="single" w:sz="2" w:space="0" w:color="auto"/>
              <w:left w:val="single" w:sz="2" w:space="0" w:color="auto"/>
              <w:right w:val="single" w:sz="2" w:space="0" w:color="auto"/>
            </w:tcBorders>
            <w:vAlign w:val="center"/>
          </w:tcPr>
          <w:p w14:paraId="683341D1"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6"/>
                <w:w w:val="110"/>
                <w:sz w:val="18"/>
                <w:szCs w:val="18"/>
              </w:rPr>
              <w:t>1</w:t>
            </w:r>
            <w:r w:rsidRPr="00EC4EC4">
              <w:rPr>
                <w:rFonts w:eastAsia="Times New Roman" w:cs="Times New Roman"/>
                <w:color w:val="000000"/>
                <w:spacing w:val="-6"/>
                <w:w w:val="125"/>
                <w:sz w:val="18"/>
                <w:szCs w:val="18"/>
                <w:vertAlign w:val="superscript"/>
              </w:rPr>
              <w:t>1</w:t>
            </w:r>
            <w:r w:rsidRPr="00EC4EC4">
              <w:rPr>
                <w:rFonts w:eastAsia="Times New Roman" w:cs="Times New Roman"/>
                <w:color w:val="000000"/>
                <w:spacing w:val="-6"/>
                <w:w w:val="110"/>
                <w:sz w:val="18"/>
                <w:szCs w:val="18"/>
              </w:rPr>
              <w:t>/</w:t>
            </w:r>
            <w:r w:rsidRPr="00EC4EC4">
              <w:rPr>
                <w:rFonts w:eastAsia="Times New Roman" w:cs="Times New Roman"/>
                <w:color w:val="000000"/>
                <w:spacing w:val="-6"/>
                <w:w w:val="120"/>
                <w:sz w:val="11"/>
                <w:szCs w:val="11"/>
              </w:rPr>
              <w:t>2</w:t>
            </w:r>
          </w:p>
        </w:tc>
        <w:tc>
          <w:tcPr>
            <w:tcW w:w="691" w:type="dxa"/>
            <w:vMerge w:val="restart"/>
            <w:tcBorders>
              <w:top w:val="single" w:sz="2" w:space="0" w:color="auto"/>
              <w:left w:val="single" w:sz="2" w:space="0" w:color="auto"/>
              <w:right w:val="single" w:sz="2" w:space="0" w:color="auto"/>
            </w:tcBorders>
            <w:vAlign w:val="center"/>
          </w:tcPr>
          <w:p w14:paraId="1170D49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6"/>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86" w:type="dxa"/>
            <w:vMerge w:val="restart"/>
            <w:tcBorders>
              <w:top w:val="single" w:sz="2" w:space="0" w:color="auto"/>
              <w:left w:val="single" w:sz="2" w:space="0" w:color="auto"/>
              <w:right w:val="single" w:sz="2" w:space="0" w:color="auto"/>
            </w:tcBorders>
            <w:vAlign w:val="center"/>
          </w:tcPr>
          <w:p w14:paraId="30990471"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92" w:type="dxa"/>
            <w:vMerge w:val="restart"/>
            <w:tcBorders>
              <w:top w:val="single" w:sz="2" w:space="0" w:color="auto"/>
              <w:left w:val="single" w:sz="2" w:space="0" w:color="auto"/>
              <w:right w:val="single" w:sz="2" w:space="0" w:color="auto"/>
            </w:tcBorders>
            <w:vAlign w:val="center"/>
          </w:tcPr>
          <w:p w14:paraId="794C3D7C" w14:textId="77777777" w:rsidR="00140B7C" w:rsidRPr="00EC4EC4" w:rsidRDefault="00140B7C" w:rsidP="00BC1087">
            <w:pPr>
              <w:spacing w:after="0" w:line="240" w:lineRule="auto"/>
              <w:ind w:left="3"/>
              <w:jc w:val="center"/>
              <w:rPr>
                <w:rFonts w:eastAsia="Times New Roman" w:cs="Times New Roman"/>
                <w:color w:val="000000"/>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95" w:type="dxa"/>
            <w:tcBorders>
              <w:top w:val="single" w:sz="2" w:space="0" w:color="auto"/>
              <w:left w:val="single" w:sz="2" w:space="0" w:color="auto"/>
              <w:bottom w:val="single" w:sz="2" w:space="0" w:color="auto"/>
              <w:right w:val="single" w:sz="2" w:space="0" w:color="auto"/>
            </w:tcBorders>
            <w:vAlign w:val="center"/>
          </w:tcPr>
          <w:p w14:paraId="7CDFC776"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3</w:t>
            </w:r>
          </w:p>
        </w:tc>
      </w:tr>
      <w:tr w:rsidR="00140B7C" w:rsidRPr="00EC4EC4" w14:paraId="695DEDCE"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3E90CD7E"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211</w:t>
            </w:r>
          </w:p>
        </w:tc>
        <w:tc>
          <w:tcPr>
            <w:tcW w:w="687" w:type="dxa"/>
            <w:vMerge/>
            <w:tcBorders>
              <w:left w:val="single" w:sz="2" w:space="0" w:color="auto"/>
              <w:right w:val="single" w:sz="2" w:space="0" w:color="auto"/>
            </w:tcBorders>
            <w:vAlign w:val="center"/>
          </w:tcPr>
          <w:p w14:paraId="54282F71" w14:textId="77777777" w:rsidR="00140B7C" w:rsidRPr="00EC4EC4" w:rsidRDefault="00140B7C" w:rsidP="00BC1087">
            <w:pPr>
              <w:spacing w:after="0" w:line="240" w:lineRule="auto"/>
              <w:jc w:val="center"/>
              <w:rPr>
                <w:rFonts w:eastAsia="Times New Roman" w:cs="Times New Roman"/>
                <w:color w:val="000000"/>
              </w:rPr>
            </w:pPr>
          </w:p>
        </w:tc>
        <w:tc>
          <w:tcPr>
            <w:tcW w:w="691" w:type="dxa"/>
            <w:vMerge/>
            <w:tcBorders>
              <w:left w:val="single" w:sz="2" w:space="0" w:color="auto"/>
              <w:right w:val="single" w:sz="2" w:space="0" w:color="auto"/>
            </w:tcBorders>
            <w:vAlign w:val="center"/>
          </w:tcPr>
          <w:p w14:paraId="24B0E5A2" w14:textId="77777777" w:rsidR="00140B7C" w:rsidRPr="00EC4EC4" w:rsidRDefault="00140B7C" w:rsidP="00BC1087">
            <w:pPr>
              <w:spacing w:after="0" w:line="240" w:lineRule="auto"/>
              <w:jc w:val="center"/>
              <w:rPr>
                <w:rFonts w:eastAsia="Times New Roman" w:cs="Times New Roman"/>
                <w:color w:val="000000"/>
              </w:rPr>
            </w:pPr>
          </w:p>
        </w:tc>
        <w:tc>
          <w:tcPr>
            <w:tcW w:w="686" w:type="dxa"/>
            <w:vMerge/>
            <w:tcBorders>
              <w:left w:val="single" w:sz="2" w:space="0" w:color="auto"/>
              <w:bottom w:val="single" w:sz="2" w:space="0" w:color="auto"/>
              <w:right w:val="single" w:sz="2" w:space="0" w:color="auto"/>
            </w:tcBorders>
            <w:vAlign w:val="center"/>
          </w:tcPr>
          <w:p w14:paraId="31663AB0" w14:textId="77777777" w:rsidR="00140B7C" w:rsidRPr="00EC4EC4" w:rsidRDefault="00140B7C" w:rsidP="00BC1087">
            <w:pPr>
              <w:spacing w:after="0" w:line="35" w:lineRule="exact"/>
              <w:jc w:val="center"/>
              <w:rPr>
                <w:rFonts w:eastAsia="Times New Roman" w:cs="Times New Roman"/>
                <w:color w:val="000000"/>
                <w:w w:val="110"/>
                <w:sz w:val="18"/>
                <w:szCs w:val="18"/>
              </w:rPr>
            </w:pPr>
          </w:p>
        </w:tc>
        <w:tc>
          <w:tcPr>
            <w:tcW w:w="692" w:type="dxa"/>
            <w:vMerge/>
            <w:tcBorders>
              <w:left w:val="single" w:sz="2" w:space="0" w:color="auto"/>
              <w:right w:val="single" w:sz="2" w:space="0" w:color="auto"/>
            </w:tcBorders>
            <w:vAlign w:val="center"/>
          </w:tcPr>
          <w:p w14:paraId="39E64CAD" w14:textId="77777777" w:rsidR="00140B7C" w:rsidRPr="00EC4EC4" w:rsidRDefault="00140B7C" w:rsidP="00BC1087">
            <w:pPr>
              <w:spacing w:after="0" w:line="240" w:lineRule="auto"/>
              <w:ind w:left="3"/>
              <w:jc w:val="center"/>
              <w:rPr>
                <w:rFonts w:eastAsia="Times New Roman" w:cs="Times New Roman"/>
                <w:color w:val="000000"/>
                <w:w w:val="120"/>
                <w:sz w:val="11"/>
                <w:szCs w:val="11"/>
              </w:rPr>
            </w:pPr>
          </w:p>
        </w:tc>
        <w:tc>
          <w:tcPr>
            <w:tcW w:w="695" w:type="dxa"/>
            <w:vMerge w:val="restart"/>
            <w:tcBorders>
              <w:top w:val="single" w:sz="2" w:space="0" w:color="auto"/>
              <w:left w:val="single" w:sz="2" w:space="0" w:color="auto"/>
              <w:right w:val="single" w:sz="2" w:space="0" w:color="auto"/>
            </w:tcBorders>
            <w:vAlign w:val="center"/>
          </w:tcPr>
          <w:p w14:paraId="53186169"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44AA12A0"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5378F0EB"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176</w:t>
            </w:r>
          </w:p>
        </w:tc>
        <w:tc>
          <w:tcPr>
            <w:tcW w:w="687" w:type="dxa"/>
            <w:vMerge/>
            <w:tcBorders>
              <w:left w:val="single" w:sz="2" w:space="0" w:color="auto"/>
              <w:right w:val="single" w:sz="2" w:space="0" w:color="auto"/>
            </w:tcBorders>
            <w:vAlign w:val="center"/>
          </w:tcPr>
          <w:p w14:paraId="61BF5597" w14:textId="77777777" w:rsidR="00140B7C" w:rsidRPr="00EC4EC4" w:rsidRDefault="00140B7C" w:rsidP="00BC1087">
            <w:pPr>
              <w:spacing w:after="0" w:line="240" w:lineRule="auto"/>
              <w:jc w:val="center"/>
              <w:rPr>
                <w:rFonts w:eastAsia="Times New Roman" w:cs="Times New Roman"/>
                <w:color w:val="000000"/>
              </w:rPr>
            </w:pPr>
          </w:p>
        </w:tc>
        <w:tc>
          <w:tcPr>
            <w:tcW w:w="691" w:type="dxa"/>
            <w:vMerge/>
            <w:tcBorders>
              <w:left w:val="single" w:sz="2" w:space="0" w:color="auto"/>
              <w:right w:val="single" w:sz="2" w:space="0" w:color="auto"/>
            </w:tcBorders>
            <w:vAlign w:val="center"/>
          </w:tcPr>
          <w:p w14:paraId="0443631E" w14:textId="77777777" w:rsidR="00140B7C" w:rsidRPr="00EC4EC4" w:rsidRDefault="00140B7C" w:rsidP="00BC1087">
            <w:pPr>
              <w:spacing w:after="0" w:line="240" w:lineRule="auto"/>
              <w:jc w:val="center"/>
              <w:rPr>
                <w:rFonts w:eastAsia="Times New Roman" w:cs="Times New Roman"/>
                <w:color w:val="000000"/>
              </w:rPr>
            </w:pPr>
          </w:p>
        </w:tc>
        <w:tc>
          <w:tcPr>
            <w:tcW w:w="686" w:type="dxa"/>
            <w:vMerge w:val="restart"/>
            <w:tcBorders>
              <w:top w:val="single" w:sz="2" w:space="0" w:color="auto"/>
              <w:left w:val="single" w:sz="2" w:space="0" w:color="auto"/>
              <w:right w:val="single" w:sz="2" w:space="0" w:color="auto"/>
            </w:tcBorders>
            <w:vAlign w:val="center"/>
          </w:tcPr>
          <w:p w14:paraId="283E2089"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692" w:type="dxa"/>
            <w:vMerge/>
            <w:tcBorders>
              <w:left w:val="single" w:sz="2" w:space="0" w:color="auto"/>
              <w:bottom w:val="single" w:sz="2" w:space="0" w:color="auto"/>
              <w:right w:val="single" w:sz="2" w:space="0" w:color="auto"/>
            </w:tcBorders>
            <w:vAlign w:val="center"/>
          </w:tcPr>
          <w:p w14:paraId="7272E8CE" w14:textId="77777777" w:rsidR="00140B7C" w:rsidRPr="00EC4EC4" w:rsidRDefault="00140B7C" w:rsidP="00BC1087">
            <w:pPr>
              <w:spacing w:after="0" w:line="240" w:lineRule="auto"/>
              <w:ind w:left="3"/>
              <w:jc w:val="center"/>
              <w:rPr>
                <w:rFonts w:eastAsia="Times New Roman" w:cs="Times New Roman"/>
                <w:color w:val="000000"/>
              </w:rPr>
            </w:pPr>
          </w:p>
        </w:tc>
        <w:tc>
          <w:tcPr>
            <w:tcW w:w="695" w:type="dxa"/>
            <w:vMerge/>
            <w:tcBorders>
              <w:left w:val="single" w:sz="2" w:space="0" w:color="auto"/>
              <w:right w:val="single" w:sz="2" w:space="0" w:color="auto"/>
            </w:tcBorders>
            <w:vAlign w:val="center"/>
          </w:tcPr>
          <w:p w14:paraId="3D5A1A27" w14:textId="77777777" w:rsidR="00140B7C" w:rsidRPr="00EC4EC4" w:rsidRDefault="00140B7C" w:rsidP="00BC1087">
            <w:pPr>
              <w:spacing w:after="0" w:line="240" w:lineRule="auto"/>
              <w:jc w:val="center"/>
              <w:rPr>
                <w:rFonts w:eastAsia="Times New Roman" w:cs="Times New Roman"/>
                <w:color w:val="000000"/>
                <w:w w:val="120"/>
                <w:sz w:val="11"/>
                <w:szCs w:val="11"/>
              </w:rPr>
            </w:pPr>
          </w:p>
        </w:tc>
      </w:tr>
      <w:tr w:rsidR="00140B7C" w:rsidRPr="00EC4EC4" w14:paraId="49CD0969"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4B995067"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lastRenderedPageBreak/>
              <w:t>×</w:t>
            </w:r>
            <w:r w:rsidRPr="00EC4EC4">
              <w:rPr>
                <w:rFonts w:eastAsia="Times New Roman" w:cs="Times New Roman"/>
                <w:color w:val="000000"/>
                <w:w w:val="110"/>
                <w:sz w:val="18"/>
                <w:szCs w:val="18"/>
              </w:rPr>
              <w:t xml:space="preserve"> 145</w:t>
            </w:r>
          </w:p>
        </w:tc>
        <w:tc>
          <w:tcPr>
            <w:tcW w:w="687" w:type="dxa"/>
            <w:vMerge/>
            <w:tcBorders>
              <w:left w:val="single" w:sz="2" w:space="0" w:color="auto"/>
              <w:right w:val="single" w:sz="2" w:space="0" w:color="auto"/>
            </w:tcBorders>
            <w:vAlign w:val="center"/>
          </w:tcPr>
          <w:p w14:paraId="53AE55CF" w14:textId="77777777" w:rsidR="00140B7C" w:rsidRPr="00EC4EC4" w:rsidRDefault="00140B7C" w:rsidP="00BC1087">
            <w:pPr>
              <w:spacing w:after="0" w:line="240" w:lineRule="auto"/>
              <w:jc w:val="center"/>
              <w:rPr>
                <w:rFonts w:eastAsia="Times New Roman" w:cs="Times New Roman"/>
                <w:color w:val="000000"/>
              </w:rPr>
            </w:pPr>
          </w:p>
        </w:tc>
        <w:tc>
          <w:tcPr>
            <w:tcW w:w="691" w:type="dxa"/>
            <w:vMerge/>
            <w:tcBorders>
              <w:left w:val="single" w:sz="2" w:space="0" w:color="auto"/>
              <w:bottom w:val="single" w:sz="2" w:space="0" w:color="auto"/>
              <w:right w:val="single" w:sz="2" w:space="0" w:color="auto"/>
            </w:tcBorders>
            <w:vAlign w:val="center"/>
          </w:tcPr>
          <w:p w14:paraId="621ED098" w14:textId="77777777" w:rsidR="00140B7C" w:rsidRPr="00EC4EC4" w:rsidRDefault="00140B7C" w:rsidP="00BC1087">
            <w:pPr>
              <w:spacing w:after="0" w:line="240" w:lineRule="auto"/>
              <w:jc w:val="center"/>
              <w:rPr>
                <w:rFonts w:eastAsia="Times New Roman" w:cs="Times New Roman"/>
                <w:color w:val="000000"/>
                <w:spacing w:val="-6"/>
                <w:w w:val="120"/>
                <w:sz w:val="11"/>
                <w:szCs w:val="11"/>
              </w:rPr>
            </w:pPr>
          </w:p>
        </w:tc>
        <w:tc>
          <w:tcPr>
            <w:tcW w:w="686" w:type="dxa"/>
            <w:vMerge/>
            <w:tcBorders>
              <w:left w:val="single" w:sz="2" w:space="0" w:color="auto"/>
              <w:bottom w:val="single" w:sz="2" w:space="0" w:color="auto"/>
              <w:right w:val="single" w:sz="2" w:space="0" w:color="auto"/>
            </w:tcBorders>
            <w:vAlign w:val="center"/>
          </w:tcPr>
          <w:p w14:paraId="533554B9"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2" w:type="dxa"/>
            <w:vMerge w:val="restart"/>
            <w:tcBorders>
              <w:top w:val="single" w:sz="2" w:space="0" w:color="auto"/>
              <w:left w:val="single" w:sz="2" w:space="0" w:color="auto"/>
              <w:right w:val="single" w:sz="2" w:space="0" w:color="auto"/>
            </w:tcBorders>
            <w:vAlign w:val="center"/>
          </w:tcPr>
          <w:p w14:paraId="40002090" w14:textId="77777777" w:rsidR="00140B7C" w:rsidRPr="00EC4EC4" w:rsidRDefault="00140B7C" w:rsidP="00BC1087">
            <w:pPr>
              <w:spacing w:after="0" w:line="240" w:lineRule="auto"/>
              <w:ind w:left="3"/>
              <w:jc w:val="center"/>
              <w:rPr>
                <w:rFonts w:eastAsia="Times New Roman" w:cs="Times New Roman"/>
                <w:color w:val="000000"/>
              </w:rPr>
            </w:pPr>
            <w:r w:rsidRPr="00EC4EC4">
              <w:rPr>
                <w:rFonts w:eastAsia="Times New Roman" w:cs="Times New Roman"/>
                <w:color w:val="000000"/>
                <w:w w:val="110"/>
                <w:sz w:val="18"/>
                <w:szCs w:val="18"/>
              </w:rPr>
              <w:t>3</w:t>
            </w:r>
          </w:p>
        </w:tc>
        <w:tc>
          <w:tcPr>
            <w:tcW w:w="695" w:type="dxa"/>
            <w:vMerge/>
            <w:tcBorders>
              <w:left w:val="single" w:sz="2" w:space="0" w:color="auto"/>
              <w:right w:val="single" w:sz="2" w:space="0" w:color="auto"/>
            </w:tcBorders>
            <w:vAlign w:val="center"/>
          </w:tcPr>
          <w:p w14:paraId="5FEE089B"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386725EA"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59EED896"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109</w:t>
            </w:r>
          </w:p>
        </w:tc>
        <w:tc>
          <w:tcPr>
            <w:tcW w:w="687" w:type="dxa"/>
            <w:vMerge/>
            <w:tcBorders>
              <w:left w:val="single" w:sz="2" w:space="0" w:color="auto"/>
              <w:right w:val="single" w:sz="2" w:space="0" w:color="auto"/>
            </w:tcBorders>
            <w:vAlign w:val="center"/>
          </w:tcPr>
          <w:p w14:paraId="3AF7CB5C" w14:textId="77777777" w:rsidR="00140B7C" w:rsidRPr="00EC4EC4" w:rsidRDefault="00140B7C" w:rsidP="00BC1087">
            <w:pPr>
              <w:spacing w:after="0" w:line="240" w:lineRule="auto"/>
              <w:jc w:val="center"/>
              <w:rPr>
                <w:rFonts w:eastAsia="Times New Roman" w:cs="Times New Roman"/>
                <w:color w:val="000000"/>
                <w:spacing w:val="-6"/>
                <w:w w:val="120"/>
                <w:sz w:val="11"/>
                <w:szCs w:val="11"/>
              </w:rPr>
            </w:pPr>
          </w:p>
        </w:tc>
        <w:tc>
          <w:tcPr>
            <w:tcW w:w="691" w:type="dxa"/>
            <w:vMerge w:val="restart"/>
            <w:tcBorders>
              <w:top w:val="single" w:sz="2" w:space="0" w:color="auto"/>
              <w:left w:val="single" w:sz="2" w:space="0" w:color="auto"/>
              <w:right w:val="single" w:sz="2" w:space="0" w:color="auto"/>
            </w:tcBorders>
            <w:vAlign w:val="center"/>
          </w:tcPr>
          <w:p w14:paraId="4F414C3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686" w:type="dxa"/>
            <w:vMerge w:val="restart"/>
            <w:tcBorders>
              <w:top w:val="single" w:sz="2" w:space="0" w:color="auto"/>
              <w:left w:val="single" w:sz="2" w:space="0" w:color="auto"/>
              <w:right w:val="single" w:sz="2" w:space="0" w:color="auto"/>
            </w:tcBorders>
            <w:vAlign w:val="center"/>
          </w:tcPr>
          <w:p w14:paraId="17165C09"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6"/>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92" w:type="dxa"/>
            <w:vMerge/>
            <w:tcBorders>
              <w:left w:val="single" w:sz="2" w:space="0" w:color="auto"/>
              <w:right w:val="single" w:sz="2" w:space="0" w:color="auto"/>
            </w:tcBorders>
            <w:vAlign w:val="center"/>
          </w:tcPr>
          <w:p w14:paraId="4FD58EA0" w14:textId="77777777" w:rsidR="00140B7C" w:rsidRPr="00EC4EC4" w:rsidRDefault="00140B7C" w:rsidP="00BC1087">
            <w:pPr>
              <w:spacing w:after="0" w:line="240" w:lineRule="auto"/>
              <w:ind w:left="3"/>
              <w:jc w:val="center"/>
              <w:rPr>
                <w:rFonts w:eastAsia="Times New Roman" w:cs="Times New Roman"/>
                <w:color w:val="000000"/>
                <w:w w:val="110"/>
                <w:sz w:val="18"/>
                <w:szCs w:val="18"/>
              </w:rPr>
            </w:pPr>
          </w:p>
        </w:tc>
        <w:tc>
          <w:tcPr>
            <w:tcW w:w="695" w:type="dxa"/>
            <w:vMerge/>
            <w:tcBorders>
              <w:left w:val="single" w:sz="2" w:space="0" w:color="auto"/>
              <w:bottom w:val="single" w:sz="2" w:space="0" w:color="auto"/>
              <w:right w:val="single" w:sz="2" w:space="0" w:color="auto"/>
            </w:tcBorders>
            <w:vAlign w:val="center"/>
          </w:tcPr>
          <w:p w14:paraId="4ECD634B"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1635ECC3"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68264A89"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99</w:t>
            </w:r>
          </w:p>
        </w:tc>
        <w:tc>
          <w:tcPr>
            <w:tcW w:w="687" w:type="dxa"/>
            <w:vMerge/>
            <w:tcBorders>
              <w:left w:val="single" w:sz="2" w:space="0" w:color="auto"/>
              <w:right w:val="single" w:sz="2" w:space="0" w:color="auto"/>
            </w:tcBorders>
            <w:vAlign w:val="center"/>
          </w:tcPr>
          <w:p w14:paraId="20066361"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1" w:type="dxa"/>
            <w:vMerge/>
            <w:tcBorders>
              <w:left w:val="single" w:sz="2" w:space="0" w:color="auto"/>
              <w:right w:val="single" w:sz="2" w:space="0" w:color="auto"/>
            </w:tcBorders>
            <w:vAlign w:val="center"/>
          </w:tcPr>
          <w:p w14:paraId="301F5283"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86" w:type="dxa"/>
            <w:vMerge/>
            <w:tcBorders>
              <w:left w:val="single" w:sz="2" w:space="0" w:color="auto"/>
              <w:right w:val="single" w:sz="2" w:space="0" w:color="auto"/>
            </w:tcBorders>
            <w:vAlign w:val="center"/>
          </w:tcPr>
          <w:p w14:paraId="3CAD3000"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2" w:type="dxa"/>
            <w:vMerge/>
            <w:tcBorders>
              <w:left w:val="single" w:sz="2" w:space="0" w:color="auto"/>
              <w:bottom w:val="single" w:sz="2" w:space="0" w:color="auto"/>
              <w:right w:val="single" w:sz="2" w:space="0" w:color="auto"/>
            </w:tcBorders>
            <w:vAlign w:val="center"/>
          </w:tcPr>
          <w:p w14:paraId="5B17439E" w14:textId="77777777" w:rsidR="00140B7C" w:rsidRPr="00EC4EC4" w:rsidRDefault="00140B7C" w:rsidP="00BC1087">
            <w:pPr>
              <w:spacing w:after="0" w:line="240" w:lineRule="auto"/>
              <w:ind w:left="3"/>
              <w:jc w:val="center"/>
              <w:rPr>
                <w:rFonts w:eastAsia="Times New Roman" w:cs="Times New Roman"/>
                <w:color w:val="000000"/>
                <w:w w:val="110"/>
                <w:sz w:val="18"/>
                <w:szCs w:val="18"/>
              </w:rPr>
            </w:pPr>
          </w:p>
        </w:tc>
        <w:tc>
          <w:tcPr>
            <w:tcW w:w="695" w:type="dxa"/>
            <w:vMerge w:val="restart"/>
            <w:tcBorders>
              <w:top w:val="single" w:sz="2" w:space="0" w:color="auto"/>
              <w:left w:val="single" w:sz="2" w:space="0" w:color="auto"/>
              <w:bottom w:val="nil"/>
              <w:right w:val="single" w:sz="2" w:space="0" w:color="auto"/>
            </w:tcBorders>
            <w:vAlign w:val="center"/>
          </w:tcPr>
          <w:p w14:paraId="2689F983"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4</w:t>
            </w:r>
          </w:p>
        </w:tc>
      </w:tr>
      <w:tr w:rsidR="00140B7C" w:rsidRPr="00EC4EC4" w14:paraId="488EBF32"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2DC8A3F9"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61</w:t>
            </w:r>
          </w:p>
        </w:tc>
        <w:tc>
          <w:tcPr>
            <w:tcW w:w="687" w:type="dxa"/>
            <w:vMerge/>
            <w:tcBorders>
              <w:left w:val="single" w:sz="2" w:space="0" w:color="auto"/>
              <w:right w:val="single" w:sz="2" w:space="0" w:color="auto"/>
            </w:tcBorders>
            <w:vAlign w:val="center"/>
          </w:tcPr>
          <w:p w14:paraId="0547449A"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1" w:type="dxa"/>
            <w:vMerge/>
            <w:tcBorders>
              <w:left w:val="single" w:sz="2" w:space="0" w:color="auto"/>
              <w:right w:val="single" w:sz="2" w:space="0" w:color="auto"/>
            </w:tcBorders>
            <w:vAlign w:val="center"/>
          </w:tcPr>
          <w:p w14:paraId="1A1F83D1"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86" w:type="dxa"/>
            <w:vMerge/>
            <w:tcBorders>
              <w:left w:val="single" w:sz="2" w:space="0" w:color="auto"/>
              <w:right w:val="single" w:sz="2" w:space="0" w:color="auto"/>
            </w:tcBorders>
            <w:vAlign w:val="center"/>
          </w:tcPr>
          <w:p w14:paraId="4610A16C"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2" w:type="dxa"/>
            <w:vMerge w:val="restart"/>
            <w:tcBorders>
              <w:top w:val="single" w:sz="2" w:space="0" w:color="auto"/>
              <w:left w:val="single" w:sz="2" w:space="0" w:color="auto"/>
              <w:right w:val="single" w:sz="2" w:space="0" w:color="auto"/>
            </w:tcBorders>
            <w:vAlign w:val="center"/>
          </w:tcPr>
          <w:p w14:paraId="070D846E" w14:textId="77777777" w:rsidR="00140B7C" w:rsidRPr="00EC4EC4" w:rsidRDefault="00140B7C" w:rsidP="00BC1087">
            <w:pPr>
              <w:spacing w:after="0" w:line="240" w:lineRule="auto"/>
              <w:ind w:left="3"/>
              <w:jc w:val="center"/>
              <w:rPr>
                <w:rFonts w:eastAsia="Times New Roman" w:cs="Times New Roman"/>
                <w:color w:val="000000"/>
              </w:rPr>
            </w:pPr>
            <w:r w:rsidRPr="00EC4EC4">
              <w:rPr>
                <w:rFonts w:eastAsia="Times New Roman" w:cs="Times New Roman"/>
                <w:color w:val="000000"/>
                <w:spacing w:val="-6"/>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95" w:type="dxa"/>
            <w:vMerge/>
            <w:tcBorders>
              <w:top w:val="nil"/>
              <w:left w:val="single" w:sz="2" w:space="0" w:color="auto"/>
              <w:bottom w:val="single" w:sz="2" w:space="0" w:color="auto"/>
              <w:right w:val="single" w:sz="2" w:space="0" w:color="auto"/>
            </w:tcBorders>
            <w:vAlign w:val="center"/>
          </w:tcPr>
          <w:p w14:paraId="2C9E1B6C"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1E81817F"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2749CD83"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43</w:t>
            </w:r>
          </w:p>
        </w:tc>
        <w:tc>
          <w:tcPr>
            <w:tcW w:w="687" w:type="dxa"/>
            <w:vMerge/>
            <w:tcBorders>
              <w:left w:val="single" w:sz="2" w:space="0" w:color="auto"/>
              <w:bottom w:val="single" w:sz="2" w:space="0" w:color="auto"/>
              <w:right w:val="single" w:sz="2" w:space="0" w:color="auto"/>
            </w:tcBorders>
            <w:vAlign w:val="center"/>
          </w:tcPr>
          <w:p w14:paraId="555DE717" w14:textId="77777777" w:rsidR="00140B7C" w:rsidRPr="00EC4EC4" w:rsidRDefault="00140B7C" w:rsidP="00BC1087">
            <w:pPr>
              <w:spacing w:after="0" w:line="240" w:lineRule="auto"/>
              <w:jc w:val="center"/>
              <w:rPr>
                <w:rFonts w:eastAsia="Times New Roman" w:cs="Times New Roman"/>
                <w:color w:val="000000"/>
              </w:rPr>
            </w:pPr>
          </w:p>
        </w:tc>
        <w:tc>
          <w:tcPr>
            <w:tcW w:w="691" w:type="dxa"/>
            <w:vMerge/>
            <w:tcBorders>
              <w:left w:val="single" w:sz="2" w:space="0" w:color="auto"/>
              <w:bottom w:val="single" w:sz="2" w:space="0" w:color="auto"/>
              <w:right w:val="single" w:sz="2" w:space="0" w:color="auto"/>
            </w:tcBorders>
            <w:vAlign w:val="center"/>
          </w:tcPr>
          <w:p w14:paraId="0E7748A8"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86" w:type="dxa"/>
            <w:vMerge/>
            <w:tcBorders>
              <w:left w:val="single" w:sz="2" w:space="0" w:color="auto"/>
              <w:bottom w:val="single" w:sz="2" w:space="0" w:color="auto"/>
              <w:right w:val="single" w:sz="2" w:space="0" w:color="auto"/>
            </w:tcBorders>
            <w:vAlign w:val="center"/>
          </w:tcPr>
          <w:p w14:paraId="112B0CB5" w14:textId="77777777" w:rsidR="00140B7C" w:rsidRPr="00EC4EC4" w:rsidRDefault="00140B7C" w:rsidP="00BC1087">
            <w:pPr>
              <w:spacing w:after="0" w:line="240" w:lineRule="auto"/>
              <w:jc w:val="center"/>
              <w:rPr>
                <w:rFonts w:eastAsia="Times New Roman" w:cs="Times New Roman"/>
                <w:color w:val="000000"/>
                <w:spacing w:val="-6"/>
                <w:w w:val="120"/>
                <w:sz w:val="11"/>
                <w:szCs w:val="11"/>
              </w:rPr>
            </w:pPr>
          </w:p>
        </w:tc>
        <w:tc>
          <w:tcPr>
            <w:tcW w:w="692" w:type="dxa"/>
            <w:vMerge/>
            <w:tcBorders>
              <w:left w:val="single" w:sz="2" w:space="0" w:color="auto"/>
              <w:bottom w:val="single" w:sz="2" w:space="0" w:color="auto"/>
              <w:right w:val="single" w:sz="2" w:space="0" w:color="auto"/>
            </w:tcBorders>
            <w:vAlign w:val="center"/>
          </w:tcPr>
          <w:p w14:paraId="3B932DA8" w14:textId="77777777" w:rsidR="00140B7C" w:rsidRPr="00EC4EC4" w:rsidRDefault="00140B7C" w:rsidP="00BC1087">
            <w:pPr>
              <w:spacing w:after="0" w:line="240" w:lineRule="auto"/>
              <w:ind w:left="3"/>
              <w:jc w:val="center"/>
              <w:rPr>
                <w:rFonts w:eastAsia="Times New Roman" w:cs="Times New Roman"/>
                <w:color w:val="000000"/>
                <w:spacing w:val="-6"/>
                <w:w w:val="120"/>
                <w:sz w:val="11"/>
                <w:szCs w:val="11"/>
              </w:rPr>
            </w:pPr>
          </w:p>
        </w:tc>
        <w:tc>
          <w:tcPr>
            <w:tcW w:w="695" w:type="dxa"/>
            <w:tcBorders>
              <w:top w:val="single" w:sz="2" w:space="0" w:color="auto"/>
              <w:left w:val="single" w:sz="2" w:space="0" w:color="auto"/>
              <w:bottom w:val="single" w:sz="2" w:space="0" w:color="auto"/>
              <w:right w:val="single" w:sz="2" w:space="0" w:color="auto"/>
            </w:tcBorders>
            <w:vAlign w:val="center"/>
          </w:tcPr>
          <w:p w14:paraId="184B5ED3" w14:textId="77777777" w:rsidR="00140B7C" w:rsidRPr="00EC4EC4" w:rsidRDefault="00140B7C" w:rsidP="00BC1087">
            <w:pPr>
              <w:spacing w:after="0" w:line="240" w:lineRule="auto"/>
              <w:jc w:val="center"/>
              <w:rPr>
                <w:rFonts w:eastAsia="Times New Roman" w:cs="Times New Roman"/>
                <w:color w:val="000000"/>
                <w:spacing w:val="-2"/>
                <w:w w:val="120"/>
                <w:sz w:val="11"/>
                <w:szCs w:val="11"/>
              </w:rPr>
            </w:pPr>
            <w:r w:rsidRPr="00EC4EC4">
              <w:rPr>
                <w:rFonts w:eastAsia="Times New Roman" w:cs="Times New Roman"/>
                <w:color w:val="000000"/>
                <w:spacing w:val="-2"/>
                <w:w w:val="110"/>
                <w:sz w:val="18"/>
                <w:szCs w:val="18"/>
              </w:rPr>
              <w:t>4</w:t>
            </w:r>
            <w:r w:rsidRPr="00EC4EC4">
              <w:rPr>
                <w:rFonts w:eastAsia="Times New Roman" w:cs="Times New Roman"/>
                <w:color w:val="000000"/>
                <w:spacing w:val="-2"/>
                <w:w w:val="125"/>
                <w:sz w:val="18"/>
                <w:szCs w:val="18"/>
                <w:vertAlign w:val="superscript"/>
              </w:rPr>
              <w:t>1</w:t>
            </w:r>
            <w:r w:rsidRPr="00EC4EC4">
              <w:rPr>
                <w:rFonts w:eastAsia="Times New Roman" w:cs="Times New Roman"/>
                <w:color w:val="000000"/>
                <w:spacing w:val="-2"/>
                <w:w w:val="110"/>
                <w:sz w:val="18"/>
                <w:szCs w:val="18"/>
              </w:rPr>
              <w:t>/</w:t>
            </w:r>
            <w:r w:rsidRPr="00EC4EC4">
              <w:rPr>
                <w:rFonts w:eastAsia="Times New Roman" w:cs="Times New Roman"/>
                <w:color w:val="000000"/>
                <w:spacing w:val="-2"/>
                <w:w w:val="120"/>
                <w:sz w:val="11"/>
                <w:szCs w:val="11"/>
              </w:rPr>
              <w:t>2</w:t>
            </w:r>
          </w:p>
        </w:tc>
      </w:tr>
      <w:tr w:rsidR="00140B7C" w:rsidRPr="00EC4EC4" w14:paraId="5214F6B4"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6951AB7E"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W12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190</w:t>
            </w:r>
          </w:p>
        </w:tc>
        <w:tc>
          <w:tcPr>
            <w:tcW w:w="687" w:type="dxa"/>
            <w:vMerge w:val="restart"/>
            <w:tcBorders>
              <w:top w:val="single" w:sz="2" w:space="0" w:color="auto"/>
              <w:left w:val="single" w:sz="2" w:space="0" w:color="auto"/>
              <w:right w:val="single" w:sz="2" w:space="0" w:color="auto"/>
            </w:tcBorders>
            <w:vAlign w:val="center"/>
          </w:tcPr>
          <w:p w14:paraId="7D2CF01D"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91" w:type="dxa"/>
            <w:vMerge w:val="restart"/>
            <w:tcBorders>
              <w:top w:val="single" w:sz="2" w:space="0" w:color="auto"/>
              <w:left w:val="single" w:sz="2" w:space="0" w:color="auto"/>
              <w:right w:val="single" w:sz="2" w:space="0" w:color="auto"/>
            </w:tcBorders>
            <w:vAlign w:val="center"/>
          </w:tcPr>
          <w:p w14:paraId="40048597"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86" w:type="dxa"/>
            <w:tcBorders>
              <w:top w:val="single" w:sz="2" w:space="0" w:color="auto"/>
              <w:left w:val="single" w:sz="2" w:space="0" w:color="auto"/>
              <w:bottom w:val="single" w:sz="2" w:space="0" w:color="auto"/>
              <w:right w:val="single" w:sz="2" w:space="0" w:color="auto"/>
            </w:tcBorders>
            <w:vAlign w:val="center"/>
          </w:tcPr>
          <w:p w14:paraId="0885D1D8" w14:textId="77777777" w:rsidR="00140B7C" w:rsidRPr="00EC4EC4" w:rsidRDefault="00140B7C" w:rsidP="00BC1087">
            <w:pPr>
              <w:spacing w:after="0" w:line="240" w:lineRule="auto"/>
              <w:jc w:val="center"/>
              <w:rPr>
                <w:rFonts w:eastAsia="Times New Roman" w:cs="Times New Roman"/>
                <w:color w:val="000000"/>
                <w:spacing w:val="-4"/>
                <w:w w:val="125"/>
                <w:sz w:val="18"/>
                <w:szCs w:val="18"/>
                <w:vertAlign w:val="superscript"/>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92" w:type="dxa"/>
            <w:vMerge w:val="restart"/>
            <w:tcBorders>
              <w:top w:val="single" w:sz="2" w:space="0" w:color="auto"/>
              <w:left w:val="single" w:sz="2" w:space="0" w:color="auto"/>
              <w:bottom w:val="nil"/>
              <w:right w:val="single" w:sz="2" w:space="0" w:color="auto"/>
            </w:tcBorders>
            <w:vAlign w:val="center"/>
          </w:tcPr>
          <w:p w14:paraId="10CFF2BC" w14:textId="77777777" w:rsidR="00140B7C" w:rsidRPr="00EC4EC4" w:rsidRDefault="00140B7C" w:rsidP="00BC1087">
            <w:pPr>
              <w:spacing w:after="0" w:line="240" w:lineRule="auto"/>
              <w:ind w:left="3"/>
              <w:jc w:val="center"/>
              <w:rPr>
                <w:rFonts w:eastAsia="Times New Roman" w:cs="Times New Roman"/>
                <w:color w:val="000000"/>
                <w:w w:val="120"/>
                <w:sz w:val="11"/>
                <w:szCs w:val="11"/>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95" w:type="dxa"/>
            <w:vMerge w:val="restart"/>
            <w:tcBorders>
              <w:top w:val="single" w:sz="2" w:space="0" w:color="auto"/>
              <w:left w:val="single" w:sz="2" w:space="0" w:color="auto"/>
              <w:bottom w:val="nil"/>
              <w:right w:val="single" w:sz="2" w:space="0" w:color="auto"/>
            </w:tcBorders>
            <w:vAlign w:val="center"/>
          </w:tcPr>
          <w:p w14:paraId="149FD0AB"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1A004F5A"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09493548"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152</w:t>
            </w:r>
          </w:p>
        </w:tc>
        <w:tc>
          <w:tcPr>
            <w:tcW w:w="687" w:type="dxa"/>
            <w:vMerge/>
            <w:tcBorders>
              <w:left w:val="single" w:sz="2" w:space="0" w:color="auto"/>
              <w:right w:val="single" w:sz="2" w:space="0" w:color="auto"/>
            </w:tcBorders>
            <w:vAlign w:val="center"/>
          </w:tcPr>
          <w:p w14:paraId="588DAF1F"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1" w:type="dxa"/>
            <w:vMerge/>
            <w:tcBorders>
              <w:left w:val="single" w:sz="2" w:space="0" w:color="auto"/>
              <w:right w:val="single" w:sz="2" w:space="0" w:color="auto"/>
            </w:tcBorders>
            <w:vAlign w:val="center"/>
          </w:tcPr>
          <w:p w14:paraId="4E84194B"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86" w:type="dxa"/>
            <w:vMerge w:val="restart"/>
            <w:tcBorders>
              <w:top w:val="single" w:sz="2" w:space="0" w:color="auto"/>
              <w:left w:val="single" w:sz="2" w:space="0" w:color="auto"/>
              <w:right w:val="single" w:sz="2" w:space="0" w:color="auto"/>
            </w:tcBorders>
            <w:vAlign w:val="center"/>
          </w:tcPr>
          <w:p w14:paraId="3CCB34B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692" w:type="dxa"/>
            <w:vMerge/>
            <w:tcBorders>
              <w:top w:val="nil"/>
              <w:left w:val="single" w:sz="2" w:space="0" w:color="auto"/>
              <w:bottom w:val="single" w:sz="2" w:space="0" w:color="auto"/>
              <w:right w:val="single" w:sz="2" w:space="0" w:color="auto"/>
            </w:tcBorders>
            <w:vAlign w:val="center"/>
          </w:tcPr>
          <w:p w14:paraId="5AB1AACA" w14:textId="77777777" w:rsidR="00140B7C" w:rsidRPr="00EC4EC4" w:rsidRDefault="00140B7C" w:rsidP="00BC1087">
            <w:pPr>
              <w:spacing w:after="0" w:line="240" w:lineRule="auto"/>
              <w:ind w:left="3"/>
              <w:jc w:val="center"/>
              <w:rPr>
                <w:rFonts w:eastAsia="Times New Roman" w:cs="Times New Roman"/>
                <w:color w:val="000000"/>
                <w:w w:val="110"/>
                <w:sz w:val="18"/>
                <w:szCs w:val="18"/>
              </w:rPr>
            </w:pPr>
          </w:p>
        </w:tc>
        <w:tc>
          <w:tcPr>
            <w:tcW w:w="695" w:type="dxa"/>
            <w:vMerge/>
            <w:tcBorders>
              <w:top w:val="nil"/>
              <w:left w:val="single" w:sz="2" w:space="0" w:color="auto"/>
              <w:bottom w:val="single" w:sz="2" w:space="0" w:color="auto"/>
              <w:right w:val="single" w:sz="2" w:space="0" w:color="auto"/>
            </w:tcBorders>
            <w:vAlign w:val="center"/>
          </w:tcPr>
          <w:p w14:paraId="6CF1F992"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28534DED"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18F0E62C"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120</w:t>
            </w:r>
          </w:p>
        </w:tc>
        <w:tc>
          <w:tcPr>
            <w:tcW w:w="687" w:type="dxa"/>
            <w:vMerge/>
            <w:tcBorders>
              <w:left w:val="single" w:sz="2" w:space="0" w:color="auto"/>
              <w:right w:val="single" w:sz="2" w:space="0" w:color="auto"/>
            </w:tcBorders>
            <w:vAlign w:val="center"/>
          </w:tcPr>
          <w:p w14:paraId="6CBADB7B"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1" w:type="dxa"/>
            <w:vMerge/>
            <w:tcBorders>
              <w:left w:val="single" w:sz="2" w:space="0" w:color="auto"/>
              <w:right w:val="single" w:sz="2" w:space="0" w:color="auto"/>
            </w:tcBorders>
            <w:vAlign w:val="center"/>
          </w:tcPr>
          <w:p w14:paraId="5782F20C"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86" w:type="dxa"/>
            <w:vMerge/>
            <w:tcBorders>
              <w:left w:val="single" w:sz="2" w:space="0" w:color="auto"/>
              <w:right w:val="single" w:sz="2" w:space="0" w:color="auto"/>
            </w:tcBorders>
            <w:vAlign w:val="center"/>
          </w:tcPr>
          <w:p w14:paraId="558C93A5"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2" w:type="dxa"/>
            <w:vMerge w:val="restart"/>
            <w:tcBorders>
              <w:top w:val="single" w:sz="2" w:space="0" w:color="auto"/>
              <w:left w:val="single" w:sz="2" w:space="0" w:color="auto"/>
              <w:right w:val="single" w:sz="2" w:space="0" w:color="auto"/>
            </w:tcBorders>
            <w:vAlign w:val="center"/>
          </w:tcPr>
          <w:p w14:paraId="0D090041" w14:textId="77777777" w:rsidR="00140B7C" w:rsidRPr="00EC4EC4" w:rsidRDefault="00140B7C" w:rsidP="00BC1087">
            <w:pPr>
              <w:spacing w:after="0" w:line="240" w:lineRule="auto"/>
              <w:ind w:left="3"/>
              <w:jc w:val="center"/>
              <w:rPr>
                <w:rFonts w:eastAsia="Times New Roman" w:cs="Times New Roman"/>
                <w:color w:val="000000"/>
              </w:rPr>
            </w:pPr>
            <w:r w:rsidRPr="00EC4EC4">
              <w:rPr>
                <w:rFonts w:eastAsia="Times New Roman" w:cs="Times New Roman"/>
                <w:color w:val="000000"/>
                <w:w w:val="110"/>
                <w:sz w:val="18"/>
                <w:szCs w:val="18"/>
              </w:rPr>
              <w:t>3</w:t>
            </w:r>
          </w:p>
        </w:tc>
        <w:tc>
          <w:tcPr>
            <w:tcW w:w="695" w:type="dxa"/>
            <w:vMerge w:val="restart"/>
            <w:tcBorders>
              <w:top w:val="single" w:sz="2" w:space="0" w:color="auto"/>
              <w:left w:val="single" w:sz="2" w:space="0" w:color="auto"/>
              <w:right w:val="single" w:sz="2" w:space="0" w:color="auto"/>
            </w:tcBorders>
            <w:vAlign w:val="center"/>
          </w:tcPr>
          <w:p w14:paraId="2D5B72E4"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4</w:t>
            </w:r>
          </w:p>
        </w:tc>
      </w:tr>
      <w:tr w:rsidR="00140B7C" w:rsidRPr="00EC4EC4" w14:paraId="7EACE568"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1EE14050"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96</w:t>
            </w:r>
          </w:p>
        </w:tc>
        <w:tc>
          <w:tcPr>
            <w:tcW w:w="687" w:type="dxa"/>
            <w:vMerge/>
            <w:tcBorders>
              <w:left w:val="single" w:sz="2" w:space="0" w:color="auto"/>
              <w:right w:val="single" w:sz="2" w:space="0" w:color="auto"/>
            </w:tcBorders>
            <w:vAlign w:val="center"/>
          </w:tcPr>
          <w:p w14:paraId="426CEDEA" w14:textId="77777777" w:rsidR="00140B7C" w:rsidRPr="00EC4EC4" w:rsidRDefault="00140B7C" w:rsidP="00BC1087">
            <w:pPr>
              <w:spacing w:after="0" w:line="240" w:lineRule="auto"/>
              <w:ind w:left="360"/>
              <w:jc w:val="center"/>
              <w:rPr>
                <w:rFonts w:eastAsia="Times New Roman" w:cs="Times New Roman"/>
                <w:color w:val="000000"/>
              </w:rPr>
            </w:pPr>
          </w:p>
        </w:tc>
        <w:tc>
          <w:tcPr>
            <w:tcW w:w="691" w:type="dxa"/>
            <w:vMerge/>
            <w:tcBorders>
              <w:left w:val="single" w:sz="2" w:space="0" w:color="auto"/>
              <w:bottom w:val="single" w:sz="2" w:space="0" w:color="auto"/>
              <w:right w:val="single" w:sz="2" w:space="0" w:color="auto"/>
            </w:tcBorders>
            <w:vAlign w:val="center"/>
          </w:tcPr>
          <w:p w14:paraId="67F01454" w14:textId="77777777" w:rsidR="00140B7C" w:rsidRPr="00EC4EC4" w:rsidRDefault="00140B7C" w:rsidP="00BC1087">
            <w:pPr>
              <w:spacing w:after="0" w:line="240" w:lineRule="auto"/>
              <w:jc w:val="center"/>
              <w:rPr>
                <w:rFonts w:eastAsia="Times New Roman" w:cs="Times New Roman"/>
                <w:color w:val="000000"/>
              </w:rPr>
            </w:pPr>
          </w:p>
        </w:tc>
        <w:tc>
          <w:tcPr>
            <w:tcW w:w="686" w:type="dxa"/>
            <w:vMerge/>
            <w:tcBorders>
              <w:left w:val="single" w:sz="2" w:space="0" w:color="auto"/>
              <w:bottom w:val="single" w:sz="2" w:space="0" w:color="auto"/>
              <w:right w:val="single" w:sz="2" w:space="0" w:color="auto"/>
            </w:tcBorders>
            <w:vAlign w:val="center"/>
          </w:tcPr>
          <w:p w14:paraId="0048D10E" w14:textId="77777777" w:rsidR="00140B7C" w:rsidRPr="00EC4EC4" w:rsidRDefault="00140B7C" w:rsidP="00BC1087">
            <w:pPr>
              <w:spacing w:after="0" w:line="240" w:lineRule="auto"/>
              <w:jc w:val="center"/>
              <w:rPr>
                <w:rFonts w:eastAsia="Times New Roman" w:cs="Times New Roman"/>
                <w:color w:val="000000"/>
              </w:rPr>
            </w:pPr>
          </w:p>
        </w:tc>
        <w:tc>
          <w:tcPr>
            <w:tcW w:w="692" w:type="dxa"/>
            <w:vMerge/>
            <w:tcBorders>
              <w:left w:val="single" w:sz="2" w:space="0" w:color="auto"/>
              <w:bottom w:val="single" w:sz="2" w:space="0" w:color="auto"/>
              <w:right w:val="single" w:sz="2" w:space="0" w:color="auto"/>
            </w:tcBorders>
            <w:vAlign w:val="center"/>
          </w:tcPr>
          <w:p w14:paraId="0488C734" w14:textId="77777777" w:rsidR="00140B7C" w:rsidRPr="00EC4EC4" w:rsidRDefault="00140B7C" w:rsidP="00BC1087">
            <w:pPr>
              <w:spacing w:after="0" w:line="240" w:lineRule="auto"/>
              <w:ind w:left="3"/>
              <w:jc w:val="center"/>
              <w:rPr>
                <w:rFonts w:eastAsia="Times New Roman" w:cs="Times New Roman"/>
                <w:color w:val="000000"/>
                <w:w w:val="110"/>
                <w:sz w:val="18"/>
                <w:szCs w:val="18"/>
              </w:rPr>
            </w:pPr>
          </w:p>
        </w:tc>
        <w:tc>
          <w:tcPr>
            <w:tcW w:w="695" w:type="dxa"/>
            <w:vMerge/>
            <w:tcBorders>
              <w:left w:val="single" w:sz="2" w:space="0" w:color="auto"/>
              <w:right w:val="single" w:sz="2" w:space="0" w:color="auto"/>
            </w:tcBorders>
            <w:vAlign w:val="center"/>
          </w:tcPr>
          <w:p w14:paraId="0E4EC374"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2118B32D"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49E9BD81"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87</w:t>
            </w:r>
          </w:p>
        </w:tc>
        <w:tc>
          <w:tcPr>
            <w:tcW w:w="687" w:type="dxa"/>
            <w:vMerge/>
            <w:tcBorders>
              <w:left w:val="single" w:sz="2" w:space="0" w:color="auto"/>
              <w:right w:val="single" w:sz="2" w:space="0" w:color="auto"/>
            </w:tcBorders>
            <w:vAlign w:val="center"/>
          </w:tcPr>
          <w:p w14:paraId="2717E3B1" w14:textId="77777777" w:rsidR="00140B7C" w:rsidRPr="00EC4EC4" w:rsidRDefault="00140B7C" w:rsidP="00BC1087">
            <w:pPr>
              <w:spacing w:after="0" w:line="240" w:lineRule="auto"/>
              <w:ind w:left="360"/>
              <w:jc w:val="center"/>
              <w:rPr>
                <w:rFonts w:eastAsia="Times New Roman" w:cs="Times New Roman"/>
                <w:color w:val="000000"/>
                <w:w w:val="120"/>
                <w:sz w:val="11"/>
                <w:szCs w:val="11"/>
              </w:rPr>
            </w:pPr>
          </w:p>
        </w:tc>
        <w:tc>
          <w:tcPr>
            <w:tcW w:w="691" w:type="dxa"/>
            <w:vMerge w:val="restart"/>
            <w:tcBorders>
              <w:top w:val="single" w:sz="2" w:space="0" w:color="auto"/>
              <w:left w:val="single" w:sz="2" w:space="0" w:color="auto"/>
              <w:bottom w:val="nil"/>
              <w:right w:val="single" w:sz="2" w:space="0" w:color="auto"/>
            </w:tcBorders>
            <w:vAlign w:val="center"/>
          </w:tcPr>
          <w:p w14:paraId="5A86D15E"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686" w:type="dxa"/>
            <w:vMerge w:val="restart"/>
            <w:tcBorders>
              <w:top w:val="single" w:sz="2" w:space="0" w:color="auto"/>
              <w:left w:val="single" w:sz="2" w:space="0" w:color="auto"/>
              <w:bottom w:val="nil"/>
              <w:right w:val="single" w:sz="2" w:space="0" w:color="auto"/>
            </w:tcBorders>
            <w:vAlign w:val="center"/>
          </w:tcPr>
          <w:p w14:paraId="011AFBB6" w14:textId="77777777" w:rsidR="00140B7C" w:rsidRPr="00EC4EC4" w:rsidRDefault="00140B7C" w:rsidP="00BC1087">
            <w:pPr>
              <w:spacing w:after="0" w:line="240" w:lineRule="auto"/>
              <w:jc w:val="center"/>
              <w:rPr>
                <w:rFonts w:eastAsia="Times New Roman" w:cs="Times New Roman"/>
                <w:color w:val="000000"/>
                <w:spacing w:val="-6"/>
                <w:w w:val="120"/>
                <w:sz w:val="11"/>
                <w:szCs w:val="11"/>
              </w:rPr>
            </w:pPr>
            <w:r w:rsidRPr="00EC4EC4">
              <w:rPr>
                <w:rFonts w:eastAsia="Times New Roman" w:cs="Times New Roman"/>
                <w:color w:val="000000"/>
                <w:spacing w:val="-6"/>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92" w:type="dxa"/>
            <w:vMerge w:val="restart"/>
            <w:tcBorders>
              <w:top w:val="single" w:sz="2" w:space="0" w:color="auto"/>
              <w:left w:val="single" w:sz="2" w:space="0" w:color="auto"/>
              <w:bottom w:val="nil"/>
              <w:right w:val="single" w:sz="2" w:space="0" w:color="auto"/>
            </w:tcBorders>
            <w:vAlign w:val="center"/>
          </w:tcPr>
          <w:p w14:paraId="03373290" w14:textId="77777777" w:rsidR="00140B7C" w:rsidRPr="00EC4EC4" w:rsidRDefault="00140B7C" w:rsidP="00BC1087">
            <w:pPr>
              <w:spacing w:after="0" w:line="240" w:lineRule="auto"/>
              <w:ind w:left="3"/>
              <w:jc w:val="center"/>
              <w:rPr>
                <w:rFonts w:eastAsia="Times New Roman" w:cs="Times New Roman"/>
                <w:color w:val="000000"/>
                <w:spacing w:val="-6"/>
                <w:w w:val="120"/>
                <w:sz w:val="11"/>
                <w:szCs w:val="11"/>
              </w:rPr>
            </w:pPr>
            <w:r w:rsidRPr="00EC4EC4">
              <w:rPr>
                <w:rFonts w:eastAsia="Times New Roman" w:cs="Times New Roman"/>
                <w:color w:val="000000"/>
                <w:spacing w:val="-6"/>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95" w:type="dxa"/>
            <w:vMerge/>
            <w:tcBorders>
              <w:left w:val="single" w:sz="2" w:space="0" w:color="auto"/>
              <w:bottom w:val="single" w:sz="2" w:space="0" w:color="auto"/>
              <w:right w:val="single" w:sz="2" w:space="0" w:color="auto"/>
            </w:tcBorders>
            <w:vAlign w:val="center"/>
          </w:tcPr>
          <w:p w14:paraId="779B6FB0"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0A8382A3"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4B9E96CB"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58</w:t>
            </w:r>
          </w:p>
        </w:tc>
        <w:tc>
          <w:tcPr>
            <w:tcW w:w="687" w:type="dxa"/>
            <w:vMerge/>
            <w:tcBorders>
              <w:left w:val="single" w:sz="2" w:space="0" w:color="auto"/>
              <w:right w:val="single" w:sz="2" w:space="0" w:color="auto"/>
            </w:tcBorders>
            <w:vAlign w:val="center"/>
          </w:tcPr>
          <w:p w14:paraId="1E0BD499"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1" w:type="dxa"/>
            <w:vMerge/>
            <w:tcBorders>
              <w:top w:val="nil"/>
              <w:left w:val="single" w:sz="2" w:space="0" w:color="auto"/>
              <w:bottom w:val="nil"/>
              <w:right w:val="single" w:sz="2" w:space="0" w:color="auto"/>
            </w:tcBorders>
            <w:vAlign w:val="center"/>
          </w:tcPr>
          <w:p w14:paraId="46E7A5CF"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86" w:type="dxa"/>
            <w:vMerge/>
            <w:tcBorders>
              <w:top w:val="nil"/>
              <w:left w:val="single" w:sz="2" w:space="0" w:color="auto"/>
              <w:bottom w:val="nil"/>
              <w:right w:val="single" w:sz="2" w:space="0" w:color="auto"/>
            </w:tcBorders>
            <w:vAlign w:val="center"/>
          </w:tcPr>
          <w:p w14:paraId="3FD0C0D4"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2" w:type="dxa"/>
            <w:vMerge/>
            <w:tcBorders>
              <w:top w:val="nil"/>
              <w:left w:val="single" w:sz="2" w:space="0" w:color="auto"/>
              <w:bottom w:val="nil"/>
              <w:right w:val="single" w:sz="2" w:space="0" w:color="auto"/>
            </w:tcBorders>
            <w:vAlign w:val="center"/>
          </w:tcPr>
          <w:p w14:paraId="46825B8F"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5" w:type="dxa"/>
            <w:vMerge w:val="restart"/>
            <w:tcBorders>
              <w:top w:val="single" w:sz="2" w:space="0" w:color="auto"/>
              <w:left w:val="single" w:sz="2" w:space="0" w:color="auto"/>
              <w:bottom w:val="nil"/>
              <w:right w:val="single" w:sz="2" w:space="0" w:color="auto"/>
            </w:tcBorders>
            <w:vAlign w:val="center"/>
          </w:tcPr>
          <w:p w14:paraId="11FF4EED" w14:textId="77777777" w:rsidR="00140B7C" w:rsidRPr="00EC4EC4" w:rsidRDefault="00140B7C" w:rsidP="00BC1087">
            <w:pPr>
              <w:spacing w:after="0" w:line="240" w:lineRule="auto"/>
              <w:jc w:val="center"/>
              <w:rPr>
                <w:rFonts w:eastAsia="Times New Roman" w:cs="Times New Roman"/>
                <w:color w:val="000000"/>
                <w:spacing w:val="-2"/>
                <w:w w:val="120"/>
                <w:sz w:val="11"/>
                <w:szCs w:val="11"/>
              </w:rPr>
            </w:pPr>
            <w:r w:rsidRPr="00EC4EC4">
              <w:rPr>
                <w:rFonts w:eastAsia="Times New Roman" w:cs="Times New Roman"/>
                <w:color w:val="000000"/>
                <w:spacing w:val="-2"/>
                <w:w w:val="110"/>
                <w:sz w:val="18"/>
                <w:szCs w:val="18"/>
              </w:rPr>
              <w:t>4</w:t>
            </w:r>
            <w:r w:rsidRPr="00EC4EC4">
              <w:rPr>
                <w:rFonts w:eastAsia="Times New Roman" w:cs="Times New Roman"/>
                <w:color w:val="000000"/>
                <w:spacing w:val="-2"/>
                <w:w w:val="125"/>
                <w:sz w:val="18"/>
                <w:szCs w:val="18"/>
                <w:vertAlign w:val="superscript"/>
              </w:rPr>
              <w:t>1</w:t>
            </w:r>
            <w:r w:rsidRPr="00EC4EC4">
              <w:rPr>
                <w:rFonts w:eastAsia="Times New Roman" w:cs="Times New Roman"/>
                <w:color w:val="000000"/>
                <w:spacing w:val="-2"/>
                <w:w w:val="110"/>
                <w:sz w:val="18"/>
                <w:szCs w:val="18"/>
              </w:rPr>
              <w:t>/</w:t>
            </w:r>
            <w:r w:rsidRPr="00EC4EC4">
              <w:rPr>
                <w:rFonts w:eastAsia="Times New Roman" w:cs="Times New Roman"/>
                <w:color w:val="000000"/>
                <w:spacing w:val="-2"/>
                <w:w w:val="120"/>
                <w:sz w:val="11"/>
                <w:szCs w:val="11"/>
              </w:rPr>
              <w:t>2</w:t>
            </w:r>
          </w:p>
        </w:tc>
      </w:tr>
      <w:tr w:rsidR="00140B7C" w:rsidRPr="00EC4EC4" w14:paraId="5B9B600F"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723764F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40</w:t>
            </w:r>
          </w:p>
        </w:tc>
        <w:tc>
          <w:tcPr>
            <w:tcW w:w="687" w:type="dxa"/>
            <w:vMerge/>
            <w:tcBorders>
              <w:left w:val="single" w:sz="2" w:space="0" w:color="auto"/>
              <w:bottom w:val="single" w:sz="2" w:space="0" w:color="auto"/>
              <w:right w:val="single" w:sz="2" w:space="0" w:color="auto"/>
            </w:tcBorders>
            <w:vAlign w:val="center"/>
          </w:tcPr>
          <w:p w14:paraId="5228D841"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1" w:type="dxa"/>
            <w:vMerge/>
            <w:tcBorders>
              <w:top w:val="nil"/>
              <w:left w:val="single" w:sz="2" w:space="0" w:color="auto"/>
              <w:bottom w:val="single" w:sz="2" w:space="0" w:color="auto"/>
              <w:right w:val="single" w:sz="2" w:space="0" w:color="auto"/>
            </w:tcBorders>
            <w:vAlign w:val="center"/>
          </w:tcPr>
          <w:p w14:paraId="03FD19F2"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86" w:type="dxa"/>
            <w:vMerge/>
            <w:tcBorders>
              <w:top w:val="nil"/>
              <w:left w:val="single" w:sz="2" w:space="0" w:color="auto"/>
              <w:bottom w:val="single" w:sz="2" w:space="0" w:color="auto"/>
              <w:right w:val="single" w:sz="2" w:space="0" w:color="auto"/>
            </w:tcBorders>
            <w:vAlign w:val="center"/>
          </w:tcPr>
          <w:p w14:paraId="1FD914B6"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2" w:type="dxa"/>
            <w:vMerge/>
            <w:tcBorders>
              <w:top w:val="nil"/>
              <w:left w:val="single" w:sz="2" w:space="0" w:color="auto"/>
              <w:bottom w:val="single" w:sz="2" w:space="0" w:color="auto"/>
              <w:right w:val="single" w:sz="2" w:space="0" w:color="auto"/>
            </w:tcBorders>
            <w:vAlign w:val="center"/>
          </w:tcPr>
          <w:p w14:paraId="65FC3BA5"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5" w:type="dxa"/>
            <w:vMerge/>
            <w:tcBorders>
              <w:top w:val="nil"/>
              <w:left w:val="single" w:sz="2" w:space="0" w:color="auto"/>
              <w:bottom w:val="single" w:sz="2" w:space="0" w:color="auto"/>
              <w:right w:val="single" w:sz="2" w:space="0" w:color="auto"/>
            </w:tcBorders>
            <w:vAlign w:val="center"/>
          </w:tcPr>
          <w:p w14:paraId="18890541"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r>
      <w:tr w:rsidR="00140B7C" w:rsidRPr="00EC4EC4" w14:paraId="53FD0B1B"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72C10A4B"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W10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112</w:t>
            </w:r>
          </w:p>
        </w:tc>
        <w:tc>
          <w:tcPr>
            <w:tcW w:w="687" w:type="dxa"/>
            <w:vMerge w:val="restart"/>
            <w:tcBorders>
              <w:top w:val="single" w:sz="2" w:space="0" w:color="auto"/>
              <w:left w:val="single" w:sz="2" w:space="0" w:color="auto"/>
              <w:right w:val="single" w:sz="2" w:space="0" w:color="auto"/>
            </w:tcBorders>
            <w:vAlign w:val="center"/>
          </w:tcPr>
          <w:p w14:paraId="72B4E032"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6"/>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91" w:type="dxa"/>
            <w:vMerge w:val="restart"/>
            <w:tcBorders>
              <w:top w:val="single" w:sz="2" w:space="0" w:color="auto"/>
              <w:left w:val="single" w:sz="2" w:space="0" w:color="auto"/>
              <w:right w:val="single" w:sz="2" w:space="0" w:color="auto"/>
            </w:tcBorders>
            <w:vAlign w:val="center"/>
          </w:tcPr>
          <w:p w14:paraId="2009CF3C"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86" w:type="dxa"/>
            <w:vMerge w:val="restart"/>
            <w:tcBorders>
              <w:top w:val="single" w:sz="2" w:space="0" w:color="auto"/>
              <w:left w:val="single" w:sz="2" w:space="0" w:color="auto"/>
              <w:right w:val="single" w:sz="2" w:space="0" w:color="auto"/>
            </w:tcBorders>
            <w:vAlign w:val="center"/>
          </w:tcPr>
          <w:p w14:paraId="335FE805"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692" w:type="dxa"/>
            <w:vMerge w:val="restart"/>
            <w:tcBorders>
              <w:top w:val="single" w:sz="2" w:space="0" w:color="auto"/>
              <w:left w:val="single" w:sz="2" w:space="0" w:color="auto"/>
              <w:right w:val="single" w:sz="2" w:space="0" w:color="auto"/>
            </w:tcBorders>
            <w:vAlign w:val="center"/>
          </w:tcPr>
          <w:p w14:paraId="0154DCA4" w14:textId="77777777" w:rsidR="00140B7C" w:rsidRPr="00EC4EC4" w:rsidRDefault="00140B7C" w:rsidP="00BC1087">
            <w:pPr>
              <w:spacing w:after="0" w:line="240" w:lineRule="auto"/>
              <w:ind w:left="3"/>
              <w:jc w:val="center"/>
              <w:rPr>
                <w:rFonts w:eastAsia="Times New Roman" w:cs="Times New Roman"/>
                <w:color w:val="000000"/>
              </w:rPr>
            </w:pPr>
            <w:r w:rsidRPr="00EC4EC4">
              <w:rPr>
                <w:rFonts w:eastAsia="Times New Roman" w:cs="Times New Roman"/>
                <w:color w:val="000000"/>
                <w:w w:val="110"/>
                <w:sz w:val="18"/>
                <w:szCs w:val="18"/>
              </w:rPr>
              <w:t>3</w:t>
            </w:r>
          </w:p>
        </w:tc>
        <w:tc>
          <w:tcPr>
            <w:tcW w:w="695" w:type="dxa"/>
            <w:tcBorders>
              <w:top w:val="single" w:sz="2" w:space="0" w:color="auto"/>
              <w:left w:val="single" w:sz="2" w:space="0" w:color="auto"/>
              <w:bottom w:val="single" w:sz="2" w:space="0" w:color="auto"/>
              <w:right w:val="single" w:sz="2" w:space="0" w:color="auto"/>
            </w:tcBorders>
            <w:vAlign w:val="center"/>
          </w:tcPr>
          <w:p w14:paraId="2FA1245F"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24AE694C"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2D9FF1CD"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88</w:t>
            </w:r>
          </w:p>
        </w:tc>
        <w:tc>
          <w:tcPr>
            <w:tcW w:w="687" w:type="dxa"/>
            <w:vMerge/>
            <w:tcBorders>
              <w:left w:val="single" w:sz="2" w:space="0" w:color="auto"/>
              <w:right w:val="single" w:sz="2" w:space="0" w:color="auto"/>
            </w:tcBorders>
            <w:vAlign w:val="center"/>
          </w:tcPr>
          <w:p w14:paraId="6C0BFF51" w14:textId="77777777" w:rsidR="00140B7C" w:rsidRPr="00EC4EC4" w:rsidRDefault="00140B7C" w:rsidP="00BC1087">
            <w:pPr>
              <w:spacing w:after="0" w:line="240" w:lineRule="auto"/>
              <w:jc w:val="center"/>
              <w:rPr>
                <w:rFonts w:eastAsia="Times New Roman" w:cs="Times New Roman"/>
                <w:color w:val="000000"/>
              </w:rPr>
            </w:pPr>
          </w:p>
        </w:tc>
        <w:tc>
          <w:tcPr>
            <w:tcW w:w="691" w:type="dxa"/>
            <w:vMerge/>
            <w:tcBorders>
              <w:left w:val="single" w:sz="2" w:space="0" w:color="auto"/>
              <w:bottom w:val="single" w:sz="2" w:space="0" w:color="auto"/>
              <w:right w:val="single" w:sz="2" w:space="0" w:color="auto"/>
            </w:tcBorders>
            <w:vAlign w:val="center"/>
          </w:tcPr>
          <w:p w14:paraId="234EA8F5" w14:textId="77777777" w:rsidR="00140B7C" w:rsidRPr="00EC4EC4" w:rsidRDefault="00140B7C" w:rsidP="00BC1087">
            <w:pPr>
              <w:spacing w:after="0" w:line="240" w:lineRule="auto"/>
              <w:jc w:val="center"/>
              <w:rPr>
                <w:rFonts w:eastAsia="Times New Roman" w:cs="Times New Roman"/>
                <w:color w:val="000000"/>
                <w:w w:val="120"/>
                <w:sz w:val="11"/>
                <w:szCs w:val="11"/>
              </w:rPr>
            </w:pPr>
          </w:p>
        </w:tc>
        <w:tc>
          <w:tcPr>
            <w:tcW w:w="686" w:type="dxa"/>
            <w:vMerge/>
            <w:tcBorders>
              <w:left w:val="single" w:sz="2" w:space="0" w:color="auto"/>
              <w:bottom w:val="single" w:sz="2" w:space="0" w:color="auto"/>
              <w:right w:val="single" w:sz="2" w:space="0" w:color="auto"/>
            </w:tcBorders>
            <w:vAlign w:val="center"/>
          </w:tcPr>
          <w:p w14:paraId="1BB49373"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2" w:type="dxa"/>
            <w:vMerge/>
            <w:tcBorders>
              <w:left w:val="single" w:sz="2" w:space="0" w:color="auto"/>
              <w:right w:val="single" w:sz="2" w:space="0" w:color="auto"/>
            </w:tcBorders>
            <w:vAlign w:val="center"/>
          </w:tcPr>
          <w:p w14:paraId="79897173" w14:textId="77777777" w:rsidR="00140B7C" w:rsidRPr="00EC4EC4" w:rsidRDefault="00140B7C" w:rsidP="00BC1087">
            <w:pPr>
              <w:spacing w:after="0" w:line="240" w:lineRule="auto"/>
              <w:ind w:left="3"/>
              <w:jc w:val="center"/>
              <w:rPr>
                <w:rFonts w:eastAsia="Times New Roman" w:cs="Times New Roman"/>
                <w:color w:val="000000"/>
                <w:w w:val="110"/>
                <w:sz w:val="18"/>
                <w:szCs w:val="18"/>
              </w:rPr>
            </w:pPr>
          </w:p>
        </w:tc>
        <w:tc>
          <w:tcPr>
            <w:tcW w:w="695" w:type="dxa"/>
            <w:vMerge w:val="restart"/>
            <w:tcBorders>
              <w:top w:val="single" w:sz="2" w:space="0" w:color="auto"/>
              <w:left w:val="single" w:sz="2" w:space="0" w:color="auto"/>
              <w:right w:val="single" w:sz="2" w:space="0" w:color="auto"/>
            </w:tcBorders>
            <w:vAlign w:val="center"/>
          </w:tcPr>
          <w:p w14:paraId="28D23E57"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4</w:t>
            </w:r>
          </w:p>
        </w:tc>
      </w:tr>
      <w:tr w:rsidR="00140B7C" w:rsidRPr="00EC4EC4" w14:paraId="1A424865"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520A4C58"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77</w:t>
            </w:r>
          </w:p>
        </w:tc>
        <w:tc>
          <w:tcPr>
            <w:tcW w:w="687" w:type="dxa"/>
            <w:vMerge/>
            <w:tcBorders>
              <w:left w:val="single" w:sz="2" w:space="0" w:color="auto"/>
              <w:right w:val="single" w:sz="2" w:space="0" w:color="auto"/>
            </w:tcBorders>
            <w:vAlign w:val="center"/>
          </w:tcPr>
          <w:p w14:paraId="701FAD99" w14:textId="77777777" w:rsidR="00140B7C" w:rsidRPr="00EC4EC4" w:rsidRDefault="00140B7C" w:rsidP="00BC1087">
            <w:pPr>
              <w:spacing w:after="0" w:line="240" w:lineRule="auto"/>
              <w:jc w:val="center"/>
              <w:rPr>
                <w:rFonts w:eastAsia="Times New Roman" w:cs="Times New Roman"/>
                <w:color w:val="000000"/>
                <w:spacing w:val="-6"/>
                <w:w w:val="120"/>
                <w:sz w:val="11"/>
                <w:szCs w:val="11"/>
              </w:rPr>
            </w:pPr>
          </w:p>
        </w:tc>
        <w:tc>
          <w:tcPr>
            <w:tcW w:w="691" w:type="dxa"/>
            <w:vMerge w:val="restart"/>
            <w:tcBorders>
              <w:top w:val="single" w:sz="2" w:space="0" w:color="auto"/>
              <w:left w:val="single" w:sz="2" w:space="0" w:color="auto"/>
              <w:right w:val="single" w:sz="2" w:space="0" w:color="auto"/>
            </w:tcBorders>
            <w:vAlign w:val="center"/>
          </w:tcPr>
          <w:p w14:paraId="0A53BA6D"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686" w:type="dxa"/>
            <w:vMerge w:val="restart"/>
            <w:tcBorders>
              <w:top w:val="single" w:sz="2" w:space="0" w:color="auto"/>
              <w:left w:val="single" w:sz="2" w:space="0" w:color="auto"/>
              <w:right w:val="single" w:sz="2" w:space="0" w:color="auto"/>
            </w:tcBorders>
            <w:vAlign w:val="center"/>
          </w:tcPr>
          <w:p w14:paraId="4923942E"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92" w:type="dxa"/>
            <w:vMerge/>
            <w:tcBorders>
              <w:left w:val="single" w:sz="2" w:space="0" w:color="auto"/>
              <w:bottom w:val="single" w:sz="2" w:space="0" w:color="auto"/>
              <w:right w:val="single" w:sz="2" w:space="0" w:color="auto"/>
            </w:tcBorders>
            <w:vAlign w:val="center"/>
          </w:tcPr>
          <w:p w14:paraId="74F88578" w14:textId="77777777" w:rsidR="00140B7C" w:rsidRPr="00EC4EC4" w:rsidRDefault="00140B7C" w:rsidP="00BC1087">
            <w:pPr>
              <w:spacing w:after="0" w:line="240" w:lineRule="auto"/>
              <w:ind w:left="3"/>
              <w:jc w:val="center"/>
              <w:rPr>
                <w:rFonts w:eastAsia="Times New Roman" w:cs="Times New Roman"/>
                <w:color w:val="000000"/>
              </w:rPr>
            </w:pPr>
          </w:p>
        </w:tc>
        <w:tc>
          <w:tcPr>
            <w:tcW w:w="695" w:type="dxa"/>
            <w:vMerge/>
            <w:tcBorders>
              <w:left w:val="single" w:sz="2" w:space="0" w:color="auto"/>
              <w:right w:val="single" w:sz="2" w:space="0" w:color="auto"/>
            </w:tcBorders>
            <w:vAlign w:val="center"/>
          </w:tcPr>
          <w:p w14:paraId="7D2547D9"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006C3F04"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7BE0083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54</w:t>
            </w:r>
          </w:p>
        </w:tc>
        <w:tc>
          <w:tcPr>
            <w:tcW w:w="687" w:type="dxa"/>
            <w:vMerge/>
            <w:tcBorders>
              <w:left w:val="single" w:sz="2" w:space="0" w:color="auto"/>
              <w:right w:val="single" w:sz="2" w:space="0" w:color="auto"/>
            </w:tcBorders>
            <w:vAlign w:val="center"/>
          </w:tcPr>
          <w:p w14:paraId="5CA7B7F6" w14:textId="77777777" w:rsidR="00140B7C" w:rsidRPr="00EC4EC4" w:rsidRDefault="00140B7C" w:rsidP="00BC1087">
            <w:pPr>
              <w:spacing w:after="0" w:line="240" w:lineRule="auto"/>
              <w:jc w:val="center"/>
              <w:rPr>
                <w:rFonts w:eastAsia="Times New Roman" w:cs="Times New Roman"/>
                <w:color w:val="000000"/>
              </w:rPr>
            </w:pPr>
          </w:p>
        </w:tc>
        <w:tc>
          <w:tcPr>
            <w:tcW w:w="691" w:type="dxa"/>
            <w:vMerge/>
            <w:tcBorders>
              <w:left w:val="single" w:sz="2" w:space="0" w:color="auto"/>
              <w:right w:val="single" w:sz="2" w:space="0" w:color="auto"/>
            </w:tcBorders>
            <w:vAlign w:val="center"/>
          </w:tcPr>
          <w:p w14:paraId="294948FC"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86" w:type="dxa"/>
            <w:vMerge/>
            <w:tcBorders>
              <w:left w:val="single" w:sz="2" w:space="0" w:color="auto"/>
              <w:right w:val="single" w:sz="2" w:space="0" w:color="auto"/>
            </w:tcBorders>
            <w:vAlign w:val="center"/>
          </w:tcPr>
          <w:p w14:paraId="7B81C59B" w14:textId="77777777" w:rsidR="00140B7C" w:rsidRPr="00EC4EC4" w:rsidRDefault="00140B7C" w:rsidP="00BC1087">
            <w:pPr>
              <w:spacing w:after="0" w:line="240" w:lineRule="auto"/>
              <w:jc w:val="center"/>
              <w:rPr>
                <w:rFonts w:eastAsia="Times New Roman" w:cs="Times New Roman"/>
                <w:color w:val="000000"/>
                <w:w w:val="120"/>
                <w:sz w:val="11"/>
                <w:szCs w:val="11"/>
              </w:rPr>
            </w:pPr>
          </w:p>
        </w:tc>
        <w:tc>
          <w:tcPr>
            <w:tcW w:w="692" w:type="dxa"/>
            <w:vMerge w:val="restart"/>
            <w:tcBorders>
              <w:top w:val="single" w:sz="2" w:space="0" w:color="auto"/>
              <w:left w:val="single" w:sz="2" w:space="0" w:color="auto"/>
              <w:right w:val="single" w:sz="2" w:space="0" w:color="auto"/>
            </w:tcBorders>
            <w:vAlign w:val="center"/>
          </w:tcPr>
          <w:p w14:paraId="3C86D840" w14:textId="77777777" w:rsidR="00140B7C" w:rsidRPr="00EC4EC4" w:rsidRDefault="00140B7C" w:rsidP="00BC1087">
            <w:pPr>
              <w:spacing w:after="0" w:line="240" w:lineRule="auto"/>
              <w:ind w:left="3"/>
              <w:jc w:val="center"/>
              <w:rPr>
                <w:rFonts w:eastAsia="Times New Roman" w:cs="Times New Roman"/>
                <w:color w:val="000000"/>
                <w:w w:val="120"/>
                <w:sz w:val="11"/>
                <w:szCs w:val="11"/>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95" w:type="dxa"/>
            <w:vMerge/>
            <w:tcBorders>
              <w:left w:val="single" w:sz="2" w:space="0" w:color="auto"/>
              <w:bottom w:val="single" w:sz="2" w:space="0" w:color="auto"/>
              <w:right w:val="single" w:sz="2" w:space="0" w:color="auto"/>
            </w:tcBorders>
            <w:vAlign w:val="center"/>
          </w:tcPr>
          <w:p w14:paraId="1C22DC5B"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2F19E1B7"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53BA3985"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33</w:t>
            </w:r>
          </w:p>
        </w:tc>
        <w:tc>
          <w:tcPr>
            <w:tcW w:w="687" w:type="dxa"/>
            <w:vMerge/>
            <w:tcBorders>
              <w:left w:val="single" w:sz="2" w:space="0" w:color="auto"/>
              <w:bottom w:val="single" w:sz="2" w:space="0" w:color="auto"/>
              <w:right w:val="single" w:sz="2" w:space="0" w:color="auto"/>
            </w:tcBorders>
            <w:vAlign w:val="center"/>
          </w:tcPr>
          <w:p w14:paraId="2A3D7E95" w14:textId="77777777" w:rsidR="00140B7C" w:rsidRPr="00EC4EC4" w:rsidRDefault="00140B7C" w:rsidP="00BC1087">
            <w:pPr>
              <w:spacing w:after="0" w:line="240" w:lineRule="auto"/>
              <w:jc w:val="center"/>
              <w:rPr>
                <w:rFonts w:eastAsia="Times New Roman" w:cs="Times New Roman"/>
                <w:color w:val="000000"/>
              </w:rPr>
            </w:pPr>
          </w:p>
        </w:tc>
        <w:tc>
          <w:tcPr>
            <w:tcW w:w="691" w:type="dxa"/>
            <w:vMerge/>
            <w:tcBorders>
              <w:left w:val="single" w:sz="2" w:space="0" w:color="auto"/>
              <w:bottom w:val="single" w:sz="2" w:space="0" w:color="auto"/>
              <w:right w:val="single" w:sz="2" w:space="0" w:color="auto"/>
            </w:tcBorders>
            <w:vAlign w:val="center"/>
          </w:tcPr>
          <w:p w14:paraId="142DE237" w14:textId="77777777" w:rsidR="00140B7C" w:rsidRPr="00EC4EC4" w:rsidRDefault="00140B7C" w:rsidP="00BC1087">
            <w:pPr>
              <w:spacing w:after="0" w:line="240" w:lineRule="auto"/>
              <w:jc w:val="center"/>
              <w:rPr>
                <w:rFonts w:eastAsia="Times New Roman" w:cs="Times New Roman"/>
                <w:color w:val="000000"/>
              </w:rPr>
            </w:pPr>
          </w:p>
        </w:tc>
        <w:tc>
          <w:tcPr>
            <w:tcW w:w="686" w:type="dxa"/>
            <w:vMerge/>
            <w:tcBorders>
              <w:left w:val="single" w:sz="2" w:space="0" w:color="auto"/>
              <w:bottom w:val="single" w:sz="2" w:space="0" w:color="auto"/>
              <w:right w:val="single" w:sz="2" w:space="0" w:color="auto"/>
            </w:tcBorders>
            <w:vAlign w:val="center"/>
          </w:tcPr>
          <w:p w14:paraId="3F4C016B" w14:textId="77777777" w:rsidR="00140B7C" w:rsidRPr="00EC4EC4" w:rsidRDefault="00140B7C" w:rsidP="00BC1087">
            <w:pPr>
              <w:spacing w:after="0" w:line="240" w:lineRule="auto"/>
              <w:jc w:val="center"/>
              <w:rPr>
                <w:rFonts w:eastAsia="Times New Roman" w:cs="Times New Roman"/>
                <w:color w:val="000000"/>
              </w:rPr>
            </w:pPr>
          </w:p>
        </w:tc>
        <w:tc>
          <w:tcPr>
            <w:tcW w:w="692" w:type="dxa"/>
            <w:vMerge/>
            <w:tcBorders>
              <w:left w:val="single" w:sz="2" w:space="0" w:color="auto"/>
              <w:bottom w:val="single" w:sz="2" w:space="0" w:color="auto"/>
              <w:right w:val="single" w:sz="2" w:space="0" w:color="auto"/>
            </w:tcBorders>
            <w:vAlign w:val="center"/>
          </w:tcPr>
          <w:p w14:paraId="61DF2A81" w14:textId="77777777" w:rsidR="00140B7C" w:rsidRPr="00EC4EC4" w:rsidRDefault="00140B7C" w:rsidP="00BC1087">
            <w:pPr>
              <w:spacing w:after="0" w:line="240" w:lineRule="auto"/>
              <w:ind w:left="3"/>
              <w:jc w:val="center"/>
              <w:rPr>
                <w:rFonts w:eastAsia="Times New Roman" w:cs="Times New Roman"/>
                <w:color w:val="000000"/>
              </w:rPr>
            </w:pPr>
          </w:p>
        </w:tc>
        <w:tc>
          <w:tcPr>
            <w:tcW w:w="695" w:type="dxa"/>
            <w:tcBorders>
              <w:top w:val="single" w:sz="2" w:space="0" w:color="auto"/>
              <w:left w:val="single" w:sz="2" w:space="0" w:color="auto"/>
              <w:bottom w:val="single" w:sz="2" w:space="0" w:color="auto"/>
              <w:right w:val="single" w:sz="2" w:space="0" w:color="auto"/>
            </w:tcBorders>
            <w:vAlign w:val="center"/>
          </w:tcPr>
          <w:p w14:paraId="496E7F63"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4</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6D4B7600"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0EF500C6" w14:textId="77777777" w:rsidR="00140B7C" w:rsidRPr="00EC4EC4" w:rsidRDefault="00140B7C" w:rsidP="00BC1087">
            <w:pPr>
              <w:spacing w:after="0" w:line="240" w:lineRule="auto"/>
              <w:jc w:val="center"/>
              <w:rPr>
                <w:rFonts w:eastAsia="Times New Roman" w:cs="Times New Roman"/>
                <w:color w:val="000000"/>
                <w:spacing w:val="-2"/>
                <w:w w:val="110"/>
                <w:sz w:val="18"/>
                <w:szCs w:val="18"/>
              </w:rPr>
            </w:pPr>
            <w:r w:rsidRPr="00EC4EC4">
              <w:rPr>
                <w:rFonts w:eastAsia="Times New Roman" w:cs="Times New Roman"/>
                <w:color w:val="000000"/>
                <w:spacing w:val="-2"/>
                <w:w w:val="110"/>
                <w:sz w:val="18"/>
                <w:szCs w:val="18"/>
              </w:rPr>
              <w:t xml:space="preserve">W8 </w:t>
            </w:r>
            <w:r w:rsidRPr="00EC4EC4">
              <w:rPr>
                <w:rFonts w:eastAsia="Times New Roman" w:cs="Times New Roman"/>
                <w:color w:val="000000"/>
                <w:spacing w:val="-8"/>
                <w:w w:val="110"/>
                <w:sz w:val="18"/>
                <w:szCs w:val="18"/>
              </w:rPr>
              <w:t xml:space="preserve">× </w:t>
            </w:r>
            <w:r w:rsidRPr="00EC4EC4">
              <w:rPr>
                <w:rFonts w:eastAsia="Times New Roman" w:cs="Times New Roman"/>
                <w:color w:val="000000"/>
                <w:spacing w:val="-2"/>
                <w:w w:val="110"/>
                <w:sz w:val="18"/>
                <w:szCs w:val="18"/>
              </w:rPr>
              <w:t>67</w:t>
            </w:r>
          </w:p>
        </w:tc>
        <w:tc>
          <w:tcPr>
            <w:tcW w:w="687" w:type="dxa"/>
            <w:vMerge w:val="restart"/>
            <w:tcBorders>
              <w:top w:val="single" w:sz="2" w:space="0" w:color="auto"/>
              <w:left w:val="single" w:sz="2" w:space="0" w:color="auto"/>
              <w:right w:val="single" w:sz="2" w:space="0" w:color="auto"/>
            </w:tcBorders>
            <w:vAlign w:val="center"/>
          </w:tcPr>
          <w:p w14:paraId="682B76D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8"/>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91" w:type="dxa"/>
            <w:tcBorders>
              <w:top w:val="single" w:sz="2" w:space="0" w:color="auto"/>
              <w:left w:val="single" w:sz="2" w:space="0" w:color="auto"/>
              <w:bottom w:val="single" w:sz="2" w:space="0" w:color="auto"/>
              <w:right w:val="single" w:sz="2" w:space="0" w:color="auto"/>
            </w:tcBorders>
            <w:vAlign w:val="center"/>
          </w:tcPr>
          <w:p w14:paraId="667BA1F9"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86" w:type="dxa"/>
            <w:tcBorders>
              <w:top w:val="single" w:sz="2" w:space="0" w:color="auto"/>
              <w:left w:val="single" w:sz="2" w:space="0" w:color="auto"/>
              <w:bottom w:val="single" w:sz="2" w:space="0" w:color="auto"/>
              <w:right w:val="single" w:sz="2" w:space="0" w:color="auto"/>
            </w:tcBorders>
            <w:vAlign w:val="center"/>
          </w:tcPr>
          <w:p w14:paraId="3001B54F"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692" w:type="dxa"/>
            <w:tcBorders>
              <w:top w:val="single" w:sz="2" w:space="0" w:color="auto"/>
              <w:left w:val="single" w:sz="2" w:space="0" w:color="auto"/>
              <w:bottom w:val="single" w:sz="2" w:space="0" w:color="auto"/>
              <w:right w:val="single" w:sz="2" w:space="0" w:color="auto"/>
            </w:tcBorders>
            <w:vAlign w:val="center"/>
          </w:tcPr>
          <w:p w14:paraId="4C956819" w14:textId="77777777" w:rsidR="00140B7C" w:rsidRPr="00EC4EC4" w:rsidRDefault="00140B7C" w:rsidP="00BC1087">
            <w:pPr>
              <w:spacing w:after="0" w:line="240" w:lineRule="auto"/>
              <w:ind w:left="3"/>
              <w:jc w:val="center"/>
              <w:rPr>
                <w:rFonts w:eastAsia="Times New Roman" w:cs="Times New Roman"/>
                <w:color w:val="000000"/>
                <w:w w:val="110"/>
                <w:sz w:val="18"/>
                <w:szCs w:val="18"/>
              </w:rPr>
            </w:pPr>
            <w:r w:rsidRPr="00EC4EC4">
              <w:rPr>
                <w:rFonts w:eastAsia="Times New Roman" w:cs="Times New Roman"/>
                <w:color w:val="000000"/>
                <w:w w:val="110"/>
                <w:sz w:val="18"/>
                <w:szCs w:val="18"/>
              </w:rPr>
              <w:t>3</w:t>
            </w:r>
          </w:p>
        </w:tc>
        <w:tc>
          <w:tcPr>
            <w:tcW w:w="695" w:type="dxa"/>
            <w:vMerge w:val="restart"/>
            <w:tcBorders>
              <w:top w:val="single" w:sz="2" w:space="0" w:color="auto"/>
              <w:left w:val="single" w:sz="2" w:space="0" w:color="auto"/>
              <w:right w:val="single" w:sz="2" w:space="0" w:color="auto"/>
            </w:tcBorders>
            <w:vAlign w:val="center"/>
          </w:tcPr>
          <w:p w14:paraId="1AC75D1A"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4</w:t>
            </w:r>
          </w:p>
        </w:tc>
      </w:tr>
      <w:tr w:rsidR="00140B7C" w:rsidRPr="00EC4EC4" w14:paraId="7010C537"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02FAC9C0"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58</w:t>
            </w:r>
          </w:p>
        </w:tc>
        <w:tc>
          <w:tcPr>
            <w:tcW w:w="687" w:type="dxa"/>
            <w:vMerge/>
            <w:tcBorders>
              <w:left w:val="single" w:sz="2" w:space="0" w:color="auto"/>
              <w:right w:val="single" w:sz="2" w:space="0" w:color="auto"/>
            </w:tcBorders>
            <w:vAlign w:val="center"/>
          </w:tcPr>
          <w:p w14:paraId="6A1A8604" w14:textId="77777777" w:rsidR="00140B7C" w:rsidRPr="00EC4EC4" w:rsidRDefault="00140B7C" w:rsidP="00BC1087">
            <w:pPr>
              <w:spacing w:after="0" w:line="240" w:lineRule="auto"/>
              <w:jc w:val="center"/>
              <w:rPr>
                <w:rFonts w:eastAsia="Times New Roman" w:cs="Times New Roman"/>
                <w:color w:val="000000"/>
              </w:rPr>
            </w:pPr>
          </w:p>
        </w:tc>
        <w:tc>
          <w:tcPr>
            <w:tcW w:w="691" w:type="dxa"/>
            <w:vMerge w:val="restart"/>
            <w:tcBorders>
              <w:top w:val="single" w:sz="2" w:space="0" w:color="auto"/>
              <w:left w:val="single" w:sz="2" w:space="0" w:color="auto"/>
              <w:right w:val="single" w:sz="2" w:space="0" w:color="auto"/>
            </w:tcBorders>
            <w:vAlign w:val="center"/>
          </w:tcPr>
          <w:p w14:paraId="16943B4C"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686" w:type="dxa"/>
            <w:vMerge w:val="restart"/>
            <w:tcBorders>
              <w:top w:val="single" w:sz="2" w:space="0" w:color="auto"/>
              <w:left w:val="single" w:sz="2" w:space="0" w:color="auto"/>
              <w:right w:val="single" w:sz="2" w:space="0" w:color="auto"/>
            </w:tcBorders>
            <w:vAlign w:val="center"/>
          </w:tcPr>
          <w:p w14:paraId="4FB3960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6"/>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692" w:type="dxa"/>
            <w:vMerge w:val="restart"/>
            <w:tcBorders>
              <w:top w:val="single" w:sz="2" w:space="0" w:color="auto"/>
              <w:left w:val="single" w:sz="2" w:space="0" w:color="auto"/>
              <w:right w:val="single" w:sz="2" w:space="0" w:color="auto"/>
            </w:tcBorders>
            <w:vAlign w:val="center"/>
          </w:tcPr>
          <w:p w14:paraId="3790101E" w14:textId="77777777" w:rsidR="00140B7C" w:rsidRPr="00EC4EC4" w:rsidRDefault="00140B7C" w:rsidP="00BC1087">
            <w:pPr>
              <w:spacing w:after="0" w:line="240" w:lineRule="auto"/>
              <w:ind w:left="3"/>
              <w:jc w:val="center"/>
              <w:rPr>
                <w:rFonts w:eastAsia="Times New Roman" w:cs="Times New Roman"/>
                <w:color w:val="000000"/>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95" w:type="dxa"/>
            <w:vMerge/>
            <w:tcBorders>
              <w:left w:val="single" w:sz="2" w:space="0" w:color="auto"/>
              <w:right w:val="single" w:sz="2" w:space="0" w:color="auto"/>
            </w:tcBorders>
            <w:vAlign w:val="center"/>
          </w:tcPr>
          <w:p w14:paraId="2CC72CDC"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5F344476"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4E6AD241"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48</w:t>
            </w:r>
          </w:p>
        </w:tc>
        <w:tc>
          <w:tcPr>
            <w:tcW w:w="687" w:type="dxa"/>
            <w:vMerge/>
            <w:tcBorders>
              <w:left w:val="single" w:sz="2" w:space="0" w:color="auto"/>
              <w:right w:val="single" w:sz="2" w:space="0" w:color="auto"/>
            </w:tcBorders>
            <w:vAlign w:val="center"/>
          </w:tcPr>
          <w:p w14:paraId="7310EA71" w14:textId="77777777" w:rsidR="00140B7C" w:rsidRPr="00EC4EC4" w:rsidRDefault="00140B7C" w:rsidP="00BC1087">
            <w:pPr>
              <w:spacing w:after="0" w:line="240" w:lineRule="auto"/>
              <w:jc w:val="center"/>
              <w:rPr>
                <w:rFonts w:eastAsia="Times New Roman" w:cs="Times New Roman"/>
                <w:color w:val="000000"/>
                <w:spacing w:val="-8"/>
                <w:w w:val="120"/>
                <w:sz w:val="11"/>
                <w:szCs w:val="11"/>
              </w:rPr>
            </w:pPr>
          </w:p>
        </w:tc>
        <w:tc>
          <w:tcPr>
            <w:tcW w:w="691" w:type="dxa"/>
            <w:vMerge/>
            <w:tcBorders>
              <w:left w:val="single" w:sz="2" w:space="0" w:color="auto"/>
              <w:right w:val="single" w:sz="2" w:space="0" w:color="auto"/>
            </w:tcBorders>
            <w:vAlign w:val="center"/>
          </w:tcPr>
          <w:p w14:paraId="6AFEE14B"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86" w:type="dxa"/>
            <w:vMerge/>
            <w:tcBorders>
              <w:left w:val="single" w:sz="2" w:space="0" w:color="auto"/>
              <w:right w:val="single" w:sz="2" w:space="0" w:color="auto"/>
            </w:tcBorders>
            <w:vAlign w:val="center"/>
          </w:tcPr>
          <w:p w14:paraId="4F15D7FB" w14:textId="77777777" w:rsidR="00140B7C" w:rsidRPr="00EC4EC4" w:rsidRDefault="00140B7C" w:rsidP="00BC1087">
            <w:pPr>
              <w:spacing w:after="0" w:line="240" w:lineRule="auto"/>
              <w:jc w:val="center"/>
              <w:rPr>
                <w:rFonts w:eastAsia="Times New Roman" w:cs="Times New Roman"/>
                <w:color w:val="000000"/>
                <w:spacing w:val="-6"/>
                <w:w w:val="120"/>
                <w:sz w:val="11"/>
                <w:szCs w:val="11"/>
              </w:rPr>
            </w:pPr>
          </w:p>
        </w:tc>
        <w:tc>
          <w:tcPr>
            <w:tcW w:w="692" w:type="dxa"/>
            <w:vMerge/>
            <w:tcBorders>
              <w:left w:val="single" w:sz="2" w:space="0" w:color="auto"/>
              <w:right w:val="single" w:sz="2" w:space="0" w:color="auto"/>
            </w:tcBorders>
            <w:vAlign w:val="center"/>
          </w:tcPr>
          <w:p w14:paraId="140B9B04" w14:textId="77777777" w:rsidR="00140B7C" w:rsidRPr="00EC4EC4" w:rsidRDefault="00140B7C" w:rsidP="00BC1087">
            <w:pPr>
              <w:spacing w:after="0" w:line="240" w:lineRule="auto"/>
              <w:ind w:left="3"/>
              <w:jc w:val="center"/>
              <w:rPr>
                <w:rFonts w:eastAsia="Times New Roman" w:cs="Times New Roman"/>
                <w:color w:val="000000"/>
                <w:w w:val="120"/>
                <w:sz w:val="11"/>
                <w:szCs w:val="11"/>
              </w:rPr>
            </w:pPr>
          </w:p>
        </w:tc>
        <w:tc>
          <w:tcPr>
            <w:tcW w:w="695" w:type="dxa"/>
            <w:vMerge/>
            <w:tcBorders>
              <w:left w:val="single" w:sz="2" w:space="0" w:color="auto"/>
              <w:bottom w:val="single" w:sz="2" w:space="0" w:color="auto"/>
              <w:right w:val="single" w:sz="2" w:space="0" w:color="auto"/>
            </w:tcBorders>
            <w:vAlign w:val="center"/>
          </w:tcPr>
          <w:p w14:paraId="1C46B256"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4CE2E206"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73335E0C"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28</w:t>
            </w:r>
          </w:p>
        </w:tc>
        <w:tc>
          <w:tcPr>
            <w:tcW w:w="687" w:type="dxa"/>
            <w:vMerge/>
            <w:tcBorders>
              <w:left w:val="single" w:sz="2" w:space="0" w:color="auto"/>
              <w:right w:val="single" w:sz="2" w:space="0" w:color="auto"/>
            </w:tcBorders>
            <w:vAlign w:val="center"/>
          </w:tcPr>
          <w:p w14:paraId="14ABE3E1"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1" w:type="dxa"/>
            <w:vMerge/>
            <w:tcBorders>
              <w:left w:val="single" w:sz="2" w:space="0" w:color="auto"/>
              <w:bottom w:val="single" w:sz="2" w:space="0" w:color="auto"/>
              <w:right w:val="single" w:sz="2" w:space="0" w:color="auto"/>
            </w:tcBorders>
            <w:vAlign w:val="center"/>
          </w:tcPr>
          <w:p w14:paraId="2151E969"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86" w:type="dxa"/>
            <w:vMerge/>
            <w:tcBorders>
              <w:left w:val="single" w:sz="2" w:space="0" w:color="auto"/>
              <w:bottom w:val="single" w:sz="2" w:space="0" w:color="auto"/>
              <w:right w:val="single" w:sz="2" w:space="0" w:color="auto"/>
            </w:tcBorders>
            <w:vAlign w:val="center"/>
          </w:tcPr>
          <w:p w14:paraId="5E741D3C"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2" w:type="dxa"/>
            <w:vMerge/>
            <w:tcBorders>
              <w:left w:val="single" w:sz="2" w:space="0" w:color="auto"/>
              <w:right w:val="single" w:sz="2" w:space="0" w:color="auto"/>
            </w:tcBorders>
            <w:vAlign w:val="center"/>
          </w:tcPr>
          <w:p w14:paraId="27927A90" w14:textId="77777777" w:rsidR="00140B7C" w:rsidRPr="00EC4EC4" w:rsidRDefault="00140B7C" w:rsidP="00BC1087">
            <w:pPr>
              <w:spacing w:after="0" w:line="240" w:lineRule="auto"/>
              <w:ind w:left="3"/>
              <w:jc w:val="center"/>
              <w:rPr>
                <w:rFonts w:eastAsia="Times New Roman" w:cs="Times New Roman"/>
                <w:color w:val="000000"/>
                <w:w w:val="110"/>
                <w:sz w:val="18"/>
                <w:szCs w:val="18"/>
              </w:rPr>
            </w:pPr>
          </w:p>
        </w:tc>
        <w:tc>
          <w:tcPr>
            <w:tcW w:w="695" w:type="dxa"/>
            <w:vMerge w:val="restart"/>
            <w:tcBorders>
              <w:top w:val="single" w:sz="2" w:space="0" w:color="auto"/>
              <w:left w:val="single" w:sz="2" w:space="0" w:color="auto"/>
              <w:right w:val="single" w:sz="2" w:space="0" w:color="auto"/>
            </w:tcBorders>
            <w:vAlign w:val="center"/>
          </w:tcPr>
          <w:p w14:paraId="3974B224"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4</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3B9212A6"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3705DCF1"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21</w:t>
            </w:r>
          </w:p>
        </w:tc>
        <w:tc>
          <w:tcPr>
            <w:tcW w:w="687" w:type="dxa"/>
            <w:vMerge/>
            <w:tcBorders>
              <w:left w:val="single" w:sz="2" w:space="0" w:color="auto"/>
              <w:right w:val="single" w:sz="2" w:space="0" w:color="auto"/>
            </w:tcBorders>
            <w:vAlign w:val="center"/>
          </w:tcPr>
          <w:p w14:paraId="76F9DE71"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1" w:type="dxa"/>
            <w:vMerge w:val="restart"/>
            <w:tcBorders>
              <w:top w:val="single" w:sz="2" w:space="0" w:color="auto"/>
              <w:left w:val="single" w:sz="2" w:space="0" w:color="auto"/>
              <w:right w:val="single" w:sz="2" w:space="0" w:color="auto"/>
            </w:tcBorders>
            <w:vAlign w:val="center"/>
          </w:tcPr>
          <w:p w14:paraId="6AD78D88"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86" w:type="dxa"/>
            <w:vMerge w:val="restart"/>
            <w:tcBorders>
              <w:top w:val="single" w:sz="2" w:space="0" w:color="auto"/>
              <w:left w:val="single" w:sz="2" w:space="0" w:color="auto"/>
              <w:right w:val="single" w:sz="2" w:space="0" w:color="auto"/>
            </w:tcBorders>
            <w:vAlign w:val="center"/>
          </w:tcPr>
          <w:p w14:paraId="6A5D9D9A"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p>
        </w:tc>
        <w:tc>
          <w:tcPr>
            <w:tcW w:w="692" w:type="dxa"/>
            <w:vMerge/>
            <w:tcBorders>
              <w:left w:val="single" w:sz="2" w:space="0" w:color="auto"/>
              <w:bottom w:val="single" w:sz="2" w:space="0" w:color="auto"/>
              <w:right w:val="single" w:sz="2" w:space="0" w:color="auto"/>
            </w:tcBorders>
            <w:vAlign w:val="center"/>
          </w:tcPr>
          <w:p w14:paraId="24741F3F" w14:textId="77777777" w:rsidR="00140B7C" w:rsidRPr="00EC4EC4" w:rsidRDefault="00140B7C" w:rsidP="00BC1087">
            <w:pPr>
              <w:spacing w:after="0" w:line="240" w:lineRule="auto"/>
              <w:ind w:left="3"/>
              <w:jc w:val="center"/>
              <w:rPr>
                <w:rFonts w:eastAsia="Times New Roman" w:cs="Times New Roman"/>
                <w:color w:val="000000"/>
              </w:rPr>
            </w:pPr>
          </w:p>
        </w:tc>
        <w:tc>
          <w:tcPr>
            <w:tcW w:w="695" w:type="dxa"/>
            <w:vMerge/>
            <w:tcBorders>
              <w:left w:val="single" w:sz="2" w:space="0" w:color="auto"/>
              <w:right w:val="single" w:sz="2" w:space="0" w:color="auto"/>
            </w:tcBorders>
            <w:vAlign w:val="center"/>
          </w:tcPr>
          <w:p w14:paraId="15DF88DC"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71EF34DB"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6DE2430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18</w:t>
            </w:r>
          </w:p>
        </w:tc>
        <w:tc>
          <w:tcPr>
            <w:tcW w:w="687" w:type="dxa"/>
            <w:vMerge/>
            <w:tcBorders>
              <w:left w:val="single" w:sz="2" w:space="0" w:color="auto"/>
              <w:bottom w:val="single" w:sz="2" w:space="0" w:color="auto"/>
              <w:right w:val="single" w:sz="2" w:space="0" w:color="auto"/>
            </w:tcBorders>
            <w:vAlign w:val="center"/>
          </w:tcPr>
          <w:p w14:paraId="1C31F30E" w14:textId="77777777" w:rsidR="00140B7C" w:rsidRPr="00EC4EC4" w:rsidRDefault="00140B7C" w:rsidP="00BC1087">
            <w:pPr>
              <w:spacing w:after="0" w:line="240" w:lineRule="auto"/>
              <w:jc w:val="center"/>
              <w:rPr>
                <w:rFonts w:eastAsia="Times New Roman" w:cs="Times New Roman"/>
                <w:color w:val="000000"/>
              </w:rPr>
            </w:pPr>
          </w:p>
        </w:tc>
        <w:tc>
          <w:tcPr>
            <w:tcW w:w="691" w:type="dxa"/>
            <w:vMerge/>
            <w:tcBorders>
              <w:left w:val="single" w:sz="2" w:space="0" w:color="auto"/>
              <w:bottom w:val="single" w:sz="2" w:space="0" w:color="auto"/>
              <w:right w:val="single" w:sz="2" w:space="0" w:color="auto"/>
            </w:tcBorders>
            <w:vAlign w:val="center"/>
          </w:tcPr>
          <w:p w14:paraId="43462AA4" w14:textId="77777777" w:rsidR="00140B7C" w:rsidRPr="00EC4EC4" w:rsidRDefault="00140B7C" w:rsidP="00BC1087">
            <w:pPr>
              <w:spacing w:after="0" w:line="240" w:lineRule="auto"/>
              <w:jc w:val="center"/>
              <w:rPr>
                <w:rFonts w:eastAsia="Times New Roman" w:cs="Times New Roman"/>
                <w:color w:val="000000"/>
                <w:w w:val="120"/>
                <w:sz w:val="11"/>
                <w:szCs w:val="11"/>
              </w:rPr>
            </w:pPr>
          </w:p>
        </w:tc>
        <w:tc>
          <w:tcPr>
            <w:tcW w:w="686" w:type="dxa"/>
            <w:vMerge/>
            <w:tcBorders>
              <w:left w:val="single" w:sz="2" w:space="0" w:color="auto"/>
              <w:bottom w:val="single" w:sz="2" w:space="0" w:color="auto"/>
              <w:right w:val="single" w:sz="2" w:space="0" w:color="auto"/>
            </w:tcBorders>
            <w:vAlign w:val="center"/>
          </w:tcPr>
          <w:p w14:paraId="75DEA526"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692" w:type="dxa"/>
            <w:tcBorders>
              <w:top w:val="single" w:sz="2" w:space="0" w:color="auto"/>
              <w:left w:val="single" w:sz="2" w:space="0" w:color="auto"/>
              <w:bottom w:val="single" w:sz="2" w:space="0" w:color="auto"/>
              <w:right w:val="single" w:sz="2" w:space="0" w:color="auto"/>
            </w:tcBorders>
            <w:vAlign w:val="center"/>
          </w:tcPr>
          <w:p w14:paraId="79729F42" w14:textId="77777777" w:rsidR="00140B7C" w:rsidRPr="00EC4EC4" w:rsidRDefault="00140B7C" w:rsidP="00BC1087">
            <w:pPr>
              <w:spacing w:after="0" w:line="240" w:lineRule="auto"/>
              <w:ind w:left="3"/>
              <w:jc w:val="center"/>
              <w:rPr>
                <w:rFonts w:eastAsia="Times New Roman" w:cs="Times New Roman"/>
                <w:color w:val="000000"/>
                <w:w w:val="110"/>
                <w:sz w:val="18"/>
                <w:szCs w:val="18"/>
              </w:rPr>
            </w:pPr>
            <w:r w:rsidRPr="00EC4EC4">
              <w:rPr>
                <w:rFonts w:eastAsia="Times New Roman" w:cs="Times New Roman"/>
                <w:color w:val="000000"/>
                <w:w w:val="110"/>
                <w:sz w:val="18"/>
                <w:szCs w:val="18"/>
              </w:rPr>
              <w:t>4</w:t>
            </w:r>
          </w:p>
        </w:tc>
        <w:tc>
          <w:tcPr>
            <w:tcW w:w="695" w:type="dxa"/>
            <w:vMerge/>
            <w:tcBorders>
              <w:left w:val="single" w:sz="2" w:space="0" w:color="auto"/>
              <w:bottom w:val="single" w:sz="2" w:space="0" w:color="auto"/>
              <w:right w:val="single" w:sz="2" w:space="0" w:color="auto"/>
            </w:tcBorders>
            <w:vAlign w:val="center"/>
          </w:tcPr>
          <w:p w14:paraId="3D549BF1"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5D3666CA"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00CB9A4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W6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25</w:t>
            </w:r>
          </w:p>
        </w:tc>
        <w:tc>
          <w:tcPr>
            <w:tcW w:w="687" w:type="dxa"/>
            <w:vMerge w:val="restart"/>
            <w:tcBorders>
              <w:top w:val="single" w:sz="2" w:space="0" w:color="auto"/>
              <w:left w:val="single" w:sz="2" w:space="0" w:color="auto"/>
              <w:right w:val="single" w:sz="2" w:space="0" w:color="auto"/>
            </w:tcBorders>
            <w:vAlign w:val="center"/>
          </w:tcPr>
          <w:p w14:paraId="1DE9DAFA"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91" w:type="dxa"/>
            <w:tcBorders>
              <w:top w:val="single" w:sz="2" w:space="0" w:color="auto"/>
              <w:left w:val="single" w:sz="2" w:space="0" w:color="auto"/>
              <w:bottom w:val="single" w:sz="2" w:space="0" w:color="auto"/>
              <w:right w:val="single" w:sz="2" w:space="0" w:color="auto"/>
            </w:tcBorders>
            <w:vAlign w:val="center"/>
          </w:tcPr>
          <w:p w14:paraId="2F826C1C"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686" w:type="dxa"/>
            <w:tcBorders>
              <w:top w:val="single" w:sz="2" w:space="0" w:color="auto"/>
              <w:left w:val="single" w:sz="2" w:space="0" w:color="auto"/>
              <w:bottom w:val="single" w:sz="2" w:space="0" w:color="auto"/>
              <w:right w:val="single" w:sz="2" w:space="0" w:color="auto"/>
            </w:tcBorders>
            <w:vAlign w:val="center"/>
          </w:tcPr>
          <w:p w14:paraId="397A317F"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92" w:type="dxa"/>
            <w:vMerge w:val="restart"/>
            <w:tcBorders>
              <w:top w:val="single" w:sz="2" w:space="0" w:color="auto"/>
              <w:left w:val="single" w:sz="2" w:space="0" w:color="auto"/>
              <w:right w:val="single" w:sz="2" w:space="0" w:color="auto"/>
            </w:tcBorders>
            <w:vAlign w:val="center"/>
          </w:tcPr>
          <w:p w14:paraId="1FC9A3A0" w14:textId="77777777" w:rsidR="00140B7C" w:rsidRPr="00EC4EC4" w:rsidRDefault="00140B7C" w:rsidP="00BC1087">
            <w:pPr>
              <w:spacing w:after="0" w:line="240" w:lineRule="auto"/>
              <w:ind w:left="3"/>
              <w:jc w:val="center"/>
              <w:rPr>
                <w:rFonts w:eastAsia="Times New Roman" w:cs="Times New Roman"/>
                <w:color w:val="000000"/>
                <w:w w:val="120"/>
                <w:sz w:val="11"/>
                <w:szCs w:val="11"/>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95" w:type="dxa"/>
            <w:vMerge w:val="restart"/>
            <w:tcBorders>
              <w:top w:val="single" w:sz="2" w:space="0" w:color="auto"/>
              <w:left w:val="single" w:sz="2" w:space="0" w:color="auto"/>
              <w:right w:val="single" w:sz="2" w:space="0" w:color="auto"/>
            </w:tcBorders>
            <w:vAlign w:val="center"/>
          </w:tcPr>
          <w:p w14:paraId="1597020D"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4</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473FA9B7" w14:textId="77777777" w:rsidTr="00BC1087">
        <w:trPr>
          <w:cantSplit/>
          <w:trHeight w:hRule="exact" w:val="317"/>
        </w:trPr>
        <w:tc>
          <w:tcPr>
            <w:tcW w:w="1478" w:type="dxa"/>
            <w:tcBorders>
              <w:top w:val="single" w:sz="2" w:space="0" w:color="auto"/>
              <w:left w:val="single" w:sz="2" w:space="0" w:color="auto"/>
              <w:bottom w:val="single" w:sz="2" w:space="0" w:color="auto"/>
              <w:right w:val="single" w:sz="2" w:space="0" w:color="auto"/>
            </w:tcBorders>
            <w:vAlign w:val="center"/>
          </w:tcPr>
          <w:p w14:paraId="0B124AD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20</w:t>
            </w:r>
          </w:p>
        </w:tc>
        <w:tc>
          <w:tcPr>
            <w:tcW w:w="687" w:type="dxa"/>
            <w:vMerge/>
            <w:tcBorders>
              <w:left w:val="single" w:sz="2" w:space="0" w:color="auto"/>
              <w:right w:val="single" w:sz="2" w:space="0" w:color="auto"/>
            </w:tcBorders>
            <w:vAlign w:val="center"/>
          </w:tcPr>
          <w:p w14:paraId="57CD224B" w14:textId="77777777" w:rsidR="00140B7C" w:rsidRPr="00EC4EC4" w:rsidRDefault="00140B7C" w:rsidP="00BC1087">
            <w:pPr>
              <w:spacing w:after="0" w:line="240" w:lineRule="auto"/>
              <w:jc w:val="center"/>
              <w:rPr>
                <w:rFonts w:eastAsia="Times New Roman" w:cs="Times New Roman"/>
                <w:color w:val="000000"/>
                <w:w w:val="120"/>
                <w:sz w:val="11"/>
                <w:szCs w:val="11"/>
              </w:rPr>
            </w:pPr>
          </w:p>
        </w:tc>
        <w:tc>
          <w:tcPr>
            <w:tcW w:w="691" w:type="dxa"/>
            <w:vMerge w:val="restart"/>
            <w:tcBorders>
              <w:top w:val="single" w:sz="2" w:space="0" w:color="auto"/>
              <w:left w:val="single" w:sz="2" w:space="0" w:color="auto"/>
              <w:right w:val="single" w:sz="2" w:space="0" w:color="auto"/>
            </w:tcBorders>
            <w:vAlign w:val="center"/>
          </w:tcPr>
          <w:p w14:paraId="73A98670"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686" w:type="dxa"/>
            <w:vMerge w:val="restart"/>
            <w:tcBorders>
              <w:top w:val="single" w:sz="2" w:space="0" w:color="auto"/>
              <w:left w:val="single" w:sz="2" w:space="0" w:color="auto"/>
              <w:right w:val="single" w:sz="2" w:space="0" w:color="auto"/>
            </w:tcBorders>
            <w:vAlign w:val="center"/>
          </w:tcPr>
          <w:p w14:paraId="499765CE"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p>
        </w:tc>
        <w:tc>
          <w:tcPr>
            <w:tcW w:w="692" w:type="dxa"/>
            <w:vMerge/>
            <w:tcBorders>
              <w:left w:val="single" w:sz="2" w:space="0" w:color="auto"/>
              <w:bottom w:val="single" w:sz="2" w:space="0" w:color="auto"/>
              <w:right w:val="single" w:sz="2" w:space="0" w:color="auto"/>
            </w:tcBorders>
            <w:vAlign w:val="center"/>
          </w:tcPr>
          <w:p w14:paraId="5029780F" w14:textId="77777777" w:rsidR="00140B7C" w:rsidRPr="00EC4EC4" w:rsidRDefault="00140B7C" w:rsidP="00BC1087">
            <w:pPr>
              <w:spacing w:after="0" w:line="240" w:lineRule="auto"/>
              <w:ind w:left="3"/>
              <w:jc w:val="center"/>
              <w:rPr>
                <w:rFonts w:eastAsia="Times New Roman" w:cs="Times New Roman"/>
                <w:color w:val="000000"/>
              </w:rPr>
            </w:pPr>
          </w:p>
        </w:tc>
        <w:tc>
          <w:tcPr>
            <w:tcW w:w="695" w:type="dxa"/>
            <w:vMerge/>
            <w:tcBorders>
              <w:left w:val="single" w:sz="2" w:space="0" w:color="auto"/>
              <w:right w:val="single" w:sz="2" w:space="0" w:color="auto"/>
            </w:tcBorders>
            <w:vAlign w:val="center"/>
          </w:tcPr>
          <w:p w14:paraId="61EFCAB0" w14:textId="77777777" w:rsidR="00140B7C" w:rsidRPr="00EC4EC4" w:rsidRDefault="00140B7C" w:rsidP="00BC1087">
            <w:pPr>
              <w:spacing w:after="0" w:line="240" w:lineRule="auto"/>
              <w:jc w:val="center"/>
              <w:rPr>
                <w:rFonts w:eastAsia="Times New Roman" w:cs="Times New Roman"/>
                <w:color w:val="000000"/>
                <w:w w:val="120"/>
                <w:sz w:val="11"/>
                <w:szCs w:val="11"/>
              </w:rPr>
            </w:pPr>
          </w:p>
        </w:tc>
      </w:tr>
      <w:tr w:rsidR="00140B7C" w:rsidRPr="00EC4EC4" w14:paraId="290B2913" w14:textId="77777777" w:rsidTr="00BC1087">
        <w:trPr>
          <w:cantSplit/>
          <w:trHeight w:hRule="exact" w:val="322"/>
        </w:trPr>
        <w:tc>
          <w:tcPr>
            <w:tcW w:w="1478" w:type="dxa"/>
            <w:tcBorders>
              <w:top w:val="single" w:sz="2" w:space="0" w:color="auto"/>
              <w:left w:val="single" w:sz="2" w:space="0" w:color="auto"/>
              <w:bottom w:val="single" w:sz="2" w:space="0" w:color="auto"/>
              <w:right w:val="single" w:sz="2" w:space="0" w:color="auto"/>
            </w:tcBorders>
            <w:vAlign w:val="center"/>
          </w:tcPr>
          <w:p w14:paraId="705E9AE8"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16</w:t>
            </w:r>
          </w:p>
        </w:tc>
        <w:tc>
          <w:tcPr>
            <w:tcW w:w="687" w:type="dxa"/>
            <w:vMerge/>
            <w:tcBorders>
              <w:left w:val="single" w:sz="2" w:space="0" w:color="auto"/>
              <w:bottom w:val="single" w:sz="2" w:space="0" w:color="auto"/>
              <w:right w:val="single" w:sz="2" w:space="0" w:color="auto"/>
            </w:tcBorders>
            <w:vAlign w:val="center"/>
          </w:tcPr>
          <w:p w14:paraId="7869B6C8" w14:textId="77777777" w:rsidR="00140B7C" w:rsidRPr="00EC4EC4" w:rsidRDefault="00140B7C" w:rsidP="00BC1087">
            <w:pPr>
              <w:spacing w:after="0" w:line="240" w:lineRule="auto"/>
              <w:jc w:val="center"/>
              <w:rPr>
                <w:rFonts w:eastAsia="Times New Roman" w:cs="Times New Roman"/>
                <w:color w:val="000000"/>
              </w:rPr>
            </w:pPr>
          </w:p>
        </w:tc>
        <w:tc>
          <w:tcPr>
            <w:tcW w:w="691" w:type="dxa"/>
            <w:vMerge/>
            <w:tcBorders>
              <w:left w:val="single" w:sz="2" w:space="0" w:color="auto"/>
              <w:right w:val="single" w:sz="2" w:space="0" w:color="auto"/>
            </w:tcBorders>
            <w:vAlign w:val="center"/>
          </w:tcPr>
          <w:p w14:paraId="0A960448" w14:textId="77777777" w:rsidR="00140B7C" w:rsidRPr="00EC4EC4" w:rsidRDefault="00140B7C" w:rsidP="00BC1087">
            <w:pPr>
              <w:spacing w:after="0" w:line="240" w:lineRule="auto"/>
              <w:ind w:left="360"/>
              <w:jc w:val="center"/>
              <w:rPr>
                <w:rFonts w:eastAsia="Times New Roman" w:cs="Times New Roman"/>
                <w:color w:val="000000"/>
              </w:rPr>
            </w:pPr>
          </w:p>
        </w:tc>
        <w:tc>
          <w:tcPr>
            <w:tcW w:w="686" w:type="dxa"/>
            <w:vMerge/>
            <w:tcBorders>
              <w:left w:val="single" w:sz="2" w:space="0" w:color="auto"/>
              <w:right w:val="single" w:sz="2" w:space="0" w:color="auto"/>
            </w:tcBorders>
            <w:vAlign w:val="center"/>
          </w:tcPr>
          <w:p w14:paraId="382EE7BE"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2" w:type="dxa"/>
            <w:vMerge w:val="restart"/>
            <w:tcBorders>
              <w:top w:val="single" w:sz="2" w:space="0" w:color="auto"/>
              <w:left w:val="single" w:sz="2" w:space="0" w:color="auto"/>
              <w:right w:val="single" w:sz="2" w:space="0" w:color="auto"/>
            </w:tcBorders>
            <w:vAlign w:val="center"/>
          </w:tcPr>
          <w:p w14:paraId="7A7D3697" w14:textId="77777777" w:rsidR="00140B7C" w:rsidRPr="00EC4EC4" w:rsidRDefault="00140B7C" w:rsidP="00BC1087">
            <w:pPr>
              <w:spacing w:after="0" w:line="240" w:lineRule="auto"/>
              <w:ind w:left="3"/>
              <w:jc w:val="center"/>
              <w:rPr>
                <w:rFonts w:eastAsia="Times New Roman" w:cs="Times New Roman"/>
                <w:color w:val="000000"/>
              </w:rPr>
            </w:pPr>
            <w:r w:rsidRPr="00EC4EC4">
              <w:rPr>
                <w:rFonts w:eastAsia="Times New Roman" w:cs="Times New Roman"/>
                <w:color w:val="000000"/>
                <w:w w:val="110"/>
                <w:sz w:val="18"/>
                <w:szCs w:val="18"/>
              </w:rPr>
              <w:t>4</w:t>
            </w:r>
          </w:p>
        </w:tc>
        <w:tc>
          <w:tcPr>
            <w:tcW w:w="695" w:type="dxa"/>
            <w:vMerge/>
            <w:tcBorders>
              <w:left w:val="single" w:sz="2" w:space="0" w:color="auto"/>
              <w:right w:val="single" w:sz="2" w:space="0" w:color="auto"/>
            </w:tcBorders>
            <w:vAlign w:val="center"/>
          </w:tcPr>
          <w:p w14:paraId="30A44581"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404D5E49" w14:textId="77777777" w:rsidTr="00BC1087">
        <w:trPr>
          <w:cantSplit/>
          <w:trHeight w:hRule="exact" w:val="321"/>
        </w:trPr>
        <w:tc>
          <w:tcPr>
            <w:tcW w:w="1478" w:type="dxa"/>
            <w:tcBorders>
              <w:top w:val="single" w:sz="2" w:space="0" w:color="auto"/>
              <w:left w:val="single" w:sz="2" w:space="0" w:color="auto"/>
              <w:bottom w:val="single" w:sz="2" w:space="0" w:color="auto"/>
              <w:right w:val="single" w:sz="2" w:space="0" w:color="auto"/>
            </w:tcBorders>
            <w:vAlign w:val="center"/>
          </w:tcPr>
          <w:p w14:paraId="2C33951F"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12</w:t>
            </w:r>
          </w:p>
        </w:tc>
        <w:tc>
          <w:tcPr>
            <w:tcW w:w="687" w:type="dxa"/>
            <w:vMerge w:val="restart"/>
            <w:tcBorders>
              <w:top w:val="single" w:sz="2" w:space="0" w:color="auto"/>
              <w:left w:val="single" w:sz="2" w:space="0" w:color="auto"/>
              <w:right w:val="single" w:sz="2" w:space="0" w:color="auto"/>
            </w:tcBorders>
            <w:vAlign w:val="center"/>
          </w:tcPr>
          <w:p w14:paraId="51EC8A39"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691" w:type="dxa"/>
            <w:vMerge/>
            <w:tcBorders>
              <w:left w:val="single" w:sz="2" w:space="0" w:color="auto"/>
              <w:right w:val="single" w:sz="2" w:space="0" w:color="auto"/>
            </w:tcBorders>
            <w:vAlign w:val="center"/>
          </w:tcPr>
          <w:p w14:paraId="7A7F7CE1" w14:textId="77777777" w:rsidR="00140B7C" w:rsidRPr="00EC4EC4" w:rsidRDefault="00140B7C" w:rsidP="00BC1087">
            <w:pPr>
              <w:spacing w:after="0" w:line="240" w:lineRule="auto"/>
              <w:ind w:left="360"/>
              <w:jc w:val="center"/>
              <w:rPr>
                <w:rFonts w:eastAsia="Times New Roman" w:cs="Times New Roman"/>
                <w:color w:val="000000"/>
                <w:w w:val="120"/>
                <w:sz w:val="11"/>
                <w:szCs w:val="11"/>
              </w:rPr>
            </w:pPr>
          </w:p>
        </w:tc>
        <w:tc>
          <w:tcPr>
            <w:tcW w:w="686" w:type="dxa"/>
            <w:vMerge/>
            <w:tcBorders>
              <w:left w:val="single" w:sz="2" w:space="0" w:color="auto"/>
              <w:right w:val="single" w:sz="2" w:space="0" w:color="auto"/>
            </w:tcBorders>
            <w:vAlign w:val="center"/>
          </w:tcPr>
          <w:p w14:paraId="07E6AB38" w14:textId="77777777" w:rsidR="00140B7C" w:rsidRPr="00EC4EC4" w:rsidRDefault="00140B7C" w:rsidP="00BC1087">
            <w:pPr>
              <w:spacing w:after="0" w:line="240" w:lineRule="auto"/>
              <w:ind w:left="360"/>
              <w:jc w:val="center"/>
              <w:rPr>
                <w:rFonts w:eastAsia="Times New Roman" w:cs="Times New Roman"/>
                <w:color w:val="000000"/>
              </w:rPr>
            </w:pPr>
          </w:p>
        </w:tc>
        <w:tc>
          <w:tcPr>
            <w:tcW w:w="692" w:type="dxa"/>
            <w:vMerge/>
            <w:tcBorders>
              <w:left w:val="single" w:sz="2" w:space="0" w:color="auto"/>
              <w:right w:val="single" w:sz="2" w:space="0" w:color="auto"/>
            </w:tcBorders>
            <w:vAlign w:val="center"/>
          </w:tcPr>
          <w:p w14:paraId="374330FA"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695" w:type="dxa"/>
            <w:vMerge/>
            <w:tcBorders>
              <w:left w:val="single" w:sz="2" w:space="0" w:color="auto"/>
              <w:bottom w:val="single" w:sz="2" w:space="0" w:color="auto"/>
              <w:right w:val="single" w:sz="2" w:space="0" w:color="auto"/>
            </w:tcBorders>
            <w:vAlign w:val="center"/>
          </w:tcPr>
          <w:p w14:paraId="27BAB20D"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66AB5EF7" w14:textId="77777777" w:rsidTr="00BC1087">
        <w:trPr>
          <w:cantSplit/>
          <w:trHeight w:hRule="exact" w:val="327"/>
        </w:trPr>
        <w:tc>
          <w:tcPr>
            <w:tcW w:w="1478" w:type="dxa"/>
            <w:tcBorders>
              <w:top w:val="single" w:sz="2" w:space="0" w:color="auto"/>
              <w:left w:val="single" w:sz="2" w:space="0" w:color="auto"/>
              <w:bottom w:val="single" w:sz="2" w:space="0" w:color="auto"/>
              <w:right w:val="single" w:sz="2" w:space="0" w:color="auto"/>
            </w:tcBorders>
            <w:vAlign w:val="center"/>
          </w:tcPr>
          <w:p w14:paraId="7326EDE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9</w:t>
            </w:r>
          </w:p>
        </w:tc>
        <w:tc>
          <w:tcPr>
            <w:tcW w:w="687" w:type="dxa"/>
            <w:vMerge/>
            <w:tcBorders>
              <w:left w:val="single" w:sz="2" w:space="0" w:color="auto"/>
              <w:bottom w:val="single" w:sz="2" w:space="0" w:color="auto"/>
              <w:right w:val="single" w:sz="2" w:space="0" w:color="auto"/>
            </w:tcBorders>
            <w:vAlign w:val="center"/>
          </w:tcPr>
          <w:p w14:paraId="3780EF5D" w14:textId="77777777" w:rsidR="00140B7C" w:rsidRPr="00EC4EC4" w:rsidRDefault="00140B7C" w:rsidP="00BC1087">
            <w:pPr>
              <w:spacing w:after="0" w:line="240" w:lineRule="auto"/>
              <w:ind w:left="360"/>
              <w:jc w:val="center"/>
              <w:rPr>
                <w:rFonts w:eastAsia="Times New Roman" w:cs="Times New Roman"/>
                <w:color w:val="000000"/>
              </w:rPr>
            </w:pPr>
          </w:p>
        </w:tc>
        <w:tc>
          <w:tcPr>
            <w:tcW w:w="691" w:type="dxa"/>
            <w:vMerge/>
            <w:tcBorders>
              <w:left w:val="single" w:sz="2" w:space="0" w:color="auto"/>
              <w:bottom w:val="single" w:sz="2" w:space="0" w:color="auto"/>
              <w:right w:val="single" w:sz="2" w:space="0" w:color="auto"/>
            </w:tcBorders>
            <w:vAlign w:val="center"/>
          </w:tcPr>
          <w:p w14:paraId="686B8ACA" w14:textId="77777777" w:rsidR="00140B7C" w:rsidRPr="00EC4EC4" w:rsidRDefault="00140B7C" w:rsidP="00BC1087">
            <w:pPr>
              <w:spacing w:after="0" w:line="240" w:lineRule="auto"/>
              <w:ind w:left="360"/>
              <w:jc w:val="center"/>
              <w:rPr>
                <w:rFonts w:eastAsia="Times New Roman" w:cs="Times New Roman"/>
                <w:color w:val="000000"/>
              </w:rPr>
            </w:pPr>
          </w:p>
        </w:tc>
        <w:tc>
          <w:tcPr>
            <w:tcW w:w="686" w:type="dxa"/>
            <w:vMerge/>
            <w:tcBorders>
              <w:left w:val="single" w:sz="2" w:space="0" w:color="auto"/>
              <w:bottom w:val="single" w:sz="2" w:space="0" w:color="auto"/>
              <w:right w:val="single" w:sz="2" w:space="0" w:color="auto"/>
            </w:tcBorders>
            <w:vAlign w:val="center"/>
          </w:tcPr>
          <w:p w14:paraId="00B85695" w14:textId="77777777" w:rsidR="00140B7C" w:rsidRPr="00EC4EC4" w:rsidRDefault="00140B7C" w:rsidP="00BC1087">
            <w:pPr>
              <w:spacing w:after="0" w:line="240" w:lineRule="auto"/>
              <w:ind w:left="360"/>
              <w:jc w:val="center"/>
              <w:rPr>
                <w:rFonts w:eastAsia="Times New Roman" w:cs="Times New Roman"/>
                <w:color w:val="000000"/>
              </w:rPr>
            </w:pPr>
          </w:p>
        </w:tc>
        <w:tc>
          <w:tcPr>
            <w:tcW w:w="692" w:type="dxa"/>
            <w:vMerge/>
            <w:tcBorders>
              <w:left w:val="single" w:sz="2" w:space="0" w:color="auto"/>
              <w:bottom w:val="single" w:sz="2" w:space="0" w:color="auto"/>
              <w:right w:val="single" w:sz="2" w:space="0" w:color="auto"/>
            </w:tcBorders>
            <w:vAlign w:val="center"/>
          </w:tcPr>
          <w:p w14:paraId="3ADE3486" w14:textId="77777777" w:rsidR="00140B7C" w:rsidRPr="00EC4EC4" w:rsidRDefault="00140B7C" w:rsidP="00BC1087">
            <w:pPr>
              <w:spacing w:after="0" w:line="240" w:lineRule="auto"/>
              <w:ind w:left="360"/>
              <w:jc w:val="center"/>
              <w:rPr>
                <w:rFonts w:eastAsia="Times New Roman" w:cs="Times New Roman"/>
                <w:color w:val="000000"/>
              </w:rPr>
            </w:pPr>
          </w:p>
        </w:tc>
        <w:tc>
          <w:tcPr>
            <w:tcW w:w="695" w:type="dxa"/>
            <w:tcBorders>
              <w:top w:val="single" w:sz="2" w:space="0" w:color="auto"/>
              <w:left w:val="single" w:sz="2" w:space="0" w:color="auto"/>
              <w:bottom w:val="single" w:sz="2" w:space="0" w:color="auto"/>
              <w:right w:val="single" w:sz="2" w:space="0" w:color="auto"/>
            </w:tcBorders>
            <w:vAlign w:val="center"/>
          </w:tcPr>
          <w:p w14:paraId="7991BA77"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5</w:t>
            </w:r>
          </w:p>
        </w:tc>
      </w:tr>
    </w:tbl>
    <w:p w14:paraId="57670DC2" w14:textId="77777777" w:rsidR="00140B7C" w:rsidRPr="00EC4EC4" w:rsidRDefault="00140B7C" w:rsidP="00140B7C">
      <w:pPr>
        <w:spacing w:after="0" w:line="152" w:lineRule="exact"/>
        <w:ind w:left="360"/>
        <w:jc w:val="both"/>
        <w:rPr>
          <w:rFonts w:eastAsia="Times New Roman" w:cs="Times New Roman"/>
          <w:color w:val="000000"/>
          <w:spacing w:val="8"/>
          <w:sz w:val="14"/>
          <w:szCs w:val="14"/>
        </w:rPr>
      </w:pPr>
      <w:r w:rsidRPr="00EC4EC4">
        <w:rPr>
          <w:rFonts w:eastAsia="Times New Roman" w:cs="Times New Roman"/>
          <w:color w:val="000000"/>
          <w:spacing w:val="8"/>
          <w:sz w:val="14"/>
          <w:szCs w:val="14"/>
        </w:rPr>
        <w:br w:type="textWrapping" w:clear="all"/>
        <w:t>For SI: 1 inch = 25.4 mm.</w:t>
      </w:r>
    </w:p>
    <w:p w14:paraId="2787B820" w14:textId="77777777" w:rsidR="00140B7C" w:rsidRPr="00EC4EC4" w:rsidRDefault="00140B7C" w:rsidP="00140B7C">
      <w:pPr>
        <w:autoSpaceDE w:val="0"/>
        <w:autoSpaceDN w:val="0"/>
        <w:adjustRightInd w:val="0"/>
        <w:spacing w:after="0" w:line="240" w:lineRule="auto"/>
        <w:ind w:left="360"/>
        <w:jc w:val="both"/>
        <w:rPr>
          <w:rFonts w:cs="Times New Roman"/>
          <w:spacing w:val="2"/>
          <w:sz w:val="14"/>
          <w:szCs w:val="14"/>
        </w:rPr>
      </w:pPr>
      <w:r w:rsidRPr="00EC4EC4">
        <w:rPr>
          <w:rFonts w:cs="Times New Roman"/>
          <w:spacing w:val="5"/>
          <w:sz w:val="14"/>
          <w:szCs w:val="14"/>
        </w:rPr>
        <w:t>a.</w:t>
      </w:r>
      <w:r w:rsidRPr="00EC4EC4">
        <w:rPr>
          <w:rFonts w:cs="Times New Roman"/>
          <w:spacing w:val="5"/>
          <w:sz w:val="14"/>
          <w:szCs w:val="14"/>
        </w:rPr>
        <w:tab/>
        <w:t>The tabulated thicknesses are based upon the assumed properties of nor</w:t>
      </w:r>
      <w:r w:rsidRPr="00EC4EC4">
        <w:rPr>
          <w:rFonts w:cs="Times New Roman"/>
          <w:spacing w:val="2"/>
          <w:sz w:val="14"/>
          <w:szCs w:val="14"/>
        </w:rPr>
        <w:t>mal-weight concrete given in Table 722.5.1(2).</w:t>
      </w:r>
    </w:p>
    <w:p w14:paraId="1CAF65A4" w14:textId="77777777" w:rsidR="00140B7C" w:rsidRPr="00EC4EC4" w:rsidRDefault="00140B7C" w:rsidP="00140B7C">
      <w:pPr>
        <w:spacing w:after="0" w:line="247" w:lineRule="auto"/>
        <w:ind w:left="360"/>
        <w:jc w:val="center"/>
        <w:rPr>
          <w:rFonts w:eastAsia="Times New Roman" w:cs="Times New Roman"/>
          <w:b/>
          <w:bCs/>
          <w:color w:val="000000"/>
          <w:sz w:val="16"/>
          <w:szCs w:val="16"/>
        </w:rPr>
      </w:pPr>
    </w:p>
    <w:p w14:paraId="0FDAF908" w14:textId="77777777" w:rsidR="00140B7C" w:rsidRPr="00EC4EC4" w:rsidRDefault="00140B7C" w:rsidP="00140B7C">
      <w:pPr>
        <w:spacing w:after="0" w:line="247" w:lineRule="auto"/>
        <w:ind w:left="360"/>
        <w:jc w:val="center"/>
        <w:rPr>
          <w:rFonts w:eastAsia="Times New Roman" w:cs="Times New Roman"/>
          <w:b/>
          <w:bCs/>
          <w:color w:val="000000"/>
          <w:sz w:val="16"/>
          <w:szCs w:val="16"/>
        </w:rPr>
      </w:pPr>
    </w:p>
    <w:p w14:paraId="5E906113" w14:textId="77777777" w:rsidR="00140B7C" w:rsidRPr="00EC4EC4" w:rsidRDefault="00140B7C" w:rsidP="00140B7C">
      <w:pPr>
        <w:spacing w:after="0" w:line="247" w:lineRule="auto"/>
        <w:ind w:left="360"/>
        <w:jc w:val="center"/>
        <w:rPr>
          <w:rFonts w:eastAsia="Times New Roman" w:cs="Times New Roman"/>
          <w:b/>
          <w:bCs/>
          <w:color w:val="000000"/>
          <w:sz w:val="16"/>
          <w:szCs w:val="16"/>
        </w:rPr>
      </w:pPr>
    </w:p>
    <w:p w14:paraId="63E90671" w14:textId="583B1582" w:rsidR="00140B7C" w:rsidRPr="00EC4EC4" w:rsidRDefault="00140B7C" w:rsidP="00140B7C">
      <w:pPr>
        <w:kinsoku w:val="0"/>
        <w:spacing w:after="240" w:line="240" w:lineRule="auto"/>
        <w:ind w:firstLine="720"/>
        <w:jc w:val="both"/>
        <w:rPr>
          <w:rFonts w:cs="Times New Roman"/>
          <w:sz w:val="23"/>
          <w:szCs w:val="23"/>
        </w:rPr>
      </w:pPr>
      <w:r w:rsidRPr="00EC4EC4">
        <w:br w:type="page"/>
      </w:r>
      <w:r w:rsidRPr="00EC4EC4">
        <w:rPr>
          <w:rFonts w:cs="Times New Roman"/>
          <w:sz w:val="23"/>
          <w:szCs w:val="23"/>
        </w:rPr>
        <w:lastRenderedPageBreak/>
        <w:t>§</w:t>
      </w:r>
      <w:r>
        <w:rPr>
          <w:rFonts w:cs="Times New Roman"/>
          <w:sz w:val="23"/>
          <w:szCs w:val="23"/>
        </w:rPr>
        <w:t>13</w:t>
      </w:r>
      <w:r w:rsidR="009455B3">
        <w:rPr>
          <w:rFonts w:cs="Times New Roman"/>
          <w:sz w:val="23"/>
          <w:szCs w:val="23"/>
        </w:rPr>
        <w:t>4</w:t>
      </w:r>
      <w:r w:rsidRPr="00EC4EC4">
        <w:rPr>
          <w:rFonts w:cs="Times New Roman"/>
          <w:sz w:val="23"/>
          <w:szCs w:val="23"/>
        </w:rPr>
        <w:t>. Table 72</w:t>
      </w:r>
      <w:r>
        <w:rPr>
          <w:rFonts w:cs="Times New Roman"/>
          <w:sz w:val="23"/>
          <w:szCs w:val="23"/>
        </w:rPr>
        <w:t>2</w:t>
      </w:r>
      <w:r w:rsidRPr="00EC4EC4">
        <w:rPr>
          <w:rFonts w:cs="Times New Roman"/>
          <w:sz w:val="23"/>
          <w:szCs w:val="23"/>
        </w:rPr>
        <w:t>.5.1(10) of  the New York city building code, as renumbered and amended by local law number 126 for the year 2021, is amended to read as follows:</w:t>
      </w:r>
    </w:p>
    <w:tbl>
      <w:tblPr>
        <w:tblW w:w="4920" w:type="dxa"/>
        <w:jc w:val="center"/>
        <w:tblLayout w:type="fixed"/>
        <w:tblCellMar>
          <w:left w:w="0" w:type="dxa"/>
          <w:right w:w="0" w:type="dxa"/>
        </w:tblCellMar>
        <w:tblLook w:val="0000" w:firstRow="0" w:lastRow="0" w:firstColumn="0" w:lastColumn="0" w:noHBand="0" w:noVBand="0"/>
      </w:tblPr>
      <w:tblGrid>
        <w:gridCol w:w="1186"/>
        <w:gridCol w:w="744"/>
        <w:gridCol w:w="748"/>
        <w:gridCol w:w="744"/>
        <w:gridCol w:w="744"/>
        <w:gridCol w:w="754"/>
      </w:tblGrid>
      <w:tr w:rsidR="00140B7C" w:rsidRPr="00EC4EC4" w14:paraId="5AD163EC" w14:textId="77777777" w:rsidTr="00BC1087">
        <w:trPr>
          <w:cantSplit/>
          <w:trHeight w:hRule="exact" w:val="1346"/>
          <w:tblHeader/>
          <w:jc w:val="center"/>
        </w:trPr>
        <w:tc>
          <w:tcPr>
            <w:tcW w:w="4920" w:type="dxa"/>
            <w:gridSpan w:val="6"/>
            <w:tcBorders>
              <w:bottom w:val="nil"/>
            </w:tcBorders>
            <w:vAlign w:val="center"/>
          </w:tcPr>
          <w:p w14:paraId="7DA91682" w14:textId="77777777" w:rsidR="00140B7C" w:rsidRPr="00EC4EC4" w:rsidRDefault="00140B7C" w:rsidP="00BC1087">
            <w:pPr>
              <w:spacing w:after="0" w:line="240" w:lineRule="auto"/>
              <w:jc w:val="center"/>
              <w:rPr>
                <w:rFonts w:eastAsia="Times New Roman" w:cs="Times New Roman"/>
                <w:b/>
                <w:bCs/>
                <w:color w:val="000000"/>
                <w:sz w:val="20"/>
                <w:szCs w:val="20"/>
              </w:rPr>
            </w:pPr>
            <w:r w:rsidRPr="00EC4EC4">
              <w:rPr>
                <w:rFonts w:eastAsia="Times New Roman" w:cs="Times New Roman"/>
                <w:b/>
                <w:bCs/>
                <w:color w:val="000000"/>
                <w:sz w:val="20"/>
                <w:szCs w:val="20"/>
              </w:rPr>
              <w:t>TABLE 722.5.1(10)</w:t>
            </w:r>
            <w:r w:rsidRPr="00EC4EC4">
              <w:rPr>
                <w:rFonts w:eastAsia="Times New Roman" w:cs="Times New Roman"/>
                <w:b/>
                <w:bCs/>
                <w:color w:val="000000"/>
                <w:sz w:val="20"/>
                <w:szCs w:val="20"/>
              </w:rPr>
              <w:br/>
              <w:t xml:space="preserve">MINIMUM COVER (inch) FOR STEEL COLUMNS </w:t>
            </w:r>
            <w:r w:rsidRPr="00EC4EC4">
              <w:rPr>
                <w:rFonts w:eastAsia="Times New Roman" w:cs="Times New Roman"/>
                <w:b/>
                <w:bCs/>
                <w:color w:val="000000"/>
                <w:spacing w:val="-1"/>
                <w:sz w:val="20"/>
                <w:szCs w:val="20"/>
              </w:rPr>
              <w:t>IN STRUCTURAL LIGHTWEIGHT PRECAST COVERS</w:t>
            </w:r>
            <w:r w:rsidRPr="00EC4EC4">
              <w:rPr>
                <w:rFonts w:eastAsia="Times New Roman" w:cs="Times New Roman"/>
                <w:b/>
                <w:bCs/>
                <w:color w:val="000000"/>
                <w:spacing w:val="-1"/>
                <w:sz w:val="20"/>
                <w:szCs w:val="20"/>
                <w:vertAlign w:val="superscript"/>
              </w:rPr>
              <w:t>a</w:t>
            </w:r>
            <w:r w:rsidRPr="00EC4EC4">
              <w:rPr>
                <w:rFonts w:eastAsia="Times New Roman" w:cs="Times New Roman"/>
                <w:b/>
                <w:bCs/>
                <w:color w:val="000000"/>
                <w:spacing w:val="-1"/>
                <w:sz w:val="20"/>
                <w:szCs w:val="20"/>
              </w:rPr>
              <w:br/>
            </w:r>
            <w:r w:rsidRPr="00EC4EC4">
              <w:rPr>
                <w:rFonts w:eastAsia="Times New Roman" w:cs="Times New Roman"/>
                <w:b/>
                <w:bCs/>
                <w:color w:val="000000"/>
                <w:spacing w:val="-2"/>
                <w:sz w:val="20"/>
                <w:szCs w:val="20"/>
              </w:rPr>
              <w:t>[</w:t>
            </w:r>
            <w:r w:rsidRPr="00EC4EC4">
              <w:rPr>
                <w:rFonts w:eastAsia="Times New Roman" w:cs="Times New Roman"/>
                <w:b/>
                <w:bCs/>
                <w:strike/>
                <w:color w:val="000000"/>
                <w:spacing w:val="-2"/>
                <w:sz w:val="20"/>
                <w:szCs w:val="20"/>
              </w:rPr>
              <w:t>[</w:t>
            </w:r>
            <w:r w:rsidRPr="00EC4EC4">
              <w:rPr>
                <w:rFonts w:eastAsia="Times New Roman" w:cs="Times New Roman"/>
                <w:b/>
                <w:bCs/>
                <w:color w:val="000000"/>
                <w:spacing w:val="-2"/>
                <w:sz w:val="20"/>
                <w:szCs w:val="20"/>
              </w:rPr>
              <w:t>]FIGURE 722.5.1(6)(a)</w:t>
            </w:r>
          </w:p>
        </w:tc>
      </w:tr>
      <w:tr w:rsidR="00140B7C" w:rsidRPr="00EC4EC4" w14:paraId="4E3EA08E" w14:textId="77777777" w:rsidTr="00BC1087">
        <w:trPr>
          <w:cantSplit/>
          <w:trHeight w:hRule="exact" w:val="283"/>
          <w:tblHeader/>
          <w:jc w:val="center"/>
        </w:trPr>
        <w:tc>
          <w:tcPr>
            <w:tcW w:w="1186" w:type="dxa"/>
            <w:vMerge w:val="restart"/>
            <w:tcBorders>
              <w:top w:val="single" w:sz="2" w:space="0" w:color="auto"/>
              <w:left w:val="single" w:sz="2" w:space="0" w:color="auto"/>
              <w:bottom w:val="nil"/>
              <w:right w:val="single" w:sz="2" w:space="0" w:color="auto"/>
            </w:tcBorders>
            <w:vAlign w:val="center"/>
          </w:tcPr>
          <w:p w14:paraId="2DF347C0"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STRUCTURAL</w:t>
            </w:r>
            <w:r w:rsidRPr="00EC4EC4">
              <w:rPr>
                <w:rFonts w:eastAsia="Times New Roman" w:cs="Times New Roman"/>
                <w:b/>
                <w:bCs/>
                <w:color w:val="000000"/>
                <w:sz w:val="14"/>
                <w:szCs w:val="14"/>
              </w:rPr>
              <w:br/>
              <w:t>SHAPE</w:t>
            </w:r>
          </w:p>
        </w:tc>
        <w:tc>
          <w:tcPr>
            <w:tcW w:w="3734" w:type="dxa"/>
            <w:gridSpan w:val="5"/>
            <w:tcBorders>
              <w:top w:val="single" w:sz="2" w:space="0" w:color="auto"/>
              <w:left w:val="single" w:sz="2" w:space="0" w:color="auto"/>
              <w:bottom w:val="single" w:sz="2" w:space="0" w:color="auto"/>
              <w:right w:val="single" w:sz="2" w:space="0" w:color="auto"/>
            </w:tcBorders>
            <w:vAlign w:val="center"/>
          </w:tcPr>
          <w:p w14:paraId="6914639E" w14:textId="77777777" w:rsidR="00140B7C" w:rsidRPr="00EC4EC4" w:rsidRDefault="00140B7C" w:rsidP="00BC1087">
            <w:pPr>
              <w:spacing w:after="0" w:line="240" w:lineRule="auto"/>
              <w:ind w:left="360"/>
              <w:jc w:val="center"/>
              <w:rPr>
                <w:rFonts w:eastAsia="Times New Roman" w:cs="Times New Roman"/>
                <w:b/>
                <w:bCs/>
                <w:color w:val="000000"/>
                <w:sz w:val="14"/>
                <w:szCs w:val="14"/>
              </w:rPr>
            </w:pPr>
            <w:r w:rsidRPr="00EC4EC4">
              <w:rPr>
                <w:rFonts w:eastAsia="Times New Roman" w:cs="Times New Roman"/>
                <w:b/>
                <w:bCs/>
                <w:color w:val="000000"/>
                <w:sz w:val="14"/>
                <w:szCs w:val="14"/>
              </w:rPr>
              <w:t>FIRE-RESISTANCE RATING (hours)</w:t>
            </w:r>
          </w:p>
        </w:tc>
      </w:tr>
      <w:tr w:rsidR="00140B7C" w:rsidRPr="00EC4EC4" w14:paraId="29D72416" w14:textId="77777777" w:rsidTr="00BC1087">
        <w:trPr>
          <w:cantSplit/>
          <w:trHeight w:hRule="exact" w:val="283"/>
          <w:tblHeader/>
          <w:jc w:val="center"/>
        </w:trPr>
        <w:tc>
          <w:tcPr>
            <w:tcW w:w="1186" w:type="dxa"/>
            <w:vMerge/>
            <w:tcBorders>
              <w:top w:val="nil"/>
              <w:left w:val="single" w:sz="2" w:space="0" w:color="auto"/>
              <w:bottom w:val="single" w:sz="2" w:space="0" w:color="auto"/>
              <w:right w:val="single" w:sz="2" w:space="0" w:color="auto"/>
            </w:tcBorders>
            <w:vAlign w:val="center"/>
          </w:tcPr>
          <w:p w14:paraId="53A2409A" w14:textId="77777777" w:rsidR="00140B7C" w:rsidRPr="00EC4EC4" w:rsidRDefault="00140B7C" w:rsidP="00BC1087">
            <w:pPr>
              <w:spacing w:after="0" w:line="240" w:lineRule="auto"/>
              <w:jc w:val="center"/>
              <w:rPr>
                <w:rFonts w:eastAsia="Times New Roman" w:cs="Times New Roman"/>
                <w:b/>
                <w:bCs/>
                <w:color w:val="000000"/>
                <w:sz w:val="14"/>
                <w:szCs w:val="14"/>
              </w:rPr>
            </w:pPr>
          </w:p>
        </w:tc>
        <w:tc>
          <w:tcPr>
            <w:tcW w:w="744" w:type="dxa"/>
            <w:tcBorders>
              <w:top w:val="single" w:sz="2" w:space="0" w:color="auto"/>
              <w:left w:val="single" w:sz="2" w:space="0" w:color="auto"/>
              <w:bottom w:val="single" w:sz="2" w:space="0" w:color="auto"/>
              <w:right w:val="single" w:sz="2" w:space="0" w:color="auto"/>
            </w:tcBorders>
            <w:vAlign w:val="center"/>
          </w:tcPr>
          <w:p w14:paraId="129525B2"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1</w:t>
            </w:r>
          </w:p>
        </w:tc>
        <w:tc>
          <w:tcPr>
            <w:tcW w:w="748" w:type="dxa"/>
            <w:tcBorders>
              <w:top w:val="single" w:sz="2" w:space="0" w:color="auto"/>
              <w:left w:val="single" w:sz="2" w:space="0" w:color="auto"/>
              <w:bottom w:val="single" w:sz="2" w:space="0" w:color="auto"/>
              <w:right w:val="single" w:sz="2" w:space="0" w:color="auto"/>
            </w:tcBorders>
            <w:vAlign w:val="center"/>
          </w:tcPr>
          <w:p w14:paraId="7ED3D7A8" w14:textId="77777777" w:rsidR="00140B7C" w:rsidRPr="00EC4EC4" w:rsidRDefault="00140B7C" w:rsidP="00BC1087">
            <w:pPr>
              <w:spacing w:after="0" w:line="240" w:lineRule="auto"/>
              <w:ind w:left="-10"/>
              <w:jc w:val="center"/>
              <w:rPr>
                <w:rFonts w:eastAsia="Times New Roman" w:cs="Times New Roman"/>
                <w:b/>
                <w:bCs/>
                <w:color w:val="000000"/>
                <w:sz w:val="6"/>
                <w:szCs w:val="6"/>
              </w:rPr>
            </w:pPr>
            <w:r w:rsidRPr="00EC4EC4">
              <w:rPr>
                <w:rFonts w:eastAsia="Times New Roman" w:cs="Times New Roman"/>
                <w:b/>
                <w:bCs/>
                <w:color w:val="000000"/>
                <w:sz w:val="14"/>
                <w:szCs w:val="14"/>
              </w:rPr>
              <w:t>1</w:t>
            </w:r>
            <w:r w:rsidRPr="00EC4EC4">
              <w:rPr>
                <w:rFonts w:eastAsia="Times New Roman" w:cs="Times New Roman"/>
                <w:b/>
                <w:bCs/>
                <w:color w:val="000000"/>
                <w:sz w:val="14"/>
                <w:szCs w:val="14"/>
                <w:vertAlign w:val="superscript"/>
              </w:rPr>
              <w:t>1</w:t>
            </w:r>
            <w:r w:rsidRPr="00EC4EC4">
              <w:rPr>
                <w:rFonts w:eastAsia="Times New Roman" w:cs="Times New Roman"/>
                <w:b/>
                <w:bCs/>
                <w:color w:val="000000"/>
                <w:sz w:val="14"/>
                <w:szCs w:val="14"/>
              </w:rPr>
              <w:t>/</w:t>
            </w:r>
            <w:r w:rsidRPr="00EC4EC4">
              <w:rPr>
                <w:rFonts w:eastAsia="Times New Roman" w:cs="Times New Roman"/>
                <w:b/>
                <w:bCs/>
                <w:color w:val="000000"/>
                <w:w w:val="120"/>
                <w:sz w:val="14"/>
                <w:szCs w:val="14"/>
                <w:vertAlign w:val="subscript"/>
              </w:rPr>
              <w:t>2</w:t>
            </w:r>
          </w:p>
        </w:tc>
        <w:tc>
          <w:tcPr>
            <w:tcW w:w="744" w:type="dxa"/>
            <w:tcBorders>
              <w:top w:val="single" w:sz="2" w:space="0" w:color="auto"/>
              <w:left w:val="single" w:sz="2" w:space="0" w:color="auto"/>
              <w:bottom w:val="single" w:sz="2" w:space="0" w:color="auto"/>
              <w:right w:val="single" w:sz="2" w:space="0" w:color="auto"/>
            </w:tcBorders>
            <w:vAlign w:val="center"/>
          </w:tcPr>
          <w:p w14:paraId="20053880"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2</w:t>
            </w:r>
          </w:p>
        </w:tc>
        <w:tc>
          <w:tcPr>
            <w:tcW w:w="744" w:type="dxa"/>
            <w:tcBorders>
              <w:top w:val="single" w:sz="2" w:space="0" w:color="auto"/>
              <w:left w:val="single" w:sz="2" w:space="0" w:color="auto"/>
              <w:bottom w:val="single" w:sz="2" w:space="0" w:color="auto"/>
              <w:right w:val="single" w:sz="2" w:space="0" w:color="auto"/>
            </w:tcBorders>
            <w:vAlign w:val="center"/>
          </w:tcPr>
          <w:p w14:paraId="035552B5"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3</w:t>
            </w:r>
          </w:p>
        </w:tc>
        <w:tc>
          <w:tcPr>
            <w:tcW w:w="754" w:type="dxa"/>
            <w:tcBorders>
              <w:top w:val="single" w:sz="2" w:space="0" w:color="auto"/>
              <w:left w:val="single" w:sz="2" w:space="0" w:color="auto"/>
              <w:bottom w:val="single" w:sz="2" w:space="0" w:color="auto"/>
              <w:right w:val="single" w:sz="2" w:space="0" w:color="auto"/>
            </w:tcBorders>
            <w:vAlign w:val="center"/>
          </w:tcPr>
          <w:p w14:paraId="7B5292D0" w14:textId="77777777" w:rsidR="00140B7C" w:rsidRPr="00EC4EC4" w:rsidRDefault="00140B7C" w:rsidP="00BC1087">
            <w:pPr>
              <w:spacing w:after="0" w:line="240" w:lineRule="auto"/>
              <w:jc w:val="center"/>
              <w:rPr>
                <w:rFonts w:eastAsia="Times New Roman" w:cs="Times New Roman"/>
                <w:b/>
                <w:bCs/>
                <w:color w:val="000000"/>
                <w:sz w:val="14"/>
                <w:szCs w:val="14"/>
              </w:rPr>
            </w:pPr>
            <w:r w:rsidRPr="00EC4EC4">
              <w:rPr>
                <w:rFonts w:eastAsia="Times New Roman" w:cs="Times New Roman"/>
                <w:b/>
                <w:bCs/>
                <w:color w:val="000000"/>
                <w:sz w:val="14"/>
                <w:szCs w:val="14"/>
              </w:rPr>
              <w:t>4</w:t>
            </w:r>
          </w:p>
        </w:tc>
      </w:tr>
      <w:tr w:rsidR="00140B7C" w:rsidRPr="00EC4EC4" w14:paraId="3C2AEBD5" w14:textId="77777777" w:rsidTr="00BC1087">
        <w:trPr>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3D902766" w14:textId="77777777" w:rsidR="00140B7C" w:rsidRPr="00EC4EC4" w:rsidRDefault="00140B7C" w:rsidP="00BC1087">
            <w:pPr>
              <w:spacing w:after="0" w:line="240" w:lineRule="auto"/>
              <w:jc w:val="center"/>
              <w:rPr>
                <w:rFonts w:eastAsia="Times New Roman" w:cs="Times New Roman"/>
                <w:color w:val="000000"/>
                <w:spacing w:val="-8"/>
                <w:w w:val="110"/>
                <w:sz w:val="18"/>
                <w:szCs w:val="18"/>
              </w:rPr>
            </w:pPr>
            <w:r w:rsidRPr="00EC4EC4">
              <w:rPr>
                <w:rFonts w:eastAsia="Times New Roman" w:cs="Times New Roman"/>
                <w:color w:val="000000"/>
                <w:spacing w:val="-8"/>
                <w:w w:val="110"/>
                <w:sz w:val="18"/>
                <w:szCs w:val="18"/>
              </w:rPr>
              <w:t>W14 × 233</w:t>
            </w:r>
          </w:p>
        </w:tc>
        <w:tc>
          <w:tcPr>
            <w:tcW w:w="744" w:type="dxa"/>
            <w:vMerge w:val="restart"/>
            <w:tcBorders>
              <w:top w:val="single" w:sz="2" w:space="0" w:color="auto"/>
              <w:left w:val="single" w:sz="2" w:space="0" w:color="auto"/>
              <w:right w:val="single" w:sz="2" w:space="0" w:color="auto"/>
            </w:tcBorders>
            <w:vAlign w:val="center"/>
          </w:tcPr>
          <w:p w14:paraId="5E4451DD"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8" w:type="dxa"/>
            <w:vMerge w:val="restart"/>
            <w:tcBorders>
              <w:top w:val="single" w:sz="2" w:space="0" w:color="auto"/>
              <w:left w:val="single" w:sz="2" w:space="0" w:color="auto"/>
              <w:right w:val="single" w:sz="2" w:space="0" w:color="auto"/>
            </w:tcBorders>
            <w:vAlign w:val="center"/>
          </w:tcPr>
          <w:p w14:paraId="7E057501" w14:textId="77777777" w:rsidR="00140B7C" w:rsidRPr="00EC4EC4" w:rsidRDefault="00140B7C" w:rsidP="00BC1087">
            <w:pPr>
              <w:spacing w:after="0" w:line="240" w:lineRule="auto"/>
              <w:ind w:left="-10"/>
              <w:jc w:val="center"/>
              <w:rPr>
                <w:rFonts w:eastAsia="Times New Roman" w:cs="Times New Roman"/>
                <w:color w:val="000000"/>
                <w:w w:val="110"/>
                <w:sz w:val="18"/>
                <w:szCs w:val="18"/>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4" w:type="dxa"/>
            <w:vMerge w:val="restart"/>
            <w:tcBorders>
              <w:top w:val="single" w:sz="2" w:space="0" w:color="auto"/>
              <w:left w:val="single" w:sz="2" w:space="0" w:color="auto"/>
              <w:right w:val="single" w:sz="2" w:space="0" w:color="auto"/>
            </w:tcBorders>
            <w:vAlign w:val="center"/>
          </w:tcPr>
          <w:p w14:paraId="3266B2E2"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4" w:type="dxa"/>
            <w:vMerge w:val="restart"/>
            <w:tcBorders>
              <w:top w:val="single" w:sz="2" w:space="0" w:color="auto"/>
              <w:left w:val="single" w:sz="2" w:space="0" w:color="auto"/>
              <w:right w:val="single" w:sz="2" w:space="0" w:color="auto"/>
            </w:tcBorders>
            <w:vAlign w:val="center"/>
          </w:tcPr>
          <w:p w14:paraId="28E943F9"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54" w:type="dxa"/>
            <w:tcBorders>
              <w:top w:val="single" w:sz="2" w:space="0" w:color="auto"/>
              <w:left w:val="single" w:sz="2" w:space="0" w:color="auto"/>
              <w:bottom w:val="single" w:sz="2" w:space="0" w:color="auto"/>
              <w:right w:val="single" w:sz="2" w:space="0" w:color="auto"/>
            </w:tcBorders>
            <w:vAlign w:val="center"/>
          </w:tcPr>
          <w:p w14:paraId="17E15FF5"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05E5C132" w14:textId="77777777" w:rsidTr="00BC1087">
        <w:trPr>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55A61C33"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176</w:t>
            </w:r>
          </w:p>
        </w:tc>
        <w:tc>
          <w:tcPr>
            <w:tcW w:w="744" w:type="dxa"/>
            <w:vMerge/>
            <w:tcBorders>
              <w:left w:val="single" w:sz="2" w:space="0" w:color="auto"/>
              <w:right w:val="single" w:sz="2" w:space="0" w:color="auto"/>
            </w:tcBorders>
            <w:vAlign w:val="center"/>
          </w:tcPr>
          <w:p w14:paraId="6094B7DA" w14:textId="77777777" w:rsidR="00140B7C" w:rsidRPr="00EC4EC4" w:rsidRDefault="00140B7C" w:rsidP="00BC1087">
            <w:pPr>
              <w:spacing w:after="0" w:line="240" w:lineRule="auto"/>
              <w:jc w:val="center"/>
              <w:rPr>
                <w:rFonts w:eastAsia="Times New Roman" w:cs="Times New Roman"/>
                <w:color w:val="000000"/>
              </w:rPr>
            </w:pPr>
          </w:p>
        </w:tc>
        <w:tc>
          <w:tcPr>
            <w:tcW w:w="748" w:type="dxa"/>
            <w:vMerge/>
            <w:tcBorders>
              <w:left w:val="single" w:sz="2" w:space="0" w:color="auto"/>
              <w:right w:val="single" w:sz="2" w:space="0" w:color="auto"/>
            </w:tcBorders>
            <w:vAlign w:val="center"/>
          </w:tcPr>
          <w:p w14:paraId="445E128B" w14:textId="77777777" w:rsidR="00140B7C" w:rsidRPr="00EC4EC4" w:rsidRDefault="00140B7C" w:rsidP="00BC1087">
            <w:pPr>
              <w:spacing w:after="0" w:line="240" w:lineRule="auto"/>
              <w:ind w:left="-10"/>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vAlign w:val="center"/>
          </w:tcPr>
          <w:p w14:paraId="67FA2AFF"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bottom w:val="single" w:sz="2" w:space="0" w:color="auto"/>
              <w:right w:val="single" w:sz="2" w:space="0" w:color="auto"/>
            </w:tcBorders>
            <w:vAlign w:val="center"/>
          </w:tcPr>
          <w:p w14:paraId="035063F0"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54" w:type="dxa"/>
            <w:vMerge w:val="restart"/>
            <w:tcBorders>
              <w:top w:val="single" w:sz="2" w:space="0" w:color="auto"/>
              <w:left w:val="single" w:sz="2" w:space="0" w:color="auto"/>
              <w:right w:val="single" w:sz="2" w:space="0" w:color="auto"/>
            </w:tcBorders>
            <w:vAlign w:val="center"/>
          </w:tcPr>
          <w:p w14:paraId="3E16A5DC"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p>
        </w:tc>
      </w:tr>
      <w:tr w:rsidR="00140B7C" w:rsidRPr="00EC4EC4" w14:paraId="4AFC9482" w14:textId="77777777" w:rsidTr="00BC1087">
        <w:trPr>
          <w:trHeight w:hRule="exact" w:val="321"/>
          <w:jc w:val="center"/>
        </w:trPr>
        <w:tc>
          <w:tcPr>
            <w:tcW w:w="1186" w:type="dxa"/>
            <w:tcBorders>
              <w:top w:val="single" w:sz="2" w:space="0" w:color="auto"/>
              <w:left w:val="single" w:sz="2" w:space="0" w:color="auto"/>
              <w:bottom w:val="single" w:sz="2" w:space="0" w:color="auto"/>
              <w:right w:val="single" w:sz="2" w:space="0" w:color="auto"/>
            </w:tcBorders>
            <w:vAlign w:val="center"/>
          </w:tcPr>
          <w:p w14:paraId="5A313E3B"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145</w:t>
            </w:r>
          </w:p>
        </w:tc>
        <w:tc>
          <w:tcPr>
            <w:tcW w:w="744" w:type="dxa"/>
            <w:vMerge/>
            <w:tcBorders>
              <w:left w:val="single" w:sz="2" w:space="0" w:color="auto"/>
              <w:right w:val="single" w:sz="2" w:space="0" w:color="auto"/>
            </w:tcBorders>
            <w:vAlign w:val="center"/>
          </w:tcPr>
          <w:p w14:paraId="2E2D3793" w14:textId="77777777" w:rsidR="00140B7C" w:rsidRPr="00EC4EC4" w:rsidRDefault="00140B7C" w:rsidP="00BC1087">
            <w:pPr>
              <w:spacing w:after="0" w:line="240" w:lineRule="auto"/>
              <w:jc w:val="center"/>
              <w:rPr>
                <w:rFonts w:eastAsia="Times New Roman" w:cs="Times New Roman"/>
                <w:color w:val="000000"/>
              </w:rPr>
            </w:pPr>
          </w:p>
        </w:tc>
        <w:tc>
          <w:tcPr>
            <w:tcW w:w="748" w:type="dxa"/>
            <w:vMerge/>
            <w:tcBorders>
              <w:left w:val="single" w:sz="2" w:space="0" w:color="auto"/>
              <w:right w:val="single" w:sz="2" w:space="0" w:color="auto"/>
            </w:tcBorders>
            <w:vAlign w:val="center"/>
          </w:tcPr>
          <w:p w14:paraId="17B9C996" w14:textId="77777777" w:rsidR="00140B7C" w:rsidRPr="00EC4EC4" w:rsidRDefault="00140B7C" w:rsidP="00BC1087">
            <w:pPr>
              <w:spacing w:after="0" w:line="240" w:lineRule="auto"/>
              <w:ind w:left="-10"/>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4D774866" w14:textId="77777777" w:rsidR="00140B7C" w:rsidRPr="00EC4EC4" w:rsidRDefault="00140B7C" w:rsidP="00BC1087">
            <w:pPr>
              <w:spacing w:after="0" w:line="240" w:lineRule="auto"/>
              <w:jc w:val="center"/>
              <w:rPr>
                <w:rFonts w:eastAsia="Times New Roman" w:cs="Times New Roman"/>
                <w:color w:val="000000"/>
                <w:w w:val="120"/>
                <w:sz w:val="11"/>
                <w:szCs w:val="11"/>
              </w:rPr>
            </w:pPr>
          </w:p>
        </w:tc>
        <w:tc>
          <w:tcPr>
            <w:tcW w:w="744" w:type="dxa"/>
            <w:vMerge w:val="restart"/>
            <w:tcBorders>
              <w:top w:val="single" w:sz="2" w:space="0" w:color="auto"/>
              <w:left w:val="single" w:sz="2" w:space="0" w:color="auto"/>
              <w:right w:val="single" w:sz="2" w:space="0" w:color="auto"/>
            </w:tcBorders>
            <w:vAlign w:val="center"/>
          </w:tcPr>
          <w:p w14:paraId="742140C7"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54" w:type="dxa"/>
            <w:vMerge/>
            <w:tcBorders>
              <w:left w:val="single" w:sz="2" w:space="0" w:color="auto"/>
              <w:right w:val="single" w:sz="2" w:space="0" w:color="auto"/>
            </w:tcBorders>
            <w:vAlign w:val="center"/>
          </w:tcPr>
          <w:p w14:paraId="3ABEF653"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6995B74F" w14:textId="77777777" w:rsidTr="00BC1087">
        <w:trPr>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56DA2E9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132</w:t>
            </w:r>
          </w:p>
        </w:tc>
        <w:tc>
          <w:tcPr>
            <w:tcW w:w="744" w:type="dxa"/>
            <w:vMerge/>
            <w:tcBorders>
              <w:left w:val="single" w:sz="2" w:space="0" w:color="auto"/>
              <w:right w:val="single" w:sz="2" w:space="0" w:color="auto"/>
            </w:tcBorders>
            <w:vAlign w:val="center"/>
          </w:tcPr>
          <w:p w14:paraId="0B396DBC" w14:textId="77777777" w:rsidR="00140B7C" w:rsidRPr="00EC4EC4" w:rsidRDefault="00140B7C" w:rsidP="00BC1087">
            <w:pPr>
              <w:spacing w:after="0" w:line="240" w:lineRule="auto"/>
              <w:jc w:val="center"/>
              <w:rPr>
                <w:rFonts w:eastAsia="Times New Roman" w:cs="Times New Roman"/>
                <w:color w:val="000000"/>
              </w:rPr>
            </w:pPr>
          </w:p>
        </w:tc>
        <w:tc>
          <w:tcPr>
            <w:tcW w:w="748" w:type="dxa"/>
            <w:vMerge/>
            <w:tcBorders>
              <w:left w:val="single" w:sz="2" w:space="0" w:color="auto"/>
              <w:right w:val="single" w:sz="2" w:space="0" w:color="auto"/>
            </w:tcBorders>
            <w:vAlign w:val="center"/>
          </w:tcPr>
          <w:p w14:paraId="35337ED8" w14:textId="77777777" w:rsidR="00140B7C" w:rsidRPr="00EC4EC4" w:rsidRDefault="00140B7C" w:rsidP="00BC1087">
            <w:pPr>
              <w:spacing w:after="0" w:line="240" w:lineRule="auto"/>
              <w:ind w:left="-10"/>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1395EB21"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796A0F7A" w14:textId="77777777" w:rsidR="00140B7C" w:rsidRPr="00EC4EC4" w:rsidRDefault="00140B7C" w:rsidP="00BC1087">
            <w:pPr>
              <w:spacing w:after="0" w:line="240" w:lineRule="auto"/>
              <w:jc w:val="center"/>
              <w:rPr>
                <w:rFonts w:eastAsia="Times New Roman" w:cs="Times New Roman"/>
                <w:color w:val="000000"/>
              </w:rPr>
            </w:pPr>
          </w:p>
        </w:tc>
        <w:tc>
          <w:tcPr>
            <w:tcW w:w="754" w:type="dxa"/>
            <w:vMerge/>
            <w:tcBorders>
              <w:left w:val="single" w:sz="2" w:space="0" w:color="auto"/>
              <w:right w:val="single" w:sz="2" w:space="0" w:color="auto"/>
            </w:tcBorders>
            <w:vAlign w:val="center"/>
          </w:tcPr>
          <w:p w14:paraId="74E0A7E3"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504101BE" w14:textId="77777777" w:rsidTr="00BC1087">
        <w:trPr>
          <w:cantSplit/>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2FA637AE"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109</w:t>
            </w:r>
          </w:p>
        </w:tc>
        <w:tc>
          <w:tcPr>
            <w:tcW w:w="744" w:type="dxa"/>
            <w:vMerge/>
            <w:tcBorders>
              <w:left w:val="single" w:sz="2" w:space="0" w:color="auto"/>
              <w:right w:val="single" w:sz="2" w:space="0" w:color="auto"/>
            </w:tcBorders>
            <w:vAlign w:val="center"/>
          </w:tcPr>
          <w:p w14:paraId="16B2C9DB" w14:textId="77777777" w:rsidR="00140B7C" w:rsidRPr="00EC4EC4" w:rsidRDefault="00140B7C" w:rsidP="00BC1087">
            <w:pPr>
              <w:spacing w:after="0" w:line="240" w:lineRule="auto"/>
              <w:jc w:val="center"/>
              <w:rPr>
                <w:rFonts w:eastAsia="Times New Roman" w:cs="Times New Roman"/>
                <w:color w:val="000000"/>
                <w:w w:val="120"/>
                <w:sz w:val="11"/>
                <w:szCs w:val="11"/>
              </w:rPr>
            </w:pPr>
          </w:p>
        </w:tc>
        <w:tc>
          <w:tcPr>
            <w:tcW w:w="748" w:type="dxa"/>
            <w:vMerge/>
            <w:tcBorders>
              <w:left w:val="single" w:sz="2" w:space="0" w:color="auto"/>
              <w:right w:val="single" w:sz="2" w:space="0" w:color="auto"/>
            </w:tcBorders>
            <w:vAlign w:val="center"/>
          </w:tcPr>
          <w:p w14:paraId="63F6A083" w14:textId="77777777" w:rsidR="00140B7C" w:rsidRPr="00EC4EC4" w:rsidRDefault="00140B7C" w:rsidP="00BC1087">
            <w:pPr>
              <w:spacing w:after="0" w:line="240" w:lineRule="auto"/>
              <w:ind w:left="-10"/>
              <w:jc w:val="center"/>
              <w:rPr>
                <w:rFonts w:eastAsia="Times New Roman" w:cs="Times New Roman"/>
                <w:color w:val="000000"/>
                <w:w w:val="110"/>
                <w:sz w:val="18"/>
                <w:szCs w:val="18"/>
              </w:rPr>
            </w:pPr>
          </w:p>
        </w:tc>
        <w:tc>
          <w:tcPr>
            <w:tcW w:w="744" w:type="dxa"/>
            <w:vMerge/>
            <w:tcBorders>
              <w:left w:val="single" w:sz="2" w:space="0" w:color="auto"/>
              <w:bottom w:val="single" w:sz="2" w:space="0" w:color="auto"/>
              <w:right w:val="single" w:sz="2" w:space="0" w:color="auto"/>
            </w:tcBorders>
            <w:vAlign w:val="center"/>
          </w:tcPr>
          <w:p w14:paraId="0778A626"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3A8AAA24" w14:textId="77777777" w:rsidR="00140B7C" w:rsidRPr="00EC4EC4" w:rsidRDefault="00140B7C" w:rsidP="00BC1087">
            <w:pPr>
              <w:spacing w:after="0" w:line="240" w:lineRule="auto"/>
              <w:jc w:val="center"/>
              <w:rPr>
                <w:rFonts w:eastAsia="Times New Roman" w:cs="Times New Roman"/>
                <w:color w:val="000000"/>
                <w:w w:val="120"/>
                <w:sz w:val="11"/>
                <w:szCs w:val="11"/>
              </w:rPr>
            </w:pPr>
          </w:p>
        </w:tc>
        <w:tc>
          <w:tcPr>
            <w:tcW w:w="754" w:type="dxa"/>
            <w:vMerge/>
            <w:tcBorders>
              <w:left w:val="single" w:sz="2" w:space="0" w:color="auto"/>
              <w:right w:val="single" w:sz="2" w:space="0" w:color="auto"/>
            </w:tcBorders>
            <w:vAlign w:val="center"/>
          </w:tcPr>
          <w:p w14:paraId="74ADF29A"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34BACCDC" w14:textId="77777777" w:rsidTr="00BC1087">
        <w:trPr>
          <w:cantSplit/>
          <w:trHeight w:hRule="exact" w:val="321"/>
          <w:jc w:val="center"/>
        </w:trPr>
        <w:tc>
          <w:tcPr>
            <w:tcW w:w="1186" w:type="dxa"/>
            <w:tcBorders>
              <w:top w:val="single" w:sz="2" w:space="0" w:color="auto"/>
              <w:left w:val="single" w:sz="2" w:space="0" w:color="auto"/>
              <w:bottom w:val="single" w:sz="2" w:space="0" w:color="auto"/>
              <w:right w:val="single" w:sz="2" w:space="0" w:color="auto"/>
            </w:tcBorders>
            <w:vAlign w:val="center"/>
          </w:tcPr>
          <w:p w14:paraId="68ECC357"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99</w:t>
            </w:r>
          </w:p>
        </w:tc>
        <w:tc>
          <w:tcPr>
            <w:tcW w:w="744" w:type="dxa"/>
            <w:vMerge/>
            <w:tcBorders>
              <w:left w:val="single" w:sz="2" w:space="0" w:color="auto"/>
              <w:right w:val="single" w:sz="2" w:space="0" w:color="auto"/>
            </w:tcBorders>
            <w:vAlign w:val="center"/>
          </w:tcPr>
          <w:p w14:paraId="5E0EE155"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8" w:type="dxa"/>
            <w:vMerge/>
            <w:tcBorders>
              <w:left w:val="single" w:sz="2" w:space="0" w:color="auto"/>
              <w:right w:val="single" w:sz="2" w:space="0" w:color="auto"/>
            </w:tcBorders>
            <w:vAlign w:val="center"/>
          </w:tcPr>
          <w:p w14:paraId="7BE755F6" w14:textId="77777777" w:rsidR="00140B7C" w:rsidRPr="00EC4EC4" w:rsidRDefault="00140B7C" w:rsidP="00BC1087">
            <w:pPr>
              <w:spacing w:after="0" w:line="240" w:lineRule="auto"/>
              <w:ind w:left="-10"/>
              <w:jc w:val="center"/>
              <w:rPr>
                <w:rFonts w:eastAsia="Times New Roman" w:cs="Times New Roman"/>
                <w:color w:val="000000"/>
                <w:w w:val="110"/>
                <w:sz w:val="18"/>
                <w:szCs w:val="18"/>
              </w:rPr>
            </w:pPr>
          </w:p>
        </w:tc>
        <w:tc>
          <w:tcPr>
            <w:tcW w:w="744" w:type="dxa"/>
            <w:vMerge w:val="restart"/>
            <w:tcBorders>
              <w:top w:val="single" w:sz="2" w:space="0" w:color="auto"/>
              <w:left w:val="single" w:sz="2" w:space="0" w:color="auto"/>
              <w:right w:val="single" w:sz="2" w:space="0" w:color="auto"/>
            </w:tcBorders>
            <w:vAlign w:val="center"/>
          </w:tcPr>
          <w:p w14:paraId="74D9C7A2"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44" w:type="dxa"/>
            <w:vMerge/>
            <w:tcBorders>
              <w:left w:val="single" w:sz="2" w:space="0" w:color="auto"/>
              <w:right w:val="single" w:sz="2" w:space="0" w:color="auto"/>
            </w:tcBorders>
            <w:vAlign w:val="center"/>
          </w:tcPr>
          <w:p w14:paraId="61CC8910" w14:textId="77777777" w:rsidR="00140B7C" w:rsidRPr="00EC4EC4" w:rsidRDefault="00140B7C" w:rsidP="00BC1087">
            <w:pPr>
              <w:spacing w:after="0" w:line="240" w:lineRule="auto"/>
              <w:jc w:val="center"/>
              <w:rPr>
                <w:rFonts w:eastAsia="Times New Roman" w:cs="Times New Roman"/>
                <w:color w:val="000000"/>
              </w:rPr>
            </w:pPr>
          </w:p>
        </w:tc>
        <w:tc>
          <w:tcPr>
            <w:tcW w:w="754" w:type="dxa"/>
            <w:vMerge/>
            <w:tcBorders>
              <w:left w:val="single" w:sz="2" w:space="0" w:color="auto"/>
              <w:bottom w:val="single" w:sz="2" w:space="0" w:color="auto"/>
              <w:right w:val="single" w:sz="2" w:space="0" w:color="auto"/>
            </w:tcBorders>
            <w:vAlign w:val="center"/>
          </w:tcPr>
          <w:p w14:paraId="7EB30459"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2194314F" w14:textId="77777777" w:rsidTr="00BC1087">
        <w:trPr>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7D51D79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68</w:t>
            </w:r>
          </w:p>
        </w:tc>
        <w:tc>
          <w:tcPr>
            <w:tcW w:w="744" w:type="dxa"/>
            <w:vMerge/>
            <w:tcBorders>
              <w:left w:val="single" w:sz="2" w:space="0" w:color="auto"/>
              <w:right w:val="single" w:sz="2" w:space="0" w:color="auto"/>
            </w:tcBorders>
            <w:vAlign w:val="center"/>
          </w:tcPr>
          <w:p w14:paraId="47C849CB" w14:textId="77777777" w:rsidR="00140B7C" w:rsidRPr="00EC4EC4" w:rsidRDefault="00140B7C" w:rsidP="00BC1087">
            <w:pPr>
              <w:spacing w:after="0" w:line="240" w:lineRule="auto"/>
              <w:jc w:val="center"/>
              <w:rPr>
                <w:rFonts w:eastAsia="Times New Roman" w:cs="Times New Roman"/>
                <w:color w:val="000000"/>
              </w:rPr>
            </w:pPr>
          </w:p>
        </w:tc>
        <w:tc>
          <w:tcPr>
            <w:tcW w:w="748" w:type="dxa"/>
            <w:vMerge/>
            <w:tcBorders>
              <w:left w:val="single" w:sz="2" w:space="0" w:color="auto"/>
              <w:right w:val="single" w:sz="2" w:space="0" w:color="auto"/>
            </w:tcBorders>
            <w:vAlign w:val="center"/>
          </w:tcPr>
          <w:p w14:paraId="69C3C27E" w14:textId="77777777" w:rsidR="00140B7C" w:rsidRPr="00EC4EC4" w:rsidRDefault="00140B7C" w:rsidP="00BC1087">
            <w:pPr>
              <w:spacing w:after="0" w:line="240" w:lineRule="auto"/>
              <w:ind w:left="-10"/>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16093C22"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bottom w:val="single" w:sz="2" w:space="0" w:color="auto"/>
              <w:right w:val="single" w:sz="2" w:space="0" w:color="auto"/>
            </w:tcBorders>
            <w:vAlign w:val="center"/>
          </w:tcPr>
          <w:p w14:paraId="7B54AE74" w14:textId="77777777" w:rsidR="00140B7C" w:rsidRPr="00EC4EC4" w:rsidRDefault="00140B7C" w:rsidP="00BC1087">
            <w:pPr>
              <w:spacing w:after="0" w:line="240" w:lineRule="auto"/>
              <w:jc w:val="center"/>
              <w:rPr>
                <w:rFonts w:eastAsia="Times New Roman" w:cs="Times New Roman"/>
                <w:color w:val="000000"/>
              </w:rPr>
            </w:pPr>
          </w:p>
        </w:tc>
        <w:tc>
          <w:tcPr>
            <w:tcW w:w="754" w:type="dxa"/>
            <w:vMerge w:val="restart"/>
            <w:tcBorders>
              <w:top w:val="single" w:sz="2" w:space="0" w:color="auto"/>
              <w:left w:val="single" w:sz="2" w:space="0" w:color="auto"/>
              <w:right w:val="single" w:sz="2" w:space="0" w:color="auto"/>
            </w:tcBorders>
            <w:vAlign w:val="center"/>
          </w:tcPr>
          <w:p w14:paraId="7AB58AA1"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055A9F20" w14:textId="77777777" w:rsidTr="00BC1087">
        <w:trPr>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4D34700D"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43</w:t>
            </w:r>
          </w:p>
        </w:tc>
        <w:tc>
          <w:tcPr>
            <w:tcW w:w="744" w:type="dxa"/>
            <w:vMerge/>
            <w:tcBorders>
              <w:left w:val="single" w:sz="2" w:space="0" w:color="auto"/>
              <w:bottom w:val="single" w:sz="2" w:space="0" w:color="auto"/>
              <w:right w:val="single" w:sz="2" w:space="0" w:color="auto"/>
            </w:tcBorders>
            <w:vAlign w:val="center"/>
          </w:tcPr>
          <w:p w14:paraId="6FBB8015" w14:textId="77777777" w:rsidR="00140B7C" w:rsidRPr="00EC4EC4" w:rsidRDefault="00140B7C" w:rsidP="00BC1087">
            <w:pPr>
              <w:spacing w:after="0" w:line="240" w:lineRule="auto"/>
              <w:jc w:val="center"/>
              <w:rPr>
                <w:rFonts w:eastAsia="Times New Roman" w:cs="Times New Roman"/>
                <w:color w:val="000000"/>
              </w:rPr>
            </w:pPr>
          </w:p>
        </w:tc>
        <w:tc>
          <w:tcPr>
            <w:tcW w:w="748" w:type="dxa"/>
            <w:vMerge/>
            <w:tcBorders>
              <w:left w:val="single" w:sz="2" w:space="0" w:color="auto"/>
              <w:bottom w:val="single" w:sz="2" w:space="0" w:color="auto"/>
              <w:right w:val="single" w:sz="2" w:space="0" w:color="auto"/>
            </w:tcBorders>
            <w:vAlign w:val="center"/>
          </w:tcPr>
          <w:p w14:paraId="072D8BE9" w14:textId="77777777" w:rsidR="00140B7C" w:rsidRPr="00EC4EC4" w:rsidRDefault="00140B7C" w:rsidP="00BC1087">
            <w:pPr>
              <w:spacing w:after="0" w:line="240" w:lineRule="auto"/>
              <w:ind w:left="-10"/>
              <w:jc w:val="center"/>
              <w:rPr>
                <w:rFonts w:eastAsia="Times New Roman" w:cs="Times New Roman"/>
                <w:color w:val="000000"/>
              </w:rPr>
            </w:pPr>
          </w:p>
        </w:tc>
        <w:tc>
          <w:tcPr>
            <w:tcW w:w="744" w:type="dxa"/>
            <w:vMerge/>
            <w:tcBorders>
              <w:left w:val="single" w:sz="2" w:space="0" w:color="auto"/>
              <w:bottom w:val="single" w:sz="2" w:space="0" w:color="auto"/>
              <w:right w:val="single" w:sz="2" w:space="0" w:color="auto"/>
            </w:tcBorders>
            <w:vAlign w:val="center"/>
          </w:tcPr>
          <w:p w14:paraId="795D1ADF" w14:textId="77777777" w:rsidR="00140B7C" w:rsidRPr="00EC4EC4" w:rsidRDefault="00140B7C" w:rsidP="00BC1087">
            <w:pPr>
              <w:spacing w:after="0" w:line="240" w:lineRule="auto"/>
              <w:jc w:val="center"/>
              <w:rPr>
                <w:rFonts w:eastAsia="Times New Roman" w:cs="Times New Roman"/>
                <w:color w:val="000000"/>
              </w:rPr>
            </w:pPr>
          </w:p>
        </w:tc>
        <w:tc>
          <w:tcPr>
            <w:tcW w:w="744" w:type="dxa"/>
            <w:tcBorders>
              <w:top w:val="single" w:sz="2" w:space="0" w:color="auto"/>
              <w:left w:val="single" w:sz="2" w:space="0" w:color="auto"/>
              <w:bottom w:val="single" w:sz="2" w:space="0" w:color="auto"/>
              <w:right w:val="single" w:sz="2" w:space="0" w:color="auto"/>
            </w:tcBorders>
            <w:vAlign w:val="center"/>
          </w:tcPr>
          <w:p w14:paraId="03DCC3D1"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3</w:t>
            </w:r>
          </w:p>
        </w:tc>
        <w:tc>
          <w:tcPr>
            <w:tcW w:w="754" w:type="dxa"/>
            <w:vMerge/>
            <w:tcBorders>
              <w:left w:val="single" w:sz="2" w:space="0" w:color="auto"/>
              <w:bottom w:val="single" w:sz="2" w:space="0" w:color="auto"/>
              <w:right w:val="single" w:sz="2" w:space="0" w:color="auto"/>
            </w:tcBorders>
            <w:vAlign w:val="center"/>
          </w:tcPr>
          <w:p w14:paraId="4750E47E" w14:textId="77777777" w:rsidR="00140B7C" w:rsidRPr="00EC4EC4" w:rsidRDefault="00140B7C" w:rsidP="00BC1087">
            <w:pPr>
              <w:spacing w:after="0" w:line="240" w:lineRule="auto"/>
              <w:jc w:val="center"/>
              <w:rPr>
                <w:rFonts w:eastAsia="Times New Roman" w:cs="Times New Roman"/>
                <w:color w:val="000000"/>
                <w:w w:val="120"/>
                <w:sz w:val="11"/>
                <w:szCs w:val="11"/>
              </w:rPr>
            </w:pPr>
          </w:p>
        </w:tc>
      </w:tr>
      <w:tr w:rsidR="00140B7C" w:rsidRPr="00EC4EC4" w14:paraId="5A782A64" w14:textId="77777777" w:rsidTr="00BC1087">
        <w:trPr>
          <w:trHeight w:hRule="exact" w:val="321"/>
          <w:jc w:val="center"/>
        </w:trPr>
        <w:tc>
          <w:tcPr>
            <w:tcW w:w="1186" w:type="dxa"/>
            <w:tcBorders>
              <w:top w:val="single" w:sz="2" w:space="0" w:color="auto"/>
              <w:left w:val="single" w:sz="2" w:space="0" w:color="auto"/>
              <w:bottom w:val="single" w:sz="2" w:space="0" w:color="auto"/>
              <w:right w:val="single" w:sz="2" w:space="0" w:color="auto"/>
            </w:tcBorders>
            <w:vAlign w:val="center"/>
          </w:tcPr>
          <w:p w14:paraId="009750F1"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W12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190</w:t>
            </w:r>
          </w:p>
        </w:tc>
        <w:tc>
          <w:tcPr>
            <w:tcW w:w="744" w:type="dxa"/>
            <w:vMerge w:val="restart"/>
            <w:tcBorders>
              <w:top w:val="single" w:sz="2" w:space="0" w:color="auto"/>
              <w:left w:val="single" w:sz="2" w:space="0" w:color="auto"/>
              <w:right w:val="single" w:sz="2" w:space="0" w:color="auto"/>
            </w:tcBorders>
            <w:vAlign w:val="center"/>
          </w:tcPr>
          <w:p w14:paraId="4808D783"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8" w:type="dxa"/>
            <w:vMerge w:val="restart"/>
            <w:tcBorders>
              <w:top w:val="single" w:sz="2" w:space="0" w:color="auto"/>
              <w:left w:val="single" w:sz="2" w:space="0" w:color="auto"/>
              <w:right w:val="single" w:sz="2" w:space="0" w:color="auto"/>
            </w:tcBorders>
            <w:vAlign w:val="center"/>
          </w:tcPr>
          <w:p w14:paraId="16408BA5" w14:textId="77777777" w:rsidR="00140B7C" w:rsidRPr="00EC4EC4" w:rsidRDefault="00140B7C" w:rsidP="00BC1087">
            <w:pPr>
              <w:spacing w:after="0" w:line="240" w:lineRule="auto"/>
              <w:ind w:left="-10"/>
              <w:jc w:val="center"/>
              <w:rPr>
                <w:rFonts w:eastAsia="Times New Roman" w:cs="Times New Roman"/>
                <w:color w:val="000000"/>
              </w:rPr>
            </w:pPr>
            <w:r w:rsidRPr="00EC4EC4">
              <w:rPr>
                <w:rFonts w:eastAsia="Times New Roman" w:cs="Times New Roman"/>
                <w:color w:val="000000"/>
                <w:spacing w:val="-6"/>
                <w:w w:val="110"/>
                <w:sz w:val="18"/>
                <w:szCs w:val="18"/>
              </w:rPr>
              <w:t>1</w:t>
            </w:r>
            <w:r w:rsidRPr="00EC4EC4">
              <w:rPr>
                <w:rFonts w:eastAsia="Times New Roman" w:cs="Times New Roman"/>
                <w:color w:val="000000"/>
                <w:spacing w:val="-6"/>
                <w:w w:val="125"/>
                <w:sz w:val="18"/>
                <w:szCs w:val="18"/>
                <w:vertAlign w:val="superscript"/>
              </w:rPr>
              <w:t>1</w:t>
            </w:r>
            <w:r w:rsidRPr="00EC4EC4">
              <w:rPr>
                <w:rFonts w:eastAsia="Times New Roman" w:cs="Times New Roman"/>
                <w:color w:val="000000"/>
                <w:spacing w:val="-6"/>
                <w:w w:val="110"/>
                <w:sz w:val="18"/>
                <w:szCs w:val="18"/>
              </w:rPr>
              <w:t>/</w:t>
            </w:r>
            <w:r w:rsidRPr="00EC4EC4">
              <w:rPr>
                <w:rFonts w:eastAsia="Times New Roman" w:cs="Times New Roman"/>
                <w:color w:val="000000"/>
                <w:spacing w:val="-6"/>
                <w:w w:val="120"/>
                <w:sz w:val="11"/>
                <w:szCs w:val="11"/>
              </w:rPr>
              <w:t>2</w:t>
            </w:r>
          </w:p>
        </w:tc>
        <w:tc>
          <w:tcPr>
            <w:tcW w:w="744" w:type="dxa"/>
            <w:vMerge w:val="restart"/>
            <w:tcBorders>
              <w:top w:val="single" w:sz="2" w:space="0" w:color="auto"/>
              <w:left w:val="single" w:sz="2" w:space="0" w:color="auto"/>
              <w:right w:val="single" w:sz="2" w:space="0" w:color="auto"/>
            </w:tcBorders>
            <w:vAlign w:val="center"/>
          </w:tcPr>
          <w:p w14:paraId="4539E9B8"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6"/>
                <w:w w:val="110"/>
                <w:sz w:val="18"/>
                <w:szCs w:val="18"/>
              </w:rPr>
              <w:t>1</w:t>
            </w:r>
            <w:r w:rsidRPr="00EC4EC4">
              <w:rPr>
                <w:rFonts w:eastAsia="Times New Roman" w:cs="Times New Roman"/>
                <w:color w:val="000000"/>
                <w:spacing w:val="-6"/>
                <w:w w:val="110"/>
                <w:sz w:val="18"/>
                <w:szCs w:val="18"/>
                <w:vertAlign w:val="superscript"/>
              </w:rPr>
              <w:t>1</w:t>
            </w:r>
            <w:r w:rsidRPr="00EC4EC4">
              <w:rPr>
                <w:rFonts w:eastAsia="Times New Roman" w:cs="Times New Roman"/>
                <w:color w:val="000000"/>
                <w:spacing w:val="-6"/>
                <w:w w:val="110"/>
                <w:sz w:val="18"/>
                <w:szCs w:val="18"/>
              </w:rPr>
              <w:t>/</w:t>
            </w:r>
            <w:r w:rsidRPr="00EC4EC4">
              <w:rPr>
                <w:rFonts w:eastAsia="Times New Roman" w:cs="Times New Roman"/>
                <w:color w:val="000000"/>
                <w:spacing w:val="-6"/>
                <w:w w:val="110"/>
                <w:sz w:val="18"/>
                <w:szCs w:val="18"/>
                <w:vertAlign w:val="subscript"/>
              </w:rPr>
              <w:t>2</w:t>
            </w:r>
          </w:p>
        </w:tc>
        <w:tc>
          <w:tcPr>
            <w:tcW w:w="744" w:type="dxa"/>
            <w:vMerge w:val="restart"/>
            <w:tcBorders>
              <w:top w:val="single" w:sz="2" w:space="0" w:color="auto"/>
              <w:left w:val="single" w:sz="2" w:space="0" w:color="auto"/>
              <w:right w:val="single" w:sz="2" w:space="0" w:color="auto"/>
            </w:tcBorders>
            <w:vAlign w:val="center"/>
          </w:tcPr>
          <w:p w14:paraId="59C81B33"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54" w:type="dxa"/>
            <w:vMerge w:val="restart"/>
            <w:tcBorders>
              <w:top w:val="single" w:sz="2" w:space="0" w:color="auto"/>
              <w:left w:val="single" w:sz="2" w:space="0" w:color="auto"/>
              <w:right w:val="single" w:sz="2" w:space="0" w:color="auto"/>
            </w:tcBorders>
            <w:vAlign w:val="center"/>
          </w:tcPr>
          <w:p w14:paraId="6CC847D2"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161E4F81" w14:textId="77777777" w:rsidTr="00BC1087">
        <w:trPr>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4EFF15C5"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152</w:t>
            </w:r>
          </w:p>
        </w:tc>
        <w:tc>
          <w:tcPr>
            <w:tcW w:w="744" w:type="dxa"/>
            <w:vMerge/>
            <w:tcBorders>
              <w:left w:val="single" w:sz="2" w:space="0" w:color="auto"/>
              <w:right w:val="single" w:sz="2" w:space="0" w:color="auto"/>
            </w:tcBorders>
            <w:vAlign w:val="center"/>
          </w:tcPr>
          <w:p w14:paraId="2AF2FF6F" w14:textId="77777777" w:rsidR="00140B7C" w:rsidRPr="00EC4EC4" w:rsidRDefault="00140B7C" w:rsidP="00BC1087">
            <w:pPr>
              <w:spacing w:after="0" w:line="240" w:lineRule="auto"/>
              <w:ind w:left="360"/>
              <w:jc w:val="center"/>
              <w:rPr>
                <w:rFonts w:eastAsia="Times New Roman" w:cs="Times New Roman"/>
                <w:color w:val="000000"/>
              </w:rPr>
            </w:pPr>
          </w:p>
        </w:tc>
        <w:tc>
          <w:tcPr>
            <w:tcW w:w="748" w:type="dxa"/>
            <w:vMerge/>
            <w:tcBorders>
              <w:left w:val="single" w:sz="2" w:space="0" w:color="auto"/>
              <w:right w:val="single" w:sz="2" w:space="0" w:color="auto"/>
            </w:tcBorders>
            <w:vAlign w:val="center"/>
          </w:tcPr>
          <w:p w14:paraId="473E0922" w14:textId="77777777" w:rsidR="00140B7C" w:rsidRPr="00EC4EC4" w:rsidRDefault="00140B7C" w:rsidP="00BC1087">
            <w:pPr>
              <w:spacing w:after="0" w:line="240" w:lineRule="auto"/>
              <w:ind w:left="360"/>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31F145F4" w14:textId="77777777" w:rsidR="00140B7C" w:rsidRPr="00EC4EC4" w:rsidRDefault="00140B7C" w:rsidP="00BC1087">
            <w:pPr>
              <w:spacing w:after="0" w:line="240" w:lineRule="auto"/>
              <w:ind w:left="360"/>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10156B00"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54" w:type="dxa"/>
            <w:vMerge/>
            <w:tcBorders>
              <w:left w:val="single" w:sz="2" w:space="0" w:color="auto"/>
              <w:bottom w:val="single" w:sz="2" w:space="0" w:color="auto"/>
              <w:right w:val="single" w:sz="2" w:space="0" w:color="auto"/>
            </w:tcBorders>
            <w:vAlign w:val="center"/>
          </w:tcPr>
          <w:p w14:paraId="20B68BCF" w14:textId="77777777" w:rsidR="00140B7C" w:rsidRPr="00EC4EC4" w:rsidRDefault="00140B7C" w:rsidP="00BC1087">
            <w:pPr>
              <w:spacing w:after="0" w:line="240" w:lineRule="auto"/>
              <w:ind w:left="360"/>
              <w:jc w:val="center"/>
              <w:rPr>
                <w:rFonts w:eastAsia="Times New Roman" w:cs="Times New Roman"/>
                <w:color w:val="000000"/>
              </w:rPr>
            </w:pPr>
          </w:p>
        </w:tc>
      </w:tr>
      <w:tr w:rsidR="00140B7C" w:rsidRPr="00EC4EC4" w14:paraId="34D85909" w14:textId="77777777" w:rsidTr="00BC1087">
        <w:trPr>
          <w:cantSplit/>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23DCD065"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136</w:t>
            </w:r>
          </w:p>
        </w:tc>
        <w:tc>
          <w:tcPr>
            <w:tcW w:w="744" w:type="dxa"/>
            <w:vMerge/>
            <w:tcBorders>
              <w:left w:val="single" w:sz="2" w:space="0" w:color="auto"/>
              <w:right w:val="single" w:sz="2" w:space="0" w:color="auto"/>
            </w:tcBorders>
            <w:vAlign w:val="center"/>
          </w:tcPr>
          <w:p w14:paraId="693385EF" w14:textId="77777777" w:rsidR="00140B7C" w:rsidRPr="00EC4EC4" w:rsidRDefault="00140B7C" w:rsidP="00BC1087">
            <w:pPr>
              <w:spacing w:after="0" w:line="240" w:lineRule="auto"/>
              <w:ind w:left="360"/>
              <w:jc w:val="center"/>
              <w:rPr>
                <w:rFonts w:eastAsia="Times New Roman" w:cs="Times New Roman"/>
                <w:color w:val="000000"/>
                <w:w w:val="120"/>
                <w:sz w:val="11"/>
                <w:szCs w:val="11"/>
              </w:rPr>
            </w:pPr>
          </w:p>
        </w:tc>
        <w:tc>
          <w:tcPr>
            <w:tcW w:w="748" w:type="dxa"/>
            <w:vMerge/>
            <w:tcBorders>
              <w:left w:val="single" w:sz="2" w:space="0" w:color="auto"/>
              <w:right w:val="single" w:sz="2" w:space="0" w:color="auto"/>
            </w:tcBorders>
            <w:vAlign w:val="center"/>
          </w:tcPr>
          <w:p w14:paraId="78A61A75" w14:textId="77777777" w:rsidR="00140B7C" w:rsidRPr="00EC4EC4" w:rsidRDefault="00140B7C" w:rsidP="00BC1087">
            <w:pPr>
              <w:spacing w:after="0" w:line="240" w:lineRule="auto"/>
              <w:ind w:left="360"/>
              <w:jc w:val="center"/>
              <w:rPr>
                <w:rFonts w:eastAsia="Times New Roman" w:cs="Times New Roman"/>
                <w:color w:val="000000"/>
                <w:spacing w:val="-6"/>
                <w:w w:val="120"/>
                <w:sz w:val="11"/>
                <w:szCs w:val="11"/>
              </w:rPr>
            </w:pPr>
          </w:p>
        </w:tc>
        <w:tc>
          <w:tcPr>
            <w:tcW w:w="744" w:type="dxa"/>
            <w:vMerge/>
            <w:tcBorders>
              <w:left w:val="single" w:sz="2" w:space="0" w:color="auto"/>
              <w:right w:val="single" w:sz="2" w:space="0" w:color="auto"/>
            </w:tcBorders>
            <w:vAlign w:val="center"/>
          </w:tcPr>
          <w:p w14:paraId="1751E548" w14:textId="77777777" w:rsidR="00140B7C" w:rsidRPr="00EC4EC4" w:rsidRDefault="00140B7C" w:rsidP="00BC1087">
            <w:pPr>
              <w:spacing w:after="0" w:line="240" w:lineRule="auto"/>
              <w:ind w:left="360"/>
              <w:jc w:val="center"/>
              <w:rPr>
                <w:rFonts w:eastAsia="Times New Roman" w:cs="Times New Roman"/>
                <w:color w:val="000000"/>
                <w:w w:val="120"/>
                <w:sz w:val="11"/>
                <w:szCs w:val="11"/>
              </w:rPr>
            </w:pPr>
          </w:p>
        </w:tc>
        <w:tc>
          <w:tcPr>
            <w:tcW w:w="744" w:type="dxa"/>
            <w:vMerge/>
            <w:tcBorders>
              <w:left w:val="single" w:sz="2" w:space="0" w:color="auto"/>
              <w:bottom w:val="single" w:sz="2" w:space="0" w:color="auto"/>
              <w:right w:val="single" w:sz="2" w:space="0" w:color="auto"/>
            </w:tcBorders>
            <w:vAlign w:val="center"/>
          </w:tcPr>
          <w:p w14:paraId="3BD5A87D" w14:textId="77777777" w:rsidR="00140B7C" w:rsidRPr="00EC4EC4" w:rsidRDefault="00140B7C" w:rsidP="00BC1087">
            <w:pPr>
              <w:spacing w:after="0" w:line="240" w:lineRule="auto"/>
              <w:ind w:left="360"/>
              <w:jc w:val="center"/>
              <w:rPr>
                <w:rFonts w:eastAsia="Times New Roman" w:cs="Times New Roman"/>
                <w:color w:val="000000"/>
              </w:rPr>
            </w:pPr>
          </w:p>
        </w:tc>
        <w:tc>
          <w:tcPr>
            <w:tcW w:w="754" w:type="dxa"/>
            <w:vMerge w:val="restart"/>
            <w:tcBorders>
              <w:top w:val="single" w:sz="2" w:space="0" w:color="auto"/>
              <w:left w:val="single" w:sz="2" w:space="0" w:color="auto"/>
              <w:bottom w:val="nil"/>
              <w:right w:val="single" w:sz="2" w:space="0" w:color="auto"/>
            </w:tcBorders>
            <w:vAlign w:val="center"/>
          </w:tcPr>
          <w:p w14:paraId="0EAD992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3</w:t>
            </w:r>
          </w:p>
        </w:tc>
      </w:tr>
      <w:tr w:rsidR="00140B7C" w:rsidRPr="00EC4EC4" w14:paraId="5BD42229" w14:textId="77777777" w:rsidTr="00BC1087">
        <w:trPr>
          <w:cantSplit/>
          <w:trHeight w:hRule="exact" w:val="321"/>
          <w:jc w:val="center"/>
        </w:trPr>
        <w:tc>
          <w:tcPr>
            <w:tcW w:w="1186" w:type="dxa"/>
            <w:tcBorders>
              <w:top w:val="single" w:sz="2" w:space="0" w:color="auto"/>
              <w:left w:val="single" w:sz="2" w:space="0" w:color="auto"/>
              <w:bottom w:val="single" w:sz="2" w:space="0" w:color="auto"/>
              <w:right w:val="single" w:sz="2" w:space="0" w:color="auto"/>
            </w:tcBorders>
            <w:vAlign w:val="center"/>
          </w:tcPr>
          <w:p w14:paraId="6ADC8423"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106</w:t>
            </w:r>
          </w:p>
        </w:tc>
        <w:tc>
          <w:tcPr>
            <w:tcW w:w="744" w:type="dxa"/>
            <w:vMerge/>
            <w:tcBorders>
              <w:left w:val="single" w:sz="2" w:space="0" w:color="auto"/>
              <w:right w:val="single" w:sz="2" w:space="0" w:color="auto"/>
            </w:tcBorders>
            <w:vAlign w:val="center"/>
          </w:tcPr>
          <w:p w14:paraId="28C612B3"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8" w:type="dxa"/>
            <w:vMerge/>
            <w:tcBorders>
              <w:left w:val="single" w:sz="2" w:space="0" w:color="auto"/>
              <w:right w:val="single" w:sz="2" w:space="0" w:color="auto"/>
            </w:tcBorders>
            <w:vAlign w:val="center"/>
          </w:tcPr>
          <w:p w14:paraId="51C82ABA"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vAlign w:val="center"/>
          </w:tcPr>
          <w:p w14:paraId="071C0946"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4" w:type="dxa"/>
            <w:vMerge w:val="restart"/>
            <w:tcBorders>
              <w:top w:val="single" w:sz="2" w:space="0" w:color="auto"/>
              <w:left w:val="single" w:sz="2" w:space="0" w:color="auto"/>
              <w:bottom w:val="nil"/>
              <w:right w:val="single" w:sz="2" w:space="0" w:color="auto"/>
            </w:tcBorders>
            <w:vAlign w:val="center"/>
          </w:tcPr>
          <w:p w14:paraId="599C84E4"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54" w:type="dxa"/>
            <w:vMerge/>
            <w:tcBorders>
              <w:top w:val="nil"/>
              <w:left w:val="single" w:sz="2" w:space="0" w:color="auto"/>
              <w:bottom w:val="single" w:sz="2" w:space="0" w:color="auto"/>
              <w:right w:val="single" w:sz="2" w:space="0" w:color="auto"/>
            </w:tcBorders>
            <w:vAlign w:val="center"/>
          </w:tcPr>
          <w:p w14:paraId="64A2FD16" w14:textId="77777777" w:rsidR="00140B7C" w:rsidRPr="00EC4EC4" w:rsidRDefault="00140B7C" w:rsidP="00BC1087">
            <w:pPr>
              <w:spacing w:after="0" w:line="240" w:lineRule="auto"/>
              <w:jc w:val="center"/>
              <w:rPr>
                <w:rFonts w:eastAsia="Times New Roman" w:cs="Times New Roman"/>
                <w:color w:val="000000"/>
                <w:w w:val="120"/>
                <w:sz w:val="11"/>
                <w:szCs w:val="11"/>
              </w:rPr>
            </w:pPr>
          </w:p>
        </w:tc>
      </w:tr>
      <w:tr w:rsidR="00140B7C" w:rsidRPr="00EC4EC4" w14:paraId="06D63D69" w14:textId="77777777" w:rsidTr="00BC1087">
        <w:trPr>
          <w:cantSplit/>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742F71AF"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96</w:t>
            </w:r>
          </w:p>
        </w:tc>
        <w:tc>
          <w:tcPr>
            <w:tcW w:w="744" w:type="dxa"/>
            <w:vMerge/>
            <w:tcBorders>
              <w:left w:val="single" w:sz="2" w:space="0" w:color="auto"/>
              <w:right w:val="single" w:sz="2" w:space="0" w:color="auto"/>
            </w:tcBorders>
            <w:vAlign w:val="center"/>
          </w:tcPr>
          <w:p w14:paraId="5B292AE7"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8" w:type="dxa"/>
            <w:vMerge/>
            <w:tcBorders>
              <w:left w:val="single" w:sz="2" w:space="0" w:color="auto"/>
              <w:right w:val="single" w:sz="2" w:space="0" w:color="auto"/>
            </w:tcBorders>
            <w:vAlign w:val="center"/>
          </w:tcPr>
          <w:p w14:paraId="555FC226"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vAlign w:val="center"/>
          </w:tcPr>
          <w:p w14:paraId="55A80AAA"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4" w:type="dxa"/>
            <w:vMerge/>
            <w:tcBorders>
              <w:top w:val="nil"/>
              <w:left w:val="single" w:sz="2" w:space="0" w:color="auto"/>
              <w:bottom w:val="nil"/>
              <w:right w:val="single" w:sz="2" w:space="0" w:color="auto"/>
            </w:tcBorders>
            <w:vAlign w:val="center"/>
          </w:tcPr>
          <w:p w14:paraId="2AADF3F3"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54" w:type="dxa"/>
            <w:vMerge w:val="restart"/>
            <w:tcBorders>
              <w:top w:val="single" w:sz="2" w:space="0" w:color="auto"/>
              <w:left w:val="single" w:sz="2" w:space="0" w:color="auto"/>
              <w:right w:val="single" w:sz="2" w:space="0" w:color="auto"/>
            </w:tcBorders>
            <w:vAlign w:val="center"/>
          </w:tcPr>
          <w:p w14:paraId="6E748319"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06664615" w14:textId="77777777" w:rsidTr="00BC1087">
        <w:trPr>
          <w:cantSplit/>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63FEAB33"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87</w:t>
            </w:r>
          </w:p>
        </w:tc>
        <w:tc>
          <w:tcPr>
            <w:tcW w:w="744" w:type="dxa"/>
            <w:vMerge/>
            <w:tcBorders>
              <w:left w:val="single" w:sz="2" w:space="0" w:color="auto"/>
              <w:right w:val="single" w:sz="2" w:space="0" w:color="auto"/>
            </w:tcBorders>
            <w:vAlign w:val="center"/>
          </w:tcPr>
          <w:p w14:paraId="3BFABD5C"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8" w:type="dxa"/>
            <w:vMerge/>
            <w:tcBorders>
              <w:left w:val="single" w:sz="2" w:space="0" w:color="auto"/>
              <w:right w:val="single" w:sz="2" w:space="0" w:color="auto"/>
            </w:tcBorders>
            <w:vAlign w:val="center"/>
          </w:tcPr>
          <w:p w14:paraId="1D3F599A"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4" w:type="dxa"/>
            <w:vMerge/>
            <w:tcBorders>
              <w:left w:val="single" w:sz="2" w:space="0" w:color="auto"/>
              <w:bottom w:val="single" w:sz="2" w:space="0" w:color="auto"/>
              <w:right w:val="single" w:sz="2" w:space="0" w:color="auto"/>
            </w:tcBorders>
            <w:vAlign w:val="center"/>
          </w:tcPr>
          <w:p w14:paraId="225D20FE"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4" w:type="dxa"/>
            <w:vMerge/>
            <w:tcBorders>
              <w:top w:val="nil"/>
              <w:left w:val="single" w:sz="2" w:space="0" w:color="auto"/>
              <w:bottom w:val="nil"/>
              <w:right w:val="single" w:sz="2" w:space="0" w:color="auto"/>
            </w:tcBorders>
            <w:vAlign w:val="center"/>
          </w:tcPr>
          <w:p w14:paraId="69C78504"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54" w:type="dxa"/>
            <w:vMerge/>
            <w:tcBorders>
              <w:left w:val="single" w:sz="2" w:space="0" w:color="auto"/>
              <w:right w:val="single" w:sz="2" w:space="0" w:color="auto"/>
            </w:tcBorders>
            <w:vAlign w:val="center"/>
          </w:tcPr>
          <w:p w14:paraId="2646D501"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422AAC82" w14:textId="77777777" w:rsidTr="00BC1087">
        <w:trPr>
          <w:cantSplit/>
          <w:trHeight w:hRule="exact" w:val="321"/>
          <w:jc w:val="center"/>
        </w:trPr>
        <w:tc>
          <w:tcPr>
            <w:tcW w:w="1186" w:type="dxa"/>
            <w:tcBorders>
              <w:top w:val="single" w:sz="2" w:space="0" w:color="auto"/>
              <w:left w:val="single" w:sz="2" w:space="0" w:color="auto"/>
              <w:bottom w:val="single" w:sz="2" w:space="0" w:color="auto"/>
              <w:right w:val="single" w:sz="2" w:space="0" w:color="auto"/>
            </w:tcBorders>
            <w:vAlign w:val="center"/>
          </w:tcPr>
          <w:p w14:paraId="1C9B486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65</w:t>
            </w:r>
          </w:p>
        </w:tc>
        <w:tc>
          <w:tcPr>
            <w:tcW w:w="744" w:type="dxa"/>
            <w:vMerge/>
            <w:tcBorders>
              <w:left w:val="single" w:sz="2" w:space="0" w:color="auto"/>
              <w:right w:val="single" w:sz="2" w:space="0" w:color="auto"/>
            </w:tcBorders>
            <w:vAlign w:val="center"/>
          </w:tcPr>
          <w:p w14:paraId="0C348649"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8" w:type="dxa"/>
            <w:vMerge/>
            <w:tcBorders>
              <w:left w:val="single" w:sz="2" w:space="0" w:color="auto"/>
              <w:right w:val="single" w:sz="2" w:space="0" w:color="auto"/>
            </w:tcBorders>
            <w:vAlign w:val="center"/>
          </w:tcPr>
          <w:p w14:paraId="56105837"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4" w:type="dxa"/>
            <w:vMerge w:val="restart"/>
            <w:tcBorders>
              <w:top w:val="single" w:sz="2" w:space="0" w:color="auto"/>
              <w:left w:val="single" w:sz="2" w:space="0" w:color="auto"/>
              <w:right w:val="single" w:sz="2" w:space="0" w:color="auto"/>
            </w:tcBorders>
            <w:vAlign w:val="center"/>
          </w:tcPr>
          <w:p w14:paraId="4C150A93"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744" w:type="dxa"/>
            <w:vMerge/>
            <w:tcBorders>
              <w:top w:val="nil"/>
              <w:left w:val="single" w:sz="2" w:space="0" w:color="auto"/>
              <w:bottom w:val="single" w:sz="2" w:space="0" w:color="auto"/>
              <w:right w:val="single" w:sz="2" w:space="0" w:color="auto"/>
            </w:tcBorders>
            <w:vAlign w:val="center"/>
          </w:tcPr>
          <w:p w14:paraId="5E438603"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54" w:type="dxa"/>
            <w:vMerge/>
            <w:tcBorders>
              <w:left w:val="single" w:sz="2" w:space="0" w:color="auto"/>
              <w:right w:val="single" w:sz="2" w:space="0" w:color="auto"/>
            </w:tcBorders>
            <w:vAlign w:val="center"/>
          </w:tcPr>
          <w:p w14:paraId="5F790E69"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59F0C78A" w14:textId="77777777" w:rsidTr="00BC1087">
        <w:trPr>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7A28D34F"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40</w:t>
            </w:r>
          </w:p>
        </w:tc>
        <w:tc>
          <w:tcPr>
            <w:tcW w:w="744" w:type="dxa"/>
            <w:vMerge/>
            <w:tcBorders>
              <w:left w:val="single" w:sz="2" w:space="0" w:color="auto"/>
              <w:bottom w:val="single" w:sz="2" w:space="0" w:color="auto"/>
              <w:right w:val="single" w:sz="2" w:space="0" w:color="auto"/>
            </w:tcBorders>
            <w:vAlign w:val="center"/>
          </w:tcPr>
          <w:p w14:paraId="0B3F86F9" w14:textId="77777777" w:rsidR="00140B7C" w:rsidRPr="00EC4EC4" w:rsidRDefault="00140B7C" w:rsidP="00BC1087">
            <w:pPr>
              <w:spacing w:after="0" w:line="240" w:lineRule="auto"/>
              <w:ind w:left="360"/>
              <w:jc w:val="center"/>
              <w:rPr>
                <w:rFonts w:eastAsia="Times New Roman" w:cs="Times New Roman"/>
                <w:color w:val="000000"/>
              </w:rPr>
            </w:pPr>
          </w:p>
        </w:tc>
        <w:tc>
          <w:tcPr>
            <w:tcW w:w="748" w:type="dxa"/>
            <w:vMerge/>
            <w:tcBorders>
              <w:left w:val="single" w:sz="2" w:space="0" w:color="auto"/>
              <w:bottom w:val="single" w:sz="2" w:space="0" w:color="auto"/>
              <w:right w:val="single" w:sz="2" w:space="0" w:color="auto"/>
            </w:tcBorders>
            <w:vAlign w:val="center"/>
          </w:tcPr>
          <w:p w14:paraId="1F29A8F2" w14:textId="77777777" w:rsidR="00140B7C" w:rsidRPr="00EC4EC4" w:rsidRDefault="00140B7C" w:rsidP="00BC1087">
            <w:pPr>
              <w:spacing w:after="0" w:line="240" w:lineRule="auto"/>
              <w:ind w:left="360"/>
              <w:jc w:val="center"/>
              <w:rPr>
                <w:rFonts w:eastAsia="Times New Roman" w:cs="Times New Roman"/>
                <w:color w:val="000000"/>
              </w:rPr>
            </w:pPr>
          </w:p>
        </w:tc>
        <w:tc>
          <w:tcPr>
            <w:tcW w:w="744" w:type="dxa"/>
            <w:vMerge/>
            <w:tcBorders>
              <w:left w:val="single" w:sz="2" w:space="0" w:color="auto"/>
              <w:bottom w:val="single" w:sz="2" w:space="0" w:color="auto"/>
              <w:right w:val="single" w:sz="2" w:space="0" w:color="auto"/>
            </w:tcBorders>
            <w:vAlign w:val="center"/>
          </w:tcPr>
          <w:p w14:paraId="1C42FF05" w14:textId="77777777" w:rsidR="00140B7C" w:rsidRPr="00EC4EC4" w:rsidRDefault="00140B7C" w:rsidP="00BC1087">
            <w:pPr>
              <w:spacing w:after="0" w:line="240" w:lineRule="auto"/>
              <w:jc w:val="center"/>
              <w:rPr>
                <w:rFonts w:eastAsia="Times New Roman" w:cs="Times New Roman"/>
                <w:color w:val="000000"/>
              </w:rPr>
            </w:pPr>
          </w:p>
        </w:tc>
        <w:tc>
          <w:tcPr>
            <w:tcW w:w="744" w:type="dxa"/>
            <w:tcBorders>
              <w:top w:val="single" w:sz="2" w:space="0" w:color="auto"/>
              <w:left w:val="single" w:sz="2" w:space="0" w:color="auto"/>
              <w:bottom w:val="single" w:sz="2" w:space="0" w:color="auto"/>
              <w:right w:val="single" w:sz="2" w:space="0" w:color="auto"/>
            </w:tcBorders>
            <w:vAlign w:val="center"/>
          </w:tcPr>
          <w:p w14:paraId="513E11A5"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3</w:t>
            </w:r>
          </w:p>
        </w:tc>
        <w:tc>
          <w:tcPr>
            <w:tcW w:w="754" w:type="dxa"/>
            <w:vMerge/>
            <w:tcBorders>
              <w:left w:val="single" w:sz="2" w:space="0" w:color="auto"/>
              <w:bottom w:val="single" w:sz="2" w:space="0" w:color="auto"/>
              <w:right w:val="single" w:sz="2" w:space="0" w:color="auto"/>
            </w:tcBorders>
            <w:vAlign w:val="center"/>
          </w:tcPr>
          <w:p w14:paraId="5537D4EF" w14:textId="77777777" w:rsidR="00140B7C" w:rsidRPr="00EC4EC4" w:rsidRDefault="00140B7C" w:rsidP="00BC1087">
            <w:pPr>
              <w:spacing w:after="0" w:line="240" w:lineRule="auto"/>
              <w:jc w:val="center"/>
              <w:rPr>
                <w:rFonts w:eastAsia="Times New Roman" w:cs="Times New Roman"/>
                <w:color w:val="000000"/>
                <w:w w:val="120"/>
                <w:sz w:val="11"/>
                <w:szCs w:val="11"/>
              </w:rPr>
            </w:pPr>
          </w:p>
        </w:tc>
      </w:tr>
      <w:tr w:rsidR="00140B7C" w:rsidRPr="00EC4EC4" w14:paraId="67E939D2" w14:textId="77777777" w:rsidTr="00BC1087">
        <w:trPr>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0523D67F"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W10 </w:t>
            </w: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112</w:t>
            </w:r>
          </w:p>
        </w:tc>
        <w:tc>
          <w:tcPr>
            <w:tcW w:w="744" w:type="dxa"/>
            <w:vMerge w:val="restart"/>
            <w:tcBorders>
              <w:top w:val="single" w:sz="2" w:space="0" w:color="auto"/>
              <w:left w:val="single" w:sz="2" w:space="0" w:color="auto"/>
              <w:right w:val="single" w:sz="2" w:space="0" w:color="auto"/>
            </w:tcBorders>
            <w:vAlign w:val="center"/>
          </w:tcPr>
          <w:p w14:paraId="4AE8860D" w14:textId="77777777" w:rsidR="00140B7C" w:rsidRPr="00EC4EC4" w:rsidRDefault="00140B7C" w:rsidP="00BC1087">
            <w:pPr>
              <w:spacing w:after="0" w:line="240" w:lineRule="auto"/>
              <w:ind w:left="14"/>
              <w:jc w:val="center"/>
              <w:rPr>
                <w:rFonts w:eastAsia="Times New Roman" w:cs="Times New Roman"/>
                <w:color w:val="000000"/>
              </w:rPr>
            </w:pPr>
            <w:r w:rsidRPr="00EC4EC4">
              <w:rPr>
                <w:rFonts w:eastAsia="Times New Roman" w:cs="Times New Roman"/>
                <w:color w:val="000000"/>
                <w:spacing w:val="-6"/>
                <w:w w:val="110"/>
                <w:sz w:val="18"/>
                <w:szCs w:val="18"/>
              </w:rPr>
              <w:t>1</w:t>
            </w:r>
            <w:r w:rsidRPr="00EC4EC4">
              <w:rPr>
                <w:rFonts w:eastAsia="Times New Roman" w:cs="Times New Roman"/>
                <w:color w:val="000000"/>
                <w:spacing w:val="-6"/>
                <w:w w:val="125"/>
                <w:sz w:val="18"/>
                <w:szCs w:val="18"/>
                <w:vertAlign w:val="superscript"/>
              </w:rPr>
              <w:t>1</w:t>
            </w:r>
            <w:r w:rsidRPr="00EC4EC4">
              <w:rPr>
                <w:rFonts w:eastAsia="Times New Roman" w:cs="Times New Roman"/>
                <w:color w:val="000000"/>
                <w:spacing w:val="-6"/>
                <w:w w:val="110"/>
                <w:sz w:val="18"/>
                <w:szCs w:val="18"/>
              </w:rPr>
              <w:t>/</w:t>
            </w:r>
            <w:r w:rsidRPr="00EC4EC4">
              <w:rPr>
                <w:rFonts w:eastAsia="Times New Roman" w:cs="Times New Roman"/>
                <w:color w:val="000000"/>
                <w:spacing w:val="-6"/>
                <w:w w:val="120"/>
                <w:sz w:val="11"/>
                <w:szCs w:val="11"/>
              </w:rPr>
              <w:t>2</w:t>
            </w:r>
          </w:p>
        </w:tc>
        <w:tc>
          <w:tcPr>
            <w:tcW w:w="748" w:type="dxa"/>
            <w:vMerge w:val="restart"/>
            <w:tcBorders>
              <w:top w:val="single" w:sz="2" w:space="0" w:color="auto"/>
              <w:left w:val="single" w:sz="2" w:space="0" w:color="auto"/>
              <w:right w:val="single" w:sz="2" w:space="0" w:color="auto"/>
            </w:tcBorders>
            <w:vAlign w:val="center"/>
          </w:tcPr>
          <w:p w14:paraId="556B783D"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6"/>
                <w:w w:val="110"/>
                <w:sz w:val="18"/>
                <w:szCs w:val="18"/>
              </w:rPr>
              <w:t>1</w:t>
            </w:r>
            <w:r w:rsidRPr="00EC4EC4">
              <w:rPr>
                <w:rFonts w:eastAsia="Times New Roman" w:cs="Times New Roman"/>
                <w:color w:val="000000"/>
                <w:spacing w:val="-6"/>
                <w:w w:val="125"/>
                <w:sz w:val="18"/>
                <w:szCs w:val="18"/>
                <w:vertAlign w:val="superscript"/>
              </w:rPr>
              <w:t>1</w:t>
            </w:r>
            <w:r w:rsidRPr="00EC4EC4">
              <w:rPr>
                <w:rFonts w:eastAsia="Times New Roman" w:cs="Times New Roman"/>
                <w:color w:val="000000"/>
                <w:spacing w:val="-6"/>
                <w:w w:val="110"/>
                <w:sz w:val="18"/>
                <w:szCs w:val="18"/>
              </w:rPr>
              <w:t>/</w:t>
            </w:r>
            <w:r w:rsidRPr="00EC4EC4">
              <w:rPr>
                <w:rFonts w:eastAsia="Times New Roman" w:cs="Times New Roman"/>
                <w:color w:val="000000"/>
                <w:spacing w:val="-6"/>
                <w:w w:val="120"/>
                <w:sz w:val="11"/>
                <w:szCs w:val="11"/>
              </w:rPr>
              <w:t>2</w:t>
            </w:r>
          </w:p>
        </w:tc>
        <w:tc>
          <w:tcPr>
            <w:tcW w:w="744" w:type="dxa"/>
            <w:vMerge w:val="restart"/>
            <w:tcBorders>
              <w:top w:val="single" w:sz="2" w:space="0" w:color="auto"/>
              <w:left w:val="single" w:sz="2" w:space="0" w:color="auto"/>
              <w:right w:val="single" w:sz="2" w:space="0" w:color="auto"/>
            </w:tcBorders>
            <w:vAlign w:val="center"/>
          </w:tcPr>
          <w:p w14:paraId="16F09BFF"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4" w:type="dxa"/>
            <w:tcBorders>
              <w:top w:val="single" w:sz="2" w:space="0" w:color="auto"/>
              <w:left w:val="single" w:sz="2" w:space="0" w:color="auto"/>
              <w:bottom w:val="single" w:sz="2" w:space="0" w:color="auto"/>
              <w:right w:val="single" w:sz="2" w:space="0" w:color="auto"/>
            </w:tcBorders>
            <w:vAlign w:val="center"/>
          </w:tcPr>
          <w:p w14:paraId="279D455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754" w:type="dxa"/>
            <w:vMerge w:val="restart"/>
            <w:tcBorders>
              <w:top w:val="single" w:sz="2" w:space="0" w:color="auto"/>
              <w:left w:val="single" w:sz="2" w:space="0" w:color="auto"/>
              <w:right w:val="single" w:sz="2" w:space="0" w:color="auto"/>
            </w:tcBorders>
            <w:vAlign w:val="center"/>
          </w:tcPr>
          <w:p w14:paraId="57796A20"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p>
        </w:tc>
      </w:tr>
      <w:tr w:rsidR="00140B7C" w:rsidRPr="00EC4EC4" w14:paraId="01033004" w14:textId="77777777" w:rsidTr="00BC1087">
        <w:trPr>
          <w:cantSplit/>
          <w:trHeight w:hRule="exact" w:val="321"/>
          <w:jc w:val="center"/>
        </w:trPr>
        <w:tc>
          <w:tcPr>
            <w:tcW w:w="1186" w:type="dxa"/>
            <w:tcBorders>
              <w:top w:val="single" w:sz="2" w:space="0" w:color="auto"/>
              <w:left w:val="single" w:sz="2" w:space="0" w:color="auto"/>
              <w:bottom w:val="single" w:sz="2" w:space="0" w:color="auto"/>
              <w:right w:val="single" w:sz="2" w:space="0" w:color="auto"/>
            </w:tcBorders>
            <w:vAlign w:val="center"/>
          </w:tcPr>
          <w:p w14:paraId="795C1237"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100</w:t>
            </w:r>
          </w:p>
        </w:tc>
        <w:tc>
          <w:tcPr>
            <w:tcW w:w="744" w:type="dxa"/>
            <w:vMerge/>
            <w:tcBorders>
              <w:left w:val="single" w:sz="2" w:space="0" w:color="auto"/>
              <w:right w:val="single" w:sz="2" w:space="0" w:color="auto"/>
            </w:tcBorders>
            <w:vAlign w:val="center"/>
          </w:tcPr>
          <w:p w14:paraId="5C33BB85" w14:textId="77777777" w:rsidR="00140B7C" w:rsidRPr="00EC4EC4" w:rsidRDefault="00140B7C" w:rsidP="00BC1087">
            <w:pPr>
              <w:spacing w:after="0" w:line="240" w:lineRule="auto"/>
              <w:ind w:left="14"/>
              <w:jc w:val="center"/>
              <w:rPr>
                <w:rFonts w:eastAsia="Times New Roman" w:cs="Times New Roman"/>
                <w:color w:val="000000"/>
              </w:rPr>
            </w:pPr>
          </w:p>
        </w:tc>
        <w:tc>
          <w:tcPr>
            <w:tcW w:w="748" w:type="dxa"/>
            <w:vMerge/>
            <w:tcBorders>
              <w:left w:val="single" w:sz="2" w:space="0" w:color="auto"/>
              <w:right w:val="single" w:sz="2" w:space="0" w:color="auto"/>
            </w:tcBorders>
            <w:vAlign w:val="center"/>
          </w:tcPr>
          <w:p w14:paraId="47ADBAC0"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6EE244FE" w14:textId="77777777" w:rsidR="00140B7C" w:rsidRPr="00EC4EC4" w:rsidRDefault="00140B7C" w:rsidP="00BC1087">
            <w:pPr>
              <w:spacing w:after="0" w:line="240" w:lineRule="auto"/>
              <w:jc w:val="center"/>
              <w:rPr>
                <w:rFonts w:eastAsia="Times New Roman" w:cs="Times New Roman"/>
                <w:color w:val="000000"/>
                <w:w w:val="120"/>
                <w:sz w:val="11"/>
                <w:szCs w:val="11"/>
              </w:rPr>
            </w:pPr>
          </w:p>
        </w:tc>
        <w:tc>
          <w:tcPr>
            <w:tcW w:w="744" w:type="dxa"/>
            <w:vMerge w:val="restart"/>
            <w:tcBorders>
              <w:top w:val="single" w:sz="2" w:space="0" w:color="auto"/>
              <w:left w:val="single" w:sz="2" w:space="0" w:color="auto"/>
              <w:right w:val="single" w:sz="2" w:space="0" w:color="auto"/>
            </w:tcBorders>
            <w:vAlign w:val="center"/>
          </w:tcPr>
          <w:p w14:paraId="797DBE07"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2"/>
                <w:w w:val="110"/>
                <w:sz w:val="18"/>
                <w:szCs w:val="18"/>
              </w:rPr>
              <w:t>2</w:t>
            </w:r>
            <w:r w:rsidRPr="00EC4EC4">
              <w:rPr>
                <w:rFonts w:eastAsia="Times New Roman" w:cs="Times New Roman"/>
                <w:color w:val="000000"/>
                <w:spacing w:val="-2"/>
                <w:w w:val="125"/>
                <w:sz w:val="18"/>
                <w:szCs w:val="18"/>
                <w:vertAlign w:val="superscript"/>
              </w:rPr>
              <w:t>1</w:t>
            </w:r>
            <w:r w:rsidRPr="00EC4EC4">
              <w:rPr>
                <w:rFonts w:eastAsia="Times New Roman" w:cs="Times New Roman"/>
                <w:color w:val="000000"/>
                <w:spacing w:val="-2"/>
                <w:w w:val="110"/>
                <w:sz w:val="18"/>
                <w:szCs w:val="18"/>
              </w:rPr>
              <w:t>/</w:t>
            </w:r>
            <w:r w:rsidRPr="00EC4EC4">
              <w:rPr>
                <w:rFonts w:eastAsia="Times New Roman" w:cs="Times New Roman"/>
                <w:color w:val="000000"/>
                <w:spacing w:val="-2"/>
                <w:w w:val="120"/>
                <w:sz w:val="11"/>
                <w:szCs w:val="11"/>
              </w:rPr>
              <w:t>2</w:t>
            </w:r>
          </w:p>
        </w:tc>
        <w:tc>
          <w:tcPr>
            <w:tcW w:w="754" w:type="dxa"/>
            <w:vMerge/>
            <w:tcBorders>
              <w:left w:val="single" w:sz="2" w:space="0" w:color="auto"/>
              <w:right w:val="single" w:sz="2" w:space="0" w:color="auto"/>
            </w:tcBorders>
            <w:vAlign w:val="center"/>
          </w:tcPr>
          <w:p w14:paraId="67F01930"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7EE8DC25" w14:textId="77777777" w:rsidTr="00BC1087">
        <w:trPr>
          <w:cantSplit/>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7255BA4E"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88</w:t>
            </w:r>
          </w:p>
        </w:tc>
        <w:tc>
          <w:tcPr>
            <w:tcW w:w="744" w:type="dxa"/>
            <w:vMerge/>
            <w:tcBorders>
              <w:left w:val="single" w:sz="2" w:space="0" w:color="auto"/>
              <w:right w:val="single" w:sz="2" w:space="0" w:color="auto"/>
            </w:tcBorders>
            <w:vAlign w:val="center"/>
          </w:tcPr>
          <w:p w14:paraId="5DD92CA9" w14:textId="77777777" w:rsidR="00140B7C" w:rsidRPr="00EC4EC4" w:rsidRDefault="00140B7C" w:rsidP="00BC1087">
            <w:pPr>
              <w:spacing w:after="0" w:line="240" w:lineRule="auto"/>
              <w:ind w:left="14"/>
              <w:jc w:val="center"/>
              <w:rPr>
                <w:rFonts w:eastAsia="Times New Roman" w:cs="Times New Roman"/>
                <w:color w:val="000000"/>
                <w:w w:val="110"/>
                <w:sz w:val="18"/>
                <w:szCs w:val="18"/>
              </w:rPr>
            </w:pPr>
          </w:p>
        </w:tc>
        <w:tc>
          <w:tcPr>
            <w:tcW w:w="748" w:type="dxa"/>
            <w:vMerge/>
            <w:tcBorders>
              <w:left w:val="single" w:sz="2" w:space="0" w:color="auto"/>
              <w:right w:val="single" w:sz="2" w:space="0" w:color="auto"/>
            </w:tcBorders>
            <w:vAlign w:val="center"/>
          </w:tcPr>
          <w:p w14:paraId="6F932B2E"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bottom w:val="single" w:sz="2" w:space="0" w:color="auto"/>
              <w:right w:val="single" w:sz="2" w:space="0" w:color="auto"/>
            </w:tcBorders>
            <w:vAlign w:val="center"/>
          </w:tcPr>
          <w:p w14:paraId="7BEC711A"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vAlign w:val="center"/>
          </w:tcPr>
          <w:p w14:paraId="38BBFA24"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54" w:type="dxa"/>
            <w:vMerge/>
            <w:tcBorders>
              <w:left w:val="single" w:sz="2" w:space="0" w:color="auto"/>
              <w:bottom w:val="single" w:sz="2" w:space="0" w:color="auto"/>
              <w:right w:val="single" w:sz="2" w:space="0" w:color="auto"/>
            </w:tcBorders>
            <w:vAlign w:val="center"/>
          </w:tcPr>
          <w:p w14:paraId="1E780F1F" w14:textId="77777777" w:rsidR="00140B7C" w:rsidRPr="00EC4EC4" w:rsidRDefault="00140B7C" w:rsidP="00BC1087">
            <w:pPr>
              <w:spacing w:after="0" w:line="240" w:lineRule="auto"/>
              <w:jc w:val="center"/>
              <w:rPr>
                <w:rFonts w:eastAsia="Times New Roman" w:cs="Times New Roman"/>
                <w:color w:val="000000"/>
                <w:w w:val="110"/>
                <w:sz w:val="18"/>
                <w:szCs w:val="18"/>
              </w:rPr>
            </w:pPr>
          </w:p>
        </w:tc>
      </w:tr>
      <w:tr w:rsidR="00140B7C" w:rsidRPr="00EC4EC4" w14:paraId="3C3767FA" w14:textId="77777777" w:rsidTr="00BC1087">
        <w:trPr>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4652670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77</w:t>
            </w:r>
          </w:p>
        </w:tc>
        <w:tc>
          <w:tcPr>
            <w:tcW w:w="744" w:type="dxa"/>
            <w:vMerge/>
            <w:tcBorders>
              <w:left w:val="single" w:sz="2" w:space="0" w:color="auto"/>
              <w:right w:val="single" w:sz="2" w:space="0" w:color="auto"/>
            </w:tcBorders>
            <w:vAlign w:val="center"/>
          </w:tcPr>
          <w:p w14:paraId="6246A366" w14:textId="77777777" w:rsidR="00140B7C" w:rsidRPr="00EC4EC4" w:rsidRDefault="00140B7C" w:rsidP="00BC1087">
            <w:pPr>
              <w:spacing w:after="0" w:line="240" w:lineRule="auto"/>
              <w:ind w:left="14"/>
              <w:jc w:val="center"/>
              <w:rPr>
                <w:rFonts w:eastAsia="Times New Roman" w:cs="Times New Roman"/>
                <w:color w:val="000000"/>
                <w:spacing w:val="-6"/>
                <w:w w:val="120"/>
                <w:sz w:val="11"/>
                <w:szCs w:val="11"/>
              </w:rPr>
            </w:pPr>
          </w:p>
        </w:tc>
        <w:tc>
          <w:tcPr>
            <w:tcW w:w="748" w:type="dxa"/>
            <w:vMerge/>
            <w:tcBorders>
              <w:left w:val="single" w:sz="2" w:space="0" w:color="auto"/>
              <w:right w:val="single" w:sz="2" w:space="0" w:color="auto"/>
            </w:tcBorders>
            <w:vAlign w:val="center"/>
          </w:tcPr>
          <w:p w14:paraId="4AF75A91" w14:textId="77777777" w:rsidR="00140B7C" w:rsidRPr="00EC4EC4" w:rsidRDefault="00140B7C" w:rsidP="00BC1087">
            <w:pPr>
              <w:spacing w:after="0" w:line="240" w:lineRule="auto"/>
              <w:jc w:val="center"/>
              <w:rPr>
                <w:rFonts w:eastAsia="Times New Roman" w:cs="Times New Roman"/>
                <w:color w:val="000000"/>
                <w:spacing w:val="-6"/>
                <w:w w:val="120"/>
                <w:sz w:val="11"/>
                <w:szCs w:val="11"/>
              </w:rPr>
            </w:pPr>
          </w:p>
        </w:tc>
        <w:tc>
          <w:tcPr>
            <w:tcW w:w="744" w:type="dxa"/>
            <w:vMerge w:val="restart"/>
            <w:tcBorders>
              <w:top w:val="single" w:sz="2" w:space="0" w:color="auto"/>
              <w:left w:val="single" w:sz="2" w:space="0" w:color="auto"/>
              <w:right w:val="single" w:sz="2" w:space="0" w:color="auto"/>
            </w:tcBorders>
            <w:vAlign w:val="center"/>
          </w:tcPr>
          <w:p w14:paraId="0E5A56B4"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44" w:type="dxa"/>
            <w:vMerge/>
            <w:tcBorders>
              <w:left w:val="single" w:sz="2" w:space="0" w:color="auto"/>
              <w:right w:val="single" w:sz="2" w:space="0" w:color="auto"/>
            </w:tcBorders>
            <w:vAlign w:val="center"/>
          </w:tcPr>
          <w:p w14:paraId="3ABCEBB1" w14:textId="77777777" w:rsidR="00140B7C" w:rsidRPr="00EC4EC4" w:rsidRDefault="00140B7C" w:rsidP="00BC1087">
            <w:pPr>
              <w:spacing w:after="0" w:line="240" w:lineRule="auto"/>
              <w:jc w:val="center"/>
              <w:rPr>
                <w:rFonts w:eastAsia="Times New Roman" w:cs="Times New Roman"/>
                <w:color w:val="000000"/>
                <w:spacing w:val="-2"/>
                <w:w w:val="120"/>
                <w:sz w:val="11"/>
                <w:szCs w:val="11"/>
              </w:rPr>
            </w:pPr>
          </w:p>
        </w:tc>
        <w:tc>
          <w:tcPr>
            <w:tcW w:w="754" w:type="dxa"/>
            <w:vMerge w:val="restart"/>
            <w:tcBorders>
              <w:top w:val="single" w:sz="2" w:space="0" w:color="auto"/>
              <w:left w:val="single" w:sz="2" w:space="0" w:color="auto"/>
              <w:right w:val="single" w:sz="2" w:space="0" w:color="auto"/>
            </w:tcBorders>
            <w:vAlign w:val="center"/>
          </w:tcPr>
          <w:p w14:paraId="7CAAB6E5"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spacing w:val="-4"/>
                <w:w w:val="110"/>
                <w:sz w:val="18"/>
                <w:szCs w:val="18"/>
              </w:rPr>
              <w:t>3</w:t>
            </w:r>
            <w:r w:rsidRPr="00EC4EC4">
              <w:rPr>
                <w:rFonts w:eastAsia="Times New Roman" w:cs="Times New Roman"/>
                <w:color w:val="000000"/>
                <w:spacing w:val="-4"/>
                <w:w w:val="125"/>
                <w:sz w:val="18"/>
                <w:szCs w:val="18"/>
                <w:vertAlign w:val="superscript"/>
              </w:rPr>
              <w:t>1</w:t>
            </w:r>
            <w:r w:rsidRPr="00EC4EC4">
              <w:rPr>
                <w:rFonts w:eastAsia="Times New Roman" w:cs="Times New Roman"/>
                <w:color w:val="000000"/>
                <w:spacing w:val="-4"/>
                <w:w w:val="110"/>
                <w:sz w:val="18"/>
                <w:szCs w:val="18"/>
              </w:rPr>
              <w:t>/</w:t>
            </w:r>
            <w:r w:rsidRPr="00EC4EC4">
              <w:rPr>
                <w:rFonts w:eastAsia="Times New Roman" w:cs="Times New Roman"/>
                <w:color w:val="000000"/>
                <w:spacing w:val="-4"/>
                <w:w w:val="120"/>
                <w:sz w:val="11"/>
                <w:szCs w:val="11"/>
              </w:rPr>
              <w:t>2</w:t>
            </w:r>
          </w:p>
        </w:tc>
      </w:tr>
      <w:tr w:rsidR="00140B7C" w:rsidRPr="00EC4EC4" w14:paraId="4198EC82" w14:textId="77777777" w:rsidTr="00BC1087">
        <w:trPr>
          <w:trHeight w:hRule="exact" w:val="321"/>
          <w:jc w:val="center"/>
        </w:trPr>
        <w:tc>
          <w:tcPr>
            <w:tcW w:w="1186" w:type="dxa"/>
            <w:tcBorders>
              <w:top w:val="single" w:sz="2" w:space="0" w:color="auto"/>
              <w:left w:val="single" w:sz="2" w:space="0" w:color="auto"/>
              <w:bottom w:val="single" w:sz="2" w:space="0" w:color="auto"/>
              <w:right w:val="single" w:sz="2" w:space="0" w:color="auto"/>
            </w:tcBorders>
            <w:vAlign w:val="center"/>
          </w:tcPr>
          <w:p w14:paraId="349CB42B"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60</w:t>
            </w:r>
          </w:p>
        </w:tc>
        <w:tc>
          <w:tcPr>
            <w:tcW w:w="744" w:type="dxa"/>
            <w:vMerge/>
            <w:tcBorders>
              <w:left w:val="single" w:sz="2" w:space="0" w:color="auto"/>
              <w:right w:val="single" w:sz="2" w:space="0" w:color="auto"/>
            </w:tcBorders>
            <w:vAlign w:val="center"/>
          </w:tcPr>
          <w:p w14:paraId="7AB8A0FF" w14:textId="77777777" w:rsidR="00140B7C" w:rsidRPr="00EC4EC4" w:rsidRDefault="00140B7C" w:rsidP="00BC1087">
            <w:pPr>
              <w:spacing w:after="0" w:line="240" w:lineRule="auto"/>
              <w:ind w:left="14"/>
              <w:jc w:val="center"/>
              <w:rPr>
                <w:rFonts w:eastAsia="Times New Roman" w:cs="Times New Roman"/>
                <w:color w:val="000000"/>
              </w:rPr>
            </w:pPr>
          </w:p>
        </w:tc>
        <w:tc>
          <w:tcPr>
            <w:tcW w:w="748" w:type="dxa"/>
            <w:vMerge/>
            <w:tcBorders>
              <w:left w:val="single" w:sz="2" w:space="0" w:color="auto"/>
              <w:right w:val="single" w:sz="2" w:space="0" w:color="auto"/>
            </w:tcBorders>
            <w:vAlign w:val="center"/>
          </w:tcPr>
          <w:p w14:paraId="18054C80"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1E5499B4"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bottom w:val="single" w:sz="2" w:space="0" w:color="auto"/>
              <w:right w:val="single" w:sz="2" w:space="0" w:color="auto"/>
            </w:tcBorders>
            <w:vAlign w:val="center"/>
          </w:tcPr>
          <w:p w14:paraId="2E9941A5" w14:textId="77777777" w:rsidR="00140B7C" w:rsidRPr="00EC4EC4" w:rsidRDefault="00140B7C" w:rsidP="00BC1087">
            <w:pPr>
              <w:spacing w:after="0" w:line="240" w:lineRule="auto"/>
              <w:jc w:val="center"/>
              <w:rPr>
                <w:rFonts w:eastAsia="Times New Roman" w:cs="Times New Roman"/>
                <w:color w:val="000000"/>
              </w:rPr>
            </w:pPr>
          </w:p>
        </w:tc>
        <w:tc>
          <w:tcPr>
            <w:tcW w:w="754" w:type="dxa"/>
            <w:vMerge/>
            <w:tcBorders>
              <w:left w:val="single" w:sz="2" w:space="0" w:color="auto"/>
              <w:right w:val="single" w:sz="2" w:space="0" w:color="auto"/>
            </w:tcBorders>
            <w:vAlign w:val="center"/>
          </w:tcPr>
          <w:p w14:paraId="487813B5"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2B88C885" w14:textId="77777777" w:rsidTr="00BC1087">
        <w:trPr>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22B6045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39</w:t>
            </w:r>
          </w:p>
        </w:tc>
        <w:tc>
          <w:tcPr>
            <w:tcW w:w="744" w:type="dxa"/>
            <w:vMerge/>
            <w:tcBorders>
              <w:left w:val="single" w:sz="2" w:space="0" w:color="auto"/>
              <w:right w:val="single" w:sz="2" w:space="0" w:color="auto"/>
            </w:tcBorders>
            <w:vAlign w:val="center"/>
          </w:tcPr>
          <w:p w14:paraId="3BD0E0D5" w14:textId="77777777" w:rsidR="00140B7C" w:rsidRPr="00EC4EC4" w:rsidRDefault="00140B7C" w:rsidP="00BC1087">
            <w:pPr>
              <w:spacing w:after="0" w:line="240" w:lineRule="auto"/>
              <w:ind w:left="14"/>
              <w:jc w:val="center"/>
              <w:rPr>
                <w:rFonts w:eastAsia="Times New Roman" w:cs="Times New Roman"/>
                <w:color w:val="000000"/>
              </w:rPr>
            </w:pPr>
          </w:p>
        </w:tc>
        <w:tc>
          <w:tcPr>
            <w:tcW w:w="748" w:type="dxa"/>
            <w:vMerge/>
            <w:tcBorders>
              <w:left w:val="single" w:sz="2" w:space="0" w:color="auto"/>
              <w:bottom w:val="single" w:sz="2" w:space="0" w:color="auto"/>
              <w:right w:val="single" w:sz="2" w:space="0" w:color="auto"/>
            </w:tcBorders>
            <w:vAlign w:val="center"/>
          </w:tcPr>
          <w:p w14:paraId="574E2ECF"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6D669676" w14:textId="77777777" w:rsidR="00140B7C" w:rsidRPr="00EC4EC4" w:rsidRDefault="00140B7C" w:rsidP="00BC1087">
            <w:pPr>
              <w:spacing w:after="0" w:line="240" w:lineRule="auto"/>
              <w:jc w:val="center"/>
              <w:rPr>
                <w:rFonts w:eastAsia="Times New Roman" w:cs="Times New Roman"/>
                <w:color w:val="000000"/>
              </w:rPr>
            </w:pPr>
          </w:p>
        </w:tc>
        <w:tc>
          <w:tcPr>
            <w:tcW w:w="744" w:type="dxa"/>
            <w:vMerge w:val="restart"/>
            <w:tcBorders>
              <w:top w:val="single" w:sz="2" w:space="0" w:color="auto"/>
              <w:left w:val="single" w:sz="2" w:space="0" w:color="auto"/>
              <w:right w:val="single" w:sz="2" w:space="0" w:color="auto"/>
            </w:tcBorders>
            <w:vAlign w:val="center"/>
          </w:tcPr>
          <w:p w14:paraId="13A70FDA"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3</w:t>
            </w:r>
          </w:p>
        </w:tc>
        <w:tc>
          <w:tcPr>
            <w:tcW w:w="754" w:type="dxa"/>
            <w:vMerge/>
            <w:tcBorders>
              <w:left w:val="single" w:sz="2" w:space="0" w:color="auto"/>
              <w:right w:val="single" w:sz="2" w:space="0" w:color="auto"/>
            </w:tcBorders>
            <w:vAlign w:val="center"/>
          </w:tcPr>
          <w:p w14:paraId="0B17CFBA" w14:textId="77777777" w:rsidR="00140B7C" w:rsidRPr="00EC4EC4" w:rsidRDefault="00140B7C" w:rsidP="00BC1087">
            <w:pPr>
              <w:spacing w:after="0" w:line="240" w:lineRule="auto"/>
              <w:jc w:val="center"/>
              <w:rPr>
                <w:rFonts w:eastAsia="Times New Roman" w:cs="Times New Roman"/>
                <w:color w:val="000000"/>
                <w:spacing w:val="-4"/>
                <w:w w:val="120"/>
                <w:sz w:val="11"/>
                <w:szCs w:val="11"/>
              </w:rPr>
            </w:pPr>
          </w:p>
        </w:tc>
      </w:tr>
      <w:tr w:rsidR="00140B7C" w:rsidRPr="00EC4EC4" w14:paraId="404E4AB9" w14:textId="77777777" w:rsidTr="00BC1087">
        <w:trPr>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398167C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33</w:t>
            </w:r>
          </w:p>
        </w:tc>
        <w:tc>
          <w:tcPr>
            <w:tcW w:w="744" w:type="dxa"/>
            <w:vMerge/>
            <w:tcBorders>
              <w:left w:val="single" w:sz="2" w:space="0" w:color="auto"/>
              <w:bottom w:val="single" w:sz="2" w:space="0" w:color="auto"/>
              <w:right w:val="single" w:sz="2" w:space="0" w:color="auto"/>
            </w:tcBorders>
            <w:vAlign w:val="center"/>
          </w:tcPr>
          <w:p w14:paraId="34768EB0" w14:textId="77777777" w:rsidR="00140B7C" w:rsidRPr="00EC4EC4" w:rsidRDefault="00140B7C" w:rsidP="00BC1087">
            <w:pPr>
              <w:spacing w:after="0" w:line="240" w:lineRule="auto"/>
              <w:ind w:left="14"/>
              <w:jc w:val="center"/>
              <w:rPr>
                <w:rFonts w:eastAsia="Times New Roman" w:cs="Times New Roman"/>
                <w:color w:val="000000"/>
              </w:rPr>
            </w:pPr>
          </w:p>
        </w:tc>
        <w:tc>
          <w:tcPr>
            <w:tcW w:w="748" w:type="dxa"/>
            <w:tcBorders>
              <w:top w:val="single" w:sz="2" w:space="0" w:color="auto"/>
              <w:left w:val="single" w:sz="2" w:space="0" w:color="auto"/>
              <w:bottom w:val="single" w:sz="2" w:space="0" w:color="auto"/>
              <w:right w:val="single" w:sz="2" w:space="0" w:color="auto"/>
            </w:tcBorders>
            <w:vAlign w:val="center"/>
          </w:tcPr>
          <w:p w14:paraId="434CD087"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744" w:type="dxa"/>
            <w:vMerge/>
            <w:tcBorders>
              <w:left w:val="single" w:sz="2" w:space="0" w:color="auto"/>
              <w:bottom w:val="single" w:sz="2" w:space="0" w:color="auto"/>
              <w:right w:val="single" w:sz="2" w:space="0" w:color="auto"/>
            </w:tcBorders>
            <w:vAlign w:val="center"/>
          </w:tcPr>
          <w:p w14:paraId="74E895AB"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bottom w:val="single" w:sz="2" w:space="0" w:color="auto"/>
              <w:right w:val="single" w:sz="2" w:space="0" w:color="auto"/>
            </w:tcBorders>
            <w:vAlign w:val="center"/>
          </w:tcPr>
          <w:p w14:paraId="19C2BE07" w14:textId="77777777" w:rsidR="00140B7C" w:rsidRPr="00EC4EC4" w:rsidRDefault="00140B7C" w:rsidP="00BC1087">
            <w:pPr>
              <w:spacing w:after="0" w:line="240" w:lineRule="auto"/>
              <w:jc w:val="center"/>
              <w:rPr>
                <w:rFonts w:eastAsia="Times New Roman" w:cs="Times New Roman"/>
                <w:color w:val="000000"/>
              </w:rPr>
            </w:pPr>
          </w:p>
        </w:tc>
        <w:tc>
          <w:tcPr>
            <w:tcW w:w="754" w:type="dxa"/>
            <w:vMerge/>
            <w:tcBorders>
              <w:left w:val="single" w:sz="2" w:space="0" w:color="auto"/>
              <w:bottom w:val="single" w:sz="2" w:space="0" w:color="auto"/>
              <w:right w:val="single" w:sz="2" w:space="0" w:color="auto"/>
            </w:tcBorders>
            <w:vAlign w:val="center"/>
          </w:tcPr>
          <w:p w14:paraId="5F00E496"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1EB3134A" w14:textId="77777777" w:rsidTr="00BC1087">
        <w:trPr>
          <w:trHeight w:hRule="exact" w:val="321"/>
          <w:jc w:val="center"/>
        </w:trPr>
        <w:tc>
          <w:tcPr>
            <w:tcW w:w="1186" w:type="dxa"/>
            <w:tcBorders>
              <w:top w:val="single" w:sz="2" w:space="0" w:color="auto"/>
              <w:left w:val="single" w:sz="2" w:space="0" w:color="auto"/>
              <w:bottom w:val="single" w:sz="2" w:space="0" w:color="auto"/>
              <w:right w:val="single" w:sz="2" w:space="0" w:color="auto"/>
            </w:tcBorders>
            <w:vAlign w:val="center"/>
          </w:tcPr>
          <w:p w14:paraId="16957B31"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 xml:space="preserve">W8 </w:t>
            </w:r>
            <w:r w:rsidRPr="00EC4EC4">
              <w:rPr>
                <w:rFonts w:eastAsia="Times New Roman" w:cs="Times New Roman"/>
                <w:color w:val="000000"/>
                <w:spacing w:val="-8"/>
                <w:w w:val="110"/>
                <w:sz w:val="18"/>
                <w:szCs w:val="18"/>
              </w:rPr>
              <w:t xml:space="preserve">× </w:t>
            </w:r>
            <w:r w:rsidRPr="00EC4EC4">
              <w:rPr>
                <w:rFonts w:eastAsia="Times New Roman" w:cs="Times New Roman"/>
                <w:color w:val="000000"/>
                <w:w w:val="110"/>
                <w:sz w:val="18"/>
                <w:szCs w:val="18"/>
              </w:rPr>
              <w:t>67</w:t>
            </w:r>
          </w:p>
        </w:tc>
        <w:tc>
          <w:tcPr>
            <w:tcW w:w="744" w:type="dxa"/>
            <w:vMerge w:val="restart"/>
            <w:tcBorders>
              <w:top w:val="single" w:sz="2" w:space="0" w:color="auto"/>
              <w:left w:val="single" w:sz="2" w:space="0" w:color="auto"/>
              <w:right w:val="single" w:sz="2" w:space="0" w:color="auto"/>
            </w:tcBorders>
            <w:vAlign w:val="center"/>
          </w:tcPr>
          <w:p w14:paraId="7FA3D46C" w14:textId="77777777" w:rsidR="00140B7C" w:rsidRPr="00EC4EC4" w:rsidRDefault="00140B7C" w:rsidP="00BC1087">
            <w:pPr>
              <w:spacing w:after="0" w:line="240" w:lineRule="auto"/>
              <w:ind w:left="14"/>
              <w:jc w:val="center"/>
              <w:rPr>
                <w:rFonts w:eastAsia="Times New Roman" w:cs="Times New Roman"/>
                <w:color w:val="000000"/>
              </w:rPr>
            </w:pPr>
            <w:r w:rsidRPr="00EC4EC4">
              <w:rPr>
                <w:rFonts w:eastAsia="Times New Roman" w:cs="Times New Roman"/>
                <w:color w:val="000000"/>
                <w:spacing w:val="-6"/>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748" w:type="dxa"/>
            <w:vMerge w:val="restart"/>
            <w:tcBorders>
              <w:top w:val="single" w:sz="2" w:space="0" w:color="auto"/>
              <w:left w:val="single" w:sz="2" w:space="0" w:color="auto"/>
              <w:right w:val="single" w:sz="2" w:space="0" w:color="auto"/>
            </w:tcBorders>
            <w:vAlign w:val="center"/>
          </w:tcPr>
          <w:p w14:paraId="4B193A54"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4" w:type="dxa"/>
            <w:tcBorders>
              <w:top w:val="single" w:sz="2" w:space="0" w:color="auto"/>
              <w:left w:val="single" w:sz="2" w:space="0" w:color="auto"/>
              <w:bottom w:val="single" w:sz="2" w:space="0" w:color="auto"/>
              <w:right w:val="single" w:sz="2" w:space="0" w:color="auto"/>
            </w:tcBorders>
            <w:vAlign w:val="center"/>
          </w:tcPr>
          <w:p w14:paraId="21DF958A"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4" w:type="dxa"/>
            <w:tcBorders>
              <w:top w:val="single" w:sz="2" w:space="0" w:color="auto"/>
              <w:left w:val="single" w:sz="2" w:space="0" w:color="auto"/>
              <w:bottom w:val="single" w:sz="2" w:space="0" w:color="auto"/>
              <w:right w:val="single" w:sz="2" w:space="0" w:color="auto"/>
            </w:tcBorders>
            <w:vAlign w:val="center"/>
          </w:tcPr>
          <w:p w14:paraId="19788DA0"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54" w:type="dxa"/>
            <w:tcBorders>
              <w:top w:val="single" w:sz="2" w:space="0" w:color="auto"/>
              <w:left w:val="single" w:sz="2" w:space="0" w:color="auto"/>
              <w:bottom w:val="single" w:sz="2" w:space="0" w:color="auto"/>
              <w:right w:val="single" w:sz="2" w:space="0" w:color="auto"/>
            </w:tcBorders>
            <w:vAlign w:val="center"/>
          </w:tcPr>
          <w:p w14:paraId="40DDF955"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3</w:t>
            </w:r>
          </w:p>
        </w:tc>
      </w:tr>
      <w:tr w:rsidR="00140B7C" w:rsidRPr="00EC4EC4" w14:paraId="13B974F0" w14:textId="77777777" w:rsidTr="00BC1087">
        <w:trPr>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56F7B674"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 xml:space="preserve">× </w:t>
            </w:r>
            <w:r w:rsidRPr="00EC4EC4">
              <w:rPr>
                <w:rFonts w:eastAsia="Times New Roman" w:cs="Times New Roman"/>
                <w:color w:val="000000"/>
                <w:w w:val="110"/>
                <w:sz w:val="18"/>
                <w:szCs w:val="18"/>
              </w:rPr>
              <w:t>48</w:t>
            </w:r>
          </w:p>
        </w:tc>
        <w:tc>
          <w:tcPr>
            <w:tcW w:w="744" w:type="dxa"/>
            <w:vMerge/>
            <w:tcBorders>
              <w:left w:val="single" w:sz="2" w:space="0" w:color="auto"/>
              <w:right w:val="single" w:sz="2" w:space="0" w:color="auto"/>
            </w:tcBorders>
            <w:vAlign w:val="center"/>
          </w:tcPr>
          <w:p w14:paraId="781F5F4C" w14:textId="77777777" w:rsidR="00140B7C" w:rsidRPr="00EC4EC4" w:rsidRDefault="00140B7C" w:rsidP="00BC1087">
            <w:pPr>
              <w:spacing w:after="0" w:line="240" w:lineRule="auto"/>
              <w:ind w:left="14"/>
              <w:jc w:val="center"/>
              <w:rPr>
                <w:rFonts w:eastAsia="Times New Roman" w:cs="Times New Roman"/>
                <w:color w:val="000000"/>
              </w:rPr>
            </w:pPr>
          </w:p>
        </w:tc>
        <w:tc>
          <w:tcPr>
            <w:tcW w:w="748" w:type="dxa"/>
            <w:vMerge/>
            <w:tcBorders>
              <w:left w:val="single" w:sz="2" w:space="0" w:color="auto"/>
              <w:right w:val="single" w:sz="2" w:space="0" w:color="auto"/>
            </w:tcBorders>
            <w:vAlign w:val="center"/>
          </w:tcPr>
          <w:p w14:paraId="6697DAAC" w14:textId="77777777" w:rsidR="00140B7C" w:rsidRPr="00EC4EC4" w:rsidRDefault="00140B7C" w:rsidP="00BC1087">
            <w:pPr>
              <w:spacing w:after="0" w:line="240" w:lineRule="auto"/>
              <w:jc w:val="center"/>
              <w:rPr>
                <w:rFonts w:eastAsia="Times New Roman" w:cs="Times New Roman"/>
                <w:color w:val="000000"/>
                <w:w w:val="120"/>
                <w:sz w:val="11"/>
                <w:szCs w:val="11"/>
              </w:rPr>
            </w:pPr>
          </w:p>
        </w:tc>
        <w:tc>
          <w:tcPr>
            <w:tcW w:w="744" w:type="dxa"/>
            <w:vMerge w:val="restart"/>
            <w:tcBorders>
              <w:top w:val="single" w:sz="2" w:space="0" w:color="auto"/>
              <w:left w:val="single" w:sz="2" w:space="0" w:color="auto"/>
              <w:right w:val="single" w:sz="2" w:space="0" w:color="auto"/>
            </w:tcBorders>
            <w:vAlign w:val="center"/>
          </w:tcPr>
          <w:p w14:paraId="6AACE042"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44" w:type="dxa"/>
            <w:vMerge w:val="restart"/>
            <w:tcBorders>
              <w:top w:val="single" w:sz="2" w:space="0" w:color="auto"/>
              <w:left w:val="single" w:sz="2" w:space="0" w:color="auto"/>
              <w:right w:val="single" w:sz="2" w:space="0" w:color="auto"/>
            </w:tcBorders>
            <w:vAlign w:val="center"/>
          </w:tcPr>
          <w:p w14:paraId="052433C6"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p>
        </w:tc>
        <w:tc>
          <w:tcPr>
            <w:tcW w:w="754" w:type="dxa"/>
            <w:vMerge w:val="restart"/>
            <w:tcBorders>
              <w:top w:val="single" w:sz="2" w:space="0" w:color="auto"/>
              <w:left w:val="single" w:sz="2" w:space="0" w:color="auto"/>
              <w:right w:val="single" w:sz="2" w:space="0" w:color="auto"/>
            </w:tcBorders>
            <w:vAlign w:val="center"/>
          </w:tcPr>
          <w:p w14:paraId="58E2E6B4"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5AC3E2E4" w14:textId="77777777" w:rsidTr="00BC1087">
        <w:trPr>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4CC7E418"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35</w:t>
            </w:r>
          </w:p>
        </w:tc>
        <w:tc>
          <w:tcPr>
            <w:tcW w:w="744" w:type="dxa"/>
            <w:vMerge/>
            <w:tcBorders>
              <w:left w:val="single" w:sz="2" w:space="0" w:color="auto"/>
              <w:right w:val="single" w:sz="2" w:space="0" w:color="auto"/>
            </w:tcBorders>
            <w:vAlign w:val="center"/>
          </w:tcPr>
          <w:p w14:paraId="2B863C72" w14:textId="77777777" w:rsidR="00140B7C" w:rsidRPr="00EC4EC4" w:rsidRDefault="00140B7C" w:rsidP="00BC1087">
            <w:pPr>
              <w:spacing w:after="0" w:line="240" w:lineRule="auto"/>
              <w:ind w:left="14"/>
              <w:jc w:val="center"/>
              <w:rPr>
                <w:rFonts w:eastAsia="Times New Roman" w:cs="Times New Roman"/>
                <w:color w:val="000000"/>
                <w:spacing w:val="-6"/>
                <w:w w:val="120"/>
                <w:sz w:val="11"/>
                <w:szCs w:val="11"/>
              </w:rPr>
            </w:pPr>
          </w:p>
        </w:tc>
        <w:tc>
          <w:tcPr>
            <w:tcW w:w="748" w:type="dxa"/>
            <w:vMerge/>
            <w:tcBorders>
              <w:left w:val="single" w:sz="2" w:space="0" w:color="auto"/>
              <w:bottom w:val="single" w:sz="2" w:space="0" w:color="auto"/>
              <w:right w:val="single" w:sz="2" w:space="0" w:color="auto"/>
            </w:tcBorders>
            <w:vAlign w:val="center"/>
          </w:tcPr>
          <w:p w14:paraId="57C99F14"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6CE8AEE9"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vMerge/>
            <w:tcBorders>
              <w:left w:val="single" w:sz="2" w:space="0" w:color="auto"/>
              <w:right w:val="single" w:sz="2" w:space="0" w:color="auto"/>
            </w:tcBorders>
            <w:vAlign w:val="center"/>
          </w:tcPr>
          <w:p w14:paraId="358B0905" w14:textId="77777777" w:rsidR="00140B7C" w:rsidRPr="00EC4EC4" w:rsidRDefault="00140B7C" w:rsidP="00BC1087">
            <w:pPr>
              <w:spacing w:after="0" w:line="240" w:lineRule="auto"/>
              <w:jc w:val="center"/>
              <w:rPr>
                <w:rFonts w:eastAsia="Times New Roman" w:cs="Times New Roman"/>
                <w:color w:val="000000"/>
              </w:rPr>
            </w:pPr>
          </w:p>
        </w:tc>
        <w:tc>
          <w:tcPr>
            <w:tcW w:w="754" w:type="dxa"/>
            <w:vMerge/>
            <w:tcBorders>
              <w:left w:val="single" w:sz="2" w:space="0" w:color="auto"/>
              <w:right w:val="single" w:sz="2" w:space="0" w:color="auto"/>
            </w:tcBorders>
            <w:vAlign w:val="center"/>
          </w:tcPr>
          <w:p w14:paraId="31E5DFB5" w14:textId="77777777" w:rsidR="00140B7C" w:rsidRPr="00EC4EC4" w:rsidRDefault="00140B7C" w:rsidP="00BC1087">
            <w:pPr>
              <w:spacing w:after="0" w:line="240" w:lineRule="auto"/>
              <w:jc w:val="center"/>
              <w:rPr>
                <w:rFonts w:eastAsia="Times New Roman" w:cs="Times New Roman"/>
                <w:color w:val="000000"/>
                <w:w w:val="120"/>
                <w:sz w:val="11"/>
                <w:szCs w:val="11"/>
              </w:rPr>
            </w:pPr>
          </w:p>
        </w:tc>
      </w:tr>
      <w:tr w:rsidR="00140B7C" w:rsidRPr="00EC4EC4" w14:paraId="5C426D74" w14:textId="77777777" w:rsidTr="00BC1087">
        <w:trPr>
          <w:trHeight w:hRule="exact" w:val="321"/>
          <w:jc w:val="center"/>
        </w:trPr>
        <w:tc>
          <w:tcPr>
            <w:tcW w:w="1186" w:type="dxa"/>
            <w:tcBorders>
              <w:top w:val="single" w:sz="2" w:space="0" w:color="auto"/>
              <w:left w:val="single" w:sz="2" w:space="0" w:color="auto"/>
              <w:bottom w:val="single" w:sz="2" w:space="0" w:color="auto"/>
              <w:right w:val="single" w:sz="2" w:space="0" w:color="auto"/>
            </w:tcBorders>
            <w:vAlign w:val="center"/>
          </w:tcPr>
          <w:p w14:paraId="27E43140"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28</w:t>
            </w:r>
          </w:p>
        </w:tc>
        <w:tc>
          <w:tcPr>
            <w:tcW w:w="744" w:type="dxa"/>
            <w:vMerge/>
            <w:tcBorders>
              <w:left w:val="single" w:sz="2" w:space="0" w:color="auto"/>
              <w:right w:val="single" w:sz="2" w:space="0" w:color="auto"/>
            </w:tcBorders>
            <w:vAlign w:val="center"/>
          </w:tcPr>
          <w:p w14:paraId="784237B8" w14:textId="77777777" w:rsidR="00140B7C" w:rsidRPr="00EC4EC4" w:rsidRDefault="00140B7C" w:rsidP="00BC1087">
            <w:pPr>
              <w:spacing w:after="0" w:line="240" w:lineRule="auto"/>
              <w:ind w:left="14"/>
              <w:jc w:val="center"/>
              <w:rPr>
                <w:rFonts w:eastAsia="Times New Roman" w:cs="Times New Roman"/>
                <w:color w:val="000000"/>
              </w:rPr>
            </w:pPr>
          </w:p>
        </w:tc>
        <w:tc>
          <w:tcPr>
            <w:tcW w:w="748" w:type="dxa"/>
            <w:vMerge w:val="restart"/>
            <w:tcBorders>
              <w:top w:val="single" w:sz="2" w:space="0" w:color="auto"/>
              <w:left w:val="single" w:sz="2" w:space="0" w:color="auto"/>
              <w:right w:val="single" w:sz="2" w:space="0" w:color="auto"/>
            </w:tcBorders>
            <w:vAlign w:val="center"/>
          </w:tcPr>
          <w:p w14:paraId="1F607506"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44" w:type="dxa"/>
            <w:vMerge/>
            <w:tcBorders>
              <w:left w:val="single" w:sz="2" w:space="0" w:color="auto"/>
              <w:bottom w:val="single" w:sz="2" w:space="0" w:color="auto"/>
              <w:right w:val="single" w:sz="2" w:space="0" w:color="auto"/>
            </w:tcBorders>
            <w:vAlign w:val="center"/>
          </w:tcPr>
          <w:p w14:paraId="52761F4D" w14:textId="77777777" w:rsidR="00140B7C" w:rsidRPr="00EC4EC4" w:rsidRDefault="00140B7C" w:rsidP="00BC1087">
            <w:pPr>
              <w:spacing w:after="0" w:line="240" w:lineRule="auto"/>
              <w:jc w:val="center"/>
              <w:rPr>
                <w:rFonts w:eastAsia="Times New Roman" w:cs="Times New Roman"/>
                <w:color w:val="000000"/>
              </w:rPr>
            </w:pPr>
          </w:p>
        </w:tc>
        <w:tc>
          <w:tcPr>
            <w:tcW w:w="744" w:type="dxa"/>
            <w:vMerge/>
            <w:tcBorders>
              <w:left w:val="single" w:sz="2" w:space="0" w:color="auto"/>
              <w:right w:val="single" w:sz="2" w:space="0" w:color="auto"/>
            </w:tcBorders>
            <w:vAlign w:val="center"/>
          </w:tcPr>
          <w:p w14:paraId="189BA8B0"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54" w:type="dxa"/>
            <w:vMerge/>
            <w:tcBorders>
              <w:left w:val="single" w:sz="2" w:space="0" w:color="auto"/>
              <w:bottom w:val="single" w:sz="2" w:space="0" w:color="auto"/>
              <w:right w:val="single" w:sz="2" w:space="0" w:color="auto"/>
            </w:tcBorders>
            <w:vAlign w:val="center"/>
          </w:tcPr>
          <w:p w14:paraId="26A32801" w14:textId="77777777" w:rsidR="00140B7C" w:rsidRPr="00EC4EC4" w:rsidRDefault="00140B7C" w:rsidP="00BC1087">
            <w:pPr>
              <w:spacing w:after="0" w:line="240" w:lineRule="auto"/>
              <w:jc w:val="center"/>
              <w:rPr>
                <w:rFonts w:eastAsia="Times New Roman" w:cs="Times New Roman"/>
                <w:color w:val="000000"/>
              </w:rPr>
            </w:pPr>
          </w:p>
        </w:tc>
      </w:tr>
      <w:tr w:rsidR="00140B7C" w:rsidRPr="00EC4EC4" w14:paraId="34942012" w14:textId="77777777" w:rsidTr="00BC1087">
        <w:trPr>
          <w:trHeight w:hRule="exact" w:val="317"/>
          <w:jc w:val="center"/>
        </w:trPr>
        <w:tc>
          <w:tcPr>
            <w:tcW w:w="1186" w:type="dxa"/>
            <w:tcBorders>
              <w:top w:val="single" w:sz="2" w:space="0" w:color="auto"/>
              <w:left w:val="single" w:sz="2" w:space="0" w:color="auto"/>
              <w:bottom w:val="single" w:sz="2" w:space="0" w:color="auto"/>
              <w:right w:val="single" w:sz="2" w:space="0" w:color="auto"/>
            </w:tcBorders>
            <w:vAlign w:val="center"/>
          </w:tcPr>
          <w:p w14:paraId="7B6DD2BA"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18</w:t>
            </w:r>
          </w:p>
        </w:tc>
        <w:tc>
          <w:tcPr>
            <w:tcW w:w="744" w:type="dxa"/>
            <w:vMerge/>
            <w:tcBorders>
              <w:left w:val="single" w:sz="2" w:space="0" w:color="auto"/>
              <w:bottom w:val="single" w:sz="2" w:space="0" w:color="auto"/>
              <w:right w:val="single" w:sz="2" w:space="0" w:color="auto"/>
            </w:tcBorders>
            <w:vAlign w:val="center"/>
          </w:tcPr>
          <w:p w14:paraId="3F3A36BC" w14:textId="77777777" w:rsidR="00140B7C" w:rsidRPr="00EC4EC4" w:rsidRDefault="00140B7C" w:rsidP="00BC1087">
            <w:pPr>
              <w:spacing w:after="0" w:line="240" w:lineRule="auto"/>
              <w:ind w:left="14"/>
              <w:jc w:val="center"/>
              <w:rPr>
                <w:rFonts w:eastAsia="Times New Roman" w:cs="Times New Roman"/>
                <w:color w:val="000000"/>
              </w:rPr>
            </w:pPr>
          </w:p>
        </w:tc>
        <w:tc>
          <w:tcPr>
            <w:tcW w:w="748" w:type="dxa"/>
            <w:vMerge/>
            <w:tcBorders>
              <w:left w:val="single" w:sz="2" w:space="0" w:color="auto"/>
              <w:bottom w:val="single" w:sz="2" w:space="0" w:color="auto"/>
              <w:right w:val="single" w:sz="2" w:space="0" w:color="auto"/>
            </w:tcBorders>
            <w:vAlign w:val="center"/>
          </w:tcPr>
          <w:p w14:paraId="3752AC3B" w14:textId="77777777" w:rsidR="00140B7C" w:rsidRPr="00EC4EC4" w:rsidRDefault="00140B7C" w:rsidP="00BC1087">
            <w:pPr>
              <w:spacing w:after="0" w:line="240" w:lineRule="auto"/>
              <w:jc w:val="center"/>
              <w:rPr>
                <w:rFonts w:eastAsia="Times New Roman" w:cs="Times New Roman"/>
                <w:color w:val="000000"/>
                <w:w w:val="110"/>
                <w:sz w:val="18"/>
                <w:szCs w:val="18"/>
              </w:rPr>
            </w:pPr>
          </w:p>
        </w:tc>
        <w:tc>
          <w:tcPr>
            <w:tcW w:w="744" w:type="dxa"/>
            <w:tcBorders>
              <w:top w:val="single" w:sz="2" w:space="0" w:color="auto"/>
              <w:left w:val="single" w:sz="2" w:space="0" w:color="auto"/>
              <w:bottom w:val="single" w:sz="2" w:space="0" w:color="auto"/>
              <w:right w:val="single" w:sz="2" w:space="0" w:color="auto"/>
            </w:tcBorders>
            <w:vAlign w:val="center"/>
          </w:tcPr>
          <w:p w14:paraId="79A6166B"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4" w:type="dxa"/>
            <w:vMerge/>
            <w:tcBorders>
              <w:left w:val="single" w:sz="2" w:space="0" w:color="auto"/>
              <w:bottom w:val="single" w:sz="2" w:space="0" w:color="auto"/>
              <w:right w:val="single" w:sz="2" w:space="0" w:color="auto"/>
            </w:tcBorders>
            <w:vAlign w:val="center"/>
          </w:tcPr>
          <w:p w14:paraId="73B6EF8B" w14:textId="77777777" w:rsidR="00140B7C" w:rsidRPr="00EC4EC4" w:rsidRDefault="00140B7C" w:rsidP="00BC1087">
            <w:pPr>
              <w:spacing w:after="0" w:line="240" w:lineRule="auto"/>
              <w:jc w:val="center"/>
              <w:rPr>
                <w:rFonts w:eastAsia="Times New Roman" w:cs="Times New Roman"/>
                <w:color w:val="000000"/>
              </w:rPr>
            </w:pPr>
          </w:p>
        </w:tc>
        <w:tc>
          <w:tcPr>
            <w:tcW w:w="754" w:type="dxa"/>
            <w:tcBorders>
              <w:top w:val="single" w:sz="2" w:space="0" w:color="auto"/>
              <w:left w:val="single" w:sz="2" w:space="0" w:color="auto"/>
              <w:bottom w:val="single" w:sz="2" w:space="0" w:color="auto"/>
              <w:right w:val="single" w:sz="2" w:space="0" w:color="auto"/>
            </w:tcBorders>
            <w:vAlign w:val="center"/>
          </w:tcPr>
          <w:p w14:paraId="4C109E42"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4</w:t>
            </w:r>
          </w:p>
        </w:tc>
      </w:tr>
      <w:tr w:rsidR="00140B7C" w:rsidRPr="00EC4EC4" w14:paraId="1994D666" w14:textId="77777777" w:rsidTr="00BC1087">
        <w:trPr>
          <w:trHeight w:hRule="exact" w:val="322"/>
          <w:jc w:val="center"/>
        </w:trPr>
        <w:tc>
          <w:tcPr>
            <w:tcW w:w="1186" w:type="dxa"/>
            <w:tcBorders>
              <w:top w:val="single" w:sz="2" w:space="0" w:color="auto"/>
              <w:left w:val="single" w:sz="2" w:space="0" w:color="auto"/>
              <w:bottom w:val="single" w:sz="2" w:space="0" w:color="auto"/>
              <w:right w:val="single" w:sz="2" w:space="0" w:color="auto"/>
            </w:tcBorders>
            <w:vAlign w:val="center"/>
          </w:tcPr>
          <w:p w14:paraId="319F2111" w14:textId="77777777" w:rsidR="00140B7C" w:rsidRPr="00EC4EC4" w:rsidRDefault="00140B7C" w:rsidP="00BC1087">
            <w:pPr>
              <w:spacing w:after="0" w:line="240" w:lineRule="auto"/>
              <w:jc w:val="center"/>
              <w:rPr>
                <w:rFonts w:eastAsia="Times New Roman" w:cs="Times New Roman"/>
                <w:color w:val="000000"/>
                <w:spacing w:val="-2"/>
                <w:w w:val="110"/>
                <w:sz w:val="18"/>
                <w:szCs w:val="18"/>
              </w:rPr>
            </w:pPr>
            <w:r w:rsidRPr="00EC4EC4">
              <w:rPr>
                <w:rFonts w:eastAsia="Times New Roman" w:cs="Times New Roman"/>
                <w:color w:val="000000"/>
                <w:spacing w:val="-2"/>
                <w:w w:val="110"/>
                <w:sz w:val="18"/>
                <w:szCs w:val="18"/>
              </w:rPr>
              <w:t xml:space="preserve">W6 </w:t>
            </w:r>
            <w:r w:rsidRPr="00EC4EC4">
              <w:rPr>
                <w:rFonts w:eastAsia="Times New Roman" w:cs="Times New Roman"/>
                <w:color w:val="000000"/>
                <w:spacing w:val="-8"/>
                <w:w w:val="110"/>
                <w:sz w:val="18"/>
                <w:szCs w:val="18"/>
              </w:rPr>
              <w:t xml:space="preserve">× </w:t>
            </w:r>
            <w:r w:rsidRPr="00EC4EC4">
              <w:rPr>
                <w:rFonts w:eastAsia="Times New Roman" w:cs="Times New Roman"/>
                <w:color w:val="000000"/>
                <w:spacing w:val="-2"/>
                <w:w w:val="110"/>
                <w:sz w:val="18"/>
                <w:szCs w:val="18"/>
              </w:rPr>
              <w:t>25</w:t>
            </w:r>
          </w:p>
        </w:tc>
        <w:tc>
          <w:tcPr>
            <w:tcW w:w="744" w:type="dxa"/>
            <w:vMerge w:val="restart"/>
            <w:tcBorders>
              <w:top w:val="single" w:sz="2" w:space="0" w:color="auto"/>
              <w:left w:val="single" w:sz="2" w:space="0" w:color="auto"/>
              <w:right w:val="single" w:sz="2" w:space="0" w:color="auto"/>
            </w:tcBorders>
            <w:vAlign w:val="center"/>
          </w:tcPr>
          <w:p w14:paraId="40C44A70" w14:textId="77777777" w:rsidR="00140B7C" w:rsidRPr="00EC4EC4" w:rsidRDefault="00140B7C" w:rsidP="00BC1087">
            <w:pPr>
              <w:spacing w:after="0" w:line="240" w:lineRule="auto"/>
              <w:ind w:left="14"/>
              <w:jc w:val="center"/>
              <w:rPr>
                <w:rFonts w:eastAsia="Times New Roman" w:cs="Times New Roman"/>
                <w:color w:val="000000"/>
              </w:rPr>
            </w:pPr>
            <w:r w:rsidRPr="00EC4EC4">
              <w:rPr>
                <w:rFonts w:eastAsia="Times New Roman" w:cs="Times New Roman"/>
                <w:color w:val="000000"/>
                <w:w w:val="110"/>
                <w:sz w:val="18"/>
                <w:szCs w:val="18"/>
              </w:rPr>
              <w:t>1</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8" w:type="dxa"/>
            <w:vMerge w:val="restart"/>
            <w:tcBorders>
              <w:top w:val="single" w:sz="2" w:space="0" w:color="auto"/>
              <w:left w:val="single" w:sz="2" w:space="0" w:color="auto"/>
              <w:right w:val="single" w:sz="2" w:space="0" w:color="auto"/>
            </w:tcBorders>
            <w:vAlign w:val="center"/>
          </w:tcPr>
          <w:p w14:paraId="45688C8B"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p>
        </w:tc>
        <w:tc>
          <w:tcPr>
            <w:tcW w:w="744" w:type="dxa"/>
            <w:tcBorders>
              <w:top w:val="single" w:sz="2" w:space="0" w:color="auto"/>
              <w:left w:val="single" w:sz="2" w:space="0" w:color="auto"/>
              <w:bottom w:val="single" w:sz="2" w:space="0" w:color="auto"/>
              <w:right w:val="single" w:sz="2" w:space="0" w:color="auto"/>
            </w:tcBorders>
            <w:vAlign w:val="center"/>
          </w:tcPr>
          <w:p w14:paraId="56E492E0"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2</w:t>
            </w:r>
          </w:p>
        </w:tc>
        <w:tc>
          <w:tcPr>
            <w:tcW w:w="744" w:type="dxa"/>
            <w:vMerge w:val="restart"/>
            <w:tcBorders>
              <w:top w:val="single" w:sz="2" w:space="0" w:color="auto"/>
              <w:left w:val="single" w:sz="2" w:space="0" w:color="auto"/>
              <w:right w:val="single" w:sz="2" w:space="0" w:color="auto"/>
            </w:tcBorders>
            <w:vAlign w:val="center"/>
          </w:tcPr>
          <w:p w14:paraId="19E3882C"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w w:val="110"/>
                <w:sz w:val="18"/>
                <w:szCs w:val="18"/>
              </w:rPr>
              <w:t>3</w:t>
            </w:r>
          </w:p>
        </w:tc>
        <w:tc>
          <w:tcPr>
            <w:tcW w:w="754" w:type="dxa"/>
            <w:tcBorders>
              <w:top w:val="single" w:sz="2" w:space="0" w:color="auto"/>
              <w:left w:val="single" w:sz="2" w:space="0" w:color="auto"/>
              <w:bottom w:val="single" w:sz="2" w:space="0" w:color="auto"/>
              <w:right w:val="single" w:sz="2" w:space="0" w:color="auto"/>
            </w:tcBorders>
            <w:vAlign w:val="center"/>
          </w:tcPr>
          <w:p w14:paraId="48EBCFEF"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r>
      <w:tr w:rsidR="00140B7C" w:rsidRPr="00EC4EC4" w14:paraId="019D4CD0" w14:textId="77777777" w:rsidTr="00BC1087">
        <w:trPr>
          <w:cantSplit/>
          <w:trHeight w:val="316"/>
          <w:jc w:val="center"/>
        </w:trPr>
        <w:tc>
          <w:tcPr>
            <w:tcW w:w="1186" w:type="dxa"/>
            <w:tcBorders>
              <w:top w:val="single" w:sz="2" w:space="0" w:color="auto"/>
              <w:left w:val="single" w:sz="2" w:space="0" w:color="auto"/>
              <w:bottom w:val="single" w:sz="2" w:space="0" w:color="auto"/>
              <w:right w:val="single" w:sz="2" w:space="0" w:color="auto"/>
            </w:tcBorders>
            <w:vAlign w:val="center"/>
          </w:tcPr>
          <w:p w14:paraId="7DF1C0F9" w14:textId="77777777" w:rsidR="00140B7C" w:rsidRPr="00EC4EC4" w:rsidRDefault="00140B7C" w:rsidP="00BC1087">
            <w:pPr>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15</w:t>
            </w:r>
          </w:p>
        </w:tc>
        <w:tc>
          <w:tcPr>
            <w:tcW w:w="744" w:type="dxa"/>
            <w:vMerge/>
            <w:tcBorders>
              <w:left w:val="single" w:sz="2" w:space="0" w:color="auto"/>
              <w:bottom w:val="nil"/>
              <w:right w:val="single" w:sz="2" w:space="0" w:color="auto"/>
            </w:tcBorders>
            <w:vAlign w:val="center"/>
          </w:tcPr>
          <w:p w14:paraId="3E84F9F5" w14:textId="77777777" w:rsidR="00140B7C" w:rsidRPr="00EC4EC4" w:rsidRDefault="00140B7C" w:rsidP="00BC1087">
            <w:pPr>
              <w:spacing w:after="0" w:line="240" w:lineRule="auto"/>
              <w:ind w:left="360"/>
              <w:jc w:val="center"/>
              <w:rPr>
                <w:rFonts w:eastAsia="Times New Roman" w:cs="Times New Roman"/>
                <w:color w:val="000000"/>
                <w:w w:val="120"/>
                <w:sz w:val="11"/>
                <w:szCs w:val="11"/>
              </w:rPr>
            </w:pPr>
          </w:p>
        </w:tc>
        <w:tc>
          <w:tcPr>
            <w:tcW w:w="748" w:type="dxa"/>
            <w:vMerge/>
            <w:tcBorders>
              <w:left w:val="single" w:sz="2" w:space="0" w:color="auto"/>
              <w:bottom w:val="nil"/>
              <w:right w:val="single" w:sz="2" w:space="0" w:color="auto"/>
            </w:tcBorders>
            <w:vAlign w:val="center"/>
          </w:tcPr>
          <w:p w14:paraId="0E75FC41" w14:textId="77777777" w:rsidR="00140B7C" w:rsidRPr="00EC4EC4" w:rsidRDefault="00140B7C" w:rsidP="00BC1087">
            <w:pPr>
              <w:spacing w:after="0" w:line="240" w:lineRule="auto"/>
              <w:ind w:left="360"/>
              <w:jc w:val="center"/>
              <w:rPr>
                <w:rFonts w:eastAsia="Times New Roman" w:cs="Times New Roman"/>
                <w:color w:val="000000"/>
                <w:w w:val="110"/>
                <w:sz w:val="18"/>
                <w:szCs w:val="18"/>
              </w:rPr>
            </w:pPr>
          </w:p>
        </w:tc>
        <w:tc>
          <w:tcPr>
            <w:tcW w:w="744" w:type="dxa"/>
            <w:vMerge w:val="restart"/>
            <w:tcBorders>
              <w:top w:val="single" w:sz="2" w:space="0" w:color="auto"/>
              <w:left w:val="single" w:sz="2" w:space="0" w:color="auto"/>
              <w:bottom w:val="nil"/>
              <w:right w:val="single" w:sz="2" w:space="0" w:color="auto"/>
            </w:tcBorders>
            <w:vAlign w:val="center"/>
          </w:tcPr>
          <w:p w14:paraId="5F5B11B1"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2</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20"/>
                <w:sz w:val="11"/>
                <w:szCs w:val="11"/>
              </w:rPr>
              <w:t>2</w:t>
            </w:r>
          </w:p>
        </w:tc>
        <w:tc>
          <w:tcPr>
            <w:tcW w:w="744" w:type="dxa"/>
            <w:vMerge/>
            <w:tcBorders>
              <w:left w:val="single" w:sz="2" w:space="0" w:color="auto"/>
              <w:bottom w:val="single" w:sz="2" w:space="0" w:color="auto"/>
              <w:right w:val="single" w:sz="2" w:space="0" w:color="auto"/>
            </w:tcBorders>
            <w:vAlign w:val="center"/>
          </w:tcPr>
          <w:p w14:paraId="43C2A976" w14:textId="77777777" w:rsidR="00140B7C" w:rsidRPr="00EC4EC4" w:rsidRDefault="00140B7C" w:rsidP="00BC1087">
            <w:pPr>
              <w:spacing w:after="0" w:line="240" w:lineRule="auto"/>
              <w:jc w:val="center"/>
              <w:rPr>
                <w:rFonts w:eastAsia="Times New Roman" w:cs="Times New Roman"/>
                <w:color w:val="000000"/>
              </w:rPr>
            </w:pPr>
          </w:p>
        </w:tc>
        <w:tc>
          <w:tcPr>
            <w:tcW w:w="754" w:type="dxa"/>
            <w:vMerge w:val="restart"/>
            <w:tcBorders>
              <w:top w:val="single" w:sz="2" w:space="0" w:color="auto"/>
              <w:left w:val="single" w:sz="2" w:space="0" w:color="auto"/>
              <w:bottom w:val="nil"/>
              <w:right w:val="single" w:sz="2" w:space="0" w:color="auto"/>
            </w:tcBorders>
            <w:vAlign w:val="center"/>
          </w:tcPr>
          <w:p w14:paraId="1DEBFEDE" w14:textId="77777777" w:rsidR="00140B7C" w:rsidRPr="00EC4EC4" w:rsidRDefault="00140B7C" w:rsidP="00BC1087">
            <w:pPr>
              <w:spacing w:after="0" w:line="240" w:lineRule="auto"/>
              <w:jc w:val="center"/>
              <w:rPr>
                <w:rFonts w:eastAsia="Times New Roman" w:cs="Times New Roman"/>
                <w:color w:val="000000"/>
              </w:rPr>
            </w:pPr>
            <w:r w:rsidRPr="00EC4EC4">
              <w:rPr>
                <w:rFonts w:eastAsia="Times New Roman" w:cs="Times New Roman"/>
                <w:color w:val="000000"/>
                <w:w w:val="110"/>
                <w:sz w:val="18"/>
                <w:szCs w:val="18"/>
              </w:rPr>
              <w:t>4</w:t>
            </w:r>
          </w:p>
        </w:tc>
      </w:tr>
      <w:tr w:rsidR="00140B7C" w:rsidRPr="00EC4EC4" w14:paraId="48DD4CF0" w14:textId="77777777" w:rsidTr="00BC1087">
        <w:trPr>
          <w:trHeight w:hRule="exact" w:val="211"/>
          <w:jc w:val="center"/>
        </w:trPr>
        <w:tc>
          <w:tcPr>
            <w:tcW w:w="1186" w:type="dxa"/>
            <w:tcBorders>
              <w:top w:val="nil"/>
              <w:left w:val="single" w:sz="2" w:space="0" w:color="auto"/>
              <w:bottom w:val="single" w:sz="2" w:space="0" w:color="auto"/>
              <w:right w:val="single" w:sz="2" w:space="0" w:color="auto"/>
            </w:tcBorders>
            <w:vAlign w:val="center"/>
          </w:tcPr>
          <w:p w14:paraId="0A9889F4" w14:textId="77777777" w:rsidR="00140B7C" w:rsidRPr="00EC4EC4" w:rsidRDefault="00140B7C" w:rsidP="00BC1087">
            <w:pPr>
              <w:tabs>
                <w:tab w:val="right" w:pos="956"/>
              </w:tabs>
              <w:spacing w:after="0" w:line="240" w:lineRule="auto"/>
              <w:jc w:val="center"/>
              <w:rPr>
                <w:rFonts w:eastAsia="Times New Roman" w:cs="Times New Roman"/>
                <w:color w:val="000000"/>
                <w:w w:val="110"/>
                <w:sz w:val="18"/>
                <w:szCs w:val="18"/>
              </w:rPr>
            </w:pPr>
            <w:r w:rsidRPr="00EC4EC4">
              <w:rPr>
                <w:rFonts w:eastAsia="Times New Roman" w:cs="Times New Roman"/>
                <w:color w:val="000000"/>
                <w:spacing w:val="-8"/>
                <w:w w:val="110"/>
                <w:sz w:val="18"/>
                <w:szCs w:val="18"/>
              </w:rPr>
              <w:t>×</w:t>
            </w:r>
            <w:r w:rsidRPr="00EC4EC4">
              <w:rPr>
                <w:rFonts w:eastAsia="Times New Roman" w:cs="Times New Roman"/>
                <w:color w:val="000000"/>
                <w:w w:val="110"/>
                <w:sz w:val="18"/>
                <w:szCs w:val="18"/>
              </w:rPr>
              <w:t xml:space="preserve"> 9</w:t>
            </w:r>
          </w:p>
        </w:tc>
        <w:tc>
          <w:tcPr>
            <w:tcW w:w="744" w:type="dxa"/>
            <w:vMerge/>
            <w:tcBorders>
              <w:left w:val="single" w:sz="2" w:space="0" w:color="auto"/>
              <w:bottom w:val="single" w:sz="2" w:space="0" w:color="auto"/>
              <w:right w:val="single" w:sz="2" w:space="0" w:color="auto"/>
            </w:tcBorders>
            <w:vAlign w:val="center"/>
          </w:tcPr>
          <w:p w14:paraId="18F10693" w14:textId="77777777" w:rsidR="00140B7C" w:rsidRPr="00EC4EC4" w:rsidRDefault="00140B7C" w:rsidP="00BC1087">
            <w:pPr>
              <w:spacing w:after="0" w:line="240" w:lineRule="auto"/>
              <w:ind w:left="360"/>
              <w:jc w:val="center"/>
              <w:rPr>
                <w:rFonts w:eastAsia="Times New Roman" w:cs="Times New Roman"/>
                <w:color w:val="000000"/>
              </w:rPr>
            </w:pPr>
          </w:p>
        </w:tc>
        <w:tc>
          <w:tcPr>
            <w:tcW w:w="748" w:type="dxa"/>
            <w:vMerge/>
            <w:tcBorders>
              <w:left w:val="single" w:sz="2" w:space="0" w:color="auto"/>
              <w:bottom w:val="single" w:sz="2" w:space="0" w:color="auto"/>
              <w:right w:val="single" w:sz="2" w:space="0" w:color="auto"/>
            </w:tcBorders>
            <w:vAlign w:val="center"/>
          </w:tcPr>
          <w:p w14:paraId="7195E577" w14:textId="77777777" w:rsidR="00140B7C" w:rsidRPr="00EC4EC4" w:rsidRDefault="00140B7C" w:rsidP="00BC1087">
            <w:pPr>
              <w:spacing w:after="0" w:line="240" w:lineRule="auto"/>
              <w:ind w:left="360"/>
              <w:jc w:val="center"/>
              <w:rPr>
                <w:rFonts w:eastAsia="Times New Roman" w:cs="Times New Roman"/>
                <w:color w:val="000000"/>
              </w:rPr>
            </w:pPr>
          </w:p>
        </w:tc>
        <w:tc>
          <w:tcPr>
            <w:tcW w:w="744" w:type="dxa"/>
            <w:vMerge/>
            <w:tcBorders>
              <w:left w:val="single" w:sz="2" w:space="0" w:color="auto"/>
              <w:bottom w:val="single" w:sz="2" w:space="0" w:color="auto"/>
              <w:right w:val="single" w:sz="2" w:space="0" w:color="auto"/>
            </w:tcBorders>
            <w:vAlign w:val="center"/>
          </w:tcPr>
          <w:p w14:paraId="1E91074C" w14:textId="77777777" w:rsidR="00140B7C" w:rsidRPr="00EC4EC4" w:rsidRDefault="00140B7C" w:rsidP="00BC1087">
            <w:pPr>
              <w:spacing w:after="0" w:line="240" w:lineRule="auto"/>
              <w:ind w:left="360"/>
              <w:jc w:val="center"/>
              <w:rPr>
                <w:rFonts w:eastAsia="Times New Roman" w:cs="Times New Roman"/>
                <w:color w:val="000000"/>
                <w:w w:val="120"/>
                <w:sz w:val="11"/>
                <w:szCs w:val="11"/>
              </w:rPr>
            </w:pPr>
          </w:p>
        </w:tc>
        <w:tc>
          <w:tcPr>
            <w:tcW w:w="744" w:type="dxa"/>
            <w:tcBorders>
              <w:top w:val="nil"/>
              <w:left w:val="single" w:sz="2" w:space="0" w:color="auto"/>
              <w:bottom w:val="single" w:sz="2" w:space="0" w:color="auto"/>
              <w:right w:val="single" w:sz="2" w:space="0" w:color="auto"/>
            </w:tcBorders>
            <w:vAlign w:val="center"/>
          </w:tcPr>
          <w:p w14:paraId="3CD1B09F" w14:textId="77777777" w:rsidR="00140B7C" w:rsidRPr="00EC4EC4" w:rsidRDefault="00140B7C" w:rsidP="00BC1087">
            <w:pPr>
              <w:spacing w:after="0" w:line="240" w:lineRule="auto"/>
              <w:jc w:val="center"/>
              <w:rPr>
                <w:rFonts w:eastAsia="Times New Roman" w:cs="Times New Roman"/>
                <w:color w:val="000000"/>
                <w:w w:val="120"/>
                <w:sz w:val="11"/>
                <w:szCs w:val="11"/>
              </w:rPr>
            </w:pPr>
            <w:r w:rsidRPr="00EC4EC4">
              <w:rPr>
                <w:rFonts w:eastAsia="Times New Roman" w:cs="Times New Roman"/>
                <w:color w:val="000000"/>
                <w:w w:val="110"/>
                <w:sz w:val="18"/>
                <w:szCs w:val="18"/>
              </w:rPr>
              <w:t>3</w:t>
            </w:r>
            <w:r w:rsidRPr="00EC4EC4">
              <w:rPr>
                <w:rFonts w:eastAsia="Times New Roman" w:cs="Times New Roman"/>
                <w:color w:val="000000"/>
                <w:w w:val="125"/>
                <w:sz w:val="18"/>
                <w:szCs w:val="18"/>
                <w:vertAlign w:val="superscript"/>
              </w:rPr>
              <w:t>1</w:t>
            </w:r>
            <w:r w:rsidRPr="00EC4EC4">
              <w:rPr>
                <w:rFonts w:eastAsia="Times New Roman" w:cs="Times New Roman"/>
                <w:color w:val="000000"/>
                <w:w w:val="110"/>
                <w:sz w:val="18"/>
                <w:szCs w:val="18"/>
              </w:rPr>
              <w:t>/</w:t>
            </w:r>
            <w:r w:rsidRPr="00EC4EC4">
              <w:rPr>
                <w:rFonts w:eastAsia="Times New Roman" w:cs="Times New Roman"/>
                <w:color w:val="000000"/>
                <w:w w:val="115"/>
                <w:sz w:val="11"/>
                <w:szCs w:val="11"/>
              </w:rPr>
              <w:t>2</w:t>
            </w:r>
          </w:p>
        </w:tc>
        <w:tc>
          <w:tcPr>
            <w:tcW w:w="754" w:type="dxa"/>
            <w:vMerge/>
            <w:tcBorders>
              <w:left w:val="single" w:sz="2" w:space="0" w:color="auto"/>
              <w:bottom w:val="single" w:sz="2" w:space="0" w:color="auto"/>
              <w:right w:val="single" w:sz="2" w:space="0" w:color="auto"/>
            </w:tcBorders>
            <w:vAlign w:val="center"/>
          </w:tcPr>
          <w:p w14:paraId="53719E93" w14:textId="77777777" w:rsidR="00140B7C" w:rsidRPr="00EC4EC4" w:rsidRDefault="00140B7C" w:rsidP="00BC1087">
            <w:pPr>
              <w:spacing w:after="0" w:line="240" w:lineRule="auto"/>
              <w:ind w:left="360"/>
              <w:jc w:val="center"/>
              <w:rPr>
                <w:rFonts w:eastAsia="Times New Roman" w:cs="Times New Roman"/>
                <w:color w:val="000000"/>
              </w:rPr>
            </w:pPr>
          </w:p>
        </w:tc>
      </w:tr>
    </w:tbl>
    <w:p w14:paraId="6CDD5D5D" w14:textId="77777777" w:rsidR="00140B7C" w:rsidRPr="00EC4EC4" w:rsidRDefault="00140B7C" w:rsidP="00140B7C">
      <w:pPr>
        <w:spacing w:after="0" w:line="152" w:lineRule="exact"/>
        <w:ind w:left="360"/>
        <w:jc w:val="both"/>
        <w:rPr>
          <w:rFonts w:eastAsia="Times New Roman" w:cs="Times New Roman"/>
          <w:color w:val="000000"/>
          <w:spacing w:val="8"/>
          <w:sz w:val="14"/>
          <w:szCs w:val="14"/>
        </w:rPr>
      </w:pPr>
      <w:r w:rsidRPr="00EC4EC4">
        <w:rPr>
          <w:rFonts w:eastAsia="Times New Roman" w:cs="Times New Roman"/>
          <w:color w:val="000000"/>
          <w:spacing w:val="8"/>
          <w:sz w:val="14"/>
          <w:szCs w:val="14"/>
        </w:rPr>
        <w:t>For SI: 1 inch = 25.4 mm.</w:t>
      </w:r>
    </w:p>
    <w:p w14:paraId="0353B23F" w14:textId="77777777" w:rsidR="00140B7C" w:rsidRPr="00EC4EC4" w:rsidRDefault="00140B7C" w:rsidP="00140B7C">
      <w:pPr>
        <w:spacing w:before="36" w:after="0" w:line="177" w:lineRule="exact"/>
        <w:ind w:left="360" w:hanging="360"/>
        <w:jc w:val="both"/>
        <w:rPr>
          <w:rFonts w:eastAsia="Times New Roman" w:cs="Times New Roman"/>
          <w:color w:val="000000"/>
          <w:sz w:val="14"/>
          <w:szCs w:val="14"/>
        </w:rPr>
      </w:pPr>
      <w:r w:rsidRPr="00EC4EC4">
        <w:rPr>
          <w:rFonts w:eastAsia="Times New Roman" w:cs="Times New Roman"/>
          <w:color w:val="000000"/>
          <w:spacing w:val="4"/>
          <w:sz w:val="14"/>
          <w:szCs w:val="14"/>
        </w:rPr>
        <w:t>a.</w:t>
      </w:r>
      <w:r w:rsidRPr="00EC4EC4">
        <w:rPr>
          <w:rFonts w:eastAsia="Times New Roman" w:cs="Times New Roman"/>
          <w:color w:val="000000"/>
          <w:spacing w:val="4"/>
          <w:sz w:val="14"/>
          <w:szCs w:val="14"/>
        </w:rPr>
        <w:tab/>
        <w:t>The tabulated thicknesses are based upon the assumed properties of struc</w:t>
      </w:r>
      <w:r w:rsidRPr="00EC4EC4">
        <w:rPr>
          <w:rFonts w:eastAsia="Times New Roman" w:cs="Times New Roman"/>
          <w:color w:val="000000"/>
          <w:spacing w:val="2"/>
          <w:sz w:val="14"/>
          <w:szCs w:val="14"/>
        </w:rPr>
        <w:t>tural lightweight concrete given in Table 722.5.1(2).</w:t>
      </w:r>
    </w:p>
    <w:p w14:paraId="3CE9DF4C" w14:textId="7AF942FF" w:rsidR="00140B7C" w:rsidRPr="00EC4EC4" w:rsidRDefault="00140B7C" w:rsidP="00140B7C">
      <w:pPr>
        <w:kinsoku w:val="0"/>
        <w:spacing w:after="240" w:line="240" w:lineRule="auto"/>
        <w:ind w:firstLine="720"/>
        <w:jc w:val="both"/>
        <w:rPr>
          <w:rFonts w:eastAsia="Times New Roman" w:cs="Times New Roman"/>
          <w:b/>
          <w:bCs/>
          <w:szCs w:val="24"/>
        </w:rPr>
      </w:pPr>
      <w:bookmarkStart w:id="59" w:name="_Hlk115251257"/>
      <w:r w:rsidRPr="00EC4EC4">
        <w:rPr>
          <w:rFonts w:cs="Times New Roman"/>
          <w:sz w:val="23"/>
          <w:szCs w:val="23"/>
        </w:rPr>
        <w:lastRenderedPageBreak/>
        <w:t>§</w:t>
      </w:r>
      <w:r>
        <w:rPr>
          <w:rFonts w:cs="Times New Roman"/>
          <w:sz w:val="23"/>
          <w:szCs w:val="23"/>
        </w:rPr>
        <w:t>13</w:t>
      </w:r>
      <w:r w:rsidR="00D109C6">
        <w:rPr>
          <w:rFonts w:cs="Times New Roman"/>
          <w:sz w:val="23"/>
          <w:szCs w:val="23"/>
        </w:rPr>
        <w:t>5</w:t>
      </w:r>
      <w:r w:rsidRPr="00EC4EC4">
        <w:rPr>
          <w:rFonts w:cs="Times New Roman"/>
          <w:sz w:val="23"/>
          <w:szCs w:val="23"/>
        </w:rPr>
        <w:t>. Section 903.2.7.2 of the New York city building code, as amended by local law number 126 for the year 2021, is amended to read as follows:</w:t>
      </w:r>
    </w:p>
    <w:p w14:paraId="73283A3B" w14:textId="77777777" w:rsidR="00140B7C" w:rsidRPr="00EC4EC4" w:rsidRDefault="00140B7C" w:rsidP="00140B7C">
      <w:pPr>
        <w:spacing w:after="240" w:line="240" w:lineRule="auto"/>
        <w:jc w:val="both"/>
        <w:rPr>
          <w:rFonts w:eastAsia="Times New Roman" w:cs="Times New Roman"/>
          <w:color w:val="000000"/>
          <w:spacing w:val="1"/>
          <w:szCs w:val="24"/>
        </w:rPr>
      </w:pPr>
      <w:bookmarkStart w:id="60" w:name="_Toc389735041"/>
      <w:bookmarkStart w:id="61" w:name="_Toc389743603"/>
      <w:bookmarkStart w:id="62" w:name="_Toc389735092"/>
      <w:bookmarkStart w:id="63" w:name="_Toc389743654"/>
      <w:bookmarkStart w:id="64" w:name="_Toc389735185"/>
      <w:bookmarkStart w:id="65" w:name="_Toc389743747"/>
      <w:bookmarkEnd w:id="57"/>
      <w:bookmarkEnd w:id="58"/>
      <w:bookmarkEnd w:id="59"/>
      <w:r w:rsidRPr="00EC4EC4">
        <w:rPr>
          <w:rFonts w:eastAsia="Times New Roman" w:cs="Times New Roman"/>
          <w:b/>
          <w:color w:val="000000"/>
          <w:szCs w:val="24"/>
        </w:rPr>
        <w:t>903.2.7.2</w:t>
      </w:r>
      <w:r w:rsidRPr="00EC4EC4">
        <w:rPr>
          <w:rFonts w:eastAsia="Times New Roman" w:cs="Times New Roman"/>
          <w:color w:val="000000"/>
          <w:szCs w:val="24"/>
        </w:rPr>
        <w:t xml:space="preserve"> </w:t>
      </w:r>
      <w:r w:rsidRPr="00EC4EC4">
        <w:rPr>
          <w:rFonts w:eastAsia="Times New Roman" w:cs="Times New Roman"/>
          <w:b/>
          <w:color w:val="000000"/>
          <w:szCs w:val="24"/>
        </w:rPr>
        <w:t>Group</w:t>
      </w:r>
      <w:r w:rsidRPr="00EC4EC4">
        <w:rPr>
          <w:rFonts w:eastAsia="Times New Roman" w:cs="Times New Roman"/>
          <w:color w:val="000000"/>
          <w:szCs w:val="24"/>
        </w:rPr>
        <w:t xml:space="preserve"> </w:t>
      </w:r>
      <w:r w:rsidRPr="00EC4EC4">
        <w:rPr>
          <w:rFonts w:eastAsia="Times New Roman" w:cs="Times New Roman"/>
          <w:b/>
          <w:color w:val="000000"/>
          <w:szCs w:val="24"/>
        </w:rPr>
        <w:t>M fire areas.</w:t>
      </w:r>
      <w:r w:rsidRPr="00EC4EC4">
        <w:rPr>
          <w:rFonts w:eastAsia="Times New Roman" w:cs="Times New Roman"/>
          <w:b/>
          <w:bCs/>
          <w:color w:val="000000"/>
          <w:spacing w:val="-7"/>
          <w:w w:val="110"/>
          <w:szCs w:val="24"/>
        </w:rPr>
        <w:t xml:space="preserve"> </w:t>
      </w:r>
      <w:r w:rsidRPr="00EC4EC4">
        <w:rPr>
          <w:rFonts w:eastAsia="Times New Roman" w:cs="Times New Roman"/>
          <w:color w:val="000000"/>
          <w:spacing w:val="1"/>
          <w:szCs w:val="24"/>
        </w:rPr>
        <w:t>An automatic sprinkler system shall be provided throughout any Group M occupancy fire area where any one of the following conditions exists:</w:t>
      </w:r>
    </w:p>
    <w:p w14:paraId="694ECF2F" w14:textId="77777777" w:rsidR="00140B7C" w:rsidRPr="00EC4EC4" w:rsidRDefault="00140B7C" w:rsidP="00140B7C">
      <w:pPr>
        <w:tabs>
          <w:tab w:val="left" w:pos="-2520"/>
        </w:tabs>
        <w:spacing w:after="240" w:line="240" w:lineRule="auto"/>
        <w:ind w:left="1440" w:hanging="360"/>
        <w:jc w:val="both"/>
        <w:rPr>
          <w:rFonts w:eastAsia="Times New Roman" w:cs="Times New Roman"/>
          <w:color w:val="000000"/>
          <w:spacing w:val="1"/>
          <w:szCs w:val="24"/>
        </w:rPr>
      </w:pPr>
      <w:r w:rsidRPr="00EC4EC4">
        <w:rPr>
          <w:rFonts w:eastAsia="Times New Roman" w:cs="Times New Roman"/>
          <w:color w:val="000000"/>
          <w:spacing w:val="1"/>
          <w:szCs w:val="24"/>
        </w:rPr>
        <w:t>1.</w:t>
      </w:r>
      <w:r w:rsidRPr="00EC4EC4">
        <w:rPr>
          <w:rFonts w:eastAsia="Times New Roman" w:cs="Times New Roman"/>
          <w:color w:val="000000"/>
          <w:spacing w:val="1"/>
          <w:szCs w:val="24"/>
        </w:rPr>
        <w:tab/>
        <w:t>The fire area exceeds 7,500 square feet (696.8 m</w:t>
      </w:r>
      <w:r w:rsidRPr="00EC4EC4">
        <w:rPr>
          <w:rFonts w:eastAsia="Times New Roman" w:cs="Times New Roman"/>
          <w:color w:val="000000"/>
          <w:spacing w:val="1"/>
          <w:szCs w:val="24"/>
          <w:vertAlign w:val="superscript"/>
        </w:rPr>
        <w:t>2</w:t>
      </w:r>
      <w:r w:rsidRPr="00EC4EC4">
        <w:rPr>
          <w:rFonts w:eastAsia="Times New Roman" w:cs="Times New Roman"/>
          <w:color w:val="000000"/>
          <w:spacing w:val="1"/>
          <w:szCs w:val="24"/>
        </w:rPr>
        <w:t>).</w:t>
      </w:r>
    </w:p>
    <w:p w14:paraId="0F6F31B1" w14:textId="77777777" w:rsidR="00140B7C" w:rsidRPr="00EC4EC4" w:rsidRDefault="00140B7C" w:rsidP="00140B7C">
      <w:pPr>
        <w:tabs>
          <w:tab w:val="left" w:pos="-2520"/>
        </w:tabs>
        <w:spacing w:after="240" w:line="240" w:lineRule="auto"/>
        <w:ind w:left="1440" w:hanging="360"/>
        <w:jc w:val="both"/>
        <w:rPr>
          <w:rFonts w:eastAsia="Times New Roman" w:cs="Times New Roman"/>
          <w:color w:val="000000"/>
          <w:spacing w:val="1"/>
          <w:szCs w:val="24"/>
          <w:u w:val="single"/>
        </w:rPr>
      </w:pPr>
      <w:r w:rsidRPr="00EC4EC4">
        <w:rPr>
          <w:rFonts w:eastAsia="Times New Roman" w:cs="Times New Roman"/>
          <w:color w:val="000000"/>
          <w:spacing w:val="1"/>
          <w:szCs w:val="24"/>
        </w:rPr>
        <w:t>2.</w:t>
      </w:r>
      <w:r w:rsidRPr="00EC4EC4">
        <w:rPr>
          <w:rFonts w:eastAsia="Times New Roman" w:cs="Times New Roman"/>
          <w:color w:val="000000"/>
          <w:spacing w:val="1"/>
          <w:szCs w:val="24"/>
        </w:rPr>
        <w:tab/>
        <w:t>The fire area of any size contains an unenclosed stair or escalator connecting two or more floors</w:t>
      </w:r>
      <w:r w:rsidRPr="00EC4EC4">
        <w:rPr>
          <w:rFonts w:eastAsia="Times New Roman" w:cs="Times New Roman"/>
          <w:color w:val="000000"/>
          <w:spacing w:val="1"/>
          <w:szCs w:val="24"/>
          <w:u w:val="single"/>
        </w:rPr>
        <w:t>.</w:t>
      </w:r>
    </w:p>
    <w:p w14:paraId="37D21131" w14:textId="683A79DA"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13</w:t>
      </w:r>
      <w:r w:rsidR="00D109C6">
        <w:rPr>
          <w:rFonts w:cs="Times New Roman"/>
          <w:sz w:val="23"/>
          <w:szCs w:val="23"/>
        </w:rPr>
        <w:t>6</w:t>
      </w:r>
      <w:r w:rsidRPr="00EC4EC4">
        <w:rPr>
          <w:rFonts w:cs="Times New Roman"/>
          <w:sz w:val="23"/>
          <w:szCs w:val="23"/>
        </w:rPr>
        <w:t>. Table 903.2.11.10 of the New York city building code, as amended by local law number 126 for the year 2021, is amended to read as follows:</w:t>
      </w:r>
    </w:p>
    <w:p w14:paraId="10EA5FFE" w14:textId="77777777" w:rsidR="00140B7C" w:rsidRPr="00EC4EC4" w:rsidRDefault="00140B7C" w:rsidP="00140B7C">
      <w:pPr>
        <w:spacing w:before="120" w:after="120" w:line="240" w:lineRule="auto"/>
        <w:ind w:left="-720" w:right="-720"/>
        <w:jc w:val="center"/>
        <w:rPr>
          <w:rFonts w:eastAsia="Times New Roman" w:cs="Times New Roman"/>
          <w:b/>
          <w:bCs/>
          <w:sz w:val="20"/>
          <w:szCs w:val="20"/>
        </w:rPr>
      </w:pPr>
      <w:r w:rsidRPr="00EC4EC4">
        <w:rPr>
          <w:rFonts w:eastAsia="Times New Roman" w:cs="Times New Roman"/>
          <w:b/>
          <w:bCs/>
          <w:sz w:val="20"/>
          <w:szCs w:val="20"/>
        </w:rPr>
        <w:t>TABLE 903.2.11.10</w:t>
      </w:r>
      <w:r w:rsidRPr="00EC4EC4">
        <w:rPr>
          <w:rFonts w:eastAsia="Times New Roman" w:cs="Times New Roman"/>
          <w:b/>
          <w:bCs/>
          <w:sz w:val="20"/>
          <w:szCs w:val="20"/>
        </w:rPr>
        <w:br/>
        <w:t>ADDITIONAL REQUIRED SUPPRESSION SYSTEMS</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968"/>
        <w:gridCol w:w="2672"/>
      </w:tblGrid>
      <w:tr w:rsidR="00140B7C" w:rsidRPr="00EC4EC4" w14:paraId="313AD874" w14:textId="77777777" w:rsidTr="00BC1087">
        <w:trPr>
          <w:trHeight w:val="278"/>
          <w:tblHeader/>
          <w:jc w:val="center"/>
        </w:trPr>
        <w:tc>
          <w:tcPr>
            <w:tcW w:w="4968" w:type="dxa"/>
            <w:tcBorders>
              <w:top w:val="single" w:sz="8" w:space="0" w:color="000000"/>
              <w:bottom w:val="single" w:sz="8" w:space="0" w:color="000000"/>
              <w:right w:val="single" w:sz="8" w:space="0" w:color="000000"/>
            </w:tcBorders>
            <w:shd w:val="clear" w:color="auto" w:fill="auto"/>
          </w:tcPr>
          <w:p w14:paraId="0A7148ED"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b/>
                <w:bCs/>
                <w:sz w:val="20"/>
                <w:szCs w:val="20"/>
              </w:rPr>
              <w:t xml:space="preserve">Occupancy Group, specified use, materials or equipment </w:t>
            </w:r>
            <w:r w:rsidRPr="00EC4EC4">
              <w:rPr>
                <w:rFonts w:eastAsia="Times New Roman" w:cs="Times New Roman"/>
                <w:sz w:val="20"/>
                <w:szCs w:val="20"/>
              </w:rPr>
              <w:t xml:space="preserve">(in alphabetical order) </w:t>
            </w:r>
          </w:p>
        </w:tc>
        <w:tc>
          <w:tcPr>
            <w:tcW w:w="2672" w:type="dxa"/>
            <w:tcBorders>
              <w:top w:val="single" w:sz="8" w:space="0" w:color="000000"/>
              <w:left w:val="single" w:sz="8" w:space="0" w:color="000000"/>
              <w:bottom w:val="single" w:sz="8" w:space="0" w:color="000000"/>
            </w:tcBorders>
            <w:shd w:val="clear" w:color="auto" w:fill="auto"/>
          </w:tcPr>
          <w:p w14:paraId="370761AC"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b/>
                <w:bCs/>
                <w:sz w:val="20"/>
                <w:szCs w:val="20"/>
              </w:rPr>
              <w:t xml:space="preserve">Code section </w:t>
            </w:r>
          </w:p>
        </w:tc>
      </w:tr>
      <w:tr w:rsidR="00140B7C" w:rsidRPr="00EC4EC4" w14:paraId="4245090B"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398EB33B"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Aerosol warehouses </w:t>
            </w:r>
          </w:p>
        </w:tc>
        <w:tc>
          <w:tcPr>
            <w:tcW w:w="2672" w:type="dxa"/>
            <w:tcBorders>
              <w:top w:val="single" w:sz="8" w:space="0" w:color="000000"/>
              <w:left w:val="single" w:sz="8" w:space="0" w:color="000000"/>
              <w:bottom w:val="single" w:sz="8" w:space="0" w:color="000000"/>
            </w:tcBorders>
          </w:tcPr>
          <w:p w14:paraId="327EB726"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FC 2804.4.1 </w:t>
            </w:r>
          </w:p>
        </w:tc>
      </w:tr>
      <w:tr w:rsidR="00140B7C" w:rsidRPr="00EC4EC4" w14:paraId="2E404B63"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6D78B579"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Aircraft hangers</w:t>
            </w:r>
          </w:p>
        </w:tc>
        <w:tc>
          <w:tcPr>
            <w:tcW w:w="2672" w:type="dxa"/>
            <w:tcBorders>
              <w:top w:val="single" w:sz="8" w:space="0" w:color="000000"/>
              <w:left w:val="single" w:sz="8" w:space="0" w:color="000000"/>
              <w:bottom w:val="single" w:sz="8" w:space="0" w:color="000000"/>
            </w:tcBorders>
          </w:tcPr>
          <w:p w14:paraId="4AD6D1ED" w14:textId="77777777" w:rsidR="00140B7C" w:rsidRPr="00EC4EC4" w:rsidRDefault="00140B7C" w:rsidP="00BC1087">
            <w:pPr>
              <w:autoSpaceDE w:val="0"/>
              <w:autoSpaceDN w:val="0"/>
              <w:adjustRightInd w:val="0"/>
              <w:spacing w:before="120" w:after="120" w:line="240" w:lineRule="auto"/>
              <w:rPr>
                <w:rFonts w:eastAsia="Times New Roman" w:cs="Times New Roman"/>
                <w:strike/>
                <w:sz w:val="20"/>
                <w:szCs w:val="20"/>
              </w:rPr>
            </w:pPr>
            <w:r w:rsidRPr="00EC4EC4">
              <w:rPr>
                <w:rFonts w:eastAsia="Times New Roman" w:cs="Times New Roman"/>
                <w:sz w:val="20"/>
                <w:szCs w:val="20"/>
              </w:rPr>
              <w:t>BC 412.4.6,</w:t>
            </w:r>
            <w:r w:rsidRPr="00EC4EC4">
              <w:rPr>
                <w:rFonts w:eastAsia="Times New Roman" w:cs="Times New Roman"/>
                <w:sz w:val="20"/>
                <w:szCs w:val="20"/>
              </w:rPr>
              <w:br/>
              <w:t>BC 412.4.6.1,</w:t>
            </w:r>
            <w:r w:rsidRPr="00EC4EC4">
              <w:rPr>
                <w:rFonts w:eastAsia="Times New Roman" w:cs="Times New Roman"/>
                <w:sz w:val="20"/>
                <w:szCs w:val="20"/>
              </w:rPr>
              <w:br/>
              <w:t>BC 412.6.5</w:t>
            </w:r>
          </w:p>
        </w:tc>
      </w:tr>
      <w:tr w:rsidR="00140B7C" w:rsidRPr="00EC4EC4" w14:paraId="0F941395" w14:textId="77777777" w:rsidTr="00BC1087">
        <w:trPr>
          <w:trHeight w:val="349"/>
          <w:jc w:val="center"/>
        </w:trPr>
        <w:tc>
          <w:tcPr>
            <w:tcW w:w="4968" w:type="dxa"/>
            <w:tcBorders>
              <w:top w:val="single" w:sz="8" w:space="0" w:color="000000"/>
              <w:bottom w:val="single" w:sz="8" w:space="0" w:color="000000"/>
              <w:right w:val="single" w:sz="8" w:space="0" w:color="000000"/>
            </w:tcBorders>
          </w:tcPr>
          <w:p w14:paraId="7398EA15"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Airport traffic control towers</w:t>
            </w:r>
          </w:p>
        </w:tc>
        <w:tc>
          <w:tcPr>
            <w:tcW w:w="2672" w:type="dxa"/>
            <w:tcBorders>
              <w:top w:val="single" w:sz="8" w:space="0" w:color="000000"/>
              <w:left w:val="single" w:sz="8" w:space="0" w:color="000000"/>
              <w:bottom w:val="single" w:sz="8" w:space="0" w:color="000000"/>
            </w:tcBorders>
          </w:tcPr>
          <w:p w14:paraId="4C590EA8"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412.3.6 </w:t>
            </w:r>
          </w:p>
        </w:tc>
      </w:tr>
      <w:tr w:rsidR="00140B7C" w:rsidRPr="00EC4EC4" w14:paraId="01762AD1" w14:textId="77777777" w:rsidTr="00BC1087">
        <w:trPr>
          <w:trHeight w:val="169"/>
          <w:jc w:val="center"/>
        </w:trPr>
        <w:tc>
          <w:tcPr>
            <w:tcW w:w="4968" w:type="dxa"/>
            <w:tcBorders>
              <w:top w:val="single" w:sz="8" w:space="0" w:color="000000"/>
              <w:bottom w:val="single" w:sz="8" w:space="0" w:color="000000"/>
              <w:right w:val="single" w:sz="8" w:space="0" w:color="000000"/>
            </w:tcBorders>
          </w:tcPr>
          <w:p w14:paraId="3EBFF8B8"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Atriums </w:t>
            </w:r>
          </w:p>
        </w:tc>
        <w:tc>
          <w:tcPr>
            <w:tcW w:w="2672" w:type="dxa"/>
            <w:tcBorders>
              <w:top w:val="single" w:sz="8" w:space="0" w:color="000000"/>
              <w:left w:val="single" w:sz="8" w:space="0" w:color="000000"/>
              <w:bottom w:val="single" w:sz="8" w:space="0" w:color="000000"/>
            </w:tcBorders>
          </w:tcPr>
          <w:p w14:paraId="65B59085"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404.3 </w:t>
            </w:r>
          </w:p>
        </w:tc>
      </w:tr>
      <w:tr w:rsidR="00140B7C" w:rsidRPr="00EC4EC4" w14:paraId="1E8D0260" w14:textId="77777777" w:rsidTr="00BC1087">
        <w:trPr>
          <w:trHeight w:val="241"/>
          <w:jc w:val="center"/>
        </w:trPr>
        <w:tc>
          <w:tcPr>
            <w:tcW w:w="4968" w:type="dxa"/>
            <w:tcBorders>
              <w:top w:val="single" w:sz="8" w:space="0" w:color="000000"/>
              <w:bottom w:val="single" w:sz="8" w:space="0" w:color="000000"/>
              <w:right w:val="single" w:sz="8" w:space="0" w:color="000000"/>
            </w:tcBorders>
          </w:tcPr>
          <w:p w14:paraId="2D554801"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Automated storage; buildings with </w:t>
            </w:r>
          </w:p>
        </w:tc>
        <w:tc>
          <w:tcPr>
            <w:tcW w:w="2672" w:type="dxa"/>
            <w:tcBorders>
              <w:top w:val="single" w:sz="8" w:space="0" w:color="000000"/>
              <w:left w:val="single" w:sz="8" w:space="0" w:color="000000"/>
              <w:bottom w:val="single" w:sz="8" w:space="0" w:color="000000"/>
            </w:tcBorders>
          </w:tcPr>
          <w:p w14:paraId="3BB80B0F"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2309.2</w:t>
            </w:r>
            <w:r w:rsidRPr="00EC4EC4">
              <w:rPr>
                <w:rFonts w:eastAsia="Times New Roman" w:cs="Times New Roman"/>
                <w:sz w:val="20"/>
                <w:szCs w:val="20"/>
              </w:rPr>
              <w:t>]</w:t>
            </w:r>
            <w:r w:rsidRPr="00EC4EC4">
              <w:rPr>
                <w:rFonts w:eastAsia="Times New Roman" w:cs="Times New Roman"/>
                <w:sz w:val="20"/>
                <w:szCs w:val="20"/>
                <w:u w:val="single"/>
              </w:rPr>
              <w:t>3209.2</w:t>
            </w:r>
            <w:r w:rsidRPr="00EC4EC4">
              <w:rPr>
                <w:rFonts w:eastAsia="Times New Roman" w:cs="Times New Roman"/>
                <w:sz w:val="20"/>
                <w:szCs w:val="20"/>
              </w:rPr>
              <w:t xml:space="preserve"> </w:t>
            </w:r>
          </w:p>
        </w:tc>
      </w:tr>
      <w:tr w:rsidR="00140B7C" w:rsidRPr="00EC4EC4" w14:paraId="595816AE" w14:textId="77777777" w:rsidTr="00BC1087">
        <w:trPr>
          <w:trHeight w:val="241"/>
          <w:jc w:val="center"/>
        </w:trPr>
        <w:tc>
          <w:tcPr>
            <w:tcW w:w="4968" w:type="dxa"/>
            <w:tcBorders>
              <w:top w:val="single" w:sz="8" w:space="0" w:color="000000"/>
              <w:bottom w:val="single" w:sz="8" w:space="0" w:color="000000"/>
              <w:right w:val="single" w:sz="8" w:space="0" w:color="000000"/>
            </w:tcBorders>
          </w:tcPr>
          <w:p w14:paraId="22A0D66C"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Children’s play structures</w:t>
            </w:r>
          </w:p>
        </w:tc>
        <w:tc>
          <w:tcPr>
            <w:tcW w:w="2672" w:type="dxa"/>
            <w:tcBorders>
              <w:top w:val="single" w:sz="8" w:space="0" w:color="000000"/>
              <w:left w:val="single" w:sz="8" w:space="0" w:color="000000"/>
              <w:bottom w:val="single" w:sz="8" w:space="0" w:color="000000"/>
            </w:tcBorders>
          </w:tcPr>
          <w:p w14:paraId="0F4EB3E5"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424.3</w:t>
            </w:r>
          </w:p>
        </w:tc>
      </w:tr>
      <w:tr w:rsidR="00140B7C" w:rsidRPr="00EC4EC4" w14:paraId="64C61BBF" w14:textId="77777777" w:rsidTr="00BC1087">
        <w:trPr>
          <w:trHeight w:val="223"/>
          <w:jc w:val="center"/>
        </w:trPr>
        <w:tc>
          <w:tcPr>
            <w:tcW w:w="4968" w:type="dxa"/>
            <w:tcBorders>
              <w:top w:val="single" w:sz="8" w:space="0" w:color="000000"/>
              <w:bottom w:val="single" w:sz="8" w:space="0" w:color="000000"/>
              <w:right w:val="single" w:sz="8" w:space="0" w:color="000000"/>
            </w:tcBorders>
          </w:tcPr>
          <w:p w14:paraId="236AFDC9"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Chutes; refuse and laundry </w:t>
            </w:r>
          </w:p>
        </w:tc>
        <w:tc>
          <w:tcPr>
            <w:tcW w:w="2672" w:type="dxa"/>
            <w:tcBorders>
              <w:top w:val="single" w:sz="8" w:space="0" w:color="000000"/>
              <w:left w:val="single" w:sz="8" w:space="0" w:color="000000"/>
              <w:bottom w:val="single" w:sz="8" w:space="0" w:color="000000"/>
            </w:tcBorders>
          </w:tcPr>
          <w:p w14:paraId="5A96C310"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713.13</w:t>
            </w:r>
          </w:p>
        </w:tc>
      </w:tr>
      <w:tr w:rsidR="00140B7C" w:rsidRPr="00EC4EC4" w14:paraId="6FA872A6" w14:textId="77777777" w:rsidTr="00BC1087">
        <w:trPr>
          <w:trHeight w:val="214"/>
          <w:jc w:val="center"/>
        </w:trPr>
        <w:tc>
          <w:tcPr>
            <w:tcW w:w="4968" w:type="dxa"/>
            <w:tcBorders>
              <w:top w:val="single" w:sz="8" w:space="0" w:color="000000"/>
              <w:bottom w:val="single" w:sz="8" w:space="0" w:color="000000"/>
              <w:right w:val="single" w:sz="8" w:space="0" w:color="000000"/>
            </w:tcBorders>
          </w:tcPr>
          <w:p w14:paraId="1F234D8C"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Chute vestibules </w:t>
            </w:r>
          </w:p>
        </w:tc>
        <w:tc>
          <w:tcPr>
            <w:tcW w:w="2672" w:type="dxa"/>
            <w:tcBorders>
              <w:top w:val="single" w:sz="8" w:space="0" w:color="000000"/>
              <w:left w:val="single" w:sz="8" w:space="0" w:color="000000"/>
              <w:bottom w:val="single" w:sz="8" w:space="0" w:color="000000"/>
            </w:tcBorders>
          </w:tcPr>
          <w:p w14:paraId="2862C190" w14:textId="77777777" w:rsidR="00140B7C" w:rsidRPr="00EC4EC4" w:rsidRDefault="00140B7C" w:rsidP="00BC1087">
            <w:pPr>
              <w:autoSpaceDE w:val="0"/>
              <w:autoSpaceDN w:val="0"/>
              <w:adjustRightInd w:val="0"/>
              <w:spacing w:before="120" w:after="120" w:line="240" w:lineRule="auto"/>
              <w:rPr>
                <w:rFonts w:eastAsia="Times New Roman" w:cs="Times New Roman"/>
                <w:sz w:val="20"/>
                <w:szCs w:val="20"/>
              </w:rPr>
            </w:pPr>
            <w:r w:rsidRPr="00EC4EC4">
              <w:rPr>
                <w:rFonts w:eastAsia="Times New Roman" w:cs="Times New Roman"/>
                <w:sz w:val="20"/>
                <w:szCs w:val="20"/>
              </w:rPr>
              <w:t xml:space="preserve">BC Appendix Q 22.15.2.2.1 </w:t>
            </w:r>
          </w:p>
        </w:tc>
      </w:tr>
      <w:tr w:rsidR="00140B7C" w:rsidRPr="00EC4EC4" w14:paraId="7FDBD8ED" w14:textId="77777777" w:rsidTr="00BC1087">
        <w:trPr>
          <w:trHeight w:val="495"/>
          <w:jc w:val="center"/>
        </w:trPr>
        <w:tc>
          <w:tcPr>
            <w:tcW w:w="4968" w:type="dxa"/>
            <w:tcBorders>
              <w:top w:val="single" w:sz="8" w:space="0" w:color="000000"/>
              <w:bottom w:val="single" w:sz="8" w:space="0" w:color="000000"/>
              <w:right w:val="single" w:sz="8" w:space="0" w:color="000000"/>
            </w:tcBorders>
          </w:tcPr>
          <w:p w14:paraId="2C433322"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Cold storage buildings: ice plants, food plants and food processing rooms with foam insulation up to 10 inches in thickness </w:t>
            </w:r>
          </w:p>
        </w:tc>
        <w:tc>
          <w:tcPr>
            <w:tcW w:w="2672" w:type="dxa"/>
            <w:tcBorders>
              <w:top w:val="single" w:sz="8" w:space="0" w:color="000000"/>
              <w:left w:val="single" w:sz="8" w:space="0" w:color="000000"/>
              <w:bottom w:val="single" w:sz="8" w:space="0" w:color="000000"/>
            </w:tcBorders>
          </w:tcPr>
          <w:p w14:paraId="290D5753"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2603.3 </w:t>
            </w:r>
          </w:p>
        </w:tc>
      </w:tr>
      <w:tr w:rsidR="00140B7C" w:rsidRPr="00EC4EC4" w14:paraId="32BD93CA"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301DEAC5"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Combustible fibers; storage at waterfront structures </w:t>
            </w:r>
          </w:p>
        </w:tc>
        <w:tc>
          <w:tcPr>
            <w:tcW w:w="2672" w:type="dxa"/>
            <w:tcBorders>
              <w:top w:val="single" w:sz="8" w:space="0" w:color="000000"/>
              <w:left w:val="single" w:sz="8" w:space="0" w:color="000000"/>
              <w:bottom w:val="single" w:sz="8" w:space="0" w:color="000000"/>
            </w:tcBorders>
          </w:tcPr>
          <w:p w14:paraId="06C445FC"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2906.6</w:t>
            </w:r>
            <w:r w:rsidRPr="00EC4EC4">
              <w:rPr>
                <w:rFonts w:eastAsia="Times New Roman" w:cs="Times New Roman"/>
                <w:sz w:val="20"/>
                <w:szCs w:val="20"/>
              </w:rPr>
              <w:t>]</w:t>
            </w:r>
            <w:r w:rsidRPr="00EC4EC4">
              <w:rPr>
                <w:rFonts w:eastAsia="Times New Roman" w:cs="Times New Roman"/>
                <w:sz w:val="20"/>
                <w:szCs w:val="20"/>
                <w:u w:val="single"/>
              </w:rPr>
              <w:t>3706.6</w:t>
            </w:r>
            <w:r w:rsidRPr="00EC4EC4">
              <w:rPr>
                <w:rFonts w:eastAsia="Times New Roman" w:cs="Times New Roman"/>
                <w:sz w:val="20"/>
                <w:szCs w:val="20"/>
              </w:rPr>
              <w:t xml:space="preserve"> </w:t>
            </w:r>
          </w:p>
        </w:tc>
      </w:tr>
      <w:tr w:rsidR="00140B7C" w:rsidRPr="00EC4EC4" w14:paraId="50E4C38D" w14:textId="77777777" w:rsidTr="00BC1087">
        <w:trPr>
          <w:trHeight w:val="266"/>
          <w:jc w:val="center"/>
        </w:trPr>
        <w:tc>
          <w:tcPr>
            <w:tcW w:w="4968" w:type="dxa"/>
            <w:tcBorders>
              <w:top w:val="single" w:sz="8" w:space="0" w:color="000000"/>
              <w:bottom w:val="single" w:sz="8" w:space="0" w:color="000000"/>
              <w:right w:val="single" w:sz="8" w:space="0" w:color="000000"/>
            </w:tcBorders>
          </w:tcPr>
          <w:p w14:paraId="2DDB6B8C"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Combustible fibers, loose; storage of more than 1,000 sq ft of </w:t>
            </w:r>
          </w:p>
        </w:tc>
        <w:tc>
          <w:tcPr>
            <w:tcW w:w="2672" w:type="dxa"/>
            <w:tcBorders>
              <w:top w:val="single" w:sz="8" w:space="0" w:color="000000"/>
              <w:left w:val="single" w:sz="8" w:space="0" w:color="000000"/>
              <w:bottom w:val="single" w:sz="8" w:space="0" w:color="000000"/>
            </w:tcBorders>
          </w:tcPr>
          <w:p w14:paraId="55B9B86B"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2904.5</w:t>
            </w:r>
            <w:r w:rsidRPr="00EC4EC4">
              <w:rPr>
                <w:rFonts w:eastAsia="Times New Roman" w:cs="Times New Roman"/>
                <w:sz w:val="20"/>
                <w:szCs w:val="20"/>
              </w:rPr>
              <w:t>]</w:t>
            </w:r>
            <w:r w:rsidRPr="00EC4EC4">
              <w:rPr>
                <w:rFonts w:eastAsia="Times New Roman" w:cs="Times New Roman"/>
                <w:sz w:val="20"/>
                <w:szCs w:val="20"/>
                <w:u w:val="single"/>
              </w:rPr>
              <w:t>3704.5</w:t>
            </w:r>
            <w:r w:rsidRPr="00EC4EC4">
              <w:rPr>
                <w:rFonts w:eastAsia="Times New Roman" w:cs="Times New Roman"/>
                <w:sz w:val="20"/>
                <w:szCs w:val="20"/>
              </w:rPr>
              <w:t xml:space="preserve"> </w:t>
            </w:r>
          </w:p>
        </w:tc>
      </w:tr>
      <w:tr w:rsidR="00140B7C" w:rsidRPr="00EC4EC4" w14:paraId="02161CB3" w14:textId="77777777" w:rsidTr="00BC1087">
        <w:trPr>
          <w:trHeight w:val="430"/>
          <w:jc w:val="center"/>
        </w:trPr>
        <w:tc>
          <w:tcPr>
            <w:tcW w:w="4968" w:type="dxa"/>
            <w:tcBorders>
              <w:top w:val="single" w:sz="8" w:space="0" w:color="000000"/>
              <w:bottom w:val="single" w:sz="8" w:space="0" w:color="000000"/>
              <w:right w:val="single" w:sz="8" w:space="0" w:color="000000"/>
            </w:tcBorders>
          </w:tcPr>
          <w:p w14:paraId="732EDA87"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Commercial cooking systems </w:t>
            </w:r>
          </w:p>
        </w:tc>
        <w:tc>
          <w:tcPr>
            <w:tcW w:w="2672" w:type="dxa"/>
            <w:tcBorders>
              <w:top w:val="single" w:sz="8" w:space="0" w:color="000000"/>
              <w:left w:val="single" w:sz="8" w:space="0" w:color="000000"/>
              <w:bottom w:val="single" w:sz="8" w:space="0" w:color="000000"/>
            </w:tcBorders>
          </w:tcPr>
          <w:p w14:paraId="678252DE"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904.12</w:t>
            </w:r>
          </w:p>
          <w:p w14:paraId="0DB20929" w14:textId="77777777" w:rsidR="00140B7C" w:rsidRPr="00EC4EC4" w:rsidRDefault="00140B7C" w:rsidP="00BC1087">
            <w:pPr>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FC 904.11 </w:t>
            </w:r>
          </w:p>
        </w:tc>
      </w:tr>
      <w:tr w:rsidR="00140B7C" w:rsidRPr="00EC4EC4" w14:paraId="332C4BA3" w14:textId="77777777" w:rsidTr="00BC1087">
        <w:trPr>
          <w:trHeight w:val="304"/>
          <w:jc w:val="center"/>
        </w:trPr>
        <w:tc>
          <w:tcPr>
            <w:tcW w:w="4968" w:type="dxa"/>
            <w:tcBorders>
              <w:top w:val="single" w:sz="8" w:space="0" w:color="000000"/>
              <w:bottom w:val="single" w:sz="8" w:space="0" w:color="000000"/>
              <w:right w:val="single" w:sz="8" w:space="0" w:color="000000"/>
            </w:tcBorders>
          </w:tcPr>
          <w:p w14:paraId="2557B85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Commercial cooking systems with solid fuel storage</w:t>
            </w:r>
          </w:p>
        </w:tc>
        <w:tc>
          <w:tcPr>
            <w:tcW w:w="2672" w:type="dxa"/>
            <w:tcBorders>
              <w:top w:val="single" w:sz="8" w:space="0" w:color="000000"/>
              <w:left w:val="single" w:sz="8" w:space="0" w:color="000000"/>
              <w:bottom w:val="single" w:sz="8" w:space="0" w:color="000000"/>
            </w:tcBorders>
          </w:tcPr>
          <w:p w14:paraId="31480674"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904.11.7</w:t>
            </w:r>
            <w:r w:rsidRPr="00EC4EC4">
              <w:rPr>
                <w:rFonts w:eastAsia="Times New Roman" w:cs="Times New Roman"/>
                <w:sz w:val="20"/>
                <w:szCs w:val="20"/>
              </w:rPr>
              <w:t>]</w:t>
            </w:r>
            <w:r w:rsidRPr="00EC4EC4">
              <w:rPr>
                <w:rFonts w:eastAsia="Times New Roman" w:cs="Times New Roman"/>
                <w:sz w:val="20"/>
                <w:szCs w:val="20"/>
                <w:u w:val="single"/>
              </w:rPr>
              <w:t>609.5</w:t>
            </w:r>
          </w:p>
        </w:tc>
      </w:tr>
      <w:tr w:rsidR="00140B7C" w:rsidRPr="00EC4EC4" w14:paraId="0EA6192D" w14:textId="77777777" w:rsidTr="00BC1087">
        <w:trPr>
          <w:trHeight w:val="385"/>
          <w:jc w:val="center"/>
        </w:trPr>
        <w:tc>
          <w:tcPr>
            <w:tcW w:w="4968" w:type="dxa"/>
            <w:tcBorders>
              <w:top w:val="single" w:sz="8" w:space="0" w:color="000000"/>
              <w:bottom w:val="single" w:sz="8" w:space="0" w:color="000000"/>
              <w:right w:val="single" w:sz="8" w:space="0" w:color="000000"/>
            </w:tcBorders>
          </w:tcPr>
          <w:p w14:paraId="455E683B"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lastRenderedPageBreak/>
              <w:t xml:space="preserve">Commercial cooking system with Type I hood </w:t>
            </w:r>
          </w:p>
        </w:tc>
        <w:tc>
          <w:tcPr>
            <w:tcW w:w="2672" w:type="dxa"/>
            <w:tcBorders>
              <w:top w:val="single" w:sz="8" w:space="0" w:color="000000"/>
              <w:left w:val="single" w:sz="8" w:space="0" w:color="000000"/>
              <w:bottom w:val="single" w:sz="8" w:space="0" w:color="000000"/>
            </w:tcBorders>
          </w:tcPr>
          <w:p w14:paraId="51D18C3B"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904.2.1 </w:t>
            </w:r>
          </w:p>
          <w:p w14:paraId="6EFD836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MC 509.1 </w:t>
            </w:r>
          </w:p>
        </w:tc>
      </w:tr>
      <w:tr w:rsidR="00140B7C" w:rsidRPr="00EC4EC4" w14:paraId="0E8995EC"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15208D6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Covered mall and open mall buildings </w:t>
            </w:r>
          </w:p>
        </w:tc>
        <w:tc>
          <w:tcPr>
            <w:tcW w:w="2672" w:type="dxa"/>
            <w:tcBorders>
              <w:top w:val="single" w:sz="8" w:space="0" w:color="000000"/>
              <w:left w:val="single" w:sz="8" w:space="0" w:color="000000"/>
              <w:bottom w:val="single" w:sz="8" w:space="0" w:color="000000"/>
            </w:tcBorders>
          </w:tcPr>
          <w:p w14:paraId="1CDE12F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402.5</w:t>
            </w:r>
          </w:p>
        </w:tc>
      </w:tr>
      <w:tr w:rsidR="00140B7C" w:rsidRPr="00EC4EC4" w14:paraId="690CBA1C"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4F49479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Dead</w:t>
            </w:r>
            <w:r w:rsidRPr="00EC4EC4">
              <w:rPr>
                <w:rFonts w:eastAsia="Times New Roman" w:cs="Times New Roman"/>
                <w:sz w:val="20"/>
                <w:szCs w:val="20"/>
                <w:u w:val="single"/>
              </w:rPr>
              <w:t>-</w:t>
            </w:r>
            <w:r w:rsidRPr="00EC4EC4">
              <w:rPr>
                <w:rFonts w:eastAsia="Times New Roman" w:cs="Times New Roman"/>
                <w:sz w:val="20"/>
                <w:szCs w:val="20"/>
              </w:rPr>
              <w:t xml:space="preserve">end public streets; buildings on </w:t>
            </w:r>
          </w:p>
        </w:tc>
        <w:tc>
          <w:tcPr>
            <w:tcW w:w="2672" w:type="dxa"/>
            <w:tcBorders>
              <w:top w:val="single" w:sz="8" w:space="0" w:color="000000"/>
              <w:left w:val="single" w:sz="8" w:space="0" w:color="000000"/>
              <w:bottom w:val="single" w:sz="8" w:space="0" w:color="000000"/>
            </w:tcBorders>
          </w:tcPr>
          <w:p w14:paraId="494B4E6E"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503.8.1</w:t>
            </w:r>
            <w:r w:rsidRPr="00EC4EC4">
              <w:rPr>
                <w:rFonts w:eastAsia="Times New Roman" w:cs="Times New Roman"/>
                <w:sz w:val="20"/>
                <w:szCs w:val="20"/>
              </w:rPr>
              <w:t>]</w:t>
            </w:r>
            <w:r w:rsidRPr="00EC4EC4">
              <w:rPr>
                <w:rFonts w:eastAsia="Times New Roman" w:cs="Times New Roman"/>
                <w:sz w:val="20"/>
                <w:szCs w:val="20"/>
                <w:u w:val="single"/>
              </w:rPr>
              <w:t>503.3.1</w:t>
            </w:r>
            <w:r w:rsidRPr="00EC4EC4">
              <w:rPr>
                <w:rFonts w:eastAsia="Times New Roman" w:cs="Times New Roman"/>
                <w:sz w:val="20"/>
                <w:szCs w:val="20"/>
              </w:rPr>
              <w:t xml:space="preserve"> </w:t>
            </w:r>
          </w:p>
        </w:tc>
      </w:tr>
      <w:tr w:rsidR="00140B7C" w:rsidRPr="00EC4EC4" w14:paraId="758B9554"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284CB07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Dip tank rooms </w:t>
            </w:r>
          </w:p>
        </w:tc>
        <w:tc>
          <w:tcPr>
            <w:tcW w:w="2672" w:type="dxa"/>
            <w:tcBorders>
              <w:top w:val="single" w:sz="8" w:space="0" w:color="000000"/>
              <w:left w:val="single" w:sz="8" w:space="0" w:color="000000"/>
              <w:bottom w:val="single" w:sz="8" w:space="0" w:color="000000"/>
            </w:tcBorders>
          </w:tcPr>
          <w:p w14:paraId="2119CAF3"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1505.1</w:t>
            </w:r>
            <w:r w:rsidRPr="00EC4EC4">
              <w:rPr>
                <w:rFonts w:eastAsia="Times New Roman" w:cs="Times New Roman"/>
                <w:sz w:val="20"/>
                <w:szCs w:val="20"/>
              </w:rPr>
              <w:t>]</w:t>
            </w:r>
            <w:r w:rsidRPr="00EC4EC4">
              <w:rPr>
                <w:rFonts w:eastAsia="Times New Roman" w:cs="Times New Roman"/>
                <w:sz w:val="20"/>
                <w:szCs w:val="20"/>
                <w:u w:val="single"/>
              </w:rPr>
              <w:t>2405.1</w:t>
            </w:r>
            <w:r w:rsidRPr="00EC4EC4">
              <w:rPr>
                <w:rFonts w:eastAsia="Times New Roman" w:cs="Times New Roman"/>
                <w:sz w:val="20"/>
                <w:szCs w:val="20"/>
              </w:rPr>
              <w:t xml:space="preserve"> </w:t>
            </w:r>
          </w:p>
        </w:tc>
      </w:tr>
      <w:tr w:rsidR="00140B7C" w:rsidRPr="00EC4EC4" w14:paraId="2BA87C82" w14:textId="77777777" w:rsidTr="00BC1087">
        <w:trPr>
          <w:trHeight w:val="115"/>
          <w:jc w:val="center"/>
        </w:trPr>
        <w:tc>
          <w:tcPr>
            <w:tcW w:w="4968" w:type="dxa"/>
            <w:tcBorders>
              <w:top w:val="single" w:sz="8" w:space="0" w:color="000000"/>
              <w:bottom w:val="single" w:sz="8" w:space="0" w:color="000000"/>
              <w:right w:val="single" w:sz="8" w:space="0" w:color="000000"/>
            </w:tcBorders>
          </w:tcPr>
          <w:p w14:paraId="06ECBB8B"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Dip tanks </w:t>
            </w:r>
          </w:p>
        </w:tc>
        <w:tc>
          <w:tcPr>
            <w:tcW w:w="2672" w:type="dxa"/>
            <w:tcBorders>
              <w:top w:val="single" w:sz="8" w:space="0" w:color="000000"/>
              <w:left w:val="single" w:sz="8" w:space="0" w:color="000000"/>
              <w:bottom w:val="single" w:sz="8" w:space="0" w:color="000000"/>
            </w:tcBorders>
          </w:tcPr>
          <w:p w14:paraId="42E3791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1505.6.1</w:t>
            </w:r>
            <w:r w:rsidRPr="00EC4EC4">
              <w:rPr>
                <w:rFonts w:eastAsia="Times New Roman" w:cs="Times New Roman"/>
                <w:sz w:val="20"/>
                <w:szCs w:val="20"/>
              </w:rPr>
              <w:t>]</w:t>
            </w:r>
            <w:r w:rsidRPr="00EC4EC4">
              <w:rPr>
                <w:rFonts w:eastAsia="Times New Roman" w:cs="Times New Roman"/>
                <w:sz w:val="20"/>
                <w:szCs w:val="20"/>
                <w:u w:val="single"/>
              </w:rPr>
              <w:t>2405.3.4.1</w:t>
            </w:r>
            <w:r w:rsidRPr="00EC4EC4">
              <w:rPr>
                <w:rFonts w:eastAsia="Times New Roman" w:cs="Times New Roman"/>
                <w:sz w:val="20"/>
                <w:szCs w:val="20"/>
              </w:rPr>
              <w:t xml:space="preserve"> </w:t>
            </w:r>
          </w:p>
        </w:tc>
      </w:tr>
      <w:tr w:rsidR="00140B7C" w:rsidRPr="00EC4EC4" w14:paraId="2E1E2D51" w14:textId="77777777" w:rsidTr="00BC1087">
        <w:trPr>
          <w:trHeight w:val="142"/>
          <w:jc w:val="center"/>
        </w:trPr>
        <w:tc>
          <w:tcPr>
            <w:tcW w:w="4968" w:type="dxa"/>
            <w:tcBorders>
              <w:top w:val="single" w:sz="8" w:space="0" w:color="000000"/>
              <w:bottom w:val="single" w:sz="8" w:space="0" w:color="000000"/>
              <w:right w:val="single" w:sz="8" w:space="0" w:color="000000"/>
            </w:tcBorders>
          </w:tcPr>
          <w:p w14:paraId="79BD605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Dry cleaning machines </w:t>
            </w:r>
          </w:p>
        </w:tc>
        <w:tc>
          <w:tcPr>
            <w:tcW w:w="2672" w:type="dxa"/>
            <w:tcBorders>
              <w:top w:val="single" w:sz="8" w:space="0" w:color="000000"/>
              <w:left w:val="single" w:sz="8" w:space="0" w:color="000000"/>
              <w:bottom w:val="single" w:sz="8" w:space="0" w:color="000000"/>
            </w:tcBorders>
          </w:tcPr>
          <w:p w14:paraId="7124DC23"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FC 1208.3 </w:t>
            </w:r>
          </w:p>
        </w:tc>
      </w:tr>
      <w:tr w:rsidR="00140B7C" w:rsidRPr="00EC4EC4" w14:paraId="09CD1A93" w14:textId="77777777" w:rsidTr="00BC1087">
        <w:trPr>
          <w:trHeight w:val="160"/>
          <w:jc w:val="center"/>
        </w:trPr>
        <w:tc>
          <w:tcPr>
            <w:tcW w:w="4968" w:type="dxa"/>
            <w:tcBorders>
              <w:top w:val="single" w:sz="8" w:space="0" w:color="000000"/>
              <w:bottom w:val="single" w:sz="8" w:space="0" w:color="000000"/>
              <w:right w:val="single" w:sz="8" w:space="0" w:color="000000"/>
            </w:tcBorders>
          </w:tcPr>
          <w:p w14:paraId="56BD46FA"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Dry cleaning plants </w:t>
            </w:r>
          </w:p>
        </w:tc>
        <w:tc>
          <w:tcPr>
            <w:tcW w:w="2672" w:type="dxa"/>
            <w:tcBorders>
              <w:top w:val="single" w:sz="8" w:space="0" w:color="000000"/>
              <w:left w:val="single" w:sz="8" w:space="0" w:color="000000"/>
              <w:bottom w:val="single" w:sz="8" w:space="0" w:color="000000"/>
            </w:tcBorders>
          </w:tcPr>
          <w:p w14:paraId="3658DAC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FC 1208.2 </w:t>
            </w:r>
          </w:p>
        </w:tc>
      </w:tr>
      <w:tr w:rsidR="00140B7C" w:rsidRPr="00EC4EC4" w14:paraId="6AB9710B"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1C81219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Drying rooms </w:t>
            </w:r>
          </w:p>
        </w:tc>
        <w:tc>
          <w:tcPr>
            <w:tcW w:w="2672" w:type="dxa"/>
            <w:tcBorders>
              <w:top w:val="single" w:sz="8" w:space="0" w:color="000000"/>
              <w:left w:val="single" w:sz="8" w:space="0" w:color="000000"/>
              <w:bottom w:val="single" w:sz="8" w:space="0" w:color="000000"/>
            </w:tcBorders>
          </w:tcPr>
          <w:p w14:paraId="20F178F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417.4 </w:t>
            </w:r>
          </w:p>
        </w:tc>
      </w:tr>
      <w:tr w:rsidR="00140B7C" w:rsidRPr="00EC4EC4" w14:paraId="0B844670" w14:textId="77777777" w:rsidTr="00BC1087">
        <w:trPr>
          <w:trHeight w:val="205"/>
          <w:jc w:val="center"/>
        </w:trPr>
        <w:tc>
          <w:tcPr>
            <w:tcW w:w="4968" w:type="dxa"/>
            <w:tcBorders>
              <w:top w:val="single" w:sz="8" w:space="0" w:color="000000"/>
              <w:bottom w:val="single" w:sz="8" w:space="0" w:color="000000"/>
              <w:right w:val="single" w:sz="8" w:space="0" w:color="000000"/>
            </w:tcBorders>
          </w:tcPr>
          <w:p w14:paraId="6732956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Elevator lobbies </w:t>
            </w:r>
          </w:p>
        </w:tc>
        <w:tc>
          <w:tcPr>
            <w:tcW w:w="2672" w:type="dxa"/>
            <w:tcBorders>
              <w:top w:val="single" w:sz="8" w:space="0" w:color="000000"/>
              <w:left w:val="single" w:sz="8" w:space="0" w:color="000000"/>
              <w:bottom w:val="single" w:sz="8" w:space="0" w:color="000000"/>
            </w:tcBorders>
          </w:tcPr>
          <w:p w14:paraId="1A9970A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3006.1.1</w:t>
            </w:r>
          </w:p>
        </w:tc>
      </w:tr>
      <w:tr w:rsidR="00140B7C" w:rsidRPr="00EC4EC4" w14:paraId="53934A88"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6C8EE2E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Exhausted enclosures </w:t>
            </w:r>
          </w:p>
        </w:tc>
        <w:tc>
          <w:tcPr>
            <w:tcW w:w="2672" w:type="dxa"/>
            <w:tcBorders>
              <w:top w:val="single" w:sz="8" w:space="0" w:color="000000"/>
              <w:left w:val="single" w:sz="8" w:space="0" w:color="000000"/>
              <w:bottom w:val="single" w:sz="8" w:space="0" w:color="000000"/>
            </w:tcBorders>
          </w:tcPr>
          <w:p w14:paraId="40A34B7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2703.8.5.3</w:t>
            </w:r>
            <w:r w:rsidRPr="00EC4EC4">
              <w:rPr>
                <w:rFonts w:eastAsia="Times New Roman" w:cs="Times New Roman"/>
                <w:sz w:val="20"/>
                <w:szCs w:val="20"/>
              </w:rPr>
              <w:t>]</w:t>
            </w:r>
            <w:r w:rsidRPr="00EC4EC4">
              <w:rPr>
                <w:rFonts w:eastAsia="Times New Roman" w:cs="Times New Roman"/>
                <w:sz w:val="20"/>
                <w:szCs w:val="20"/>
                <w:u w:val="single"/>
              </w:rPr>
              <w:t>5003.8.5</w:t>
            </w:r>
            <w:r w:rsidRPr="00EC4EC4">
              <w:rPr>
                <w:rFonts w:eastAsia="Times New Roman" w:cs="Times New Roman"/>
                <w:sz w:val="20"/>
                <w:szCs w:val="20"/>
              </w:rPr>
              <w:t xml:space="preserve"> </w:t>
            </w:r>
          </w:p>
        </w:tc>
      </w:tr>
      <w:tr w:rsidR="00140B7C" w:rsidRPr="00EC4EC4" w14:paraId="38BA8C2B" w14:textId="77777777" w:rsidTr="00BC1087">
        <w:trPr>
          <w:trHeight w:val="169"/>
          <w:jc w:val="center"/>
        </w:trPr>
        <w:tc>
          <w:tcPr>
            <w:tcW w:w="4968" w:type="dxa"/>
            <w:tcBorders>
              <w:top w:val="single" w:sz="8" w:space="0" w:color="000000"/>
              <w:bottom w:val="single" w:sz="8" w:space="0" w:color="000000"/>
              <w:right w:val="single" w:sz="8" w:space="0" w:color="000000"/>
            </w:tcBorders>
          </w:tcPr>
          <w:p w14:paraId="549F1A9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Extra-high-rack combustible storage; buildings with </w:t>
            </w:r>
          </w:p>
        </w:tc>
        <w:tc>
          <w:tcPr>
            <w:tcW w:w="2672" w:type="dxa"/>
            <w:tcBorders>
              <w:top w:val="single" w:sz="8" w:space="0" w:color="000000"/>
              <w:left w:val="single" w:sz="8" w:space="0" w:color="000000"/>
              <w:bottom w:val="single" w:sz="8" w:space="0" w:color="000000"/>
            </w:tcBorders>
          </w:tcPr>
          <w:p w14:paraId="76CD301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2308.5.1</w:t>
            </w:r>
            <w:r w:rsidRPr="00EC4EC4">
              <w:rPr>
                <w:rFonts w:eastAsia="Times New Roman" w:cs="Times New Roman"/>
                <w:sz w:val="20"/>
                <w:szCs w:val="20"/>
              </w:rPr>
              <w:t>]</w:t>
            </w:r>
            <w:r w:rsidRPr="00EC4EC4">
              <w:rPr>
                <w:rFonts w:eastAsia="Times New Roman" w:cs="Times New Roman"/>
                <w:sz w:val="20"/>
                <w:szCs w:val="20"/>
                <w:u w:val="single"/>
              </w:rPr>
              <w:t xml:space="preserve">3208.5.1 </w:t>
            </w:r>
          </w:p>
        </w:tc>
      </w:tr>
      <w:tr w:rsidR="00140B7C" w:rsidRPr="00EC4EC4" w14:paraId="6487FA62"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67A00EE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Flammable and combustible liquid in Group H-2 or H-3 areas </w:t>
            </w:r>
          </w:p>
        </w:tc>
        <w:tc>
          <w:tcPr>
            <w:tcW w:w="2672" w:type="dxa"/>
            <w:tcBorders>
              <w:top w:val="single" w:sz="8" w:space="0" w:color="000000"/>
              <w:left w:val="single" w:sz="8" w:space="0" w:color="000000"/>
              <w:bottom w:val="single" w:sz="8" w:space="0" w:color="000000"/>
            </w:tcBorders>
          </w:tcPr>
          <w:p w14:paraId="0267D5F6"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3405.3.7.3</w:t>
            </w:r>
            <w:r w:rsidRPr="00EC4EC4">
              <w:rPr>
                <w:rFonts w:eastAsia="Times New Roman" w:cs="Times New Roman"/>
                <w:sz w:val="20"/>
                <w:szCs w:val="20"/>
              </w:rPr>
              <w:t>]</w:t>
            </w:r>
            <w:r w:rsidRPr="00EC4EC4">
              <w:rPr>
                <w:rFonts w:eastAsia="Times New Roman" w:cs="Times New Roman"/>
                <w:sz w:val="20"/>
                <w:szCs w:val="20"/>
                <w:u w:val="single"/>
              </w:rPr>
              <w:t>5705.3.7.3</w:t>
            </w:r>
            <w:r w:rsidRPr="00EC4EC4">
              <w:rPr>
                <w:rFonts w:eastAsia="Times New Roman" w:cs="Times New Roman"/>
                <w:sz w:val="20"/>
                <w:szCs w:val="20"/>
              </w:rPr>
              <w:t xml:space="preserve"> </w:t>
            </w:r>
          </w:p>
        </w:tc>
      </w:tr>
      <w:tr w:rsidR="00140B7C" w:rsidRPr="00EC4EC4" w14:paraId="723BE43A" w14:textId="77777777" w:rsidTr="00BC1087">
        <w:trPr>
          <w:trHeight w:val="214"/>
          <w:jc w:val="center"/>
        </w:trPr>
        <w:tc>
          <w:tcPr>
            <w:tcW w:w="4968" w:type="dxa"/>
            <w:tcBorders>
              <w:top w:val="single" w:sz="8" w:space="0" w:color="000000"/>
              <w:bottom w:val="single" w:sz="8" w:space="0" w:color="000000"/>
              <w:right w:val="single" w:sz="8" w:space="0" w:color="000000"/>
            </w:tcBorders>
          </w:tcPr>
          <w:p w14:paraId="4F9D6E66"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Flammable and combustible liquid storage rooms </w:t>
            </w:r>
          </w:p>
        </w:tc>
        <w:tc>
          <w:tcPr>
            <w:tcW w:w="2672" w:type="dxa"/>
            <w:tcBorders>
              <w:top w:val="single" w:sz="8" w:space="0" w:color="000000"/>
              <w:left w:val="single" w:sz="8" w:space="0" w:color="000000"/>
              <w:bottom w:val="single" w:sz="8" w:space="0" w:color="000000"/>
            </w:tcBorders>
          </w:tcPr>
          <w:p w14:paraId="65A1260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3404.3.7.5.1</w:t>
            </w:r>
            <w:r w:rsidRPr="00EC4EC4">
              <w:rPr>
                <w:rFonts w:eastAsia="Times New Roman" w:cs="Times New Roman"/>
                <w:sz w:val="20"/>
                <w:szCs w:val="20"/>
              </w:rPr>
              <w:t>]</w:t>
            </w:r>
            <w:r w:rsidRPr="00EC4EC4">
              <w:rPr>
                <w:rFonts w:eastAsia="Times New Roman" w:cs="Times New Roman"/>
                <w:sz w:val="20"/>
                <w:szCs w:val="20"/>
                <w:u w:val="single"/>
              </w:rPr>
              <w:t>5704.5.7.5.1</w:t>
            </w:r>
            <w:r w:rsidRPr="00EC4EC4">
              <w:rPr>
                <w:rFonts w:eastAsia="Times New Roman" w:cs="Times New Roman"/>
                <w:sz w:val="20"/>
                <w:szCs w:val="20"/>
              </w:rPr>
              <w:t xml:space="preserve"> </w:t>
            </w:r>
          </w:p>
        </w:tc>
      </w:tr>
      <w:tr w:rsidR="00140B7C" w:rsidRPr="00EC4EC4" w14:paraId="78F0FE4D"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7EAF8C8A"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Flammable and combustible liquid storage warehouses </w:t>
            </w:r>
          </w:p>
        </w:tc>
        <w:tc>
          <w:tcPr>
            <w:tcW w:w="2672" w:type="dxa"/>
            <w:tcBorders>
              <w:top w:val="single" w:sz="8" w:space="0" w:color="000000"/>
              <w:left w:val="single" w:sz="8" w:space="0" w:color="000000"/>
              <w:bottom w:val="single" w:sz="8" w:space="0" w:color="000000"/>
            </w:tcBorders>
          </w:tcPr>
          <w:p w14:paraId="2FAF738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FC 3404.3.8.4 </w:t>
            </w:r>
          </w:p>
        </w:tc>
      </w:tr>
      <w:tr w:rsidR="00140B7C" w:rsidRPr="00EC4EC4" w14:paraId="595F28AD" w14:textId="77777777" w:rsidTr="00BC1087">
        <w:trPr>
          <w:trHeight w:val="169"/>
          <w:jc w:val="center"/>
        </w:trPr>
        <w:tc>
          <w:tcPr>
            <w:tcW w:w="4968" w:type="dxa"/>
            <w:tcBorders>
              <w:top w:val="single" w:sz="8" w:space="0" w:color="000000"/>
              <w:bottom w:val="single" w:sz="8" w:space="0" w:color="000000"/>
              <w:right w:val="single" w:sz="8" w:space="0" w:color="000000"/>
            </w:tcBorders>
          </w:tcPr>
          <w:p w14:paraId="5058C98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Flammable finishes </w:t>
            </w:r>
          </w:p>
        </w:tc>
        <w:tc>
          <w:tcPr>
            <w:tcW w:w="2672" w:type="dxa"/>
            <w:tcBorders>
              <w:top w:val="single" w:sz="8" w:space="0" w:color="000000"/>
              <w:left w:val="single" w:sz="8" w:space="0" w:color="000000"/>
              <w:bottom w:val="single" w:sz="8" w:space="0" w:color="000000"/>
            </w:tcBorders>
          </w:tcPr>
          <w:p w14:paraId="79374BA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416.5 </w:t>
            </w:r>
          </w:p>
        </w:tc>
      </w:tr>
      <w:tr w:rsidR="00140B7C" w:rsidRPr="00EC4EC4" w14:paraId="224CFA83" w14:textId="77777777" w:rsidTr="00BC1087">
        <w:trPr>
          <w:trHeight w:val="497"/>
          <w:jc w:val="center"/>
        </w:trPr>
        <w:tc>
          <w:tcPr>
            <w:tcW w:w="4968" w:type="dxa"/>
            <w:tcBorders>
              <w:top w:val="single" w:sz="8" w:space="0" w:color="000000"/>
              <w:bottom w:val="single" w:sz="8" w:space="0" w:color="000000"/>
              <w:right w:val="single" w:sz="8" w:space="0" w:color="000000"/>
            </w:tcBorders>
          </w:tcPr>
          <w:p w14:paraId="32A8665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Fuel-oil tanks and fuel-oil burning equipment; rooms containing </w:t>
            </w:r>
          </w:p>
        </w:tc>
        <w:tc>
          <w:tcPr>
            <w:tcW w:w="2672" w:type="dxa"/>
            <w:tcBorders>
              <w:top w:val="single" w:sz="8" w:space="0" w:color="000000"/>
              <w:left w:val="single" w:sz="8" w:space="0" w:color="000000"/>
              <w:bottom w:val="single" w:sz="8" w:space="0" w:color="000000"/>
            </w:tcBorders>
          </w:tcPr>
          <w:p w14:paraId="016BDEB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MC 1305.13.3 </w:t>
            </w:r>
          </w:p>
        </w:tc>
      </w:tr>
      <w:tr w:rsidR="00140B7C" w:rsidRPr="00EC4EC4" w14:paraId="6889E0A3"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7E33451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Furnaces: Class A and B </w:t>
            </w:r>
          </w:p>
        </w:tc>
        <w:tc>
          <w:tcPr>
            <w:tcW w:w="2672" w:type="dxa"/>
            <w:tcBorders>
              <w:top w:val="single" w:sz="8" w:space="0" w:color="000000"/>
              <w:left w:val="single" w:sz="8" w:space="0" w:color="000000"/>
              <w:bottom w:val="single" w:sz="8" w:space="0" w:color="000000"/>
            </w:tcBorders>
          </w:tcPr>
          <w:p w14:paraId="0FEF407E"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2106.1</w:t>
            </w:r>
            <w:r w:rsidRPr="00EC4EC4">
              <w:rPr>
                <w:rFonts w:eastAsia="Times New Roman" w:cs="Times New Roman"/>
                <w:sz w:val="20"/>
                <w:szCs w:val="20"/>
              </w:rPr>
              <w:t>]</w:t>
            </w:r>
            <w:r w:rsidRPr="00EC4EC4">
              <w:rPr>
                <w:rFonts w:eastAsia="Times New Roman" w:cs="Times New Roman"/>
                <w:sz w:val="20"/>
                <w:szCs w:val="20"/>
                <w:u w:val="single"/>
              </w:rPr>
              <w:t>3006.1</w:t>
            </w:r>
            <w:r w:rsidRPr="00EC4EC4">
              <w:rPr>
                <w:rFonts w:eastAsia="Times New Roman" w:cs="Times New Roman"/>
                <w:sz w:val="20"/>
                <w:szCs w:val="20"/>
              </w:rPr>
              <w:t xml:space="preserve"> </w:t>
            </w:r>
          </w:p>
        </w:tc>
      </w:tr>
      <w:tr w:rsidR="00140B7C" w:rsidRPr="00EC4EC4" w14:paraId="488804AC" w14:textId="77777777" w:rsidTr="00BC1087">
        <w:trPr>
          <w:trHeight w:val="205"/>
          <w:jc w:val="center"/>
        </w:trPr>
        <w:tc>
          <w:tcPr>
            <w:tcW w:w="4968" w:type="dxa"/>
            <w:tcBorders>
              <w:top w:val="single" w:sz="8" w:space="0" w:color="000000"/>
              <w:bottom w:val="single" w:sz="8" w:space="0" w:color="000000"/>
              <w:right w:val="single" w:sz="8" w:space="0" w:color="000000"/>
            </w:tcBorders>
          </w:tcPr>
          <w:p w14:paraId="0C7BB64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Furnaces: Class C and D </w:t>
            </w:r>
          </w:p>
        </w:tc>
        <w:tc>
          <w:tcPr>
            <w:tcW w:w="2672" w:type="dxa"/>
            <w:tcBorders>
              <w:top w:val="single" w:sz="8" w:space="0" w:color="000000"/>
              <w:left w:val="single" w:sz="8" w:space="0" w:color="000000"/>
              <w:bottom w:val="single" w:sz="8" w:space="0" w:color="000000"/>
            </w:tcBorders>
          </w:tcPr>
          <w:p w14:paraId="010C1B8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2106.2</w:t>
            </w:r>
            <w:r w:rsidRPr="00EC4EC4">
              <w:rPr>
                <w:rFonts w:eastAsia="Times New Roman" w:cs="Times New Roman"/>
                <w:sz w:val="20"/>
                <w:szCs w:val="20"/>
              </w:rPr>
              <w:t xml:space="preserve">]3006.2 </w:t>
            </w:r>
          </w:p>
        </w:tc>
      </w:tr>
      <w:tr w:rsidR="00140B7C" w:rsidRPr="00EC4EC4" w14:paraId="3ED6BF30"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2528080A"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Gas rooms </w:t>
            </w:r>
          </w:p>
        </w:tc>
        <w:tc>
          <w:tcPr>
            <w:tcW w:w="2672" w:type="dxa"/>
            <w:tcBorders>
              <w:top w:val="single" w:sz="8" w:space="0" w:color="000000"/>
              <w:left w:val="single" w:sz="8" w:space="0" w:color="000000"/>
              <w:bottom w:val="single" w:sz="8" w:space="0" w:color="000000"/>
            </w:tcBorders>
          </w:tcPr>
          <w:p w14:paraId="0BC9268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2703.8.4</w:t>
            </w:r>
            <w:r w:rsidRPr="00EC4EC4">
              <w:rPr>
                <w:rFonts w:eastAsia="Times New Roman" w:cs="Times New Roman"/>
                <w:sz w:val="20"/>
                <w:szCs w:val="20"/>
              </w:rPr>
              <w:t>]</w:t>
            </w:r>
            <w:r w:rsidRPr="00EC4EC4">
              <w:rPr>
                <w:rFonts w:eastAsia="Times New Roman" w:cs="Times New Roman"/>
                <w:sz w:val="20"/>
                <w:szCs w:val="20"/>
                <w:u w:val="single"/>
              </w:rPr>
              <w:t>5003.8.4</w:t>
            </w:r>
            <w:r w:rsidRPr="00EC4EC4">
              <w:rPr>
                <w:rFonts w:eastAsia="Times New Roman" w:cs="Times New Roman"/>
                <w:sz w:val="20"/>
                <w:szCs w:val="20"/>
              </w:rPr>
              <w:t xml:space="preserve"> </w:t>
            </w:r>
          </w:p>
        </w:tc>
      </w:tr>
      <w:tr w:rsidR="00140B7C" w:rsidRPr="00EC4EC4" w14:paraId="2A6B94A5" w14:textId="77777777" w:rsidTr="00BC1087">
        <w:trPr>
          <w:trHeight w:val="160"/>
          <w:jc w:val="center"/>
        </w:trPr>
        <w:tc>
          <w:tcPr>
            <w:tcW w:w="4968" w:type="dxa"/>
            <w:tcBorders>
              <w:top w:val="single" w:sz="8" w:space="0" w:color="000000"/>
              <w:bottom w:val="single" w:sz="8" w:space="0" w:color="000000"/>
              <w:right w:val="single" w:sz="8" w:space="0" w:color="000000"/>
            </w:tcBorders>
          </w:tcPr>
          <w:p w14:paraId="4F71613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Glazing in smoke partition </w:t>
            </w:r>
          </w:p>
        </w:tc>
        <w:tc>
          <w:tcPr>
            <w:tcW w:w="2672" w:type="dxa"/>
            <w:tcBorders>
              <w:top w:val="single" w:sz="8" w:space="0" w:color="000000"/>
              <w:left w:val="single" w:sz="8" w:space="0" w:color="000000"/>
              <w:bottom w:val="single" w:sz="8" w:space="0" w:color="000000"/>
            </w:tcBorders>
          </w:tcPr>
          <w:p w14:paraId="4BAC41F8"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710.2</w:t>
            </w:r>
          </w:p>
        </w:tc>
      </w:tr>
      <w:tr w:rsidR="00140B7C" w:rsidRPr="00EC4EC4" w14:paraId="7C1BB716"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7C3257B4"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Group H-2 </w:t>
            </w:r>
          </w:p>
        </w:tc>
        <w:tc>
          <w:tcPr>
            <w:tcW w:w="2672" w:type="dxa"/>
            <w:tcBorders>
              <w:top w:val="single" w:sz="8" w:space="0" w:color="000000"/>
              <w:left w:val="single" w:sz="8" w:space="0" w:color="000000"/>
              <w:bottom w:val="single" w:sz="8" w:space="0" w:color="000000"/>
            </w:tcBorders>
          </w:tcPr>
          <w:p w14:paraId="325B857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415.9.1.3</w:t>
            </w:r>
          </w:p>
        </w:tc>
      </w:tr>
      <w:tr w:rsidR="00140B7C" w:rsidRPr="00EC4EC4" w14:paraId="7D442674" w14:textId="77777777" w:rsidTr="00BC1087">
        <w:trPr>
          <w:trHeight w:val="497"/>
          <w:jc w:val="center"/>
        </w:trPr>
        <w:tc>
          <w:tcPr>
            <w:tcW w:w="4968" w:type="dxa"/>
            <w:tcBorders>
              <w:top w:val="single" w:sz="8" w:space="0" w:color="000000"/>
              <w:bottom w:val="single" w:sz="8" w:space="0" w:color="000000"/>
              <w:right w:val="single" w:sz="8" w:space="0" w:color="000000"/>
            </w:tcBorders>
          </w:tcPr>
          <w:p w14:paraId="4E4BC22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Group H-5, including but not limited to: workstations, gas cabinet, exhausted enclosures, pass-throughs in exit access corridors and exhaust ducts </w:t>
            </w:r>
          </w:p>
        </w:tc>
        <w:tc>
          <w:tcPr>
            <w:tcW w:w="2672" w:type="dxa"/>
            <w:tcBorders>
              <w:top w:val="single" w:sz="8" w:space="0" w:color="000000"/>
              <w:left w:val="single" w:sz="8" w:space="0" w:color="000000"/>
              <w:bottom w:val="single" w:sz="8" w:space="0" w:color="000000"/>
            </w:tcBorders>
          </w:tcPr>
          <w:p w14:paraId="4B65038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415.11 </w:t>
            </w:r>
          </w:p>
        </w:tc>
      </w:tr>
      <w:tr w:rsidR="00140B7C" w:rsidRPr="00EC4EC4" w14:paraId="2307736F" w14:textId="77777777" w:rsidTr="00BC1087">
        <w:trPr>
          <w:trHeight w:val="250"/>
          <w:jc w:val="center"/>
        </w:trPr>
        <w:tc>
          <w:tcPr>
            <w:tcW w:w="4968" w:type="dxa"/>
            <w:tcBorders>
              <w:top w:val="single" w:sz="8" w:space="0" w:color="000000"/>
              <w:bottom w:val="single" w:sz="8" w:space="0" w:color="000000"/>
              <w:right w:val="single" w:sz="8" w:space="0" w:color="000000"/>
            </w:tcBorders>
          </w:tcPr>
          <w:p w14:paraId="3A8431FE"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lastRenderedPageBreak/>
              <w:t xml:space="preserve">Group I-2 </w:t>
            </w:r>
          </w:p>
        </w:tc>
        <w:tc>
          <w:tcPr>
            <w:tcW w:w="2672" w:type="dxa"/>
            <w:tcBorders>
              <w:top w:val="single" w:sz="8" w:space="0" w:color="000000"/>
              <w:left w:val="single" w:sz="8" w:space="0" w:color="000000"/>
              <w:bottom w:val="single" w:sz="8" w:space="0" w:color="000000"/>
            </w:tcBorders>
          </w:tcPr>
          <w:p w14:paraId="7C7EAEDE"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407.6</w:t>
            </w:r>
          </w:p>
        </w:tc>
      </w:tr>
      <w:tr w:rsidR="00140B7C" w:rsidRPr="00EC4EC4" w14:paraId="1077EDF0"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6FE43BAB"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Hardening and tempering tanks </w:t>
            </w:r>
          </w:p>
        </w:tc>
        <w:tc>
          <w:tcPr>
            <w:tcW w:w="2672" w:type="dxa"/>
            <w:tcBorders>
              <w:top w:val="single" w:sz="8" w:space="0" w:color="000000"/>
              <w:left w:val="single" w:sz="8" w:space="0" w:color="000000"/>
              <w:bottom w:val="single" w:sz="8" w:space="0" w:color="000000"/>
            </w:tcBorders>
          </w:tcPr>
          <w:p w14:paraId="21D200D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1505.8.4</w:t>
            </w:r>
            <w:r w:rsidRPr="00EC4EC4">
              <w:rPr>
                <w:rFonts w:eastAsia="Times New Roman" w:cs="Times New Roman"/>
                <w:sz w:val="20"/>
                <w:szCs w:val="20"/>
              </w:rPr>
              <w:t>]</w:t>
            </w:r>
            <w:r w:rsidRPr="00EC4EC4">
              <w:rPr>
                <w:rFonts w:eastAsia="Times New Roman" w:cs="Times New Roman"/>
                <w:sz w:val="20"/>
                <w:szCs w:val="20"/>
                <w:u w:val="single"/>
              </w:rPr>
              <w:t>2405.4.4</w:t>
            </w:r>
            <w:r w:rsidRPr="00EC4EC4">
              <w:rPr>
                <w:rFonts w:eastAsia="Times New Roman" w:cs="Times New Roman"/>
                <w:sz w:val="20"/>
                <w:szCs w:val="20"/>
              </w:rPr>
              <w:t xml:space="preserve"> </w:t>
            </w:r>
          </w:p>
        </w:tc>
      </w:tr>
      <w:tr w:rsidR="00140B7C" w:rsidRPr="00EC4EC4" w14:paraId="243378A7" w14:textId="77777777" w:rsidTr="00BC1087">
        <w:trPr>
          <w:trHeight w:val="214"/>
          <w:jc w:val="center"/>
        </w:trPr>
        <w:tc>
          <w:tcPr>
            <w:tcW w:w="4968" w:type="dxa"/>
            <w:tcBorders>
              <w:top w:val="single" w:sz="8" w:space="0" w:color="000000"/>
              <w:bottom w:val="single" w:sz="8" w:space="0" w:color="000000"/>
              <w:right w:val="single" w:sz="8" w:space="0" w:color="000000"/>
            </w:tcBorders>
          </w:tcPr>
          <w:p w14:paraId="63EFC6E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Hazardous exhaust system ducts </w:t>
            </w:r>
          </w:p>
        </w:tc>
        <w:tc>
          <w:tcPr>
            <w:tcW w:w="2672" w:type="dxa"/>
            <w:tcBorders>
              <w:top w:val="single" w:sz="8" w:space="0" w:color="000000"/>
              <w:left w:val="single" w:sz="8" w:space="0" w:color="000000"/>
              <w:bottom w:val="single" w:sz="8" w:space="0" w:color="000000"/>
            </w:tcBorders>
          </w:tcPr>
          <w:p w14:paraId="00ADBCD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MC 510.8</w:t>
            </w:r>
          </w:p>
        </w:tc>
      </w:tr>
      <w:tr w:rsidR="00140B7C" w:rsidRPr="00EC4EC4" w14:paraId="48776A7A"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65A856A3"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Hazardous materials; indoor handling or use of </w:t>
            </w:r>
          </w:p>
        </w:tc>
        <w:tc>
          <w:tcPr>
            <w:tcW w:w="2672" w:type="dxa"/>
            <w:tcBorders>
              <w:top w:val="single" w:sz="8" w:space="0" w:color="000000"/>
              <w:left w:val="single" w:sz="8" w:space="0" w:color="000000"/>
              <w:bottom w:val="single" w:sz="8" w:space="0" w:color="000000"/>
            </w:tcBorders>
          </w:tcPr>
          <w:p w14:paraId="0610AAD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2705.1.8</w:t>
            </w:r>
            <w:r w:rsidRPr="00EC4EC4">
              <w:rPr>
                <w:rFonts w:eastAsia="Times New Roman" w:cs="Times New Roman"/>
                <w:sz w:val="20"/>
                <w:szCs w:val="20"/>
              </w:rPr>
              <w:t>]</w:t>
            </w:r>
            <w:r w:rsidRPr="00EC4EC4">
              <w:rPr>
                <w:rFonts w:eastAsia="Times New Roman" w:cs="Times New Roman"/>
                <w:sz w:val="20"/>
                <w:szCs w:val="20"/>
                <w:u w:val="single"/>
              </w:rPr>
              <w:t>5005.1.8</w:t>
            </w:r>
            <w:r w:rsidRPr="00EC4EC4">
              <w:rPr>
                <w:rFonts w:eastAsia="Times New Roman" w:cs="Times New Roman"/>
                <w:sz w:val="20"/>
                <w:szCs w:val="20"/>
              </w:rPr>
              <w:t xml:space="preserve"> </w:t>
            </w:r>
          </w:p>
        </w:tc>
      </w:tr>
      <w:tr w:rsidR="00140B7C" w:rsidRPr="00EC4EC4" w14:paraId="006BD6B0" w14:textId="77777777" w:rsidTr="00BC1087">
        <w:trPr>
          <w:trHeight w:val="259"/>
          <w:jc w:val="center"/>
        </w:trPr>
        <w:tc>
          <w:tcPr>
            <w:tcW w:w="4968" w:type="dxa"/>
            <w:tcBorders>
              <w:top w:val="single" w:sz="8" w:space="0" w:color="000000"/>
              <w:bottom w:val="single" w:sz="8" w:space="0" w:color="000000"/>
              <w:right w:val="single" w:sz="8" w:space="0" w:color="000000"/>
            </w:tcBorders>
          </w:tcPr>
          <w:p w14:paraId="283C98C6"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Hazardous materials; indoor storage of </w:t>
            </w:r>
          </w:p>
        </w:tc>
        <w:tc>
          <w:tcPr>
            <w:tcW w:w="2672" w:type="dxa"/>
            <w:tcBorders>
              <w:top w:val="single" w:sz="8" w:space="0" w:color="000000"/>
              <w:left w:val="single" w:sz="8" w:space="0" w:color="000000"/>
              <w:bottom w:val="single" w:sz="8" w:space="0" w:color="000000"/>
            </w:tcBorders>
          </w:tcPr>
          <w:p w14:paraId="37BD9E3A"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2704.5</w:t>
            </w:r>
            <w:r w:rsidRPr="00EC4EC4">
              <w:rPr>
                <w:rFonts w:eastAsia="Times New Roman" w:cs="Times New Roman"/>
                <w:sz w:val="20"/>
                <w:szCs w:val="20"/>
              </w:rPr>
              <w:t>]</w:t>
            </w:r>
            <w:r w:rsidRPr="00EC4EC4">
              <w:rPr>
                <w:rFonts w:eastAsia="Times New Roman" w:cs="Times New Roman"/>
                <w:sz w:val="20"/>
                <w:szCs w:val="20"/>
                <w:u w:val="single"/>
              </w:rPr>
              <w:t>5004.5</w:t>
            </w:r>
            <w:r w:rsidRPr="00EC4EC4">
              <w:rPr>
                <w:rFonts w:eastAsia="Times New Roman" w:cs="Times New Roman"/>
                <w:sz w:val="20"/>
                <w:szCs w:val="20"/>
              </w:rPr>
              <w:t xml:space="preserve"> </w:t>
            </w:r>
          </w:p>
        </w:tc>
      </w:tr>
      <w:tr w:rsidR="00140B7C" w:rsidRPr="00EC4EC4" w14:paraId="26345CA6"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4417D99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Hazardous Production Material ("HPM") corridors </w:t>
            </w:r>
          </w:p>
        </w:tc>
        <w:tc>
          <w:tcPr>
            <w:tcW w:w="2672" w:type="dxa"/>
            <w:tcBorders>
              <w:top w:val="single" w:sz="8" w:space="0" w:color="000000"/>
              <w:left w:val="single" w:sz="8" w:space="0" w:color="000000"/>
              <w:bottom w:val="single" w:sz="8" w:space="0" w:color="000000"/>
            </w:tcBorders>
          </w:tcPr>
          <w:p w14:paraId="6202F31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1803.10.3</w:t>
            </w:r>
            <w:r w:rsidRPr="00EC4EC4">
              <w:rPr>
                <w:rFonts w:eastAsia="Times New Roman" w:cs="Times New Roman"/>
                <w:sz w:val="20"/>
                <w:szCs w:val="20"/>
              </w:rPr>
              <w:t>]</w:t>
            </w:r>
            <w:r w:rsidRPr="00EC4EC4">
              <w:rPr>
                <w:rFonts w:eastAsia="Times New Roman" w:cs="Times New Roman"/>
                <w:sz w:val="20"/>
                <w:szCs w:val="20"/>
                <w:u w:val="single"/>
              </w:rPr>
              <w:t>2703.10.3</w:t>
            </w:r>
            <w:r w:rsidRPr="00EC4EC4">
              <w:rPr>
                <w:rFonts w:eastAsia="Times New Roman" w:cs="Times New Roman"/>
                <w:sz w:val="20"/>
                <w:szCs w:val="20"/>
              </w:rPr>
              <w:t xml:space="preserve"> </w:t>
            </w:r>
          </w:p>
        </w:tc>
      </w:tr>
      <w:tr w:rsidR="00140B7C" w:rsidRPr="00EC4EC4" w14:paraId="716517F6" w14:textId="77777777" w:rsidTr="00BC1087">
        <w:trPr>
          <w:trHeight w:val="205"/>
          <w:jc w:val="center"/>
        </w:trPr>
        <w:tc>
          <w:tcPr>
            <w:tcW w:w="4968" w:type="dxa"/>
            <w:tcBorders>
              <w:top w:val="single" w:sz="8" w:space="0" w:color="000000"/>
              <w:bottom w:val="single" w:sz="8" w:space="0" w:color="000000"/>
              <w:right w:val="single" w:sz="8" w:space="0" w:color="000000"/>
            </w:tcBorders>
          </w:tcPr>
          <w:p w14:paraId="41D314F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Hazardous Production Material ("HPM") exhaust ducts </w:t>
            </w:r>
          </w:p>
        </w:tc>
        <w:tc>
          <w:tcPr>
            <w:tcW w:w="2672" w:type="dxa"/>
            <w:tcBorders>
              <w:top w:val="single" w:sz="8" w:space="0" w:color="000000"/>
              <w:left w:val="single" w:sz="8" w:space="0" w:color="000000"/>
              <w:bottom w:val="single" w:sz="8" w:space="0" w:color="000000"/>
            </w:tcBorders>
          </w:tcPr>
          <w:p w14:paraId="59D8E8BA"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u w:val="single"/>
              </w:rPr>
            </w:pPr>
            <w:r w:rsidRPr="00EC4EC4">
              <w:rPr>
                <w:rFonts w:eastAsia="Times New Roman" w:cs="Times New Roman"/>
                <w:sz w:val="20"/>
                <w:szCs w:val="20"/>
              </w:rPr>
              <w:t>FC [</w:t>
            </w:r>
            <w:r w:rsidRPr="00EC4EC4">
              <w:rPr>
                <w:rFonts w:eastAsia="Times New Roman" w:cs="Times New Roman"/>
                <w:strike/>
                <w:sz w:val="20"/>
                <w:szCs w:val="20"/>
              </w:rPr>
              <w:t>1803.10.4</w:t>
            </w:r>
            <w:r w:rsidRPr="00EC4EC4">
              <w:rPr>
                <w:rFonts w:eastAsia="Times New Roman" w:cs="Times New Roman"/>
                <w:sz w:val="20"/>
                <w:szCs w:val="20"/>
              </w:rPr>
              <w:t>]</w:t>
            </w:r>
            <w:r w:rsidRPr="00EC4EC4">
              <w:rPr>
                <w:rFonts w:eastAsia="Times New Roman" w:cs="Times New Roman"/>
                <w:sz w:val="20"/>
                <w:szCs w:val="20"/>
                <w:u w:val="single"/>
              </w:rPr>
              <w:t>2703.10.4</w:t>
            </w:r>
            <w:r w:rsidRPr="00EC4EC4">
              <w:rPr>
                <w:rFonts w:eastAsia="Times New Roman" w:cs="Times New Roman"/>
                <w:sz w:val="20"/>
                <w:szCs w:val="20"/>
              </w:rPr>
              <w:t xml:space="preserve"> </w:t>
            </w:r>
          </w:p>
        </w:tc>
      </w:tr>
      <w:tr w:rsidR="00140B7C" w:rsidRPr="00EC4EC4" w14:paraId="6C88778D"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4E5523E4"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Hazardous Production Material ("HPM") facilities </w:t>
            </w:r>
          </w:p>
        </w:tc>
        <w:tc>
          <w:tcPr>
            <w:tcW w:w="2672" w:type="dxa"/>
            <w:tcBorders>
              <w:top w:val="single" w:sz="8" w:space="0" w:color="000000"/>
              <w:left w:val="single" w:sz="8" w:space="0" w:color="000000"/>
              <w:bottom w:val="single" w:sz="8" w:space="0" w:color="000000"/>
            </w:tcBorders>
          </w:tcPr>
          <w:p w14:paraId="334EAE7B"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1803.10</w:t>
            </w:r>
            <w:r w:rsidRPr="00EC4EC4">
              <w:rPr>
                <w:rFonts w:eastAsia="Times New Roman" w:cs="Times New Roman"/>
                <w:sz w:val="20"/>
                <w:szCs w:val="20"/>
              </w:rPr>
              <w:t>]</w:t>
            </w:r>
            <w:r w:rsidRPr="00EC4EC4">
              <w:rPr>
                <w:rFonts w:eastAsia="Times New Roman" w:cs="Times New Roman"/>
                <w:sz w:val="20"/>
                <w:szCs w:val="20"/>
                <w:u w:val="single"/>
              </w:rPr>
              <w:t>2703.10</w:t>
            </w:r>
            <w:r w:rsidRPr="00EC4EC4">
              <w:rPr>
                <w:rFonts w:eastAsia="Times New Roman" w:cs="Times New Roman"/>
                <w:sz w:val="20"/>
                <w:szCs w:val="20"/>
              </w:rPr>
              <w:t xml:space="preserve"> </w:t>
            </w:r>
          </w:p>
        </w:tc>
      </w:tr>
      <w:tr w:rsidR="00140B7C" w:rsidRPr="00EC4EC4" w14:paraId="756C213A" w14:textId="77777777" w:rsidTr="00BC1087">
        <w:trPr>
          <w:trHeight w:val="259"/>
          <w:jc w:val="center"/>
        </w:trPr>
        <w:tc>
          <w:tcPr>
            <w:tcW w:w="4968" w:type="dxa"/>
            <w:tcBorders>
              <w:top w:val="single" w:sz="8" w:space="0" w:color="000000"/>
              <w:bottom w:val="single" w:sz="8" w:space="0" w:color="000000"/>
              <w:right w:val="single" w:sz="8" w:space="0" w:color="000000"/>
            </w:tcBorders>
          </w:tcPr>
          <w:p w14:paraId="4A5F586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Hazardous Production Material ("HPM") gas cabinets </w:t>
            </w:r>
          </w:p>
        </w:tc>
        <w:tc>
          <w:tcPr>
            <w:tcW w:w="2672" w:type="dxa"/>
            <w:tcBorders>
              <w:top w:val="single" w:sz="8" w:space="0" w:color="000000"/>
              <w:left w:val="single" w:sz="8" w:space="0" w:color="000000"/>
              <w:bottom w:val="single" w:sz="8" w:space="0" w:color="000000"/>
            </w:tcBorders>
          </w:tcPr>
          <w:p w14:paraId="46CE5A54"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1803.10.2</w:t>
            </w:r>
            <w:r w:rsidRPr="00EC4EC4">
              <w:rPr>
                <w:rFonts w:eastAsia="Times New Roman" w:cs="Times New Roman"/>
                <w:sz w:val="20"/>
                <w:szCs w:val="20"/>
              </w:rPr>
              <w:t>]</w:t>
            </w:r>
            <w:r w:rsidRPr="00EC4EC4">
              <w:rPr>
                <w:rFonts w:eastAsia="Times New Roman" w:cs="Times New Roman"/>
                <w:sz w:val="20"/>
                <w:szCs w:val="20"/>
                <w:u w:val="single"/>
              </w:rPr>
              <w:t>2703.10.2</w:t>
            </w:r>
            <w:r w:rsidRPr="00EC4EC4">
              <w:rPr>
                <w:rFonts w:eastAsia="Times New Roman" w:cs="Times New Roman"/>
                <w:sz w:val="20"/>
                <w:szCs w:val="20"/>
              </w:rPr>
              <w:t xml:space="preserve"> </w:t>
            </w:r>
          </w:p>
        </w:tc>
      </w:tr>
      <w:tr w:rsidR="00140B7C" w:rsidRPr="00EC4EC4" w14:paraId="7FAC2C34"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5043B0AB" w14:textId="56BB7372"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Hazardous Production Material ("HPM") work</w:t>
            </w:r>
            <w:r>
              <w:rPr>
                <w:rFonts w:eastAsia="Times New Roman" w:cs="Times New Roman"/>
                <w:sz w:val="20"/>
                <w:szCs w:val="20"/>
              </w:rPr>
              <w:t xml:space="preserve"> </w:t>
            </w:r>
            <w:r w:rsidRPr="00EC4EC4">
              <w:rPr>
                <w:rFonts w:eastAsia="Times New Roman" w:cs="Times New Roman"/>
                <w:sz w:val="20"/>
                <w:szCs w:val="20"/>
              </w:rPr>
              <w:t xml:space="preserve">station exhaust </w:t>
            </w:r>
          </w:p>
        </w:tc>
        <w:tc>
          <w:tcPr>
            <w:tcW w:w="2672" w:type="dxa"/>
            <w:tcBorders>
              <w:top w:val="single" w:sz="8" w:space="0" w:color="000000"/>
              <w:left w:val="single" w:sz="8" w:space="0" w:color="000000"/>
              <w:bottom w:val="single" w:sz="8" w:space="0" w:color="000000"/>
            </w:tcBorders>
          </w:tcPr>
          <w:p w14:paraId="4FDD810A"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1803.10.1.1</w:t>
            </w:r>
            <w:r w:rsidRPr="00EC4EC4">
              <w:rPr>
                <w:rFonts w:eastAsia="Times New Roman" w:cs="Times New Roman"/>
                <w:sz w:val="20"/>
                <w:szCs w:val="20"/>
              </w:rPr>
              <w:t>]</w:t>
            </w:r>
            <w:r w:rsidRPr="00EC4EC4">
              <w:rPr>
                <w:rFonts w:eastAsia="Times New Roman" w:cs="Times New Roman"/>
                <w:sz w:val="20"/>
                <w:szCs w:val="20"/>
                <w:u w:val="single"/>
              </w:rPr>
              <w:t>2703.10.1.1</w:t>
            </w:r>
            <w:r w:rsidRPr="00EC4EC4">
              <w:rPr>
                <w:rFonts w:eastAsia="Times New Roman" w:cs="Times New Roman"/>
                <w:sz w:val="20"/>
                <w:szCs w:val="20"/>
              </w:rPr>
              <w:t xml:space="preserve"> </w:t>
            </w:r>
          </w:p>
        </w:tc>
      </w:tr>
      <w:tr w:rsidR="00140B7C" w:rsidRPr="00EC4EC4" w14:paraId="2CFFC80E" w14:textId="77777777" w:rsidTr="00BC1087">
        <w:trPr>
          <w:trHeight w:val="214"/>
          <w:jc w:val="center"/>
        </w:trPr>
        <w:tc>
          <w:tcPr>
            <w:tcW w:w="4968" w:type="dxa"/>
            <w:tcBorders>
              <w:top w:val="single" w:sz="8" w:space="0" w:color="000000"/>
              <w:bottom w:val="single" w:sz="8" w:space="0" w:color="000000"/>
              <w:right w:val="single" w:sz="8" w:space="0" w:color="000000"/>
            </w:tcBorders>
          </w:tcPr>
          <w:p w14:paraId="0B28C35A"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High Pressure Gas Installations; buildings with</w:t>
            </w:r>
          </w:p>
        </w:tc>
        <w:tc>
          <w:tcPr>
            <w:tcW w:w="2672" w:type="dxa"/>
            <w:tcBorders>
              <w:top w:val="single" w:sz="8" w:space="0" w:color="000000"/>
              <w:left w:val="single" w:sz="8" w:space="0" w:color="000000"/>
              <w:bottom w:val="single" w:sz="8" w:space="0" w:color="000000"/>
            </w:tcBorders>
          </w:tcPr>
          <w:p w14:paraId="35DAFBE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FGC G.2.3</w:t>
            </w:r>
          </w:p>
        </w:tc>
      </w:tr>
      <w:tr w:rsidR="00140B7C" w:rsidRPr="00EC4EC4" w14:paraId="7149AC6B" w14:textId="77777777" w:rsidTr="00BC1087">
        <w:trPr>
          <w:trHeight w:val="412"/>
          <w:jc w:val="center"/>
        </w:trPr>
        <w:tc>
          <w:tcPr>
            <w:tcW w:w="4968" w:type="dxa"/>
            <w:tcBorders>
              <w:top w:val="single" w:sz="8" w:space="0" w:color="000000"/>
              <w:bottom w:val="single" w:sz="8" w:space="0" w:color="000000"/>
              <w:right w:val="single" w:sz="8" w:space="0" w:color="000000"/>
            </w:tcBorders>
          </w:tcPr>
          <w:p w14:paraId="6BAA9ED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Highly toxic and toxic compressed gases; exhausted enclosures for </w:t>
            </w:r>
          </w:p>
        </w:tc>
        <w:tc>
          <w:tcPr>
            <w:tcW w:w="2672" w:type="dxa"/>
            <w:tcBorders>
              <w:top w:val="single" w:sz="8" w:space="0" w:color="000000"/>
              <w:left w:val="single" w:sz="8" w:space="0" w:color="000000"/>
              <w:bottom w:val="single" w:sz="8" w:space="0" w:color="000000"/>
            </w:tcBorders>
          </w:tcPr>
          <w:p w14:paraId="0B9BC10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3704.1.3</w:t>
            </w:r>
            <w:r w:rsidRPr="00EC4EC4">
              <w:rPr>
                <w:rFonts w:eastAsia="Times New Roman" w:cs="Times New Roman"/>
                <w:sz w:val="20"/>
                <w:szCs w:val="20"/>
              </w:rPr>
              <w:t>]</w:t>
            </w:r>
            <w:r w:rsidRPr="00EC4EC4">
              <w:rPr>
                <w:rFonts w:eastAsia="Times New Roman" w:cs="Times New Roman"/>
                <w:sz w:val="20"/>
                <w:szCs w:val="20"/>
                <w:u w:val="single"/>
              </w:rPr>
              <w:t>6004.1.3</w:t>
            </w:r>
            <w:r w:rsidRPr="00EC4EC4">
              <w:rPr>
                <w:rFonts w:eastAsia="Times New Roman" w:cs="Times New Roman"/>
                <w:sz w:val="20"/>
                <w:szCs w:val="20"/>
              </w:rPr>
              <w:t xml:space="preserve"> </w:t>
            </w:r>
          </w:p>
        </w:tc>
      </w:tr>
      <w:tr w:rsidR="00140B7C" w:rsidRPr="00EC4EC4" w14:paraId="098D65B3" w14:textId="77777777" w:rsidTr="00BC1087">
        <w:trPr>
          <w:trHeight w:val="439"/>
          <w:jc w:val="center"/>
        </w:trPr>
        <w:tc>
          <w:tcPr>
            <w:tcW w:w="4968" w:type="dxa"/>
            <w:tcBorders>
              <w:top w:val="single" w:sz="8" w:space="0" w:color="000000"/>
              <w:bottom w:val="single" w:sz="8" w:space="0" w:color="000000"/>
              <w:right w:val="single" w:sz="8" w:space="0" w:color="000000"/>
            </w:tcBorders>
          </w:tcPr>
          <w:p w14:paraId="32687484"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Highly toxic and toxic compressed gases; gas cabinets containing </w:t>
            </w:r>
          </w:p>
        </w:tc>
        <w:tc>
          <w:tcPr>
            <w:tcW w:w="2672" w:type="dxa"/>
            <w:tcBorders>
              <w:top w:val="single" w:sz="8" w:space="0" w:color="000000"/>
              <w:left w:val="single" w:sz="8" w:space="0" w:color="000000"/>
              <w:bottom w:val="single" w:sz="8" w:space="0" w:color="000000"/>
            </w:tcBorders>
          </w:tcPr>
          <w:p w14:paraId="6C4AB84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3704.1.2</w:t>
            </w:r>
            <w:r w:rsidRPr="00EC4EC4">
              <w:rPr>
                <w:rFonts w:eastAsia="Times New Roman" w:cs="Times New Roman"/>
                <w:sz w:val="20"/>
                <w:szCs w:val="20"/>
              </w:rPr>
              <w:t>]</w:t>
            </w:r>
            <w:r w:rsidRPr="00EC4EC4">
              <w:rPr>
                <w:rFonts w:eastAsia="Times New Roman" w:cs="Times New Roman"/>
                <w:sz w:val="20"/>
                <w:szCs w:val="20"/>
                <w:u w:val="single"/>
              </w:rPr>
              <w:t>6004.1.2</w:t>
            </w:r>
          </w:p>
        </w:tc>
      </w:tr>
      <w:tr w:rsidR="00140B7C" w:rsidRPr="00EC4EC4" w14:paraId="7949DBCA" w14:textId="77777777" w:rsidTr="00BC1087">
        <w:trPr>
          <w:trHeight w:val="196"/>
          <w:jc w:val="center"/>
        </w:trPr>
        <w:tc>
          <w:tcPr>
            <w:tcW w:w="4968" w:type="dxa"/>
            <w:tcBorders>
              <w:top w:val="single" w:sz="8" w:space="0" w:color="000000"/>
              <w:bottom w:val="single" w:sz="8" w:space="0" w:color="000000"/>
              <w:right w:val="single" w:sz="8" w:space="0" w:color="000000"/>
            </w:tcBorders>
          </w:tcPr>
          <w:p w14:paraId="10834418"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Highly toxic and toxic compressed gases; gas rooms utilizing </w:t>
            </w:r>
          </w:p>
        </w:tc>
        <w:tc>
          <w:tcPr>
            <w:tcW w:w="2672" w:type="dxa"/>
            <w:tcBorders>
              <w:top w:val="single" w:sz="8" w:space="0" w:color="000000"/>
              <w:left w:val="single" w:sz="8" w:space="0" w:color="000000"/>
              <w:bottom w:val="single" w:sz="8" w:space="0" w:color="000000"/>
            </w:tcBorders>
          </w:tcPr>
          <w:p w14:paraId="16D80BD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3704.2.2.6</w:t>
            </w:r>
            <w:r w:rsidRPr="00EC4EC4">
              <w:rPr>
                <w:rFonts w:eastAsia="Times New Roman" w:cs="Times New Roman"/>
                <w:sz w:val="20"/>
                <w:szCs w:val="20"/>
              </w:rPr>
              <w:t>]</w:t>
            </w:r>
            <w:r w:rsidRPr="00EC4EC4">
              <w:rPr>
                <w:rFonts w:eastAsia="Times New Roman" w:cs="Times New Roman"/>
                <w:sz w:val="20"/>
                <w:szCs w:val="20"/>
                <w:u w:val="single"/>
              </w:rPr>
              <w:t>6004.2.2.6</w:t>
            </w:r>
            <w:r w:rsidRPr="00EC4EC4">
              <w:rPr>
                <w:rFonts w:eastAsia="Times New Roman" w:cs="Times New Roman"/>
                <w:sz w:val="20"/>
                <w:szCs w:val="20"/>
              </w:rPr>
              <w:t xml:space="preserve"> </w:t>
            </w:r>
          </w:p>
        </w:tc>
      </w:tr>
      <w:tr w:rsidR="00140B7C" w:rsidRPr="00EC4EC4" w14:paraId="0162FBB7" w14:textId="77777777" w:rsidTr="00BC1087">
        <w:trPr>
          <w:trHeight w:val="214"/>
          <w:jc w:val="center"/>
        </w:trPr>
        <w:tc>
          <w:tcPr>
            <w:tcW w:w="4968" w:type="dxa"/>
            <w:tcBorders>
              <w:top w:val="single" w:sz="8" w:space="0" w:color="000000"/>
              <w:bottom w:val="single" w:sz="8" w:space="0" w:color="000000"/>
              <w:right w:val="single" w:sz="8" w:space="0" w:color="000000"/>
            </w:tcBorders>
          </w:tcPr>
          <w:p w14:paraId="2181BB3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Highly toxic and toxic compressed gases; outdoor storage of </w:t>
            </w:r>
          </w:p>
        </w:tc>
        <w:tc>
          <w:tcPr>
            <w:tcW w:w="2672" w:type="dxa"/>
            <w:tcBorders>
              <w:top w:val="single" w:sz="8" w:space="0" w:color="000000"/>
              <w:left w:val="single" w:sz="8" w:space="0" w:color="000000"/>
              <w:bottom w:val="single" w:sz="8" w:space="0" w:color="000000"/>
            </w:tcBorders>
          </w:tcPr>
          <w:p w14:paraId="08F6DC0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3704.3.3</w:t>
            </w:r>
            <w:r w:rsidRPr="00EC4EC4">
              <w:rPr>
                <w:rFonts w:eastAsia="Times New Roman" w:cs="Times New Roman"/>
                <w:sz w:val="20"/>
                <w:szCs w:val="20"/>
              </w:rPr>
              <w:t>]</w:t>
            </w:r>
            <w:r w:rsidRPr="00EC4EC4">
              <w:rPr>
                <w:rFonts w:eastAsia="Times New Roman" w:cs="Times New Roman"/>
                <w:sz w:val="20"/>
                <w:szCs w:val="20"/>
                <w:u w:val="single"/>
              </w:rPr>
              <w:t>6004.3.3</w:t>
            </w:r>
            <w:r w:rsidRPr="00EC4EC4">
              <w:rPr>
                <w:rFonts w:eastAsia="Times New Roman" w:cs="Times New Roman"/>
                <w:sz w:val="20"/>
                <w:szCs w:val="20"/>
              </w:rPr>
              <w:t xml:space="preserve"> </w:t>
            </w:r>
          </w:p>
        </w:tc>
      </w:tr>
      <w:tr w:rsidR="00140B7C" w:rsidRPr="00EC4EC4" w14:paraId="6F355E0D" w14:textId="77777777" w:rsidTr="00BC1087">
        <w:trPr>
          <w:trHeight w:val="151"/>
          <w:jc w:val="center"/>
        </w:trPr>
        <w:tc>
          <w:tcPr>
            <w:tcW w:w="4968" w:type="dxa"/>
            <w:tcBorders>
              <w:top w:val="single" w:sz="8" w:space="0" w:color="000000"/>
              <w:bottom w:val="single" w:sz="8" w:space="0" w:color="000000"/>
              <w:right w:val="single" w:sz="8" w:space="0" w:color="000000"/>
            </w:tcBorders>
          </w:tcPr>
          <w:p w14:paraId="4D5F5DCB"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High-rise buildings </w:t>
            </w:r>
          </w:p>
        </w:tc>
        <w:tc>
          <w:tcPr>
            <w:tcW w:w="2672" w:type="dxa"/>
            <w:tcBorders>
              <w:top w:val="single" w:sz="8" w:space="0" w:color="000000"/>
              <w:left w:val="single" w:sz="8" w:space="0" w:color="000000"/>
              <w:bottom w:val="single" w:sz="8" w:space="0" w:color="000000"/>
            </w:tcBorders>
          </w:tcPr>
          <w:p w14:paraId="5E9E051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403.3 </w:t>
            </w:r>
          </w:p>
        </w:tc>
      </w:tr>
      <w:tr w:rsidR="00140B7C" w:rsidRPr="00EC4EC4" w14:paraId="53D08844" w14:textId="77777777" w:rsidTr="00BC1087">
        <w:trPr>
          <w:trHeight w:val="169"/>
          <w:jc w:val="center"/>
        </w:trPr>
        <w:tc>
          <w:tcPr>
            <w:tcW w:w="4968" w:type="dxa"/>
            <w:tcBorders>
              <w:top w:val="single" w:sz="8" w:space="0" w:color="000000"/>
              <w:bottom w:val="single" w:sz="8" w:space="0" w:color="000000"/>
              <w:right w:val="single" w:sz="8" w:space="0" w:color="000000"/>
            </w:tcBorders>
          </w:tcPr>
          <w:p w14:paraId="6D6602BE"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Incidental uses </w:t>
            </w:r>
          </w:p>
        </w:tc>
        <w:tc>
          <w:tcPr>
            <w:tcW w:w="2672" w:type="dxa"/>
            <w:tcBorders>
              <w:top w:val="single" w:sz="8" w:space="0" w:color="000000"/>
              <w:left w:val="single" w:sz="8" w:space="0" w:color="000000"/>
              <w:bottom w:val="single" w:sz="8" w:space="0" w:color="000000"/>
            </w:tcBorders>
          </w:tcPr>
          <w:p w14:paraId="7D84341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509.4.2 </w:t>
            </w:r>
          </w:p>
        </w:tc>
      </w:tr>
      <w:tr w:rsidR="00140B7C" w:rsidRPr="00EC4EC4" w14:paraId="7F3B4992" w14:textId="77777777" w:rsidTr="00BC1087">
        <w:trPr>
          <w:trHeight w:val="250"/>
          <w:jc w:val="center"/>
        </w:trPr>
        <w:tc>
          <w:tcPr>
            <w:tcW w:w="4968" w:type="dxa"/>
            <w:tcBorders>
              <w:top w:val="single" w:sz="8" w:space="0" w:color="000000"/>
              <w:bottom w:val="single" w:sz="8" w:space="0" w:color="000000"/>
              <w:right w:val="single" w:sz="8" w:space="0" w:color="000000"/>
            </w:tcBorders>
          </w:tcPr>
          <w:p w14:paraId="02086E0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Equipment platforms </w:t>
            </w:r>
          </w:p>
        </w:tc>
        <w:tc>
          <w:tcPr>
            <w:tcW w:w="2672" w:type="dxa"/>
            <w:tcBorders>
              <w:top w:val="single" w:sz="8" w:space="0" w:color="000000"/>
              <w:left w:val="single" w:sz="8" w:space="0" w:color="000000"/>
              <w:bottom w:val="single" w:sz="8" w:space="0" w:color="000000"/>
            </w:tcBorders>
          </w:tcPr>
          <w:p w14:paraId="187297EE"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505.3.2</w:t>
            </w:r>
          </w:p>
        </w:tc>
      </w:tr>
      <w:tr w:rsidR="00140B7C" w:rsidRPr="00EC4EC4" w14:paraId="5F42419B"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20825B27"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Kiosks in covered mall buildings </w:t>
            </w:r>
          </w:p>
        </w:tc>
        <w:tc>
          <w:tcPr>
            <w:tcW w:w="2672" w:type="dxa"/>
            <w:tcBorders>
              <w:top w:val="single" w:sz="8" w:space="0" w:color="000000"/>
              <w:left w:val="single" w:sz="8" w:space="0" w:color="000000"/>
              <w:bottom w:val="single" w:sz="8" w:space="0" w:color="000000"/>
            </w:tcBorders>
          </w:tcPr>
          <w:p w14:paraId="43EFBD6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402.6.2 </w:t>
            </w:r>
          </w:p>
        </w:tc>
      </w:tr>
      <w:tr w:rsidR="00140B7C" w:rsidRPr="00EC4EC4" w14:paraId="20D04D9F" w14:textId="77777777" w:rsidTr="00BC1087">
        <w:trPr>
          <w:trHeight w:val="205"/>
          <w:jc w:val="center"/>
        </w:trPr>
        <w:tc>
          <w:tcPr>
            <w:tcW w:w="4968" w:type="dxa"/>
            <w:tcBorders>
              <w:top w:val="single" w:sz="8" w:space="0" w:color="000000"/>
              <w:bottom w:val="single" w:sz="8" w:space="0" w:color="000000"/>
              <w:right w:val="single" w:sz="8" w:space="0" w:color="000000"/>
            </w:tcBorders>
          </w:tcPr>
          <w:p w14:paraId="0BDBB6B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Kiosks, displays, booths, or concession stands; covered </w:t>
            </w:r>
          </w:p>
        </w:tc>
        <w:tc>
          <w:tcPr>
            <w:tcW w:w="2672" w:type="dxa"/>
            <w:tcBorders>
              <w:top w:val="single" w:sz="8" w:space="0" w:color="000000"/>
              <w:left w:val="single" w:sz="8" w:space="0" w:color="000000"/>
              <w:bottom w:val="single" w:sz="8" w:space="0" w:color="000000"/>
            </w:tcBorders>
          </w:tcPr>
          <w:p w14:paraId="06FC86E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FC 314.5.1 </w:t>
            </w:r>
          </w:p>
        </w:tc>
      </w:tr>
      <w:tr w:rsidR="00140B7C" w:rsidRPr="00EC4EC4" w14:paraId="293A3456"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723E9058"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Laboratory units; non-production </w:t>
            </w:r>
          </w:p>
        </w:tc>
        <w:tc>
          <w:tcPr>
            <w:tcW w:w="2672" w:type="dxa"/>
            <w:tcBorders>
              <w:top w:val="single" w:sz="8" w:space="0" w:color="000000"/>
              <w:left w:val="single" w:sz="8" w:space="0" w:color="000000"/>
              <w:bottom w:val="single" w:sz="8" w:space="0" w:color="000000"/>
            </w:tcBorders>
          </w:tcPr>
          <w:p w14:paraId="65347A06"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427.6.1</w:t>
            </w:r>
          </w:p>
        </w:tc>
      </w:tr>
      <w:tr w:rsidR="00140B7C" w:rsidRPr="00EC4EC4" w14:paraId="7F09FA90" w14:textId="77777777" w:rsidTr="00BC1087">
        <w:trPr>
          <w:trHeight w:val="497"/>
          <w:jc w:val="center"/>
        </w:trPr>
        <w:tc>
          <w:tcPr>
            <w:tcW w:w="4968" w:type="dxa"/>
            <w:tcBorders>
              <w:top w:val="single" w:sz="8" w:space="0" w:color="000000"/>
              <w:bottom w:val="single" w:sz="8" w:space="0" w:color="000000"/>
              <w:right w:val="single" w:sz="8" w:space="0" w:color="000000"/>
            </w:tcBorders>
          </w:tcPr>
          <w:p w14:paraId="38F6A04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Liquefied petroleum gas ("LPG") within buildings accessible to the public; storage of </w:t>
            </w:r>
          </w:p>
        </w:tc>
        <w:tc>
          <w:tcPr>
            <w:tcW w:w="2672" w:type="dxa"/>
            <w:tcBorders>
              <w:top w:val="single" w:sz="8" w:space="0" w:color="000000"/>
              <w:left w:val="single" w:sz="8" w:space="0" w:color="000000"/>
              <w:bottom w:val="single" w:sz="8" w:space="0" w:color="000000"/>
            </w:tcBorders>
          </w:tcPr>
          <w:p w14:paraId="686ED5B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3809.9</w:t>
            </w:r>
            <w:r w:rsidRPr="00EC4EC4">
              <w:rPr>
                <w:rFonts w:eastAsia="Times New Roman" w:cs="Times New Roman"/>
                <w:sz w:val="20"/>
                <w:szCs w:val="20"/>
              </w:rPr>
              <w:t>]</w:t>
            </w:r>
            <w:r w:rsidRPr="00EC4EC4">
              <w:rPr>
                <w:rFonts w:eastAsia="Times New Roman" w:cs="Times New Roman"/>
                <w:sz w:val="20"/>
                <w:szCs w:val="20"/>
                <w:u w:val="single"/>
              </w:rPr>
              <w:t>6109.9</w:t>
            </w:r>
            <w:r w:rsidRPr="00EC4EC4">
              <w:rPr>
                <w:rFonts w:eastAsia="Times New Roman" w:cs="Times New Roman"/>
                <w:sz w:val="20"/>
                <w:szCs w:val="20"/>
              </w:rPr>
              <w:t xml:space="preserve"> </w:t>
            </w:r>
          </w:p>
        </w:tc>
      </w:tr>
      <w:tr w:rsidR="00140B7C" w:rsidRPr="00EC4EC4" w14:paraId="6CDE8158" w14:textId="77777777" w:rsidTr="00BC1087">
        <w:trPr>
          <w:trHeight w:val="277"/>
          <w:jc w:val="center"/>
        </w:trPr>
        <w:tc>
          <w:tcPr>
            <w:tcW w:w="4968" w:type="dxa"/>
            <w:tcBorders>
              <w:top w:val="single" w:sz="8" w:space="0" w:color="000000"/>
              <w:bottom w:val="single" w:sz="8" w:space="0" w:color="000000"/>
              <w:right w:val="single" w:sz="8" w:space="0" w:color="000000"/>
            </w:tcBorders>
          </w:tcPr>
          <w:p w14:paraId="3CDE56C8"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lastRenderedPageBreak/>
              <w:t xml:space="preserve">Liquids, Class II and III, below grade storage of </w:t>
            </w:r>
          </w:p>
        </w:tc>
        <w:tc>
          <w:tcPr>
            <w:tcW w:w="2672" w:type="dxa"/>
            <w:tcBorders>
              <w:top w:val="single" w:sz="8" w:space="0" w:color="000000"/>
              <w:left w:val="single" w:sz="8" w:space="0" w:color="000000"/>
              <w:bottom w:val="single" w:sz="8" w:space="0" w:color="000000"/>
            </w:tcBorders>
          </w:tcPr>
          <w:p w14:paraId="38B402D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3404.3.5.1</w:t>
            </w:r>
            <w:r w:rsidRPr="00EC4EC4">
              <w:rPr>
                <w:rFonts w:eastAsia="Times New Roman" w:cs="Times New Roman"/>
                <w:sz w:val="20"/>
                <w:szCs w:val="20"/>
              </w:rPr>
              <w:t>]</w:t>
            </w:r>
            <w:r w:rsidRPr="00EC4EC4">
              <w:rPr>
                <w:rFonts w:eastAsia="Times New Roman" w:cs="Times New Roman"/>
                <w:sz w:val="20"/>
                <w:szCs w:val="20"/>
                <w:u w:val="single"/>
              </w:rPr>
              <w:t>5704.3.5.1</w:t>
            </w:r>
            <w:r w:rsidRPr="00EC4EC4">
              <w:rPr>
                <w:rFonts w:eastAsia="Times New Roman" w:cs="Times New Roman"/>
                <w:sz w:val="20"/>
                <w:szCs w:val="20"/>
              </w:rPr>
              <w:t xml:space="preserve"> </w:t>
            </w:r>
          </w:p>
        </w:tc>
      </w:tr>
      <w:tr w:rsidR="00140B7C" w:rsidRPr="00EC4EC4" w14:paraId="5F02A218" w14:textId="77777777" w:rsidTr="00BC1087">
        <w:trPr>
          <w:trHeight w:val="497"/>
          <w:jc w:val="center"/>
        </w:trPr>
        <w:tc>
          <w:tcPr>
            <w:tcW w:w="4968" w:type="dxa"/>
            <w:tcBorders>
              <w:top w:val="single" w:sz="8" w:space="0" w:color="000000"/>
              <w:bottom w:val="single" w:sz="8" w:space="0" w:color="000000"/>
              <w:right w:val="single" w:sz="8" w:space="0" w:color="000000"/>
            </w:tcBorders>
          </w:tcPr>
          <w:p w14:paraId="2F14FB7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Liquids, Class II and III, below grade storage of, accessory to retail </w:t>
            </w:r>
          </w:p>
        </w:tc>
        <w:tc>
          <w:tcPr>
            <w:tcW w:w="2672" w:type="dxa"/>
            <w:tcBorders>
              <w:top w:val="single" w:sz="8" w:space="0" w:color="000000"/>
              <w:left w:val="single" w:sz="8" w:space="0" w:color="000000"/>
              <w:bottom w:val="single" w:sz="8" w:space="0" w:color="000000"/>
            </w:tcBorders>
          </w:tcPr>
          <w:p w14:paraId="5300C14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414.2.5.1 </w:t>
            </w:r>
          </w:p>
        </w:tc>
      </w:tr>
      <w:tr w:rsidR="00140B7C" w:rsidRPr="00EC4EC4" w14:paraId="51C8A031"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0311578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Medical gas; storage of </w:t>
            </w:r>
          </w:p>
        </w:tc>
        <w:tc>
          <w:tcPr>
            <w:tcW w:w="2672" w:type="dxa"/>
            <w:tcBorders>
              <w:top w:val="single" w:sz="8" w:space="0" w:color="000000"/>
              <w:left w:val="single" w:sz="8" w:space="0" w:color="000000"/>
              <w:bottom w:val="single" w:sz="8" w:space="0" w:color="000000"/>
            </w:tcBorders>
          </w:tcPr>
          <w:p w14:paraId="4B5688B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3006.2.1</w:t>
            </w:r>
            <w:r w:rsidRPr="00EC4EC4">
              <w:rPr>
                <w:rFonts w:eastAsia="Times New Roman" w:cs="Times New Roman"/>
                <w:sz w:val="20"/>
                <w:szCs w:val="20"/>
              </w:rPr>
              <w:t>]</w:t>
            </w:r>
            <w:r w:rsidRPr="00EC4EC4">
              <w:rPr>
                <w:rFonts w:eastAsia="Times New Roman" w:cs="Times New Roman"/>
                <w:sz w:val="20"/>
                <w:szCs w:val="20"/>
                <w:u w:val="single"/>
              </w:rPr>
              <w:t>5306.2.1</w:t>
            </w:r>
            <w:r w:rsidRPr="00EC4EC4">
              <w:rPr>
                <w:rFonts w:eastAsia="Times New Roman" w:cs="Times New Roman"/>
                <w:sz w:val="20"/>
                <w:szCs w:val="20"/>
              </w:rPr>
              <w:t xml:space="preserve"> </w:t>
            </w:r>
          </w:p>
        </w:tc>
      </w:tr>
      <w:tr w:rsidR="00140B7C" w:rsidRPr="00EC4EC4" w14:paraId="498DFE2A" w14:textId="77777777" w:rsidTr="00BC1087">
        <w:trPr>
          <w:trHeight w:val="250"/>
          <w:jc w:val="center"/>
        </w:trPr>
        <w:tc>
          <w:tcPr>
            <w:tcW w:w="4968" w:type="dxa"/>
            <w:tcBorders>
              <w:top w:val="single" w:sz="8" w:space="0" w:color="000000"/>
              <w:bottom w:val="single" w:sz="8" w:space="0" w:color="000000"/>
              <w:right w:val="single" w:sz="8" w:space="0" w:color="000000"/>
            </w:tcBorders>
          </w:tcPr>
          <w:p w14:paraId="18B6470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Organic coatings; manufacturing of </w:t>
            </w:r>
          </w:p>
        </w:tc>
        <w:tc>
          <w:tcPr>
            <w:tcW w:w="2672" w:type="dxa"/>
            <w:tcBorders>
              <w:top w:val="single" w:sz="8" w:space="0" w:color="000000"/>
              <w:left w:val="single" w:sz="8" w:space="0" w:color="000000"/>
              <w:bottom w:val="single" w:sz="8" w:space="0" w:color="000000"/>
            </w:tcBorders>
          </w:tcPr>
          <w:p w14:paraId="23CEA49E"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418.1 </w:t>
            </w:r>
          </w:p>
        </w:tc>
      </w:tr>
      <w:tr w:rsidR="00140B7C" w:rsidRPr="00EC4EC4" w14:paraId="1AD8DD1F" w14:textId="77777777" w:rsidTr="00BC1087">
        <w:trPr>
          <w:trHeight w:val="241"/>
          <w:jc w:val="center"/>
        </w:trPr>
        <w:tc>
          <w:tcPr>
            <w:tcW w:w="4968" w:type="dxa"/>
            <w:tcBorders>
              <w:top w:val="single" w:sz="8" w:space="0" w:color="000000"/>
              <w:bottom w:val="single" w:sz="8" w:space="0" w:color="000000"/>
              <w:right w:val="single" w:sz="8" w:space="0" w:color="000000"/>
            </w:tcBorders>
          </w:tcPr>
          <w:p w14:paraId="675C770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Oxidizer, solid and liquid; storage areas </w:t>
            </w:r>
          </w:p>
        </w:tc>
        <w:tc>
          <w:tcPr>
            <w:tcW w:w="2672" w:type="dxa"/>
            <w:tcBorders>
              <w:top w:val="single" w:sz="8" w:space="0" w:color="000000"/>
              <w:left w:val="single" w:sz="8" w:space="0" w:color="000000"/>
              <w:bottom w:val="single" w:sz="8" w:space="0" w:color="000000"/>
            </w:tcBorders>
          </w:tcPr>
          <w:p w14:paraId="614E7B3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4004.1.4</w:t>
            </w:r>
            <w:r w:rsidRPr="00EC4EC4">
              <w:rPr>
                <w:rFonts w:eastAsia="Times New Roman" w:cs="Times New Roman"/>
                <w:sz w:val="20"/>
                <w:szCs w:val="20"/>
              </w:rPr>
              <w:t>]</w:t>
            </w:r>
            <w:r w:rsidRPr="00EC4EC4">
              <w:rPr>
                <w:rFonts w:eastAsia="Times New Roman" w:cs="Times New Roman"/>
                <w:sz w:val="20"/>
                <w:szCs w:val="20"/>
                <w:u w:val="single"/>
              </w:rPr>
              <w:t>6304.1.4</w:t>
            </w:r>
            <w:r w:rsidRPr="00EC4EC4">
              <w:rPr>
                <w:rFonts w:eastAsia="Times New Roman" w:cs="Times New Roman"/>
                <w:sz w:val="20"/>
                <w:szCs w:val="20"/>
              </w:rPr>
              <w:t xml:space="preserve"> </w:t>
            </w:r>
          </w:p>
        </w:tc>
      </w:tr>
      <w:tr w:rsidR="00140B7C" w:rsidRPr="00EC4EC4" w14:paraId="08130547" w14:textId="77777777" w:rsidTr="00BC1087">
        <w:trPr>
          <w:trHeight w:val="214"/>
          <w:jc w:val="center"/>
        </w:trPr>
        <w:tc>
          <w:tcPr>
            <w:tcW w:w="4968" w:type="dxa"/>
            <w:tcBorders>
              <w:top w:val="single" w:sz="8" w:space="0" w:color="000000"/>
              <w:bottom w:val="single" w:sz="8" w:space="0" w:color="000000"/>
              <w:right w:val="single" w:sz="8" w:space="0" w:color="000000"/>
            </w:tcBorders>
          </w:tcPr>
          <w:p w14:paraId="0CA7AB5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Plastic light diffusing system </w:t>
            </w:r>
          </w:p>
        </w:tc>
        <w:tc>
          <w:tcPr>
            <w:tcW w:w="2672" w:type="dxa"/>
            <w:tcBorders>
              <w:top w:val="single" w:sz="8" w:space="0" w:color="000000"/>
              <w:left w:val="single" w:sz="8" w:space="0" w:color="000000"/>
              <w:bottom w:val="single" w:sz="8" w:space="0" w:color="000000"/>
            </w:tcBorders>
          </w:tcPr>
          <w:p w14:paraId="176490C8"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2606.7.4 </w:t>
            </w:r>
          </w:p>
        </w:tc>
      </w:tr>
      <w:tr w:rsidR="00140B7C" w:rsidRPr="00EC4EC4" w14:paraId="4DEAF100"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5CBE263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Pyroxylin plastic; areas with </w:t>
            </w:r>
          </w:p>
        </w:tc>
        <w:tc>
          <w:tcPr>
            <w:tcW w:w="2672" w:type="dxa"/>
            <w:tcBorders>
              <w:top w:val="single" w:sz="8" w:space="0" w:color="000000"/>
              <w:left w:val="single" w:sz="8" w:space="0" w:color="000000"/>
              <w:bottom w:val="single" w:sz="8" w:space="0" w:color="000000"/>
            </w:tcBorders>
          </w:tcPr>
          <w:p w14:paraId="05CE143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4204.1.1</w:t>
            </w:r>
            <w:r w:rsidRPr="00EC4EC4">
              <w:rPr>
                <w:rFonts w:eastAsia="Times New Roman" w:cs="Times New Roman"/>
                <w:sz w:val="20"/>
                <w:szCs w:val="20"/>
              </w:rPr>
              <w:t>]</w:t>
            </w:r>
            <w:r w:rsidRPr="00EC4EC4">
              <w:rPr>
                <w:rFonts w:eastAsia="Times New Roman" w:cs="Times New Roman"/>
                <w:sz w:val="20"/>
                <w:szCs w:val="20"/>
                <w:u w:val="single"/>
              </w:rPr>
              <w:t>6504.1.1</w:t>
            </w:r>
            <w:r w:rsidRPr="00EC4EC4">
              <w:rPr>
                <w:rFonts w:eastAsia="Times New Roman" w:cs="Times New Roman"/>
                <w:sz w:val="20"/>
                <w:szCs w:val="20"/>
              </w:rPr>
              <w:t xml:space="preserve"> </w:t>
            </w:r>
          </w:p>
        </w:tc>
      </w:tr>
      <w:tr w:rsidR="00140B7C" w:rsidRPr="00EC4EC4" w14:paraId="2016DA69" w14:textId="77777777" w:rsidTr="00BC1087">
        <w:trPr>
          <w:trHeight w:val="169"/>
          <w:jc w:val="center"/>
        </w:trPr>
        <w:tc>
          <w:tcPr>
            <w:tcW w:w="4968" w:type="dxa"/>
            <w:tcBorders>
              <w:top w:val="single" w:sz="8" w:space="0" w:color="000000"/>
              <w:bottom w:val="single" w:sz="8" w:space="0" w:color="000000"/>
              <w:right w:val="single" w:sz="8" w:space="0" w:color="000000"/>
            </w:tcBorders>
          </w:tcPr>
          <w:p w14:paraId="492C777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Pyroxylin plastic; storage and manufacturing </w:t>
            </w:r>
          </w:p>
        </w:tc>
        <w:tc>
          <w:tcPr>
            <w:tcW w:w="2672" w:type="dxa"/>
            <w:tcBorders>
              <w:top w:val="single" w:sz="8" w:space="0" w:color="000000"/>
              <w:left w:val="single" w:sz="8" w:space="0" w:color="000000"/>
              <w:bottom w:val="single" w:sz="8" w:space="0" w:color="000000"/>
            </w:tcBorders>
          </w:tcPr>
          <w:p w14:paraId="49F03B1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4204.2</w:t>
            </w:r>
            <w:r w:rsidRPr="00EC4EC4">
              <w:rPr>
                <w:rFonts w:eastAsia="Times New Roman" w:cs="Times New Roman"/>
                <w:sz w:val="20"/>
                <w:szCs w:val="20"/>
              </w:rPr>
              <w:t>]</w:t>
            </w:r>
            <w:r w:rsidRPr="00EC4EC4">
              <w:rPr>
                <w:rFonts w:eastAsia="Times New Roman" w:cs="Times New Roman"/>
                <w:sz w:val="20"/>
                <w:szCs w:val="20"/>
                <w:u w:val="single"/>
              </w:rPr>
              <w:t>6504.2</w:t>
            </w:r>
            <w:r w:rsidRPr="00EC4EC4">
              <w:rPr>
                <w:rFonts w:eastAsia="Times New Roman" w:cs="Times New Roman"/>
                <w:sz w:val="20"/>
                <w:szCs w:val="20"/>
              </w:rPr>
              <w:t xml:space="preserve"> </w:t>
            </w:r>
          </w:p>
        </w:tc>
      </w:tr>
      <w:tr w:rsidR="00140B7C" w:rsidRPr="00EC4EC4" w14:paraId="7CCD1346" w14:textId="77777777" w:rsidTr="00BC1087">
        <w:trPr>
          <w:trHeight w:val="160"/>
          <w:jc w:val="center"/>
        </w:trPr>
        <w:tc>
          <w:tcPr>
            <w:tcW w:w="4968" w:type="dxa"/>
            <w:tcBorders>
              <w:top w:val="single" w:sz="8" w:space="0" w:color="000000"/>
              <w:bottom w:val="single" w:sz="8" w:space="0" w:color="000000"/>
              <w:right w:val="single" w:sz="8" w:space="0" w:color="000000"/>
            </w:tcBorders>
          </w:tcPr>
          <w:p w14:paraId="27C5C2D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Pyroxylin plastic; storage vaults </w:t>
            </w:r>
          </w:p>
        </w:tc>
        <w:tc>
          <w:tcPr>
            <w:tcW w:w="2672" w:type="dxa"/>
            <w:tcBorders>
              <w:top w:val="single" w:sz="8" w:space="0" w:color="000000"/>
              <w:left w:val="single" w:sz="8" w:space="0" w:color="000000"/>
              <w:bottom w:val="single" w:sz="8" w:space="0" w:color="000000"/>
            </w:tcBorders>
          </w:tcPr>
          <w:p w14:paraId="68CF8924"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4204.1.3</w:t>
            </w:r>
            <w:r w:rsidRPr="00EC4EC4">
              <w:rPr>
                <w:rFonts w:eastAsia="Times New Roman" w:cs="Times New Roman"/>
                <w:sz w:val="20"/>
                <w:szCs w:val="20"/>
              </w:rPr>
              <w:t>]</w:t>
            </w:r>
            <w:r w:rsidRPr="00EC4EC4">
              <w:rPr>
                <w:rFonts w:eastAsia="Times New Roman" w:cs="Times New Roman"/>
                <w:sz w:val="20"/>
                <w:szCs w:val="20"/>
                <w:u w:val="single"/>
              </w:rPr>
              <w:t>6504.1.3</w:t>
            </w:r>
            <w:r w:rsidRPr="00EC4EC4">
              <w:rPr>
                <w:rFonts w:eastAsia="Times New Roman" w:cs="Times New Roman"/>
                <w:sz w:val="20"/>
                <w:szCs w:val="20"/>
              </w:rPr>
              <w:t xml:space="preserve"> </w:t>
            </w:r>
          </w:p>
        </w:tc>
      </w:tr>
      <w:tr w:rsidR="00140B7C" w:rsidRPr="00EC4EC4" w14:paraId="540E00A0" w14:textId="77777777" w:rsidTr="00BC1087">
        <w:trPr>
          <w:trHeight w:val="214"/>
          <w:jc w:val="center"/>
        </w:trPr>
        <w:tc>
          <w:tcPr>
            <w:tcW w:w="4968" w:type="dxa"/>
            <w:tcBorders>
              <w:top w:val="single" w:sz="8" w:space="0" w:color="000000"/>
              <w:bottom w:val="single" w:sz="8" w:space="0" w:color="000000"/>
              <w:right w:val="single" w:sz="8" w:space="0" w:color="000000"/>
            </w:tcBorders>
          </w:tcPr>
          <w:p w14:paraId="62696588"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Rack storage </w:t>
            </w:r>
          </w:p>
        </w:tc>
        <w:tc>
          <w:tcPr>
            <w:tcW w:w="2672" w:type="dxa"/>
            <w:tcBorders>
              <w:top w:val="single" w:sz="8" w:space="0" w:color="000000"/>
              <w:left w:val="single" w:sz="8" w:space="0" w:color="000000"/>
              <w:bottom w:val="single" w:sz="8" w:space="0" w:color="000000"/>
            </w:tcBorders>
          </w:tcPr>
          <w:p w14:paraId="0068EB0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2308.2</w:t>
            </w:r>
            <w:r w:rsidRPr="00EC4EC4">
              <w:rPr>
                <w:rFonts w:eastAsia="Times New Roman" w:cs="Times New Roman"/>
                <w:sz w:val="20"/>
                <w:szCs w:val="20"/>
              </w:rPr>
              <w:t>]</w:t>
            </w:r>
            <w:r w:rsidRPr="00EC4EC4">
              <w:rPr>
                <w:rFonts w:eastAsia="Times New Roman" w:cs="Times New Roman"/>
                <w:sz w:val="20"/>
                <w:szCs w:val="20"/>
                <w:u w:val="single"/>
              </w:rPr>
              <w:t>3208.3</w:t>
            </w:r>
            <w:r w:rsidRPr="00EC4EC4">
              <w:rPr>
                <w:rFonts w:eastAsia="Times New Roman" w:cs="Times New Roman"/>
                <w:sz w:val="20"/>
                <w:szCs w:val="20"/>
              </w:rPr>
              <w:t xml:space="preserve"> </w:t>
            </w:r>
          </w:p>
        </w:tc>
      </w:tr>
      <w:tr w:rsidR="00140B7C" w:rsidRPr="00EC4EC4" w14:paraId="5484F865" w14:textId="77777777" w:rsidTr="00BC1087">
        <w:trPr>
          <w:trHeight w:val="448"/>
          <w:jc w:val="center"/>
        </w:trPr>
        <w:tc>
          <w:tcPr>
            <w:tcW w:w="4968" w:type="dxa"/>
            <w:tcBorders>
              <w:top w:val="single" w:sz="8" w:space="0" w:color="000000"/>
              <w:bottom w:val="single" w:sz="8" w:space="0" w:color="000000"/>
              <w:right w:val="single" w:sz="8" w:space="0" w:color="000000"/>
            </w:tcBorders>
          </w:tcPr>
          <w:p w14:paraId="383AEF17"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Radioactive materials and radiation-producing equipment; uses and occupancies involving </w:t>
            </w:r>
          </w:p>
        </w:tc>
        <w:tc>
          <w:tcPr>
            <w:tcW w:w="2672" w:type="dxa"/>
            <w:tcBorders>
              <w:top w:val="single" w:sz="8" w:space="0" w:color="000000"/>
              <w:left w:val="single" w:sz="8" w:space="0" w:color="000000"/>
              <w:bottom w:val="single" w:sz="8" w:space="0" w:color="000000"/>
            </w:tcBorders>
          </w:tcPr>
          <w:p w14:paraId="47F31BF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428.3.4 </w:t>
            </w:r>
          </w:p>
        </w:tc>
      </w:tr>
      <w:tr w:rsidR="00140B7C" w:rsidRPr="00EC4EC4" w14:paraId="4199B7A7" w14:textId="77777777" w:rsidTr="00BC1087">
        <w:trPr>
          <w:trHeight w:val="169"/>
          <w:jc w:val="center"/>
        </w:trPr>
        <w:tc>
          <w:tcPr>
            <w:tcW w:w="4968" w:type="dxa"/>
            <w:tcBorders>
              <w:top w:val="single" w:sz="8" w:space="0" w:color="000000"/>
              <w:bottom w:val="single" w:sz="8" w:space="0" w:color="000000"/>
              <w:right w:val="single" w:sz="8" w:space="0" w:color="000000"/>
            </w:tcBorders>
          </w:tcPr>
          <w:p w14:paraId="0C3A2BD6"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Resin application areas </w:t>
            </w:r>
          </w:p>
        </w:tc>
        <w:tc>
          <w:tcPr>
            <w:tcW w:w="2672" w:type="dxa"/>
            <w:tcBorders>
              <w:top w:val="single" w:sz="8" w:space="0" w:color="000000"/>
              <w:left w:val="single" w:sz="8" w:space="0" w:color="000000"/>
              <w:bottom w:val="single" w:sz="8" w:space="0" w:color="000000"/>
            </w:tcBorders>
          </w:tcPr>
          <w:p w14:paraId="2EB06EDC"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1511.3</w:t>
            </w:r>
            <w:r w:rsidRPr="00EC4EC4">
              <w:rPr>
                <w:rFonts w:eastAsia="Times New Roman" w:cs="Times New Roman"/>
                <w:sz w:val="20"/>
                <w:szCs w:val="20"/>
              </w:rPr>
              <w:t>]</w:t>
            </w:r>
            <w:r w:rsidRPr="00EC4EC4">
              <w:rPr>
                <w:rFonts w:eastAsia="Times New Roman" w:cs="Times New Roman"/>
                <w:sz w:val="20"/>
                <w:szCs w:val="20"/>
                <w:u w:val="single"/>
              </w:rPr>
              <w:t>2409.2.1</w:t>
            </w:r>
            <w:r w:rsidRPr="00EC4EC4">
              <w:rPr>
                <w:rFonts w:eastAsia="Times New Roman" w:cs="Times New Roman"/>
                <w:sz w:val="20"/>
                <w:szCs w:val="20"/>
              </w:rPr>
              <w:t xml:space="preserve"> </w:t>
            </w:r>
          </w:p>
        </w:tc>
      </w:tr>
      <w:tr w:rsidR="00140B7C" w:rsidRPr="00EC4EC4" w14:paraId="46E01ED0" w14:textId="77777777" w:rsidTr="00BC1087">
        <w:trPr>
          <w:trHeight w:val="133"/>
          <w:jc w:val="center"/>
        </w:trPr>
        <w:tc>
          <w:tcPr>
            <w:tcW w:w="4968" w:type="dxa"/>
            <w:tcBorders>
              <w:top w:val="single" w:sz="8" w:space="0" w:color="000000"/>
              <w:bottom w:val="single" w:sz="8" w:space="0" w:color="000000"/>
              <w:right w:val="single" w:sz="8" w:space="0" w:color="000000"/>
            </w:tcBorders>
          </w:tcPr>
          <w:p w14:paraId="4127515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Silane gas; exhausted enclosures or gas cabinets for </w:t>
            </w:r>
          </w:p>
        </w:tc>
        <w:tc>
          <w:tcPr>
            <w:tcW w:w="2672" w:type="dxa"/>
            <w:tcBorders>
              <w:top w:val="single" w:sz="8" w:space="0" w:color="000000"/>
              <w:left w:val="single" w:sz="8" w:space="0" w:color="000000"/>
              <w:bottom w:val="single" w:sz="8" w:space="0" w:color="000000"/>
            </w:tcBorders>
          </w:tcPr>
          <w:p w14:paraId="1C676D7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FC </w:t>
            </w:r>
            <w:r>
              <w:rPr>
                <w:rFonts w:eastAsia="Times New Roman" w:cs="Times New Roman"/>
                <w:sz w:val="20"/>
                <w:szCs w:val="20"/>
              </w:rPr>
              <w:t>[</w:t>
            </w:r>
            <w:r w:rsidRPr="00144533">
              <w:rPr>
                <w:rFonts w:eastAsia="Times New Roman" w:cs="Times New Roman"/>
                <w:strike/>
                <w:sz w:val="20"/>
                <w:szCs w:val="20"/>
              </w:rPr>
              <w:t>4106.2.2</w:t>
            </w:r>
            <w:r>
              <w:rPr>
                <w:rFonts w:eastAsia="Times New Roman" w:cs="Times New Roman"/>
                <w:sz w:val="20"/>
                <w:szCs w:val="20"/>
              </w:rPr>
              <w:t>]</w:t>
            </w:r>
            <w:r w:rsidRPr="00144533">
              <w:rPr>
                <w:rFonts w:eastAsia="Times New Roman" w:cs="Times New Roman"/>
                <w:sz w:val="20"/>
                <w:szCs w:val="20"/>
                <w:u w:val="single"/>
              </w:rPr>
              <w:t xml:space="preserve">6404 </w:t>
            </w:r>
          </w:p>
        </w:tc>
      </w:tr>
      <w:tr w:rsidR="00140B7C" w:rsidRPr="00EC4EC4" w14:paraId="54079914" w14:textId="77777777" w:rsidTr="00BC1087">
        <w:trPr>
          <w:trHeight w:val="497"/>
          <w:jc w:val="center"/>
        </w:trPr>
        <w:tc>
          <w:tcPr>
            <w:tcW w:w="4968" w:type="dxa"/>
            <w:tcBorders>
              <w:top w:val="single" w:sz="8" w:space="0" w:color="000000"/>
              <w:bottom w:val="single" w:sz="8" w:space="0" w:color="000000"/>
              <w:right w:val="single" w:sz="8" w:space="0" w:color="000000"/>
            </w:tcBorders>
          </w:tcPr>
          <w:p w14:paraId="1F0AF99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Small arms ammunition and primers, black powder or smokeless propellant; storage of </w:t>
            </w:r>
          </w:p>
        </w:tc>
        <w:tc>
          <w:tcPr>
            <w:tcW w:w="2672" w:type="dxa"/>
            <w:tcBorders>
              <w:top w:val="single" w:sz="8" w:space="0" w:color="000000"/>
              <w:left w:val="single" w:sz="8" w:space="0" w:color="000000"/>
              <w:bottom w:val="single" w:sz="8" w:space="0" w:color="000000"/>
            </w:tcBorders>
          </w:tcPr>
          <w:p w14:paraId="0314E7A7"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3306.7</w:t>
            </w:r>
            <w:r w:rsidRPr="00EC4EC4">
              <w:rPr>
                <w:rFonts w:eastAsia="Times New Roman" w:cs="Times New Roman"/>
                <w:sz w:val="20"/>
                <w:szCs w:val="20"/>
              </w:rPr>
              <w:t>]</w:t>
            </w:r>
            <w:r w:rsidRPr="00EC4EC4">
              <w:rPr>
                <w:rFonts w:eastAsia="Times New Roman" w:cs="Times New Roman"/>
                <w:sz w:val="20"/>
                <w:szCs w:val="20"/>
                <w:u w:val="single"/>
              </w:rPr>
              <w:t>5606.7</w:t>
            </w:r>
            <w:r w:rsidRPr="00EC4EC4">
              <w:rPr>
                <w:rFonts w:eastAsia="Times New Roman" w:cs="Times New Roman"/>
                <w:sz w:val="20"/>
                <w:szCs w:val="20"/>
              </w:rPr>
              <w:t xml:space="preserve"> </w:t>
            </w:r>
          </w:p>
        </w:tc>
      </w:tr>
      <w:tr w:rsidR="00140B7C" w:rsidRPr="00EC4EC4" w14:paraId="3D4B64FA"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428882F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Solid-piled and shelf storage </w:t>
            </w:r>
          </w:p>
        </w:tc>
        <w:tc>
          <w:tcPr>
            <w:tcW w:w="2672" w:type="dxa"/>
            <w:tcBorders>
              <w:top w:val="single" w:sz="8" w:space="0" w:color="000000"/>
              <w:left w:val="single" w:sz="8" w:space="0" w:color="000000"/>
              <w:bottom w:val="single" w:sz="8" w:space="0" w:color="000000"/>
            </w:tcBorders>
          </w:tcPr>
          <w:p w14:paraId="0A14068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2307.2</w:t>
            </w:r>
            <w:r w:rsidRPr="00EC4EC4">
              <w:rPr>
                <w:rFonts w:eastAsia="Times New Roman" w:cs="Times New Roman"/>
                <w:sz w:val="20"/>
                <w:szCs w:val="20"/>
              </w:rPr>
              <w:t>]</w:t>
            </w:r>
            <w:r w:rsidRPr="00EC4EC4">
              <w:rPr>
                <w:rFonts w:eastAsia="Times New Roman" w:cs="Times New Roman"/>
                <w:sz w:val="20"/>
                <w:szCs w:val="20"/>
                <w:u w:val="single"/>
              </w:rPr>
              <w:t>3207.2</w:t>
            </w:r>
            <w:r w:rsidRPr="00EC4EC4">
              <w:rPr>
                <w:rFonts w:eastAsia="Times New Roman" w:cs="Times New Roman"/>
                <w:sz w:val="20"/>
                <w:szCs w:val="20"/>
              </w:rPr>
              <w:t xml:space="preserve"> </w:t>
            </w:r>
          </w:p>
        </w:tc>
      </w:tr>
      <w:tr w:rsidR="00140B7C" w:rsidRPr="00EC4EC4" w14:paraId="69CEA645" w14:textId="77777777" w:rsidTr="00BC1087">
        <w:trPr>
          <w:trHeight w:val="259"/>
          <w:jc w:val="center"/>
        </w:trPr>
        <w:tc>
          <w:tcPr>
            <w:tcW w:w="4968" w:type="dxa"/>
            <w:tcBorders>
              <w:top w:val="single" w:sz="8" w:space="0" w:color="000000"/>
              <w:bottom w:val="single" w:sz="8" w:space="0" w:color="000000"/>
              <w:right w:val="single" w:sz="8" w:space="0" w:color="000000"/>
            </w:tcBorders>
            <w:vAlign w:val="center"/>
          </w:tcPr>
          <w:p w14:paraId="106D8EEF" w14:textId="77777777" w:rsidR="00140B7C" w:rsidRPr="00EC4EC4" w:rsidRDefault="00140B7C" w:rsidP="00BC1087">
            <w:pPr>
              <w:suppressAutoHyphens/>
              <w:spacing w:before="120" w:after="120" w:line="240" w:lineRule="auto"/>
              <w:jc w:val="both"/>
              <w:rPr>
                <w:rFonts w:eastAsia="Times New Roman" w:cs="Times New Roman"/>
                <w:sz w:val="20"/>
                <w:szCs w:val="20"/>
              </w:rPr>
            </w:pPr>
            <w:r w:rsidRPr="00EC4EC4">
              <w:rPr>
                <w:rFonts w:eastAsia="Times New Roman" w:cs="Times New Roman"/>
                <w:spacing w:val="4"/>
                <w:sz w:val="20"/>
                <w:szCs w:val="20"/>
              </w:rPr>
              <w:t>Smoke-protected assembly seating</w:t>
            </w:r>
          </w:p>
        </w:tc>
        <w:tc>
          <w:tcPr>
            <w:tcW w:w="2672" w:type="dxa"/>
            <w:tcBorders>
              <w:top w:val="single" w:sz="8" w:space="0" w:color="000000"/>
              <w:left w:val="single" w:sz="8" w:space="0" w:color="000000"/>
              <w:bottom w:val="single" w:sz="8" w:space="0" w:color="000000"/>
            </w:tcBorders>
            <w:vAlign w:val="center"/>
          </w:tcPr>
          <w:p w14:paraId="56111E92" w14:textId="77777777" w:rsidR="00140B7C" w:rsidRPr="00EC4EC4" w:rsidRDefault="00140B7C" w:rsidP="00BC1087">
            <w:pPr>
              <w:suppressAutoHyphens/>
              <w:spacing w:before="120" w:after="120" w:line="240" w:lineRule="auto"/>
              <w:jc w:val="both"/>
              <w:rPr>
                <w:rFonts w:eastAsia="Times New Roman" w:cs="Times New Roman"/>
                <w:spacing w:val="4"/>
                <w:sz w:val="20"/>
                <w:szCs w:val="20"/>
              </w:rPr>
            </w:pPr>
            <w:r w:rsidRPr="00EC4EC4">
              <w:rPr>
                <w:rFonts w:eastAsia="Times New Roman" w:cs="Times New Roman"/>
                <w:sz w:val="20"/>
                <w:szCs w:val="20"/>
              </w:rPr>
              <w:t>BC 1029.6.2.3</w:t>
            </w:r>
          </w:p>
        </w:tc>
      </w:tr>
      <w:tr w:rsidR="00140B7C" w:rsidRPr="00EC4EC4" w14:paraId="67CFB697" w14:textId="77777777" w:rsidTr="00BC1087">
        <w:trPr>
          <w:trHeight w:val="196"/>
          <w:jc w:val="center"/>
        </w:trPr>
        <w:tc>
          <w:tcPr>
            <w:tcW w:w="4968" w:type="dxa"/>
            <w:tcBorders>
              <w:top w:val="single" w:sz="8" w:space="0" w:color="000000"/>
              <w:bottom w:val="single" w:sz="8" w:space="0" w:color="000000"/>
              <w:right w:val="single" w:sz="8" w:space="0" w:color="000000"/>
            </w:tcBorders>
          </w:tcPr>
          <w:p w14:paraId="37CDA01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Special amusement buildings </w:t>
            </w:r>
          </w:p>
        </w:tc>
        <w:tc>
          <w:tcPr>
            <w:tcW w:w="2672" w:type="dxa"/>
            <w:tcBorders>
              <w:top w:val="single" w:sz="8" w:space="0" w:color="000000"/>
              <w:left w:val="single" w:sz="8" w:space="0" w:color="000000"/>
              <w:bottom w:val="single" w:sz="8" w:space="0" w:color="000000"/>
            </w:tcBorders>
          </w:tcPr>
          <w:p w14:paraId="6683C2A9"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411.4 </w:t>
            </w:r>
          </w:p>
        </w:tc>
      </w:tr>
      <w:tr w:rsidR="00140B7C" w:rsidRPr="00EC4EC4" w14:paraId="62729956" w14:textId="77777777" w:rsidTr="00BC1087">
        <w:trPr>
          <w:trHeight w:val="214"/>
          <w:jc w:val="center"/>
        </w:trPr>
        <w:tc>
          <w:tcPr>
            <w:tcW w:w="4968" w:type="dxa"/>
            <w:tcBorders>
              <w:top w:val="single" w:sz="8" w:space="0" w:color="000000"/>
              <w:bottom w:val="single" w:sz="8" w:space="0" w:color="000000"/>
              <w:right w:val="single" w:sz="8" w:space="0" w:color="000000"/>
            </w:tcBorders>
          </w:tcPr>
          <w:p w14:paraId="269CBFF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Spray booths and rooms </w:t>
            </w:r>
          </w:p>
        </w:tc>
        <w:tc>
          <w:tcPr>
            <w:tcW w:w="2672" w:type="dxa"/>
            <w:tcBorders>
              <w:top w:val="single" w:sz="8" w:space="0" w:color="000000"/>
              <w:left w:val="single" w:sz="8" w:space="0" w:color="000000"/>
              <w:bottom w:val="single" w:sz="8" w:space="0" w:color="000000"/>
            </w:tcBorders>
          </w:tcPr>
          <w:p w14:paraId="667CF291"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1504.6</w:t>
            </w:r>
            <w:r w:rsidRPr="00EC4EC4">
              <w:rPr>
                <w:rFonts w:eastAsia="Times New Roman" w:cs="Times New Roman"/>
                <w:sz w:val="20"/>
                <w:szCs w:val="20"/>
              </w:rPr>
              <w:t>]</w:t>
            </w:r>
            <w:r w:rsidRPr="00EC4EC4">
              <w:rPr>
                <w:rFonts w:eastAsia="Times New Roman" w:cs="Times New Roman"/>
                <w:sz w:val="20"/>
                <w:szCs w:val="20"/>
                <w:u w:val="single"/>
              </w:rPr>
              <w:t>2404.3.3</w:t>
            </w:r>
            <w:r w:rsidRPr="00EC4EC4">
              <w:rPr>
                <w:rFonts w:eastAsia="Times New Roman" w:cs="Times New Roman"/>
                <w:sz w:val="20"/>
                <w:szCs w:val="20"/>
              </w:rPr>
              <w:t xml:space="preserve"> </w:t>
            </w:r>
          </w:p>
        </w:tc>
      </w:tr>
      <w:tr w:rsidR="00140B7C" w:rsidRPr="00EC4EC4" w14:paraId="48C4FCC5" w14:textId="77777777" w:rsidTr="00BC1087">
        <w:trPr>
          <w:trHeight w:val="241"/>
          <w:jc w:val="center"/>
        </w:trPr>
        <w:tc>
          <w:tcPr>
            <w:tcW w:w="4968" w:type="dxa"/>
            <w:tcBorders>
              <w:top w:val="single" w:sz="8" w:space="0" w:color="000000"/>
              <w:bottom w:val="single" w:sz="8" w:space="0" w:color="000000"/>
              <w:right w:val="single" w:sz="8" w:space="0" w:color="000000"/>
            </w:tcBorders>
          </w:tcPr>
          <w:p w14:paraId="61717153"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Spray booths involving the use of organic peroxide coatings </w:t>
            </w:r>
          </w:p>
        </w:tc>
        <w:tc>
          <w:tcPr>
            <w:tcW w:w="2672" w:type="dxa"/>
            <w:tcBorders>
              <w:top w:val="single" w:sz="8" w:space="0" w:color="000000"/>
              <w:left w:val="single" w:sz="8" w:space="0" w:color="000000"/>
              <w:bottom w:val="single" w:sz="8" w:space="0" w:color="000000"/>
            </w:tcBorders>
          </w:tcPr>
          <w:p w14:paraId="58156B5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1509.6</w:t>
            </w:r>
            <w:r w:rsidRPr="00EC4EC4">
              <w:rPr>
                <w:rFonts w:eastAsia="Times New Roman" w:cs="Times New Roman"/>
                <w:sz w:val="20"/>
                <w:szCs w:val="20"/>
              </w:rPr>
              <w:t>]</w:t>
            </w:r>
            <w:r w:rsidRPr="00EC4EC4">
              <w:rPr>
                <w:rFonts w:eastAsia="Times New Roman" w:cs="Times New Roman"/>
                <w:sz w:val="20"/>
                <w:szCs w:val="20"/>
                <w:u w:val="single"/>
              </w:rPr>
              <w:t>2408.2.2</w:t>
            </w:r>
            <w:r w:rsidRPr="00EC4EC4">
              <w:rPr>
                <w:rFonts w:eastAsia="Times New Roman" w:cs="Times New Roman"/>
                <w:sz w:val="20"/>
                <w:szCs w:val="20"/>
              </w:rPr>
              <w:t xml:space="preserve"> </w:t>
            </w:r>
          </w:p>
        </w:tc>
      </w:tr>
      <w:tr w:rsidR="00140B7C" w:rsidRPr="00EC4EC4" w14:paraId="59655A6E" w14:textId="77777777" w:rsidTr="00BC1087">
        <w:trPr>
          <w:trHeight w:val="160"/>
          <w:jc w:val="center"/>
        </w:trPr>
        <w:tc>
          <w:tcPr>
            <w:tcW w:w="4968" w:type="dxa"/>
            <w:tcBorders>
              <w:top w:val="single" w:sz="8" w:space="0" w:color="000000"/>
              <w:bottom w:val="single" w:sz="8" w:space="0" w:color="000000"/>
              <w:right w:val="single" w:sz="8" w:space="0" w:color="000000"/>
            </w:tcBorders>
          </w:tcPr>
          <w:p w14:paraId="4821E29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Spray finishing in Group A, E, I or R </w:t>
            </w:r>
          </w:p>
        </w:tc>
        <w:tc>
          <w:tcPr>
            <w:tcW w:w="2672" w:type="dxa"/>
            <w:tcBorders>
              <w:top w:val="single" w:sz="8" w:space="0" w:color="000000"/>
              <w:left w:val="single" w:sz="8" w:space="0" w:color="000000"/>
              <w:bottom w:val="single" w:sz="8" w:space="0" w:color="000000"/>
            </w:tcBorders>
          </w:tcPr>
          <w:p w14:paraId="56FD95B6"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1504.1</w:t>
            </w:r>
            <w:r w:rsidRPr="00EC4EC4">
              <w:rPr>
                <w:rFonts w:eastAsia="Times New Roman" w:cs="Times New Roman"/>
                <w:sz w:val="20"/>
                <w:szCs w:val="20"/>
              </w:rPr>
              <w:t>]</w:t>
            </w:r>
            <w:r w:rsidRPr="00EC4EC4">
              <w:rPr>
                <w:rFonts w:eastAsia="Times New Roman" w:cs="Times New Roman"/>
                <w:sz w:val="20"/>
                <w:szCs w:val="20"/>
                <w:u w:val="single"/>
              </w:rPr>
              <w:t>2404.1</w:t>
            </w:r>
            <w:r w:rsidRPr="00EC4EC4">
              <w:rPr>
                <w:rFonts w:eastAsia="Times New Roman" w:cs="Times New Roman"/>
                <w:sz w:val="20"/>
                <w:szCs w:val="20"/>
              </w:rPr>
              <w:t xml:space="preserve"> </w:t>
            </w:r>
          </w:p>
        </w:tc>
      </w:tr>
      <w:tr w:rsidR="00140B7C" w:rsidRPr="00EC4EC4" w14:paraId="17306D54" w14:textId="77777777" w:rsidTr="00BC1087">
        <w:trPr>
          <w:trHeight w:val="196"/>
          <w:jc w:val="center"/>
        </w:trPr>
        <w:tc>
          <w:tcPr>
            <w:tcW w:w="4968" w:type="dxa"/>
            <w:tcBorders>
              <w:top w:val="single" w:sz="8" w:space="0" w:color="000000"/>
              <w:bottom w:val="single" w:sz="8" w:space="0" w:color="000000"/>
              <w:right w:val="single" w:sz="8" w:space="0" w:color="000000"/>
            </w:tcBorders>
          </w:tcPr>
          <w:p w14:paraId="204B1CB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Stages </w:t>
            </w:r>
          </w:p>
        </w:tc>
        <w:tc>
          <w:tcPr>
            <w:tcW w:w="2672" w:type="dxa"/>
            <w:tcBorders>
              <w:top w:val="single" w:sz="8" w:space="0" w:color="000000"/>
              <w:left w:val="single" w:sz="8" w:space="0" w:color="000000"/>
              <w:bottom w:val="single" w:sz="8" w:space="0" w:color="000000"/>
            </w:tcBorders>
          </w:tcPr>
          <w:p w14:paraId="7C99110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410.7</w:t>
            </w:r>
          </w:p>
        </w:tc>
      </w:tr>
      <w:tr w:rsidR="00140B7C" w:rsidRPr="00EC4EC4" w14:paraId="1E55A4B0"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37DEF32D"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Sterilization systems; rooms with </w:t>
            </w:r>
          </w:p>
        </w:tc>
        <w:tc>
          <w:tcPr>
            <w:tcW w:w="2672" w:type="dxa"/>
            <w:tcBorders>
              <w:top w:val="single" w:sz="8" w:space="0" w:color="000000"/>
              <w:left w:val="single" w:sz="8" w:space="0" w:color="000000"/>
              <w:bottom w:val="single" w:sz="8" w:space="0" w:color="000000"/>
            </w:tcBorders>
          </w:tcPr>
          <w:p w14:paraId="7F23E002"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3506.3.2</w:t>
            </w:r>
            <w:r w:rsidRPr="00EC4EC4">
              <w:rPr>
                <w:rFonts w:eastAsia="Times New Roman" w:cs="Times New Roman"/>
                <w:sz w:val="20"/>
                <w:szCs w:val="20"/>
              </w:rPr>
              <w:t>]</w:t>
            </w:r>
            <w:r w:rsidRPr="00EC4EC4">
              <w:rPr>
                <w:rFonts w:eastAsia="Times New Roman" w:cs="Times New Roman"/>
                <w:sz w:val="20"/>
                <w:szCs w:val="20"/>
                <w:u w:val="single"/>
              </w:rPr>
              <w:t>5806.3.2</w:t>
            </w:r>
            <w:r w:rsidRPr="00EC4EC4">
              <w:rPr>
                <w:rFonts w:eastAsia="Times New Roman" w:cs="Times New Roman"/>
                <w:sz w:val="20"/>
                <w:szCs w:val="20"/>
              </w:rPr>
              <w:t xml:space="preserve"> </w:t>
            </w:r>
          </w:p>
        </w:tc>
      </w:tr>
      <w:tr w:rsidR="00140B7C" w:rsidRPr="00EC4EC4" w14:paraId="6BCA049D" w14:textId="77777777" w:rsidTr="00BC1087">
        <w:trPr>
          <w:trHeight w:val="385"/>
          <w:jc w:val="center"/>
        </w:trPr>
        <w:tc>
          <w:tcPr>
            <w:tcW w:w="4968" w:type="dxa"/>
            <w:tcBorders>
              <w:top w:val="single" w:sz="8" w:space="0" w:color="000000"/>
              <w:bottom w:val="single" w:sz="8" w:space="0" w:color="000000"/>
              <w:right w:val="single" w:sz="8" w:space="0" w:color="000000"/>
            </w:tcBorders>
          </w:tcPr>
          <w:p w14:paraId="569BC66F"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Storage </w:t>
            </w:r>
          </w:p>
        </w:tc>
        <w:tc>
          <w:tcPr>
            <w:tcW w:w="2672" w:type="dxa"/>
            <w:tcBorders>
              <w:top w:val="single" w:sz="8" w:space="0" w:color="000000"/>
              <w:left w:val="single" w:sz="8" w:space="0" w:color="000000"/>
              <w:bottom w:val="single" w:sz="8" w:space="0" w:color="000000"/>
            </w:tcBorders>
          </w:tcPr>
          <w:p w14:paraId="311869A4"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Table [</w:t>
            </w:r>
            <w:r w:rsidRPr="00EC4EC4">
              <w:rPr>
                <w:rFonts w:eastAsia="Times New Roman" w:cs="Times New Roman"/>
                <w:strike/>
                <w:sz w:val="20"/>
                <w:szCs w:val="20"/>
              </w:rPr>
              <w:t>2306.2</w:t>
            </w:r>
            <w:r w:rsidRPr="00EC4EC4">
              <w:rPr>
                <w:rFonts w:eastAsia="Times New Roman" w:cs="Times New Roman"/>
                <w:sz w:val="20"/>
                <w:szCs w:val="20"/>
              </w:rPr>
              <w:t>]</w:t>
            </w:r>
            <w:r w:rsidRPr="00EC4EC4">
              <w:rPr>
                <w:rFonts w:eastAsia="Times New Roman" w:cs="Times New Roman"/>
                <w:sz w:val="20"/>
                <w:szCs w:val="20"/>
                <w:u w:val="single"/>
              </w:rPr>
              <w:t>3206.2</w:t>
            </w:r>
            <w:r w:rsidRPr="00EC4EC4">
              <w:rPr>
                <w:rFonts w:eastAsia="Times New Roman" w:cs="Times New Roman"/>
                <w:sz w:val="20"/>
                <w:szCs w:val="20"/>
              </w:rPr>
              <w:t xml:space="preserve"> </w:t>
            </w:r>
          </w:p>
          <w:p w14:paraId="10997FD7"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FC [</w:t>
            </w:r>
            <w:r w:rsidRPr="00EC4EC4">
              <w:rPr>
                <w:rFonts w:eastAsia="Times New Roman" w:cs="Times New Roman"/>
                <w:strike/>
                <w:sz w:val="20"/>
                <w:szCs w:val="20"/>
              </w:rPr>
              <w:t>2306.4</w:t>
            </w:r>
            <w:r w:rsidRPr="00EC4EC4">
              <w:rPr>
                <w:rFonts w:eastAsia="Times New Roman" w:cs="Times New Roman"/>
                <w:sz w:val="20"/>
                <w:szCs w:val="20"/>
              </w:rPr>
              <w:t>]</w:t>
            </w:r>
            <w:r w:rsidRPr="00EC4EC4">
              <w:rPr>
                <w:rFonts w:eastAsia="Times New Roman" w:cs="Times New Roman"/>
                <w:sz w:val="20"/>
                <w:szCs w:val="20"/>
                <w:u w:val="single"/>
              </w:rPr>
              <w:t>3206.4</w:t>
            </w:r>
            <w:r w:rsidRPr="00EC4EC4">
              <w:rPr>
                <w:rFonts w:eastAsia="Times New Roman" w:cs="Times New Roman"/>
                <w:sz w:val="20"/>
                <w:szCs w:val="20"/>
              </w:rPr>
              <w:t xml:space="preserve"> </w:t>
            </w:r>
          </w:p>
        </w:tc>
      </w:tr>
      <w:tr w:rsidR="00140B7C" w:rsidRPr="00EC4EC4" w14:paraId="16B0216A" w14:textId="77777777" w:rsidTr="00BC1087">
        <w:trPr>
          <w:trHeight w:val="232"/>
          <w:jc w:val="center"/>
        </w:trPr>
        <w:tc>
          <w:tcPr>
            <w:tcW w:w="4968" w:type="dxa"/>
            <w:tcBorders>
              <w:top w:val="single" w:sz="8" w:space="0" w:color="000000"/>
              <w:bottom w:val="single" w:sz="8" w:space="0" w:color="000000"/>
              <w:right w:val="single" w:sz="8" w:space="0" w:color="000000"/>
            </w:tcBorders>
          </w:tcPr>
          <w:p w14:paraId="401FED0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lastRenderedPageBreak/>
              <w:t xml:space="preserve">Substandard width public streets; buildings on </w:t>
            </w:r>
          </w:p>
        </w:tc>
        <w:tc>
          <w:tcPr>
            <w:tcW w:w="2672" w:type="dxa"/>
            <w:tcBorders>
              <w:top w:val="single" w:sz="8" w:space="0" w:color="000000"/>
              <w:left w:val="single" w:sz="8" w:space="0" w:color="000000"/>
              <w:bottom w:val="single" w:sz="8" w:space="0" w:color="000000"/>
            </w:tcBorders>
          </w:tcPr>
          <w:p w14:paraId="23D3FD7B"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FC 503.8.2 </w:t>
            </w:r>
          </w:p>
        </w:tc>
      </w:tr>
      <w:tr w:rsidR="00140B7C" w:rsidRPr="00EC4EC4" w14:paraId="42A987C6" w14:textId="77777777" w:rsidTr="00BC1087">
        <w:trPr>
          <w:trHeight w:val="178"/>
          <w:jc w:val="center"/>
        </w:trPr>
        <w:tc>
          <w:tcPr>
            <w:tcW w:w="4968" w:type="dxa"/>
            <w:tcBorders>
              <w:top w:val="single" w:sz="8" w:space="0" w:color="000000"/>
              <w:bottom w:val="single" w:sz="8" w:space="0" w:color="000000"/>
              <w:right w:val="single" w:sz="8" w:space="0" w:color="000000"/>
            </w:tcBorders>
          </w:tcPr>
          <w:p w14:paraId="7DFEAF27"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Textile ceiling finish </w:t>
            </w:r>
          </w:p>
        </w:tc>
        <w:tc>
          <w:tcPr>
            <w:tcW w:w="2672" w:type="dxa"/>
            <w:tcBorders>
              <w:top w:val="single" w:sz="8" w:space="0" w:color="000000"/>
              <w:left w:val="single" w:sz="8" w:space="0" w:color="000000"/>
              <w:bottom w:val="single" w:sz="8" w:space="0" w:color="000000"/>
            </w:tcBorders>
          </w:tcPr>
          <w:p w14:paraId="2E926E98"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803 </w:t>
            </w:r>
          </w:p>
        </w:tc>
      </w:tr>
      <w:tr w:rsidR="00140B7C" w:rsidRPr="00EC4EC4" w14:paraId="360DFD9B"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7CCA8680"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Textile wall coverings </w:t>
            </w:r>
          </w:p>
        </w:tc>
        <w:tc>
          <w:tcPr>
            <w:tcW w:w="2672" w:type="dxa"/>
            <w:tcBorders>
              <w:top w:val="single" w:sz="8" w:space="0" w:color="000000"/>
              <w:left w:val="single" w:sz="8" w:space="0" w:color="000000"/>
              <w:bottom w:val="single" w:sz="8" w:space="0" w:color="000000"/>
            </w:tcBorders>
          </w:tcPr>
          <w:p w14:paraId="0096D8F6"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BC 803</w:t>
            </w:r>
          </w:p>
        </w:tc>
      </w:tr>
      <w:tr w:rsidR="00140B7C" w:rsidRPr="00EC4EC4" w14:paraId="5864F59E" w14:textId="77777777" w:rsidTr="00BC1087">
        <w:trPr>
          <w:trHeight w:val="205"/>
          <w:jc w:val="center"/>
        </w:trPr>
        <w:tc>
          <w:tcPr>
            <w:tcW w:w="4968" w:type="dxa"/>
            <w:tcBorders>
              <w:top w:val="single" w:sz="8" w:space="0" w:color="000000"/>
              <w:bottom w:val="single" w:sz="8" w:space="0" w:color="000000"/>
              <w:right w:val="single" w:sz="8" w:space="0" w:color="000000"/>
            </w:tcBorders>
          </w:tcPr>
          <w:p w14:paraId="51C6EB8A"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Underground buildings and spaces</w:t>
            </w:r>
          </w:p>
        </w:tc>
        <w:tc>
          <w:tcPr>
            <w:tcW w:w="2672" w:type="dxa"/>
            <w:tcBorders>
              <w:top w:val="single" w:sz="8" w:space="0" w:color="000000"/>
              <w:left w:val="single" w:sz="8" w:space="0" w:color="000000"/>
              <w:bottom w:val="single" w:sz="8" w:space="0" w:color="000000"/>
            </w:tcBorders>
          </w:tcPr>
          <w:p w14:paraId="5746F655"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405.3 </w:t>
            </w:r>
          </w:p>
        </w:tc>
      </w:tr>
      <w:tr w:rsidR="00140B7C" w:rsidRPr="00EC4EC4" w14:paraId="6A9185A0" w14:textId="77777777" w:rsidTr="00BC1087">
        <w:trPr>
          <w:trHeight w:val="187"/>
          <w:jc w:val="center"/>
        </w:trPr>
        <w:tc>
          <w:tcPr>
            <w:tcW w:w="4968" w:type="dxa"/>
            <w:tcBorders>
              <w:top w:val="single" w:sz="8" w:space="0" w:color="000000"/>
              <w:bottom w:val="single" w:sz="8" w:space="0" w:color="000000"/>
              <w:right w:val="single" w:sz="8" w:space="0" w:color="000000"/>
            </w:tcBorders>
          </w:tcPr>
          <w:p w14:paraId="342F86F7"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Unlimited area buildings </w:t>
            </w:r>
          </w:p>
        </w:tc>
        <w:tc>
          <w:tcPr>
            <w:tcW w:w="2672" w:type="dxa"/>
            <w:tcBorders>
              <w:top w:val="single" w:sz="8" w:space="0" w:color="000000"/>
              <w:left w:val="single" w:sz="8" w:space="0" w:color="000000"/>
              <w:bottom w:val="single" w:sz="8" w:space="0" w:color="000000"/>
            </w:tcBorders>
          </w:tcPr>
          <w:p w14:paraId="1E598008" w14:textId="77777777" w:rsidR="00140B7C" w:rsidRPr="00EC4EC4" w:rsidRDefault="00140B7C" w:rsidP="00BC1087">
            <w:pPr>
              <w:suppressAutoHyphens/>
              <w:autoSpaceDE w:val="0"/>
              <w:autoSpaceDN w:val="0"/>
              <w:adjustRightInd w:val="0"/>
              <w:spacing w:before="120" w:after="120" w:line="240" w:lineRule="auto"/>
              <w:jc w:val="both"/>
              <w:rPr>
                <w:rFonts w:eastAsia="Times New Roman" w:cs="Times New Roman"/>
                <w:sz w:val="20"/>
                <w:szCs w:val="20"/>
              </w:rPr>
            </w:pPr>
            <w:r w:rsidRPr="00EC4EC4">
              <w:rPr>
                <w:rFonts w:eastAsia="Times New Roman" w:cs="Times New Roman"/>
                <w:sz w:val="20"/>
                <w:szCs w:val="20"/>
              </w:rPr>
              <w:t xml:space="preserve">BC 507 </w:t>
            </w:r>
          </w:p>
        </w:tc>
      </w:tr>
    </w:tbl>
    <w:p w14:paraId="6BC03958" w14:textId="77777777" w:rsidR="00140B7C" w:rsidRPr="00EC4EC4" w:rsidRDefault="00140B7C" w:rsidP="00140B7C">
      <w:pPr>
        <w:tabs>
          <w:tab w:val="left" w:pos="-2520"/>
        </w:tabs>
        <w:spacing w:after="240" w:line="240" w:lineRule="auto"/>
        <w:jc w:val="both"/>
        <w:rPr>
          <w:rFonts w:eastAsia="Times New Roman" w:cs="Times New Roman"/>
          <w:color w:val="000000"/>
          <w:spacing w:val="1"/>
          <w:szCs w:val="24"/>
        </w:rPr>
      </w:pPr>
    </w:p>
    <w:p w14:paraId="4864C63A" w14:textId="058D91B2"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13</w:t>
      </w:r>
      <w:r w:rsidR="00D109C6">
        <w:rPr>
          <w:rFonts w:cs="Times New Roman"/>
          <w:sz w:val="23"/>
          <w:szCs w:val="23"/>
        </w:rPr>
        <w:t>7</w:t>
      </w:r>
      <w:r w:rsidRPr="00EC4EC4">
        <w:rPr>
          <w:rFonts w:cs="Times New Roman"/>
          <w:sz w:val="23"/>
          <w:szCs w:val="23"/>
        </w:rPr>
        <w:t>. Section 903.3.1.1 of  the New York city building code, as amended by local law number 126 for the year 2021, is amended to read as follows:</w:t>
      </w:r>
    </w:p>
    <w:p w14:paraId="5D157037"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bookmarkStart w:id="66" w:name="_Toc389735066"/>
      <w:bookmarkStart w:id="67" w:name="_Toc389743628"/>
      <w:bookmarkEnd w:id="60"/>
      <w:bookmarkEnd w:id="61"/>
      <w:r w:rsidRPr="00EC4EC4">
        <w:rPr>
          <w:rFonts w:eastAsia="Times New Roman" w:cs="Times New Roman"/>
          <w:b/>
          <w:bCs/>
          <w:iCs/>
          <w:szCs w:val="24"/>
        </w:rPr>
        <w:t>903.3.1.1 NFPA 13 sprinkler systems.</w:t>
      </w:r>
      <w:bookmarkEnd w:id="66"/>
      <w:bookmarkEnd w:id="67"/>
      <w:r w:rsidRPr="00EC4EC4">
        <w:rPr>
          <w:rFonts w:eastAsia="Times New Roman" w:cs="Times New Roman"/>
          <w:b/>
          <w:bCs/>
          <w:spacing w:val="-8"/>
          <w:w w:val="110"/>
          <w:szCs w:val="24"/>
        </w:rPr>
        <w:t xml:space="preserve"> </w:t>
      </w:r>
      <w:r w:rsidRPr="00EC4EC4">
        <w:rPr>
          <w:rFonts w:eastAsia="Times New Roman" w:cs="Times New Roman"/>
          <w:szCs w:val="24"/>
        </w:rPr>
        <w:t xml:space="preserve">Where the provisions of this code require that a building or portion thereof be equipped throughout with an automatic </w:t>
      </w:r>
      <w:r w:rsidRPr="00EC4EC4">
        <w:rPr>
          <w:rFonts w:eastAsia="Times New Roman" w:cs="Times New Roman"/>
          <w:iCs/>
          <w:szCs w:val="24"/>
        </w:rPr>
        <w:t>sprinkler</w:t>
      </w:r>
      <w:r w:rsidRPr="00EC4EC4">
        <w:rPr>
          <w:rFonts w:eastAsia="Times New Roman" w:cs="Times New Roman"/>
          <w:szCs w:val="24"/>
        </w:rPr>
        <w:t xml:space="preserve"> system in accordance with this section, sprinklers shall be installed throughout in accordance with NFPA 13 </w:t>
      </w:r>
      <w:r w:rsidRPr="00EC4EC4">
        <w:rPr>
          <w:rFonts w:eastAsia="Times New Roman" w:cs="Times New Roman"/>
          <w:spacing w:val="1"/>
          <w:szCs w:val="24"/>
        </w:rPr>
        <w:t>e</w:t>
      </w:r>
      <w:r w:rsidRPr="00EC4EC4">
        <w:rPr>
          <w:rFonts w:eastAsia="Times New Roman" w:cs="Times New Roman"/>
          <w:szCs w:val="24"/>
        </w:rPr>
        <w:t>xcept as provided in [</w:t>
      </w:r>
      <w:r w:rsidRPr="00EC4EC4">
        <w:rPr>
          <w:rFonts w:eastAsia="Times New Roman" w:cs="Times New Roman"/>
          <w:strike/>
          <w:spacing w:val="1"/>
          <w:szCs w:val="24"/>
        </w:rPr>
        <w:t>Section</w:t>
      </w:r>
      <w:r w:rsidRPr="00EC4EC4">
        <w:rPr>
          <w:rFonts w:eastAsia="Times New Roman" w:cs="Times New Roman"/>
          <w:spacing w:val="1"/>
          <w:szCs w:val="24"/>
        </w:rPr>
        <w:t>]</w:t>
      </w:r>
      <w:r w:rsidRPr="00EC4EC4">
        <w:rPr>
          <w:rFonts w:eastAsia="Times New Roman" w:cs="Times New Roman"/>
          <w:spacing w:val="1"/>
          <w:szCs w:val="24"/>
          <w:u w:val="single"/>
        </w:rPr>
        <w:t>Sections</w:t>
      </w:r>
      <w:r w:rsidRPr="00C23557">
        <w:rPr>
          <w:rFonts w:eastAsia="Times New Roman" w:cs="Times New Roman"/>
          <w:szCs w:val="24"/>
        </w:rPr>
        <w:t xml:space="preserve"> </w:t>
      </w:r>
      <w:r w:rsidRPr="00EC4EC4">
        <w:rPr>
          <w:rFonts w:eastAsia="Times New Roman" w:cs="Times New Roman"/>
          <w:szCs w:val="24"/>
        </w:rPr>
        <w:t>903.3.1.1.1 and 903.2 of this code.</w:t>
      </w:r>
    </w:p>
    <w:p w14:paraId="1A7EE352" w14:textId="5DC5E76A" w:rsidR="00140B7C" w:rsidRPr="00EC4EC4" w:rsidRDefault="00140B7C" w:rsidP="00140B7C">
      <w:pPr>
        <w:kinsoku w:val="0"/>
        <w:spacing w:after="240" w:line="240" w:lineRule="auto"/>
        <w:ind w:firstLine="720"/>
        <w:jc w:val="both"/>
        <w:rPr>
          <w:rFonts w:eastAsia="Times New Roman" w:cs="Times New Roman"/>
          <w:b/>
          <w:bCs/>
          <w:szCs w:val="24"/>
        </w:rPr>
      </w:pPr>
      <w:bookmarkStart w:id="68" w:name="_Toc389735067"/>
      <w:bookmarkStart w:id="69" w:name="_Toc389743629"/>
      <w:r w:rsidRPr="00EC4EC4">
        <w:rPr>
          <w:rFonts w:cs="Times New Roman"/>
          <w:sz w:val="23"/>
          <w:szCs w:val="23"/>
        </w:rPr>
        <w:t>§</w:t>
      </w:r>
      <w:r>
        <w:rPr>
          <w:rFonts w:cs="Times New Roman"/>
          <w:sz w:val="23"/>
          <w:szCs w:val="23"/>
        </w:rPr>
        <w:t>13</w:t>
      </w:r>
      <w:r w:rsidR="00D109C6">
        <w:rPr>
          <w:rFonts w:cs="Times New Roman"/>
          <w:sz w:val="23"/>
          <w:szCs w:val="23"/>
        </w:rPr>
        <w:t>8</w:t>
      </w:r>
      <w:r w:rsidRPr="00EC4EC4">
        <w:rPr>
          <w:rFonts w:cs="Times New Roman"/>
          <w:sz w:val="23"/>
          <w:szCs w:val="23"/>
        </w:rPr>
        <w:t>. Section 903.3.2 of  the New York city building code, as amended by local law number 126 for the year 2021, is amended to read as follows:</w:t>
      </w:r>
    </w:p>
    <w:p w14:paraId="10E38580" w14:textId="77777777" w:rsidR="00140B7C" w:rsidRPr="00EC4EC4" w:rsidRDefault="00140B7C" w:rsidP="00140B7C">
      <w:pPr>
        <w:pStyle w:val="FlushLeftDouble"/>
      </w:pPr>
      <w:bookmarkStart w:id="70" w:name="_Toc389735073"/>
      <w:bookmarkStart w:id="71" w:name="_Toc389743635"/>
      <w:bookmarkEnd w:id="68"/>
      <w:bookmarkEnd w:id="69"/>
      <w:r w:rsidRPr="00EC4EC4">
        <w:rPr>
          <w:b/>
          <w:bCs/>
        </w:rPr>
        <w:t>903.3.2 Quick-response and residential sprinklers.</w:t>
      </w:r>
      <w:bookmarkEnd w:id="70"/>
      <w:bookmarkEnd w:id="71"/>
      <w:r w:rsidRPr="00EC4EC4">
        <w:rPr>
          <w:b/>
          <w:bCs/>
          <w:spacing w:val="-5"/>
          <w:w w:val="110"/>
        </w:rPr>
        <w:t xml:space="preserve"> </w:t>
      </w:r>
      <w:r w:rsidRPr="00EC4EC4">
        <w:t xml:space="preserve">Where automatic sprinkler systems are required by this code, quick-response or residential automatic sprinklers shall be installed in </w:t>
      </w:r>
      <w:r w:rsidRPr="00EC4EC4">
        <w:rPr>
          <w:bCs/>
        </w:rPr>
        <w:t xml:space="preserve">all of </w:t>
      </w:r>
      <w:r w:rsidRPr="00EC4EC4">
        <w:t>the following areas in accordance with Section 903.3.1 and their listings:</w:t>
      </w:r>
    </w:p>
    <w:p w14:paraId="038548A2"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color w:val="000000"/>
          <w:szCs w:val="24"/>
        </w:rPr>
        <w:t>1.</w:t>
      </w:r>
      <w:r w:rsidRPr="00EC4EC4">
        <w:rPr>
          <w:rFonts w:eastAsia="Times New Roman" w:cs="Times New Roman"/>
          <w:color w:val="000000"/>
          <w:szCs w:val="24"/>
        </w:rPr>
        <w:tab/>
        <w:t xml:space="preserve">Throughout all spaces within a smoke compartment containing </w:t>
      </w:r>
      <w:r w:rsidRPr="00EC4EC4">
        <w:rPr>
          <w:rFonts w:eastAsia="Times New Roman" w:cs="Times New Roman"/>
          <w:spacing w:val="1"/>
          <w:szCs w:val="24"/>
        </w:rPr>
        <w:t>c</w:t>
      </w:r>
      <w:r w:rsidRPr="00EC4EC4">
        <w:rPr>
          <w:rFonts w:eastAsia="Times New Roman" w:cs="Times New Roman"/>
          <w:color w:val="000000"/>
          <w:szCs w:val="24"/>
        </w:rPr>
        <w:t xml:space="preserve">are recipient </w:t>
      </w:r>
      <w:r w:rsidRPr="00EC4EC4">
        <w:rPr>
          <w:rFonts w:eastAsia="Times New Roman" w:cs="Times New Roman"/>
          <w:iCs/>
          <w:color w:val="000000"/>
          <w:szCs w:val="24"/>
        </w:rPr>
        <w:t>sleeping</w:t>
      </w:r>
      <w:r w:rsidRPr="00EC4EC4">
        <w:rPr>
          <w:rFonts w:eastAsia="Times New Roman" w:cs="Times New Roman"/>
          <w:color w:val="000000"/>
          <w:szCs w:val="24"/>
        </w:rPr>
        <w:t xml:space="preserve"> units in Group I-2 in accordance with this code.</w:t>
      </w:r>
    </w:p>
    <w:p w14:paraId="2B402D1E" w14:textId="77777777" w:rsidR="00140B7C" w:rsidRPr="00EC4EC4" w:rsidRDefault="00140B7C" w:rsidP="00140B7C">
      <w:pPr>
        <w:spacing w:after="240" w:line="240" w:lineRule="auto"/>
        <w:ind w:left="1080" w:hanging="360"/>
        <w:jc w:val="both"/>
        <w:rPr>
          <w:rFonts w:eastAsia="Times New Roman" w:cs="Times New Roman"/>
          <w:color w:val="000000"/>
          <w:szCs w:val="24"/>
        </w:rPr>
      </w:pPr>
      <w:r w:rsidRPr="00EC4EC4">
        <w:rPr>
          <w:rFonts w:eastAsia="Times New Roman" w:cs="Times New Roman"/>
          <w:color w:val="000000"/>
          <w:szCs w:val="24"/>
        </w:rPr>
        <w:t>2.</w:t>
      </w:r>
      <w:r w:rsidRPr="00EC4EC4">
        <w:rPr>
          <w:rFonts w:eastAsia="Times New Roman" w:cs="Times New Roman"/>
          <w:color w:val="000000"/>
          <w:szCs w:val="24"/>
        </w:rPr>
        <w:tab/>
        <w:t>Throughout all spaces within a smoke compartment containing treatment rooms in ambulatory care facilities.</w:t>
      </w:r>
    </w:p>
    <w:p w14:paraId="580FAF90"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color w:val="000000"/>
          <w:szCs w:val="24"/>
          <w:u w:val="single"/>
        </w:rPr>
        <w:t>3.</w:t>
      </w:r>
      <w:r w:rsidRPr="00EC4EC4">
        <w:rPr>
          <w:rFonts w:eastAsia="Times New Roman" w:cs="Times New Roman"/>
          <w:color w:val="000000"/>
          <w:szCs w:val="24"/>
        </w:rPr>
        <w:tab/>
        <w:t xml:space="preserve">Dwelling units and </w:t>
      </w:r>
      <w:r w:rsidRPr="00EC4EC4">
        <w:rPr>
          <w:rFonts w:eastAsia="Times New Roman" w:cs="Times New Roman"/>
          <w:iCs/>
          <w:color w:val="000000"/>
          <w:szCs w:val="24"/>
        </w:rPr>
        <w:t>sleeping units</w:t>
      </w:r>
      <w:r w:rsidRPr="00EC4EC4">
        <w:rPr>
          <w:rFonts w:eastAsia="Times New Roman" w:cs="Times New Roman"/>
          <w:color w:val="000000"/>
          <w:szCs w:val="24"/>
        </w:rPr>
        <w:t xml:space="preserve"> in Group I-1 and R occupancies.</w:t>
      </w:r>
    </w:p>
    <w:p w14:paraId="6CCF1514"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color w:val="000000"/>
          <w:szCs w:val="24"/>
        </w:rPr>
      </w:pPr>
      <w:r w:rsidRPr="00EC4EC4">
        <w:rPr>
          <w:rFonts w:eastAsia="Times New Roman" w:cs="Times New Roman"/>
          <w:color w:val="000000"/>
          <w:szCs w:val="24"/>
          <w:u w:val="single"/>
        </w:rPr>
        <w:t>4.</w:t>
      </w:r>
      <w:r w:rsidRPr="00EC4EC4">
        <w:rPr>
          <w:rFonts w:eastAsia="Times New Roman" w:cs="Times New Roman"/>
          <w:color w:val="000000"/>
          <w:szCs w:val="24"/>
        </w:rPr>
        <w:tab/>
        <w:t>Light-hazard occupancies as defined in NFPA 13.</w:t>
      </w:r>
    </w:p>
    <w:p w14:paraId="5F68A470" w14:textId="51174832" w:rsidR="00140B7C" w:rsidRPr="00EC4EC4" w:rsidRDefault="00140B7C" w:rsidP="00140B7C">
      <w:pPr>
        <w:kinsoku w:val="0"/>
        <w:spacing w:after="240" w:line="240" w:lineRule="auto"/>
        <w:ind w:firstLine="720"/>
        <w:jc w:val="both"/>
        <w:rPr>
          <w:rFonts w:eastAsia="Times New Roman" w:cs="Times New Roman"/>
          <w:b/>
          <w:bCs/>
          <w:szCs w:val="24"/>
        </w:rPr>
      </w:pPr>
      <w:bookmarkStart w:id="72" w:name="_Hlk115089959"/>
      <w:bookmarkStart w:id="73" w:name="_Toc389735314"/>
      <w:bookmarkStart w:id="74" w:name="_Toc389743876"/>
      <w:bookmarkEnd w:id="62"/>
      <w:bookmarkEnd w:id="63"/>
      <w:bookmarkEnd w:id="64"/>
      <w:bookmarkEnd w:id="65"/>
      <w:r w:rsidRPr="00EC4EC4">
        <w:rPr>
          <w:rFonts w:cs="Times New Roman"/>
          <w:sz w:val="23"/>
          <w:szCs w:val="23"/>
        </w:rPr>
        <w:t>§</w:t>
      </w:r>
      <w:r>
        <w:rPr>
          <w:rFonts w:cs="Times New Roman"/>
          <w:sz w:val="23"/>
          <w:szCs w:val="23"/>
        </w:rPr>
        <w:t>13</w:t>
      </w:r>
      <w:r w:rsidR="00D109C6">
        <w:rPr>
          <w:rFonts w:cs="Times New Roman"/>
          <w:sz w:val="23"/>
          <w:szCs w:val="23"/>
        </w:rPr>
        <w:t>9</w:t>
      </w:r>
      <w:r w:rsidRPr="00EC4EC4">
        <w:rPr>
          <w:rFonts w:cs="Times New Roman"/>
          <w:sz w:val="23"/>
          <w:szCs w:val="23"/>
        </w:rPr>
        <w:t>. Section 907.2.13.3 of  the New York city building code, as amended by local law number 126 for the year 2021, is amended to read as follows:</w:t>
      </w:r>
    </w:p>
    <w:bookmarkEnd w:id="72"/>
    <w:p w14:paraId="4C794669" w14:textId="77777777" w:rsidR="00140B7C" w:rsidRPr="00EC4EC4" w:rsidRDefault="00140B7C" w:rsidP="00140B7C">
      <w:pPr>
        <w:spacing w:after="240" w:line="240" w:lineRule="auto"/>
        <w:ind w:left="720"/>
        <w:jc w:val="both"/>
        <w:rPr>
          <w:rFonts w:eastAsia="Times New Roman" w:cs="Times New Roman"/>
          <w:szCs w:val="24"/>
        </w:rPr>
      </w:pPr>
      <w:r w:rsidRPr="00EC4EC4">
        <w:rPr>
          <w:rFonts w:eastAsia="Times New Roman" w:cs="Times New Roman"/>
          <w:b/>
          <w:bCs/>
          <w:szCs w:val="24"/>
        </w:rPr>
        <w:t>907.2.13.3 [</w:t>
      </w:r>
      <w:r w:rsidRPr="00EC4EC4">
        <w:rPr>
          <w:rFonts w:eastAsia="Times New Roman" w:cs="Times New Roman"/>
          <w:b/>
          <w:bCs/>
          <w:strike/>
          <w:szCs w:val="24"/>
        </w:rPr>
        <w:t>Two-Way Communication System</w:t>
      </w:r>
      <w:r w:rsidRPr="00EC4EC4">
        <w:rPr>
          <w:rFonts w:eastAsia="Times New Roman" w:cs="Times New Roman"/>
          <w:b/>
          <w:bCs/>
          <w:szCs w:val="24"/>
        </w:rPr>
        <w:t>]</w:t>
      </w:r>
      <w:r w:rsidRPr="00EC4EC4">
        <w:rPr>
          <w:rFonts w:eastAsia="Times New Roman" w:cs="Times New Roman"/>
          <w:b/>
          <w:bCs/>
          <w:szCs w:val="24"/>
          <w:u w:val="single"/>
        </w:rPr>
        <w:t>Two-way communication system</w:t>
      </w:r>
      <w:r w:rsidRPr="00EC4EC4">
        <w:rPr>
          <w:rFonts w:eastAsia="Times New Roman" w:cs="Times New Roman"/>
          <w:b/>
          <w:bCs/>
          <w:szCs w:val="24"/>
        </w:rPr>
        <w:t xml:space="preserve">. </w:t>
      </w:r>
      <w:r w:rsidRPr="00EC4EC4">
        <w:rPr>
          <w:rFonts w:eastAsia="Times New Roman" w:cs="Times New Roman"/>
          <w:szCs w:val="24"/>
        </w:rPr>
        <w:t xml:space="preserve">A two-way voice communication system (warden) phone that complies with the requirements of NFPA 72 shall be provided in the following locations and shall comply with the following requirements. Such phones shall communicate with the fire command center. </w:t>
      </w:r>
    </w:p>
    <w:p w14:paraId="638F0F4C" w14:textId="77777777" w:rsidR="00140B7C" w:rsidRPr="00EC4EC4" w:rsidRDefault="00140B7C" w:rsidP="00140B7C">
      <w:pPr>
        <w:spacing w:after="240" w:line="240" w:lineRule="auto"/>
        <w:ind w:left="1440" w:hanging="360"/>
        <w:jc w:val="both"/>
        <w:rPr>
          <w:rFonts w:eastAsia="Times New Roman" w:cs="Times New Roman"/>
          <w:szCs w:val="24"/>
        </w:rPr>
      </w:pPr>
      <w:r w:rsidRPr="00EC4EC4">
        <w:rPr>
          <w:rFonts w:eastAsia="Times New Roman" w:cs="Times New Roman"/>
          <w:szCs w:val="24"/>
        </w:rPr>
        <w:lastRenderedPageBreak/>
        <w:t>1.</w:t>
      </w:r>
      <w:r w:rsidRPr="00EC4EC4">
        <w:rPr>
          <w:rFonts w:eastAsia="Times New Roman" w:cs="Times New Roman"/>
          <w:szCs w:val="24"/>
        </w:rPr>
        <w:tab/>
        <w:t xml:space="preserve">In Group B high-rise office buildings and large area office buildings, there shall be a minimum of two phones located on every floor accessible to all occupants, with each phone located within 5 feet (1524 mm) of a different exit stair. </w:t>
      </w:r>
    </w:p>
    <w:p w14:paraId="024AB8B2" w14:textId="77777777" w:rsidR="00140B7C" w:rsidRPr="00EC4EC4" w:rsidRDefault="00140B7C" w:rsidP="00140B7C">
      <w:pPr>
        <w:spacing w:after="240" w:line="240" w:lineRule="auto"/>
        <w:ind w:left="144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Where elevator lobbies are permitted to be locked, the phones provided are permitted to be connected to the fire alarm system.</w:t>
      </w:r>
    </w:p>
    <w:p w14:paraId="079C2F3A" w14:textId="77777777" w:rsidR="00140B7C" w:rsidRPr="00EC4EC4" w:rsidRDefault="00140B7C" w:rsidP="00140B7C">
      <w:pPr>
        <w:spacing w:after="240" w:line="240" w:lineRule="auto"/>
        <w:ind w:left="144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If phones are provided in areas of rescue assistance and refuge areas, the phones are permitted to be connected to the fire alarm system.</w:t>
      </w:r>
    </w:p>
    <w:p w14:paraId="0DCC7E25" w14:textId="77777777" w:rsidR="00140B7C" w:rsidRPr="00EC4EC4" w:rsidRDefault="00140B7C" w:rsidP="00140B7C">
      <w:pPr>
        <w:spacing w:after="240" w:line="240" w:lineRule="auto"/>
        <w:ind w:left="144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Where phones are provided to meet the requirements for stairway communication systems in Section 403.5.3.1, the phones are permitted to be connected to the fire alarm system.</w:t>
      </w:r>
    </w:p>
    <w:p w14:paraId="79101324" w14:textId="77777777" w:rsidR="00140B7C" w:rsidRPr="00EC4EC4" w:rsidRDefault="00140B7C" w:rsidP="00140B7C">
      <w:pPr>
        <w:spacing w:after="240" w:line="240" w:lineRule="auto"/>
        <w:ind w:left="1440" w:hanging="360"/>
        <w:jc w:val="both"/>
        <w:rPr>
          <w:rFonts w:eastAsia="Times New Roman" w:cs="Times New Roman"/>
          <w:b/>
          <w:bCs/>
          <w:szCs w:val="24"/>
        </w:rPr>
      </w:pPr>
      <w:r w:rsidRPr="00EC4EC4">
        <w:rPr>
          <w:rFonts w:eastAsia="Times New Roman" w:cs="Times New Roman"/>
          <w:szCs w:val="24"/>
        </w:rPr>
        <w:t>5.</w:t>
      </w:r>
      <w:r w:rsidRPr="00EC4EC4">
        <w:rPr>
          <w:rFonts w:eastAsia="Times New Roman" w:cs="Times New Roman"/>
          <w:bCs/>
          <w:szCs w:val="24"/>
        </w:rPr>
        <w:tab/>
      </w:r>
      <w:r w:rsidRPr="00EC4EC4">
        <w:rPr>
          <w:rFonts w:eastAsia="Times New Roman" w:cs="Times New Roman"/>
          <w:szCs w:val="24"/>
        </w:rPr>
        <w:t xml:space="preserve">In all Group I-2 buildings, there </w:t>
      </w:r>
      <w:r w:rsidRPr="00EC4EC4">
        <w:rPr>
          <w:rFonts w:eastAsia="Times New Roman" w:cs="Times New Roman"/>
          <w:bCs/>
          <w:szCs w:val="24"/>
        </w:rPr>
        <w:t>shall be a phone located at staff attended locations, such as nurses’ stations or similar locations accessible to all staff members, on every patient floor per fire/smoke zone. Phones shall also be located in areas of the building where the fire alarm does not sound.</w:t>
      </w:r>
    </w:p>
    <w:p w14:paraId="78BB487E" w14:textId="77777777" w:rsidR="00140B7C" w:rsidRPr="00EC4EC4" w:rsidRDefault="00140B7C" w:rsidP="00140B7C">
      <w:pPr>
        <w:spacing w:after="240" w:line="240" w:lineRule="auto"/>
        <w:ind w:left="1440"/>
        <w:jc w:val="both"/>
        <w:rPr>
          <w:rFonts w:eastAsia="Times New Roman" w:cs="Times New Roman"/>
          <w:szCs w:val="24"/>
        </w:rPr>
      </w:pPr>
      <w:r w:rsidRPr="00EC4EC4">
        <w:rPr>
          <w:rFonts w:eastAsia="Times New Roman" w:cs="Times New Roman"/>
          <w:b/>
          <w:bCs/>
          <w:szCs w:val="24"/>
        </w:rPr>
        <w:t xml:space="preserve">Exception: </w:t>
      </w:r>
      <w:r w:rsidRPr="00EC4EC4">
        <w:rPr>
          <w:rFonts w:eastAsia="Times New Roman" w:cs="Times New Roman"/>
          <w:szCs w:val="24"/>
        </w:rPr>
        <w:t>Group R-2 occupancies.</w:t>
      </w:r>
    </w:p>
    <w:p w14:paraId="43D90E79" w14:textId="2F8DF441"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w:t>
      </w:r>
      <w:r w:rsidR="00D109C6">
        <w:rPr>
          <w:rFonts w:cs="Times New Roman"/>
          <w:sz w:val="23"/>
          <w:szCs w:val="23"/>
        </w:rPr>
        <w:t>40</w:t>
      </w:r>
      <w:r w:rsidRPr="00EC4EC4">
        <w:rPr>
          <w:rFonts w:cs="Times New Roman"/>
          <w:sz w:val="23"/>
          <w:szCs w:val="23"/>
        </w:rPr>
        <w:t>. Section 909.5 of  the New York city building code, as amended by local law number 126 for the year 2021, is amended to read as follows:</w:t>
      </w:r>
    </w:p>
    <w:p w14:paraId="790D05CE" w14:textId="77777777" w:rsidR="00140B7C" w:rsidRPr="00EC4EC4" w:rsidRDefault="00140B7C" w:rsidP="00140B7C">
      <w:pPr>
        <w:pStyle w:val="FlushLeft"/>
        <w:rPr>
          <w:szCs w:val="24"/>
        </w:rPr>
      </w:pPr>
      <w:bookmarkStart w:id="75" w:name="_Toc389735326"/>
      <w:bookmarkStart w:id="76" w:name="_Toc389743888"/>
      <w:bookmarkEnd w:id="73"/>
      <w:bookmarkEnd w:id="74"/>
      <w:r w:rsidRPr="00EC4EC4">
        <w:rPr>
          <w:b/>
          <w:bCs/>
          <w:szCs w:val="24"/>
        </w:rPr>
        <w:t>909.5 Smoke barrier construction.</w:t>
      </w:r>
      <w:bookmarkEnd w:id="75"/>
      <w:bookmarkEnd w:id="76"/>
      <w:r w:rsidRPr="00EC4EC4">
        <w:rPr>
          <w:b/>
          <w:bCs/>
          <w:spacing w:val="-3"/>
          <w:w w:val="110"/>
          <w:szCs w:val="24"/>
        </w:rPr>
        <w:t xml:space="preserve"> </w:t>
      </w:r>
      <w:r w:rsidRPr="00EC4EC4">
        <w:rPr>
          <w:szCs w:val="24"/>
        </w:rPr>
        <w:t xml:space="preserve">Smoke barriers </w:t>
      </w:r>
      <w:r w:rsidRPr="00EC4EC4">
        <w:rPr>
          <w:bCs/>
          <w:szCs w:val="24"/>
        </w:rPr>
        <w:t xml:space="preserve">required for passive smoke control and a smoke control system using the pressurization method </w:t>
      </w:r>
      <w:r w:rsidRPr="00EC4EC4">
        <w:rPr>
          <w:szCs w:val="24"/>
        </w:rPr>
        <w:t xml:space="preserve">shall comply with Section </w:t>
      </w:r>
      <w:r w:rsidRPr="00EC4EC4">
        <w:rPr>
          <w:spacing w:val="1"/>
          <w:szCs w:val="24"/>
        </w:rPr>
        <w:t>7</w:t>
      </w:r>
      <w:r w:rsidRPr="00EC4EC4">
        <w:rPr>
          <w:bCs/>
          <w:szCs w:val="24"/>
        </w:rPr>
        <w:t>09</w:t>
      </w:r>
      <w:r w:rsidRPr="00EC4EC4">
        <w:rPr>
          <w:szCs w:val="24"/>
        </w:rPr>
        <w:t>. Smoke barriers shall be constructed and sealed to limit leakage areas exclusive of protected openings. The maximum allowable leakage area shall be the aggregate area calculated using the following leakage area ratios:</w:t>
      </w:r>
    </w:p>
    <w:p w14:paraId="03A4A57A"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zCs w:val="24"/>
        </w:rPr>
      </w:pPr>
      <w:r w:rsidRPr="00EC4EC4">
        <w:rPr>
          <w:rFonts w:eastAsia="Times New Roman" w:cs="Times New Roman"/>
          <w:color w:val="000000"/>
          <w:szCs w:val="24"/>
        </w:rPr>
        <w:t>1.</w:t>
      </w:r>
      <w:r w:rsidRPr="00EC4EC4">
        <w:rPr>
          <w:rFonts w:eastAsia="Times New Roman" w:cs="Times New Roman"/>
          <w:color w:val="000000"/>
          <w:szCs w:val="24"/>
        </w:rPr>
        <w:tab/>
        <w:t>Walls</w:t>
      </w:r>
      <w:r w:rsidRPr="00EC4EC4">
        <w:rPr>
          <w:rFonts w:eastAsia="Times New Roman" w:cs="Times New Roman"/>
          <w:spacing w:val="1"/>
          <w:szCs w:val="24"/>
        </w:rPr>
        <w:t>:</w:t>
      </w:r>
      <w:r w:rsidRPr="00EC4EC4">
        <w:rPr>
          <w:rFonts w:eastAsia="Times New Roman" w:cs="Times New Roman"/>
          <w:color w:val="000000"/>
          <w:szCs w:val="24"/>
        </w:rPr>
        <w:t xml:space="preserve"> A/A</w:t>
      </w:r>
      <w:r w:rsidRPr="00EC4EC4">
        <w:rPr>
          <w:rFonts w:eastAsia="Times New Roman" w:cs="Times New Roman"/>
          <w:color w:val="000000"/>
          <w:szCs w:val="24"/>
          <w:vertAlign w:val="subscript"/>
        </w:rPr>
        <w:t>W</w:t>
      </w:r>
      <w:r w:rsidRPr="00EC4EC4">
        <w:rPr>
          <w:rFonts w:eastAsia="Times New Roman" w:cs="Times New Roman"/>
          <w:color w:val="000000"/>
          <w:szCs w:val="24"/>
        </w:rPr>
        <w:t xml:space="preserve"> = 0.00100</w:t>
      </w:r>
    </w:p>
    <w:p w14:paraId="5E6CF3B0"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2.</w:t>
      </w:r>
      <w:r w:rsidRPr="00EC4EC4">
        <w:rPr>
          <w:rFonts w:eastAsia="Times New Roman" w:cs="Times New Roman"/>
          <w:color w:val="000000"/>
          <w:szCs w:val="24"/>
        </w:rPr>
        <w:tab/>
        <w:t xml:space="preserve">Interior </w:t>
      </w:r>
      <w:r w:rsidRPr="00EC4EC4">
        <w:rPr>
          <w:rFonts w:eastAsia="Times New Roman" w:cs="Times New Roman"/>
          <w:iCs/>
          <w:color w:val="000000"/>
          <w:szCs w:val="24"/>
        </w:rPr>
        <w:t>exit stairways</w:t>
      </w:r>
      <w:r w:rsidRPr="00EC4EC4">
        <w:rPr>
          <w:rFonts w:eastAsia="Times New Roman" w:cs="Times New Roman"/>
          <w:color w:val="000000"/>
          <w:szCs w:val="24"/>
        </w:rPr>
        <w:t xml:space="preserve"> and </w:t>
      </w:r>
      <w:r w:rsidRPr="00EC4EC4">
        <w:rPr>
          <w:rFonts w:eastAsia="Times New Roman" w:cs="Times New Roman"/>
          <w:iCs/>
          <w:color w:val="000000"/>
          <w:szCs w:val="24"/>
        </w:rPr>
        <w:t>ramps</w:t>
      </w:r>
      <w:r w:rsidRPr="00EC4EC4">
        <w:rPr>
          <w:rFonts w:eastAsia="Times New Roman" w:cs="Times New Roman"/>
          <w:color w:val="000000"/>
          <w:szCs w:val="24"/>
        </w:rPr>
        <w:t xml:space="preserve"> and </w:t>
      </w:r>
      <w:r w:rsidRPr="00EC4EC4">
        <w:rPr>
          <w:rFonts w:eastAsia="Times New Roman" w:cs="Times New Roman"/>
          <w:iCs/>
          <w:color w:val="000000"/>
          <w:szCs w:val="24"/>
        </w:rPr>
        <w:t>exit passageways</w:t>
      </w:r>
      <w:r w:rsidRPr="00EC4EC4">
        <w:rPr>
          <w:rFonts w:eastAsia="Times New Roman" w:cs="Times New Roman"/>
          <w:color w:val="000000"/>
          <w:szCs w:val="24"/>
        </w:rPr>
        <w:t xml:space="preserve">: </w:t>
      </w:r>
    </w:p>
    <w:p w14:paraId="14CD93E3"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color w:val="000000"/>
          <w:szCs w:val="24"/>
        </w:rPr>
      </w:pPr>
      <w:r w:rsidRPr="00EC4EC4">
        <w:rPr>
          <w:rFonts w:eastAsia="Times New Roman" w:cs="Times New Roman"/>
          <w:color w:val="000000"/>
          <w:szCs w:val="24"/>
        </w:rPr>
        <w:t>A/A</w:t>
      </w:r>
      <w:r w:rsidRPr="00EC4EC4">
        <w:rPr>
          <w:rFonts w:eastAsia="Times New Roman" w:cs="Times New Roman"/>
          <w:color w:val="000000"/>
          <w:szCs w:val="24"/>
          <w:vertAlign w:val="subscript"/>
        </w:rPr>
        <w:t>w</w:t>
      </w:r>
      <w:r w:rsidRPr="00EC4EC4">
        <w:rPr>
          <w:rFonts w:eastAsia="Times New Roman" w:cs="Times New Roman"/>
          <w:color w:val="000000"/>
          <w:szCs w:val="24"/>
        </w:rPr>
        <w:t xml:space="preserve">  = 0.00035</w:t>
      </w:r>
    </w:p>
    <w:p w14:paraId="2DAF22FD"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3.</w:t>
      </w:r>
      <w:r w:rsidRPr="00EC4EC4">
        <w:rPr>
          <w:rFonts w:eastAsia="Times New Roman" w:cs="Times New Roman"/>
          <w:color w:val="000000"/>
          <w:szCs w:val="24"/>
        </w:rPr>
        <w:tab/>
        <w:t xml:space="preserve"> Enclosed </w:t>
      </w:r>
      <w:r w:rsidRPr="00EC4EC4">
        <w:rPr>
          <w:rFonts w:eastAsia="Times New Roman" w:cs="Times New Roman"/>
          <w:iCs/>
          <w:color w:val="000000"/>
          <w:szCs w:val="24"/>
        </w:rPr>
        <w:t>exit access stairways</w:t>
      </w:r>
      <w:r w:rsidRPr="00EC4EC4">
        <w:rPr>
          <w:rFonts w:eastAsia="Times New Roman" w:cs="Times New Roman"/>
          <w:color w:val="000000"/>
          <w:szCs w:val="24"/>
        </w:rPr>
        <w:t xml:space="preserve"> and </w:t>
      </w:r>
      <w:r w:rsidRPr="00EC4EC4">
        <w:rPr>
          <w:rFonts w:eastAsia="Times New Roman" w:cs="Times New Roman"/>
          <w:iCs/>
          <w:color w:val="000000"/>
          <w:szCs w:val="24"/>
        </w:rPr>
        <w:t>ramps</w:t>
      </w:r>
      <w:r w:rsidRPr="00EC4EC4">
        <w:rPr>
          <w:rFonts w:eastAsia="Times New Roman" w:cs="Times New Roman"/>
          <w:color w:val="000000"/>
          <w:szCs w:val="24"/>
        </w:rPr>
        <w:t xml:space="preserve"> and all other shafts: </w:t>
      </w:r>
    </w:p>
    <w:p w14:paraId="32DE0E3D"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szCs w:val="24"/>
        </w:rPr>
      </w:pPr>
      <w:r w:rsidRPr="00EC4EC4">
        <w:rPr>
          <w:rFonts w:eastAsia="Times New Roman" w:cs="Times New Roman"/>
          <w:color w:val="000000"/>
          <w:szCs w:val="24"/>
        </w:rPr>
        <w:t>A/A</w:t>
      </w:r>
      <w:r w:rsidRPr="00EC4EC4">
        <w:rPr>
          <w:rFonts w:eastAsia="Times New Roman" w:cs="Times New Roman"/>
          <w:color w:val="000000"/>
          <w:szCs w:val="24"/>
          <w:vertAlign w:val="subscript"/>
        </w:rPr>
        <w:t>w</w:t>
      </w:r>
      <w:r w:rsidRPr="00EC4EC4">
        <w:rPr>
          <w:rFonts w:eastAsia="Times New Roman" w:cs="Times New Roman"/>
          <w:color w:val="000000"/>
          <w:szCs w:val="24"/>
        </w:rPr>
        <w:t>= 0.00150</w:t>
      </w:r>
    </w:p>
    <w:p w14:paraId="0BD51B32"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4.</w:t>
      </w:r>
      <w:r w:rsidRPr="00EC4EC4">
        <w:rPr>
          <w:rFonts w:eastAsia="Times New Roman" w:cs="Times New Roman"/>
          <w:color w:val="000000"/>
          <w:szCs w:val="24"/>
        </w:rPr>
        <w:tab/>
        <w:t>Floors and roofs: A/A</w:t>
      </w:r>
      <w:r w:rsidRPr="00EC4EC4">
        <w:rPr>
          <w:rFonts w:eastAsia="Times New Roman" w:cs="Times New Roman"/>
          <w:color w:val="000000"/>
          <w:szCs w:val="24"/>
          <w:vertAlign w:val="subscript"/>
        </w:rPr>
        <w:t>F</w:t>
      </w:r>
      <w:r w:rsidRPr="00EC4EC4">
        <w:rPr>
          <w:rFonts w:eastAsia="Times New Roman" w:cs="Times New Roman"/>
          <w:color w:val="000000"/>
          <w:szCs w:val="24"/>
        </w:rPr>
        <w:t xml:space="preserve"> = 0.00050</w:t>
      </w:r>
    </w:p>
    <w:p w14:paraId="09810943"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zCs w:val="24"/>
        </w:rPr>
      </w:pPr>
      <w:r w:rsidRPr="00EC4EC4">
        <w:rPr>
          <w:rFonts w:eastAsia="Times New Roman" w:cs="Times New Roman"/>
          <w:szCs w:val="24"/>
        </w:rPr>
        <w:t>where:</w:t>
      </w:r>
    </w:p>
    <w:p w14:paraId="364CF661" w14:textId="77777777" w:rsidR="00140B7C" w:rsidRPr="00EC4EC4" w:rsidRDefault="00140B7C" w:rsidP="00140B7C">
      <w:pPr>
        <w:spacing w:after="240" w:line="240" w:lineRule="auto"/>
        <w:ind w:left="360"/>
        <w:jc w:val="both"/>
        <w:rPr>
          <w:rFonts w:eastAsia="Times New Roman" w:cs="Times New Roman"/>
          <w:color w:val="000000"/>
          <w:spacing w:val="6"/>
          <w:szCs w:val="24"/>
        </w:rPr>
      </w:pPr>
      <w:r w:rsidRPr="00EC4EC4">
        <w:rPr>
          <w:rFonts w:eastAsia="Times New Roman" w:cs="Times New Roman"/>
          <w:iCs/>
          <w:color w:val="000000"/>
          <w:spacing w:val="6"/>
          <w:w w:val="110"/>
          <w:szCs w:val="24"/>
        </w:rPr>
        <w:t xml:space="preserve">A </w:t>
      </w:r>
      <w:r w:rsidRPr="00EC4EC4">
        <w:rPr>
          <w:rFonts w:eastAsia="Times New Roman" w:cs="Times New Roman"/>
          <w:color w:val="000000"/>
          <w:spacing w:val="6"/>
          <w:szCs w:val="24"/>
        </w:rPr>
        <w:t xml:space="preserve">= </w:t>
      </w:r>
      <w:r w:rsidRPr="00EC4EC4">
        <w:rPr>
          <w:rFonts w:eastAsia="Times New Roman" w:cs="Times New Roman"/>
          <w:color w:val="000000"/>
          <w:spacing w:val="1"/>
          <w:szCs w:val="24"/>
        </w:rPr>
        <w:t>Maximum allowable leakage area, square feet</w:t>
      </w:r>
      <w:r w:rsidRPr="00EC4EC4">
        <w:rPr>
          <w:rFonts w:eastAsia="Times New Roman" w:cs="Times New Roman"/>
          <w:color w:val="000000"/>
          <w:spacing w:val="6"/>
          <w:szCs w:val="24"/>
        </w:rPr>
        <w:t xml:space="preserve"> (m</w:t>
      </w:r>
      <w:r w:rsidRPr="00EC4EC4">
        <w:rPr>
          <w:rFonts w:eastAsia="Times New Roman" w:cs="Times New Roman"/>
          <w:color w:val="000000"/>
          <w:spacing w:val="6"/>
          <w:w w:val="115"/>
          <w:szCs w:val="24"/>
          <w:vertAlign w:val="superscript"/>
        </w:rPr>
        <w:t>2</w:t>
      </w:r>
      <w:r w:rsidRPr="00EC4EC4">
        <w:rPr>
          <w:rFonts w:eastAsia="Times New Roman" w:cs="Times New Roman"/>
          <w:color w:val="000000"/>
          <w:spacing w:val="6"/>
          <w:szCs w:val="24"/>
        </w:rPr>
        <w:t>).</w:t>
      </w:r>
    </w:p>
    <w:p w14:paraId="4194B311" w14:textId="77777777" w:rsidR="00140B7C" w:rsidRPr="00EC4EC4" w:rsidRDefault="00140B7C" w:rsidP="00140B7C">
      <w:pPr>
        <w:spacing w:after="240" w:line="240" w:lineRule="auto"/>
        <w:ind w:left="360"/>
        <w:jc w:val="both"/>
        <w:rPr>
          <w:rFonts w:eastAsia="Times New Roman" w:cs="Times New Roman"/>
          <w:color w:val="000000"/>
          <w:spacing w:val="4"/>
          <w:szCs w:val="24"/>
        </w:rPr>
      </w:pPr>
      <w:r w:rsidRPr="00EC4EC4">
        <w:rPr>
          <w:rFonts w:eastAsia="Times New Roman" w:cs="Times New Roman"/>
          <w:iCs/>
          <w:color w:val="000000"/>
          <w:spacing w:val="4"/>
          <w:w w:val="110"/>
          <w:szCs w:val="24"/>
        </w:rPr>
        <w:t>A</w:t>
      </w:r>
      <w:r w:rsidRPr="00EC4EC4">
        <w:rPr>
          <w:rFonts w:eastAsia="Times New Roman" w:cs="Times New Roman"/>
          <w:iCs/>
          <w:color w:val="000000"/>
          <w:spacing w:val="4"/>
          <w:w w:val="95"/>
          <w:szCs w:val="24"/>
          <w:vertAlign w:val="subscript"/>
        </w:rPr>
        <w:t>F</w:t>
      </w:r>
      <w:r w:rsidRPr="00EC4EC4">
        <w:rPr>
          <w:rFonts w:eastAsia="Times New Roman" w:cs="Times New Roman"/>
          <w:iCs/>
          <w:color w:val="000000"/>
          <w:spacing w:val="4"/>
          <w:w w:val="95"/>
          <w:szCs w:val="24"/>
        </w:rPr>
        <w:t xml:space="preserve"> </w:t>
      </w:r>
      <w:r w:rsidRPr="00EC4EC4">
        <w:rPr>
          <w:rFonts w:eastAsia="Times New Roman" w:cs="Times New Roman"/>
          <w:color w:val="000000"/>
          <w:spacing w:val="4"/>
          <w:szCs w:val="24"/>
        </w:rPr>
        <w:t xml:space="preserve">= </w:t>
      </w:r>
      <w:r w:rsidRPr="00EC4EC4">
        <w:rPr>
          <w:rFonts w:eastAsia="Times New Roman" w:cs="Times New Roman"/>
          <w:color w:val="000000"/>
          <w:spacing w:val="1"/>
          <w:szCs w:val="24"/>
        </w:rPr>
        <w:t>Unit floor or roof area of barrier, square feet</w:t>
      </w:r>
      <w:r w:rsidRPr="00EC4EC4">
        <w:rPr>
          <w:rFonts w:eastAsia="Times New Roman" w:cs="Times New Roman"/>
          <w:color w:val="000000"/>
          <w:spacing w:val="4"/>
          <w:szCs w:val="24"/>
        </w:rPr>
        <w:t xml:space="preserve"> (m</w:t>
      </w:r>
      <w:r w:rsidRPr="00EC4EC4">
        <w:rPr>
          <w:rFonts w:eastAsia="Times New Roman" w:cs="Times New Roman"/>
          <w:color w:val="000000"/>
          <w:spacing w:val="4"/>
          <w:w w:val="115"/>
          <w:szCs w:val="24"/>
          <w:vertAlign w:val="superscript"/>
        </w:rPr>
        <w:t>2</w:t>
      </w:r>
      <w:r w:rsidRPr="00EC4EC4">
        <w:rPr>
          <w:rFonts w:eastAsia="Times New Roman" w:cs="Times New Roman"/>
          <w:color w:val="000000"/>
          <w:spacing w:val="4"/>
          <w:szCs w:val="24"/>
        </w:rPr>
        <w:t>).</w:t>
      </w:r>
    </w:p>
    <w:p w14:paraId="00A66620" w14:textId="77777777" w:rsidR="00140B7C" w:rsidRPr="00EC4EC4" w:rsidRDefault="00140B7C" w:rsidP="00140B7C">
      <w:pPr>
        <w:spacing w:after="240" w:line="240" w:lineRule="auto"/>
        <w:ind w:left="360"/>
        <w:jc w:val="both"/>
        <w:rPr>
          <w:rFonts w:eastAsia="Times New Roman" w:cs="Times New Roman"/>
          <w:color w:val="000000"/>
          <w:spacing w:val="5"/>
          <w:szCs w:val="24"/>
        </w:rPr>
      </w:pPr>
      <w:r w:rsidRPr="00EC4EC4">
        <w:rPr>
          <w:rFonts w:eastAsia="Times New Roman" w:cs="Times New Roman"/>
          <w:iCs/>
          <w:color w:val="000000"/>
          <w:spacing w:val="5"/>
          <w:w w:val="110"/>
          <w:szCs w:val="24"/>
        </w:rPr>
        <w:t>A</w:t>
      </w:r>
      <w:r w:rsidRPr="00EC4EC4">
        <w:rPr>
          <w:rFonts w:eastAsia="Times New Roman" w:cs="Times New Roman"/>
          <w:iCs/>
          <w:color w:val="000000"/>
          <w:spacing w:val="16"/>
          <w:w w:val="110"/>
          <w:szCs w:val="24"/>
          <w:vertAlign w:val="subscript"/>
        </w:rPr>
        <w:t xml:space="preserve">w </w:t>
      </w:r>
      <w:r w:rsidRPr="00EC4EC4">
        <w:rPr>
          <w:rFonts w:eastAsia="Times New Roman" w:cs="Times New Roman"/>
          <w:color w:val="000000"/>
          <w:spacing w:val="5"/>
          <w:szCs w:val="24"/>
        </w:rPr>
        <w:t xml:space="preserve">= </w:t>
      </w:r>
      <w:r w:rsidRPr="00EC4EC4">
        <w:rPr>
          <w:rFonts w:eastAsia="Times New Roman" w:cs="Times New Roman"/>
          <w:color w:val="000000"/>
          <w:spacing w:val="1"/>
          <w:szCs w:val="24"/>
        </w:rPr>
        <w:t>Unit wall area of barrier, square feet</w:t>
      </w:r>
      <w:r w:rsidRPr="00EC4EC4">
        <w:rPr>
          <w:rFonts w:eastAsia="Times New Roman" w:cs="Times New Roman"/>
          <w:color w:val="000000"/>
          <w:spacing w:val="5"/>
          <w:szCs w:val="24"/>
        </w:rPr>
        <w:t xml:space="preserve"> (m</w:t>
      </w:r>
      <w:r w:rsidRPr="00EC4EC4">
        <w:rPr>
          <w:rFonts w:eastAsia="Times New Roman" w:cs="Times New Roman"/>
          <w:color w:val="000000"/>
          <w:spacing w:val="5"/>
          <w:w w:val="115"/>
          <w:szCs w:val="24"/>
          <w:vertAlign w:val="superscript"/>
        </w:rPr>
        <w:t>2</w:t>
      </w:r>
      <w:r w:rsidRPr="00EC4EC4">
        <w:rPr>
          <w:rFonts w:eastAsia="Times New Roman" w:cs="Times New Roman"/>
          <w:color w:val="000000"/>
          <w:spacing w:val="5"/>
          <w:szCs w:val="24"/>
        </w:rPr>
        <w:t>).</w:t>
      </w:r>
    </w:p>
    <w:p w14:paraId="0AA89007" w14:textId="77777777" w:rsidR="00140B7C" w:rsidRPr="00EC4EC4" w:rsidRDefault="00140B7C" w:rsidP="00140B7C">
      <w:pPr>
        <w:spacing w:after="240" w:line="240" w:lineRule="auto"/>
        <w:ind w:firstLine="360"/>
        <w:jc w:val="both"/>
        <w:rPr>
          <w:rFonts w:eastAsia="Times New Roman" w:cs="Times New Roman"/>
          <w:color w:val="000000"/>
          <w:szCs w:val="24"/>
        </w:rPr>
      </w:pPr>
      <w:r w:rsidRPr="00EC4EC4">
        <w:rPr>
          <w:rFonts w:eastAsia="Times New Roman" w:cs="Times New Roman"/>
          <w:color w:val="000000"/>
          <w:szCs w:val="24"/>
        </w:rPr>
        <w:lastRenderedPageBreak/>
        <w:t>The leakage area ratios shown do not include openings due to gaps around doors and operable windows</w:t>
      </w:r>
      <w:r w:rsidRPr="00EC4EC4">
        <w:rPr>
          <w:rFonts w:eastAsia="Times New Roman" w:cs="Times New Roman"/>
          <w:color w:val="000000"/>
          <w:szCs w:val="24"/>
          <w:u w:val="single"/>
        </w:rPr>
        <w:t>.</w:t>
      </w:r>
      <w:r w:rsidRPr="00EC4EC4">
        <w:rPr>
          <w:rFonts w:eastAsia="Times New Roman" w:cs="Times New Roman"/>
          <w:color w:val="000000"/>
          <w:spacing w:val="1"/>
          <w:szCs w:val="24"/>
        </w:rPr>
        <w:t xml:space="preserve"> </w:t>
      </w:r>
      <w:r w:rsidRPr="00EC4EC4">
        <w:rPr>
          <w:rFonts w:eastAsia="Times New Roman" w:cs="Times New Roman"/>
          <w:color w:val="000000"/>
          <w:szCs w:val="24"/>
        </w:rPr>
        <w:t xml:space="preserve">The total leakage area of the </w:t>
      </w:r>
      <w:r w:rsidRPr="00EC4EC4">
        <w:rPr>
          <w:rFonts w:eastAsia="Times New Roman" w:cs="Times New Roman"/>
          <w:iCs/>
          <w:color w:val="000000"/>
          <w:szCs w:val="24"/>
        </w:rPr>
        <w:t>smoke barrier</w:t>
      </w:r>
      <w:r w:rsidRPr="00EC4EC4">
        <w:rPr>
          <w:rFonts w:eastAsia="Times New Roman" w:cs="Times New Roman"/>
          <w:color w:val="000000"/>
          <w:szCs w:val="24"/>
        </w:rPr>
        <w:t xml:space="preserve"> shall be</w:t>
      </w:r>
      <w:r w:rsidRPr="00EC4EC4">
        <w:rPr>
          <w:rFonts w:eastAsia="Times New Roman" w:cs="Times New Roman"/>
          <w:color w:val="000000"/>
          <w:spacing w:val="1"/>
          <w:szCs w:val="24"/>
        </w:rPr>
        <w:t xml:space="preserve"> </w:t>
      </w:r>
      <w:r w:rsidRPr="00EC4EC4">
        <w:rPr>
          <w:rFonts w:eastAsia="Times New Roman" w:cs="Times New Roman"/>
          <w:color w:val="000000"/>
          <w:szCs w:val="24"/>
        </w:rPr>
        <w:t xml:space="preserve">determined in </w:t>
      </w:r>
      <w:r w:rsidRPr="00EC4EC4">
        <w:rPr>
          <w:rFonts w:eastAsia="Times New Roman" w:cs="Times New Roman"/>
          <w:color w:val="000000"/>
          <w:spacing w:val="1"/>
          <w:szCs w:val="24"/>
        </w:rPr>
        <w:t xml:space="preserve">accordance with </w:t>
      </w:r>
      <w:r w:rsidRPr="00EC4EC4">
        <w:rPr>
          <w:rFonts w:eastAsia="Times New Roman" w:cs="Times New Roman"/>
          <w:color w:val="000000"/>
          <w:szCs w:val="24"/>
        </w:rPr>
        <w:t>Section 909.5.1 and tested in accordance with Section 909.5.2.</w:t>
      </w:r>
    </w:p>
    <w:p w14:paraId="7FAA0B12" w14:textId="1659569B" w:rsidR="00140B7C" w:rsidRPr="00EC4EC4" w:rsidRDefault="00140B7C" w:rsidP="00140B7C">
      <w:pPr>
        <w:kinsoku w:val="0"/>
        <w:spacing w:after="240" w:line="240" w:lineRule="auto"/>
        <w:ind w:firstLine="720"/>
        <w:jc w:val="both"/>
        <w:rPr>
          <w:rFonts w:eastAsia="Times New Roman" w:cs="Times New Roman"/>
          <w:b/>
          <w:bCs/>
          <w:szCs w:val="24"/>
        </w:rPr>
      </w:pPr>
      <w:bookmarkStart w:id="77" w:name="_Hlk115252140"/>
      <w:r w:rsidRPr="00EC4EC4">
        <w:rPr>
          <w:rFonts w:cs="Times New Roman"/>
          <w:sz w:val="23"/>
          <w:szCs w:val="23"/>
        </w:rPr>
        <w:t>§</w:t>
      </w:r>
      <w:r>
        <w:rPr>
          <w:rFonts w:cs="Times New Roman"/>
          <w:sz w:val="23"/>
          <w:szCs w:val="23"/>
        </w:rPr>
        <w:t>1</w:t>
      </w:r>
      <w:r w:rsidR="00B52056">
        <w:rPr>
          <w:rFonts w:cs="Times New Roman"/>
          <w:sz w:val="23"/>
          <w:szCs w:val="23"/>
        </w:rPr>
        <w:t>41</w:t>
      </w:r>
      <w:r w:rsidRPr="00EC4EC4">
        <w:rPr>
          <w:rFonts w:cs="Times New Roman"/>
          <w:sz w:val="23"/>
          <w:szCs w:val="23"/>
        </w:rPr>
        <w:t>. Section 909.10.6 of  the New York city building code, as amended by local law number 126 for the year 2021, is amended to read as follows:</w:t>
      </w:r>
    </w:p>
    <w:bookmarkEnd w:id="77"/>
    <w:p w14:paraId="3977B587" w14:textId="77777777" w:rsidR="00140B7C" w:rsidRPr="00EC4EC4" w:rsidRDefault="00140B7C" w:rsidP="00140B7C">
      <w:pPr>
        <w:pStyle w:val="FlushLeftDouble"/>
        <w:ind w:left="0"/>
        <w:rPr>
          <w:spacing w:val="3"/>
          <w:szCs w:val="24"/>
        </w:rPr>
      </w:pPr>
      <w:r w:rsidRPr="00EC4EC4">
        <w:rPr>
          <w:b/>
          <w:bCs/>
          <w:spacing w:val="3"/>
          <w:szCs w:val="24"/>
        </w:rPr>
        <w:t>909.10.6 Seismic [</w:t>
      </w:r>
      <w:r w:rsidRPr="00EC4EC4">
        <w:rPr>
          <w:b/>
          <w:bCs/>
          <w:strike/>
          <w:spacing w:val="3"/>
          <w:szCs w:val="24"/>
        </w:rPr>
        <w:t>Requirements</w:t>
      </w:r>
      <w:r w:rsidRPr="00EC4EC4">
        <w:rPr>
          <w:b/>
          <w:bCs/>
          <w:spacing w:val="3"/>
          <w:szCs w:val="24"/>
        </w:rPr>
        <w:t>]</w:t>
      </w:r>
      <w:r w:rsidRPr="00EC4EC4">
        <w:rPr>
          <w:b/>
          <w:bCs/>
          <w:spacing w:val="3"/>
          <w:szCs w:val="24"/>
          <w:u w:val="single"/>
        </w:rPr>
        <w:t>requirements</w:t>
      </w:r>
      <w:r w:rsidRPr="00EC4EC4">
        <w:rPr>
          <w:b/>
          <w:bCs/>
          <w:spacing w:val="3"/>
          <w:szCs w:val="24"/>
        </w:rPr>
        <w:t xml:space="preserve">. </w:t>
      </w:r>
      <w:r w:rsidRPr="00EC4EC4">
        <w:rPr>
          <w:spacing w:val="3"/>
          <w:szCs w:val="24"/>
        </w:rPr>
        <w:t>Smoke control systems covered by Section 909 are required to function after an earthquake. Such smoke control systems shall be seismically designed in accordance with Section 1613 of this code and ASCE 7. The component importance factor, I</w:t>
      </w:r>
      <w:r w:rsidRPr="00EC4EC4">
        <w:rPr>
          <w:spacing w:val="3"/>
          <w:szCs w:val="24"/>
          <w:vertAlign w:val="subscript"/>
        </w:rPr>
        <w:t>p</w:t>
      </w:r>
      <w:r w:rsidRPr="00EC4EC4">
        <w:rPr>
          <w:spacing w:val="3"/>
          <w:szCs w:val="24"/>
        </w:rPr>
        <w:t>, shall be taken as 1.5 in accordance with ASCE 7, Section 13.1.3. The smoke control system includes all components required for its operation, including but not limited to fans, ducts, electrical power, switchboards, motor control centers, starters, and controls.</w:t>
      </w:r>
    </w:p>
    <w:p w14:paraId="407BC134" w14:textId="77777777" w:rsidR="00140B7C" w:rsidRPr="00EC4EC4" w:rsidRDefault="00140B7C" w:rsidP="00140B7C">
      <w:pPr>
        <w:spacing w:after="240" w:line="240" w:lineRule="auto"/>
        <w:ind w:left="720"/>
        <w:jc w:val="both"/>
        <w:rPr>
          <w:rFonts w:eastAsia="Times New Roman" w:cs="Times New Roman"/>
          <w:spacing w:val="3"/>
          <w:szCs w:val="24"/>
        </w:rPr>
      </w:pPr>
      <w:r w:rsidRPr="00EC4EC4">
        <w:rPr>
          <w:rFonts w:eastAsia="Times New Roman" w:cs="Times New Roman"/>
          <w:b/>
          <w:bCs/>
          <w:spacing w:val="3"/>
          <w:szCs w:val="24"/>
        </w:rPr>
        <w:t xml:space="preserve">Exception: </w:t>
      </w:r>
      <w:r w:rsidRPr="00EC4EC4">
        <w:rPr>
          <w:rFonts w:eastAsia="Times New Roman" w:cs="Times New Roman"/>
          <w:spacing w:val="3"/>
          <w:szCs w:val="24"/>
        </w:rPr>
        <w:t>Smoke control systems in structures classified in Seismic Design Categories A or B shall have a component importance factor, I</w:t>
      </w:r>
      <w:r w:rsidRPr="00EC4EC4">
        <w:rPr>
          <w:rFonts w:eastAsia="Times New Roman" w:cs="Times New Roman"/>
          <w:spacing w:val="3"/>
          <w:szCs w:val="24"/>
          <w:vertAlign w:val="subscript"/>
        </w:rPr>
        <w:t>p</w:t>
      </w:r>
      <w:r w:rsidRPr="00EC4EC4">
        <w:rPr>
          <w:rFonts w:eastAsia="Times New Roman" w:cs="Times New Roman"/>
          <w:spacing w:val="3"/>
          <w:szCs w:val="24"/>
        </w:rPr>
        <w:t>, of 1.0.</w:t>
      </w:r>
    </w:p>
    <w:p w14:paraId="66AFB477" w14:textId="377A5618"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w:t>
      </w:r>
      <w:r w:rsidR="00D47FBB">
        <w:rPr>
          <w:rFonts w:cs="Times New Roman"/>
          <w:sz w:val="23"/>
          <w:szCs w:val="23"/>
        </w:rPr>
        <w:t>42</w:t>
      </w:r>
      <w:r w:rsidRPr="00EC4EC4">
        <w:rPr>
          <w:rFonts w:cs="Times New Roman"/>
          <w:sz w:val="23"/>
          <w:szCs w:val="23"/>
        </w:rPr>
        <w:t>. Section 910.4 of  the New York city building code, as amended by local law number 126 for the year 2021, is amended to read as follows:</w:t>
      </w:r>
    </w:p>
    <w:p w14:paraId="7DAB2B7E" w14:textId="77777777" w:rsidR="00140B7C" w:rsidRPr="00EC4EC4" w:rsidRDefault="00140B7C" w:rsidP="00140B7C">
      <w:pPr>
        <w:pStyle w:val="FlushLeftDouble"/>
        <w:ind w:left="0"/>
        <w:rPr>
          <w:bCs/>
          <w:color w:val="000000"/>
          <w:szCs w:val="24"/>
        </w:rPr>
      </w:pPr>
      <w:bookmarkStart w:id="78" w:name="_Toc389735432"/>
      <w:bookmarkStart w:id="79" w:name="_Toc389743994"/>
      <w:r w:rsidRPr="00EC4EC4">
        <w:rPr>
          <w:b/>
          <w:bCs/>
          <w:color w:val="000000"/>
          <w:szCs w:val="24"/>
        </w:rPr>
        <w:t>910.4 Mechanical smoke removal systems. [</w:t>
      </w:r>
      <w:r w:rsidRPr="00EC4EC4">
        <w:rPr>
          <w:bCs/>
          <w:strike/>
          <w:color w:val="000000"/>
          <w:szCs w:val="24"/>
        </w:rPr>
        <w:t>.</w:t>
      </w:r>
      <w:r w:rsidRPr="00EC4EC4">
        <w:rPr>
          <w:bCs/>
          <w:color w:val="000000"/>
          <w:szCs w:val="24"/>
        </w:rPr>
        <w:t>] Mechanical smoke removal systems shall be designed and installed in accordance with Sections 910.4.1 through 910.4.7.</w:t>
      </w:r>
    </w:p>
    <w:p w14:paraId="2AB0810D" w14:textId="5B740A5B" w:rsidR="00140B7C" w:rsidRPr="00EC4EC4" w:rsidRDefault="00140B7C" w:rsidP="00140B7C">
      <w:pPr>
        <w:kinsoku w:val="0"/>
        <w:spacing w:after="240" w:line="240" w:lineRule="auto"/>
        <w:ind w:firstLine="720"/>
        <w:jc w:val="both"/>
        <w:rPr>
          <w:rFonts w:eastAsia="Times New Roman" w:cs="Times New Roman"/>
          <w:b/>
          <w:bCs/>
          <w:szCs w:val="24"/>
        </w:rPr>
      </w:pPr>
      <w:bookmarkStart w:id="80" w:name="_Hlk115253199"/>
      <w:bookmarkEnd w:id="78"/>
      <w:bookmarkEnd w:id="79"/>
      <w:r w:rsidRPr="00EC4EC4">
        <w:rPr>
          <w:rFonts w:cs="Times New Roman"/>
          <w:sz w:val="23"/>
          <w:szCs w:val="23"/>
        </w:rPr>
        <w:t>§</w:t>
      </w:r>
      <w:r>
        <w:rPr>
          <w:rFonts w:cs="Times New Roman"/>
          <w:sz w:val="23"/>
          <w:szCs w:val="23"/>
        </w:rPr>
        <w:t>1</w:t>
      </w:r>
      <w:r w:rsidR="00992B00">
        <w:rPr>
          <w:rFonts w:cs="Times New Roman"/>
          <w:sz w:val="23"/>
          <w:szCs w:val="23"/>
        </w:rPr>
        <w:t>43</w:t>
      </w:r>
      <w:r w:rsidRPr="00EC4EC4">
        <w:rPr>
          <w:rFonts w:cs="Times New Roman"/>
          <w:sz w:val="23"/>
          <w:szCs w:val="23"/>
        </w:rPr>
        <w:t>. Section 913.5 of  the New York city building code, as amended by local law number 126 for the year 2021, is amended to read as follows:</w:t>
      </w:r>
    </w:p>
    <w:bookmarkEnd w:id="80"/>
    <w:p w14:paraId="5053A85D" w14:textId="77777777" w:rsidR="00140B7C" w:rsidRPr="00EC4EC4" w:rsidRDefault="00140B7C" w:rsidP="00140B7C">
      <w:pPr>
        <w:pStyle w:val="FlushLeft"/>
        <w:rPr>
          <w:szCs w:val="24"/>
        </w:rPr>
      </w:pPr>
      <w:r w:rsidRPr="00EC4EC4">
        <w:rPr>
          <w:b/>
          <w:bCs/>
          <w:szCs w:val="24"/>
        </w:rPr>
        <w:t>913.5 Acceptance test.</w:t>
      </w:r>
      <w:r w:rsidRPr="00EC4EC4">
        <w:rPr>
          <w:b/>
          <w:bCs/>
          <w:spacing w:val="-8"/>
          <w:w w:val="105"/>
          <w:szCs w:val="24"/>
        </w:rPr>
        <w:t xml:space="preserve"> </w:t>
      </w:r>
      <w:r w:rsidRPr="00EC4EC4">
        <w:rPr>
          <w:szCs w:val="24"/>
        </w:rPr>
        <w:t xml:space="preserve">Acceptance testing shall be done in accordance with the requirements of Section 1705.30 of this code, the </w:t>
      </w:r>
      <w:r w:rsidRPr="00EC4EC4">
        <w:rPr>
          <w:i/>
          <w:szCs w:val="24"/>
        </w:rPr>
        <w:t>New York City Fire Code</w:t>
      </w:r>
      <w:r w:rsidRPr="00EC4EC4">
        <w:rPr>
          <w:szCs w:val="24"/>
        </w:rPr>
        <w:t xml:space="preserve"> and NFPA 20. Refurbished or repaired fire pumps shall be tested in accordance with Section 1705.30 of this code, the </w:t>
      </w:r>
      <w:r w:rsidRPr="00EC4EC4">
        <w:rPr>
          <w:i/>
          <w:szCs w:val="24"/>
        </w:rPr>
        <w:t>New York City Fire Code</w:t>
      </w:r>
      <w:r w:rsidRPr="00EC4EC4">
        <w:rPr>
          <w:szCs w:val="24"/>
        </w:rPr>
        <w:t xml:space="preserve"> and NFPA 20. [</w:t>
      </w:r>
      <w:r w:rsidRPr="00EC4EC4">
        <w:rPr>
          <w:strike/>
          <w:szCs w:val="24"/>
        </w:rPr>
        <w:t>All such tests shall be scheduled to include a department representative as a witness, if required.</w:t>
      </w:r>
      <w:r w:rsidRPr="00EC4EC4">
        <w:rPr>
          <w:szCs w:val="24"/>
        </w:rPr>
        <w:t xml:space="preserve">] </w:t>
      </w:r>
      <w:r w:rsidRPr="00EC4EC4">
        <w:rPr>
          <w:szCs w:val="24"/>
          <w:u w:val="single"/>
        </w:rPr>
        <w:t>A notification shall be given to the department prior to performance of the test.</w:t>
      </w:r>
      <w:r w:rsidRPr="00EC4EC4">
        <w:rPr>
          <w:szCs w:val="24"/>
        </w:rPr>
        <w:t xml:space="preserve"> </w:t>
      </w:r>
    </w:p>
    <w:p w14:paraId="346ECD0E" w14:textId="660396B9"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14</w:t>
      </w:r>
      <w:r w:rsidR="006E1C9F">
        <w:rPr>
          <w:rFonts w:cs="Times New Roman"/>
          <w:sz w:val="23"/>
          <w:szCs w:val="23"/>
        </w:rPr>
        <w:t>4</w:t>
      </w:r>
      <w:r w:rsidRPr="00EC4EC4">
        <w:rPr>
          <w:rFonts w:cs="Times New Roman"/>
          <w:sz w:val="23"/>
          <w:szCs w:val="23"/>
        </w:rPr>
        <w:t>. Section 915.1.1.1.2 of  the New York city building code, as added by local law number 126 for the year 2021, is amended to read as follows:</w:t>
      </w:r>
    </w:p>
    <w:p w14:paraId="19BD60B0" w14:textId="77777777" w:rsidR="00140B7C" w:rsidRPr="00EC4EC4" w:rsidRDefault="00140B7C" w:rsidP="00140B7C">
      <w:pPr>
        <w:spacing w:after="240" w:line="240" w:lineRule="auto"/>
        <w:jc w:val="both"/>
        <w:rPr>
          <w:rFonts w:eastAsia="Times New Roman" w:cs="Times New Roman"/>
          <w:color w:val="000000"/>
          <w:szCs w:val="24"/>
        </w:rPr>
      </w:pPr>
      <w:bookmarkStart w:id="81" w:name="_Toc389735477"/>
      <w:bookmarkStart w:id="82" w:name="_Toc389744039"/>
      <w:r w:rsidRPr="00EC4EC4">
        <w:rPr>
          <w:rFonts w:eastAsia="Times New Roman" w:cs="Times New Roman"/>
          <w:b/>
          <w:bCs/>
          <w:color w:val="000000"/>
          <w:szCs w:val="24"/>
        </w:rPr>
        <w:t>915.1.1.1.2 Exhaust of [</w:t>
      </w:r>
      <w:r w:rsidRPr="00EC4EC4">
        <w:rPr>
          <w:rFonts w:eastAsia="Times New Roman" w:cs="Times New Roman"/>
          <w:b/>
          <w:bCs/>
          <w:strike/>
          <w:color w:val="000000"/>
          <w:szCs w:val="24"/>
        </w:rPr>
        <w:t>Carbon Monoxide in Group R-3 Occupancy (One- and Two-Family</w:t>
      </w:r>
      <w:r w:rsidRPr="00EC4EC4">
        <w:rPr>
          <w:rFonts w:eastAsia="Times New Roman" w:cs="Times New Roman"/>
          <w:b/>
          <w:bCs/>
          <w:color w:val="000000"/>
          <w:szCs w:val="24"/>
        </w:rPr>
        <w:t>]</w:t>
      </w:r>
      <w:r w:rsidRPr="00EC4EC4">
        <w:rPr>
          <w:rFonts w:eastAsia="Times New Roman" w:cs="Times New Roman"/>
          <w:b/>
          <w:bCs/>
          <w:color w:val="000000"/>
          <w:szCs w:val="24"/>
          <w:u w:val="single"/>
        </w:rPr>
        <w:t>carbon monoxide in Group R-3 occupancies (one- and two- family</w:t>
      </w:r>
      <w:r w:rsidRPr="00EC4EC4">
        <w:rPr>
          <w:rFonts w:eastAsia="Times New Roman" w:cs="Times New Roman"/>
          <w:b/>
          <w:bCs/>
          <w:color w:val="000000"/>
          <w:szCs w:val="24"/>
        </w:rPr>
        <w:t xml:space="preserve"> dwellings and townhouses). </w:t>
      </w:r>
      <w:r w:rsidRPr="00EC4EC4">
        <w:rPr>
          <w:rFonts w:eastAsia="Times New Roman" w:cs="Times New Roman"/>
          <w:color w:val="000000"/>
          <w:szCs w:val="24"/>
        </w:rPr>
        <w:t xml:space="preserve">Means of exhausting carbon monoxide from garages shall be provided when a carbon monoxide alarm or detector is activated in a Group R-3 occupancy, provided such garage is attached within the Group R-3 occupancy. Such exhaust system shall be arranged to operate automatically upon detection of a concentration of carbon monoxide of 35 parts per million (ppm) or greater by approved automatic detection device. The system shall be capable of producing an exhaust rate of 1.5 cfm per square foot of floor area of the garage. Removal of sensor, interruption of power or cut wires shall cause the relay circuit to open and start fan. The relay contact shall close and the fan may shut off when the carbon monoxide level is below 35 ppm. Carbon monoxide exhausting means shall be connected to a separate circuit and provided with a lock and identified at the power source. Such circuit shall not be connected to a power source through an arc-fault or Ground Fault Circuit Interrupter (GFCI) devices. Additionally, when the carbon monoxide exhausting means is connected </w:t>
      </w:r>
      <w:r w:rsidRPr="00EC4EC4">
        <w:rPr>
          <w:rFonts w:eastAsia="Times New Roman" w:cs="Times New Roman"/>
          <w:color w:val="000000"/>
          <w:szCs w:val="24"/>
        </w:rPr>
        <w:lastRenderedPageBreak/>
        <w:t>to the plug-in-type overcurrent protection device, such device shall be secured in place by an additional fastener.</w:t>
      </w:r>
    </w:p>
    <w:bookmarkEnd w:id="81"/>
    <w:bookmarkEnd w:id="82"/>
    <w:p w14:paraId="1133082C" w14:textId="293233C1"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14</w:t>
      </w:r>
      <w:r w:rsidR="006E1C9F">
        <w:rPr>
          <w:rFonts w:cs="Times New Roman"/>
          <w:sz w:val="23"/>
          <w:szCs w:val="23"/>
        </w:rPr>
        <w:t>5</w:t>
      </w:r>
      <w:r w:rsidRPr="00EC4EC4">
        <w:rPr>
          <w:rFonts w:cs="Times New Roman"/>
          <w:sz w:val="23"/>
          <w:szCs w:val="23"/>
        </w:rPr>
        <w:t>. Section 1003.3.3 of  the New York city building code, as amended by local law number 126 for the year 2021, is amended to read as follows:</w:t>
      </w:r>
    </w:p>
    <w:p w14:paraId="6DCD375B" w14:textId="77777777" w:rsidR="00140B7C" w:rsidRPr="00EC4EC4" w:rsidRDefault="00140B7C" w:rsidP="00140B7C">
      <w:pPr>
        <w:pStyle w:val="FlushLeftDouble"/>
        <w:ind w:left="0"/>
        <w:rPr>
          <w:szCs w:val="24"/>
        </w:rPr>
      </w:pPr>
      <w:bookmarkStart w:id="83" w:name="_Toc389735568"/>
      <w:bookmarkStart w:id="84" w:name="_Toc389744130"/>
      <w:bookmarkStart w:id="85" w:name="_Toc389735574"/>
      <w:bookmarkStart w:id="86" w:name="_Toc389744136"/>
      <w:bookmarkStart w:id="87" w:name="SECTION_1004"/>
      <w:r w:rsidRPr="00EC4EC4">
        <w:rPr>
          <w:b/>
          <w:bCs/>
          <w:szCs w:val="24"/>
        </w:rPr>
        <w:t>1003.3.3 Horizontal projections.</w:t>
      </w:r>
      <w:bookmarkEnd w:id="83"/>
      <w:bookmarkEnd w:id="84"/>
      <w:r w:rsidRPr="00EC4EC4">
        <w:rPr>
          <w:spacing w:val="1"/>
          <w:szCs w:val="24"/>
        </w:rPr>
        <w:t xml:space="preserve"> </w:t>
      </w:r>
      <w:r w:rsidRPr="00EC4EC4">
        <w:rPr>
          <w:bCs/>
          <w:szCs w:val="24"/>
        </w:rPr>
        <w:t>Objects with leading edges</w:t>
      </w:r>
      <w:r w:rsidRPr="00EC4EC4">
        <w:rPr>
          <w:szCs w:val="24"/>
        </w:rPr>
        <w:t xml:space="preserve"> more than</w:t>
      </w:r>
      <w:r w:rsidRPr="00EC4EC4">
        <w:rPr>
          <w:spacing w:val="1"/>
          <w:szCs w:val="24"/>
        </w:rPr>
        <w:t xml:space="preserve"> </w:t>
      </w:r>
      <w:r w:rsidRPr="00EC4EC4">
        <w:rPr>
          <w:szCs w:val="24"/>
        </w:rPr>
        <w:t>27 inches (</w:t>
      </w:r>
      <w:r w:rsidRPr="00EC4EC4">
        <w:rPr>
          <w:bCs/>
          <w:szCs w:val="24"/>
        </w:rPr>
        <w:t>685</w:t>
      </w:r>
      <w:r w:rsidRPr="00EC4EC4">
        <w:rPr>
          <w:szCs w:val="24"/>
        </w:rPr>
        <w:t xml:space="preserve"> mm) and </w:t>
      </w:r>
      <w:r w:rsidRPr="00EC4EC4">
        <w:rPr>
          <w:bCs/>
          <w:szCs w:val="24"/>
        </w:rPr>
        <w:t xml:space="preserve">not more than </w:t>
      </w:r>
      <w:r w:rsidRPr="00EC4EC4">
        <w:rPr>
          <w:szCs w:val="24"/>
        </w:rPr>
        <w:t>80 inches [</w:t>
      </w:r>
      <w:r w:rsidRPr="00EC4EC4">
        <w:rPr>
          <w:strike/>
          <w:szCs w:val="24"/>
        </w:rPr>
        <w:t>(</w:t>
      </w:r>
      <w:r w:rsidRPr="00EC4EC4">
        <w:rPr>
          <w:bCs/>
          <w:strike/>
          <w:szCs w:val="24"/>
        </w:rPr>
        <w:t>2030</w:t>
      </w:r>
      <w:r w:rsidRPr="00EC4EC4">
        <w:rPr>
          <w:strike/>
          <w:szCs w:val="24"/>
        </w:rPr>
        <w:t xml:space="preserve"> mm</w:t>
      </w:r>
      <w:r w:rsidRPr="00EC4EC4">
        <w:rPr>
          <w:szCs w:val="24"/>
        </w:rPr>
        <w:t>)]</w:t>
      </w:r>
      <w:r w:rsidRPr="00EC4EC4">
        <w:rPr>
          <w:szCs w:val="24"/>
          <w:u w:val="single"/>
        </w:rPr>
        <w:t xml:space="preserve">(2032 mm) </w:t>
      </w:r>
      <w:r w:rsidRPr="00EC4EC4">
        <w:rPr>
          <w:szCs w:val="24"/>
        </w:rPr>
        <w:t>above the</w:t>
      </w:r>
      <w:r w:rsidRPr="00EC4EC4">
        <w:rPr>
          <w:spacing w:val="1"/>
          <w:szCs w:val="24"/>
        </w:rPr>
        <w:t xml:space="preserve"> </w:t>
      </w:r>
      <w:r w:rsidRPr="00EC4EC4">
        <w:rPr>
          <w:bCs/>
          <w:szCs w:val="24"/>
        </w:rPr>
        <w:t xml:space="preserve">floor shall not project horizontally more than 4 inches (101.6 mm) into the </w:t>
      </w:r>
      <w:r w:rsidRPr="00EC4EC4">
        <w:rPr>
          <w:bCs/>
          <w:iCs/>
          <w:szCs w:val="24"/>
        </w:rPr>
        <w:t>circulation path</w:t>
      </w:r>
      <w:r w:rsidRPr="00EC4EC4">
        <w:rPr>
          <w:szCs w:val="24"/>
        </w:rPr>
        <w:t>.</w:t>
      </w:r>
    </w:p>
    <w:p w14:paraId="74D180D0"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color w:val="000000"/>
          <w:szCs w:val="24"/>
        </w:rPr>
      </w:pPr>
      <w:r w:rsidRPr="00EC4EC4">
        <w:rPr>
          <w:rFonts w:eastAsia="Times New Roman" w:cs="Times New Roman"/>
          <w:b/>
          <w:color w:val="000000"/>
          <w:szCs w:val="24"/>
        </w:rPr>
        <w:t>Exception:</w:t>
      </w:r>
      <w:r w:rsidRPr="00EC4EC4">
        <w:rPr>
          <w:rFonts w:eastAsia="Times New Roman" w:cs="Times New Roman"/>
          <w:color w:val="000000"/>
          <w:szCs w:val="24"/>
        </w:rPr>
        <w:t xml:space="preserve"> Handrails are permitted to protrude </w:t>
      </w:r>
      <w:r w:rsidRPr="00EC4EC4">
        <w:rPr>
          <w:rFonts w:eastAsia="Times New Roman" w:cs="Times New Roman"/>
          <w:color w:val="000000"/>
          <w:spacing w:val="1"/>
          <w:szCs w:val="24"/>
        </w:rPr>
        <w:t xml:space="preserve">4½ </w:t>
      </w:r>
      <w:r w:rsidRPr="00EC4EC4">
        <w:rPr>
          <w:rFonts w:eastAsia="Times New Roman" w:cs="Times New Roman"/>
          <w:color w:val="000000"/>
          <w:szCs w:val="24"/>
        </w:rPr>
        <w:t>inches (114.3 mm) from the wall.</w:t>
      </w:r>
    </w:p>
    <w:p w14:paraId="244794FD" w14:textId="1FAD5556" w:rsidR="00140B7C" w:rsidRPr="00EC4EC4" w:rsidRDefault="00140B7C" w:rsidP="00140B7C">
      <w:pPr>
        <w:kinsoku w:val="0"/>
        <w:spacing w:after="240" w:line="240" w:lineRule="auto"/>
        <w:ind w:firstLine="720"/>
        <w:jc w:val="both"/>
        <w:rPr>
          <w:rFonts w:eastAsia="Times New Roman" w:cs="Times New Roman"/>
          <w:b/>
          <w:bCs/>
          <w:szCs w:val="24"/>
        </w:rPr>
      </w:pPr>
      <w:bookmarkStart w:id="88" w:name="_Toc389735674"/>
      <w:bookmarkStart w:id="89" w:name="_Toc389744236"/>
      <w:bookmarkEnd w:id="85"/>
      <w:bookmarkEnd w:id="86"/>
      <w:bookmarkEnd w:id="87"/>
      <w:r w:rsidRPr="00424897">
        <w:rPr>
          <w:rFonts w:cs="Times New Roman"/>
          <w:sz w:val="23"/>
          <w:szCs w:val="23"/>
        </w:rPr>
        <w:t>§</w:t>
      </w:r>
      <w:r>
        <w:rPr>
          <w:rFonts w:cs="Times New Roman"/>
          <w:sz w:val="23"/>
          <w:szCs w:val="23"/>
        </w:rPr>
        <w:t>14</w:t>
      </w:r>
      <w:r w:rsidR="006E1C9F">
        <w:rPr>
          <w:rFonts w:cs="Times New Roman"/>
          <w:sz w:val="23"/>
          <w:szCs w:val="23"/>
        </w:rPr>
        <w:t>6</w:t>
      </w:r>
      <w:r w:rsidRPr="00424897">
        <w:rPr>
          <w:rFonts w:cs="Times New Roman"/>
          <w:sz w:val="23"/>
          <w:szCs w:val="23"/>
        </w:rPr>
        <w:t>. Table 10</w:t>
      </w:r>
      <w:r>
        <w:rPr>
          <w:rFonts w:cs="Times New Roman"/>
          <w:sz w:val="23"/>
          <w:szCs w:val="23"/>
        </w:rPr>
        <w:t>10</w:t>
      </w:r>
      <w:r w:rsidRPr="00424897">
        <w:rPr>
          <w:rFonts w:cs="Times New Roman"/>
          <w:sz w:val="23"/>
          <w:szCs w:val="23"/>
        </w:rPr>
        <w:t>.1.4.1</w:t>
      </w:r>
      <w:r>
        <w:rPr>
          <w:rFonts w:cs="Times New Roman"/>
          <w:sz w:val="23"/>
          <w:szCs w:val="23"/>
        </w:rPr>
        <w:t>(1)</w:t>
      </w:r>
      <w:r w:rsidRPr="00424897">
        <w:rPr>
          <w:rFonts w:cs="Times New Roman"/>
          <w:sz w:val="23"/>
          <w:szCs w:val="23"/>
        </w:rPr>
        <w:t xml:space="preserve"> of  the New York city building code, as renumbered and amended by local law number 126 for the year 2021, is amended to read as follows:</w:t>
      </w:r>
    </w:p>
    <w:p w14:paraId="692B7743" w14:textId="77777777" w:rsidR="00140B7C" w:rsidRPr="00EC4EC4" w:rsidRDefault="00140B7C" w:rsidP="00140B7C">
      <w:pPr>
        <w:pStyle w:val="HeadingCaps"/>
        <w:rPr>
          <w:b w:val="0"/>
          <w:bCs/>
          <w:color w:val="000000"/>
          <w:sz w:val="20"/>
        </w:rPr>
      </w:pPr>
      <w:r w:rsidRPr="00EC4EC4">
        <w:rPr>
          <w:b w:val="0"/>
          <w:bCs/>
          <w:color w:val="000000"/>
          <w:spacing w:val="-4"/>
          <w:sz w:val="20"/>
        </w:rPr>
        <w:t>TABLE 1010.1.4.1(1)</w:t>
      </w:r>
      <w:r w:rsidRPr="00EC4EC4">
        <w:rPr>
          <w:b w:val="0"/>
          <w:bCs/>
          <w:color w:val="000000"/>
          <w:spacing w:val="-4"/>
          <w:sz w:val="20"/>
        </w:rPr>
        <w:br/>
      </w:r>
      <w:r w:rsidRPr="00EC4EC4">
        <w:rPr>
          <w:b w:val="0"/>
          <w:bCs/>
          <w:color w:val="000000"/>
          <w:sz w:val="20"/>
        </w:rPr>
        <w:t>MAXIMUM DOOR SPEED MANUAL REVOLVING DOORS</w:t>
      </w:r>
    </w:p>
    <w:tbl>
      <w:tblPr>
        <w:tblW w:w="0" w:type="auto"/>
        <w:jc w:val="center"/>
        <w:tblLayout w:type="fixed"/>
        <w:tblCellMar>
          <w:left w:w="0" w:type="dxa"/>
          <w:right w:w="0" w:type="dxa"/>
        </w:tblCellMar>
        <w:tblLook w:val="0000" w:firstRow="0" w:lastRow="0" w:firstColumn="0" w:lastColumn="0" w:noHBand="0" w:noVBand="0"/>
      </w:tblPr>
      <w:tblGrid>
        <w:gridCol w:w="2279"/>
        <w:gridCol w:w="2314"/>
      </w:tblGrid>
      <w:tr w:rsidR="00140B7C" w:rsidRPr="00EC4EC4" w14:paraId="73BFF5BD" w14:textId="77777777" w:rsidTr="00BC1087">
        <w:trPr>
          <w:trHeight w:hRule="exact" w:val="1445"/>
          <w:jc w:val="center"/>
        </w:trPr>
        <w:tc>
          <w:tcPr>
            <w:tcW w:w="2279" w:type="dxa"/>
            <w:tcBorders>
              <w:top w:val="single" w:sz="2" w:space="0" w:color="auto"/>
              <w:left w:val="single" w:sz="2" w:space="0" w:color="auto"/>
              <w:bottom w:val="single" w:sz="2" w:space="0" w:color="auto"/>
              <w:right w:val="single" w:sz="2" w:space="0" w:color="auto"/>
            </w:tcBorders>
            <w:vAlign w:val="center"/>
          </w:tcPr>
          <w:p w14:paraId="438B3EE0"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z w:val="17"/>
                <w:szCs w:val="17"/>
              </w:rPr>
            </w:pPr>
            <w:r w:rsidRPr="00EC4EC4">
              <w:rPr>
                <w:rFonts w:eastAsia="Times New Roman" w:cs="Times New Roman"/>
                <w:b/>
                <w:bCs/>
                <w:color w:val="000000"/>
                <w:sz w:val="17"/>
                <w:szCs w:val="17"/>
              </w:rPr>
              <w:t>REVOLVING DOOR MAXIMUM [</w:t>
            </w:r>
            <w:r w:rsidRPr="00EC4EC4">
              <w:rPr>
                <w:rFonts w:eastAsia="Times New Roman" w:cs="Times New Roman"/>
                <w:b/>
                <w:bCs/>
                <w:strike/>
                <w:color w:val="000000"/>
                <w:sz w:val="17"/>
                <w:szCs w:val="17"/>
              </w:rPr>
              <w:t>NORMINAL</w:t>
            </w:r>
            <w:r w:rsidRPr="00EC4EC4">
              <w:rPr>
                <w:rFonts w:eastAsia="Times New Roman" w:cs="Times New Roman"/>
                <w:b/>
                <w:bCs/>
                <w:color w:val="000000"/>
                <w:sz w:val="17"/>
                <w:szCs w:val="17"/>
              </w:rPr>
              <w:t>]</w:t>
            </w:r>
            <w:r w:rsidRPr="00EC4EC4">
              <w:rPr>
                <w:rFonts w:eastAsia="Times New Roman" w:cs="Times New Roman"/>
                <w:b/>
                <w:bCs/>
                <w:color w:val="000000"/>
                <w:sz w:val="17"/>
                <w:szCs w:val="17"/>
                <w:u w:val="single"/>
              </w:rPr>
              <w:t>NOMINAL</w:t>
            </w:r>
            <w:r w:rsidRPr="00EC4EC4">
              <w:rPr>
                <w:rFonts w:eastAsia="Times New Roman" w:cs="Times New Roman"/>
                <w:b/>
                <w:bCs/>
                <w:color w:val="000000"/>
                <w:sz w:val="17"/>
                <w:szCs w:val="17"/>
              </w:rPr>
              <w:t xml:space="preserve"> DIAMETER (FT-IN)</w:t>
            </w:r>
          </w:p>
        </w:tc>
        <w:tc>
          <w:tcPr>
            <w:tcW w:w="2314" w:type="dxa"/>
            <w:tcBorders>
              <w:top w:val="single" w:sz="2" w:space="0" w:color="auto"/>
              <w:left w:val="single" w:sz="2" w:space="0" w:color="auto"/>
              <w:bottom w:val="single" w:sz="2" w:space="0" w:color="auto"/>
              <w:right w:val="single" w:sz="2" w:space="0" w:color="auto"/>
            </w:tcBorders>
            <w:vAlign w:val="center"/>
          </w:tcPr>
          <w:p w14:paraId="4FF7E2AD"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z w:val="17"/>
                <w:szCs w:val="17"/>
              </w:rPr>
            </w:pPr>
            <w:r w:rsidRPr="00EC4EC4">
              <w:rPr>
                <w:rFonts w:eastAsia="Times New Roman" w:cs="Times New Roman"/>
                <w:b/>
                <w:bCs/>
                <w:color w:val="000000"/>
                <w:sz w:val="17"/>
                <w:szCs w:val="17"/>
              </w:rPr>
              <w:t>MAXIMUM ALLOWABLE REVOLVING DOOR SPEED (RPM)</w:t>
            </w:r>
          </w:p>
        </w:tc>
      </w:tr>
      <w:tr w:rsidR="00140B7C" w:rsidRPr="00EC4EC4" w14:paraId="104D07E4" w14:textId="77777777" w:rsidTr="00BC1087">
        <w:trPr>
          <w:trHeight w:hRule="exact" w:val="293"/>
          <w:jc w:val="center"/>
        </w:trPr>
        <w:tc>
          <w:tcPr>
            <w:tcW w:w="2279" w:type="dxa"/>
            <w:tcBorders>
              <w:top w:val="single" w:sz="2" w:space="0" w:color="auto"/>
              <w:left w:val="single" w:sz="2" w:space="0" w:color="auto"/>
              <w:bottom w:val="single" w:sz="2" w:space="0" w:color="auto"/>
              <w:right w:val="single" w:sz="2" w:space="0" w:color="auto"/>
            </w:tcBorders>
            <w:vAlign w:val="center"/>
          </w:tcPr>
          <w:p w14:paraId="26434D45"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 xml:space="preserve"> 6-0</w:t>
            </w:r>
          </w:p>
        </w:tc>
        <w:tc>
          <w:tcPr>
            <w:tcW w:w="2314" w:type="dxa"/>
            <w:tcBorders>
              <w:top w:val="single" w:sz="2" w:space="0" w:color="auto"/>
              <w:left w:val="single" w:sz="2" w:space="0" w:color="auto"/>
              <w:bottom w:val="single" w:sz="2" w:space="0" w:color="auto"/>
              <w:right w:val="single" w:sz="2" w:space="0" w:color="auto"/>
            </w:tcBorders>
            <w:vAlign w:val="center"/>
          </w:tcPr>
          <w:p w14:paraId="7EF82269"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12</w:t>
            </w:r>
          </w:p>
        </w:tc>
      </w:tr>
      <w:tr w:rsidR="00140B7C" w:rsidRPr="00EC4EC4" w14:paraId="58839022" w14:textId="77777777" w:rsidTr="00BC1087">
        <w:trPr>
          <w:trHeight w:hRule="exact" w:val="293"/>
          <w:jc w:val="center"/>
        </w:trPr>
        <w:tc>
          <w:tcPr>
            <w:tcW w:w="2279" w:type="dxa"/>
            <w:tcBorders>
              <w:top w:val="single" w:sz="2" w:space="0" w:color="auto"/>
              <w:left w:val="single" w:sz="2" w:space="0" w:color="auto"/>
              <w:bottom w:val="single" w:sz="2" w:space="0" w:color="auto"/>
              <w:right w:val="single" w:sz="2" w:space="0" w:color="auto"/>
            </w:tcBorders>
            <w:vAlign w:val="center"/>
          </w:tcPr>
          <w:p w14:paraId="76345F1C"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7-0</w:t>
            </w:r>
          </w:p>
        </w:tc>
        <w:tc>
          <w:tcPr>
            <w:tcW w:w="2314" w:type="dxa"/>
            <w:tcBorders>
              <w:top w:val="single" w:sz="2" w:space="0" w:color="auto"/>
              <w:left w:val="single" w:sz="2" w:space="0" w:color="auto"/>
              <w:bottom w:val="single" w:sz="2" w:space="0" w:color="auto"/>
              <w:right w:val="single" w:sz="2" w:space="0" w:color="auto"/>
            </w:tcBorders>
            <w:vAlign w:val="center"/>
          </w:tcPr>
          <w:p w14:paraId="5231B898"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11</w:t>
            </w:r>
          </w:p>
        </w:tc>
      </w:tr>
      <w:tr w:rsidR="00140B7C" w:rsidRPr="00EC4EC4" w14:paraId="3A7FCF59" w14:textId="77777777" w:rsidTr="00BC1087">
        <w:trPr>
          <w:trHeight w:hRule="exact" w:val="293"/>
          <w:jc w:val="center"/>
        </w:trPr>
        <w:tc>
          <w:tcPr>
            <w:tcW w:w="2279" w:type="dxa"/>
            <w:tcBorders>
              <w:top w:val="single" w:sz="2" w:space="0" w:color="auto"/>
              <w:left w:val="single" w:sz="2" w:space="0" w:color="auto"/>
              <w:bottom w:val="single" w:sz="2" w:space="0" w:color="auto"/>
              <w:right w:val="single" w:sz="2" w:space="0" w:color="auto"/>
            </w:tcBorders>
            <w:vAlign w:val="center"/>
          </w:tcPr>
          <w:p w14:paraId="4A3D5E4A"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8-0</w:t>
            </w:r>
          </w:p>
        </w:tc>
        <w:tc>
          <w:tcPr>
            <w:tcW w:w="2314" w:type="dxa"/>
            <w:tcBorders>
              <w:top w:val="single" w:sz="2" w:space="0" w:color="auto"/>
              <w:left w:val="single" w:sz="2" w:space="0" w:color="auto"/>
              <w:bottom w:val="single" w:sz="2" w:space="0" w:color="auto"/>
              <w:right w:val="single" w:sz="2" w:space="0" w:color="auto"/>
            </w:tcBorders>
            <w:vAlign w:val="center"/>
          </w:tcPr>
          <w:p w14:paraId="2F5712FA"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10</w:t>
            </w:r>
          </w:p>
        </w:tc>
      </w:tr>
      <w:tr w:rsidR="00140B7C" w:rsidRPr="00EC4EC4" w14:paraId="10C83A49" w14:textId="77777777" w:rsidTr="00BC1087">
        <w:trPr>
          <w:trHeight w:hRule="exact" w:val="293"/>
          <w:jc w:val="center"/>
        </w:trPr>
        <w:tc>
          <w:tcPr>
            <w:tcW w:w="2279" w:type="dxa"/>
            <w:tcBorders>
              <w:top w:val="single" w:sz="2" w:space="0" w:color="auto"/>
              <w:left w:val="single" w:sz="2" w:space="0" w:color="auto"/>
              <w:bottom w:val="single" w:sz="2" w:space="0" w:color="auto"/>
              <w:right w:val="single" w:sz="2" w:space="0" w:color="auto"/>
            </w:tcBorders>
            <w:vAlign w:val="center"/>
          </w:tcPr>
          <w:p w14:paraId="54424A98"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9-0</w:t>
            </w:r>
          </w:p>
        </w:tc>
        <w:tc>
          <w:tcPr>
            <w:tcW w:w="2314" w:type="dxa"/>
            <w:tcBorders>
              <w:top w:val="single" w:sz="2" w:space="0" w:color="auto"/>
              <w:left w:val="single" w:sz="2" w:space="0" w:color="auto"/>
              <w:bottom w:val="single" w:sz="2" w:space="0" w:color="auto"/>
              <w:right w:val="single" w:sz="2" w:space="0" w:color="auto"/>
            </w:tcBorders>
            <w:vAlign w:val="center"/>
          </w:tcPr>
          <w:p w14:paraId="0E348B14"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9</w:t>
            </w:r>
          </w:p>
        </w:tc>
      </w:tr>
      <w:tr w:rsidR="00140B7C" w:rsidRPr="00EC4EC4" w14:paraId="70885B80" w14:textId="77777777" w:rsidTr="00BC1087">
        <w:trPr>
          <w:trHeight w:hRule="exact" w:val="298"/>
          <w:jc w:val="center"/>
        </w:trPr>
        <w:tc>
          <w:tcPr>
            <w:tcW w:w="2279" w:type="dxa"/>
            <w:tcBorders>
              <w:top w:val="single" w:sz="2" w:space="0" w:color="auto"/>
              <w:left w:val="single" w:sz="2" w:space="0" w:color="auto"/>
              <w:bottom w:val="single" w:sz="2" w:space="0" w:color="auto"/>
              <w:right w:val="single" w:sz="2" w:space="0" w:color="auto"/>
            </w:tcBorders>
            <w:vAlign w:val="center"/>
          </w:tcPr>
          <w:p w14:paraId="6C70C8F3"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10-0</w:t>
            </w:r>
          </w:p>
        </w:tc>
        <w:tc>
          <w:tcPr>
            <w:tcW w:w="2314" w:type="dxa"/>
            <w:tcBorders>
              <w:top w:val="single" w:sz="2" w:space="0" w:color="auto"/>
              <w:left w:val="single" w:sz="2" w:space="0" w:color="auto"/>
              <w:bottom w:val="single" w:sz="2" w:space="0" w:color="auto"/>
              <w:right w:val="single" w:sz="2" w:space="0" w:color="auto"/>
            </w:tcBorders>
            <w:vAlign w:val="center"/>
          </w:tcPr>
          <w:p w14:paraId="3DDA0897"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w w:val="110"/>
                <w:sz w:val="17"/>
                <w:szCs w:val="17"/>
              </w:rPr>
            </w:pPr>
            <w:r w:rsidRPr="00EC4EC4">
              <w:rPr>
                <w:rFonts w:eastAsia="Times New Roman" w:cs="Times New Roman"/>
                <w:color w:val="000000"/>
                <w:w w:val="110"/>
                <w:sz w:val="17"/>
                <w:szCs w:val="17"/>
              </w:rPr>
              <w:t>8</w:t>
            </w:r>
          </w:p>
        </w:tc>
      </w:tr>
    </w:tbl>
    <w:p w14:paraId="3A2B24C0" w14:textId="77777777" w:rsidR="00140B7C" w:rsidRPr="00EC4EC4" w:rsidRDefault="00140B7C" w:rsidP="00140B7C">
      <w:pPr>
        <w:widowControl w:val="0"/>
        <w:autoSpaceDE w:val="0"/>
        <w:autoSpaceDN w:val="0"/>
        <w:adjustRightInd w:val="0"/>
        <w:spacing w:after="0" w:line="240" w:lineRule="auto"/>
        <w:ind w:left="2760"/>
        <w:rPr>
          <w:rFonts w:eastAsia="Times New Roman" w:cs="Times New Roman"/>
          <w:color w:val="000000"/>
          <w:spacing w:val="6"/>
          <w:sz w:val="17"/>
          <w:szCs w:val="17"/>
        </w:rPr>
      </w:pPr>
      <w:r w:rsidRPr="00EC4EC4">
        <w:rPr>
          <w:rFonts w:eastAsia="Times New Roman" w:cs="Times New Roman"/>
          <w:color w:val="000000"/>
          <w:spacing w:val="6"/>
          <w:sz w:val="17"/>
          <w:szCs w:val="17"/>
        </w:rPr>
        <w:t>For SI: 1 inch = 25.4 mm, 1 foot = 304.8 mm.</w:t>
      </w:r>
    </w:p>
    <w:p w14:paraId="242DBF48" w14:textId="77777777" w:rsidR="00140B7C" w:rsidRPr="00EC4EC4" w:rsidRDefault="00140B7C" w:rsidP="00140B7C">
      <w:pPr>
        <w:autoSpaceDE w:val="0"/>
        <w:autoSpaceDN w:val="0"/>
        <w:adjustRightInd w:val="0"/>
        <w:spacing w:after="0" w:line="240" w:lineRule="auto"/>
        <w:jc w:val="both"/>
        <w:rPr>
          <w:rFonts w:eastAsia="Times New Roman" w:cs="Times New Roman"/>
          <w:color w:val="000000"/>
        </w:rPr>
      </w:pPr>
      <w:bookmarkStart w:id="90" w:name="_Toc389735671"/>
      <w:bookmarkStart w:id="91" w:name="_Toc389744233"/>
    </w:p>
    <w:p w14:paraId="0A0FE55B" w14:textId="4711BEC6"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14</w:t>
      </w:r>
      <w:r w:rsidR="004E78AB">
        <w:rPr>
          <w:rFonts w:cs="Times New Roman"/>
          <w:sz w:val="23"/>
          <w:szCs w:val="23"/>
        </w:rPr>
        <w:t>7</w:t>
      </w:r>
      <w:r w:rsidRPr="00EC4EC4">
        <w:rPr>
          <w:rFonts w:cs="Times New Roman"/>
          <w:sz w:val="23"/>
          <w:szCs w:val="23"/>
        </w:rPr>
        <w:t>. Section 10</w:t>
      </w:r>
      <w:r>
        <w:rPr>
          <w:rFonts w:cs="Times New Roman"/>
          <w:sz w:val="23"/>
          <w:szCs w:val="23"/>
        </w:rPr>
        <w:t>10</w:t>
      </w:r>
      <w:r w:rsidRPr="00EC4EC4">
        <w:rPr>
          <w:rFonts w:cs="Times New Roman"/>
          <w:sz w:val="23"/>
          <w:szCs w:val="23"/>
        </w:rPr>
        <w:t>.3 of  the New York city building code, as renumbered and amended by local law number 126 for the year 2021, is amended to read as follows:</w:t>
      </w:r>
    </w:p>
    <w:p w14:paraId="1EDE9061" w14:textId="77777777" w:rsidR="00140B7C" w:rsidRPr="00EC4EC4" w:rsidRDefault="00140B7C" w:rsidP="00140B7C">
      <w:pPr>
        <w:pStyle w:val="FlushLeft"/>
      </w:pPr>
      <w:r w:rsidRPr="00EC4EC4">
        <w:rPr>
          <w:b/>
          <w:bCs/>
        </w:rPr>
        <w:t>1010.3 Turnstiles.</w:t>
      </w:r>
      <w:r w:rsidRPr="00EC4EC4">
        <w:rPr>
          <w:b/>
          <w:bCs/>
          <w:spacing w:val="-1"/>
          <w:w w:val="110"/>
        </w:rPr>
        <w:t xml:space="preserve"> </w:t>
      </w:r>
      <w:r w:rsidRPr="00EC4EC4">
        <w:t>Turnstiles or similar devices that restrict travel to one direction shall not be placed so as to obstruct any required means of egress.</w:t>
      </w:r>
      <w:r w:rsidRPr="00EC4EC4">
        <w:rPr>
          <w:spacing w:val="1"/>
        </w:rPr>
        <w:t xml:space="preserve"> Where portable turnstiles are installed for ticketing purposes, such turnstiles shall be moved from the egress path for proper exiting. </w:t>
      </w:r>
    </w:p>
    <w:p w14:paraId="5B55952E" w14:textId="77777777" w:rsidR="00140B7C" w:rsidRPr="00EC4EC4" w:rsidRDefault="00140B7C" w:rsidP="00140B7C">
      <w:pPr>
        <w:widowControl w:val="0"/>
        <w:autoSpaceDE w:val="0"/>
        <w:autoSpaceDN w:val="0"/>
        <w:adjustRightInd w:val="0"/>
        <w:spacing w:after="240" w:line="240" w:lineRule="auto"/>
        <w:ind w:left="360"/>
        <w:jc w:val="both"/>
        <w:rPr>
          <w:rFonts w:eastAsia="Times New Roman" w:cs="Times New Roman"/>
          <w:b/>
          <w:szCs w:val="24"/>
        </w:rPr>
      </w:pPr>
      <w:r w:rsidRPr="00EC4EC4">
        <w:rPr>
          <w:rFonts w:eastAsia="Times New Roman" w:cs="Times New Roman"/>
          <w:b/>
          <w:szCs w:val="24"/>
        </w:rPr>
        <w:t>Exceptions:</w:t>
      </w:r>
    </w:p>
    <w:p w14:paraId="7D48EB89"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pacing w:val="1"/>
          <w:szCs w:val="24"/>
        </w:rPr>
        <w:t>1.</w:t>
      </w:r>
      <w:r w:rsidRPr="00EC4EC4">
        <w:rPr>
          <w:rFonts w:eastAsia="Times New Roman" w:cs="Times New Roman"/>
          <w:spacing w:val="1"/>
          <w:szCs w:val="24"/>
        </w:rPr>
        <w:tab/>
      </w:r>
      <w:r w:rsidRPr="00EC4EC4">
        <w:rPr>
          <w:rFonts w:eastAsia="Times New Roman" w:cs="Times New Roman"/>
          <w:b/>
          <w:spacing w:val="1"/>
          <w:szCs w:val="24"/>
        </w:rPr>
        <w:t xml:space="preserve">Manually-operated turnstiles. </w:t>
      </w:r>
      <w:r w:rsidRPr="00EC4EC4">
        <w:rPr>
          <w:rFonts w:eastAsia="Times New Roman" w:cs="Times New Roman"/>
          <w:spacing w:val="1"/>
          <w:szCs w:val="24"/>
        </w:rPr>
        <w:t>Manually-operated</w:t>
      </w:r>
      <w:r w:rsidRPr="00EC4EC4">
        <w:rPr>
          <w:rFonts w:eastAsia="Times New Roman" w:cs="Times New Roman"/>
          <w:b/>
          <w:spacing w:val="1"/>
          <w:szCs w:val="24"/>
        </w:rPr>
        <w:t xml:space="preserve"> </w:t>
      </w:r>
      <w:r w:rsidRPr="00EC4EC4">
        <w:rPr>
          <w:rFonts w:eastAsia="Times New Roman" w:cs="Times New Roman"/>
          <w:spacing w:val="1"/>
          <w:szCs w:val="24"/>
        </w:rPr>
        <w:t>turnstiles that consist of revolving devices that turn freely in the direction of exit travel may be used in any occupancy where revolving doors are permitted.</w:t>
      </w:r>
      <w:r w:rsidRPr="00EC4EC4">
        <w:rPr>
          <w:rFonts w:eastAsia="Times New Roman" w:cs="Times New Roman"/>
          <w:szCs w:val="24"/>
        </w:rPr>
        <w:t xml:space="preserve"> Each </w:t>
      </w:r>
      <w:r w:rsidRPr="00EC4EC4">
        <w:rPr>
          <w:rFonts w:eastAsia="Times New Roman" w:cs="Times New Roman"/>
          <w:spacing w:val="1"/>
          <w:szCs w:val="24"/>
        </w:rPr>
        <w:t xml:space="preserve">manually-operated </w:t>
      </w:r>
      <w:r w:rsidRPr="00EC4EC4">
        <w:rPr>
          <w:rFonts w:eastAsia="Times New Roman" w:cs="Times New Roman"/>
          <w:szCs w:val="24"/>
        </w:rPr>
        <w:t xml:space="preserve">turnstile or similar device shall be credited with </w:t>
      </w:r>
      <w:r w:rsidRPr="00EC4EC4">
        <w:rPr>
          <w:rFonts w:eastAsia="Times New Roman" w:cs="Times New Roman"/>
          <w:spacing w:val="1"/>
          <w:szCs w:val="24"/>
        </w:rPr>
        <w:t xml:space="preserve">no </w:t>
      </w:r>
      <w:r w:rsidRPr="00EC4EC4">
        <w:rPr>
          <w:rFonts w:eastAsia="Times New Roman" w:cs="Times New Roman"/>
          <w:szCs w:val="24"/>
        </w:rPr>
        <w:t xml:space="preserve">more than a 50-person </w:t>
      </w:r>
      <w:r w:rsidRPr="00EC4EC4">
        <w:rPr>
          <w:rFonts w:eastAsia="Times New Roman" w:cs="Times New Roman"/>
          <w:spacing w:val="1"/>
          <w:szCs w:val="24"/>
        </w:rPr>
        <w:t xml:space="preserve">capacity </w:t>
      </w:r>
      <w:r w:rsidRPr="00EC4EC4">
        <w:rPr>
          <w:rFonts w:eastAsia="Times New Roman" w:cs="Times New Roman"/>
          <w:szCs w:val="24"/>
        </w:rPr>
        <w:t>where all of the following provisions are met:</w:t>
      </w:r>
    </w:p>
    <w:p w14:paraId="7180E133"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szCs w:val="24"/>
        </w:rPr>
      </w:pPr>
      <w:r w:rsidRPr="00EC4EC4">
        <w:rPr>
          <w:rFonts w:eastAsia="Times New Roman" w:cs="Times New Roman"/>
          <w:szCs w:val="24"/>
        </w:rPr>
        <w:t>1.1.</w:t>
      </w:r>
      <w:r w:rsidRPr="00EC4EC4">
        <w:rPr>
          <w:rFonts w:eastAsia="Times New Roman" w:cs="Times New Roman"/>
          <w:szCs w:val="24"/>
        </w:rPr>
        <w:tab/>
        <w:t xml:space="preserve">Each device shall turn free </w:t>
      </w:r>
      <w:r w:rsidRPr="00EC4EC4">
        <w:rPr>
          <w:rFonts w:eastAsia="Times New Roman" w:cs="Times New Roman"/>
          <w:spacing w:val="1"/>
          <w:szCs w:val="24"/>
        </w:rPr>
        <w:t xml:space="preserve">manually </w:t>
      </w:r>
      <w:r w:rsidRPr="00EC4EC4">
        <w:rPr>
          <w:rFonts w:eastAsia="Times New Roman" w:cs="Times New Roman"/>
          <w:szCs w:val="24"/>
        </w:rPr>
        <w:t>in the direction of egress travel when primary power is lost</w:t>
      </w:r>
      <w:r w:rsidRPr="00EC4EC4">
        <w:rPr>
          <w:rFonts w:eastAsia="Times New Roman" w:cs="Times New Roman"/>
          <w:spacing w:val="1"/>
          <w:szCs w:val="24"/>
        </w:rPr>
        <w:t>,</w:t>
      </w:r>
      <w:r w:rsidRPr="00EC4EC4">
        <w:rPr>
          <w:rFonts w:eastAsia="Times New Roman" w:cs="Times New Roman"/>
          <w:szCs w:val="24"/>
        </w:rPr>
        <w:t xml:space="preserve"> and </w:t>
      </w:r>
      <w:r w:rsidRPr="00EC4EC4">
        <w:rPr>
          <w:rFonts w:eastAsia="Times New Roman" w:cs="Times New Roman"/>
          <w:spacing w:val="1"/>
          <w:szCs w:val="24"/>
        </w:rPr>
        <w:t>upon</w:t>
      </w:r>
      <w:r w:rsidRPr="00EC4EC4">
        <w:rPr>
          <w:rFonts w:eastAsia="Times New Roman" w:cs="Times New Roman"/>
          <w:szCs w:val="24"/>
        </w:rPr>
        <w:t xml:space="preserve"> the manual release by an employee in the area.</w:t>
      </w:r>
    </w:p>
    <w:p w14:paraId="784C5A3C"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szCs w:val="24"/>
        </w:rPr>
      </w:pPr>
      <w:r w:rsidRPr="00EC4EC4">
        <w:rPr>
          <w:rFonts w:eastAsia="Times New Roman" w:cs="Times New Roman"/>
          <w:szCs w:val="24"/>
        </w:rPr>
        <w:lastRenderedPageBreak/>
        <w:t>1.2.</w:t>
      </w:r>
      <w:r w:rsidRPr="00EC4EC4">
        <w:rPr>
          <w:rFonts w:eastAsia="Times New Roman" w:cs="Times New Roman"/>
          <w:szCs w:val="24"/>
        </w:rPr>
        <w:tab/>
        <w:t>Such devices are not given credit for more than 50 percent of the required egress capacity or width.</w:t>
      </w:r>
    </w:p>
    <w:p w14:paraId="242EA19D"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szCs w:val="24"/>
        </w:rPr>
      </w:pPr>
      <w:r w:rsidRPr="00EC4EC4">
        <w:rPr>
          <w:rFonts w:eastAsia="Times New Roman" w:cs="Times New Roman"/>
          <w:szCs w:val="24"/>
        </w:rPr>
        <w:t>1.3.</w:t>
      </w:r>
      <w:r w:rsidRPr="00EC4EC4">
        <w:rPr>
          <w:rFonts w:eastAsia="Times New Roman" w:cs="Times New Roman"/>
          <w:szCs w:val="24"/>
        </w:rPr>
        <w:tab/>
        <w:t>Each device is not more than 39 inches (990.6 mm) high.</w:t>
      </w:r>
    </w:p>
    <w:p w14:paraId="2BFADA94"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szCs w:val="24"/>
        </w:rPr>
      </w:pPr>
      <w:r w:rsidRPr="00EC4EC4">
        <w:rPr>
          <w:rFonts w:eastAsia="Times New Roman" w:cs="Times New Roman"/>
          <w:szCs w:val="24"/>
        </w:rPr>
        <w:t>1.4.</w:t>
      </w:r>
      <w:r w:rsidRPr="00EC4EC4">
        <w:rPr>
          <w:rFonts w:eastAsia="Times New Roman" w:cs="Times New Roman"/>
          <w:szCs w:val="24"/>
        </w:rPr>
        <w:tab/>
        <w:t>Each device has</w:t>
      </w:r>
      <w:r w:rsidRPr="00EC4EC4">
        <w:rPr>
          <w:rFonts w:eastAsia="Times New Roman" w:cs="Times New Roman"/>
          <w:spacing w:val="1"/>
          <w:szCs w:val="24"/>
        </w:rPr>
        <w:t xml:space="preserve"> </w:t>
      </w:r>
      <w:r w:rsidRPr="00EC4EC4">
        <w:rPr>
          <w:rFonts w:eastAsia="Times New Roman" w:cs="Times New Roman"/>
          <w:szCs w:val="24"/>
        </w:rPr>
        <w:t>not less than 16½</w:t>
      </w:r>
      <w:r w:rsidRPr="00EC4EC4">
        <w:rPr>
          <w:rFonts w:eastAsia="Times New Roman" w:cs="Times New Roman"/>
          <w:position w:val="-16"/>
          <w:szCs w:val="24"/>
        </w:rPr>
        <w:t xml:space="preserve"> </w:t>
      </w:r>
      <w:r w:rsidRPr="00EC4EC4">
        <w:rPr>
          <w:rFonts w:eastAsia="Times New Roman" w:cs="Times New Roman"/>
          <w:szCs w:val="24"/>
        </w:rPr>
        <w:t>inches (419.1 mm) clear width at and below a height of 39 inches (990.6 mm) and</w:t>
      </w:r>
      <w:r w:rsidRPr="00EC4EC4">
        <w:rPr>
          <w:rFonts w:eastAsia="Times New Roman" w:cs="Times New Roman"/>
          <w:spacing w:val="1"/>
          <w:szCs w:val="24"/>
        </w:rPr>
        <w:t xml:space="preserve"> </w:t>
      </w:r>
      <w:r w:rsidRPr="00EC4EC4">
        <w:rPr>
          <w:rFonts w:eastAsia="Times New Roman" w:cs="Times New Roman"/>
          <w:szCs w:val="24"/>
        </w:rPr>
        <w:t>not less than 22 inches (558.8 mm) clear width at heights above 39 inches (990.6 mm).</w:t>
      </w:r>
    </w:p>
    <w:p w14:paraId="51A031BD" w14:textId="77777777" w:rsidR="00140B7C" w:rsidRPr="00EC4EC4" w:rsidRDefault="00140B7C" w:rsidP="00140B7C">
      <w:pPr>
        <w:autoSpaceDE w:val="0"/>
        <w:autoSpaceDN w:val="0"/>
        <w:adjustRightInd w:val="0"/>
        <w:spacing w:after="240" w:line="240" w:lineRule="auto"/>
        <w:ind w:left="1620" w:hanging="540"/>
        <w:jc w:val="both"/>
        <w:rPr>
          <w:rFonts w:eastAsia="Times New Roman" w:cs="Times New Roman"/>
          <w:strike/>
          <w:szCs w:val="24"/>
        </w:rPr>
      </w:pPr>
      <w:r w:rsidRPr="00EC4EC4">
        <w:rPr>
          <w:rFonts w:eastAsia="Times New Roman" w:cs="Times New Roman"/>
          <w:szCs w:val="24"/>
        </w:rPr>
        <w:t>[</w:t>
      </w:r>
      <w:r w:rsidRPr="00EC4EC4">
        <w:rPr>
          <w:rFonts w:eastAsia="Times New Roman" w:cs="Times New Roman"/>
          <w:strike/>
          <w:szCs w:val="24"/>
        </w:rPr>
        <w:t>1.5</w:t>
      </w:r>
      <w:r w:rsidRPr="00EC4EC4">
        <w:rPr>
          <w:rFonts w:eastAsia="Times New Roman" w:cs="Times New Roman"/>
          <w:szCs w:val="24"/>
        </w:rPr>
        <w:t>]</w:t>
      </w:r>
      <w:r w:rsidRPr="00EC4EC4">
        <w:rPr>
          <w:rFonts w:eastAsia="Times New Roman" w:cs="Times New Roman"/>
          <w:szCs w:val="24"/>
          <w:u w:val="single"/>
        </w:rPr>
        <w:t>1.5.</w:t>
      </w:r>
      <w:r w:rsidRPr="00EC4EC4">
        <w:rPr>
          <w:rFonts w:eastAsia="Times New Roman" w:cs="Times New Roman"/>
          <w:szCs w:val="24"/>
        </w:rPr>
        <w:tab/>
        <w:t>Where located as part of an accessible route, turnstiles shall have not less than 36 inches (914.4 mm) clear at and below a height of 34 inches (863.4 mm), not less than 32 inches (812.8 mm) clear width between 34 inches (863.4 mm) and 80 inches (2032 mm) and shall consist of a mechanism other than a revolving device.</w:t>
      </w:r>
    </w:p>
    <w:p w14:paraId="09A0EE90" w14:textId="77777777" w:rsidR="00140B7C" w:rsidRPr="00EC4EC4" w:rsidRDefault="00140B7C" w:rsidP="00140B7C">
      <w:pPr>
        <w:autoSpaceDE w:val="0"/>
        <w:autoSpaceDN w:val="0"/>
        <w:adjustRightInd w:val="0"/>
        <w:spacing w:after="240" w:line="240" w:lineRule="auto"/>
        <w:ind w:left="1080" w:hanging="360"/>
        <w:jc w:val="both"/>
        <w:rPr>
          <w:rFonts w:cs="Times New Roman"/>
          <w:szCs w:val="24"/>
        </w:rPr>
      </w:pPr>
      <w:r w:rsidRPr="00EC4EC4">
        <w:rPr>
          <w:rFonts w:cs="Times New Roman"/>
          <w:szCs w:val="24"/>
        </w:rPr>
        <w:t>2.</w:t>
      </w:r>
      <w:r w:rsidRPr="00EC4EC4">
        <w:rPr>
          <w:rFonts w:cs="Times New Roman"/>
          <w:szCs w:val="24"/>
        </w:rPr>
        <w:tab/>
      </w:r>
      <w:r w:rsidRPr="00EC4EC4">
        <w:rPr>
          <w:rFonts w:cs="Times New Roman"/>
          <w:b/>
          <w:szCs w:val="24"/>
        </w:rPr>
        <w:t>Automatic turnstiles.</w:t>
      </w:r>
      <w:r w:rsidRPr="00EC4EC4">
        <w:rPr>
          <w:rFonts w:cs="Times New Roman"/>
          <w:szCs w:val="24"/>
        </w:rPr>
        <w:t xml:space="preserve"> Automatic turnstiles that consist of mechanisms other than revolving devices, and are operated by power, such as turnstiles with a photoelectric-actuated mechanism to open the turnstile upon the approach of a person, may be used in any occupancy where revolving doors are permitted. Automatic turnstiles may serve a means of egress system where all of the following provisions are met:</w:t>
      </w:r>
    </w:p>
    <w:p w14:paraId="7DECC80D" w14:textId="77777777" w:rsidR="00140B7C" w:rsidRPr="00EC4EC4" w:rsidRDefault="00140B7C" w:rsidP="00140B7C">
      <w:pPr>
        <w:autoSpaceDE w:val="0"/>
        <w:autoSpaceDN w:val="0"/>
        <w:adjustRightInd w:val="0"/>
        <w:spacing w:after="240" w:line="240" w:lineRule="auto"/>
        <w:ind w:left="1620" w:hanging="540"/>
        <w:jc w:val="both"/>
        <w:rPr>
          <w:rFonts w:cs="Times New Roman"/>
          <w:szCs w:val="24"/>
        </w:rPr>
      </w:pPr>
      <w:r w:rsidRPr="00EC4EC4">
        <w:rPr>
          <w:rFonts w:cs="Times New Roman"/>
          <w:szCs w:val="24"/>
        </w:rPr>
        <w:t>2.1.</w:t>
      </w:r>
      <w:r w:rsidRPr="00EC4EC4">
        <w:rPr>
          <w:rFonts w:cs="Times New Roman"/>
          <w:szCs w:val="24"/>
        </w:rPr>
        <w:tab/>
        <w:t>Each automatic turnstile shall have minimum widths sufficient for the occupant load served and shall provide at least 32 inches (812.8 mm) of clear width at and below a height of 80 inches (2032 mm).</w:t>
      </w:r>
    </w:p>
    <w:p w14:paraId="7FC38E55" w14:textId="77777777" w:rsidR="00140B7C" w:rsidRPr="00EC4EC4" w:rsidRDefault="00140B7C" w:rsidP="00140B7C">
      <w:pPr>
        <w:autoSpaceDE w:val="0"/>
        <w:autoSpaceDN w:val="0"/>
        <w:adjustRightInd w:val="0"/>
        <w:spacing w:after="240" w:line="240" w:lineRule="auto"/>
        <w:ind w:left="1620" w:hanging="540"/>
        <w:jc w:val="both"/>
        <w:rPr>
          <w:rFonts w:cs="Times New Roman"/>
          <w:szCs w:val="24"/>
        </w:rPr>
      </w:pPr>
      <w:r w:rsidRPr="00EC4EC4">
        <w:rPr>
          <w:rFonts w:cs="Times New Roman"/>
          <w:szCs w:val="24"/>
        </w:rPr>
        <w:t>2.2.</w:t>
      </w:r>
      <w:r w:rsidRPr="00EC4EC4">
        <w:rPr>
          <w:rFonts w:cs="Times New Roman"/>
          <w:szCs w:val="24"/>
        </w:rPr>
        <w:tab/>
        <w:t>The design shall be such that in the event of power failure, each automatic turnstile is capable of breaking away manually to permit means of egress travel. The force required to break away these turnstiles manually shall not exceed 13 pounds (57.8 N). The turnstile shall be capable of swinging from any position to the full, clear opening width of the turnstile when a force is applied to the turnstile on the side from which egress is made.</w:t>
      </w:r>
    </w:p>
    <w:p w14:paraId="0C385D93" w14:textId="77777777" w:rsidR="00140B7C" w:rsidRPr="00EC4EC4" w:rsidRDefault="00140B7C" w:rsidP="00140B7C">
      <w:pPr>
        <w:autoSpaceDE w:val="0"/>
        <w:autoSpaceDN w:val="0"/>
        <w:adjustRightInd w:val="0"/>
        <w:spacing w:after="240" w:line="240" w:lineRule="auto"/>
        <w:ind w:left="1620" w:hanging="540"/>
        <w:jc w:val="both"/>
        <w:rPr>
          <w:rFonts w:cs="Times New Roman"/>
          <w:szCs w:val="24"/>
        </w:rPr>
      </w:pPr>
      <w:r w:rsidRPr="00EC4EC4">
        <w:rPr>
          <w:rFonts w:cs="Times New Roman"/>
          <w:szCs w:val="24"/>
        </w:rPr>
        <w:t>2.3.</w:t>
      </w:r>
      <w:r w:rsidRPr="00EC4EC4">
        <w:rPr>
          <w:rFonts w:cs="Times New Roman"/>
          <w:szCs w:val="24"/>
        </w:rPr>
        <w:tab/>
        <w:t>Each automatic turnstile shall be operable from the egress side without special knowledge or effort.</w:t>
      </w:r>
    </w:p>
    <w:p w14:paraId="696A8C45" w14:textId="77777777" w:rsidR="00140B7C" w:rsidRPr="00EC4EC4" w:rsidRDefault="00140B7C" w:rsidP="00140B7C">
      <w:pPr>
        <w:widowControl w:val="0"/>
        <w:autoSpaceDE w:val="0"/>
        <w:autoSpaceDN w:val="0"/>
        <w:adjustRightInd w:val="0"/>
        <w:spacing w:after="240" w:line="240" w:lineRule="auto"/>
        <w:ind w:left="1620" w:hanging="540"/>
        <w:jc w:val="both"/>
        <w:rPr>
          <w:rFonts w:eastAsia="Times New Roman" w:cs="Times New Roman"/>
          <w:szCs w:val="24"/>
        </w:rPr>
      </w:pPr>
      <w:r w:rsidRPr="00EC4EC4">
        <w:rPr>
          <w:rFonts w:eastAsia="Times New Roman" w:cs="Times New Roman"/>
          <w:szCs w:val="24"/>
        </w:rPr>
        <w:t>2.4.</w:t>
      </w:r>
      <w:r w:rsidRPr="00EC4EC4">
        <w:rPr>
          <w:rFonts w:eastAsia="Times New Roman" w:cs="Times New Roman"/>
          <w:szCs w:val="24"/>
        </w:rPr>
        <w:tab/>
        <w:t>Each automatic turnstile shall be connected to the building fire alarm system. Activation of the building fire alarm system shall automatically release each such turnstile to its full, clear opening width, and each such turnstile shall remain in its open position until the fire alarm system has been reset.</w:t>
      </w:r>
    </w:p>
    <w:p w14:paraId="379411ED" w14:textId="77777777" w:rsidR="00140B7C" w:rsidRPr="00EC4EC4" w:rsidRDefault="00140B7C" w:rsidP="00140B7C">
      <w:pPr>
        <w:widowControl w:val="0"/>
        <w:autoSpaceDE w:val="0"/>
        <w:autoSpaceDN w:val="0"/>
        <w:adjustRightInd w:val="0"/>
        <w:spacing w:after="240" w:line="240" w:lineRule="auto"/>
        <w:ind w:left="1620" w:hanging="540"/>
        <w:jc w:val="both"/>
        <w:rPr>
          <w:rFonts w:eastAsia="Times New Roman" w:cs="Times New Roman"/>
          <w:szCs w:val="24"/>
        </w:rPr>
      </w:pPr>
      <w:r w:rsidRPr="00EC4EC4">
        <w:rPr>
          <w:rFonts w:eastAsia="Times New Roman" w:cs="Times New Roman"/>
          <w:szCs w:val="24"/>
        </w:rPr>
        <w:t>[</w:t>
      </w:r>
      <w:r w:rsidRPr="00EC4EC4">
        <w:rPr>
          <w:rFonts w:eastAsia="Times New Roman" w:cs="Times New Roman"/>
          <w:strike/>
          <w:szCs w:val="24"/>
        </w:rPr>
        <w:t>2.5</w:t>
      </w:r>
      <w:r w:rsidRPr="00EC4EC4">
        <w:rPr>
          <w:rFonts w:eastAsia="Times New Roman" w:cs="Times New Roman"/>
          <w:szCs w:val="24"/>
        </w:rPr>
        <w:t>]</w:t>
      </w:r>
      <w:r w:rsidRPr="00EC4EC4">
        <w:rPr>
          <w:rFonts w:eastAsia="Times New Roman" w:cs="Times New Roman"/>
          <w:szCs w:val="24"/>
          <w:u w:val="single"/>
        </w:rPr>
        <w:t>2.5.</w:t>
      </w:r>
      <w:r w:rsidRPr="00EC4EC4">
        <w:rPr>
          <w:rFonts w:eastAsia="Times New Roman" w:cs="Times New Roman"/>
          <w:szCs w:val="24"/>
        </w:rPr>
        <w:tab/>
        <w:t>Each automatic turnstile shall, upon actuation of a manual release device, automatically open to its full, clear opening width, and shall remain in its open position until the automatic turnstile’s access control system is reset.  The manual release device shall be clearly identified with ready access that results in direct interruption of power to each turnstile.  The manual release device shall be positioned at the fire command center or, if a fire command center is not required, at an approved location near the building entrance where the automatic turnstiles are located.</w:t>
      </w:r>
    </w:p>
    <w:p w14:paraId="4680894A" w14:textId="77777777" w:rsidR="00140B7C" w:rsidRPr="00EC4EC4" w:rsidRDefault="00140B7C" w:rsidP="00140B7C">
      <w:pPr>
        <w:autoSpaceDE w:val="0"/>
        <w:autoSpaceDN w:val="0"/>
        <w:adjustRightInd w:val="0"/>
        <w:spacing w:after="240" w:line="240" w:lineRule="auto"/>
        <w:ind w:left="1620" w:hanging="540"/>
        <w:jc w:val="both"/>
        <w:rPr>
          <w:rFonts w:cs="Times New Roman"/>
          <w:szCs w:val="24"/>
        </w:rPr>
      </w:pPr>
      <w:r w:rsidRPr="00EC4EC4">
        <w:rPr>
          <w:rFonts w:cs="Times New Roman"/>
          <w:szCs w:val="24"/>
        </w:rPr>
        <w:lastRenderedPageBreak/>
        <w:t>[</w:t>
      </w:r>
      <w:r w:rsidRPr="00EC4EC4">
        <w:rPr>
          <w:rFonts w:cs="Times New Roman"/>
          <w:strike/>
          <w:szCs w:val="24"/>
        </w:rPr>
        <w:t>2.6</w:t>
      </w:r>
      <w:r w:rsidRPr="00EC4EC4">
        <w:rPr>
          <w:rFonts w:cs="Times New Roman"/>
          <w:szCs w:val="24"/>
        </w:rPr>
        <w:t>]</w:t>
      </w:r>
      <w:r w:rsidRPr="00EC4EC4">
        <w:rPr>
          <w:rFonts w:cs="Times New Roman"/>
          <w:szCs w:val="24"/>
          <w:u w:val="single"/>
        </w:rPr>
        <w:t>2.6.</w:t>
      </w:r>
      <w:r w:rsidRPr="00EC4EC4">
        <w:rPr>
          <w:rFonts w:cs="Times New Roman"/>
          <w:szCs w:val="24"/>
        </w:rPr>
        <w:tab/>
        <w:t>Each automatic turnstile shall have an integrated emergency power supply.</w:t>
      </w:r>
    </w:p>
    <w:p w14:paraId="4C1FADB4" w14:textId="77777777" w:rsidR="00140B7C" w:rsidRPr="00EC4EC4" w:rsidRDefault="00140B7C" w:rsidP="00140B7C">
      <w:pPr>
        <w:autoSpaceDE w:val="0"/>
        <w:autoSpaceDN w:val="0"/>
        <w:adjustRightInd w:val="0"/>
        <w:spacing w:after="240" w:line="240" w:lineRule="auto"/>
        <w:ind w:left="1620" w:hanging="540"/>
        <w:jc w:val="both"/>
        <w:rPr>
          <w:rFonts w:cs="Times New Roman"/>
          <w:szCs w:val="24"/>
        </w:rPr>
      </w:pPr>
      <w:r w:rsidRPr="00EC4EC4">
        <w:rPr>
          <w:rFonts w:cs="Times New Roman"/>
          <w:szCs w:val="24"/>
        </w:rPr>
        <w:t>[</w:t>
      </w:r>
      <w:r w:rsidRPr="00EC4EC4">
        <w:rPr>
          <w:rFonts w:cs="Times New Roman"/>
          <w:strike/>
          <w:szCs w:val="24"/>
        </w:rPr>
        <w:t>2.7</w:t>
      </w:r>
      <w:r w:rsidRPr="00EC4EC4">
        <w:rPr>
          <w:rFonts w:cs="Times New Roman"/>
          <w:szCs w:val="24"/>
        </w:rPr>
        <w:t>]</w:t>
      </w:r>
      <w:r w:rsidRPr="00EC4EC4">
        <w:rPr>
          <w:rFonts w:cs="Times New Roman"/>
          <w:szCs w:val="24"/>
          <w:u w:val="single"/>
        </w:rPr>
        <w:t>2.7.</w:t>
      </w:r>
      <w:r w:rsidRPr="00EC4EC4">
        <w:rPr>
          <w:rFonts w:cs="Times New Roman"/>
          <w:szCs w:val="24"/>
        </w:rPr>
        <w:tab/>
        <w:t>Each automatic turnstile power supply shall be electrically supervised.</w:t>
      </w:r>
    </w:p>
    <w:p w14:paraId="7657B9B7" w14:textId="77777777" w:rsidR="00140B7C" w:rsidRPr="00EC4EC4" w:rsidRDefault="00140B7C" w:rsidP="00140B7C">
      <w:pPr>
        <w:autoSpaceDE w:val="0"/>
        <w:autoSpaceDN w:val="0"/>
        <w:adjustRightInd w:val="0"/>
        <w:spacing w:after="240" w:line="240" w:lineRule="auto"/>
        <w:ind w:left="1620" w:hanging="540"/>
        <w:jc w:val="both"/>
        <w:rPr>
          <w:rFonts w:cs="Times New Roman"/>
          <w:szCs w:val="24"/>
        </w:rPr>
      </w:pPr>
      <w:r w:rsidRPr="00EC4EC4">
        <w:rPr>
          <w:rFonts w:cs="Times New Roman"/>
          <w:szCs w:val="24"/>
        </w:rPr>
        <w:t>[</w:t>
      </w:r>
      <w:r w:rsidRPr="00EC4EC4">
        <w:rPr>
          <w:rFonts w:cs="Times New Roman"/>
          <w:strike/>
          <w:szCs w:val="24"/>
        </w:rPr>
        <w:t>2.8</w:t>
      </w:r>
      <w:r w:rsidRPr="00EC4EC4">
        <w:rPr>
          <w:rFonts w:cs="Times New Roman"/>
          <w:szCs w:val="24"/>
        </w:rPr>
        <w:t>]</w:t>
      </w:r>
      <w:r w:rsidRPr="00EC4EC4">
        <w:rPr>
          <w:rFonts w:cs="Times New Roman"/>
          <w:szCs w:val="24"/>
          <w:u w:val="single"/>
        </w:rPr>
        <w:t>2.8.</w:t>
      </w:r>
      <w:r w:rsidRPr="00EC4EC4">
        <w:rPr>
          <w:rFonts w:cs="Times New Roman"/>
          <w:szCs w:val="24"/>
        </w:rPr>
        <w:tab/>
        <w:t>Turnstiles provided for egress purposes in numbers greater than the egress capacity required by this code shall meet the requirements of this section.</w:t>
      </w:r>
    </w:p>
    <w:p w14:paraId="1E7C8DD4" w14:textId="77777777" w:rsidR="00140B7C" w:rsidRPr="00EC4EC4" w:rsidRDefault="00140B7C" w:rsidP="00140B7C">
      <w:pPr>
        <w:widowControl w:val="0"/>
        <w:autoSpaceDE w:val="0"/>
        <w:autoSpaceDN w:val="0"/>
        <w:adjustRightInd w:val="0"/>
        <w:spacing w:after="240" w:line="240" w:lineRule="auto"/>
        <w:ind w:left="1620" w:hanging="540"/>
        <w:jc w:val="both"/>
        <w:rPr>
          <w:rFonts w:eastAsia="Times New Roman" w:cs="Times New Roman"/>
          <w:b/>
          <w:szCs w:val="24"/>
        </w:rPr>
      </w:pPr>
      <w:r w:rsidRPr="00EC4EC4">
        <w:rPr>
          <w:rFonts w:eastAsia="Times New Roman" w:cs="Times New Roman"/>
          <w:szCs w:val="24"/>
        </w:rPr>
        <w:t>[</w:t>
      </w:r>
      <w:r w:rsidRPr="00EC4EC4">
        <w:rPr>
          <w:rFonts w:eastAsia="Times New Roman" w:cs="Times New Roman"/>
          <w:strike/>
          <w:szCs w:val="24"/>
        </w:rPr>
        <w:t>2.9</w:t>
      </w:r>
      <w:r w:rsidRPr="00EC4EC4">
        <w:rPr>
          <w:rFonts w:eastAsia="Times New Roman" w:cs="Times New Roman"/>
          <w:szCs w:val="24"/>
        </w:rPr>
        <w:t>]</w:t>
      </w:r>
      <w:r w:rsidRPr="00EC4EC4">
        <w:rPr>
          <w:rFonts w:eastAsia="Times New Roman" w:cs="Times New Roman"/>
          <w:szCs w:val="24"/>
          <w:u w:val="single"/>
        </w:rPr>
        <w:t>2.9.</w:t>
      </w:r>
      <w:r w:rsidRPr="00EC4EC4">
        <w:rPr>
          <w:rFonts w:eastAsia="Times New Roman" w:cs="Times New Roman"/>
          <w:szCs w:val="24"/>
        </w:rPr>
        <w:tab/>
        <w:t>Where located as part of an accessible route, such turnstiles shall have at least 36 inches (914.4 mm) clear width at and below a height of 34 inches (863.4 mm), at least 32 inches  (812.8 mm) clear width between 34 inches (863.4 mm) and 80 inches (2032 mm).</w:t>
      </w:r>
    </w:p>
    <w:p w14:paraId="2B59CAAB" w14:textId="71AE74D0" w:rsidR="00140B7C" w:rsidRPr="00EC4EC4" w:rsidRDefault="00140B7C" w:rsidP="00140B7C">
      <w:pPr>
        <w:kinsoku w:val="0"/>
        <w:spacing w:after="240" w:line="240" w:lineRule="auto"/>
        <w:ind w:firstLine="720"/>
        <w:jc w:val="both"/>
        <w:rPr>
          <w:rFonts w:eastAsia="Times New Roman" w:cs="Times New Roman"/>
          <w:b/>
          <w:bCs/>
          <w:szCs w:val="24"/>
        </w:rPr>
      </w:pPr>
      <w:bookmarkStart w:id="92" w:name="_Toc389735701"/>
      <w:bookmarkStart w:id="93" w:name="_Toc389744263"/>
      <w:bookmarkEnd w:id="88"/>
      <w:bookmarkEnd w:id="89"/>
      <w:bookmarkEnd w:id="90"/>
      <w:bookmarkEnd w:id="91"/>
      <w:r w:rsidRPr="00EC4EC4">
        <w:rPr>
          <w:rFonts w:cs="Times New Roman"/>
          <w:sz w:val="23"/>
          <w:szCs w:val="23"/>
        </w:rPr>
        <w:t>§</w:t>
      </w:r>
      <w:r>
        <w:rPr>
          <w:rFonts w:cs="Times New Roman"/>
          <w:sz w:val="23"/>
          <w:szCs w:val="23"/>
        </w:rPr>
        <w:t>14</w:t>
      </w:r>
      <w:r w:rsidR="004E78AB">
        <w:rPr>
          <w:rFonts w:cs="Times New Roman"/>
          <w:sz w:val="23"/>
          <w:szCs w:val="23"/>
        </w:rPr>
        <w:t>8</w:t>
      </w:r>
      <w:r w:rsidRPr="00EC4EC4">
        <w:rPr>
          <w:rFonts w:cs="Times New Roman"/>
          <w:sz w:val="23"/>
          <w:szCs w:val="23"/>
        </w:rPr>
        <w:t>. Section 1011.12.1 of  the New York city building code, as added by local law number 126 for the year 2021, is amended to read as follows:</w:t>
      </w:r>
    </w:p>
    <w:p w14:paraId="2EC0D4FE" w14:textId="77777777" w:rsidR="00140B7C" w:rsidRPr="00EC4EC4" w:rsidRDefault="00140B7C" w:rsidP="00140B7C">
      <w:pPr>
        <w:pStyle w:val="FlushLeftDouble"/>
        <w:ind w:left="0"/>
        <w:rPr>
          <w:szCs w:val="24"/>
        </w:rPr>
      </w:pPr>
      <w:bookmarkStart w:id="94" w:name="_Toc389735730"/>
      <w:bookmarkStart w:id="95" w:name="_Toc389744292"/>
      <w:bookmarkStart w:id="96" w:name="_Toc389735731"/>
      <w:bookmarkStart w:id="97" w:name="_Toc389744293"/>
      <w:bookmarkStart w:id="98" w:name="_Toc389735733"/>
      <w:bookmarkStart w:id="99" w:name="_Toc389744295"/>
      <w:bookmarkEnd w:id="92"/>
      <w:bookmarkEnd w:id="93"/>
      <w:r w:rsidRPr="00EC4EC4">
        <w:rPr>
          <w:b/>
          <w:szCs w:val="24"/>
        </w:rPr>
        <w:t>1011.12.1 Occupancy Groups I-1, R-1 and R-2.</w:t>
      </w:r>
      <w:r w:rsidRPr="00EC4EC4">
        <w:rPr>
          <w:szCs w:val="24"/>
        </w:rPr>
        <w:t xml:space="preserve"> In buildings in Occupancy Groups I-1, [</w:t>
      </w:r>
      <w:r w:rsidRPr="00EC4EC4">
        <w:rPr>
          <w:strike/>
          <w:szCs w:val="24"/>
        </w:rPr>
        <w:t>R- 1</w:t>
      </w:r>
      <w:r w:rsidRPr="00EC4EC4">
        <w:rPr>
          <w:szCs w:val="24"/>
        </w:rPr>
        <w:t>]</w:t>
      </w:r>
      <w:r w:rsidRPr="00EC4EC4">
        <w:rPr>
          <w:szCs w:val="24"/>
          <w:u w:val="single"/>
        </w:rPr>
        <w:t>R-1</w:t>
      </w:r>
      <w:r w:rsidRPr="00EC4EC4">
        <w:rPr>
          <w:szCs w:val="24"/>
        </w:rPr>
        <w:t xml:space="preserve"> and R-2 two stories or more in height, with roofs having a slope of 15 degrees (0.26 rad) or less, all interior exit stairways, except those terminating at the level of a setback roof, shall extend to the roof surface.</w:t>
      </w:r>
    </w:p>
    <w:p w14:paraId="36B7EA11"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b/>
          <w:szCs w:val="24"/>
        </w:rPr>
      </w:pPr>
      <w:r w:rsidRPr="00EC4EC4">
        <w:rPr>
          <w:rFonts w:eastAsia="Times New Roman" w:cs="Times New Roman"/>
          <w:b/>
          <w:szCs w:val="24"/>
        </w:rPr>
        <w:t>Exceptions:</w:t>
      </w:r>
    </w:p>
    <w:p w14:paraId="489B6731" w14:textId="77777777" w:rsidR="00140B7C" w:rsidRPr="00EC4EC4" w:rsidRDefault="00140B7C" w:rsidP="00140B7C">
      <w:pPr>
        <w:autoSpaceDE w:val="0"/>
        <w:autoSpaceDN w:val="0"/>
        <w:adjustRightInd w:val="0"/>
        <w:spacing w:after="240" w:line="240" w:lineRule="auto"/>
        <w:ind w:left="144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In buildings in Occupancy Groups R- 1 and R-2 that are two stories in height and in Occupancy Group R-2 that are three stories in height with not more than one dwelling unit per story, access to the roof shall be permitted to be a noncombustible roof hatch or trap door not less than 21 inches (533.4 mm) in width and 28 inches (711.2 mm) in length. Such hatches shall be located within the interior exit stairway enclosure and be provided with a stationary, noncombustible access ladder or alternating tread device.</w:t>
      </w:r>
    </w:p>
    <w:p w14:paraId="0CD2948D" w14:textId="77777777" w:rsidR="00140B7C" w:rsidRPr="00EC4EC4" w:rsidRDefault="00140B7C" w:rsidP="00140B7C">
      <w:pPr>
        <w:autoSpaceDE w:val="0"/>
        <w:autoSpaceDN w:val="0"/>
        <w:adjustRightInd w:val="0"/>
        <w:spacing w:after="240" w:line="240" w:lineRule="auto"/>
        <w:ind w:left="144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In buildings in Occupancy Group R-2 complying with Item 6 of Section 1006.3.2, roof access shall be governed by Item 6.6 of such section.</w:t>
      </w:r>
    </w:p>
    <w:p w14:paraId="05999F39" w14:textId="211850AE"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14</w:t>
      </w:r>
      <w:r w:rsidR="004E78AB">
        <w:rPr>
          <w:rFonts w:cs="Times New Roman"/>
          <w:sz w:val="23"/>
          <w:szCs w:val="23"/>
        </w:rPr>
        <w:t>9</w:t>
      </w:r>
      <w:r w:rsidRPr="00EC4EC4">
        <w:rPr>
          <w:rFonts w:cs="Times New Roman"/>
          <w:sz w:val="23"/>
          <w:szCs w:val="23"/>
        </w:rPr>
        <w:t>. Section 101</w:t>
      </w:r>
      <w:r>
        <w:rPr>
          <w:rFonts w:cs="Times New Roman"/>
          <w:sz w:val="23"/>
          <w:szCs w:val="23"/>
        </w:rPr>
        <w:t>6</w:t>
      </w:r>
      <w:r w:rsidRPr="00EC4EC4">
        <w:rPr>
          <w:rFonts w:cs="Times New Roman"/>
          <w:sz w:val="23"/>
          <w:szCs w:val="23"/>
        </w:rPr>
        <w:t>.</w:t>
      </w:r>
      <w:r>
        <w:rPr>
          <w:rFonts w:cs="Times New Roman"/>
          <w:sz w:val="23"/>
          <w:szCs w:val="23"/>
        </w:rPr>
        <w:t>3</w:t>
      </w:r>
      <w:r w:rsidRPr="00EC4EC4">
        <w:rPr>
          <w:rFonts w:cs="Times New Roman"/>
          <w:sz w:val="23"/>
          <w:szCs w:val="23"/>
        </w:rPr>
        <w:t>.2 of  the New York city building code, as renumbered and amended by local law number 126 for the year 2021, is amended to read as follows:</w:t>
      </w:r>
    </w:p>
    <w:p w14:paraId="717DF172" w14:textId="77777777" w:rsidR="00140B7C" w:rsidRPr="00EC4EC4" w:rsidRDefault="00140B7C" w:rsidP="00140B7C">
      <w:pPr>
        <w:pStyle w:val="FlushLeftDouble"/>
        <w:ind w:left="0"/>
        <w:rPr>
          <w:color w:val="000000"/>
          <w:szCs w:val="24"/>
        </w:rPr>
      </w:pPr>
      <w:bookmarkStart w:id="100" w:name="_Toc389735800"/>
      <w:bookmarkStart w:id="101" w:name="_Toc389744362"/>
      <w:bookmarkEnd w:id="94"/>
      <w:bookmarkEnd w:id="95"/>
      <w:bookmarkEnd w:id="96"/>
      <w:bookmarkEnd w:id="97"/>
      <w:bookmarkEnd w:id="98"/>
      <w:bookmarkEnd w:id="99"/>
      <w:r w:rsidRPr="00EC4EC4">
        <w:rPr>
          <w:b/>
          <w:bCs/>
          <w:color w:val="000000"/>
          <w:szCs w:val="24"/>
        </w:rPr>
        <w:t xml:space="preserve">1016.3.2 Group R-2 high-rise occupancies. </w:t>
      </w:r>
      <w:r w:rsidRPr="00EC4EC4">
        <w:rPr>
          <w:color w:val="000000"/>
          <w:szCs w:val="24"/>
        </w:rPr>
        <w:t xml:space="preserve">In high-rise buildings in Occupancy Group R-2, all doors from a dwelling unit shall open into an intervening public hall. Such public hall shall be constructed as a public corridor in accordance with Section 1020. Opening protectives in accordance with Exception 3 of Section 707.6 shall not be permitted.  Such public hall shall provide access to at least two exits. </w:t>
      </w:r>
    </w:p>
    <w:p w14:paraId="07A494E9" w14:textId="77777777" w:rsidR="00140B7C" w:rsidRPr="00EC4EC4" w:rsidRDefault="00140B7C" w:rsidP="00140B7C">
      <w:pPr>
        <w:autoSpaceDE w:val="0"/>
        <w:autoSpaceDN w:val="0"/>
        <w:adjustRightInd w:val="0"/>
        <w:spacing w:after="240" w:line="240" w:lineRule="auto"/>
        <w:ind w:left="720"/>
        <w:jc w:val="both"/>
        <w:rPr>
          <w:rFonts w:cs="Times New Roman"/>
          <w:color w:val="000000"/>
          <w:szCs w:val="24"/>
        </w:rPr>
      </w:pPr>
      <w:r w:rsidRPr="00EC4EC4">
        <w:rPr>
          <w:rFonts w:cs="Times New Roman"/>
          <w:b/>
          <w:bCs/>
          <w:color w:val="000000"/>
          <w:szCs w:val="24"/>
        </w:rPr>
        <w:t xml:space="preserve">Exception: </w:t>
      </w:r>
      <w:r w:rsidRPr="00EC4EC4">
        <w:rPr>
          <w:rFonts w:cs="Times New Roman"/>
          <w:color w:val="000000"/>
          <w:szCs w:val="24"/>
        </w:rPr>
        <w:t>Where the only dwelling units on a story of a building are the upper stories of [</w:t>
      </w:r>
      <w:r w:rsidRPr="00EC4EC4">
        <w:rPr>
          <w:rFonts w:cs="Times New Roman"/>
          <w:strike/>
          <w:color w:val="000000"/>
          <w:szCs w:val="24"/>
        </w:rPr>
        <w:t>multi-story</w:t>
      </w:r>
      <w:r w:rsidRPr="00EC4EC4">
        <w:rPr>
          <w:rFonts w:cs="Times New Roman"/>
          <w:color w:val="000000"/>
          <w:szCs w:val="24"/>
        </w:rPr>
        <w:t>]</w:t>
      </w:r>
      <w:r w:rsidRPr="00EC4EC4">
        <w:rPr>
          <w:rFonts w:cs="Times New Roman"/>
          <w:color w:val="000000"/>
          <w:szCs w:val="24"/>
          <w:u w:val="single"/>
        </w:rPr>
        <w:t>multistory</w:t>
      </w:r>
      <w:r w:rsidRPr="00EC4EC4">
        <w:rPr>
          <w:rFonts w:cs="Times New Roman"/>
          <w:color w:val="000000"/>
          <w:szCs w:val="24"/>
        </w:rPr>
        <w:t xml:space="preserve"> (duplex) dwelling units; </w:t>
      </w:r>
    </w:p>
    <w:p w14:paraId="4FF150BC" w14:textId="77777777" w:rsidR="00140B7C" w:rsidRPr="00EC4EC4" w:rsidRDefault="00140B7C" w:rsidP="00140B7C">
      <w:pPr>
        <w:autoSpaceDE w:val="0"/>
        <w:autoSpaceDN w:val="0"/>
        <w:adjustRightInd w:val="0"/>
        <w:spacing w:after="240" w:line="240" w:lineRule="auto"/>
        <w:ind w:left="1440" w:hanging="360"/>
        <w:jc w:val="both"/>
        <w:rPr>
          <w:rFonts w:cs="Times New Roman"/>
          <w:color w:val="000000"/>
          <w:szCs w:val="24"/>
        </w:rPr>
      </w:pPr>
      <w:r w:rsidRPr="00EC4EC4">
        <w:rPr>
          <w:rFonts w:cs="Times New Roman"/>
          <w:color w:val="000000"/>
          <w:szCs w:val="24"/>
        </w:rPr>
        <w:t>1.</w:t>
      </w:r>
      <w:r w:rsidRPr="00EC4EC4">
        <w:rPr>
          <w:rFonts w:cs="Times New Roman"/>
          <w:color w:val="000000"/>
          <w:szCs w:val="24"/>
        </w:rPr>
        <w:tab/>
        <w:t xml:space="preserve">Any public halls shall be permitted to provide access to only one exit; or </w:t>
      </w:r>
    </w:p>
    <w:p w14:paraId="77B32EEF" w14:textId="77777777" w:rsidR="00140B7C" w:rsidRPr="00EC4EC4" w:rsidRDefault="00140B7C" w:rsidP="00140B7C">
      <w:pPr>
        <w:widowControl w:val="0"/>
        <w:autoSpaceDE w:val="0"/>
        <w:autoSpaceDN w:val="0"/>
        <w:adjustRightInd w:val="0"/>
        <w:spacing w:after="240" w:line="240" w:lineRule="auto"/>
        <w:ind w:left="1440" w:hanging="360"/>
        <w:jc w:val="both"/>
        <w:rPr>
          <w:rFonts w:eastAsia="Times New Roman" w:cs="Times New Roman"/>
          <w:b/>
          <w:bCs/>
          <w:iCs/>
          <w:color w:val="000000"/>
          <w:szCs w:val="24"/>
        </w:rPr>
      </w:pPr>
      <w:r w:rsidRPr="00EC4EC4">
        <w:rPr>
          <w:rFonts w:cs="Times New Roman"/>
          <w:color w:val="000000"/>
          <w:szCs w:val="24"/>
        </w:rPr>
        <w:t>2.</w:t>
      </w:r>
      <w:r w:rsidRPr="00EC4EC4">
        <w:rPr>
          <w:rFonts w:cs="Times New Roman"/>
          <w:color w:val="000000"/>
          <w:szCs w:val="24"/>
        </w:rPr>
        <w:tab/>
        <w:t>No such public hall shall be required where smoke and draft controlled doors complying with UL 1784 without artificial bottom seals, in accordance with Sections</w:t>
      </w:r>
      <w:r w:rsidRPr="00EC4EC4">
        <w:rPr>
          <w:rFonts w:eastAsia="Times New Roman" w:cs="Times New Roman"/>
          <w:color w:val="000000"/>
          <w:szCs w:val="24"/>
        </w:rPr>
        <w:t xml:space="preserve"> 7</w:t>
      </w:r>
      <w:r w:rsidRPr="00EC4EC4">
        <w:rPr>
          <w:rFonts w:eastAsia="Times New Roman" w:cs="Times New Roman"/>
          <w:bCs/>
          <w:color w:val="000000"/>
          <w:szCs w:val="24"/>
        </w:rPr>
        <w:t xml:space="preserve">16.5 </w:t>
      </w:r>
      <w:r w:rsidRPr="00EC4EC4">
        <w:rPr>
          <w:rFonts w:cs="Times New Roman"/>
          <w:color w:val="000000"/>
          <w:szCs w:val="24"/>
        </w:rPr>
        <w:t xml:space="preserve">and </w:t>
      </w:r>
      <w:r w:rsidRPr="00EC4EC4">
        <w:rPr>
          <w:rFonts w:eastAsia="Times New Roman" w:cs="Times New Roman"/>
          <w:bCs/>
          <w:iCs/>
          <w:color w:val="000000"/>
          <w:szCs w:val="24"/>
        </w:rPr>
        <w:t>716.5.7.3 of this code</w:t>
      </w:r>
      <w:r w:rsidRPr="00EC4EC4">
        <w:rPr>
          <w:rFonts w:cs="Times New Roman"/>
          <w:color w:val="000000"/>
          <w:szCs w:val="24"/>
        </w:rPr>
        <w:t xml:space="preserve">, are provided. This exception shall not be construed </w:t>
      </w:r>
      <w:r w:rsidRPr="00EC4EC4">
        <w:rPr>
          <w:rFonts w:cs="Times New Roman"/>
          <w:color w:val="000000"/>
          <w:szCs w:val="24"/>
        </w:rPr>
        <w:lastRenderedPageBreak/>
        <w:t>to effect, alter, or change any requirement of this code to provide two means of egress from each apartment on each story.</w:t>
      </w:r>
      <w:bookmarkStart w:id="102" w:name="SECTION_1015"/>
      <w:bookmarkEnd w:id="100"/>
      <w:bookmarkEnd w:id="101"/>
    </w:p>
    <w:p w14:paraId="301C8395" w14:textId="1559DDB9" w:rsidR="00140B7C" w:rsidRPr="00EC4EC4" w:rsidRDefault="00140B7C" w:rsidP="00140B7C">
      <w:pPr>
        <w:kinsoku w:val="0"/>
        <w:spacing w:after="240" w:line="240" w:lineRule="auto"/>
        <w:ind w:firstLine="720"/>
        <w:jc w:val="both"/>
        <w:rPr>
          <w:rFonts w:eastAsia="Times New Roman" w:cs="Times New Roman"/>
          <w:b/>
          <w:bCs/>
          <w:szCs w:val="24"/>
        </w:rPr>
      </w:pPr>
      <w:bookmarkStart w:id="103" w:name="_Toc389735846"/>
      <w:bookmarkStart w:id="104" w:name="_Toc389744408"/>
      <w:bookmarkStart w:id="105" w:name="_Toc389735945"/>
      <w:bookmarkStart w:id="106" w:name="_Toc389744507"/>
      <w:bookmarkStart w:id="107" w:name="SECTION_1026"/>
      <w:bookmarkStart w:id="108" w:name="_Toc389735888"/>
      <w:bookmarkStart w:id="109" w:name="_Toc389744450"/>
      <w:bookmarkStart w:id="110" w:name="_Toc389735971"/>
      <w:bookmarkStart w:id="111" w:name="_Toc389744533"/>
      <w:bookmarkStart w:id="112" w:name="SECTION_1029"/>
      <w:bookmarkEnd w:id="102"/>
      <w:r w:rsidRPr="00EC4EC4">
        <w:rPr>
          <w:rFonts w:cs="Times New Roman"/>
          <w:sz w:val="23"/>
          <w:szCs w:val="23"/>
        </w:rPr>
        <w:t>§</w:t>
      </w:r>
      <w:r>
        <w:rPr>
          <w:rFonts w:cs="Times New Roman"/>
          <w:sz w:val="23"/>
          <w:szCs w:val="23"/>
        </w:rPr>
        <w:t>1</w:t>
      </w:r>
      <w:r w:rsidR="004E78AB">
        <w:rPr>
          <w:rFonts w:cs="Times New Roman"/>
          <w:sz w:val="23"/>
          <w:szCs w:val="23"/>
        </w:rPr>
        <w:t>50</w:t>
      </w:r>
      <w:r w:rsidRPr="00EC4EC4">
        <w:rPr>
          <w:rFonts w:cs="Times New Roman"/>
          <w:sz w:val="23"/>
          <w:szCs w:val="23"/>
        </w:rPr>
        <w:t>. Section 102</w:t>
      </w:r>
      <w:r>
        <w:rPr>
          <w:rFonts w:cs="Times New Roman"/>
          <w:sz w:val="23"/>
          <w:szCs w:val="23"/>
        </w:rPr>
        <w:t>3</w:t>
      </w:r>
      <w:r w:rsidRPr="00EC4EC4">
        <w:rPr>
          <w:rFonts w:cs="Times New Roman"/>
          <w:sz w:val="23"/>
          <w:szCs w:val="23"/>
        </w:rPr>
        <w:t>.</w:t>
      </w:r>
      <w:r>
        <w:rPr>
          <w:rFonts w:cs="Times New Roman"/>
          <w:sz w:val="23"/>
          <w:szCs w:val="23"/>
        </w:rPr>
        <w:t>6</w:t>
      </w:r>
      <w:r w:rsidRPr="00EC4EC4">
        <w:rPr>
          <w:rFonts w:cs="Times New Roman"/>
          <w:sz w:val="23"/>
          <w:szCs w:val="23"/>
        </w:rPr>
        <w:t xml:space="preserve"> of  the New York city building code, as renumbered and amended by local law number 126 for the year 2021, is amended to read as follows:</w:t>
      </w:r>
    </w:p>
    <w:p w14:paraId="50F0AF3D" w14:textId="77777777" w:rsidR="00140B7C" w:rsidRPr="00EC4EC4" w:rsidRDefault="00140B7C" w:rsidP="00140B7C">
      <w:pPr>
        <w:pStyle w:val="FlushLeft"/>
        <w:rPr>
          <w:szCs w:val="24"/>
        </w:rPr>
      </w:pPr>
      <w:r w:rsidRPr="00EC4EC4">
        <w:rPr>
          <w:b/>
          <w:bCs/>
          <w:szCs w:val="24"/>
        </w:rPr>
        <w:t>1023.6 Ventilation.</w:t>
      </w:r>
      <w:bookmarkEnd w:id="103"/>
      <w:bookmarkEnd w:id="104"/>
      <w:r w:rsidRPr="00EC4EC4">
        <w:rPr>
          <w:b/>
          <w:bCs/>
          <w:szCs w:val="24"/>
        </w:rPr>
        <w:t xml:space="preserve"> </w:t>
      </w:r>
      <w:r w:rsidRPr="00EC4EC4">
        <w:rPr>
          <w:szCs w:val="24"/>
        </w:rPr>
        <w:t xml:space="preserve">Equipment and ductwork for </w:t>
      </w:r>
      <w:r w:rsidRPr="00EC4EC4">
        <w:rPr>
          <w:bCs/>
          <w:iCs/>
          <w:szCs w:val="24"/>
        </w:rPr>
        <w:t xml:space="preserve">interior </w:t>
      </w:r>
      <w:r w:rsidRPr="00EC4EC4">
        <w:rPr>
          <w:szCs w:val="24"/>
        </w:rPr>
        <w:t>exit</w:t>
      </w:r>
      <w:r w:rsidRPr="00EC4EC4">
        <w:rPr>
          <w:spacing w:val="1"/>
          <w:szCs w:val="24"/>
        </w:rPr>
        <w:t xml:space="preserve"> </w:t>
      </w:r>
      <w:r w:rsidRPr="00EC4EC4">
        <w:rPr>
          <w:bCs/>
          <w:iCs/>
          <w:szCs w:val="24"/>
        </w:rPr>
        <w:t>stairway</w:t>
      </w:r>
      <w:r w:rsidRPr="00EC4EC4">
        <w:rPr>
          <w:bCs/>
          <w:szCs w:val="24"/>
        </w:rPr>
        <w:t xml:space="preserve"> and </w:t>
      </w:r>
      <w:r w:rsidRPr="00EC4EC4">
        <w:rPr>
          <w:bCs/>
          <w:iCs/>
          <w:szCs w:val="24"/>
        </w:rPr>
        <w:t>ramp</w:t>
      </w:r>
      <w:r w:rsidRPr="00EC4EC4">
        <w:rPr>
          <w:szCs w:val="24"/>
        </w:rPr>
        <w:t xml:space="preserve"> ventilation as permitted by Section </w:t>
      </w:r>
      <w:r w:rsidRPr="00EC4EC4">
        <w:rPr>
          <w:spacing w:val="1"/>
          <w:szCs w:val="24"/>
        </w:rPr>
        <w:t>1</w:t>
      </w:r>
      <w:r w:rsidRPr="00EC4EC4">
        <w:rPr>
          <w:bCs/>
          <w:szCs w:val="24"/>
        </w:rPr>
        <w:t>023.5</w:t>
      </w:r>
      <w:r w:rsidRPr="00EC4EC4">
        <w:rPr>
          <w:szCs w:val="24"/>
        </w:rPr>
        <w:t xml:space="preserve"> shall comply with one of the following items:</w:t>
      </w:r>
    </w:p>
    <w:p w14:paraId="3C7F9545"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zCs w:val="24"/>
        </w:rPr>
      </w:pPr>
      <w:r w:rsidRPr="00EC4EC4">
        <w:rPr>
          <w:rFonts w:eastAsia="Times New Roman" w:cs="Times New Roman"/>
          <w:color w:val="000000"/>
          <w:szCs w:val="24"/>
        </w:rPr>
        <w:t>1.</w:t>
      </w:r>
      <w:r w:rsidRPr="00EC4EC4">
        <w:rPr>
          <w:rFonts w:eastAsia="Times New Roman" w:cs="Times New Roman"/>
          <w:color w:val="000000"/>
          <w:szCs w:val="24"/>
        </w:rPr>
        <w:tab/>
        <w:t xml:space="preserve">Such equipment and ductwork shall be located exterior to the building and shall be directly connected to the </w:t>
      </w:r>
      <w:r w:rsidRPr="00EC4EC4">
        <w:rPr>
          <w:rFonts w:eastAsia="Times New Roman" w:cs="Times New Roman"/>
          <w:iCs/>
          <w:color w:val="000000"/>
          <w:szCs w:val="24"/>
        </w:rPr>
        <w:t xml:space="preserve">interior </w:t>
      </w:r>
      <w:r w:rsidRPr="00EC4EC4">
        <w:rPr>
          <w:rFonts w:eastAsia="Times New Roman" w:cs="Times New Roman"/>
          <w:color w:val="000000"/>
          <w:szCs w:val="24"/>
        </w:rPr>
        <w:t>exit</w:t>
      </w:r>
      <w:r w:rsidRPr="00EC4EC4">
        <w:rPr>
          <w:rFonts w:eastAsia="Times New Roman" w:cs="Times New Roman"/>
          <w:iCs/>
          <w:color w:val="000000"/>
          <w:szCs w:val="24"/>
        </w:rPr>
        <w:t xml:space="preserve"> stairway</w:t>
      </w:r>
      <w:r w:rsidRPr="00EC4EC4">
        <w:rPr>
          <w:rFonts w:eastAsia="Times New Roman" w:cs="Times New Roman"/>
          <w:color w:val="000000"/>
          <w:szCs w:val="24"/>
        </w:rPr>
        <w:t xml:space="preserve"> and </w:t>
      </w:r>
      <w:r w:rsidRPr="00EC4EC4">
        <w:rPr>
          <w:rFonts w:eastAsia="Times New Roman" w:cs="Times New Roman"/>
          <w:iCs/>
          <w:color w:val="000000"/>
          <w:szCs w:val="24"/>
        </w:rPr>
        <w:t>ramp</w:t>
      </w:r>
      <w:r w:rsidRPr="00EC4EC4">
        <w:rPr>
          <w:rFonts w:eastAsia="Times New Roman" w:cs="Times New Roman"/>
          <w:color w:val="000000"/>
          <w:szCs w:val="24"/>
        </w:rPr>
        <w:t xml:space="preserve"> by ductwork enclosed in construction as required for shafts.</w:t>
      </w:r>
    </w:p>
    <w:p w14:paraId="058E574E"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zCs w:val="24"/>
        </w:rPr>
      </w:pPr>
      <w:r w:rsidRPr="00EC4EC4">
        <w:rPr>
          <w:rFonts w:eastAsia="Times New Roman" w:cs="Times New Roman"/>
          <w:color w:val="000000"/>
          <w:szCs w:val="24"/>
        </w:rPr>
        <w:t>2.</w:t>
      </w:r>
      <w:r w:rsidRPr="00EC4EC4">
        <w:rPr>
          <w:rFonts w:eastAsia="Times New Roman" w:cs="Times New Roman"/>
          <w:color w:val="000000"/>
          <w:szCs w:val="24"/>
        </w:rPr>
        <w:tab/>
        <w:t xml:space="preserve">Where such equipment and ductwork is located within the </w:t>
      </w:r>
      <w:r w:rsidRPr="00EC4EC4">
        <w:rPr>
          <w:rFonts w:eastAsia="Times New Roman" w:cs="Times New Roman"/>
          <w:iCs/>
          <w:color w:val="000000"/>
          <w:szCs w:val="24"/>
        </w:rPr>
        <w:t xml:space="preserve">interior </w:t>
      </w:r>
      <w:r w:rsidRPr="00EC4EC4">
        <w:rPr>
          <w:rFonts w:eastAsia="Times New Roman" w:cs="Times New Roman"/>
          <w:color w:val="000000"/>
          <w:szCs w:val="24"/>
        </w:rPr>
        <w:t>exit</w:t>
      </w:r>
      <w:r w:rsidRPr="00EC4EC4">
        <w:rPr>
          <w:rFonts w:eastAsia="Times New Roman" w:cs="Times New Roman"/>
          <w:spacing w:val="1"/>
          <w:szCs w:val="24"/>
        </w:rPr>
        <w:t xml:space="preserve"> [</w:t>
      </w:r>
      <w:r w:rsidRPr="00EC4EC4">
        <w:rPr>
          <w:rFonts w:eastAsia="Times New Roman" w:cs="Times New Roman"/>
          <w:strike/>
          <w:spacing w:val="1"/>
          <w:szCs w:val="24"/>
        </w:rPr>
        <w:t>enclosure</w:t>
      </w:r>
      <w:r w:rsidRPr="00EC4EC4">
        <w:rPr>
          <w:rFonts w:eastAsia="Times New Roman" w:cs="Times New Roman"/>
          <w:spacing w:val="1"/>
          <w:szCs w:val="24"/>
        </w:rPr>
        <w:t>]</w:t>
      </w:r>
      <w:r w:rsidRPr="00EC4EC4">
        <w:rPr>
          <w:rFonts w:eastAsia="Times New Roman" w:cs="Times New Roman"/>
          <w:iCs/>
          <w:color w:val="000000"/>
          <w:szCs w:val="24"/>
        </w:rPr>
        <w:t xml:space="preserve"> stairway</w:t>
      </w:r>
      <w:r w:rsidRPr="00EC4EC4">
        <w:rPr>
          <w:rFonts w:eastAsia="Times New Roman" w:cs="Times New Roman"/>
          <w:color w:val="000000"/>
          <w:szCs w:val="24"/>
        </w:rPr>
        <w:t xml:space="preserve"> and </w:t>
      </w:r>
      <w:r w:rsidRPr="00EC4EC4">
        <w:rPr>
          <w:rFonts w:eastAsia="Times New Roman" w:cs="Times New Roman"/>
          <w:iCs/>
          <w:color w:val="000000"/>
          <w:szCs w:val="24"/>
        </w:rPr>
        <w:t>ramp</w:t>
      </w:r>
      <w:r w:rsidRPr="00EC4EC4">
        <w:rPr>
          <w:rFonts w:eastAsia="Times New Roman" w:cs="Times New Roman"/>
          <w:color w:val="000000"/>
          <w:szCs w:val="24"/>
        </w:rPr>
        <w:t>, the intake air shall be taken directly from the outdoors and the exhaust air shall be discharged directly to the outdoors, or such air shall be conveyed through ducts enclosed in construction as required for shafts.</w:t>
      </w:r>
    </w:p>
    <w:p w14:paraId="40B7F9A4"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3.</w:t>
      </w:r>
      <w:r w:rsidRPr="00EC4EC4">
        <w:rPr>
          <w:rFonts w:eastAsia="Times New Roman" w:cs="Times New Roman"/>
          <w:color w:val="000000"/>
          <w:szCs w:val="24"/>
        </w:rPr>
        <w:tab/>
        <w:t>Where located within the building, such equipment and ductwork shall be separated from the remainder of the building, including other mechanical equipment, with construction as required for shafts.</w:t>
      </w:r>
    </w:p>
    <w:p w14:paraId="6CF0EC28" w14:textId="77777777" w:rsidR="00140B7C" w:rsidRPr="00EC4EC4" w:rsidRDefault="00140B7C" w:rsidP="00140B7C">
      <w:pPr>
        <w:autoSpaceDE w:val="0"/>
        <w:autoSpaceDN w:val="0"/>
        <w:adjustRightInd w:val="0"/>
        <w:spacing w:after="240" w:line="240" w:lineRule="auto"/>
        <w:ind w:firstLine="360"/>
        <w:jc w:val="both"/>
        <w:rPr>
          <w:rFonts w:eastAsia="Times New Roman" w:cs="Times New Roman"/>
          <w:szCs w:val="24"/>
        </w:rPr>
      </w:pPr>
      <w:r w:rsidRPr="00EC4EC4">
        <w:rPr>
          <w:rFonts w:eastAsia="Times New Roman" w:cs="Times New Roman"/>
          <w:color w:val="000000"/>
          <w:szCs w:val="24"/>
        </w:rPr>
        <w:t xml:space="preserve">In each case, openings into the fire-resistance-rated construction shall be limited to those needed for maintenance and operation and shall be protected by opening protectives in accordance with Section </w:t>
      </w:r>
      <w:r w:rsidRPr="00EC4EC4">
        <w:rPr>
          <w:rFonts w:eastAsia="Times New Roman" w:cs="Times New Roman"/>
          <w:spacing w:val="1"/>
          <w:szCs w:val="24"/>
        </w:rPr>
        <w:t>7</w:t>
      </w:r>
      <w:r w:rsidRPr="00EC4EC4">
        <w:rPr>
          <w:rFonts w:eastAsia="Times New Roman" w:cs="Times New Roman"/>
          <w:color w:val="000000"/>
          <w:szCs w:val="24"/>
        </w:rPr>
        <w:t>16 for shaft enclosures</w:t>
      </w:r>
      <w:r w:rsidRPr="00EC4EC4">
        <w:rPr>
          <w:rFonts w:eastAsia="Times New Roman" w:cs="Times New Roman"/>
          <w:spacing w:val="1"/>
          <w:szCs w:val="24"/>
        </w:rPr>
        <w:t>.[</w:t>
      </w:r>
      <w:r w:rsidRPr="00EC4EC4">
        <w:rPr>
          <w:rFonts w:eastAsia="Times New Roman" w:cs="Times New Roman"/>
          <w:strike/>
          <w:color w:val="000000"/>
          <w:szCs w:val="24"/>
        </w:rPr>
        <w:t>.</w:t>
      </w:r>
      <w:r w:rsidRPr="00EC4EC4">
        <w:rPr>
          <w:rFonts w:eastAsia="Times New Roman" w:cs="Times New Roman"/>
          <w:color w:val="000000"/>
          <w:szCs w:val="24"/>
        </w:rPr>
        <w:t>]</w:t>
      </w:r>
    </w:p>
    <w:p w14:paraId="71A0A3BA" w14:textId="77777777" w:rsidR="00140B7C" w:rsidRPr="00EC4EC4" w:rsidRDefault="00140B7C" w:rsidP="00140B7C">
      <w:pPr>
        <w:autoSpaceDE w:val="0"/>
        <w:autoSpaceDN w:val="0"/>
        <w:adjustRightInd w:val="0"/>
        <w:spacing w:after="240" w:line="240" w:lineRule="auto"/>
        <w:ind w:firstLine="360"/>
        <w:jc w:val="both"/>
        <w:rPr>
          <w:rFonts w:eastAsia="Times New Roman" w:cs="Times New Roman"/>
          <w:color w:val="000000"/>
          <w:szCs w:val="24"/>
        </w:rPr>
      </w:pPr>
      <w:r w:rsidRPr="00EC4EC4">
        <w:rPr>
          <w:rFonts w:eastAsia="Times New Roman" w:cs="Times New Roman"/>
          <w:color w:val="000000"/>
          <w:szCs w:val="24"/>
        </w:rPr>
        <w:t xml:space="preserve">The </w:t>
      </w:r>
      <w:r w:rsidRPr="00EC4EC4">
        <w:rPr>
          <w:rFonts w:eastAsia="Times New Roman" w:cs="Times New Roman"/>
          <w:iCs/>
          <w:color w:val="000000"/>
          <w:szCs w:val="24"/>
        </w:rPr>
        <w:t>interior exit stairway</w:t>
      </w:r>
      <w:r w:rsidRPr="00EC4EC4">
        <w:rPr>
          <w:rFonts w:eastAsia="Times New Roman" w:cs="Times New Roman"/>
          <w:color w:val="000000"/>
          <w:szCs w:val="24"/>
        </w:rPr>
        <w:t xml:space="preserve"> and </w:t>
      </w:r>
      <w:r w:rsidRPr="00EC4EC4">
        <w:rPr>
          <w:rFonts w:eastAsia="Times New Roman" w:cs="Times New Roman"/>
          <w:iCs/>
          <w:color w:val="000000"/>
          <w:szCs w:val="24"/>
        </w:rPr>
        <w:t>ramp</w:t>
      </w:r>
      <w:r w:rsidRPr="00EC4EC4">
        <w:rPr>
          <w:rFonts w:eastAsia="Times New Roman" w:cs="Times New Roman"/>
          <w:color w:val="000000"/>
          <w:szCs w:val="24"/>
        </w:rPr>
        <w:t xml:space="preserve"> ventilation systems shall be independent of other building ventilation systems.</w:t>
      </w:r>
    </w:p>
    <w:p w14:paraId="3AB617AC" w14:textId="430DE497" w:rsidR="00140B7C" w:rsidRPr="00EC4EC4" w:rsidRDefault="00140B7C" w:rsidP="00140B7C">
      <w:pPr>
        <w:kinsoku w:val="0"/>
        <w:spacing w:after="240" w:line="240" w:lineRule="auto"/>
        <w:ind w:firstLine="720"/>
        <w:jc w:val="both"/>
        <w:rPr>
          <w:rFonts w:eastAsia="Times New Roman" w:cs="Times New Roman"/>
          <w:b/>
          <w:bCs/>
          <w:szCs w:val="24"/>
        </w:rPr>
      </w:pPr>
      <w:bookmarkStart w:id="113" w:name="_Toc389735847"/>
      <w:bookmarkStart w:id="114" w:name="_Toc389744409"/>
      <w:r w:rsidRPr="00EC4EC4">
        <w:rPr>
          <w:rFonts w:cs="Times New Roman"/>
          <w:sz w:val="23"/>
          <w:szCs w:val="23"/>
        </w:rPr>
        <w:t>§</w:t>
      </w:r>
      <w:r>
        <w:rPr>
          <w:rFonts w:cs="Times New Roman"/>
          <w:sz w:val="23"/>
          <w:szCs w:val="23"/>
        </w:rPr>
        <w:t>1</w:t>
      </w:r>
      <w:r w:rsidR="004E78AB">
        <w:rPr>
          <w:rFonts w:cs="Times New Roman"/>
          <w:sz w:val="23"/>
          <w:szCs w:val="23"/>
        </w:rPr>
        <w:t>51</w:t>
      </w:r>
      <w:r w:rsidRPr="00EC4EC4">
        <w:rPr>
          <w:rFonts w:cs="Times New Roman"/>
          <w:sz w:val="23"/>
          <w:szCs w:val="23"/>
        </w:rPr>
        <w:t>. Section 102</w:t>
      </w:r>
      <w:r>
        <w:rPr>
          <w:rFonts w:cs="Times New Roman"/>
          <w:sz w:val="23"/>
          <w:szCs w:val="23"/>
        </w:rPr>
        <w:t>7</w:t>
      </w:r>
      <w:r w:rsidRPr="00EC4EC4">
        <w:rPr>
          <w:rFonts w:cs="Times New Roman"/>
          <w:sz w:val="23"/>
          <w:szCs w:val="23"/>
        </w:rPr>
        <w:t>.7.3 of  the New York city building code, as renumbered and amended by local law number 126 for the year 2021, is amended to read as follows:</w:t>
      </w:r>
    </w:p>
    <w:bookmarkEnd w:id="105"/>
    <w:bookmarkEnd w:id="106"/>
    <w:bookmarkEnd w:id="107"/>
    <w:bookmarkEnd w:id="108"/>
    <w:bookmarkEnd w:id="109"/>
    <w:bookmarkEnd w:id="113"/>
    <w:bookmarkEnd w:id="114"/>
    <w:p w14:paraId="76B6FA1F" w14:textId="77777777" w:rsidR="00140B7C" w:rsidRPr="00EC4EC4" w:rsidRDefault="00140B7C" w:rsidP="00140B7C">
      <w:pPr>
        <w:pStyle w:val="FlushLeftDouble"/>
        <w:ind w:left="0"/>
        <w:rPr>
          <w:color w:val="000000"/>
          <w:spacing w:val="1"/>
          <w:szCs w:val="24"/>
        </w:rPr>
      </w:pPr>
      <w:r w:rsidRPr="00EC4EC4">
        <w:rPr>
          <w:b/>
          <w:color w:val="000000"/>
          <w:szCs w:val="24"/>
        </w:rPr>
        <w:t>1027.7.3 Balconies and vestibules.</w:t>
      </w:r>
      <w:r w:rsidRPr="00EC4EC4">
        <w:rPr>
          <w:b/>
          <w:bCs/>
          <w:color w:val="000000"/>
          <w:spacing w:val="-7"/>
          <w:w w:val="110"/>
          <w:szCs w:val="24"/>
        </w:rPr>
        <w:t xml:space="preserve"> </w:t>
      </w:r>
      <w:r w:rsidRPr="00EC4EC4">
        <w:rPr>
          <w:color w:val="000000"/>
          <w:spacing w:val="1"/>
          <w:szCs w:val="24"/>
        </w:rPr>
        <w:t>Such balconies or vestibules of fire towers shall be level with the floors of the structure and the platforms of the stairs connected by such balconies. Such balconies or vestibules shall be separated from the structure and the stairs by self-closing swinging doors with a [</w:t>
      </w:r>
      <w:r w:rsidRPr="00EC4EC4">
        <w:rPr>
          <w:strike/>
          <w:color w:val="000000"/>
          <w:spacing w:val="1"/>
          <w:szCs w:val="24"/>
        </w:rPr>
        <w:t>one and</w:t>
      </w:r>
      <w:r w:rsidRPr="00EC4EC4">
        <w:rPr>
          <w:color w:val="000000"/>
          <w:spacing w:val="1"/>
          <w:szCs w:val="24"/>
        </w:rPr>
        <w:t>]</w:t>
      </w:r>
      <w:r w:rsidRPr="00EC4EC4">
        <w:rPr>
          <w:color w:val="000000"/>
          <w:spacing w:val="1"/>
          <w:szCs w:val="24"/>
          <w:u w:val="single"/>
        </w:rPr>
        <w:t>1</w:t>
      </w:r>
      <w:r w:rsidRPr="00EC4EC4">
        <w:rPr>
          <w:color w:val="000000"/>
          <w:spacing w:val="1"/>
          <w:szCs w:val="24"/>
        </w:rPr>
        <w:t xml:space="preserve"> ½-hour fire protection rating, capable of being opened from both sides without the use of a key or other unlocking device.</w:t>
      </w:r>
    </w:p>
    <w:p w14:paraId="64A672E4" w14:textId="77777777" w:rsidR="00140B7C" w:rsidRPr="00EC4EC4" w:rsidRDefault="00140B7C" w:rsidP="00140B7C">
      <w:pPr>
        <w:autoSpaceDE w:val="0"/>
        <w:autoSpaceDN w:val="0"/>
        <w:adjustRightInd w:val="0"/>
        <w:spacing w:after="240" w:line="240" w:lineRule="auto"/>
        <w:ind w:firstLine="360"/>
        <w:jc w:val="both"/>
        <w:rPr>
          <w:rFonts w:eastAsia="Times New Roman" w:cs="Times New Roman"/>
          <w:color w:val="000000"/>
          <w:spacing w:val="1"/>
          <w:szCs w:val="24"/>
        </w:rPr>
      </w:pPr>
      <w:r w:rsidRPr="00EC4EC4">
        <w:rPr>
          <w:rFonts w:eastAsia="Times New Roman" w:cs="Times New Roman"/>
          <w:color w:val="000000"/>
          <w:spacing w:val="1"/>
          <w:szCs w:val="24"/>
        </w:rPr>
        <w:t>Balconies or vestibules of fire towers shall open on a street or yard, or on a court open vertically to the sky for its full height, having a minimum net area of 105 square feet (9.7 m</w:t>
      </w:r>
      <w:r w:rsidRPr="00EC4EC4">
        <w:rPr>
          <w:rFonts w:eastAsia="Times New Roman" w:cs="Times New Roman"/>
          <w:color w:val="000000"/>
          <w:spacing w:val="1"/>
          <w:szCs w:val="24"/>
          <w:vertAlign w:val="superscript"/>
        </w:rPr>
        <w:t>2</w:t>
      </w:r>
      <w:r w:rsidRPr="00EC4EC4">
        <w:rPr>
          <w:rFonts w:eastAsia="Times New Roman" w:cs="Times New Roman"/>
          <w:color w:val="000000"/>
          <w:spacing w:val="1"/>
          <w:szCs w:val="24"/>
        </w:rPr>
        <w:t>) and a minimum dimension of 7 feet (2133.6 mm). The opening from the vestibule to the street, yard or court shall have a minimum area of 18 square feet (1.7 m</w:t>
      </w:r>
      <w:r w:rsidRPr="00EC4EC4">
        <w:rPr>
          <w:rFonts w:eastAsia="Times New Roman" w:cs="Times New Roman"/>
          <w:color w:val="000000"/>
          <w:spacing w:val="1"/>
          <w:szCs w:val="24"/>
          <w:vertAlign w:val="superscript"/>
        </w:rPr>
        <w:t>2</w:t>
      </w:r>
      <w:r w:rsidRPr="00EC4EC4">
        <w:rPr>
          <w:rFonts w:eastAsia="Times New Roman" w:cs="Times New Roman"/>
          <w:color w:val="000000"/>
          <w:spacing w:val="1"/>
          <w:szCs w:val="24"/>
        </w:rPr>
        <w:t>) and a minimum dimension of 30 inches (762 mm). It shall be unlawful to leave openings in the court walls surrounding an interior fire tower, other than the openings from the vestibules, within 15 feet (4572 mm) of the balcony, except that self-closing windows with a ¾-hour fire protection rating may be used if such windows are at least 10 feet (3048 mm) from the balcony, provided that the area of the court is at least 12 feet by 24 feet (3657.6 mm by 7315.2 mm).</w:t>
      </w:r>
    </w:p>
    <w:p w14:paraId="609289F0" w14:textId="77777777" w:rsidR="00140B7C" w:rsidRPr="00EC4EC4" w:rsidRDefault="00140B7C" w:rsidP="00140B7C">
      <w:pPr>
        <w:pStyle w:val="FlushLeftDouble"/>
        <w:ind w:left="0"/>
        <w:rPr>
          <w:color w:val="000000"/>
          <w:szCs w:val="24"/>
        </w:rPr>
      </w:pPr>
      <w:r w:rsidRPr="00EC4EC4">
        <w:rPr>
          <w:b/>
          <w:color w:val="000000"/>
          <w:szCs w:val="24"/>
        </w:rPr>
        <w:t xml:space="preserve"> </w:t>
      </w:r>
    </w:p>
    <w:p w14:paraId="70C2B8B7" w14:textId="5E79484E" w:rsidR="00140B7C" w:rsidRPr="00EC4EC4" w:rsidRDefault="00140B7C" w:rsidP="00140B7C">
      <w:pPr>
        <w:kinsoku w:val="0"/>
        <w:spacing w:after="240" w:line="240" w:lineRule="auto"/>
        <w:ind w:firstLine="720"/>
        <w:jc w:val="both"/>
        <w:rPr>
          <w:rFonts w:eastAsia="Times New Roman" w:cs="Times New Roman"/>
          <w:b/>
          <w:bCs/>
          <w:szCs w:val="24"/>
        </w:rPr>
      </w:pPr>
      <w:bookmarkStart w:id="115" w:name="_Hlk111731236"/>
      <w:r w:rsidRPr="00A71BDC">
        <w:rPr>
          <w:rFonts w:cs="Times New Roman"/>
          <w:color w:val="000000"/>
          <w:sz w:val="23"/>
          <w:szCs w:val="23"/>
        </w:rPr>
        <w:lastRenderedPageBreak/>
        <w:t>§</w:t>
      </w:r>
      <w:r>
        <w:rPr>
          <w:rFonts w:cs="Times New Roman"/>
          <w:color w:val="000000"/>
          <w:sz w:val="23"/>
          <w:szCs w:val="23"/>
        </w:rPr>
        <w:t>1</w:t>
      </w:r>
      <w:r w:rsidR="00527D84">
        <w:rPr>
          <w:rFonts w:cs="Times New Roman"/>
          <w:color w:val="000000"/>
          <w:sz w:val="23"/>
          <w:szCs w:val="23"/>
        </w:rPr>
        <w:t>52</w:t>
      </w:r>
      <w:r w:rsidRPr="00A71BDC">
        <w:rPr>
          <w:rFonts w:cs="Times New Roman"/>
          <w:color w:val="000000"/>
          <w:sz w:val="23"/>
          <w:szCs w:val="23"/>
        </w:rPr>
        <w:t>. Section 1028.1.1 of  the New York city building code, as added by local law number 126 for the year 2021, is amended to read as follows:</w:t>
      </w:r>
    </w:p>
    <w:bookmarkEnd w:id="115"/>
    <w:p w14:paraId="79354055" w14:textId="77777777" w:rsidR="00140B7C" w:rsidRPr="00EC4EC4" w:rsidRDefault="00140B7C" w:rsidP="00140B7C">
      <w:pPr>
        <w:pStyle w:val="FlushLeftDouble"/>
        <w:ind w:left="0"/>
        <w:rPr>
          <w:szCs w:val="24"/>
        </w:rPr>
      </w:pPr>
      <w:r w:rsidRPr="00EC4EC4">
        <w:rPr>
          <w:b/>
          <w:szCs w:val="24"/>
        </w:rPr>
        <w:t>1028.1.1</w:t>
      </w:r>
      <w:r w:rsidRPr="00EC4EC4">
        <w:rPr>
          <w:b/>
          <w:bCs/>
          <w:szCs w:val="24"/>
        </w:rPr>
        <w:t xml:space="preserve"> Fire Department access.</w:t>
      </w:r>
      <w:r w:rsidRPr="00EC4EC4">
        <w:rPr>
          <w:b/>
          <w:bCs/>
          <w:spacing w:val="-3"/>
          <w:w w:val="110"/>
          <w:szCs w:val="24"/>
        </w:rPr>
        <w:t xml:space="preserve"> </w:t>
      </w:r>
      <w:r w:rsidRPr="00EC4EC4">
        <w:rPr>
          <w:szCs w:val="24"/>
        </w:rPr>
        <w:t>Where Exception 1 or 2 to Section 1028.1 is not applied, not less than one exit that discharges directly to the exterior shall be accessible to the Fire Department:</w:t>
      </w:r>
    </w:p>
    <w:p w14:paraId="0AF206D3"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Through an exit access door directly from the [</w:t>
      </w:r>
      <w:r w:rsidRPr="00EC4EC4">
        <w:rPr>
          <w:rFonts w:eastAsia="Times New Roman" w:cs="Times New Roman"/>
          <w:strike/>
          <w:szCs w:val="24"/>
        </w:rPr>
        <w:t>protected area or vestibule, as applicable</w:t>
      </w:r>
      <w:r w:rsidRPr="00EC4EC4">
        <w:rPr>
          <w:rFonts w:eastAsia="Times New Roman" w:cs="Times New Roman"/>
          <w:szCs w:val="24"/>
        </w:rPr>
        <w:t xml:space="preserve">] </w:t>
      </w:r>
      <w:r w:rsidRPr="00EC4EC4">
        <w:rPr>
          <w:rFonts w:eastAsia="Times New Roman" w:cs="Times New Roman"/>
          <w:szCs w:val="24"/>
          <w:u w:val="single"/>
        </w:rPr>
        <w:t>building entrance</w:t>
      </w:r>
      <w:r w:rsidRPr="00EC4EC4">
        <w:rPr>
          <w:rFonts w:eastAsia="Times New Roman" w:cs="Times New Roman"/>
          <w:szCs w:val="24"/>
        </w:rPr>
        <w:t>. Such exit access door shall only be used by the Fire Department and shall not be used as an exit. Signage indicating “No Exit. FDNY Access Only” shall be posted on both sides of the exit access door; or</w:t>
      </w:r>
    </w:p>
    <w:p w14:paraId="01FC8F91"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Within a maximum of 100 feet (30 480 mm) from the [</w:t>
      </w:r>
      <w:r w:rsidRPr="00EC4EC4">
        <w:rPr>
          <w:rFonts w:eastAsia="Times New Roman" w:cs="Times New Roman"/>
          <w:strike/>
          <w:szCs w:val="24"/>
        </w:rPr>
        <w:t>exit of the protected area or vestibule, as applicable</w:t>
      </w:r>
      <w:r w:rsidRPr="00EC4EC4">
        <w:rPr>
          <w:rFonts w:eastAsia="Times New Roman" w:cs="Times New Roman"/>
          <w:szCs w:val="24"/>
        </w:rPr>
        <w:t xml:space="preserve">] </w:t>
      </w:r>
      <w:r w:rsidRPr="00EC4EC4">
        <w:rPr>
          <w:rFonts w:eastAsia="Times New Roman" w:cs="Times New Roman"/>
          <w:szCs w:val="24"/>
          <w:u w:val="single"/>
        </w:rPr>
        <w:t>building entrance</w:t>
      </w:r>
      <w:r w:rsidRPr="00EC4EC4">
        <w:rPr>
          <w:rFonts w:eastAsia="Times New Roman" w:cs="Times New Roman"/>
          <w:szCs w:val="24"/>
        </w:rPr>
        <w:t>. Such distance shall be measured along a natural and unobstructed path between the nearest points of the exit doors.</w:t>
      </w:r>
    </w:p>
    <w:bookmarkEnd w:id="110"/>
    <w:bookmarkEnd w:id="111"/>
    <w:bookmarkEnd w:id="112"/>
    <w:p w14:paraId="511C6905" w14:textId="69459B4B" w:rsidR="00140B7C" w:rsidRPr="00EC4EC4" w:rsidRDefault="00140B7C" w:rsidP="00140B7C">
      <w:pPr>
        <w:kinsoku w:val="0"/>
        <w:spacing w:after="240" w:line="240" w:lineRule="auto"/>
        <w:ind w:firstLine="720"/>
        <w:jc w:val="both"/>
        <w:rPr>
          <w:rFonts w:cs="Times New Roman"/>
          <w:color w:val="000000"/>
          <w:sz w:val="23"/>
          <w:szCs w:val="23"/>
        </w:rPr>
      </w:pPr>
      <w:r w:rsidRPr="00EC4EC4">
        <w:rPr>
          <w:rFonts w:cs="Times New Roman"/>
          <w:color w:val="000000"/>
          <w:sz w:val="23"/>
          <w:szCs w:val="23"/>
        </w:rPr>
        <w:t>§</w:t>
      </w:r>
      <w:r>
        <w:rPr>
          <w:rFonts w:cs="Times New Roman"/>
          <w:color w:val="000000"/>
          <w:sz w:val="23"/>
          <w:szCs w:val="23"/>
        </w:rPr>
        <w:t>1</w:t>
      </w:r>
      <w:r w:rsidR="002564F1">
        <w:rPr>
          <w:rFonts w:cs="Times New Roman"/>
          <w:color w:val="000000"/>
          <w:sz w:val="23"/>
          <w:szCs w:val="23"/>
        </w:rPr>
        <w:t>53</w:t>
      </w:r>
      <w:r w:rsidRPr="00EC4EC4">
        <w:rPr>
          <w:rFonts w:cs="Times New Roman"/>
          <w:color w:val="000000"/>
          <w:sz w:val="23"/>
          <w:szCs w:val="23"/>
        </w:rPr>
        <w:t>. Section 1029.1.1.1 of  the New York city building code, as added by local law number 126 for the year 2021, is amended to read as follows:</w:t>
      </w:r>
    </w:p>
    <w:p w14:paraId="49F5B943" w14:textId="77777777" w:rsidR="00140B7C" w:rsidRPr="00EC4EC4" w:rsidRDefault="00140B7C" w:rsidP="00140B7C">
      <w:pPr>
        <w:autoSpaceDE w:val="0"/>
        <w:autoSpaceDN w:val="0"/>
        <w:adjustRightInd w:val="0"/>
        <w:spacing w:after="240" w:line="240" w:lineRule="auto"/>
        <w:jc w:val="both"/>
        <w:rPr>
          <w:rFonts w:eastAsia="Times New Roman" w:cs="Times New Roman"/>
          <w:color w:val="000000"/>
          <w:szCs w:val="24"/>
        </w:rPr>
      </w:pPr>
      <w:r w:rsidRPr="00EC4EC4">
        <w:rPr>
          <w:rFonts w:eastAsia="Times New Roman" w:cs="Times New Roman"/>
          <w:b/>
          <w:color w:val="000000"/>
          <w:szCs w:val="24"/>
        </w:rPr>
        <w:t>1029.1.1.1 Spaces under grandstands and bleachers.</w:t>
      </w:r>
      <w:r w:rsidRPr="00EC4EC4">
        <w:rPr>
          <w:rFonts w:eastAsia="Times New Roman" w:cs="Times New Roman"/>
          <w:color w:val="000000"/>
          <w:szCs w:val="24"/>
        </w:rPr>
        <w:t xml:space="preserve"> Where spaces under grandstands or bleachers are used for purposes other than [</w:t>
      </w:r>
      <w:r w:rsidRPr="00EC4EC4">
        <w:rPr>
          <w:rFonts w:eastAsia="Times New Roman" w:cs="Times New Roman"/>
          <w:strike/>
          <w:color w:val="000000"/>
          <w:szCs w:val="24"/>
        </w:rPr>
        <w:t>means of egress</w:t>
      </w:r>
      <w:r w:rsidRPr="00EC4EC4">
        <w:rPr>
          <w:rFonts w:eastAsia="Times New Roman" w:cs="Times New Roman"/>
          <w:color w:val="000000"/>
          <w:szCs w:val="24"/>
        </w:rPr>
        <w:t>,] ticket booths less than 100 square feet (9.29 m</w:t>
      </w:r>
      <w:r w:rsidRPr="00EC4EC4">
        <w:rPr>
          <w:rFonts w:eastAsia="Times New Roman" w:cs="Times New Roman"/>
          <w:color w:val="000000"/>
          <w:szCs w:val="24"/>
          <w:vertAlign w:val="superscript"/>
        </w:rPr>
        <w:t>2</w:t>
      </w:r>
      <w:r w:rsidRPr="00EC4EC4">
        <w:rPr>
          <w:rFonts w:eastAsia="Times New Roman" w:cs="Times New Roman"/>
          <w:color w:val="000000"/>
          <w:szCs w:val="24"/>
        </w:rPr>
        <w:t>)</w:t>
      </w:r>
      <w:r w:rsidRPr="00EC4EC4">
        <w:rPr>
          <w:rFonts w:eastAsia="Times New Roman" w:cs="Times New Roman"/>
          <w:color w:val="000000"/>
          <w:szCs w:val="24"/>
          <w:u w:val="single"/>
        </w:rPr>
        <w:t>;</w:t>
      </w:r>
      <w:r w:rsidRPr="00EC4EC4">
        <w:rPr>
          <w:rFonts w:eastAsia="Times New Roman" w:cs="Times New Roman"/>
          <w:color w:val="000000"/>
          <w:szCs w:val="24"/>
        </w:rPr>
        <w:t xml:space="preserve"> [</w:t>
      </w:r>
      <w:r w:rsidRPr="00EC4EC4">
        <w:rPr>
          <w:rFonts w:eastAsia="Times New Roman" w:cs="Times New Roman"/>
          <w:strike/>
          <w:color w:val="000000"/>
          <w:szCs w:val="24"/>
        </w:rPr>
        <w:t>and</w:t>
      </w:r>
      <w:r w:rsidRPr="00EC4EC4">
        <w:rPr>
          <w:rFonts w:eastAsia="Times New Roman" w:cs="Times New Roman"/>
          <w:color w:val="000000"/>
          <w:szCs w:val="24"/>
        </w:rPr>
        <w:t>] toilet rooms[</w:t>
      </w:r>
      <w:r w:rsidRPr="00EC4EC4">
        <w:rPr>
          <w:rFonts w:eastAsia="Times New Roman" w:cs="Times New Roman"/>
          <w:strike/>
          <w:color w:val="000000"/>
          <w:szCs w:val="24"/>
        </w:rPr>
        <w:t>,</w:t>
      </w:r>
      <w:r w:rsidRPr="00EC4EC4">
        <w:rPr>
          <w:rFonts w:eastAsia="Times New Roman" w:cs="Times New Roman"/>
          <w:color w:val="000000"/>
          <w:szCs w:val="24"/>
        </w:rPr>
        <w:t>]</w:t>
      </w:r>
      <w:r w:rsidRPr="00EC4EC4">
        <w:rPr>
          <w:rFonts w:eastAsia="Times New Roman" w:cs="Times New Roman"/>
          <w:color w:val="000000"/>
          <w:szCs w:val="24"/>
          <w:u w:val="single"/>
        </w:rPr>
        <w:t>; or means of egress,</w:t>
      </w:r>
      <w:r w:rsidRPr="00EC4EC4">
        <w:rPr>
          <w:rFonts w:eastAsia="Times New Roman" w:cs="Times New Roman"/>
          <w:color w:val="000000"/>
          <w:szCs w:val="24"/>
        </w:rPr>
        <w:t xml:space="preserve"> such spaces shall be separated by fire barriers complying with Section 707 and horizontal assemblies complying with Section 711, with not less than 1-hour fire-resistance-rated construction. An automatic smoke detection system shall be installed in such separated spaces. The system shall be activated in accordance with Section 907.5.</w:t>
      </w:r>
    </w:p>
    <w:p w14:paraId="72D12504" w14:textId="763CE57E"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15</w:t>
      </w:r>
      <w:r w:rsidR="00DA5662">
        <w:rPr>
          <w:rFonts w:cs="Times New Roman"/>
          <w:sz w:val="23"/>
          <w:szCs w:val="23"/>
        </w:rPr>
        <w:t>4</w:t>
      </w:r>
      <w:r w:rsidRPr="00EC4EC4">
        <w:rPr>
          <w:rFonts w:cs="Times New Roman"/>
          <w:sz w:val="23"/>
          <w:szCs w:val="23"/>
        </w:rPr>
        <w:t>. Section 102</w:t>
      </w:r>
      <w:r>
        <w:rPr>
          <w:rFonts w:cs="Times New Roman"/>
          <w:sz w:val="23"/>
          <w:szCs w:val="23"/>
        </w:rPr>
        <w:t>9</w:t>
      </w:r>
      <w:r w:rsidRPr="00EC4EC4">
        <w:rPr>
          <w:rFonts w:cs="Times New Roman"/>
          <w:sz w:val="23"/>
          <w:szCs w:val="23"/>
        </w:rPr>
        <w:t>.1.</w:t>
      </w:r>
      <w:r>
        <w:rPr>
          <w:rFonts w:cs="Times New Roman"/>
          <w:sz w:val="23"/>
          <w:szCs w:val="23"/>
        </w:rPr>
        <w:t>4</w:t>
      </w:r>
      <w:r w:rsidRPr="00EC4EC4">
        <w:rPr>
          <w:rFonts w:cs="Times New Roman"/>
          <w:sz w:val="23"/>
          <w:szCs w:val="23"/>
        </w:rPr>
        <w:t xml:space="preserve"> of  the New York city building code, as renumbered and amended by local law number 126 for the year 2021, is amended to read as follows:</w:t>
      </w:r>
    </w:p>
    <w:p w14:paraId="5C85F6F3" w14:textId="77777777" w:rsidR="00140B7C" w:rsidRPr="00EC4EC4" w:rsidRDefault="00140B7C" w:rsidP="00140B7C">
      <w:pPr>
        <w:pStyle w:val="FlushLeftDouble"/>
        <w:ind w:left="0"/>
        <w:rPr>
          <w:color w:val="000000"/>
          <w:spacing w:val="1"/>
          <w:szCs w:val="24"/>
        </w:rPr>
      </w:pPr>
      <w:r w:rsidRPr="00EC4EC4">
        <w:rPr>
          <w:b/>
          <w:color w:val="000000"/>
          <w:szCs w:val="24"/>
        </w:rPr>
        <w:t>1029.1.4 Design of capacity signs.</w:t>
      </w:r>
      <w:r w:rsidRPr="00EC4EC4">
        <w:rPr>
          <w:b/>
          <w:bCs/>
          <w:color w:val="000000"/>
          <w:spacing w:val="-3"/>
          <w:w w:val="110"/>
          <w:szCs w:val="24"/>
        </w:rPr>
        <w:t xml:space="preserve"> </w:t>
      </w:r>
      <w:r w:rsidRPr="00EC4EC4">
        <w:rPr>
          <w:color w:val="000000"/>
          <w:spacing w:val="1"/>
          <w:szCs w:val="24"/>
        </w:rPr>
        <w:t>Signs shall be at least 12 inches (304.8 mm) wide and 16 inches (406.4 mm) high. The lettering shall be red on a white background. The letters shall be at least 1 inch (25.4 mm) high and the numerals at least 1¼ inches  (31.75 mm) high. Signs [</w:t>
      </w:r>
      <w:r w:rsidRPr="00EC4EC4">
        <w:rPr>
          <w:strike/>
          <w:color w:val="000000"/>
          <w:spacing w:val="1"/>
          <w:szCs w:val="24"/>
        </w:rPr>
        <w:t>hall</w:t>
      </w:r>
      <w:r w:rsidRPr="00EC4EC4">
        <w:rPr>
          <w:color w:val="000000"/>
          <w:spacing w:val="1"/>
          <w:szCs w:val="24"/>
        </w:rPr>
        <w:t>]</w:t>
      </w:r>
      <w:r w:rsidRPr="00EC4EC4">
        <w:rPr>
          <w:color w:val="000000"/>
          <w:spacing w:val="1"/>
          <w:szCs w:val="24"/>
          <w:u w:val="single"/>
        </w:rPr>
        <w:t>shall</w:t>
      </w:r>
      <w:r w:rsidRPr="00EC4EC4">
        <w:rPr>
          <w:color w:val="000000"/>
          <w:spacing w:val="1"/>
          <w:szCs w:val="24"/>
        </w:rPr>
        <w:t xml:space="preserve"> be framed under a transparent protective cover, and permanently mounted in a location that is conspicuously visible to a person entering the space. Signs shall be lighted by artificial illumination at all times during occupancy to maintain at least 5 footcandles</w:t>
      </w:r>
      <w:r w:rsidRPr="00EC4EC4">
        <w:rPr>
          <w:i/>
          <w:color w:val="000000"/>
          <w:spacing w:val="1"/>
          <w:szCs w:val="24"/>
        </w:rPr>
        <w:t xml:space="preserve"> </w:t>
      </w:r>
      <w:r w:rsidRPr="00EC4EC4">
        <w:rPr>
          <w:color w:val="000000"/>
          <w:spacing w:val="1"/>
          <w:szCs w:val="24"/>
        </w:rPr>
        <w:t>(54 lux) on the surface of the sign.</w:t>
      </w:r>
    </w:p>
    <w:p w14:paraId="1A5FA2B8" w14:textId="4D8EF685"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15</w:t>
      </w:r>
      <w:r w:rsidR="00E919CF">
        <w:rPr>
          <w:rFonts w:cs="Times New Roman"/>
          <w:sz w:val="23"/>
          <w:szCs w:val="23"/>
        </w:rPr>
        <w:t>5</w:t>
      </w:r>
      <w:r w:rsidRPr="00EC4EC4">
        <w:rPr>
          <w:rFonts w:cs="Times New Roman"/>
          <w:sz w:val="23"/>
          <w:szCs w:val="23"/>
        </w:rPr>
        <w:t>. Section 1029.13.2.2.1 of  the New York city building code, as added by local law number 126 for the year 2021, is amended to read as follows:</w:t>
      </w:r>
    </w:p>
    <w:p w14:paraId="61F22989" w14:textId="77777777" w:rsidR="00140B7C" w:rsidRPr="00EC4EC4" w:rsidRDefault="00140B7C" w:rsidP="00140B7C">
      <w:pPr>
        <w:autoSpaceDE w:val="0"/>
        <w:autoSpaceDN w:val="0"/>
        <w:adjustRightInd w:val="0"/>
        <w:spacing w:after="240" w:line="240" w:lineRule="auto"/>
        <w:jc w:val="both"/>
        <w:rPr>
          <w:rFonts w:eastAsia="Times New Roman" w:cs="Times New Roman"/>
          <w:b/>
          <w:bCs/>
          <w:szCs w:val="24"/>
        </w:rPr>
      </w:pPr>
      <w:r w:rsidRPr="00EC4EC4">
        <w:rPr>
          <w:rFonts w:eastAsia="Times New Roman" w:cs="Times New Roman"/>
          <w:b/>
          <w:bCs/>
          <w:szCs w:val="24"/>
          <w:lang w:val="x-none" w:eastAsia="x-none"/>
        </w:rPr>
        <w:t>1029.13.2.2.1 Construction tolerances.</w:t>
      </w:r>
      <w:r w:rsidRPr="00EC4EC4">
        <w:rPr>
          <w:rFonts w:eastAsia="Times New Roman" w:cs="Times New Roman"/>
          <w:b/>
          <w:bCs/>
          <w:szCs w:val="24"/>
          <w:lang w:eastAsia="x-none"/>
        </w:rPr>
        <w:t xml:space="preserve"> </w:t>
      </w:r>
      <w:r w:rsidRPr="00EC4EC4">
        <w:rPr>
          <w:rFonts w:eastAsia="Times New Roman" w:cs="Times New Roman"/>
          <w:szCs w:val="24"/>
        </w:rPr>
        <w:t xml:space="preserve">The tolerance between adjacent risers on a stepped </w:t>
      </w:r>
      <w:r w:rsidRPr="00EC4EC4">
        <w:rPr>
          <w:rFonts w:eastAsia="Times New Roman" w:cs="Times New Roman"/>
          <w:iCs/>
          <w:szCs w:val="24"/>
        </w:rPr>
        <w:t>aisle</w:t>
      </w:r>
      <w:r w:rsidRPr="00EC4EC4">
        <w:rPr>
          <w:rFonts w:eastAsia="Times New Roman" w:cs="Times New Roman"/>
          <w:szCs w:val="24"/>
        </w:rPr>
        <w:t xml:space="preserve"> that were designed to be equal height shall not exceed </w:t>
      </w:r>
      <w:r w:rsidRPr="00EC4EC4">
        <w:rPr>
          <w:rFonts w:eastAsia="Times New Roman" w:cs="Times New Roman"/>
          <w:szCs w:val="24"/>
          <w:vertAlign w:val="superscript"/>
        </w:rPr>
        <w:t>3</w:t>
      </w:r>
      <w:r w:rsidRPr="00EC4EC4">
        <w:rPr>
          <w:rFonts w:eastAsia="Times New Roman" w:cs="Times New Roman"/>
          <w:szCs w:val="24"/>
        </w:rPr>
        <w:t>/</w:t>
      </w:r>
      <w:r w:rsidRPr="00EC4EC4">
        <w:rPr>
          <w:rFonts w:eastAsia="Times New Roman" w:cs="Times New Roman"/>
          <w:szCs w:val="24"/>
          <w:vertAlign w:val="subscript"/>
        </w:rPr>
        <w:t>16</w:t>
      </w:r>
      <w:r w:rsidRPr="00EC4EC4">
        <w:rPr>
          <w:rFonts w:eastAsia="Times New Roman" w:cs="Times New Roman"/>
          <w:szCs w:val="24"/>
        </w:rPr>
        <w:t xml:space="preserve"> inch (4.8 mm). Where the stepped </w:t>
      </w:r>
      <w:r w:rsidRPr="00EC4EC4">
        <w:rPr>
          <w:rFonts w:eastAsia="Times New Roman" w:cs="Times New Roman"/>
          <w:iCs/>
          <w:szCs w:val="24"/>
        </w:rPr>
        <w:t>aisle</w:t>
      </w:r>
      <w:r w:rsidRPr="00EC4EC4">
        <w:rPr>
          <w:rFonts w:eastAsia="Times New Roman" w:cs="Times New Roman"/>
          <w:szCs w:val="24"/>
        </w:rPr>
        <w:t xml:space="preserve"> is designed in accordance with the [</w:t>
      </w:r>
      <w:r w:rsidRPr="00EC4EC4">
        <w:rPr>
          <w:rFonts w:eastAsia="Times New Roman" w:cs="Times New Roman"/>
          <w:strike/>
          <w:szCs w:val="24"/>
        </w:rPr>
        <w:t>Exception</w:t>
      </w:r>
      <w:r w:rsidRPr="00EC4EC4">
        <w:rPr>
          <w:rFonts w:eastAsia="Times New Roman" w:cs="Times New Roman"/>
          <w:szCs w:val="24"/>
        </w:rPr>
        <w:t>]</w:t>
      </w:r>
      <w:r w:rsidRPr="00EC4EC4">
        <w:rPr>
          <w:rFonts w:eastAsia="Times New Roman" w:cs="Times New Roman"/>
          <w:szCs w:val="24"/>
          <w:u w:val="single"/>
        </w:rPr>
        <w:t>exception</w:t>
      </w:r>
      <w:r w:rsidRPr="00EC4EC4">
        <w:rPr>
          <w:rFonts w:eastAsia="Times New Roman" w:cs="Times New Roman"/>
          <w:szCs w:val="24"/>
        </w:rPr>
        <w:t xml:space="preserve"> of Section 1029.13.2.2, the stepped </w:t>
      </w:r>
      <w:r w:rsidRPr="00EC4EC4">
        <w:rPr>
          <w:rFonts w:eastAsia="Times New Roman" w:cs="Times New Roman"/>
          <w:iCs/>
          <w:szCs w:val="24"/>
        </w:rPr>
        <w:t>aisle</w:t>
      </w:r>
      <w:r w:rsidRPr="00EC4EC4">
        <w:rPr>
          <w:rFonts w:eastAsia="Times New Roman" w:cs="Times New Roman"/>
          <w:szCs w:val="24"/>
        </w:rPr>
        <w:t xml:space="preserve"> shall be constructed so that each riser of unequal height, determined in the direction of descent, is not more than ⅜ inch (9.5 mm) in height different from adjacent risers where stepped </w:t>
      </w:r>
      <w:r w:rsidRPr="00EC4EC4">
        <w:rPr>
          <w:rFonts w:eastAsia="Times New Roman" w:cs="Times New Roman"/>
          <w:iCs/>
          <w:szCs w:val="24"/>
        </w:rPr>
        <w:t>aisle</w:t>
      </w:r>
      <w:r w:rsidRPr="00EC4EC4">
        <w:rPr>
          <w:rFonts w:eastAsia="Times New Roman" w:cs="Times New Roman"/>
          <w:szCs w:val="24"/>
        </w:rPr>
        <w:t xml:space="preserve"> treads are less than 22 inches (560 mm) in depth and ¾ inch (19.1 mm) in height different from adjacent risers where stepped </w:t>
      </w:r>
      <w:r w:rsidRPr="00EC4EC4">
        <w:rPr>
          <w:rFonts w:eastAsia="Times New Roman" w:cs="Times New Roman"/>
          <w:iCs/>
          <w:szCs w:val="24"/>
        </w:rPr>
        <w:t>aisle</w:t>
      </w:r>
      <w:r w:rsidRPr="00EC4EC4">
        <w:rPr>
          <w:rFonts w:eastAsia="Times New Roman" w:cs="Times New Roman"/>
          <w:szCs w:val="24"/>
        </w:rPr>
        <w:t xml:space="preserve"> treads are 22 inches (558.8 mm) or greater in depth.</w:t>
      </w:r>
    </w:p>
    <w:p w14:paraId="22304B8E" w14:textId="4E0D03C3"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15</w:t>
      </w:r>
      <w:r w:rsidR="00E919CF">
        <w:rPr>
          <w:rFonts w:cs="Times New Roman"/>
          <w:sz w:val="23"/>
          <w:szCs w:val="23"/>
        </w:rPr>
        <w:t>6</w:t>
      </w:r>
      <w:r w:rsidRPr="00EC4EC4">
        <w:rPr>
          <w:rFonts w:cs="Times New Roman"/>
          <w:sz w:val="23"/>
          <w:szCs w:val="23"/>
        </w:rPr>
        <w:t>. Table 1106.7.3 of  the New York city building code, as added by local law number 126 for the year 2021, is amended to read as follows:</w:t>
      </w:r>
    </w:p>
    <w:p w14:paraId="31CF57CF" w14:textId="77777777" w:rsidR="00140B7C" w:rsidRPr="00EC4EC4" w:rsidRDefault="00140B7C" w:rsidP="00140B7C">
      <w:pPr>
        <w:pStyle w:val="HeadingCaps"/>
      </w:pPr>
      <w:bookmarkStart w:id="116" w:name="_Toc389736053"/>
      <w:bookmarkStart w:id="117" w:name="_Toc389744615"/>
      <w:r w:rsidRPr="00EC4EC4">
        <w:lastRenderedPageBreak/>
        <w:t>TABLE 1106.7.3</w:t>
      </w:r>
      <w:r w:rsidRPr="00EC4EC4">
        <w:br/>
        <w:t>VALET AND ATTENDED ACCESSIBLE PARKING SPACES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3862"/>
        <w:gridCol w:w="4538"/>
      </w:tblGrid>
      <w:tr w:rsidR="00140B7C" w:rsidRPr="00EC4EC4" w14:paraId="6D1E3E8F" w14:textId="77777777" w:rsidTr="00BC1087">
        <w:trPr>
          <w:cantSplit/>
          <w:tblHeader/>
          <w:jc w:val="center"/>
        </w:trPr>
        <w:tc>
          <w:tcPr>
            <w:tcW w:w="3862" w:type="dxa"/>
            <w:vAlign w:val="center"/>
          </w:tcPr>
          <w:p w14:paraId="7A687624" w14:textId="77777777" w:rsidR="00140B7C" w:rsidRPr="00EC4EC4" w:rsidRDefault="00140B7C" w:rsidP="00BC1087">
            <w:pPr>
              <w:autoSpaceDE w:val="0"/>
              <w:autoSpaceDN w:val="0"/>
              <w:adjustRightInd w:val="0"/>
              <w:spacing w:before="130" w:after="130" w:line="240" w:lineRule="auto"/>
              <w:jc w:val="center"/>
              <w:rPr>
                <w:rFonts w:eastAsia="Times New Roman" w:cs="Times New Roman"/>
                <w:b/>
                <w:bCs/>
                <w:color w:val="000000"/>
                <w:sz w:val="20"/>
                <w:szCs w:val="20"/>
              </w:rPr>
            </w:pPr>
            <w:r w:rsidRPr="00EC4EC4">
              <w:rPr>
                <w:rFonts w:eastAsia="Times New Roman" w:cs="Times New Roman"/>
                <w:b/>
                <w:bCs/>
                <w:color w:val="000000"/>
                <w:sz w:val="20"/>
                <w:szCs w:val="20"/>
              </w:rPr>
              <w:t xml:space="preserve">TOTAL PARKING </w:t>
            </w:r>
            <w:r w:rsidRPr="00EC4EC4">
              <w:rPr>
                <w:rFonts w:eastAsia="Times New Roman" w:cs="Times New Roman"/>
                <w:b/>
                <w:bCs/>
                <w:color w:val="000000"/>
                <w:sz w:val="20"/>
                <w:szCs w:val="20"/>
              </w:rPr>
              <w:br/>
              <w:t>SPACES PROVIDED</w:t>
            </w:r>
            <w:r w:rsidRPr="00EC4EC4">
              <w:rPr>
                <w:rFonts w:eastAsia="Times New Roman" w:cs="Times New Roman"/>
                <w:b/>
                <w:bCs/>
                <w:color w:val="000000"/>
                <w:sz w:val="20"/>
                <w:szCs w:val="20"/>
              </w:rPr>
              <w:br/>
              <w:t>IN PARKING FACILITIES</w:t>
            </w:r>
          </w:p>
        </w:tc>
        <w:tc>
          <w:tcPr>
            <w:tcW w:w="4538" w:type="dxa"/>
            <w:vAlign w:val="center"/>
          </w:tcPr>
          <w:p w14:paraId="14892A08" w14:textId="77777777" w:rsidR="00140B7C" w:rsidRPr="00EC4EC4" w:rsidRDefault="00140B7C" w:rsidP="00BC1087">
            <w:pPr>
              <w:autoSpaceDE w:val="0"/>
              <w:autoSpaceDN w:val="0"/>
              <w:adjustRightInd w:val="0"/>
              <w:spacing w:before="130" w:after="130" w:line="240" w:lineRule="auto"/>
              <w:jc w:val="center"/>
              <w:rPr>
                <w:rFonts w:eastAsia="Times New Roman" w:cs="Times New Roman"/>
                <w:b/>
                <w:color w:val="000000"/>
                <w:sz w:val="20"/>
                <w:szCs w:val="20"/>
              </w:rPr>
            </w:pPr>
            <w:r w:rsidRPr="00EC4EC4">
              <w:rPr>
                <w:rFonts w:eastAsia="Times New Roman" w:cs="Times New Roman"/>
                <w:b/>
                <w:sz w:val="20"/>
                <w:szCs w:val="20"/>
              </w:rPr>
              <w:t>REQUIRED MINIMUM NUMBER OF</w:t>
            </w:r>
            <w:r w:rsidRPr="00EC4EC4">
              <w:rPr>
                <w:rFonts w:eastAsia="Times New Roman" w:cs="Times New Roman"/>
                <w:b/>
                <w:sz w:val="20"/>
                <w:szCs w:val="20"/>
              </w:rPr>
              <w:br/>
              <w:t xml:space="preserve"> ACCESSIBLE SPACES</w:t>
            </w:r>
          </w:p>
        </w:tc>
      </w:tr>
      <w:tr w:rsidR="00140B7C" w:rsidRPr="00EC4EC4" w14:paraId="38591146" w14:textId="77777777" w:rsidTr="00BC1087">
        <w:trPr>
          <w:cantSplit/>
          <w:jc w:val="center"/>
        </w:trPr>
        <w:tc>
          <w:tcPr>
            <w:tcW w:w="3862" w:type="dxa"/>
            <w:vAlign w:val="center"/>
          </w:tcPr>
          <w:p w14:paraId="3C52E2FE"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1 to 25</w:t>
            </w:r>
          </w:p>
        </w:tc>
        <w:tc>
          <w:tcPr>
            <w:tcW w:w="4538" w:type="dxa"/>
            <w:vAlign w:val="center"/>
          </w:tcPr>
          <w:p w14:paraId="52DB0B9B"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w:t>
            </w:r>
            <w:r w:rsidRPr="00EC4EC4">
              <w:rPr>
                <w:rFonts w:eastAsia="Times New Roman" w:cs="Times New Roman"/>
                <w:strike/>
                <w:sz w:val="20"/>
                <w:szCs w:val="20"/>
              </w:rPr>
              <w:t>1s</w:t>
            </w:r>
            <w:r w:rsidRPr="00EC4EC4">
              <w:rPr>
                <w:rFonts w:eastAsia="Times New Roman" w:cs="Times New Roman"/>
                <w:sz w:val="20"/>
                <w:szCs w:val="20"/>
              </w:rPr>
              <w:t>]</w:t>
            </w:r>
            <w:r w:rsidRPr="00EC4EC4">
              <w:rPr>
                <w:rFonts w:eastAsia="Times New Roman" w:cs="Times New Roman"/>
                <w:sz w:val="20"/>
                <w:szCs w:val="20"/>
                <w:u w:val="single"/>
              </w:rPr>
              <w:t>1</w:t>
            </w:r>
          </w:p>
        </w:tc>
      </w:tr>
      <w:tr w:rsidR="00140B7C" w:rsidRPr="00EC4EC4" w14:paraId="44BE7646" w14:textId="77777777" w:rsidTr="00BC1087">
        <w:trPr>
          <w:cantSplit/>
          <w:jc w:val="center"/>
        </w:trPr>
        <w:tc>
          <w:tcPr>
            <w:tcW w:w="3862" w:type="dxa"/>
            <w:vAlign w:val="center"/>
          </w:tcPr>
          <w:p w14:paraId="4BF88DB6"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26 to 50</w:t>
            </w:r>
          </w:p>
        </w:tc>
        <w:tc>
          <w:tcPr>
            <w:tcW w:w="4538" w:type="dxa"/>
            <w:vAlign w:val="center"/>
          </w:tcPr>
          <w:p w14:paraId="19614C72"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2</w:t>
            </w:r>
          </w:p>
        </w:tc>
      </w:tr>
      <w:tr w:rsidR="00140B7C" w:rsidRPr="00EC4EC4" w14:paraId="41CC0318" w14:textId="77777777" w:rsidTr="00BC1087">
        <w:trPr>
          <w:cantSplit/>
          <w:jc w:val="center"/>
        </w:trPr>
        <w:tc>
          <w:tcPr>
            <w:tcW w:w="3862" w:type="dxa"/>
            <w:vAlign w:val="center"/>
          </w:tcPr>
          <w:p w14:paraId="59CC327F"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51 to 75</w:t>
            </w:r>
          </w:p>
        </w:tc>
        <w:tc>
          <w:tcPr>
            <w:tcW w:w="4538" w:type="dxa"/>
            <w:vAlign w:val="center"/>
          </w:tcPr>
          <w:p w14:paraId="09BA0E87"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3</w:t>
            </w:r>
          </w:p>
        </w:tc>
      </w:tr>
      <w:tr w:rsidR="00140B7C" w:rsidRPr="00EC4EC4" w14:paraId="39A64659" w14:textId="77777777" w:rsidTr="00BC1087">
        <w:trPr>
          <w:cantSplit/>
          <w:jc w:val="center"/>
        </w:trPr>
        <w:tc>
          <w:tcPr>
            <w:tcW w:w="3862" w:type="dxa"/>
            <w:vAlign w:val="center"/>
          </w:tcPr>
          <w:p w14:paraId="4A9F9672"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76 to 100</w:t>
            </w:r>
          </w:p>
        </w:tc>
        <w:tc>
          <w:tcPr>
            <w:tcW w:w="4538" w:type="dxa"/>
            <w:vAlign w:val="center"/>
          </w:tcPr>
          <w:p w14:paraId="675B6E60"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4</w:t>
            </w:r>
          </w:p>
        </w:tc>
      </w:tr>
      <w:tr w:rsidR="00140B7C" w:rsidRPr="00EC4EC4" w14:paraId="0EFA464D" w14:textId="77777777" w:rsidTr="00BC1087">
        <w:trPr>
          <w:cantSplit/>
          <w:jc w:val="center"/>
        </w:trPr>
        <w:tc>
          <w:tcPr>
            <w:tcW w:w="3862" w:type="dxa"/>
            <w:vAlign w:val="center"/>
          </w:tcPr>
          <w:p w14:paraId="3AE58645"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101 to 150</w:t>
            </w:r>
          </w:p>
        </w:tc>
        <w:tc>
          <w:tcPr>
            <w:tcW w:w="4538" w:type="dxa"/>
            <w:vAlign w:val="center"/>
          </w:tcPr>
          <w:p w14:paraId="125CD8EA"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5</w:t>
            </w:r>
          </w:p>
        </w:tc>
      </w:tr>
      <w:tr w:rsidR="00140B7C" w:rsidRPr="00EC4EC4" w14:paraId="7A925495" w14:textId="77777777" w:rsidTr="00BC1087">
        <w:trPr>
          <w:cantSplit/>
          <w:jc w:val="center"/>
        </w:trPr>
        <w:tc>
          <w:tcPr>
            <w:tcW w:w="3862" w:type="dxa"/>
            <w:vAlign w:val="center"/>
          </w:tcPr>
          <w:p w14:paraId="3267C1C7"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151 to 200</w:t>
            </w:r>
          </w:p>
        </w:tc>
        <w:tc>
          <w:tcPr>
            <w:tcW w:w="4538" w:type="dxa"/>
            <w:vAlign w:val="center"/>
          </w:tcPr>
          <w:p w14:paraId="5181C5E9"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6</w:t>
            </w:r>
          </w:p>
        </w:tc>
      </w:tr>
      <w:tr w:rsidR="00140B7C" w:rsidRPr="00EC4EC4" w14:paraId="2B77C455" w14:textId="77777777" w:rsidTr="00BC1087">
        <w:trPr>
          <w:cantSplit/>
          <w:jc w:val="center"/>
        </w:trPr>
        <w:tc>
          <w:tcPr>
            <w:tcW w:w="3862" w:type="dxa"/>
            <w:vAlign w:val="center"/>
          </w:tcPr>
          <w:p w14:paraId="5AC3C945"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201 to 300</w:t>
            </w:r>
          </w:p>
        </w:tc>
        <w:tc>
          <w:tcPr>
            <w:tcW w:w="4538" w:type="dxa"/>
            <w:vAlign w:val="center"/>
          </w:tcPr>
          <w:p w14:paraId="240D40B2"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7</w:t>
            </w:r>
          </w:p>
        </w:tc>
      </w:tr>
      <w:tr w:rsidR="00140B7C" w:rsidRPr="00EC4EC4" w14:paraId="0B46CE3E" w14:textId="77777777" w:rsidTr="00BC1087">
        <w:trPr>
          <w:cantSplit/>
          <w:jc w:val="center"/>
        </w:trPr>
        <w:tc>
          <w:tcPr>
            <w:tcW w:w="3862" w:type="dxa"/>
            <w:vAlign w:val="center"/>
          </w:tcPr>
          <w:p w14:paraId="2CB3B849"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301 to 400</w:t>
            </w:r>
          </w:p>
        </w:tc>
        <w:tc>
          <w:tcPr>
            <w:tcW w:w="4538" w:type="dxa"/>
            <w:vAlign w:val="center"/>
          </w:tcPr>
          <w:p w14:paraId="05B1A655"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8</w:t>
            </w:r>
          </w:p>
        </w:tc>
      </w:tr>
      <w:tr w:rsidR="00140B7C" w:rsidRPr="00EC4EC4" w14:paraId="3779765D" w14:textId="77777777" w:rsidTr="00BC1087">
        <w:trPr>
          <w:cantSplit/>
          <w:jc w:val="center"/>
        </w:trPr>
        <w:tc>
          <w:tcPr>
            <w:tcW w:w="3862" w:type="dxa"/>
            <w:vAlign w:val="center"/>
          </w:tcPr>
          <w:p w14:paraId="3662DF50"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401 to 500</w:t>
            </w:r>
          </w:p>
        </w:tc>
        <w:tc>
          <w:tcPr>
            <w:tcW w:w="4538" w:type="dxa"/>
            <w:vAlign w:val="center"/>
          </w:tcPr>
          <w:p w14:paraId="0A1DE226"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9</w:t>
            </w:r>
          </w:p>
        </w:tc>
      </w:tr>
      <w:tr w:rsidR="00140B7C" w:rsidRPr="00EC4EC4" w14:paraId="16DBAFE1" w14:textId="77777777" w:rsidTr="00BC1087">
        <w:trPr>
          <w:cantSplit/>
          <w:jc w:val="center"/>
        </w:trPr>
        <w:tc>
          <w:tcPr>
            <w:tcW w:w="3862" w:type="dxa"/>
            <w:vAlign w:val="center"/>
          </w:tcPr>
          <w:p w14:paraId="49BEAE38"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501 to 1,000</w:t>
            </w:r>
          </w:p>
        </w:tc>
        <w:tc>
          <w:tcPr>
            <w:tcW w:w="4538" w:type="dxa"/>
            <w:vAlign w:val="center"/>
          </w:tcPr>
          <w:p w14:paraId="332E6B6B"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2% of total</w:t>
            </w:r>
          </w:p>
        </w:tc>
      </w:tr>
      <w:tr w:rsidR="00140B7C" w:rsidRPr="00EC4EC4" w14:paraId="17DDA3E6" w14:textId="77777777" w:rsidTr="00BC1087">
        <w:trPr>
          <w:cantSplit/>
          <w:jc w:val="center"/>
        </w:trPr>
        <w:tc>
          <w:tcPr>
            <w:tcW w:w="3862" w:type="dxa"/>
            <w:vAlign w:val="center"/>
          </w:tcPr>
          <w:p w14:paraId="04F71393" w14:textId="77777777" w:rsidR="00140B7C" w:rsidRPr="00EC4EC4" w:rsidRDefault="00140B7C" w:rsidP="00BC1087">
            <w:pPr>
              <w:autoSpaceDE w:val="0"/>
              <w:autoSpaceDN w:val="0"/>
              <w:adjustRightInd w:val="0"/>
              <w:spacing w:before="130" w:after="130" w:line="240" w:lineRule="auto"/>
              <w:jc w:val="center"/>
              <w:rPr>
                <w:rFonts w:eastAsia="Times New Roman" w:cs="Times New Roman"/>
                <w:sz w:val="20"/>
                <w:szCs w:val="20"/>
              </w:rPr>
            </w:pPr>
            <w:r w:rsidRPr="00EC4EC4">
              <w:rPr>
                <w:rFonts w:eastAsia="Times New Roman" w:cs="Times New Roman"/>
                <w:sz w:val="20"/>
                <w:szCs w:val="20"/>
              </w:rPr>
              <w:t>1,001 and over</w:t>
            </w:r>
          </w:p>
        </w:tc>
        <w:tc>
          <w:tcPr>
            <w:tcW w:w="4538" w:type="dxa"/>
            <w:vAlign w:val="center"/>
          </w:tcPr>
          <w:p w14:paraId="15B690CC" w14:textId="77777777" w:rsidR="00140B7C" w:rsidRPr="00EC4EC4" w:rsidRDefault="00140B7C" w:rsidP="00BC1087">
            <w:pPr>
              <w:autoSpaceDE w:val="0"/>
              <w:autoSpaceDN w:val="0"/>
              <w:adjustRightInd w:val="0"/>
              <w:spacing w:before="130" w:after="130" w:line="240" w:lineRule="auto"/>
              <w:jc w:val="center"/>
              <w:rPr>
                <w:rFonts w:eastAsia="Times New Roman" w:cs="Times New Roman"/>
                <w:color w:val="000000"/>
                <w:sz w:val="20"/>
                <w:szCs w:val="20"/>
              </w:rPr>
            </w:pPr>
            <w:r w:rsidRPr="00EC4EC4">
              <w:rPr>
                <w:rFonts w:eastAsia="Times New Roman" w:cs="Times New Roman"/>
                <w:sz w:val="20"/>
                <w:szCs w:val="20"/>
              </w:rPr>
              <w:t>20, plus one for each 100,</w:t>
            </w:r>
            <w:r w:rsidRPr="00EC4EC4">
              <w:rPr>
                <w:rFonts w:eastAsia="Times New Roman" w:cs="Times New Roman"/>
                <w:sz w:val="20"/>
                <w:szCs w:val="20"/>
              </w:rPr>
              <w:br/>
              <w:t>or fraction thereof, over 1,000</w:t>
            </w:r>
          </w:p>
        </w:tc>
      </w:tr>
    </w:tbl>
    <w:p w14:paraId="2CE57477" w14:textId="77777777" w:rsidR="00140B7C" w:rsidRPr="00EC4EC4" w:rsidRDefault="00140B7C" w:rsidP="00140B7C">
      <w:pPr>
        <w:autoSpaceDE w:val="0"/>
        <w:autoSpaceDN w:val="0"/>
        <w:adjustRightInd w:val="0"/>
        <w:spacing w:after="0" w:line="240" w:lineRule="auto"/>
        <w:ind w:left="720"/>
        <w:jc w:val="both"/>
        <w:rPr>
          <w:rFonts w:eastAsia="Times New Roman" w:cs="Times New Roman"/>
          <w:b/>
          <w:bCs/>
          <w:szCs w:val="24"/>
        </w:rPr>
      </w:pPr>
    </w:p>
    <w:bookmarkEnd w:id="116"/>
    <w:bookmarkEnd w:id="117"/>
    <w:p w14:paraId="79B1BEC3" w14:textId="5C07CD20" w:rsidR="00140B7C" w:rsidRPr="000003FE"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15</w:t>
      </w:r>
      <w:r w:rsidR="00E919CF">
        <w:rPr>
          <w:rFonts w:cs="Times New Roman"/>
          <w:sz w:val="23"/>
          <w:szCs w:val="23"/>
        </w:rPr>
        <w:t>7</w:t>
      </w:r>
      <w:r w:rsidRPr="00EC4EC4">
        <w:rPr>
          <w:rFonts w:cs="Times New Roman"/>
          <w:sz w:val="23"/>
          <w:szCs w:val="23"/>
        </w:rPr>
        <w:t>. Section 1107.2.2 of  the New York city building code, as amended by local law number 126 for the year 2021, is amended to read as follows:</w:t>
      </w:r>
    </w:p>
    <w:p w14:paraId="32F02E42" w14:textId="77777777" w:rsidR="00140B7C" w:rsidRPr="00EC4EC4" w:rsidRDefault="00140B7C" w:rsidP="00140B7C">
      <w:pPr>
        <w:pStyle w:val="FlushLeftDouble"/>
        <w:rPr>
          <w:color w:val="000000"/>
          <w:spacing w:val="1"/>
          <w:szCs w:val="24"/>
        </w:rPr>
      </w:pPr>
      <w:r w:rsidRPr="00EC4EC4">
        <w:rPr>
          <w:b/>
          <w:color w:val="000000"/>
          <w:szCs w:val="24"/>
        </w:rPr>
        <w:t>1107.2.2 Type B+NYC unit toilet and bathing rooms.</w:t>
      </w:r>
      <w:r w:rsidRPr="00EC4EC4">
        <w:rPr>
          <w:b/>
          <w:bCs/>
          <w:color w:val="000000"/>
          <w:spacing w:val="1"/>
          <w:w w:val="110"/>
          <w:szCs w:val="24"/>
        </w:rPr>
        <w:t xml:space="preserve"> </w:t>
      </w:r>
      <w:r w:rsidRPr="00EC4EC4">
        <w:rPr>
          <w:color w:val="000000"/>
          <w:spacing w:val="1"/>
          <w:szCs w:val="24"/>
        </w:rPr>
        <w:t>Where toilet and bathing rooms are provided in a Type B+NYC dwelling unit or sleeping unit, all such toilet and bathing rooms shall comply with</w:t>
      </w:r>
      <w:r w:rsidRPr="00EC4EC4">
        <w:rPr>
          <w:szCs w:val="24"/>
        </w:rPr>
        <w:t xml:space="preserve"> </w:t>
      </w:r>
      <w:r w:rsidRPr="00EC4EC4">
        <w:rPr>
          <w:color w:val="000000"/>
          <w:spacing w:val="1"/>
          <w:szCs w:val="24"/>
        </w:rPr>
        <w:t>Sections 1107.2.2.1 through 1107.2.2.9. Within each such toilet room, at least one lavatory, and one water closet shall comply with Sections 1107.2.2.1 through 1107.2.2.7. Within each bathing room, at least one lavatory, one water closet, and either a bathtub or shower shall comply with Sections 1107.2.2.1 through 1107.2.2.8.  Toilet and bathing fixtures shall be in a single room, such that travel between fixtures does not require travel beyond the room in which the fixtures of such toilet or bathing room is located. Additional fixtures shall comply with Section 1107.2.2.9.</w:t>
      </w:r>
    </w:p>
    <w:p w14:paraId="432B77B6" w14:textId="77777777" w:rsidR="00140B7C" w:rsidRPr="00EC4EC4" w:rsidRDefault="00140B7C" w:rsidP="00140B7C">
      <w:pPr>
        <w:widowControl w:val="0"/>
        <w:autoSpaceDE w:val="0"/>
        <w:autoSpaceDN w:val="0"/>
        <w:adjustRightInd w:val="0"/>
        <w:spacing w:after="240" w:line="240" w:lineRule="auto"/>
        <w:ind w:left="720" w:right="72"/>
        <w:jc w:val="both"/>
        <w:rPr>
          <w:rFonts w:eastAsia="Times New Roman" w:cs="Times New Roman"/>
          <w:color w:val="000000"/>
          <w:spacing w:val="1"/>
          <w:szCs w:val="24"/>
        </w:rPr>
      </w:pPr>
      <w:r w:rsidRPr="00EC4EC4">
        <w:rPr>
          <w:rFonts w:eastAsia="Times New Roman" w:cs="Times New Roman"/>
          <w:b/>
          <w:color w:val="000000"/>
          <w:spacing w:val="1"/>
          <w:szCs w:val="24"/>
        </w:rPr>
        <w:t>Exception for Type A toilet and bathing room:</w:t>
      </w:r>
      <w:r w:rsidRPr="00EC4EC4">
        <w:rPr>
          <w:rFonts w:eastAsia="Times New Roman" w:cs="Times New Roman"/>
          <w:color w:val="000000"/>
          <w:spacing w:val="1"/>
          <w:szCs w:val="24"/>
        </w:rPr>
        <w:t xml:space="preserve"> Where at least one toilet and bathing room complying with Sections 1003.11 (Toilet and Bathing Facility) and 1003.3.2 (Turning Space) of ICC A117.1 is provided within a Type B+NYC dwelling unit or sleeping unit in accordance with Items 1 through 3 of this exception, other toilet and bathing rooms in the same unit shall be required to comply only with Sections 1004.3 (Accessible [</w:t>
      </w:r>
      <w:r w:rsidRPr="00EC4EC4">
        <w:rPr>
          <w:rFonts w:eastAsia="Times New Roman" w:cs="Times New Roman"/>
          <w:strike/>
          <w:color w:val="000000"/>
          <w:spacing w:val="1"/>
          <w:szCs w:val="24"/>
        </w:rPr>
        <w:t>route</w:t>
      </w:r>
      <w:r w:rsidRPr="00EC4EC4">
        <w:rPr>
          <w:rFonts w:eastAsia="Times New Roman" w:cs="Times New Roman"/>
          <w:color w:val="000000"/>
          <w:spacing w:val="1"/>
          <w:szCs w:val="24"/>
        </w:rPr>
        <w:t>]</w:t>
      </w:r>
      <w:r w:rsidRPr="00EC4EC4">
        <w:rPr>
          <w:rFonts w:eastAsia="Times New Roman" w:cs="Times New Roman"/>
          <w:color w:val="000000"/>
          <w:spacing w:val="1"/>
          <w:szCs w:val="24"/>
          <w:u w:val="single"/>
        </w:rPr>
        <w:t>Route</w:t>
      </w:r>
      <w:r w:rsidRPr="00EC4EC4">
        <w:rPr>
          <w:rFonts w:eastAsia="Times New Roman" w:cs="Times New Roman"/>
          <w:color w:val="000000"/>
          <w:spacing w:val="1"/>
          <w:szCs w:val="24"/>
        </w:rPr>
        <w:t xml:space="preserve">), 1004.4 (Walking Surfaces), 1004.5.2 (User Passage Doorways), 1004.9 (Operable Parts) </w:t>
      </w:r>
      <w:r w:rsidRPr="00EC4EC4">
        <w:rPr>
          <w:rFonts w:eastAsia="Times New Roman" w:cs="Times New Roman"/>
          <w:color w:val="000000"/>
          <w:spacing w:val="1"/>
          <w:szCs w:val="24"/>
        </w:rPr>
        <w:lastRenderedPageBreak/>
        <w:t>and 1004.11.1 (Grab Bar and Shower Seat Reinforcement) of ICC A117.1. In addition, a vertical grab bar 18 inches (457.2 mm) minimum in length shall be mounted with the bottom of the bar located between 39 inches (990.6 mm) and 41 inches (1041.4 mm) above the floor, and with the center of the bar located at 30 inches (762 mm) from the rear wall. Doors and doorways to such toilet and bathing rooms shall be subject to Section 1107.2.1, Exception 5.</w:t>
      </w:r>
    </w:p>
    <w:p w14:paraId="759C63DF" w14:textId="77777777" w:rsidR="00140B7C" w:rsidRPr="00EC4EC4" w:rsidRDefault="00140B7C" w:rsidP="00140B7C">
      <w:pPr>
        <w:widowControl w:val="0"/>
        <w:autoSpaceDE w:val="0"/>
        <w:autoSpaceDN w:val="0"/>
        <w:adjustRightInd w:val="0"/>
        <w:spacing w:after="240" w:line="240" w:lineRule="auto"/>
        <w:ind w:left="1440" w:right="72" w:hanging="360"/>
        <w:jc w:val="both"/>
        <w:rPr>
          <w:rFonts w:eastAsia="Times New Roman" w:cs="Times New Roman"/>
          <w:color w:val="000000"/>
          <w:spacing w:val="1"/>
          <w:szCs w:val="24"/>
        </w:rPr>
      </w:pPr>
      <w:r w:rsidRPr="00EC4EC4">
        <w:rPr>
          <w:rFonts w:eastAsia="Times New Roman" w:cs="Times New Roman"/>
          <w:spacing w:val="1"/>
          <w:szCs w:val="24"/>
        </w:rPr>
        <w:t>1</w:t>
      </w:r>
      <w:r w:rsidRPr="00EC4EC4">
        <w:rPr>
          <w:rFonts w:eastAsia="Times New Roman" w:cs="Times New Roman"/>
          <w:color w:val="000000"/>
          <w:spacing w:val="1"/>
          <w:szCs w:val="24"/>
        </w:rPr>
        <w:t xml:space="preserve">. </w:t>
      </w:r>
      <w:r w:rsidRPr="00EC4EC4">
        <w:rPr>
          <w:rFonts w:eastAsia="Times New Roman" w:cs="Times New Roman"/>
          <w:color w:val="000000"/>
          <w:spacing w:val="1"/>
          <w:szCs w:val="24"/>
        </w:rPr>
        <w:tab/>
        <w:t>At least one lavatory, one water closet and either a bathtub or shower within such toilet or bathing facility shall comply with Section 1003.11 of ICC A117.1. Such toilet and bathing fixtures shall be in a single toilet or bathing area, such that travel between fixtures does not require travel beyond the area in which the fixtures of such toilet or bathing room are located.</w:t>
      </w:r>
    </w:p>
    <w:p w14:paraId="0BB04B4A" w14:textId="77777777" w:rsidR="00140B7C" w:rsidRPr="00EC4EC4" w:rsidRDefault="00140B7C" w:rsidP="00140B7C">
      <w:pPr>
        <w:autoSpaceDE w:val="0"/>
        <w:autoSpaceDN w:val="0"/>
        <w:adjustRightInd w:val="0"/>
        <w:spacing w:after="240" w:line="240" w:lineRule="auto"/>
        <w:ind w:left="1800" w:right="72" w:hanging="720"/>
        <w:jc w:val="both"/>
        <w:rPr>
          <w:rFonts w:eastAsia="Times New Roman" w:cs="Times New Roman"/>
          <w:color w:val="000000"/>
          <w:spacing w:val="1"/>
          <w:szCs w:val="24"/>
        </w:rPr>
      </w:pPr>
      <w:r w:rsidRPr="00EC4EC4">
        <w:rPr>
          <w:rFonts w:eastAsia="Times New Roman" w:cs="Times New Roman"/>
          <w:color w:val="000000"/>
          <w:spacing w:val="1"/>
          <w:szCs w:val="24"/>
        </w:rPr>
        <w:t xml:space="preserve">2. </w:t>
      </w:r>
      <w:r w:rsidRPr="00EC4EC4">
        <w:rPr>
          <w:rFonts w:eastAsia="Times New Roman" w:cs="Times New Roman"/>
          <w:color w:val="000000"/>
          <w:spacing w:val="1"/>
          <w:szCs w:val="24"/>
        </w:rPr>
        <w:tab/>
        <w:t>Toilet paper dispensers within such rooms shall comply with Section 604.7 (Dispensers) of ICC A117.1.</w:t>
      </w:r>
    </w:p>
    <w:p w14:paraId="0545114E" w14:textId="77777777" w:rsidR="00140B7C" w:rsidRPr="00EC4EC4" w:rsidRDefault="00140B7C" w:rsidP="00140B7C">
      <w:pPr>
        <w:autoSpaceDE w:val="0"/>
        <w:autoSpaceDN w:val="0"/>
        <w:adjustRightInd w:val="0"/>
        <w:spacing w:after="240" w:line="240" w:lineRule="auto"/>
        <w:ind w:left="1800" w:right="72" w:hanging="720"/>
        <w:jc w:val="both"/>
        <w:rPr>
          <w:rFonts w:eastAsia="Times New Roman" w:cs="Times New Roman"/>
          <w:color w:val="000000"/>
          <w:spacing w:val="1"/>
          <w:szCs w:val="24"/>
        </w:rPr>
      </w:pPr>
      <w:r w:rsidRPr="00EC4EC4">
        <w:rPr>
          <w:rFonts w:eastAsia="Times New Roman" w:cs="Times New Roman"/>
          <w:color w:val="000000"/>
          <w:spacing w:val="1"/>
          <w:szCs w:val="24"/>
        </w:rPr>
        <w:t xml:space="preserve">3. </w:t>
      </w:r>
      <w:r w:rsidRPr="00EC4EC4">
        <w:rPr>
          <w:rFonts w:eastAsia="Times New Roman" w:cs="Times New Roman"/>
          <w:color w:val="000000"/>
          <w:spacing w:val="1"/>
          <w:szCs w:val="24"/>
        </w:rPr>
        <w:tab/>
        <w:t>Medicine cabinets, if provided, must include a storage shelf no higher than 44 inches (1117.6 mm) above the floor.</w:t>
      </w:r>
    </w:p>
    <w:p w14:paraId="45B59263" w14:textId="08A0B456"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15</w:t>
      </w:r>
      <w:r w:rsidR="00E919CF">
        <w:rPr>
          <w:rFonts w:cs="Times New Roman"/>
          <w:sz w:val="23"/>
          <w:szCs w:val="23"/>
        </w:rPr>
        <w:t>8</w:t>
      </w:r>
      <w:r w:rsidRPr="00EC4EC4">
        <w:rPr>
          <w:rFonts w:cs="Times New Roman"/>
          <w:sz w:val="23"/>
          <w:szCs w:val="23"/>
        </w:rPr>
        <w:t>. Section 1107.2.6 of  the New York city building code, as amended by local law number 126 for the year 2021, is amended to read as follows:</w:t>
      </w:r>
    </w:p>
    <w:p w14:paraId="61BDAA84" w14:textId="77777777" w:rsidR="00140B7C" w:rsidRPr="00EC4EC4" w:rsidRDefault="00140B7C" w:rsidP="00140B7C">
      <w:pPr>
        <w:pStyle w:val="FlushLeftDouble"/>
        <w:ind w:left="0"/>
        <w:rPr>
          <w:color w:val="000000"/>
          <w:spacing w:val="-10"/>
          <w:w w:val="110"/>
          <w:szCs w:val="24"/>
        </w:rPr>
      </w:pPr>
      <w:r w:rsidRPr="00EC4EC4">
        <w:rPr>
          <w:b/>
          <w:color w:val="000000"/>
          <w:szCs w:val="24"/>
        </w:rPr>
        <w:t>1107.2.6 Type B+NYC unit raised or sunken floor area.</w:t>
      </w:r>
      <w:r w:rsidRPr="00EC4EC4">
        <w:rPr>
          <w:b/>
          <w:bCs/>
          <w:color w:val="000000"/>
          <w:spacing w:val="-1"/>
          <w:w w:val="110"/>
          <w:szCs w:val="24"/>
        </w:rPr>
        <w:t xml:space="preserve"> </w:t>
      </w:r>
      <w:r w:rsidRPr="00EC4EC4">
        <w:rPr>
          <w:color w:val="000000"/>
          <w:spacing w:val="1"/>
          <w:szCs w:val="24"/>
        </w:rPr>
        <w:t>Where a raised or sunken floor area in a portion of a living, dining, or sleeping room within a Type B+NYC dwelling unit or sleeping unit that is permitted by Section 1004.3 (Accessible [</w:t>
      </w:r>
      <w:r w:rsidRPr="00EC4EC4">
        <w:rPr>
          <w:strike/>
          <w:color w:val="000000"/>
          <w:spacing w:val="1"/>
          <w:szCs w:val="24"/>
        </w:rPr>
        <w:t>route</w:t>
      </w:r>
      <w:r w:rsidRPr="00EC4EC4">
        <w:rPr>
          <w:color w:val="000000"/>
          <w:spacing w:val="1"/>
          <w:szCs w:val="24"/>
        </w:rPr>
        <w:t>]</w:t>
      </w:r>
      <w:r w:rsidRPr="00EC4EC4">
        <w:rPr>
          <w:color w:val="000000"/>
          <w:spacing w:val="1"/>
          <w:szCs w:val="24"/>
          <w:u w:val="single"/>
        </w:rPr>
        <w:t>Route</w:t>
      </w:r>
      <w:r w:rsidRPr="00EC4EC4">
        <w:rPr>
          <w:color w:val="000000"/>
          <w:spacing w:val="1"/>
          <w:szCs w:val="24"/>
        </w:rPr>
        <w:t>, Exception 1 and 2) of ICC A117.1 is provided, steps complying with Section 504 (Stairways) of ICC A117.1 with a minimum clear width of 36 inches (914.4 mm) shall connect such portion of raised or sunken floor area to an accessible route. In addition, a minimum area of 80 square feet (7.4 m</w:t>
      </w:r>
      <w:r w:rsidRPr="00EC4EC4">
        <w:rPr>
          <w:color w:val="000000"/>
          <w:spacing w:val="1"/>
          <w:szCs w:val="24"/>
          <w:vertAlign w:val="superscript"/>
        </w:rPr>
        <w:t>2</w:t>
      </w:r>
      <w:r w:rsidRPr="00EC4EC4">
        <w:rPr>
          <w:color w:val="000000"/>
          <w:spacing w:val="1"/>
          <w:szCs w:val="24"/>
        </w:rPr>
        <w:t>), and 8 feet (2438.4 mm) in one dimension, of each of such living, dining, or sleeping room shall be connected by an accessible route that is in compliance with Section 1004.3.2 (Components) of ICC A117.1.</w:t>
      </w:r>
    </w:p>
    <w:p w14:paraId="44437FE4" w14:textId="745C5272" w:rsidR="00140B7C" w:rsidRPr="00EC4EC4" w:rsidRDefault="00140B7C" w:rsidP="00140B7C">
      <w:pPr>
        <w:kinsoku w:val="0"/>
        <w:spacing w:after="240" w:line="240" w:lineRule="auto"/>
        <w:ind w:firstLine="720"/>
        <w:jc w:val="both"/>
        <w:rPr>
          <w:rFonts w:eastAsia="Times New Roman" w:cs="Times New Roman"/>
          <w:b/>
          <w:bCs/>
          <w:szCs w:val="24"/>
        </w:rPr>
      </w:pPr>
      <w:bookmarkStart w:id="118" w:name="_Hlk115261853"/>
      <w:r w:rsidRPr="00EC4EC4">
        <w:rPr>
          <w:rFonts w:cs="Times New Roman"/>
          <w:sz w:val="23"/>
          <w:szCs w:val="23"/>
        </w:rPr>
        <w:t>§</w:t>
      </w:r>
      <w:r>
        <w:rPr>
          <w:rFonts w:cs="Times New Roman"/>
          <w:sz w:val="23"/>
          <w:szCs w:val="23"/>
        </w:rPr>
        <w:t>15</w:t>
      </w:r>
      <w:r w:rsidR="00E919CF">
        <w:rPr>
          <w:rFonts w:cs="Times New Roman"/>
          <w:sz w:val="23"/>
          <w:szCs w:val="23"/>
        </w:rPr>
        <w:t>9</w:t>
      </w:r>
      <w:r w:rsidRPr="00EC4EC4">
        <w:rPr>
          <w:rFonts w:cs="Times New Roman"/>
          <w:sz w:val="23"/>
          <w:szCs w:val="23"/>
        </w:rPr>
        <w:t>. Section 1109.7.2.2.1.1 of  the New York city building code, as added by local law number 126 for the year 2021, is amended to read as follows:</w:t>
      </w:r>
    </w:p>
    <w:bookmarkEnd w:id="118"/>
    <w:p w14:paraId="6C8E23EB" w14:textId="77777777" w:rsidR="00140B7C" w:rsidRPr="00EC4EC4" w:rsidRDefault="00140B7C" w:rsidP="00140B7C">
      <w:pPr>
        <w:widowControl w:val="0"/>
        <w:autoSpaceDE w:val="0"/>
        <w:autoSpaceDN w:val="0"/>
        <w:adjustRightInd w:val="0"/>
        <w:spacing w:before="130" w:after="130" w:line="240" w:lineRule="auto"/>
        <w:jc w:val="both"/>
        <w:rPr>
          <w:rFonts w:eastAsia="Times New Roman" w:cs="Times New Roman"/>
          <w:color w:val="000000"/>
          <w:szCs w:val="24"/>
        </w:rPr>
      </w:pPr>
      <w:r w:rsidRPr="00EC4EC4">
        <w:rPr>
          <w:rFonts w:eastAsia="Times New Roman" w:cs="Times New Roman"/>
          <w:b/>
          <w:color w:val="000000"/>
          <w:szCs w:val="24"/>
        </w:rPr>
        <w:t>1109.7.2.2.1.1 Upon [</w:t>
      </w:r>
      <w:r w:rsidRPr="00EC4EC4">
        <w:rPr>
          <w:rFonts w:eastAsia="Times New Roman" w:cs="Times New Roman"/>
          <w:b/>
          <w:strike/>
          <w:color w:val="000000"/>
          <w:szCs w:val="24"/>
        </w:rPr>
        <w:t>Activation</w:t>
      </w:r>
      <w:r w:rsidRPr="00EC4EC4">
        <w:rPr>
          <w:rFonts w:eastAsia="Times New Roman" w:cs="Times New Roman"/>
          <w:b/>
          <w:color w:val="000000"/>
          <w:szCs w:val="24"/>
        </w:rPr>
        <w:t>]</w:t>
      </w:r>
      <w:r w:rsidRPr="00EC4EC4">
        <w:rPr>
          <w:rFonts w:eastAsia="Times New Roman" w:cs="Times New Roman"/>
          <w:b/>
          <w:color w:val="000000"/>
          <w:szCs w:val="24"/>
          <w:u w:val="single"/>
        </w:rPr>
        <w:t>activation</w:t>
      </w:r>
      <w:r w:rsidRPr="00EC4EC4">
        <w:rPr>
          <w:rFonts w:eastAsia="Times New Roman" w:cs="Times New Roman"/>
          <w:b/>
          <w:color w:val="000000"/>
          <w:szCs w:val="24"/>
        </w:rPr>
        <w:t xml:space="preserve">.  </w:t>
      </w:r>
      <w:r w:rsidRPr="00EC4EC4">
        <w:rPr>
          <w:rFonts w:eastAsia="Times New Roman" w:cs="Times New Roman"/>
          <w:color w:val="000000"/>
          <w:szCs w:val="24"/>
        </w:rPr>
        <w:t>The accessibility function button shall be programed to activate the audio output required by Section 1109.7.2.2.2.</w:t>
      </w:r>
    </w:p>
    <w:p w14:paraId="2404E343" w14:textId="2DBB2773" w:rsidR="00140B7C" w:rsidRPr="00EC4EC4" w:rsidRDefault="00140B7C" w:rsidP="00140B7C">
      <w:pPr>
        <w:kinsoku w:val="0"/>
        <w:spacing w:after="240" w:line="240" w:lineRule="auto"/>
        <w:ind w:firstLine="720"/>
        <w:jc w:val="both"/>
        <w:rPr>
          <w:rFonts w:eastAsia="Times New Roman" w:cs="Times New Roman"/>
          <w:b/>
          <w:bCs/>
          <w:szCs w:val="24"/>
        </w:rPr>
      </w:pPr>
      <w:bookmarkStart w:id="119" w:name="_Hlk2010168"/>
      <w:r w:rsidRPr="00EC4EC4">
        <w:rPr>
          <w:rFonts w:cs="Times New Roman"/>
          <w:sz w:val="23"/>
          <w:szCs w:val="23"/>
        </w:rPr>
        <w:t>§</w:t>
      </w:r>
      <w:r>
        <w:rPr>
          <w:rFonts w:cs="Times New Roman"/>
          <w:sz w:val="23"/>
          <w:szCs w:val="23"/>
        </w:rPr>
        <w:t>1</w:t>
      </w:r>
      <w:r w:rsidR="00E919CF">
        <w:rPr>
          <w:rFonts w:cs="Times New Roman"/>
          <w:sz w:val="23"/>
          <w:szCs w:val="23"/>
        </w:rPr>
        <w:t>60</w:t>
      </w:r>
      <w:r w:rsidRPr="00EC4EC4">
        <w:rPr>
          <w:rFonts w:cs="Times New Roman"/>
          <w:sz w:val="23"/>
          <w:szCs w:val="23"/>
        </w:rPr>
        <w:t>. Section 1109.11.2.1 of  the New York city building code, as added by local law number 126 for the year 2021, is amended to read as follows:</w:t>
      </w:r>
    </w:p>
    <w:p w14:paraId="6A8F429A" w14:textId="77777777" w:rsidR="00140B7C" w:rsidRPr="00EC4EC4" w:rsidRDefault="00140B7C" w:rsidP="00140B7C">
      <w:pPr>
        <w:autoSpaceDE w:val="0"/>
        <w:autoSpaceDN w:val="0"/>
        <w:adjustRightInd w:val="0"/>
        <w:spacing w:before="130" w:after="130" w:line="240" w:lineRule="auto"/>
        <w:jc w:val="both"/>
        <w:rPr>
          <w:rFonts w:eastAsia="Times New Roman" w:cs="Times New Roman"/>
          <w:szCs w:val="24"/>
        </w:rPr>
      </w:pPr>
      <w:bookmarkStart w:id="120" w:name="_Toc389736162"/>
      <w:bookmarkStart w:id="121" w:name="_Toc389744724"/>
      <w:bookmarkEnd w:id="119"/>
      <w:r w:rsidRPr="00EC4EC4">
        <w:rPr>
          <w:rFonts w:eastAsia="Times New Roman" w:cs="Times New Roman"/>
          <w:b/>
          <w:bCs/>
          <w:iCs/>
          <w:szCs w:val="24"/>
        </w:rPr>
        <w:t xml:space="preserve">1109.11.2.1 Cubicles and counters. </w:t>
      </w:r>
      <w:r w:rsidRPr="00EC4EC4">
        <w:rPr>
          <w:rFonts w:eastAsia="Times New Roman" w:cs="Times New Roman"/>
          <w:szCs w:val="24"/>
        </w:rPr>
        <w:t xml:space="preserve">At least 5 percent, but not less than one of the cubicles, shall be </w:t>
      </w:r>
      <w:r w:rsidRPr="00EC4EC4">
        <w:rPr>
          <w:rFonts w:eastAsia="Times New Roman" w:cs="Times New Roman"/>
          <w:iCs/>
          <w:szCs w:val="24"/>
        </w:rPr>
        <w:t>accessible</w:t>
      </w:r>
      <w:r w:rsidRPr="00EC4EC4">
        <w:rPr>
          <w:rFonts w:eastAsia="Times New Roman" w:cs="Times New Roman"/>
          <w:szCs w:val="24"/>
        </w:rPr>
        <w:t xml:space="preserve"> on both the visitor and detainee sides. Where counters are provided, at least one shall be </w:t>
      </w:r>
      <w:r w:rsidRPr="00EC4EC4">
        <w:rPr>
          <w:rFonts w:eastAsia="Times New Roman" w:cs="Times New Roman"/>
          <w:iCs/>
          <w:szCs w:val="24"/>
        </w:rPr>
        <w:t>accessible</w:t>
      </w:r>
      <w:r w:rsidRPr="00EC4EC4">
        <w:rPr>
          <w:rFonts w:eastAsia="Times New Roman" w:cs="Times New Roman"/>
          <w:szCs w:val="24"/>
        </w:rPr>
        <w:t xml:space="preserve"> on both the visitor and detainee sides.</w:t>
      </w:r>
    </w:p>
    <w:bookmarkEnd w:id="120"/>
    <w:bookmarkEnd w:id="121"/>
    <w:p w14:paraId="14FAEFCE" w14:textId="77777777" w:rsidR="00140B7C" w:rsidRPr="00EC4EC4" w:rsidRDefault="00140B7C" w:rsidP="00140B7C">
      <w:pPr>
        <w:autoSpaceDE w:val="0"/>
        <w:autoSpaceDN w:val="0"/>
        <w:adjustRightInd w:val="0"/>
        <w:spacing w:before="130" w:after="130" w:line="240" w:lineRule="auto"/>
        <w:ind w:left="720"/>
        <w:jc w:val="both"/>
        <w:rPr>
          <w:rFonts w:eastAsia="Times New Roman" w:cs="Times New Roman"/>
          <w:szCs w:val="24"/>
        </w:rPr>
      </w:pPr>
      <w:r w:rsidRPr="00EC4EC4">
        <w:rPr>
          <w:rFonts w:eastAsia="Times New Roman" w:cs="Times New Roman"/>
          <w:b/>
          <w:szCs w:val="24"/>
        </w:rPr>
        <w:t>Exception:</w:t>
      </w:r>
      <w:r w:rsidRPr="00EC4EC4">
        <w:rPr>
          <w:rFonts w:eastAsia="Times New Roman" w:cs="Times New Roman"/>
          <w:szCs w:val="24"/>
        </w:rPr>
        <w:t xml:space="preserve"> This requirement shall not apply to the detainee side of cubicles or counters at noncontact visiting areas not serving [</w:t>
      </w:r>
      <w:r w:rsidRPr="00EC4EC4">
        <w:rPr>
          <w:rFonts w:eastAsia="Times New Roman" w:cs="Times New Roman"/>
          <w:strike/>
          <w:szCs w:val="24"/>
        </w:rPr>
        <w:t>Accessible</w:t>
      </w:r>
      <w:r w:rsidRPr="00EC4EC4">
        <w:rPr>
          <w:rFonts w:eastAsia="Times New Roman" w:cs="Times New Roman"/>
          <w:szCs w:val="24"/>
        </w:rPr>
        <w:t>]</w:t>
      </w:r>
      <w:r w:rsidRPr="00EC4EC4">
        <w:rPr>
          <w:rFonts w:eastAsia="Times New Roman" w:cs="Times New Roman"/>
          <w:szCs w:val="24"/>
          <w:u w:val="single"/>
        </w:rPr>
        <w:t>accessible</w:t>
      </w:r>
      <w:r w:rsidRPr="00EC4EC4">
        <w:rPr>
          <w:rFonts w:eastAsia="Times New Roman" w:cs="Times New Roman"/>
          <w:szCs w:val="24"/>
        </w:rPr>
        <w:t xml:space="preserve"> unit holding cells.</w:t>
      </w:r>
    </w:p>
    <w:p w14:paraId="79CE6DDA" w14:textId="456B19DB" w:rsidR="00140B7C" w:rsidRPr="00EC4EC4" w:rsidRDefault="00140B7C" w:rsidP="00140B7C">
      <w:pPr>
        <w:kinsoku w:val="0"/>
        <w:spacing w:after="240" w:line="240" w:lineRule="auto"/>
        <w:ind w:firstLine="720"/>
        <w:jc w:val="both"/>
        <w:rPr>
          <w:rFonts w:eastAsia="Times New Roman" w:cs="Times New Roman"/>
          <w:b/>
          <w:bCs/>
          <w:szCs w:val="24"/>
        </w:rPr>
      </w:pPr>
      <w:bookmarkStart w:id="122" w:name="_Toc389736163"/>
      <w:bookmarkStart w:id="123" w:name="_Toc389744725"/>
      <w:r w:rsidRPr="00EC4EC4">
        <w:rPr>
          <w:rFonts w:cs="Times New Roman"/>
          <w:sz w:val="23"/>
          <w:szCs w:val="23"/>
        </w:rPr>
        <w:t>§</w:t>
      </w:r>
      <w:r>
        <w:rPr>
          <w:rFonts w:cs="Times New Roman"/>
          <w:sz w:val="23"/>
          <w:szCs w:val="23"/>
        </w:rPr>
        <w:t>1</w:t>
      </w:r>
      <w:r w:rsidR="00E919CF">
        <w:rPr>
          <w:rFonts w:cs="Times New Roman"/>
          <w:sz w:val="23"/>
          <w:szCs w:val="23"/>
        </w:rPr>
        <w:t>61</w:t>
      </w:r>
      <w:r w:rsidRPr="00EC4EC4">
        <w:rPr>
          <w:rFonts w:cs="Times New Roman"/>
          <w:sz w:val="23"/>
          <w:szCs w:val="23"/>
        </w:rPr>
        <w:t>. Section 111</w:t>
      </w:r>
      <w:r>
        <w:rPr>
          <w:rFonts w:cs="Times New Roman"/>
          <w:sz w:val="23"/>
          <w:szCs w:val="23"/>
        </w:rPr>
        <w:t>1</w:t>
      </w:r>
      <w:r w:rsidRPr="00EC4EC4">
        <w:rPr>
          <w:rFonts w:cs="Times New Roman"/>
          <w:sz w:val="23"/>
          <w:szCs w:val="23"/>
        </w:rPr>
        <w:t>.1 of  the New York city building code, as renumbered and amended by local law number 126 for the year 2021, is amended to read as follows:</w:t>
      </w:r>
    </w:p>
    <w:p w14:paraId="7F5930FD" w14:textId="77777777" w:rsidR="00140B7C" w:rsidRPr="00EC4EC4" w:rsidRDefault="00140B7C" w:rsidP="00140B7C">
      <w:pPr>
        <w:pStyle w:val="FlushLeft"/>
        <w:rPr>
          <w:b/>
          <w:bCs/>
          <w:color w:val="000000"/>
          <w:szCs w:val="24"/>
        </w:rPr>
      </w:pPr>
      <w:bookmarkStart w:id="124" w:name="_Toc389736209"/>
      <w:bookmarkStart w:id="125" w:name="_Toc389744771"/>
      <w:bookmarkEnd w:id="122"/>
      <w:bookmarkEnd w:id="123"/>
      <w:r w:rsidRPr="00EC4EC4">
        <w:rPr>
          <w:b/>
          <w:bCs/>
          <w:color w:val="000000"/>
          <w:szCs w:val="24"/>
        </w:rPr>
        <w:lastRenderedPageBreak/>
        <w:t>1111.1 Signs.</w:t>
      </w:r>
      <w:bookmarkEnd w:id="124"/>
      <w:bookmarkEnd w:id="125"/>
      <w:r w:rsidRPr="00EC4EC4">
        <w:rPr>
          <w:b/>
          <w:bCs/>
          <w:color w:val="000000"/>
          <w:spacing w:val="-1"/>
          <w:w w:val="110"/>
          <w:szCs w:val="24"/>
        </w:rPr>
        <w:t xml:space="preserve"> </w:t>
      </w:r>
      <w:r w:rsidRPr="00EC4EC4">
        <w:rPr>
          <w:szCs w:val="24"/>
        </w:rPr>
        <w:t xml:space="preserve">Required accessible elements shall be identified by the dynamic accessibility symbol, </w:t>
      </w:r>
      <w:r w:rsidRPr="00EC4EC4">
        <w:rPr>
          <w:color w:val="000000"/>
          <w:szCs w:val="24"/>
        </w:rPr>
        <w:t>in accordance with</w:t>
      </w:r>
      <w:r w:rsidRPr="00EC4EC4">
        <w:rPr>
          <w:szCs w:val="24"/>
        </w:rPr>
        <w:t xml:space="preserve"> Figure 1111.1, at the following locations</w:t>
      </w:r>
      <w:r w:rsidRPr="00EC4EC4">
        <w:rPr>
          <w:bCs/>
          <w:color w:val="000000"/>
          <w:szCs w:val="24"/>
        </w:rPr>
        <w:t>.</w:t>
      </w:r>
    </w:p>
    <w:p w14:paraId="1BB95039" w14:textId="77777777" w:rsidR="00140B7C" w:rsidRPr="00EC4EC4" w:rsidRDefault="00140B7C" w:rsidP="00140B7C">
      <w:pPr>
        <w:tabs>
          <w:tab w:val="left" w:pos="-2700"/>
        </w:tabs>
        <w:autoSpaceDE w:val="0"/>
        <w:autoSpaceDN w:val="0"/>
        <w:adjustRightInd w:val="0"/>
        <w:spacing w:after="240" w:line="240" w:lineRule="auto"/>
        <w:ind w:left="720" w:hanging="360"/>
        <w:rPr>
          <w:rFonts w:eastAsia="Times New Roman" w:cs="Times New Roman"/>
          <w:color w:val="000000"/>
          <w:szCs w:val="24"/>
        </w:rPr>
      </w:pPr>
      <w:r w:rsidRPr="00EC4EC4">
        <w:rPr>
          <w:rFonts w:eastAsia="Times New Roman" w:cs="Times New Roman"/>
          <w:color w:val="000000"/>
          <w:szCs w:val="24"/>
        </w:rPr>
        <w:t>1.</w:t>
      </w:r>
      <w:r w:rsidRPr="00EC4EC4">
        <w:rPr>
          <w:rFonts w:eastAsia="Times New Roman" w:cs="Times New Roman"/>
          <w:spacing w:val="1"/>
          <w:szCs w:val="24"/>
        </w:rPr>
        <w:tab/>
      </w:r>
      <w:r w:rsidRPr="00EC4EC4">
        <w:rPr>
          <w:rFonts w:eastAsia="Times New Roman" w:cs="Times New Roman"/>
          <w:color w:val="000000"/>
          <w:szCs w:val="24"/>
        </w:rPr>
        <w:t>Accessible parking spaces required by Section 1106.1.</w:t>
      </w:r>
    </w:p>
    <w:p w14:paraId="2F476D5B"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color w:val="000000"/>
          <w:szCs w:val="24"/>
        </w:rPr>
      </w:pPr>
      <w:r w:rsidRPr="00EC4EC4">
        <w:rPr>
          <w:rFonts w:eastAsia="Times New Roman" w:cs="Times New Roman"/>
          <w:b/>
          <w:bCs/>
          <w:color w:val="000000"/>
          <w:szCs w:val="24"/>
        </w:rPr>
        <w:t>Exception:</w:t>
      </w:r>
      <w:r w:rsidRPr="00EC4EC4">
        <w:rPr>
          <w:rFonts w:eastAsia="Times New Roman" w:cs="Times New Roman"/>
          <w:bCs/>
          <w:color w:val="000000"/>
          <w:szCs w:val="24"/>
        </w:rPr>
        <w:t xml:space="preserve"> </w:t>
      </w:r>
      <w:r w:rsidRPr="00EC4EC4">
        <w:rPr>
          <w:rFonts w:eastAsia="Times New Roman" w:cs="Times New Roman"/>
          <w:color w:val="000000"/>
          <w:szCs w:val="24"/>
        </w:rPr>
        <w:t>Where the total number of parking spaces provided is</w:t>
      </w:r>
      <w:r w:rsidRPr="00EC4EC4">
        <w:rPr>
          <w:rFonts w:eastAsia="Times New Roman" w:cs="Times New Roman"/>
          <w:color w:val="000000"/>
          <w:spacing w:val="1"/>
          <w:szCs w:val="24"/>
        </w:rPr>
        <w:t xml:space="preserve"> one</w:t>
      </w:r>
      <w:r w:rsidRPr="00EC4EC4">
        <w:rPr>
          <w:rFonts w:eastAsia="Times New Roman" w:cs="Times New Roman"/>
          <w:color w:val="000000"/>
          <w:szCs w:val="24"/>
        </w:rPr>
        <w:t xml:space="preserve">, identification of the </w:t>
      </w:r>
      <w:r w:rsidRPr="00EC4EC4">
        <w:rPr>
          <w:rFonts w:eastAsia="Times New Roman" w:cs="Times New Roman"/>
          <w:iCs/>
          <w:color w:val="000000"/>
          <w:szCs w:val="24"/>
        </w:rPr>
        <w:t>accessible</w:t>
      </w:r>
      <w:r w:rsidRPr="00EC4EC4">
        <w:rPr>
          <w:rFonts w:eastAsia="Times New Roman" w:cs="Times New Roman"/>
          <w:color w:val="000000"/>
          <w:szCs w:val="24"/>
        </w:rPr>
        <w:t xml:space="preserve"> parking space is not required.</w:t>
      </w:r>
    </w:p>
    <w:p w14:paraId="623AFCF2" w14:textId="77777777" w:rsidR="00140B7C" w:rsidRPr="00EC4EC4" w:rsidRDefault="00140B7C" w:rsidP="00140B7C">
      <w:pPr>
        <w:tabs>
          <w:tab w:val="left" w:pos="-2700"/>
        </w:tabs>
        <w:autoSpaceDE w:val="0"/>
        <w:autoSpaceDN w:val="0"/>
        <w:adjustRightInd w:val="0"/>
        <w:spacing w:after="240" w:line="240" w:lineRule="auto"/>
        <w:ind w:left="720" w:hanging="360"/>
        <w:rPr>
          <w:rFonts w:eastAsia="Times New Roman" w:cs="Times New Roman"/>
          <w:color w:val="000000"/>
          <w:szCs w:val="24"/>
        </w:rPr>
      </w:pPr>
      <w:r w:rsidRPr="00EC4EC4">
        <w:rPr>
          <w:rFonts w:eastAsia="Times New Roman" w:cs="Times New Roman"/>
          <w:color w:val="000000"/>
          <w:szCs w:val="24"/>
        </w:rPr>
        <w:t>2.</w:t>
      </w:r>
      <w:r w:rsidRPr="00EC4EC4">
        <w:rPr>
          <w:rFonts w:eastAsia="Times New Roman" w:cs="Times New Roman"/>
          <w:color w:val="000000"/>
          <w:szCs w:val="24"/>
        </w:rPr>
        <w:tab/>
        <w:t>Accessible parking spaces required by Section 1106.2.</w:t>
      </w:r>
    </w:p>
    <w:p w14:paraId="0C06B54C" w14:textId="77777777" w:rsidR="00140B7C" w:rsidRPr="00EC4EC4" w:rsidRDefault="00140B7C" w:rsidP="00140B7C">
      <w:pPr>
        <w:tabs>
          <w:tab w:val="left" w:pos="-2700"/>
        </w:tabs>
        <w:autoSpaceDE w:val="0"/>
        <w:autoSpaceDN w:val="0"/>
        <w:adjustRightInd w:val="0"/>
        <w:spacing w:after="240" w:line="240" w:lineRule="auto"/>
        <w:ind w:left="720"/>
        <w:jc w:val="both"/>
        <w:rPr>
          <w:rFonts w:eastAsia="Times New Roman" w:cs="Times New Roman"/>
          <w:color w:val="000000"/>
          <w:szCs w:val="24"/>
        </w:rPr>
      </w:pPr>
      <w:r w:rsidRPr="00EC4EC4">
        <w:rPr>
          <w:rFonts w:eastAsia="Times New Roman" w:cs="Times New Roman"/>
          <w:b/>
          <w:color w:val="000000"/>
          <w:szCs w:val="24"/>
        </w:rPr>
        <w:t>Exception:</w:t>
      </w:r>
      <w:r w:rsidRPr="00EC4EC4">
        <w:rPr>
          <w:rFonts w:eastAsia="Times New Roman" w:cs="Times New Roman"/>
          <w:color w:val="000000"/>
          <w:szCs w:val="24"/>
        </w:rPr>
        <w:t xml:space="preserve"> In Group I-1, R-2 and R-3 occupancies, where parking spaces are assigned to specific dwelling units or sleeping units, identification of accessible parking spaces is not required.</w:t>
      </w:r>
    </w:p>
    <w:p w14:paraId="7865CEDE" w14:textId="77777777" w:rsidR="00140B7C" w:rsidRPr="00EC4EC4" w:rsidRDefault="00140B7C" w:rsidP="00140B7C">
      <w:pPr>
        <w:tabs>
          <w:tab w:val="left" w:pos="-2700"/>
        </w:tabs>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3.</w:t>
      </w:r>
      <w:r w:rsidRPr="00EC4EC4">
        <w:rPr>
          <w:rFonts w:eastAsia="Times New Roman" w:cs="Times New Roman"/>
          <w:color w:val="000000"/>
          <w:szCs w:val="24"/>
        </w:rPr>
        <w:tab/>
        <w:t>Accessible passenger loading zones.</w:t>
      </w:r>
    </w:p>
    <w:p w14:paraId="74BE0591" w14:textId="77777777" w:rsidR="00140B7C" w:rsidRPr="00EC4EC4" w:rsidRDefault="00140B7C" w:rsidP="00140B7C">
      <w:pPr>
        <w:widowControl w:val="0"/>
        <w:autoSpaceDE w:val="0"/>
        <w:autoSpaceDN w:val="0"/>
        <w:adjustRightInd w:val="0"/>
        <w:spacing w:after="240" w:line="240" w:lineRule="auto"/>
        <w:ind w:left="720" w:hanging="360"/>
        <w:jc w:val="both"/>
        <w:rPr>
          <w:rFonts w:eastAsia="Times New Roman" w:cs="Times New Roman"/>
          <w:color w:val="000000"/>
          <w:spacing w:val="1"/>
          <w:szCs w:val="24"/>
        </w:rPr>
      </w:pPr>
      <w:r w:rsidRPr="00EC4EC4">
        <w:rPr>
          <w:rFonts w:eastAsia="Times New Roman" w:cs="Times New Roman"/>
          <w:color w:val="000000"/>
          <w:spacing w:val="1"/>
          <w:szCs w:val="24"/>
        </w:rPr>
        <w:t>4.    Accessible rooms where multiple single-occupant toilet rooms or bathing rooms are clustered at a single location pursuant to Section 1109.2, Exception 3.Where multiple single user portable toilet or bathing units are clustered at a single location pursuant to Section 1109.2, Exception 8.</w:t>
      </w:r>
    </w:p>
    <w:p w14:paraId="38E893AC" w14:textId="77777777" w:rsidR="00140B7C" w:rsidRPr="00EC4EC4" w:rsidRDefault="00140B7C" w:rsidP="00140B7C">
      <w:pPr>
        <w:widowControl w:val="0"/>
        <w:autoSpaceDE w:val="0"/>
        <w:autoSpaceDN w:val="0"/>
        <w:adjustRightInd w:val="0"/>
        <w:spacing w:after="240" w:line="240" w:lineRule="auto"/>
        <w:ind w:left="900" w:hanging="540"/>
        <w:jc w:val="both"/>
        <w:rPr>
          <w:rFonts w:eastAsia="Times New Roman" w:cs="Times New Roman"/>
          <w:color w:val="000000"/>
          <w:spacing w:val="1"/>
          <w:szCs w:val="24"/>
        </w:rPr>
      </w:pPr>
      <w:r w:rsidRPr="00EC4EC4">
        <w:rPr>
          <w:rFonts w:eastAsia="Times New Roman" w:cs="Times New Roman"/>
          <w:color w:val="000000"/>
          <w:spacing w:val="1"/>
          <w:szCs w:val="24"/>
        </w:rPr>
        <w:t>5.</w:t>
      </w:r>
      <w:r w:rsidRPr="00EC4EC4">
        <w:rPr>
          <w:rFonts w:eastAsia="Times New Roman" w:cs="Times New Roman"/>
          <w:color w:val="000000"/>
          <w:spacing w:val="1"/>
          <w:szCs w:val="24"/>
        </w:rPr>
        <w:tab/>
        <w:t>Accessible entrances where not all entrances are accessible. The sign, where provided, shall include a contact telephone number or instructions to gain access if an otherwise accessible building entrance is locked at all times or locked when the building is otherwise open.</w:t>
      </w:r>
    </w:p>
    <w:p w14:paraId="4D75FB09" w14:textId="77777777" w:rsidR="00140B7C" w:rsidRPr="00EC4EC4" w:rsidRDefault="00140B7C" w:rsidP="00140B7C">
      <w:pPr>
        <w:widowControl w:val="0"/>
        <w:autoSpaceDE w:val="0"/>
        <w:autoSpaceDN w:val="0"/>
        <w:adjustRightInd w:val="0"/>
        <w:spacing w:after="240" w:line="240" w:lineRule="auto"/>
        <w:ind w:left="720" w:hanging="360"/>
        <w:jc w:val="both"/>
        <w:rPr>
          <w:rFonts w:eastAsia="Times New Roman" w:cs="Times New Roman"/>
          <w:color w:val="000000"/>
          <w:spacing w:val="1"/>
          <w:szCs w:val="24"/>
        </w:rPr>
      </w:pPr>
      <w:r w:rsidRPr="00EC4EC4">
        <w:rPr>
          <w:rFonts w:eastAsia="Times New Roman" w:cs="Times New Roman"/>
          <w:color w:val="000000"/>
          <w:spacing w:val="1"/>
          <w:szCs w:val="24"/>
        </w:rPr>
        <w:t>6.</w:t>
      </w:r>
      <w:r w:rsidRPr="00EC4EC4">
        <w:rPr>
          <w:rFonts w:eastAsia="Times New Roman" w:cs="Times New Roman"/>
          <w:color w:val="000000"/>
          <w:spacing w:val="1"/>
          <w:szCs w:val="24"/>
        </w:rPr>
        <w:tab/>
        <w:t>Accessible check-out aisles where not all aisles are accessible. The sign, where provided, shall be above the check-out aisle in the same location as the check-out aisle number or type of check-out identification.</w:t>
      </w:r>
    </w:p>
    <w:p w14:paraId="422C6209" w14:textId="77777777" w:rsidR="00140B7C" w:rsidRPr="00EC4EC4" w:rsidRDefault="00140B7C" w:rsidP="00140B7C">
      <w:pPr>
        <w:widowControl w:val="0"/>
        <w:autoSpaceDE w:val="0"/>
        <w:autoSpaceDN w:val="0"/>
        <w:adjustRightInd w:val="0"/>
        <w:spacing w:after="240" w:line="240" w:lineRule="auto"/>
        <w:ind w:left="900" w:hanging="540"/>
        <w:jc w:val="both"/>
        <w:rPr>
          <w:rFonts w:eastAsia="Times New Roman" w:cs="Times New Roman"/>
          <w:color w:val="000000"/>
          <w:spacing w:val="1"/>
          <w:szCs w:val="24"/>
        </w:rPr>
      </w:pPr>
      <w:r w:rsidRPr="00EC4EC4">
        <w:rPr>
          <w:rFonts w:eastAsia="Times New Roman" w:cs="Times New Roman"/>
          <w:color w:val="000000"/>
          <w:spacing w:val="1"/>
          <w:szCs w:val="24"/>
        </w:rPr>
        <w:t>7.   Family or assisted-use toilet and bathing rooms.</w:t>
      </w:r>
    </w:p>
    <w:p w14:paraId="3BB9BDF9" w14:textId="77777777" w:rsidR="00140B7C" w:rsidRPr="00EC4EC4" w:rsidRDefault="00140B7C" w:rsidP="00140B7C">
      <w:pPr>
        <w:widowControl w:val="0"/>
        <w:autoSpaceDE w:val="0"/>
        <w:autoSpaceDN w:val="0"/>
        <w:adjustRightInd w:val="0"/>
        <w:spacing w:after="240" w:line="240" w:lineRule="auto"/>
        <w:ind w:left="900" w:hanging="540"/>
        <w:jc w:val="both"/>
        <w:rPr>
          <w:rFonts w:eastAsia="Times New Roman" w:cs="Times New Roman"/>
          <w:color w:val="000000"/>
          <w:spacing w:val="1"/>
          <w:szCs w:val="24"/>
        </w:rPr>
      </w:pPr>
      <w:r w:rsidRPr="00EC4EC4">
        <w:rPr>
          <w:rFonts w:eastAsia="Times New Roman" w:cs="Times New Roman"/>
          <w:color w:val="000000"/>
          <w:spacing w:val="1"/>
          <w:szCs w:val="24"/>
        </w:rPr>
        <w:t>8.   Accessible dressing, fitting and locker rooms where not all such rooms are accessible.</w:t>
      </w:r>
    </w:p>
    <w:p w14:paraId="5FB9D6F7" w14:textId="77777777" w:rsidR="00140B7C" w:rsidRPr="00EC4EC4" w:rsidRDefault="00140B7C" w:rsidP="00140B7C">
      <w:pPr>
        <w:widowControl w:val="0"/>
        <w:autoSpaceDE w:val="0"/>
        <w:autoSpaceDN w:val="0"/>
        <w:adjustRightInd w:val="0"/>
        <w:spacing w:after="240" w:line="240" w:lineRule="auto"/>
        <w:ind w:left="900" w:hanging="540"/>
        <w:jc w:val="both"/>
        <w:rPr>
          <w:rFonts w:eastAsia="Times New Roman" w:cs="Times New Roman"/>
          <w:color w:val="000000"/>
          <w:spacing w:val="1"/>
          <w:szCs w:val="24"/>
        </w:rPr>
      </w:pPr>
      <w:r w:rsidRPr="00EC4EC4">
        <w:rPr>
          <w:rFonts w:eastAsia="Times New Roman" w:cs="Times New Roman"/>
          <w:color w:val="000000"/>
          <w:spacing w:val="1"/>
          <w:szCs w:val="24"/>
        </w:rPr>
        <w:t>9.   Accessible areas of rescue assistance in accordance with Section 1009.9.</w:t>
      </w:r>
    </w:p>
    <w:p w14:paraId="7778B5F1" w14:textId="77777777" w:rsidR="00140B7C" w:rsidRPr="00EC4EC4" w:rsidRDefault="00140B7C" w:rsidP="00140B7C">
      <w:pPr>
        <w:widowControl w:val="0"/>
        <w:autoSpaceDE w:val="0"/>
        <w:autoSpaceDN w:val="0"/>
        <w:adjustRightInd w:val="0"/>
        <w:spacing w:after="240" w:line="240" w:lineRule="auto"/>
        <w:rPr>
          <w:rFonts w:eastAsia="Times New Roman" w:cs="Times New Roman"/>
          <w:color w:val="000000"/>
          <w:spacing w:val="1"/>
          <w:szCs w:val="24"/>
        </w:rPr>
      </w:pPr>
      <w:r w:rsidRPr="00EC4EC4">
        <w:rPr>
          <w:rFonts w:eastAsia="Times New Roman" w:cs="Times New Roman"/>
          <w:color w:val="000000"/>
          <w:spacing w:val="1"/>
          <w:szCs w:val="24"/>
        </w:rPr>
        <w:t xml:space="preserve">     10. Exterior areas for assisted rescue in accordance with Section 1009.9.</w:t>
      </w:r>
    </w:p>
    <w:p w14:paraId="6CE8D430" w14:textId="77777777" w:rsidR="00140B7C" w:rsidRPr="00EC4EC4" w:rsidRDefault="00140B7C" w:rsidP="00140B7C">
      <w:pPr>
        <w:widowControl w:val="0"/>
        <w:autoSpaceDE w:val="0"/>
        <w:autoSpaceDN w:val="0"/>
        <w:adjustRightInd w:val="0"/>
        <w:spacing w:after="240" w:line="240" w:lineRule="auto"/>
        <w:ind w:left="720" w:hanging="540"/>
        <w:rPr>
          <w:rFonts w:eastAsia="Times New Roman" w:cs="Times New Roman"/>
          <w:color w:val="000000"/>
          <w:spacing w:val="1"/>
          <w:szCs w:val="24"/>
        </w:rPr>
      </w:pPr>
      <w:r w:rsidRPr="00EC4EC4">
        <w:rPr>
          <w:rFonts w:eastAsia="Times New Roman" w:cs="Times New Roman"/>
          <w:color w:val="000000"/>
          <w:spacing w:val="1"/>
          <w:szCs w:val="24"/>
        </w:rPr>
        <w:t xml:space="preserve">  11.  In recreational facilities, lockers that are required to be </w:t>
      </w:r>
      <w:r w:rsidRPr="00EC4EC4">
        <w:rPr>
          <w:rFonts w:eastAsia="Times New Roman" w:cs="Times New Roman"/>
          <w:iCs/>
          <w:color w:val="000000"/>
          <w:spacing w:val="1"/>
          <w:szCs w:val="24"/>
        </w:rPr>
        <w:t>accessible</w:t>
      </w:r>
      <w:r w:rsidRPr="00EC4EC4">
        <w:rPr>
          <w:rFonts w:eastAsia="Times New Roman" w:cs="Times New Roman"/>
          <w:color w:val="000000"/>
          <w:spacing w:val="1"/>
          <w:szCs w:val="24"/>
        </w:rPr>
        <w:t xml:space="preserve"> in accordance with Section 1109.9.</w:t>
      </w:r>
    </w:p>
    <w:p w14:paraId="3B21162C" w14:textId="77777777" w:rsidR="00140B7C" w:rsidRPr="00EC4EC4" w:rsidRDefault="00140B7C" w:rsidP="00140B7C">
      <w:pPr>
        <w:widowControl w:val="0"/>
        <w:autoSpaceDE w:val="0"/>
        <w:autoSpaceDN w:val="0"/>
        <w:adjustRightInd w:val="0"/>
        <w:spacing w:after="240" w:line="240" w:lineRule="auto"/>
        <w:rPr>
          <w:rFonts w:eastAsia="Times New Roman" w:cs="Times New Roman"/>
          <w:color w:val="000000"/>
          <w:spacing w:val="1"/>
          <w:szCs w:val="24"/>
        </w:rPr>
      </w:pPr>
      <w:r w:rsidRPr="00EC4EC4">
        <w:rPr>
          <w:rFonts w:eastAsia="Times New Roman" w:cs="Times New Roman"/>
          <w:color w:val="000000"/>
          <w:spacing w:val="1"/>
          <w:szCs w:val="24"/>
        </w:rPr>
        <w:t xml:space="preserve">     12.</w:t>
      </w:r>
      <w:r w:rsidRPr="00EC4EC4">
        <w:rPr>
          <w:rFonts w:eastAsia="Times New Roman" w:cs="Times New Roman"/>
          <w:color w:val="000000"/>
          <w:spacing w:val="1"/>
          <w:szCs w:val="24"/>
        </w:rPr>
        <w:tab/>
        <w:t>Accessible seating.</w:t>
      </w:r>
    </w:p>
    <w:p w14:paraId="7F5C5CA3" w14:textId="77777777" w:rsidR="00140B7C" w:rsidRPr="00EC4EC4" w:rsidRDefault="00140B7C" w:rsidP="00140B7C">
      <w:pPr>
        <w:widowControl w:val="0"/>
        <w:autoSpaceDE w:val="0"/>
        <w:autoSpaceDN w:val="0"/>
        <w:adjustRightInd w:val="0"/>
        <w:spacing w:after="240" w:line="240" w:lineRule="auto"/>
        <w:rPr>
          <w:rFonts w:eastAsia="Times New Roman" w:cs="Times New Roman"/>
          <w:color w:val="000000"/>
          <w:spacing w:val="1"/>
          <w:szCs w:val="24"/>
        </w:rPr>
      </w:pPr>
      <w:r w:rsidRPr="00EC4EC4">
        <w:rPr>
          <w:rFonts w:eastAsia="Times New Roman" w:cs="Times New Roman"/>
          <w:color w:val="000000"/>
          <w:spacing w:val="1"/>
          <w:szCs w:val="24"/>
        </w:rPr>
        <w:t xml:space="preserve">     13.  Accessible portable toilets.</w:t>
      </w:r>
    </w:p>
    <w:p w14:paraId="155AE46F" w14:textId="77777777" w:rsidR="00140B7C" w:rsidRPr="00EC4EC4" w:rsidRDefault="00140B7C" w:rsidP="00140B7C">
      <w:pPr>
        <w:widowControl w:val="0"/>
        <w:autoSpaceDE w:val="0"/>
        <w:autoSpaceDN w:val="0"/>
        <w:adjustRightInd w:val="0"/>
        <w:spacing w:after="240" w:line="240" w:lineRule="auto"/>
        <w:rPr>
          <w:rFonts w:eastAsia="Times New Roman" w:cs="Times New Roman"/>
          <w:color w:val="000000"/>
          <w:spacing w:val="1"/>
          <w:szCs w:val="24"/>
        </w:rPr>
      </w:pPr>
      <w:r w:rsidRPr="00EC4EC4">
        <w:rPr>
          <w:rFonts w:eastAsia="Times New Roman" w:cs="Times New Roman"/>
          <w:color w:val="000000"/>
          <w:spacing w:val="1"/>
          <w:szCs w:val="24"/>
        </w:rPr>
        <w:t xml:space="preserve">     14.</w:t>
      </w:r>
      <w:r w:rsidRPr="00EC4EC4">
        <w:rPr>
          <w:rFonts w:eastAsia="Times New Roman" w:cs="Times New Roman"/>
          <w:color w:val="000000"/>
          <w:spacing w:val="1"/>
          <w:szCs w:val="24"/>
        </w:rPr>
        <w:tab/>
        <w:t>Public telephones.</w:t>
      </w:r>
    </w:p>
    <w:p w14:paraId="5AFA3CAE" w14:textId="77777777" w:rsidR="00140B7C" w:rsidRPr="00EC4EC4" w:rsidRDefault="00140B7C" w:rsidP="00140B7C">
      <w:pPr>
        <w:autoSpaceDE w:val="0"/>
        <w:autoSpaceDN w:val="0"/>
        <w:adjustRightInd w:val="0"/>
        <w:spacing w:after="240" w:line="240" w:lineRule="auto"/>
        <w:jc w:val="both"/>
        <w:rPr>
          <w:rFonts w:eastAsia="Times New Roman" w:cs="Times New Roman"/>
          <w:bCs/>
          <w:szCs w:val="24"/>
        </w:rPr>
      </w:pPr>
      <w:bookmarkStart w:id="126" w:name="_Toc389736210"/>
      <w:bookmarkStart w:id="127" w:name="_Toc389744772"/>
      <w:r w:rsidRPr="00EC4EC4">
        <w:rPr>
          <w:rFonts w:eastAsia="Times New Roman" w:cs="Times New Roman"/>
          <w:bCs/>
          <w:szCs w:val="24"/>
        </w:rPr>
        <w:t xml:space="preserve">     15.  Refuse [</w:t>
      </w:r>
      <w:r w:rsidRPr="00EC4EC4">
        <w:rPr>
          <w:rFonts w:eastAsia="Times New Roman" w:cs="Times New Roman"/>
          <w:bCs/>
          <w:strike/>
          <w:szCs w:val="24"/>
        </w:rPr>
        <w:t>Disposal</w:t>
      </w:r>
      <w:r w:rsidRPr="00EC4EC4">
        <w:rPr>
          <w:rFonts w:eastAsia="Times New Roman" w:cs="Times New Roman"/>
          <w:bCs/>
          <w:szCs w:val="24"/>
        </w:rPr>
        <w:t>]</w:t>
      </w:r>
      <w:r w:rsidRPr="00EC4EC4">
        <w:rPr>
          <w:rFonts w:eastAsia="Times New Roman" w:cs="Times New Roman"/>
          <w:bCs/>
          <w:szCs w:val="24"/>
          <w:u w:val="single"/>
        </w:rPr>
        <w:t>disposal</w:t>
      </w:r>
      <w:r w:rsidRPr="00EC4EC4">
        <w:rPr>
          <w:rFonts w:eastAsia="Times New Roman" w:cs="Times New Roman"/>
          <w:bCs/>
          <w:szCs w:val="24"/>
        </w:rPr>
        <w:t xml:space="preserve"> and [</w:t>
      </w:r>
      <w:r w:rsidRPr="00EC4EC4">
        <w:rPr>
          <w:rFonts w:eastAsia="Times New Roman" w:cs="Times New Roman"/>
          <w:bCs/>
          <w:strike/>
          <w:szCs w:val="24"/>
        </w:rPr>
        <w:t>Refuse</w:t>
      </w:r>
      <w:r w:rsidRPr="00EC4EC4">
        <w:rPr>
          <w:rFonts w:eastAsia="Times New Roman" w:cs="Times New Roman"/>
          <w:bCs/>
          <w:szCs w:val="24"/>
        </w:rPr>
        <w:t>]</w:t>
      </w:r>
      <w:r w:rsidRPr="00EC4EC4">
        <w:rPr>
          <w:rFonts w:eastAsia="Times New Roman" w:cs="Times New Roman"/>
          <w:bCs/>
          <w:szCs w:val="24"/>
          <w:u w:val="single"/>
        </w:rPr>
        <w:t>refuse</w:t>
      </w:r>
      <w:r w:rsidRPr="00EC4EC4">
        <w:rPr>
          <w:rFonts w:eastAsia="Times New Roman" w:cs="Times New Roman"/>
          <w:bCs/>
          <w:szCs w:val="24"/>
        </w:rPr>
        <w:t xml:space="preserve"> Storage Rooms.</w:t>
      </w:r>
    </w:p>
    <w:p w14:paraId="4CF6CE8E" w14:textId="3BB5F7BC"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lastRenderedPageBreak/>
        <w:t>§</w:t>
      </w:r>
      <w:r>
        <w:rPr>
          <w:rFonts w:cs="Times New Roman"/>
          <w:sz w:val="23"/>
          <w:szCs w:val="23"/>
        </w:rPr>
        <w:t>1</w:t>
      </w:r>
      <w:r w:rsidR="000D2CED">
        <w:rPr>
          <w:rFonts w:cs="Times New Roman"/>
          <w:sz w:val="23"/>
          <w:szCs w:val="23"/>
        </w:rPr>
        <w:t>62</w:t>
      </w:r>
      <w:r w:rsidRPr="00EC4EC4">
        <w:rPr>
          <w:rFonts w:cs="Times New Roman"/>
          <w:sz w:val="23"/>
          <w:szCs w:val="23"/>
        </w:rPr>
        <w:t>. Section 1203.3 of  the New York city building code, as amended by local law number 126 for the year 2021, is amended to read as follows:</w:t>
      </w:r>
    </w:p>
    <w:p w14:paraId="335EF447" w14:textId="77777777" w:rsidR="00140B7C" w:rsidRPr="00EC4EC4" w:rsidRDefault="00140B7C" w:rsidP="00140B7C">
      <w:pPr>
        <w:pStyle w:val="FlushLeft"/>
        <w:rPr>
          <w:color w:val="000000"/>
          <w:szCs w:val="24"/>
        </w:rPr>
      </w:pPr>
      <w:bookmarkStart w:id="128" w:name="_Toc389736226"/>
      <w:bookmarkStart w:id="129" w:name="_Toc389744788"/>
      <w:bookmarkEnd w:id="126"/>
      <w:bookmarkEnd w:id="127"/>
      <w:r w:rsidRPr="00EC4EC4">
        <w:rPr>
          <w:b/>
          <w:bCs/>
          <w:color w:val="000000"/>
          <w:szCs w:val="24"/>
        </w:rPr>
        <w:t xml:space="preserve">1203.3 </w:t>
      </w:r>
      <w:bookmarkEnd w:id="128"/>
      <w:bookmarkEnd w:id="129"/>
      <w:r w:rsidRPr="00EC4EC4">
        <w:rPr>
          <w:b/>
          <w:bCs/>
          <w:color w:val="000000"/>
          <w:szCs w:val="24"/>
        </w:rPr>
        <w:t xml:space="preserve">Unvented attic and unvented enclosed rafter assemblies. </w:t>
      </w:r>
      <w:r w:rsidRPr="00EC4EC4">
        <w:rPr>
          <w:color w:val="000000"/>
          <w:szCs w:val="24"/>
        </w:rPr>
        <w:t xml:space="preserve">Unvented </w:t>
      </w:r>
      <w:r w:rsidRPr="00EC4EC4">
        <w:rPr>
          <w:iCs/>
          <w:color w:val="000000"/>
          <w:szCs w:val="24"/>
        </w:rPr>
        <w:t>attics</w:t>
      </w:r>
      <w:r w:rsidRPr="00EC4EC4">
        <w:rPr>
          <w:color w:val="000000"/>
          <w:szCs w:val="24"/>
        </w:rPr>
        <w:t xml:space="preserve"> and unvented enclosed roof framing assemblies created by ceilings applied directly to the underside of the roof framing members/rafters and the structural roof sheathing at the top of the roof framing members shall be permitted where all the following conditions are met:</w:t>
      </w:r>
    </w:p>
    <w:p w14:paraId="5CCE27B3"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1.</w:t>
      </w:r>
      <w:r w:rsidRPr="00EC4EC4">
        <w:rPr>
          <w:rFonts w:eastAsia="Times New Roman" w:cs="Times New Roman"/>
          <w:color w:val="000000"/>
          <w:szCs w:val="24"/>
        </w:rPr>
        <w:tab/>
        <w:t xml:space="preserve">The unvented </w:t>
      </w:r>
      <w:r w:rsidRPr="00EC4EC4">
        <w:rPr>
          <w:rFonts w:eastAsia="Times New Roman" w:cs="Times New Roman"/>
          <w:iCs/>
          <w:color w:val="000000"/>
          <w:szCs w:val="24"/>
        </w:rPr>
        <w:t>attic</w:t>
      </w:r>
      <w:r w:rsidRPr="00EC4EC4">
        <w:rPr>
          <w:rFonts w:eastAsia="Times New Roman" w:cs="Times New Roman"/>
          <w:color w:val="000000"/>
          <w:szCs w:val="24"/>
        </w:rPr>
        <w:t xml:space="preserve"> space is completely within the </w:t>
      </w:r>
      <w:r w:rsidRPr="00EC4EC4">
        <w:rPr>
          <w:rFonts w:eastAsia="Times New Roman" w:cs="Times New Roman"/>
          <w:iCs/>
          <w:color w:val="000000"/>
          <w:szCs w:val="24"/>
        </w:rPr>
        <w:t>building thermal envelope</w:t>
      </w:r>
      <w:r w:rsidRPr="00EC4EC4">
        <w:rPr>
          <w:rFonts w:eastAsia="Times New Roman" w:cs="Times New Roman"/>
          <w:color w:val="000000"/>
          <w:szCs w:val="24"/>
        </w:rPr>
        <w:t>.</w:t>
      </w:r>
    </w:p>
    <w:p w14:paraId="6BD5EB0C"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2.</w:t>
      </w:r>
      <w:r w:rsidRPr="00EC4EC4">
        <w:rPr>
          <w:rFonts w:eastAsia="Times New Roman" w:cs="Times New Roman"/>
          <w:color w:val="000000"/>
          <w:szCs w:val="24"/>
        </w:rPr>
        <w:tab/>
        <w:t>No interior Class I vapor retarders are installed on the ceiling side (</w:t>
      </w:r>
      <w:r w:rsidRPr="00EC4EC4">
        <w:rPr>
          <w:rFonts w:eastAsia="Times New Roman" w:cs="Times New Roman"/>
          <w:iCs/>
          <w:color w:val="000000"/>
          <w:szCs w:val="24"/>
        </w:rPr>
        <w:t>attic</w:t>
      </w:r>
      <w:r w:rsidRPr="00EC4EC4">
        <w:rPr>
          <w:rFonts w:eastAsia="Times New Roman" w:cs="Times New Roman"/>
          <w:color w:val="000000"/>
          <w:szCs w:val="24"/>
        </w:rPr>
        <w:t xml:space="preserve"> floor) of the unvented </w:t>
      </w:r>
      <w:r w:rsidRPr="00EC4EC4">
        <w:rPr>
          <w:rFonts w:eastAsia="Times New Roman" w:cs="Times New Roman"/>
          <w:iCs/>
          <w:color w:val="000000"/>
          <w:szCs w:val="24"/>
        </w:rPr>
        <w:t>attic</w:t>
      </w:r>
      <w:r w:rsidRPr="00EC4EC4">
        <w:rPr>
          <w:rFonts w:eastAsia="Times New Roman" w:cs="Times New Roman"/>
          <w:color w:val="000000"/>
          <w:szCs w:val="24"/>
        </w:rPr>
        <w:t xml:space="preserve"> assembly or on the ceiling side of the unvented enclosed roof framing assembly.</w:t>
      </w:r>
    </w:p>
    <w:p w14:paraId="08A71037"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3.</w:t>
      </w:r>
      <w:r w:rsidRPr="00EC4EC4">
        <w:rPr>
          <w:rFonts w:eastAsia="Times New Roman" w:cs="Times New Roman"/>
          <w:color w:val="000000"/>
          <w:szCs w:val="24"/>
        </w:rPr>
        <w:tab/>
        <w:t>Where wood shingles or shakes are used, a minimum ¼-inch (6.4 mm) vented airspace separates the shingles or shakes and the roofing underlayment above the structural sheathing.</w:t>
      </w:r>
    </w:p>
    <w:p w14:paraId="0C25D457"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4.</w:t>
      </w:r>
      <w:r w:rsidRPr="00EC4EC4">
        <w:rPr>
          <w:rFonts w:eastAsia="Times New Roman" w:cs="Times New Roman"/>
          <w:color w:val="000000"/>
          <w:szCs w:val="24"/>
        </w:rPr>
        <w:tab/>
        <w:t>Insulation shall be located in accordance with the following:</w:t>
      </w:r>
    </w:p>
    <w:p w14:paraId="224FD696"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color w:val="000000"/>
          <w:szCs w:val="24"/>
        </w:rPr>
      </w:pPr>
      <w:r w:rsidRPr="00EC4EC4">
        <w:rPr>
          <w:rFonts w:eastAsia="Times New Roman" w:cs="Times New Roman"/>
          <w:color w:val="000000"/>
          <w:szCs w:val="24"/>
        </w:rPr>
        <w:t>4.1.</w:t>
      </w:r>
      <w:r w:rsidRPr="00EC4EC4">
        <w:rPr>
          <w:rFonts w:eastAsia="Times New Roman" w:cs="Times New Roman"/>
          <w:color w:val="000000"/>
          <w:szCs w:val="24"/>
        </w:rPr>
        <w:tab/>
        <w:t>Item 4.1.1, 4.1.2, 4.1.3 or 4.1.4 shall be met, depending on the air permeability of the insulation directly under the structural roof sheathing.</w:t>
      </w:r>
    </w:p>
    <w:p w14:paraId="6BE80F2F" w14:textId="77777777" w:rsidR="00140B7C" w:rsidRPr="00EC4EC4" w:rsidRDefault="00140B7C" w:rsidP="00140B7C">
      <w:pPr>
        <w:autoSpaceDE w:val="0"/>
        <w:autoSpaceDN w:val="0"/>
        <w:adjustRightInd w:val="0"/>
        <w:spacing w:after="240" w:line="240" w:lineRule="auto"/>
        <w:ind w:left="1800" w:hanging="720"/>
        <w:jc w:val="both"/>
        <w:rPr>
          <w:rFonts w:eastAsia="Times New Roman" w:cs="Times New Roman"/>
          <w:color w:val="000000"/>
          <w:szCs w:val="24"/>
        </w:rPr>
      </w:pPr>
      <w:r w:rsidRPr="00EC4EC4">
        <w:rPr>
          <w:rFonts w:eastAsia="Times New Roman" w:cs="Times New Roman"/>
          <w:color w:val="000000"/>
          <w:szCs w:val="24"/>
        </w:rPr>
        <w:t>4.1.1.</w:t>
      </w:r>
      <w:r w:rsidRPr="00EC4EC4">
        <w:rPr>
          <w:rFonts w:eastAsia="Times New Roman" w:cs="Times New Roman"/>
          <w:color w:val="000000"/>
          <w:szCs w:val="24"/>
        </w:rPr>
        <w:tab/>
        <w:t>Where only air-impermeable insulation is provided, it shall be applied in direct contact with the underside of the structural roof sheathing.</w:t>
      </w:r>
    </w:p>
    <w:p w14:paraId="409B5DFC" w14:textId="77777777" w:rsidR="00140B7C" w:rsidRPr="00EC4EC4" w:rsidRDefault="00140B7C" w:rsidP="00140B7C">
      <w:pPr>
        <w:autoSpaceDE w:val="0"/>
        <w:autoSpaceDN w:val="0"/>
        <w:adjustRightInd w:val="0"/>
        <w:spacing w:after="240" w:line="240" w:lineRule="auto"/>
        <w:ind w:left="1800" w:hanging="720"/>
        <w:jc w:val="both"/>
        <w:rPr>
          <w:rFonts w:eastAsia="Times New Roman" w:cs="Times New Roman"/>
          <w:color w:val="000000"/>
          <w:szCs w:val="24"/>
        </w:rPr>
      </w:pPr>
      <w:r w:rsidRPr="00EC4EC4">
        <w:rPr>
          <w:rFonts w:eastAsia="Times New Roman" w:cs="Times New Roman"/>
          <w:color w:val="000000"/>
          <w:szCs w:val="24"/>
        </w:rPr>
        <w:t>4.1.2.</w:t>
      </w:r>
      <w:r w:rsidRPr="00EC4EC4">
        <w:rPr>
          <w:rFonts w:eastAsia="Times New Roman" w:cs="Times New Roman"/>
          <w:color w:val="000000"/>
          <w:szCs w:val="24"/>
        </w:rPr>
        <w:tab/>
        <w:t>Where air-permeable insulation is provided inside the building thermal envelope, it shall be installed in accordance with Item 4.1. In addition to the air-permeable insulation installed directly below the structural sheathing, rigid board or sheet insulation shall be installed directly above the structural roof sheathing in accordance with the [</w:t>
      </w:r>
      <w:r w:rsidRPr="00EC4EC4">
        <w:rPr>
          <w:rFonts w:eastAsia="Times New Roman" w:cs="Times New Roman"/>
          <w:strike/>
          <w:color w:val="000000"/>
          <w:szCs w:val="24"/>
        </w:rPr>
        <w:t>R values</w:t>
      </w:r>
      <w:r w:rsidRPr="00EC4EC4">
        <w:rPr>
          <w:rFonts w:eastAsia="Times New Roman" w:cs="Times New Roman"/>
          <w:color w:val="000000"/>
          <w:szCs w:val="24"/>
        </w:rPr>
        <w:t>]</w:t>
      </w:r>
      <w:r w:rsidRPr="00EC4EC4">
        <w:rPr>
          <w:rFonts w:eastAsia="Times New Roman" w:cs="Times New Roman"/>
          <w:color w:val="000000"/>
          <w:szCs w:val="24"/>
          <w:u w:val="single"/>
        </w:rPr>
        <w:t>R-values</w:t>
      </w:r>
      <w:r w:rsidRPr="00EC4EC4">
        <w:rPr>
          <w:rFonts w:eastAsia="Times New Roman" w:cs="Times New Roman"/>
          <w:color w:val="000000"/>
          <w:szCs w:val="24"/>
        </w:rPr>
        <w:t xml:space="preserve"> in Table 1203.3 for condensation control.</w:t>
      </w:r>
    </w:p>
    <w:p w14:paraId="23715335" w14:textId="77777777" w:rsidR="00140B7C" w:rsidRPr="00EC4EC4" w:rsidRDefault="00140B7C" w:rsidP="00140B7C">
      <w:pPr>
        <w:autoSpaceDE w:val="0"/>
        <w:autoSpaceDN w:val="0"/>
        <w:adjustRightInd w:val="0"/>
        <w:spacing w:after="240" w:line="240" w:lineRule="auto"/>
        <w:ind w:left="1800" w:hanging="720"/>
        <w:jc w:val="both"/>
        <w:rPr>
          <w:rFonts w:eastAsia="Times New Roman" w:cs="Times New Roman"/>
          <w:color w:val="000000"/>
          <w:szCs w:val="24"/>
        </w:rPr>
      </w:pPr>
      <w:r w:rsidRPr="00EC4EC4">
        <w:rPr>
          <w:rFonts w:eastAsia="Times New Roman" w:cs="Times New Roman"/>
          <w:color w:val="000000"/>
          <w:szCs w:val="24"/>
        </w:rPr>
        <w:t>4.1.3.</w:t>
      </w:r>
      <w:r w:rsidRPr="00EC4EC4">
        <w:rPr>
          <w:rFonts w:eastAsia="Times New Roman" w:cs="Times New Roman"/>
          <w:color w:val="000000"/>
          <w:szCs w:val="24"/>
        </w:rPr>
        <w:tab/>
        <w:t>Where both air-impermeable and air-permeable insulation are provided, the air-impermeable insulation shall be applied in direct contact with the underside of the structural roof sheathing in accordance with Item 4.1.1 and shall be in accordance with the [</w:t>
      </w:r>
      <w:r w:rsidRPr="00EC4EC4">
        <w:rPr>
          <w:rFonts w:eastAsia="Times New Roman" w:cs="Times New Roman"/>
          <w:strike/>
          <w:color w:val="000000"/>
          <w:szCs w:val="24"/>
        </w:rPr>
        <w:t>R values</w:t>
      </w:r>
      <w:r w:rsidRPr="00EC4EC4">
        <w:rPr>
          <w:rFonts w:eastAsia="Times New Roman" w:cs="Times New Roman"/>
          <w:color w:val="000000"/>
          <w:szCs w:val="24"/>
        </w:rPr>
        <w:t>]</w:t>
      </w:r>
      <w:r w:rsidRPr="00EC4EC4">
        <w:rPr>
          <w:rFonts w:eastAsia="Times New Roman" w:cs="Times New Roman"/>
          <w:color w:val="000000"/>
          <w:szCs w:val="24"/>
          <w:u w:val="single"/>
        </w:rPr>
        <w:t>R-values</w:t>
      </w:r>
      <w:r w:rsidRPr="00EC4EC4">
        <w:rPr>
          <w:rFonts w:eastAsia="Times New Roman" w:cs="Times New Roman"/>
          <w:color w:val="000000"/>
          <w:szCs w:val="24"/>
        </w:rPr>
        <w:t xml:space="preserve"> in Table 1203.3 for condensation control. The air-permeable insulation shall be installed directly under the air-impermeable insulation.</w:t>
      </w:r>
    </w:p>
    <w:p w14:paraId="4D91D6BE" w14:textId="77777777" w:rsidR="00140B7C" w:rsidRPr="00EC4EC4" w:rsidRDefault="00140B7C" w:rsidP="00140B7C">
      <w:pPr>
        <w:autoSpaceDE w:val="0"/>
        <w:autoSpaceDN w:val="0"/>
        <w:adjustRightInd w:val="0"/>
        <w:spacing w:after="240" w:line="240" w:lineRule="auto"/>
        <w:ind w:left="1800" w:hanging="720"/>
        <w:jc w:val="both"/>
        <w:rPr>
          <w:rFonts w:eastAsia="Times New Roman" w:cs="Times New Roman"/>
          <w:color w:val="000000"/>
          <w:szCs w:val="24"/>
        </w:rPr>
      </w:pPr>
      <w:r w:rsidRPr="00EC4EC4">
        <w:rPr>
          <w:rFonts w:eastAsia="Times New Roman" w:cs="Times New Roman"/>
          <w:color w:val="000000"/>
          <w:szCs w:val="24"/>
        </w:rPr>
        <w:t>4.1.4.</w:t>
      </w:r>
      <w:r w:rsidRPr="00EC4EC4">
        <w:rPr>
          <w:rFonts w:eastAsia="Times New Roman" w:cs="Times New Roman"/>
          <w:color w:val="000000"/>
          <w:szCs w:val="24"/>
        </w:rPr>
        <w:tab/>
        <w:t>Alternatively, sufficient rigid board or sheet insulation shall be installed directly above the structural roof sheathing to maintain the monthly average temperature of the underside of the structural roof sheathing above 45°F (7°C). For calculation purposes, an interior air temperature of 68°F (20°C) is assumed and the exterior air temperature is assumed to be the monthly average outside air temperature of the three coldest months.</w:t>
      </w:r>
    </w:p>
    <w:p w14:paraId="6EE82398"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color w:val="000000"/>
          <w:szCs w:val="24"/>
        </w:rPr>
      </w:pPr>
      <w:r w:rsidRPr="00EC4EC4">
        <w:rPr>
          <w:rFonts w:eastAsia="Times New Roman" w:cs="Times New Roman"/>
          <w:color w:val="000000"/>
          <w:szCs w:val="24"/>
        </w:rPr>
        <w:t>4.2.</w:t>
      </w:r>
      <w:r w:rsidRPr="00EC4EC4">
        <w:rPr>
          <w:rFonts w:eastAsia="Times New Roman" w:cs="Times New Roman"/>
          <w:color w:val="000000"/>
          <w:szCs w:val="24"/>
        </w:rPr>
        <w:tab/>
        <w:t>Where preformed insulation board is used as the air-permeable insulation layer, it shall be sealed at the perimeter of each individual sheet interior surface to form a continuous layer.</w:t>
      </w:r>
    </w:p>
    <w:p w14:paraId="5AAA5FA0" w14:textId="77777777" w:rsidR="00140B7C" w:rsidRDefault="00140B7C" w:rsidP="00140B7C">
      <w:pPr>
        <w:pStyle w:val="FlushLeftDouble"/>
        <w:rPr>
          <w:color w:val="000000"/>
          <w:szCs w:val="24"/>
        </w:rPr>
      </w:pPr>
      <w:r w:rsidRPr="00EC4EC4">
        <w:rPr>
          <w:b/>
          <w:color w:val="000000"/>
          <w:szCs w:val="24"/>
        </w:rPr>
        <w:lastRenderedPageBreak/>
        <w:t xml:space="preserve">Exception: </w:t>
      </w:r>
      <w:r w:rsidRPr="00EC4EC4">
        <w:rPr>
          <w:color w:val="000000"/>
          <w:szCs w:val="24"/>
        </w:rPr>
        <w:t>Section 1203.3 does not apply to special use structures or enclosures such as swimming pool enclosures, data processing centers, hospitals or art galleries.</w:t>
      </w:r>
    </w:p>
    <w:p w14:paraId="55235C0F" w14:textId="73B39507" w:rsidR="00140B7C" w:rsidRPr="001C0B1A" w:rsidRDefault="00140B7C" w:rsidP="00140B7C">
      <w:pPr>
        <w:suppressAutoHyphens/>
        <w:ind w:firstLine="720"/>
        <w:jc w:val="both"/>
        <w:rPr>
          <w:rFonts w:cs="Times New Roman"/>
          <w:szCs w:val="24"/>
        </w:rPr>
      </w:pPr>
      <w:r w:rsidRPr="00F8458F">
        <w:rPr>
          <w:rFonts w:cs="Times New Roman"/>
          <w:szCs w:val="24"/>
        </w:rPr>
        <w:t>§</w:t>
      </w:r>
      <w:r>
        <w:rPr>
          <w:rFonts w:cs="Times New Roman"/>
          <w:szCs w:val="24"/>
        </w:rPr>
        <w:t>1</w:t>
      </w:r>
      <w:r w:rsidR="004840DD">
        <w:rPr>
          <w:rFonts w:cs="Times New Roman"/>
          <w:szCs w:val="24"/>
        </w:rPr>
        <w:t>63</w:t>
      </w:r>
      <w:r w:rsidRPr="00F8458F">
        <w:rPr>
          <w:rFonts w:cs="Times New Roman"/>
          <w:szCs w:val="24"/>
        </w:rPr>
        <w:t>. Section 1401.2 of the New York city building code, as added by local law number 126 for the y</w:t>
      </w:r>
      <w:r w:rsidRPr="00794E17">
        <w:rPr>
          <w:rFonts w:cs="Times New Roman"/>
          <w:szCs w:val="24"/>
        </w:rPr>
        <w:t>ear 2021, is amended to read as follows:</w:t>
      </w:r>
    </w:p>
    <w:p w14:paraId="488F8A9C" w14:textId="77777777" w:rsidR="00140B7C" w:rsidRPr="00DB388A" w:rsidRDefault="00140B7C" w:rsidP="00140B7C">
      <w:pPr>
        <w:suppressAutoHyphens/>
        <w:spacing w:after="240" w:line="240" w:lineRule="auto"/>
        <w:jc w:val="both"/>
        <w:rPr>
          <w:rFonts w:eastAsia="Times New Roman" w:cs="Times New Roman"/>
          <w:spacing w:val="1"/>
          <w:szCs w:val="24"/>
        </w:rPr>
      </w:pPr>
      <w:r w:rsidRPr="00DB388A">
        <w:rPr>
          <w:rFonts w:eastAsia="Times New Roman" w:cs="Times New Roman"/>
          <w:b/>
          <w:spacing w:val="1"/>
          <w:szCs w:val="24"/>
        </w:rPr>
        <w:t>1401.2 Construction documents.</w:t>
      </w:r>
      <w:r w:rsidRPr="00DB388A">
        <w:rPr>
          <w:rFonts w:eastAsia="Times New Roman" w:cs="Times New Roman"/>
          <w:spacing w:val="1"/>
          <w:szCs w:val="24"/>
        </w:rPr>
        <w:t xml:space="preserve"> Construction documents for exterior wall coverings required to be tested in accordance with NFPA 285 pursuant to this code shall include the following data and information:</w:t>
      </w:r>
    </w:p>
    <w:p w14:paraId="45C5505F" w14:textId="77777777" w:rsidR="00140B7C" w:rsidRPr="00DB388A" w:rsidRDefault="00140B7C" w:rsidP="00140B7C">
      <w:pPr>
        <w:autoSpaceDE w:val="0"/>
        <w:autoSpaceDN w:val="0"/>
        <w:adjustRightInd w:val="0"/>
        <w:spacing w:after="240" w:line="240" w:lineRule="auto"/>
        <w:ind w:left="720" w:hanging="360"/>
        <w:jc w:val="both"/>
        <w:rPr>
          <w:rFonts w:eastAsia="Times New Roman" w:cs="Times New Roman"/>
          <w:szCs w:val="24"/>
        </w:rPr>
      </w:pPr>
      <w:r w:rsidRPr="00DB388A">
        <w:rPr>
          <w:rFonts w:eastAsia="Times New Roman" w:cs="Times New Roman"/>
          <w:spacing w:val="1"/>
          <w:szCs w:val="24"/>
        </w:rPr>
        <w:t>1.</w:t>
      </w:r>
      <w:r w:rsidRPr="00DB388A">
        <w:rPr>
          <w:rFonts w:eastAsia="Times New Roman" w:cs="Times New Roman"/>
          <w:spacing w:val="1"/>
          <w:szCs w:val="24"/>
        </w:rPr>
        <w:tab/>
        <w:t>Design</w:t>
      </w:r>
      <w:r w:rsidRPr="00DB388A">
        <w:rPr>
          <w:rFonts w:eastAsia="Times New Roman" w:cs="Times New Roman"/>
          <w:szCs w:val="24"/>
        </w:rPr>
        <w:t xml:space="preserve"> documentation of the NFPA 285 tested assembly from the manufacturer shall be included in the construction documents. This shall include section and elevation drawings that identify materials and components of the tested assembly, including panel sizes and joint locations. All components used in the tested assembly shall be clearly identified. Material thicknesses, relative locations of components and offsets shall be fully dimensioned.</w:t>
      </w:r>
    </w:p>
    <w:p w14:paraId="3DA93437" w14:textId="77777777" w:rsidR="00140B7C" w:rsidRPr="00DB388A" w:rsidRDefault="00140B7C" w:rsidP="00140B7C">
      <w:pPr>
        <w:autoSpaceDE w:val="0"/>
        <w:autoSpaceDN w:val="0"/>
        <w:adjustRightInd w:val="0"/>
        <w:spacing w:after="240" w:line="240" w:lineRule="auto"/>
        <w:ind w:left="720" w:hanging="360"/>
        <w:jc w:val="both"/>
        <w:rPr>
          <w:rFonts w:eastAsia="Times New Roman" w:cs="Times New Roman"/>
          <w:szCs w:val="24"/>
        </w:rPr>
      </w:pPr>
      <w:r w:rsidRPr="00DB388A">
        <w:rPr>
          <w:rFonts w:eastAsia="Times New Roman" w:cs="Times New Roman"/>
          <w:szCs w:val="24"/>
        </w:rPr>
        <w:t>2.</w:t>
      </w:r>
      <w:r w:rsidRPr="00DB388A">
        <w:rPr>
          <w:rFonts w:eastAsia="Times New Roman" w:cs="Times New Roman"/>
          <w:szCs w:val="24"/>
        </w:rPr>
        <w:tab/>
        <w:t xml:space="preserve">Information shall be provided for verification in accordance with Sections </w:t>
      </w:r>
      <w:r w:rsidRPr="00805CE3">
        <w:rPr>
          <w:rFonts w:eastAsia="Times New Roman" w:cs="Times New Roman"/>
          <w:szCs w:val="24"/>
        </w:rPr>
        <w:t>[</w:t>
      </w:r>
      <w:r w:rsidRPr="00805CE3">
        <w:rPr>
          <w:rFonts w:eastAsia="Times New Roman" w:cs="Times New Roman"/>
          <w:strike/>
          <w:szCs w:val="24"/>
        </w:rPr>
        <w:t>1706.16</w:t>
      </w:r>
      <w:r w:rsidRPr="00805CE3">
        <w:rPr>
          <w:rFonts w:eastAsia="Times New Roman" w:cs="Times New Roman"/>
          <w:szCs w:val="24"/>
        </w:rPr>
        <w:t>]</w:t>
      </w:r>
      <w:r w:rsidRPr="00805CE3">
        <w:rPr>
          <w:rFonts w:eastAsia="Times New Roman" w:cs="Times New Roman"/>
          <w:szCs w:val="24"/>
          <w:u w:val="single"/>
        </w:rPr>
        <w:t>1705.16</w:t>
      </w:r>
      <w:r w:rsidRPr="00DB388A">
        <w:rPr>
          <w:rFonts w:eastAsia="Times New Roman" w:cs="Times New Roman"/>
          <w:szCs w:val="24"/>
        </w:rPr>
        <w:t xml:space="preserve"> and 1705.20 special inspections.</w:t>
      </w:r>
    </w:p>
    <w:p w14:paraId="1F44E472" w14:textId="77777777" w:rsidR="00140B7C" w:rsidRPr="00EC4EC4" w:rsidRDefault="00140B7C" w:rsidP="00140B7C">
      <w:pPr>
        <w:pStyle w:val="FlushLeftDouble"/>
        <w:ind w:left="720" w:hanging="360"/>
        <w:rPr>
          <w:color w:val="000000"/>
          <w:szCs w:val="24"/>
        </w:rPr>
      </w:pPr>
      <w:r w:rsidRPr="00DB388A">
        <w:rPr>
          <w:szCs w:val="24"/>
        </w:rPr>
        <w:t>3.</w:t>
      </w:r>
      <w:r w:rsidRPr="00DB388A">
        <w:rPr>
          <w:szCs w:val="24"/>
        </w:rPr>
        <w:tab/>
        <w:t>A certification by the applicant that “Any deviation which occurs during the course of installation will be evaluated and approved by the applicant of record or registered design professional. No deviation shall be approved that would result in an assembly that would otherwise fail to pass the acceptance criteria of NFPA 285.”</w:t>
      </w:r>
    </w:p>
    <w:p w14:paraId="30FCA150" w14:textId="312A749C" w:rsidR="00140B7C" w:rsidRDefault="00140B7C" w:rsidP="00140B7C">
      <w:pPr>
        <w:pStyle w:val="FlushLeft"/>
        <w:ind w:firstLine="720"/>
        <w:rPr>
          <w:b/>
          <w:bCs/>
          <w:szCs w:val="24"/>
          <w:u w:val="single"/>
        </w:rPr>
      </w:pPr>
      <w:bookmarkStart w:id="130" w:name="_Hlk119479539"/>
      <w:bookmarkStart w:id="131" w:name="_Toc389736487"/>
      <w:bookmarkStart w:id="132" w:name="_Toc389745049"/>
      <w:r w:rsidRPr="00EC4EC4">
        <w:rPr>
          <w:sz w:val="23"/>
          <w:szCs w:val="23"/>
        </w:rPr>
        <w:t>§</w:t>
      </w:r>
      <w:r>
        <w:rPr>
          <w:sz w:val="23"/>
          <w:szCs w:val="23"/>
        </w:rPr>
        <w:t>16</w:t>
      </w:r>
      <w:r w:rsidR="00F87445">
        <w:rPr>
          <w:sz w:val="23"/>
          <w:szCs w:val="23"/>
        </w:rPr>
        <w:t>4</w:t>
      </w:r>
      <w:r w:rsidRPr="00EC4EC4">
        <w:rPr>
          <w:sz w:val="23"/>
          <w:szCs w:val="23"/>
        </w:rPr>
        <w:t xml:space="preserve">. </w:t>
      </w:r>
      <w:r>
        <w:rPr>
          <w:sz w:val="23"/>
          <w:szCs w:val="23"/>
        </w:rPr>
        <w:t>S</w:t>
      </w:r>
      <w:r w:rsidRPr="00EC4EC4">
        <w:rPr>
          <w:sz w:val="23"/>
          <w:szCs w:val="23"/>
        </w:rPr>
        <w:t xml:space="preserve">ection </w:t>
      </w:r>
      <w:r>
        <w:rPr>
          <w:sz w:val="23"/>
          <w:szCs w:val="23"/>
        </w:rPr>
        <w:t xml:space="preserve">1407.16 </w:t>
      </w:r>
      <w:r w:rsidRPr="00EC4EC4">
        <w:rPr>
          <w:sz w:val="23"/>
          <w:szCs w:val="23"/>
        </w:rPr>
        <w:t>of the New York city building code, as added by local law number 126 for the year 2021, is amended</w:t>
      </w:r>
      <w:r>
        <w:rPr>
          <w:sz w:val="23"/>
          <w:szCs w:val="23"/>
        </w:rPr>
        <w:t xml:space="preserve"> to read as follows:</w:t>
      </w:r>
    </w:p>
    <w:bookmarkEnd w:id="130"/>
    <w:p w14:paraId="66C540DE" w14:textId="77777777" w:rsidR="00140B7C" w:rsidRDefault="00140B7C" w:rsidP="00140B7C">
      <w:pPr>
        <w:kinsoku w:val="0"/>
        <w:spacing w:after="240" w:line="240" w:lineRule="auto"/>
        <w:ind w:firstLine="720"/>
        <w:jc w:val="both"/>
        <w:rPr>
          <w:iCs/>
          <w:szCs w:val="24"/>
        </w:rPr>
      </w:pPr>
      <w:r>
        <w:rPr>
          <w:b/>
          <w:bCs/>
          <w:szCs w:val="24"/>
        </w:rPr>
        <w:t>[</w:t>
      </w:r>
      <w:r w:rsidRPr="00AA0F04">
        <w:rPr>
          <w:b/>
          <w:bCs/>
          <w:strike/>
          <w:szCs w:val="24"/>
        </w:rPr>
        <w:t>1407.16</w:t>
      </w:r>
      <w:r>
        <w:rPr>
          <w:b/>
          <w:bCs/>
          <w:szCs w:val="24"/>
        </w:rPr>
        <w:t>]</w:t>
      </w:r>
      <w:r w:rsidRPr="00AA0F04">
        <w:rPr>
          <w:b/>
          <w:bCs/>
          <w:szCs w:val="24"/>
          <w:u w:val="single"/>
        </w:rPr>
        <w:t>1409.16</w:t>
      </w:r>
      <w:r w:rsidRPr="00AA0F04">
        <w:rPr>
          <w:b/>
          <w:bCs/>
          <w:szCs w:val="24"/>
        </w:rPr>
        <w:t xml:space="preserve"> Fireblocking.</w:t>
      </w:r>
      <w:r>
        <w:rPr>
          <w:szCs w:val="24"/>
        </w:rPr>
        <w:t xml:space="preserve"> HPL </w:t>
      </w:r>
      <w:r w:rsidRPr="00AA0F04">
        <w:rPr>
          <w:szCs w:val="24"/>
        </w:rPr>
        <w:t xml:space="preserve">installations </w:t>
      </w:r>
      <w:r w:rsidRPr="00AA0F04">
        <w:rPr>
          <w:iCs/>
          <w:szCs w:val="24"/>
        </w:rPr>
        <w:t>shall be fireblocked in accordance with Section 718.2.6.1.</w:t>
      </w:r>
    </w:p>
    <w:p w14:paraId="38567770" w14:textId="556E7E4E"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16</w:t>
      </w:r>
      <w:r w:rsidR="00F87445">
        <w:rPr>
          <w:rFonts w:cs="Times New Roman"/>
          <w:sz w:val="23"/>
          <w:szCs w:val="23"/>
        </w:rPr>
        <w:t>5</w:t>
      </w:r>
      <w:r w:rsidRPr="00EC4EC4">
        <w:rPr>
          <w:rFonts w:cs="Times New Roman"/>
          <w:sz w:val="23"/>
          <w:szCs w:val="23"/>
        </w:rPr>
        <w:t xml:space="preserve">. </w:t>
      </w:r>
      <w:r>
        <w:rPr>
          <w:rFonts w:cs="Times New Roman"/>
          <w:sz w:val="23"/>
          <w:szCs w:val="23"/>
        </w:rPr>
        <w:t>The definition of “GREEN ROOF SYSTEM” set forth in s</w:t>
      </w:r>
      <w:r w:rsidRPr="00EC4EC4">
        <w:rPr>
          <w:rFonts w:cs="Times New Roman"/>
          <w:sz w:val="23"/>
          <w:szCs w:val="23"/>
        </w:rPr>
        <w:t>ection 1502.1 of  the New York city building code, as amended by local law number 126 for the year 2021,  is amended to read as follows:</w:t>
      </w:r>
    </w:p>
    <w:p w14:paraId="6830E804" w14:textId="77777777" w:rsidR="00140B7C" w:rsidRPr="00EC4EC4" w:rsidRDefault="00140B7C" w:rsidP="00140B7C">
      <w:pPr>
        <w:pStyle w:val="FlushLeft"/>
        <w:rPr>
          <w:color w:val="000000"/>
          <w:spacing w:val="1"/>
          <w:szCs w:val="24"/>
        </w:rPr>
      </w:pPr>
      <w:bookmarkStart w:id="133" w:name="_Toc389736492"/>
      <w:bookmarkStart w:id="134" w:name="_Toc389745054"/>
      <w:bookmarkEnd w:id="131"/>
      <w:bookmarkEnd w:id="132"/>
      <w:r w:rsidRPr="00EC4EC4">
        <w:rPr>
          <w:b/>
          <w:color w:val="000000"/>
          <w:szCs w:val="24"/>
        </w:rPr>
        <w:t>GREEN ROOF SYSTEM.</w:t>
      </w:r>
      <w:r w:rsidRPr="00EC4EC4">
        <w:rPr>
          <w:color w:val="000000"/>
          <w:szCs w:val="24"/>
        </w:rPr>
        <w:t>[</w:t>
      </w:r>
      <w:r w:rsidRPr="00EC4EC4">
        <w:rPr>
          <w:strike/>
          <w:color w:val="000000"/>
          <w:szCs w:val="24"/>
        </w:rPr>
        <w:t xml:space="preserve">“See definition for </w:t>
      </w:r>
      <w:r w:rsidRPr="00EC4EC4">
        <w:rPr>
          <w:b/>
          <w:strike/>
          <w:color w:val="000000"/>
          <w:szCs w:val="24"/>
        </w:rPr>
        <w:t>VEGETATIVE ROOF.</w:t>
      </w:r>
      <w:r w:rsidRPr="00EC4EC4">
        <w:rPr>
          <w:strike/>
          <w:color w:val="000000"/>
          <w:szCs w:val="24"/>
        </w:rPr>
        <w:t>”</w:t>
      </w:r>
      <w:r w:rsidRPr="00EC4EC4">
        <w:rPr>
          <w:color w:val="000000"/>
          <w:szCs w:val="24"/>
        </w:rPr>
        <w:t>]</w:t>
      </w:r>
    </w:p>
    <w:p w14:paraId="3741C39C" w14:textId="41463440" w:rsidR="00140B7C" w:rsidRPr="00EC4EC4" w:rsidRDefault="00140B7C" w:rsidP="00140B7C">
      <w:pPr>
        <w:kinsoku w:val="0"/>
        <w:spacing w:after="240" w:line="240" w:lineRule="auto"/>
        <w:ind w:firstLine="720"/>
        <w:jc w:val="both"/>
        <w:rPr>
          <w:rFonts w:eastAsia="Times New Roman" w:cs="Times New Roman"/>
          <w:b/>
          <w:bCs/>
          <w:szCs w:val="24"/>
        </w:rPr>
      </w:pPr>
      <w:bookmarkStart w:id="135" w:name="_Toc389736500"/>
      <w:bookmarkStart w:id="136" w:name="_Toc389745062"/>
      <w:bookmarkEnd w:id="133"/>
      <w:bookmarkEnd w:id="134"/>
      <w:r w:rsidRPr="00EC4EC4">
        <w:rPr>
          <w:rFonts w:cs="Times New Roman"/>
          <w:sz w:val="23"/>
          <w:szCs w:val="23"/>
        </w:rPr>
        <w:t>§</w:t>
      </w:r>
      <w:r>
        <w:rPr>
          <w:rFonts w:cs="Times New Roman"/>
          <w:sz w:val="23"/>
          <w:szCs w:val="23"/>
        </w:rPr>
        <w:t>16</w:t>
      </w:r>
      <w:r w:rsidR="00F87445">
        <w:rPr>
          <w:rFonts w:cs="Times New Roman"/>
          <w:sz w:val="23"/>
          <w:szCs w:val="23"/>
        </w:rPr>
        <w:t>6</w:t>
      </w:r>
      <w:r w:rsidRPr="00EC4EC4">
        <w:rPr>
          <w:rFonts w:cs="Times New Roman"/>
          <w:sz w:val="23"/>
          <w:szCs w:val="23"/>
        </w:rPr>
        <w:t>. Section 1503.4.3 of  the New York city building code, as amended by local law number 126 for the year 2021, is amended to read as follows:</w:t>
      </w:r>
    </w:p>
    <w:bookmarkEnd w:id="135"/>
    <w:bookmarkEnd w:id="136"/>
    <w:p w14:paraId="70FA0F8F" w14:textId="77777777" w:rsidR="00140B7C" w:rsidRDefault="00140B7C" w:rsidP="00140B7C">
      <w:pPr>
        <w:jc w:val="both"/>
        <w:rPr>
          <w:rFonts w:cs="Times New Roman"/>
          <w:sz w:val="23"/>
          <w:szCs w:val="23"/>
        </w:rPr>
      </w:pPr>
      <w:r w:rsidRPr="00003D50">
        <w:rPr>
          <w:rFonts w:cs="Times New Roman"/>
          <w:b/>
          <w:bCs/>
          <w:szCs w:val="24"/>
        </w:rPr>
        <w:t>[</w:t>
      </w:r>
      <w:r w:rsidRPr="00003D50">
        <w:rPr>
          <w:rFonts w:cs="Times New Roman"/>
          <w:b/>
          <w:bCs/>
          <w:strike/>
          <w:szCs w:val="24"/>
        </w:rPr>
        <w:t>1503.4.3 Gutters.</w:t>
      </w:r>
      <w:r w:rsidRPr="00003D50">
        <w:rPr>
          <w:rFonts w:cs="Times New Roman"/>
          <w:strike/>
          <w:szCs w:val="24"/>
        </w:rPr>
        <w:t xml:space="preserve"> Gutters placed on the outside of buildings shall be of noncombustible, corrosion-resistant materials. Leaders placed on the outside of buildings shall be of noncombustible, corrosion-resistant materials in accordance with Chapter 11 of the New York City Plumbing Code.</w:t>
      </w:r>
      <w:r w:rsidRPr="00003D50">
        <w:rPr>
          <w:rFonts w:cs="Times New Roman"/>
          <w:szCs w:val="24"/>
        </w:rPr>
        <w:t>]</w:t>
      </w:r>
    </w:p>
    <w:p w14:paraId="4433E3A0" w14:textId="478819CF"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16</w:t>
      </w:r>
      <w:r w:rsidR="00B24A3A">
        <w:rPr>
          <w:rFonts w:cs="Times New Roman"/>
          <w:sz w:val="23"/>
          <w:szCs w:val="23"/>
        </w:rPr>
        <w:t>7</w:t>
      </w:r>
      <w:r w:rsidRPr="00EC4EC4">
        <w:rPr>
          <w:rFonts w:cs="Times New Roman"/>
          <w:sz w:val="23"/>
          <w:szCs w:val="23"/>
        </w:rPr>
        <w:t>. Section 15</w:t>
      </w:r>
      <w:r>
        <w:rPr>
          <w:rFonts w:cs="Times New Roman"/>
          <w:sz w:val="23"/>
          <w:szCs w:val="23"/>
        </w:rPr>
        <w:t>10</w:t>
      </w:r>
      <w:r w:rsidRPr="00EC4EC4">
        <w:rPr>
          <w:rFonts w:cs="Times New Roman"/>
          <w:sz w:val="23"/>
          <w:szCs w:val="23"/>
        </w:rPr>
        <w:t>.2 of  the New York city building code, as renumbered and amended by local law number 126 for the year 2021, is amended to read as follows:</w:t>
      </w:r>
    </w:p>
    <w:p w14:paraId="15B04293" w14:textId="77777777" w:rsidR="00140B7C" w:rsidRPr="00EC4EC4" w:rsidRDefault="00140B7C" w:rsidP="00140B7C">
      <w:pPr>
        <w:pStyle w:val="FlushLeft"/>
        <w:rPr>
          <w:color w:val="000000"/>
          <w:spacing w:val="1"/>
          <w:szCs w:val="24"/>
        </w:rPr>
      </w:pPr>
      <w:bookmarkStart w:id="137" w:name="_Toc389736705"/>
      <w:bookmarkStart w:id="138" w:name="_Toc389745267"/>
      <w:r w:rsidRPr="00EC4EC4">
        <w:rPr>
          <w:b/>
          <w:color w:val="000000"/>
          <w:szCs w:val="24"/>
        </w:rPr>
        <w:t>1510.2 Bulkheads and penthouses.</w:t>
      </w:r>
      <w:r w:rsidRPr="00EC4EC4">
        <w:rPr>
          <w:b/>
          <w:bCs/>
          <w:color w:val="000000"/>
          <w:spacing w:val="-2"/>
          <w:w w:val="110"/>
          <w:szCs w:val="24"/>
        </w:rPr>
        <w:t xml:space="preserve"> </w:t>
      </w:r>
      <w:r w:rsidRPr="00EC4EC4">
        <w:rPr>
          <w:color w:val="000000"/>
          <w:spacing w:val="1"/>
          <w:szCs w:val="24"/>
        </w:rPr>
        <w:t>Bulkheads and penthouses shall comply with the construction requirements of this [</w:t>
      </w:r>
      <w:r w:rsidRPr="00EC4EC4">
        <w:rPr>
          <w:strike/>
          <w:color w:val="000000"/>
          <w:spacing w:val="1"/>
          <w:szCs w:val="24"/>
        </w:rPr>
        <w:t>Section</w:t>
      </w:r>
      <w:r w:rsidRPr="00EC4EC4">
        <w:rPr>
          <w:color w:val="000000"/>
          <w:spacing w:val="1"/>
          <w:szCs w:val="24"/>
        </w:rPr>
        <w:t>]</w:t>
      </w:r>
      <w:r w:rsidRPr="00EC4EC4">
        <w:rPr>
          <w:color w:val="000000"/>
          <w:spacing w:val="1"/>
          <w:szCs w:val="24"/>
          <w:u w:val="single"/>
        </w:rPr>
        <w:t>section</w:t>
      </w:r>
      <w:r w:rsidRPr="00EC4EC4">
        <w:rPr>
          <w:color w:val="000000"/>
          <w:spacing w:val="1"/>
          <w:szCs w:val="24"/>
        </w:rPr>
        <w:t>.</w:t>
      </w:r>
    </w:p>
    <w:bookmarkEnd w:id="137"/>
    <w:bookmarkEnd w:id="138"/>
    <w:p w14:paraId="25F6C5E4" w14:textId="45E51246"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lastRenderedPageBreak/>
        <w:t>§</w:t>
      </w:r>
      <w:r>
        <w:rPr>
          <w:rFonts w:cs="Times New Roman"/>
          <w:sz w:val="23"/>
          <w:szCs w:val="23"/>
        </w:rPr>
        <w:t>16</w:t>
      </w:r>
      <w:r w:rsidR="00B24A3A">
        <w:rPr>
          <w:rFonts w:cs="Times New Roman"/>
          <w:sz w:val="23"/>
          <w:szCs w:val="23"/>
        </w:rPr>
        <w:t>8</w:t>
      </w:r>
      <w:r w:rsidRPr="00EC4EC4">
        <w:rPr>
          <w:rFonts w:cs="Times New Roman"/>
          <w:sz w:val="23"/>
          <w:szCs w:val="23"/>
        </w:rPr>
        <w:t>. Table 1604.3 footnote i. of  the New York city building code, as amended by local law number 126 for the year 2021, is amended to read as follows:</w:t>
      </w:r>
    </w:p>
    <w:p w14:paraId="0712700F" w14:textId="77777777" w:rsidR="00140B7C" w:rsidRPr="00EC4EC4" w:rsidRDefault="00140B7C" w:rsidP="00226293">
      <w:pPr>
        <w:pStyle w:val="ListParagraph"/>
        <w:numPr>
          <w:ilvl w:val="2"/>
          <w:numId w:val="36"/>
        </w:numPr>
        <w:tabs>
          <w:tab w:val="num" w:pos="216"/>
        </w:tabs>
        <w:kinsoku w:val="0"/>
        <w:spacing w:line="192" w:lineRule="exact"/>
        <w:ind w:left="270"/>
        <w:jc w:val="both"/>
        <w:rPr>
          <w:rFonts w:cs="Times New Roman"/>
          <w:spacing w:val="2"/>
          <w:sz w:val="14"/>
          <w:szCs w:val="14"/>
        </w:rPr>
      </w:pPr>
      <w:r w:rsidRPr="00EC4EC4">
        <w:rPr>
          <w:rFonts w:cs="Times New Roman"/>
          <w:spacing w:val="2"/>
          <w:sz w:val="14"/>
          <w:szCs w:val="14"/>
        </w:rPr>
        <w:t>[I]</w:t>
      </w:r>
      <w:r w:rsidRPr="00EC4EC4">
        <w:rPr>
          <w:rFonts w:cs="Times New Roman"/>
          <w:spacing w:val="2"/>
          <w:sz w:val="14"/>
          <w:szCs w:val="14"/>
          <w:u w:val="single"/>
        </w:rPr>
        <w:t>l</w:t>
      </w:r>
      <w:r w:rsidRPr="00EC4EC4">
        <w:rPr>
          <w:rFonts w:cs="Times New Roman"/>
          <w:spacing w:val="2"/>
          <w:sz w:val="14"/>
          <w:szCs w:val="14"/>
        </w:rPr>
        <w:t xml:space="preserve">= Length of the member between supports. For cantilever members, </w:t>
      </w:r>
      <w:r w:rsidRPr="00EC4EC4">
        <w:rPr>
          <w:rFonts w:cs="Times New Roman"/>
          <w:i/>
          <w:iCs/>
          <w:spacing w:val="2"/>
          <w:w w:val="105"/>
          <w:sz w:val="14"/>
          <w:szCs w:val="14"/>
        </w:rPr>
        <w:t xml:space="preserve">l </w:t>
      </w:r>
      <w:r w:rsidRPr="00EC4EC4">
        <w:rPr>
          <w:rFonts w:cs="Times New Roman"/>
          <w:spacing w:val="2"/>
          <w:sz w:val="14"/>
          <w:szCs w:val="14"/>
        </w:rPr>
        <w:t>shall be taken as twice the length of the cantilever.</w:t>
      </w:r>
    </w:p>
    <w:p w14:paraId="696193B6" w14:textId="77777777" w:rsidR="00140B7C" w:rsidRPr="00EC4EC4" w:rsidRDefault="00140B7C" w:rsidP="00140B7C">
      <w:pPr>
        <w:pStyle w:val="DoubleSpaceParagaph"/>
        <w:ind w:firstLine="0"/>
        <w:rPr>
          <w:rFonts w:eastAsia="Calibri"/>
        </w:rPr>
      </w:pPr>
    </w:p>
    <w:p w14:paraId="5F6CAA05" w14:textId="052E8F5F" w:rsidR="00140B7C" w:rsidRPr="00863DEA" w:rsidRDefault="00140B7C" w:rsidP="00140B7C">
      <w:pPr>
        <w:suppressAutoHyphens/>
        <w:spacing w:after="0" w:line="240" w:lineRule="auto"/>
        <w:ind w:firstLine="720"/>
        <w:jc w:val="both"/>
        <w:rPr>
          <w:rFonts w:eastAsia="Times New Roman" w:cs="Times New Roman"/>
          <w:szCs w:val="24"/>
        </w:rPr>
      </w:pPr>
      <w:r w:rsidRPr="00863DEA">
        <w:rPr>
          <w:rFonts w:eastAsia="Times New Roman" w:cs="Times New Roman"/>
          <w:szCs w:val="24"/>
        </w:rPr>
        <w:t>§</w:t>
      </w:r>
      <w:r>
        <w:rPr>
          <w:rFonts w:eastAsia="Times New Roman" w:cs="Times New Roman"/>
          <w:szCs w:val="24"/>
        </w:rPr>
        <w:t>16</w:t>
      </w:r>
      <w:r w:rsidR="00270107">
        <w:rPr>
          <w:rFonts w:eastAsia="Times New Roman" w:cs="Times New Roman"/>
          <w:szCs w:val="24"/>
        </w:rPr>
        <w:t>9</w:t>
      </w:r>
      <w:r w:rsidRPr="00863DEA">
        <w:rPr>
          <w:rFonts w:eastAsia="Times New Roman" w:cs="Times New Roman"/>
          <w:szCs w:val="24"/>
        </w:rPr>
        <w:t xml:space="preserve">. Section </w:t>
      </w:r>
      <w:r w:rsidRPr="006D5478">
        <w:rPr>
          <w:rFonts w:eastAsia="Times New Roman" w:cs="Times New Roman"/>
          <w:szCs w:val="24"/>
        </w:rPr>
        <w:t>1605.2.1</w:t>
      </w:r>
      <w:r w:rsidRPr="00863DEA">
        <w:rPr>
          <w:rFonts w:eastAsia="Times New Roman" w:cs="Times New Roman"/>
          <w:szCs w:val="24"/>
        </w:rPr>
        <w:t xml:space="preserve"> of the New York city </w:t>
      </w:r>
      <w:r w:rsidRPr="006D5478">
        <w:rPr>
          <w:rFonts w:eastAsia="Times New Roman" w:cs="Times New Roman"/>
          <w:szCs w:val="24"/>
        </w:rPr>
        <w:t>building</w:t>
      </w:r>
      <w:r w:rsidRPr="00863DEA">
        <w:rPr>
          <w:rFonts w:eastAsia="Times New Roman" w:cs="Times New Roman"/>
          <w:szCs w:val="24"/>
        </w:rPr>
        <w:t xml:space="preserve"> code, as a</w:t>
      </w:r>
      <w:r w:rsidRPr="006D5478">
        <w:rPr>
          <w:rFonts w:eastAsia="Times New Roman" w:cs="Times New Roman"/>
          <w:szCs w:val="24"/>
        </w:rPr>
        <w:t>mended</w:t>
      </w:r>
      <w:r w:rsidRPr="00863DEA">
        <w:rPr>
          <w:rFonts w:eastAsia="Times New Roman" w:cs="Times New Roman"/>
          <w:szCs w:val="24"/>
        </w:rPr>
        <w:t xml:space="preserve"> by local law number 126 for the year 2021, is amended to read as follows:</w:t>
      </w:r>
    </w:p>
    <w:p w14:paraId="66C37A26" w14:textId="77777777" w:rsidR="00140B7C" w:rsidRDefault="00140B7C" w:rsidP="00140B7C">
      <w:pPr>
        <w:autoSpaceDE w:val="0"/>
        <w:autoSpaceDN w:val="0"/>
        <w:adjustRightInd w:val="0"/>
        <w:spacing w:after="0" w:line="240" w:lineRule="auto"/>
        <w:jc w:val="both"/>
        <w:rPr>
          <w:rFonts w:eastAsia="Times New Roman" w:cs="Times New Roman"/>
          <w:b/>
          <w:bCs/>
          <w:color w:val="000000"/>
          <w:spacing w:val="1"/>
          <w:szCs w:val="24"/>
        </w:rPr>
      </w:pPr>
    </w:p>
    <w:p w14:paraId="7431F911" w14:textId="77777777" w:rsidR="00140B7C" w:rsidRPr="00C312B1" w:rsidRDefault="00140B7C" w:rsidP="00140B7C">
      <w:pPr>
        <w:autoSpaceDE w:val="0"/>
        <w:autoSpaceDN w:val="0"/>
        <w:adjustRightInd w:val="0"/>
        <w:spacing w:after="0" w:line="240" w:lineRule="auto"/>
        <w:jc w:val="both"/>
        <w:rPr>
          <w:rFonts w:eastAsia="Times New Roman" w:cs="Times New Roman"/>
          <w:color w:val="000000"/>
          <w:spacing w:val="1"/>
          <w:szCs w:val="24"/>
        </w:rPr>
      </w:pPr>
      <w:r w:rsidRPr="00C312B1">
        <w:rPr>
          <w:rFonts w:eastAsia="Times New Roman" w:cs="Times New Roman"/>
          <w:b/>
          <w:bCs/>
          <w:color w:val="000000"/>
          <w:spacing w:val="1"/>
          <w:szCs w:val="24"/>
        </w:rPr>
        <w:t>1605.2.1 Other loads.</w:t>
      </w:r>
      <w:r w:rsidRPr="00C312B1">
        <w:rPr>
          <w:rFonts w:eastAsia="Times New Roman" w:cs="Times New Roman"/>
          <w:color w:val="000000"/>
          <w:spacing w:val="1"/>
          <w:szCs w:val="24"/>
        </w:rPr>
        <w:t xml:space="preserve"> Where a structure is located in a V zone or Coastal A zone and Fa is to be considered in design, in addition to the load combinations of Equations 16-1 through 16-7, the structure and portions thereof shall resist the most critical effects of the load combinations of Equations 16-8 and 16-10. Where a structure is located in an A zone and Fa is to be considered in design, in addition to the load combinations of Equations 16-1 through 16-7, structures and portions thereof shall resist the most critical effects of the load combinations of Equation 16-9 and 16-11. </w:t>
      </w:r>
      <w:r w:rsidRPr="00805CE3">
        <w:rPr>
          <w:rFonts w:eastAsia="Times New Roman" w:cs="Times New Roman"/>
          <w:color w:val="000000"/>
          <w:spacing w:val="1"/>
          <w:szCs w:val="24"/>
          <w:u w:val="single"/>
        </w:rPr>
        <w:t>Where self-straining loads, T, are considered in design, their structural effects in combination with other loads shall be determined in accordance with Section 2.3.4 of ASCE 7.</w:t>
      </w:r>
      <w:r w:rsidRPr="00C312B1">
        <w:rPr>
          <w:rFonts w:eastAsia="Times New Roman" w:cs="Times New Roman"/>
          <w:color w:val="000000"/>
          <w:spacing w:val="1"/>
          <w:szCs w:val="24"/>
        </w:rPr>
        <w:t xml:space="preserve"> Where ice loads are to be considered in design, the load combinations of Section 2.3.3 of ASCE 7 shall be used. Refer to the following sections for other load combinations:</w:t>
      </w:r>
    </w:p>
    <w:p w14:paraId="3C2CE548" w14:textId="77777777" w:rsidR="00140B7C" w:rsidRDefault="00140B7C" w:rsidP="00140B7C">
      <w:pPr>
        <w:suppressAutoHyphens/>
        <w:spacing w:after="0" w:line="240" w:lineRule="auto"/>
        <w:ind w:left="720"/>
        <w:jc w:val="both"/>
        <w:rPr>
          <w:rFonts w:eastAsia="Times New Roman" w:cs="Times New Roman"/>
          <w:szCs w:val="24"/>
        </w:rPr>
      </w:pPr>
    </w:p>
    <w:p w14:paraId="2164C869" w14:textId="55F45601" w:rsidR="00140B7C" w:rsidRPr="00863DEA" w:rsidRDefault="00140B7C" w:rsidP="00140B7C">
      <w:pPr>
        <w:suppressAutoHyphens/>
        <w:spacing w:after="0" w:line="240" w:lineRule="auto"/>
        <w:ind w:firstLine="720"/>
        <w:jc w:val="both"/>
        <w:rPr>
          <w:rFonts w:eastAsia="Times New Roman" w:cs="Times New Roman"/>
          <w:szCs w:val="24"/>
        </w:rPr>
      </w:pPr>
      <w:r w:rsidRPr="00863DEA">
        <w:rPr>
          <w:rFonts w:eastAsia="Times New Roman" w:cs="Times New Roman"/>
          <w:szCs w:val="24"/>
        </w:rPr>
        <w:t>§</w:t>
      </w:r>
      <w:r>
        <w:rPr>
          <w:rFonts w:eastAsia="Times New Roman" w:cs="Times New Roman"/>
          <w:szCs w:val="24"/>
        </w:rPr>
        <w:t>1</w:t>
      </w:r>
      <w:r w:rsidR="00270107">
        <w:rPr>
          <w:rFonts w:eastAsia="Times New Roman" w:cs="Times New Roman"/>
          <w:szCs w:val="24"/>
        </w:rPr>
        <w:t>70</w:t>
      </w:r>
      <w:r w:rsidRPr="00863DEA">
        <w:rPr>
          <w:rFonts w:eastAsia="Times New Roman" w:cs="Times New Roman"/>
          <w:szCs w:val="24"/>
        </w:rPr>
        <w:t xml:space="preserve">. Section </w:t>
      </w:r>
      <w:r w:rsidRPr="006D5478">
        <w:rPr>
          <w:rFonts w:eastAsia="Times New Roman" w:cs="Times New Roman"/>
          <w:szCs w:val="24"/>
        </w:rPr>
        <w:t>1605.3.1.2</w:t>
      </w:r>
      <w:r w:rsidRPr="00863DEA">
        <w:rPr>
          <w:rFonts w:eastAsia="Times New Roman" w:cs="Times New Roman"/>
          <w:szCs w:val="24"/>
        </w:rPr>
        <w:t xml:space="preserve"> of the New York city </w:t>
      </w:r>
      <w:r w:rsidRPr="006D5478">
        <w:rPr>
          <w:rFonts w:eastAsia="Times New Roman" w:cs="Times New Roman"/>
          <w:szCs w:val="24"/>
        </w:rPr>
        <w:t>building</w:t>
      </w:r>
      <w:r w:rsidRPr="00863DEA">
        <w:rPr>
          <w:rFonts w:eastAsia="Times New Roman" w:cs="Times New Roman"/>
          <w:szCs w:val="24"/>
        </w:rPr>
        <w:t xml:space="preserve"> code, as </w:t>
      </w:r>
      <w:r w:rsidRPr="006D5478">
        <w:rPr>
          <w:rFonts w:eastAsia="Times New Roman" w:cs="Times New Roman"/>
          <w:szCs w:val="24"/>
        </w:rPr>
        <w:t xml:space="preserve">amended </w:t>
      </w:r>
      <w:r w:rsidRPr="00863DEA">
        <w:rPr>
          <w:rFonts w:eastAsia="Times New Roman" w:cs="Times New Roman"/>
          <w:szCs w:val="24"/>
        </w:rPr>
        <w:t>by local law number 126 for the year 2021, is amended to read as follows:</w:t>
      </w:r>
    </w:p>
    <w:p w14:paraId="32692209" w14:textId="77777777" w:rsidR="00140B7C" w:rsidRDefault="00140B7C" w:rsidP="00140B7C">
      <w:pPr>
        <w:spacing w:after="0" w:line="240" w:lineRule="auto"/>
        <w:ind w:firstLine="720"/>
        <w:rPr>
          <w:rFonts w:cs="Times New Roman"/>
          <w:b/>
          <w:bCs/>
          <w:szCs w:val="24"/>
        </w:rPr>
      </w:pPr>
    </w:p>
    <w:p w14:paraId="064B8E76" w14:textId="77777777" w:rsidR="00140B7C" w:rsidRPr="00805CE3" w:rsidRDefault="00140B7C" w:rsidP="00140B7C">
      <w:pPr>
        <w:rPr>
          <w:rFonts w:cs="Times New Roman"/>
          <w:szCs w:val="24"/>
        </w:rPr>
      </w:pPr>
      <w:r w:rsidRPr="006D5478">
        <w:rPr>
          <w:rFonts w:cs="Times New Roman"/>
          <w:b/>
          <w:bCs/>
          <w:szCs w:val="24"/>
        </w:rPr>
        <w:t xml:space="preserve">1605.3.1.2 Other loads. </w:t>
      </w:r>
      <w:r w:rsidRPr="006D5478">
        <w:rPr>
          <w:rFonts w:cs="Times New Roman"/>
          <w:szCs w:val="24"/>
        </w:rPr>
        <w:t xml:space="preserve">Where a structure is located in a V zone or Coastal A zone and Fa is to be considered in design, in addition to load combinations of Equations 16-12 through 16-20, structures and portions thereof shall resist the most critical effects of load combinations of Equations 16-21, 16-23 and 16-25. Where a structure is located in an A zone and Fa is to be considered in design, in addition to load combinations of Equations 16-12 through 16-20, structures and portions thereof shall resist the most critical effects of load combinations of Equations 16-22, 16-24 and 16-26. </w:t>
      </w:r>
      <w:r w:rsidRPr="00805CE3">
        <w:rPr>
          <w:rFonts w:cs="Times New Roman"/>
          <w:szCs w:val="24"/>
          <w:u w:val="single"/>
        </w:rPr>
        <w:t>Where self-straining loads, T, are considered in design, their structural effects in combination with other loads shall be determined in accordance with Section 2.4.4 of ASCE 7.</w:t>
      </w:r>
      <w:r w:rsidRPr="00805CE3">
        <w:rPr>
          <w:rFonts w:cs="Times New Roman"/>
          <w:szCs w:val="24"/>
        </w:rPr>
        <w:t xml:space="preserve"> </w:t>
      </w:r>
      <w:r w:rsidRPr="006D5478">
        <w:rPr>
          <w:rFonts w:cs="Times New Roman"/>
          <w:szCs w:val="24"/>
        </w:rPr>
        <w:t>Where ice loads are to be considered in design, the load combinations of Section 2.4.3 of ASCE 7 shall be used.</w:t>
      </w:r>
    </w:p>
    <w:p w14:paraId="1BA4FA85" w14:textId="64A035E1"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w:t>
      </w:r>
      <w:r w:rsidR="00186D2C">
        <w:rPr>
          <w:rFonts w:cs="Times New Roman"/>
          <w:sz w:val="23"/>
          <w:szCs w:val="23"/>
        </w:rPr>
        <w:t>71</w:t>
      </w:r>
      <w:r w:rsidRPr="00EC4EC4">
        <w:rPr>
          <w:rFonts w:cs="Times New Roman"/>
          <w:sz w:val="23"/>
          <w:szCs w:val="23"/>
        </w:rPr>
        <w:t>. Table 1607.1 of  the New York city building code, as amended by local law number 126 for the year 2021, is amended to read as follows:</w:t>
      </w:r>
    </w:p>
    <w:p w14:paraId="232B75E4" w14:textId="77777777" w:rsidR="00140B7C" w:rsidRPr="00EC4EC4" w:rsidRDefault="00140B7C" w:rsidP="00140B7C">
      <w:pPr>
        <w:pStyle w:val="HeadingCaps"/>
        <w:rPr>
          <w:bCs/>
          <w:caps w:val="0"/>
          <w:smallCaps/>
          <w:w w:val="110"/>
          <w:vertAlign w:val="superscript"/>
        </w:rPr>
      </w:pPr>
      <w:r w:rsidRPr="00EC4EC4">
        <w:rPr>
          <w:rFonts w:eastAsia="Calibri"/>
        </w:rPr>
        <w:t>TABLE 1607.1</w:t>
      </w:r>
      <w:r w:rsidRPr="00EC4EC4">
        <w:rPr>
          <w:rFonts w:eastAsia="Calibri"/>
        </w:rPr>
        <w:br/>
        <w:t>MINIMUM UNIFORMLY DISTRIBUTED LIVE LOADS, L</w:t>
      </w:r>
      <w:r w:rsidRPr="00EC4EC4">
        <w:rPr>
          <w:rFonts w:eastAsia="Calibri"/>
          <w:vertAlign w:val="subscript"/>
        </w:rPr>
        <w:t>o</w:t>
      </w:r>
      <w:r w:rsidRPr="00EC4EC4">
        <w:rPr>
          <w:rFonts w:eastAsia="Calibri"/>
        </w:rPr>
        <w:t xml:space="preserve">, AND MINIMUM </w:t>
      </w:r>
      <w:r w:rsidRPr="00EC4EC4">
        <w:rPr>
          <w:rFonts w:eastAsia="Calibri"/>
          <w:caps w:val="0"/>
          <w:smallCaps/>
        </w:rPr>
        <w:t>CONCENTRATED LIVE LOADS</w:t>
      </w:r>
      <w:r w:rsidRPr="00EC4EC4">
        <w:rPr>
          <w:rFonts w:eastAsia="Calibri"/>
          <w:caps w:val="0"/>
          <w:smallCaps/>
          <w:vertAlign w:val="superscript"/>
        </w:rPr>
        <w:t>[</w:t>
      </w:r>
      <w:r w:rsidRPr="00EC4EC4">
        <w:rPr>
          <w:bCs/>
          <w:caps w:val="0"/>
          <w:smallCaps/>
          <w:strike/>
          <w:w w:val="110"/>
          <w:vertAlign w:val="superscript"/>
        </w:rPr>
        <w:t>g</w:t>
      </w:r>
      <w:r w:rsidRPr="00EC4EC4">
        <w:rPr>
          <w:bCs/>
          <w:caps w:val="0"/>
          <w:smallCaps/>
          <w:w w:val="110"/>
          <w:vertAlign w:val="superscript"/>
        </w:rPr>
        <w:t>]</w:t>
      </w:r>
      <w:r w:rsidRPr="00A721CC">
        <w:rPr>
          <w:bCs/>
          <w:caps w:val="0"/>
          <w:w w:val="110"/>
          <w:u w:val="single"/>
          <w:vertAlign w:val="superscript"/>
        </w:rPr>
        <w:t>g</w:t>
      </w:r>
      <w:r>
        <w:rPr>
          <w:bCs/>
          <w:caps w:val="0"/>
          <w:smallCaps/>
          <w:w w:val="110"/>
          <w:vertAlign w:val="superscript"/>
        </w:rPr>
        <w:softHyphe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5"/>
        <w:gridCol w:w="2181"/>
        <w:gridCol w:w="2494"/>
      </w:tblGrid>
      <w:tr w:rsidR="00140B7C" w:rsidRPr="00EC4EC4" w14:paraId="4BE24B8B" w14:textId="77777777" w:rsidTr="00BC1087">
        <w:trPr>
          <w:cantSplit/>
          <w:tblHeader/>
        </w:trPr>
        <w:tc>
          <w:tcPr>
            <w:tcW w:w="4855" w:type="dxa"/>
            <w:vAlign w:val="bottom"/>
          </w:tcPr>
          <w:p w14:paraId="555680CC" w14:textId="77777777" w:rsidR="00140B7C" w:rsidRPr="00EC4EC4" w:rsidRDefault="00140B7C" w:rsidP="00BC1087">
            <w:pPr>
              <w:widowControl w:val="0"/>
              <w:kinsoku w:val="0"/>
              <w:spacing w:after="0" w:line="240" w:lineRule="auto"/>
              <w:contextualSpacing/>
              <w:jc w:val="center"/>
              <w:rPr>
                <w:rFonts w:eastAsia="Times New Roman" w:cs="Times New Roman"/>
                <w:b/>
                <w:sz w:val="16"/>
                <w:szCs w:val="16"/>
              </w:rPr>
            </w:pPr>
            <w:r w:rsidRPr="00EC4EC4">
              <w:rPr>
                <w:rFonts w:eastAsia="Times New Roman" w:cs="Times New Roman"/>
                <w:b/>
                <w:sz w:val="16"/>
                <w:szCs w:val="16"/>
              </w:rPr>
              <w:t>OCCUPANCY OR USE</w:t>
            </w:r>
          </w:p>
        </w:tc>
        <w:tc>
          <w:tcPr>
            <w:tcW w:w="2181" w:type="dxa"/>
            <w:vAlign w:val="bottom"/>
          </w:tcPr>
          <w:p w14:paraId="7297EB32" w14:textId="77777777" w:rsidR="00140B7C" w:rsidRPr="00EC4EC4" w:rsidRDefault="00140B7C" w:rsidP="00BC1087">
            <w:pPr>
              <w:widowControl w:val="0"/>
              <w:kinsoku w:val="0"/>
              <w:spacing w:after="0" w:line="240" w:lineRule="auto"/>
              <w:contextualSpacing/>
              <w:jc w:val="center"/>
              <w:rPr>
                <w:rFonts w:eastAsia="Times New Roman" w:cs="Times New Roman"/>
                <w:b/>
                <w:sz w:val="16"/>
                <w:szCs w:val="16"/>
              </w:rPr>
            </w:pPr>
            <w:r w:rsidRPr="00EC4EC4">
              <w:rPr>
                <w:rFonts w:eastAsia="Times New Roman" w:cs="Times New Roman"/>
                <w:b/>
                <w:sz w:val="16"/>
                <w:szCs w:val="16"/>
              </w:rPr>
              <w:t>UNIFORM</w:t>
            </w:r>
          </w:p>
          <w:p w14:paraId="4926DC3E" w14:textId="77777777" w:rsidR="00140B7C" w:rsidRPr="00EC4EC4" w:rsidRDefault="00140B7C" w:rsidP="00BC1087">
            <w:pPr>
              <w:widowControl w:val="0"/>
              <w:kinsoku w:val="0"/>
              <w:spacing w:after="0" w:line="240" w:lineRule="auto"/>
              <w:contextualSpacing/>
              <w:jc w:val="center"/>
              <w:rPr>
                <w:rFonts w:eastAsia="Times New Roman" w:cs="Times New Roman"/>
                <w:b/>
                <w:sz w:val="16"/>
                <w:szCs w:val="16"/>
              </w:rPr>
            </w:pPr>
            <w:r w:rsidRPr="00EC4EC4">
              <w:rPr>
                <w:rFonts w:eastAsia="Times New Roman" w:cs="Times New Roman"/>
                <w:b/>
                <w:sz w:val="16"/>
                <w:szCs w:val="16"/>
              </w:rPr>
              <w:t>(psf)</w:t>
            </w:r>
          </w:p>
        </w:tc>
        <w:tc>
          <w:tcPr>
            <w:tcW w:w="2494" w:type="dxa"/>
            <w:vAlign w:val="bottom"/>
          </w:tcPr>
          <w:p w14:paraId="72DC12C2" w14:textId="77777777" w:rsidR="00140B7C" w:rsidRPr="00EC4EC4" w:rsidRDefault="00140B7C" w:rsidP="00BC1087">
            <w:pPr>
              <w:widowControl w:val="0"/>
              <w:kinsoku w:val="0"/>
              <w:spacing w:after="0" w:line="240" w:lineRule="auto"/>
              <w:contextualSpacing/>
              <w:jc w:val="center"/>
              <w:rPr>
                <w:rFonts w:eastAsia="Times New Roman" w:cs="Times New Roman"/>
                <w:b/>
                <w:sz w:val="16"/>
                <w:szCs w:val="16"/>
              </w:rPr>
            </w:pPr>
            <w:r w:rsidRPr="00EC4EC4">
              <w:rPr>
                <w:rFonts w:eastAsia="Times New Roman" w:cs="Times New Roman"/>
                <w:b/>
                <w:sz w:val="16"/>
                <w:szCs w:val="16"/>
              </w:rPr>
              <w:t>CONCENTRATED</w:t>
            </w:r>
          </w:p>
          <w:p w14:paraId="7FC88D51" w14:textId="77777777" w:rsidR="00140B7C" w:rsidRPr="00EC4EC4" w:rsidRDefault="00140B7C" w:rsidP="00BC1087">
            <w:pPr>
              <w:widowControl w:val="0"/>
              <w:kinsoku w:val="0"/>
              <w:spacing w:after="0" w:line="240" w:lineRule="auto"/>
              <w:contextualSpacing/>
              <w:jc w:val="center"/>
              <w:rPr>
                <w:rFonts w:eastAsia="Times New Roman" w:cs="Times New Roman"/>
                <w:b/>
                <w:sz w:val="16"/>
                <w:szCs w:val="16"/>
              </w:rPr>
            </w:pPr>
            <w:r w:rsidRPr="00EC4EC4">
              <w:rPr>
                <w:rFonts w:eastAsia="Times New Roman" w:cs="Times New Roman"/>
                <w:b/>
                <w:sz w:val="16"/>
                <w:szCs w:val="16"/>
              </w:rPr>
              <w:t xml:space="preserve"> (pounds)</w:t>
            </w:r>
          </w:p>
        </w:tc>
      </w:tr>
      <w:tr w:rsidR="00140B7C" w:rsidRPr="00EC4EC4" w14:paraId="40133536" w14:textId="77777777" w:rsidTr="00BC1087">
        <w:tc>
          <w:tcPr>
            <w:tcW w:w="4855" w:type="dxa"/>
          </w:tcPr>
          <w:p w14:paraId="4378FBB9"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1. Apartments (see residential) </w:t>
            </w:r>
          </w:p>
        </w:tc>
        <w:tc>
          <w:tcPr>
            <w:tcW w:w="2181" w:type="dxa"/>
          </w:tcPr>
          <w:p w14:paraId="135DB51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c>
          <w:tcPr>
            <w:tcW w:w="2494" w:type="dxa"/>
          </w:tcPr>
          <w:p w14:paraId="0CF8CE6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6CBC7913" w14:textId="77777777" w:rsidTr="00BC1087">
        <w:trPr>
          <w:cantSplit/>
        </w:trPr>
        <w:tc>
          <w:tcPr>
            <w:tcW w:w="4855" w:type="dxa"/>
          </w:tcPr>
          <w:p w14:paraId="3BED32C2"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2. Access floor systems</w:t>
            </w:r>
          </w:p>
          <w:p w14:paraId="15C103A9" w14:textId="77777777" w:rsidR="00140B7C" w:rsidRPr="00EC4EC4" w:rsidRDefault="00140B7C" w:rsidP="00BC1087">
            <w:pPr>
              <w:widowControl w:val="0"/>
              <w:kinsoku w:val="0"/>
              <w:spacing w:after="0" w:line="240" w:lineRule="auto"/>
              <w:ind w:left="342"/>
              <w:contextualSpacing/>
              <w:rPr>
                <w:rFonts w:eastAsia="Times New Roman" w:cs="Times New Roman"/>
                <w:sz w:val="16"/>
                <w:szCs w:val="16"/>
              </w:rPr>
            </w:pPr>
            <w:r w:rsidRPr="00EC4EC4">
              <w:rPr>
                <w:rFonts w:eastAsia="Times New Roman" w:cs="Times New Roman"/>
                <w:sz w:val="16"/>
                <w:szCs w:val="16"/>
              </w:rPr>
              <w:t>Office use</w:t>
            </w:r>
          </w:p>
          <w:p w14:paraId="28B6334D" w14:textId="77777777" w:rsidR="00140B7C" w:rsidRPr="00EC4EC4" w:rsidRDefault="00140B7C" w:rsidP="00BC1087">
            <w:pPr>
              <w:widowControl w:val="0"/>
              <w:kinsoku w:val="0"/>
              <w:spacing w:after="0" w:line="240" w:lineRule="auto"/>
              <w:ind w:left="342"/>
              <w:contextualSpacing/>
              <w:rPr>
                <w:rFonts w:eastAsia="Times New Roman" w:cs="Times New Roman"/>
                <w:sz w:val="16"/>
                <w:szCs w:val="16"/>
              </w:rPr>
            </w:pPr>
            <w:r w:rsidRPr="00EC4EC4">
              <w:rPr>
                <w:rFonts w:eastAsia="Times New Roman" w:cs="Times New Roman"/>
                <w:sz w:val="16"/>
                <w:szCs w:val="16"/>
              </w:rPr>
              <w:t>Computer use</w:t>
            </w:r>
          </w:p>
        </w:tc>
        <w:tc>
          <w:tcPr>
            <w:tcW w:w="2181" w:type="dxa"/>
          </w:tcPr>
          <w:p w14:paraId="70DAE0B2"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7EAF0B2"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50</w:t>
            </w:r>
          </w:p>
          <w:p w14:paraId="2B20A30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p>
        </w:tc>
        <w:tc>
          <w:tcPr>
            <w:tcW w:w="2494" w:type="dxa"/>
          </w:tcPr>
          <w:p w14:paraId="1E1AE62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08FC899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2,000</w:t>
            </w:r>
          </w:p>
          <w:p w14:paraId="5B371F6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2,000</w:t>
            </w:r>
          </w:p>
        </w:tc>
      </w:tr>
      <w:tr w:rsidR="00140B7C" w:rsidRPr="00EC4EC4" w14:paraId="57A6D3E6" w14:textId="77777777" w:rsidTr="00BC1087">
        <w:tc>
          <w:tcPr>
            <w:tcW w:w="4855" w:type="dxa"/>
          </w:tcPr>
          <w:p w14:paraId="157DB2C2"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3. Armories and drill rooms</w:t>
            </w:r>
          </w:p>
        </w:tc>
        <w:tc>
          <w:tcPr>
            <w:tcW w:w="2181" w:type="dxa"/>
          </w:tcPr>
          <w:p w14:paraId="123F82D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150</w:t>
            </w:r>
            <w:r w:rsidRPr="00EC4EC4">
              <w:rPr>
                <w:rFonts w:eastAsia="Times New Roman" w:cs="Times New Roman"/>
                <w:sz w:val="16"/>
                <w:szCs w:val="16"/>
                <w:vertAlign w:val="superscript"/>
              </w:rPr>
              <w:t>n</w:t>
            </w:r>
          </w:p>
        </w:tc>
        <w:tc>
          <w:tcPr>
            <w:tcW w:w="2494" w:type="dxa"/>
          </w:tcPr>
          <w:p w14:paraId="298B14B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508D155E" w14:textId="77777777" w:rsidTr="00BC1087">
        <w:tc>
          <w:tcPr>
            <w:tcW w:w="4855" w:type="dxa"/>
          </w:tcPr>
          <w:p w14:paraId="361BFE77"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4. Assembly areas </w:t>
            </w:r>
          </w:p>
          <w:p w14:paraId="6AFDE1E3" w14:textId="77777777" w:rsidR="00140B7C" w:rsidRPr="00EC4EC4" w:rsidRDefault="00140B7C" w:rsidP="00BC1087">
            <w:pPr>
              <w:widowControl w:val="0"/>
              <w:kinsoku w:val="0"/>
              <w:spacing w:after="0" w:line="240" w:lineRule="auto"/>
              <w:ind w:left="342"/>
              <w:contextualSpacing/>
              <w:rPr>
                <w:rFonts w:eastAsia="Times New Roman" w:cs="Times New Roman"/>
                <w:sz w:val="16"/>
                <w:szCs w:val="16"/>
              </w:rPr>
            </w:pPr>
            <w:r w:rsidRPr="00EC4EC4">
              <w:rPr>
                <w:rFonts w:eastAsia="Times New Roman" w:cs="Times New Roman"/>
                <w:sz w:val="16"/>
                <w:szCs w:val="16"/>
              </w:rPr>
              <w:t xml:space="preserve">Fixed seats (fastened to floor) </w:t>
            </w:r>
          </w:p>
          <w:p w14:paraId="28CFA652" w14:textId="77777777" w:rsidR="00140B7C" w:rsidRPr="00EC4EC4" w:rsidRDefault="00140B7C" w:rsidP="00BC1087">
            <w:pPr>
              <w:widowControl w:val="0"/>
              <w:kinsoku w:val="0"/>
              <w:spacing w:after="0" w:line="240" w:lineRule="auto"/>
              <w:ind w:left="342"/>
              <w:contextualSpacing/>
              <w:rPr>
                <w:rFonts w:eastAsia="Times New Roman" w:cs="Times New Roman"/>
                <w:sz w:val="16"/>
                <w:szCs w:val="16"/>
              </w:rPr>
            </w:pPr>
            <w:r w:rsidRPr="00EC4EC4">
              <w:rPr>
                <w:rFonts w:eastAsia="Times New Roman" w:cs="Times New Roman"/>
                <w:sz w:val="16"/>
                <w:szCs w:val="16"/>
              </w:rPr>
              <w:t>Follow spot, projections and control rooms</w:t>
            </w:r>
          </w:p>
          <w:p w14:paraId="412C5E26" w14:textId="77777777" w:rsidR="00140B7C" w:rsidRPr="00EC4EC4" w:rsidRDefault="00140B7C" w:rsidP="00BC1087">
            <w:pPr>
              <w:widowControl w:val="0"/>
              <w:kinsoku w:val="0"/>
              <w:spacing w:after="0" w:line="240" w:lineRule="auto"/>
              <w:ind w:left="342"/>
              <w:contextualSpacing/>
              <w:rPr>
                <w:rFonts w:eastAsia="Times New Roman" w:cs="Times New Roman"/>
                <w:sz w:val="16"/>
                <w:szCs w:val="16"/>
              </w:rPr>
            </w:pPr>
            <w:r w:rsidRPr="00EC4EC4">
              <w:rPr>
                <w:rFonts w:eastAsia="Times New Roman" w:cs="Times New Roman"/>
                <w:sz w:val="16"/>
                <w:szCs w:val="16"/>
              </w:rPr>
              <w:lastRenderedPageBreak/>
              <w:t>Lobbies</w:t>
            </w:r>
          </w:p>
          <w:p w14:paraId="5E24A0C9" w14:textId="77777777" w:rsidR="00140B7C" w:rsidRPr="00EC4EC4" w:rsidRDefault="00140B7C" w:rsidP="00BC1087">
            <w:pPr>
              <w:widowControl w:val="0"/>
              <w:kinsoku w:val="0"/>
              <w:spacing w:after="0" w:line="240" w:lineRule="auto"/>
              <w:ind w:left="342"/>
              <w:contextualSpacing/>
              <w:rPr>
                <w:rFonts w:eastAsia="Times New Roman" w:cs="Times New Roman"/>
                <w:sz w:val="16"/>
                <w:szCs w:val="16"/>
              </w:rPr>
            </w:pPr>
            <w:r w:rsidRPr="00EC4EC4">
              <w:rPr>
                <w:rFonts w:eastAsia="Times New Roman" w:cs="Times New Roman"/>
                <w:sz w:val="16"/>
                <w:szCs w:val="16"/>
              </w:rPr>
              <w:t>Movable seats</w:t>
            </w:r>
          </w:p>
          <w:p w14:paraId="3E3915B6"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Private assembly spaces, including conference rooms</w:t>
            </w:r>
          </w:p>
          <w:p w14:paraId="2F02C707" w14:textId="77777777" w:rsidR="00140B7C" w:rsidRPr="00EC4EC4" w:rsidRDefault="00140B7C" w:rsidP="00BC1087">
            <w:pPr>
              <w:widowControl w:val="0"/>
              <w:kinsoku w:val="0"/>
              <w:spacing w:after="0" w:line="240" w:lineRule="auto"/>
              <w:ind w:left="342"/>
              <w:contextualSpacing/>
              <w:rPr>
                <w:rFonts w:eastAsia="Times New Roman" w:cs="Times New Roman"/>
                <w:sz w:val="16"/>
                <w:szCs w:val="16"/>
              </w:rPr>
            </w:pPr>
            <w:r w:rsidRPr="00EC4EC4">
              <w:rPr>
                <w:rFonts w:eastAsia="Times New Roman" w:cs="Times New Roman"/>
                <w:sz w:val="16"/>
                <w:szCs w:val="16"/>
              </w:rPr>
              <w:t>Stage floors</w:t>
            </w:r>
          </w:p>
          <w:p w14:paraId="189A1E34" w14:textId="77777777" w:rsidR="00140B7C" w:rsidRPr="00EC4EC4" w:rsidRDefault="00140B7C" w:rsidP="00BC1087">
            <w:pPr>
              <w:widowControl w:val="0"/>
              <w:kinsoku w:val="0"/>
              <w:spacing w:after="0" w:line="240" w:lineRule="auto"/>
              <w:ind w:left="342"/>
              <w:contextualSpacing/>
              <w:rPr>
                <w:rFonts w:eastAsia="Times New Roman" w:cs="Times New Roman"/>
                <w:sz w:val="16"/>
                <w:szCs w:val="16"/>
              </w:rPr>
            </w:pPr>
            <w:r w:rsidRPr="00EC4EC4">
              <w:rPr>
                <w:rFonts w:eastAsia="Times New Roman" w:cs="Times New Roman"/>
                <w:sz w:val="16"/>
                <w:szCs w:val="16"/>
              </w:rPr>
              <w:t>Platforms (assembly)</w:t>
            </w:r>
          </w:p>
          <w:p w14:paraId="6B856F61" w14:textId="77777777" w:rsidR="00140B7C" w:rsidRPr="00EC4EC4" w:rsidRDefault="00140B7C" w:rsidP="00BC1087">
            <w:pPr>
              <w:widowControl w:val="0"/>
              <w:kinsoku w:val="0"/>
              <w:spacing w:after="0" w:line="240" w:lineRule="auto"/>
              <w:ind w:left="342"/>
              <w:contextualSpacing/>
              <w:rPr>
                <w:rFonts w:eastAsia="Times New Roman" w:cs="Times New Roman"/>
                <w:sz w:val="16"/>
                <w:szCs w:val="16"/>
              </w:rPr>
            </w:pPr>
            <w:r w:rsidRPr="00EC4EC4">
              <w:rPr>
                <w:rFonts w:eastAsia="Times New Roman" w:cs="Times New Roman"/>
                <w:sz w:val="16"/>
                <w:szCs w:val="16"/>
              </w:rPr>
              <w:t>Other assembly spaces</w:t>
            </w:r>
          </w:p>
        </w:tc>
        <w:tc>
          <w:tcPr>
            <w:tcW w:w="2181" w:type="dxa"/>
          </w:tcPr>
          <w:p w14:paraId="790EC8C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73A8EA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60</w:t>
            </w:r>
            <w:r w:rsidRPr="00EC4EC4">
              <w:rPr>
                <w:rFonts w:eastAsia="Times New Roman" w:cs="Times New Roman"/>
                <w:sz w:val="16"/>
                <w:szCs w:val="16"/>
                <w:vertAlign w:val="superscript"/>
              </w:rPr>
              <w:t>m</w:t>
            </w:r>
          </w:p>
          <w:p w14:paraId="2C808F3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50</w:t>
            </w:r>
            <w:r w:rsidRPr="00EC4EC4">
              <w:rPr>
                <w:rFonts w:eastAsia="Times New Roman" w:cs="Times New Roman"/>
                <w:sz w:val="16"/>
                <w:szCs w:val="16"/>
              </w:rPr>
              <w:br/>
            </w:r>
            <w:r w:rsidRPr="00EC4EC4">
              <w:rPr>
                <w:rFonts w:eastAsia="Times New Roman" w:cs="Times New Roman"/>
                <w:sz w:val="16"/>
                <w:szCs w:val="16"/>
              </w:rPr>
              <w:lastRenderedPageBreak/>
              <w:t>100</w:t>
            </w:r>
            <w:r w:rsidRPr="00EC4EC4">
              <w:rPr>
                <w:rFonts w:eastAsia="Times New Roman" w:cs="Times New Roman"/>
                <w:sz w:val="16"/>
                <w:szCs w:val="16"/>
                <w:vertAlign w:val="superscript"/>
              </w:rPr>
              <w:t>m</w:t>
            </w:r>
          </w:p>
          <w:p w14:paraId="5B02067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r w:rsidRPr="00EC4EC4">
              <w:rPr>
                <w:rFonts w:eastAsia="Times New Roman" w:cs="Times New Roman"/>
                <w:sz w:val="16"/>
                <w:szCs w:val="16"/>
                <w:vertAlign w:val="superscript"/>
              </w:rPr>
              <w:t>m</w:t>
            </w:r>
          </w:p>
          <w:p w14:paraId="77BE0D5D"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50</w:t>
            </w:r>
          </w:p>
          <w:p w14:paraId="5113B3B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150</w:t>
            </w:r>
            <w:r w:rsidRPr="00EC4EC4">
              <w:rPr>
                <w:rFonts w:eastAsia="Times New Roman" w:cs="Times New Roman"/>
                <w:sz w:val="16"/>
                <w:szCs w:val="16"/>
                <w:vertAlign w:val="superscript"/>
              </w:rPr>
              <w:t>n</w:t>
            </w:r>
          </w:p>
          <w:p w14:paraId="7BE1D13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r w:rsidRPr="00EC4EC4">
              <w:rPr>
                <w:rFonts w:eastAsia="Times New Roman" w:cs="Times New Roman"/>
                <w:sz w:val="16"/>
                <w:szCs w:val="16"/>
                <w:vertAlign w:val="superscript"/>
              </w:rPr>
              <w:t>m</w:t>
            </w:r>
          </w:p>
          <w:p w14:paraId="2124EAA0"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 xml:space="preserve"> 100</w:t>
            </w:r>
            <w:r w:rsidRPr="00EC4EC4">
              <w:rPr>
                <w:rFonts w:eastAsia="Times New Roman" w:cs="Times New Roman"/>
                <w:sz w:val="16"/>
                <w:szCs w:val="16"/>
                <w:vertAlign w:val="superscript"/>
              </w:rPr>
              <w:t>m</w:t>
            </w:r>
          </w:p>
        </w:tc>
        <w:tc>
          <w:tcPr>
            <w:tcW w:w="2494" w:type="dxa"/>
            <w:vAlign w:val="center"/>
          </w:tcPr>
          <w:p w14:paraId="2049D17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lastRenderedPageBreak/>
              <w:t>─</w:t>
            </w:r>
          </w:p>
          <w:p w14:paraId="4AF5BE2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r>
      <w:tr w:rsidR="00140B7C" w:rsidRPr="00EC4EC4" w14:paraId="75579419" w14:textId="77777777" w:rsidTr="00BC1087">
        <w:trPr>
          <w:trHeight w:val="593"/>
        </w:trPr>
        <w:tc>
          <w:tcPr>
            <w:tcW w:w="4855" w:type="dxa"/>
          </w:tcPr>
          <w:p w14:paraId="4F799542"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5. Balconies and Decks</w:t>
            </w:r>
            <w:r w:rsidRPr="00EC4EC4">
              <w:rPr>
                <w:rFonts w:eastAsia="Times New Roman" w:cs="Times New Roman"/>
                <w:sz w:val="16"/>
                <w:szCs w:val="16"/>
                <w:vertAlign w:val="superscript"/>
              </w:rPr>
              <w:t>h</w:t>
            </w:r>
          </w:p>
        </w:tc>
        <w:tc>
          <w:tcPr>
            <w:tcW w:w="2181" w:type="dxa"/>
          </w:tcPr>
          <w:p w14:paraId="065FE43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1.5 times the live load for the occupancy served. Not required to exceed 100 psf</w:t>
            </w:r>
          </w:p>
        </w:tc>
        <w:tc>
          <w:tcPr>
            <w:tcW w:w="2494" w:type="dxa"/>
            <w:vAlign w:val="center"/>
          </w:tcPr>
          <w:p w14:paraId="27C2C04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1CA4A5C7" w14:textId="77777777" w:rsidTr="00BC1087">
        <w:trPr>
          <w:trHeight w:val="179"/>
        </w:trPr>
        <w:tc>
          <w:tcPr>
            <w:tcW w:w="4855" w:type="dxa"/>
          </w:tcPr>
          <w:p w14:paraId="3BD96C48"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6. Catwalks</w:t>
            </w:r>
          </w:p>
        </w:tc>
        <w:tc>
          <w:tcPr>
            <w:tcW w:w="2181" w:type="dxa"/>
          </w:tcPr>
          <w:p w14:paraId="1F1BE0E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40</w:t>
            </w:r>
          </w:p>
        </w:tc>
        <w:tc>
          <w:tcPr>
            <w:tcW w:w="2494" w:type="dxa"/>
          </w:tcPr>
          <w:p w14:paraId="0B8F89C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 xml:space="preserve"> 300</w:t>
            </w:r>
          </w:p>
        </w:tc>
      </w:tr>
      <w:tr w:rsidR="00140B7C" w:rsidRPr="00EC4EC4" w14:paraId="3401F9F3" w14:textId="77777777" w:rsidTr="00BC1087">
        <w:trPr>
          <w:trHeight w:val="179"/>
        </w:trPr>
        <w:tc>
          <w:tcPr>
            <w:tcW w:w="4855" w:type="dxa"/>
          </w:tcPr>
          <w:p w14:paraId="73789603"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7. Cornices </w:t>
            </w:r>
          </w:p>
        </w:tc>
        <w:tc>
          <w:tcPr>
            <w:tcW w:w="2181" w:type="dxa"/>
          </w:tcPr>
          <w:p w14:paraId="741FDF4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60</w:t>
            </w:r>
          </w:p>
        </w:tc>
        <w:tc>
          <w:tcPr>
            <w:tcW w:w="2494" w:type="dxa"/>
          </w:tcPr>
          <w:p w14:paraId="05C6BB0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27D1A5ED" w14:textId="77777777" w:rsidTr="00BC1087">
        <w:tc>
          <w:tcPr>
            <w:tcW w:w="4855" w:type="dxa"/>
          </w:tcPr>
          <w:p w14:paraId="4ADEA329"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8. Corridors </w:t>
            </w:r>
          </w:p>
          <w:p w14:paraId="5A264B76"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First floor</w:t>
            </w:r>
          </w:p>
          <w:p w14:paraId="0A29D978"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Other floors</w:t>
            </w:r>
          </w:p>
        </w:tc>
        <w:tc>
          <w:tcPr>
            <w:tcW w:w="2181" w:type="dxa"/>
          </w:tcPr>
          <w:p w14:paraId="02887DC8" w14:textId="77777777" w:rsidR="00140B7C" w:rsidRPr="00EC4EC4" w:rsidRDefault="00140B7C" w:rsidP="00BC1087">
            <w:pPr>
              <w:widowControl w:val="0"/>
              <w:tabs>
                <w:tab w:val="left" w:pos="919"/>
                <w:tab w:val="center" w:pos="1089"/>
              </w:tabs>
              <w:kinsoku w:val="0"/>
              <w:spacing w:after="0" w:line="240" w:lineRule="auto"/>
              <w:ind w:left="144"/>
              <w:contextualSpacing/>
              <w:rPr>
                <w:rFonts w:eastAsia="Times New Roman" w:cs="Times New Roman"/>
                <w:sz w:val="16"/>
                <w:szCs w:val="16"/>
              </w:rPr>
            </w:pPr>
            <w:r w:rsidRPr="00EC4EC4">
              <w:rPr>
                <w:rFonts w:eastAsia="Times New Roman" w:cs="Times New Roman"/>
                <w:sz w:val="16"/>
                <w:szCs w:val="16"/>
              </w:rPr>
              <w:tab/>
            </w:r>
          </w:p>
          <w:p w14:paraId="494E0313" w14:textId="77777777" w:rsidR="00140B7C" w:rsidRPr="00EC4EC4" w:rsidRDefault="00140B7C" w:rsidP="00BC1087">
            <w:pPr>
              <w:widowControl w:val="0"/>
              <w:tabs>
                <w:tab w:val="left" w:pos="919"/>
                <w:tab w:val="center" w:pos="1089"/>
              </w:tabs>
              <w:kinsoku w:val="0"/>
              <w:spacing w:after="0" w:line="240" w:lineRule="auto"/>
              <w:ind w:left="144"/>
              <w:contextualSpacing/>
              <w:rPr>
                <w:rFonts w:eastAsia="Times New Roman" w:cs="Times New Roman"/>
                <w:sz w:val="16"/>
                <w:szCs w:val="16"/>
              </w:rPr>
            </w:pPr>
            <w:r w:rsidRPr="00EC4EC4">
              <w:rPr>
                <w:rFonts w:eastAsia="Times New Roman" w:cs="Times New Roman"/>
                <w:sz w:val="16"/>
                <w:szCs w:val="16"/>
              </w:rPr>
              <w:tab/>
              <w:t>100</w:t>
            </w:r>
            <w:r w:rsidRPr="00EC4EC4">
              <w:rPr>
                <w:rFonts w:eastAsia="Times New Roman" w:cs="Times New Roman"/>
                <w:sz w:val="16"/>
                <w:szCs w:val="16"/>
              </w:rPr>
              <w:br/>
              <w:t>Same as occupancy served except as indicated</w:t>
            </w:r>
          </w:p>
        </w:tc>
        <w:tc>
          <w:tcPr>
            <w:tcW w:w="2494" w:type="dxa"/>
            <w:vAlign w:val="center"/>
          </w:tcPr>
          <w:p w14:paraId="50D8CA3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6CA2199F" w14:textId="77777777" w:rsidTr="00BC1087">
        <w:tc>
          <w:tcPr>
            <w:tcW w:w="4855" w:type="dxa"/>
          </w:tcPr>
          <w:p w14:paraId="30D72CB2"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9. Dining rooms and restaurants</w:t>
            </w:r>
          </w:p>
        </w:tc>
        <w:tc>
          <w:tcPr>
            <w:tcW w:w="2181" w:type="dxa"/>
          </w:tcPr>
          <w:p w14:paraId="49DA79F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r w:rsidRPr="00EC4EC4">
              <w:rPr>
                <w:rFonts w:eastAsia="Times New Roman" w:cs="Times New Roman"/>
                <w:sz w:val="16"/>
                <w:szCs w:val="16"/>
                <w:vertAlign w:val="superscript"/>
              </w:rPr>
              <w:t>m</w:t>
            </w:r>
          </w:p>
        </w:tc>
        <w:tc>
          <w:tcPr>
            <w:tcW w:w="2494" w:type="dxa"/>
          </w:tcPr>
          <w:p w14:paraId="5D85AF4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1286D905" w14:textId="77777777" w:rsidTr="00BC1087">
        <w:tc>
          <w:tcPr>
            <w:tcW w:w="4855" w:type="dxa"/>
          </w:tcPr>
          <w:p w14:paraId="21BDD902"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10. Dwellings (see residential)</w:t>
            </w:r>
          </w:p>
        </w:tc>
        <w:tc>
          <w:tcPr>
            <w:tcW w:w="2181" w:type="dxa"/>
          </w:tcPr>
          <w:p w14:paraId="0B3AD91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c>
          <w:tcPr>
            <w:tcW w:w="2494" w:type="dxa"/>
          </w:tcPr>
          <w:p w14:paraId="6BA776D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495372A2" w14:textId="77777777" w:rsidTr="00BC1087">
        <w:trPr>
          <w:trHeight w:val="206"/>
        </w:trPr>
        <w:tc>
          <w:tcPr>
            <w:tcW w:w="4855" w:type="dxa"/>
          </w:tcPr>
          <w:p w14:paraId="5A40503C"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11. Elevator machine room and control room grating (on area of 2 inches by 2 inches)</w:t>
            </w:r>
          </w:p>
        </w:tc>
        <w:tc>
          <w:tcPr>
            <w:tcW w:w="2181" w:type="dxa"/>
            <w:vAlign w:val="center"/>
          </w:tcPr>
          <w:p w14:paraId="7052E935"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c>
          <w:tcPr>
            <w:tcW w:w="2494" w:type="dxa"/>
            <w:vAlign w:val="center"/>
          </w:tcPr>
          <w:p w14:paraId="37C9872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300</w:t>
            </w:r>
          </w:p>
        </w:tc>
      </w:tr>
      <w:tr w:rsidR="00140B7C" w:rsidRPr="00EC4EC4" w14:paraId="44FE93D8" w14:textId="77777777" w:rsidTr="00BC1087">
        <w:tc>
          <w:tcPr>
            <w:tcW w:w="4855" w:type="dxa"/>
          </w:tcPr>
          <w:p w14:paraId="21618DEA" w14:textId="77777777" w:rsidR="00140B7C" w:rsidRPr="00EC4EC4" w:rsidRDefault="00140B7C" w:rsidP="00BC1087">
            <w:pPr>
              <w:widowControl w:val="0"/>
              <w:kinsoku w:val="0"/>
              <w:spacing w:after="0" w:line="240" w:lineRule="auto"/>
              <w:ind w:left="252" w:hanging="252"/>
              <w:rPr>
                <w:rFonts w:eastAsia="Times New Roman" w:cs="Times New Roman"/>
                <w:sz w:val="16"/>
                <w:szCs w:val="16"/>
              </w:rPr>
            </w:pPr>
            <w:r w:rsidRPr="00EC4EC4">
              <w:rPr>
                <w:rFonts w:eastAsia="Times New Roman" w:cs="Times New Roman"/>
                <w:sz w:val="16"/>
                <w:szCs w:val="16"/>
              </w:rPr>
              <w:t>12. Equipment rooms, including pump rooms, generator rooms, transformer vaults, and areas for switch gear, ventilating, air conditioning, and similar electrical and mechanical equipment</w:t>
            </w:r>
          </w:p>
        </w:tc>
        <w:tc>
          <w:tcPr>
            <w:tcW w:w="2181" w:type="dxa"/>
          </w:tcPr>
          <w:p w14:paraId="368E146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03B1E82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75</w:t>
            </w:r>
          </w:p>
        </w:tc>
        <w:tc>
          <w:tcPr>
            <w:tcW w:w="2494" w:type="dxa"/>
          </w:tcPr>
          <w:p w14:paraId="5B23B1C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0367ED13" w14:textId="77777777" w:rsidR="00140B7C" w:rsidRPr="00EC4EC4" w:rsidRDefault="00140B7C" w:rsidP="00BC1087">
            <w:pPr>
              <w:widowControl w:val="0"/>
              <w:kinsoku w:val="0"/>
              <w:spacing w:after="0" w:line="240" w:lineRule="auto"/>
              <w:ind w:left="144"/>
              <w:contextualSpacing/>
              <w:jc w:val="center"/>
              <w:rPr>
                <w:rFonts w:eastAsia="Times New Roman" w:cs="Times New Roman"/>
                <w:i/>
                <w:sz w:val="16"/>
                <w:szCs w:val="16"/>
                <w:u w:val="single"/>
              </w:rPr>
            </w:pPr>
            <w:r w:rsidRPr="00EC4EC4">
              <w:rPr>
                <w:rFonts w:eastAsia="Times New Roman" w:cs="Times New Roman"/>
                <w:sz w:val="16"/>
                <w:szCs w:val="16"/>
                <w:u w:val="single"/>
              </w:rPr>
              <w:t>─</w:t>
            </w:r>
          </w:p>
        </w:tc>
      </w:tr>
      <w:tr w:rsidR="00140B7C" w:rsidRPr="00EC4EC4" w14:paraId="4E615D7D" w14:textId="77777777" w:rsidTr="00BC1087">
        <w:tc>
          <w:tcPr>
            <w:tcW w:w="4855" w:type="dxa"/>
          </w:tcPr>
          <w:p w14:paraId="757AAA2B"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13. Finish light floor plate construction (on area of 1 inch by 1 inch) </w:t>
            </w:r>
          </w:p>
        </w:tc>
        <w:tc>
          <w:tcPr>
            <w:tcW w:w="2181" w:type="dxa"/>
            <w:vAlign w:val="center"/>
          </w:tcPr>
          <w:p w14:paraId="7DDF389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c>
          <w:tcPr>
            <w:tcW w:w="2494" w:type="dxa"/>
            <w:vAlign w:val="center"/>
          </w:tcPr>
          <w:p w14:paraId="778BEF1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200</w:t>
            </w:r>
          </w:p>
        </w:tc>
      </w:tr>
      <w:tr w:rsidR="00140B7C" w:rsidRPr="00EC4EC4" w14:paraId="1089F110" w14:textId="77777777" w:rsidTr="00BC1087">
        <w:tc>
          <w:tcPr>
            <w:tcW w:w="4855" w:type="dxa"/>
          </w:tcPr>
          <w:p w14:paraId="084C6D8A"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14. Fire escapes (exterior) </w:t>
            </w:r>
          </w:p>
          <w:p w14:paraId="7712F489"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On single-family dwellings only</w:t>
            </w:r>
          </w:p>
        </w:tc>
        <w:tc>
          <w:tcPr>
            <w:tcW w:w="2181" w:type="dxa"/>
          </w:tcPr>
          <w:p w14:paraId="2D3C2ED2"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p>
          <w:p w14:paraId="78DCFC4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40</w:t>
            </w:r>
          </w:p>
        </w:tc>
        <w:tc>
          <w:tcPr>
            <w:tcW w:w="2494" w:type="dxa"/>
            <w:vAlign w:val="center"/>
          </w:tcPr>
          <w:p w14:paraId="50C7801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7F674D42" w14:textId="77777777" w:rsidTr="00BC1087">
        <w:trPr>
          <w:trHeight w:val="154"/>
        </w:trPr>
        <w:tc>
          <w:tcPr>
            <w:tcW w:w="4855" w:type="dxa"/>
            <w:vMerge w:val="restart"/>
          </w:tcPr>
          <w:p w14:paraId="16F1AC36"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15. Garages (passenger vehicles only)</w:t>
            </w:r>
          </w:p>
          <w:p w14:paraId="50684C56"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Trucks and buses</w:t>
            </w:r>
          </w:p>
        </w:tc>
        <w:tc>
          <w:tcPr>
            <w:tcW w:w="2181" w:type="dxa"/>
            <w:vAlign w:val="center"/>
          </w:tcPr>
          <w:p w14:paraId="4C456C56" w14:textId="77777777" w:rsidR="00140B7C" w:rsidRPr="00EC4EC4" w:rsidRDefault="00140B7C" w:rsidP="00BC1087">
            <w:pPr>
              <w:widowControl w:val="0"/>
              <w:kinsoku w:val="0"/>
              <w:spacing w:after="0" w:line="240" w:lineRule="auto"/>
              <w:contextualSpacing/>
              <w:jc w:val="center"/>
              <w:rPr>
                <w:rFonts w:eastAsia="Times New Roman" w:cs="Times New Roman"/>
                <w:sz w:val="16"/>
                <w:szCs w:val="16"/>
              </w:rPr>
            </w:pPr>
            <w:r w:rsidRPr="00EC4EC4">
              <w:rPr>
                <w:rFonts w:eastAsia="Times New Roman" w:cs="Times New Roman"/>
                <w:sz w:val="16"/>
                <w:szCs w:val="16"/>
              </w:rPr>
              <w:t>40</w:t>
            </w:r>
            <w:r w:rsidRPr="00EC4EC4">
              <w:rPr>
                <w:rFonts w:eastAsia="Times New Roman" w:cs="Times New Roman"/>
                <w:sz w:val="16"/>
                <w:szCs w:val="16"/>
                <w:vertAlign w:val="superscript"/>
              </w:rPr>
              <w:t>o</w:t>
            </w:r>
          </w:p>
        </w:tc>
        <w:tc>
          <w:tcPr>
            <w:tcW w:w="2494" w:type="dxa"/>
            <w:vAlign w:val="center"/>
          </w:tcPr>
          <w:p w14:paraId="1E5A0B1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Note a</w:t>
            </w:r>
          </w:p>
        </w:tc>
      </w:tr>
      <w:tr w:rsidR="00140B7C" w:rsidRPr="00EC4EC4" w14:paraId="76ECE445" w14:textId="77777777" w:rsidTr="00BC1087">
        <w:trPr>
          <w:trHeight w:val="154"/>
        </w:trPr>
        <w:tc>
          <w:tcPr>
            <w:tcW w:w="4855" w:type="dxa"/>
            <w:vMerge/>
          </w:tcPr>
          <w:p w14:paraId="390BE51F" w14:textId="77777777" w:rsidR="00140B7C" w:rsidRPr="00EC4EC4" w:rsidRDefault="00140B7C" w:rsidP="00BC1087">
            <w:pPr>
              <w:widowControl w:val="0"/>
              <w:kinsoku w:val="0"/>
              <w:spacing w:after="0" w:line="240" w:lineRule="auto"/>
              <w:rPr>
                <w:rFonts w:eastAsia="Times New Roman" w:cs="Times New Roman"/>
                <w:sz w:val="16"/>
                <w:szCs w:val="16"/>
              </w:rPr>
            </w:pPr>
          </w:p>
        </w:tc>
        <w:tc>
          <w:tcPr>
            <w:tcW w:w="4675" w:type="dxa"/>
            <w:gridSpan w:val="2"/>
            <w:vAlign w:val="center"/>
          </w:tcPr>
          <w:p w14:paraId="1861B1C0" w14:textId="77777777" w:rsidR="00140B7C" w:rsidRPr="00EC4EC4" w:rsidRDefault="00140B7C" w:rsidP="00BC1087">
            <w:pPr>
              <w:widowControl w:val="0"/>
              <w:kinsoku w:val="0"/>
              <w:spacing w:after="0" w:line="240" w:lineRule="auto"/>
              <w:contextualSpacing/>
              <w:jc w:val="center"/>
              <w:rPr>
                <w:rFonts w:eastAsia="Times New Roman" w:cs="Times New Roman"/>
                <w:sz w:val="16"/>
                <w:szCs w:val="16"/>
              </w:rPr>
            </w:pPr>
            <w:r w:rsidRPr="00EC4EC4">
              <w:rPr>
                <w:rFonts w:eastAsia="Times New Roman" w:cs="Times New Roman"/>
                <w:sz w:val="16"/>
                <w:szCs w:val="16"/>
              </w:rPr>
              <w:t xml:space="preserve">   See Section 1607.7</w:t>
            </w:r>
          </w:p>
        </w:tc>
      </w:tr>
      <w:tr w:rsidR="00140B7C" w:rsidRPr="00EC4EC4" w14:paraId="6804EBFC" w14:textId="77777777" w:rsidTr="00BC1087">
        <w:tc>
          <w:tcPr>
            <w:tcW w:w="4855" w:type="dxa"/>
          </w:tcPr>
          <w:p w14:paraId="78FE1CE1"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16. Handrails, guards and grab bars</w:t>
            </w:r>
          </w:p>
        </w:tc>
        <w:tc>
          <w:tcPr>
            <w:tcW w:w="4675" w:type="dxa"/>
            <w:gridSpan w:val="2"/>
          </w:tcPr>
          <w:p w14:paraId="47A6E0A5"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See Section 1607.8</w:t>
            </w:r>
          </w:p>
        </w:tc>
      </w:tr>
      <w:tr w:rsidR="00140B7C" w:rsidRPr="00EC4EC4" w14:paraId="3391A96B" w14:textId="77777777" w:rsidTr="00BC1087">
        <w:tc>
          <w:tcPr>
            <w:tcW w:w="4855" w:type="dxa"/>
          </w:tcPr>
          <w:p w14:paraId="1FDE1EC8"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17. Helipads</w:t>
            </w:r>
          </w:p>
        </w:tc>
        <w:tc>
          <w:tcPr>
            <w:tcW w:w="4675" w:type="dxa"/>
            <w:gridSpan w:val="2"/>
          </w:tcPr>
          <w:p w14:paraId="274F984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See Section 1607.6</w:t>
            </w:r>
          </w:p>
        </w:tc>
      </w:tr>
      <w:tr w:rsidR="00140B7C" w:rsidRPr="00EC4EC4" w14:paraId="58ABE81C" w14:textId="77777777" w:rsidTr="00BC1087">
        <w:tc>
          <w:tcPr>
            <w:tcW w:w="4855" w:type="dxa"/>
          </w:tcPr>
          <w:p w14:paraId="761D4E9A"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18. Hospitals</w:t>
            </w:r>
          </w:p>
          <w:p w14:paraId="5D5D56E4"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Corridors above first floor</w:t>
            </w:r>
          </w:p>
          <w:p w14:paraId="60DB46DD"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Operating rooms, laboratories</w:t>
            </w:r>
          </w:p>
          <w:p w14:paraId="573A648D"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Patient [</w:t>
            </w:r>
            <w:r w:rsidRPr="00EC4EC4">
              <w:rPr>
                <w:rFonts w:eastAsia="Times New Roman" w:cs="Times New Roman"/>
                <w:strike/>
                <w:sz w:val="16"/>
                <w:szCs w:val="16"/>
              </w:rPr>
              <w:t>Rooms</w:t>
            </w:r>
            <w:r w:rsidRPr="00EC4EC4">
              <w:rPr>
                <w:rFonts w:eastAsia="Times New Roman" w:cs="Times New Roman"/>
                <w:sz w:val="16"/>
                <w:szCs w:val="16"/>
              </w:rPr>
              <w:t>]</w:t>
            </w:r>
            <w:r w:rsidRPr="00EC4EC4">
              <w:rPr>
                <w:rFonts w:eastAsia="Times New Roman" w:cs="Times New Roman"/>
                <w:sz w:val="16"/>
                <w:szCs w:val="16"/>
                <w:u w:val="single"/>
              </w:rPr>
              <w:t>rooms</w:t>
            </w:r>
          </w:p>
          <w:p w14:paraId="76304E02" w14:textId="77777777" w:rsidR="00140B7C" w:rsidRPr="00EC4EC4" w:rsidRDefault="00140B7C" w:rsidP="00BC1087">
            <w:pPr>
              <w:widowControl w:val="0"/>
              <w:kinsoku w:val="0"/>
              <w:spacing w:after="0" w:line="240" w:lineRule="auto"/>
              <w:ind w:left="342"/>
              <w:rPr>
                <w:rFonts w:eastAsia="Times New Roman" w:cs="Times New Roman"/>
                <w:sz w:val="16"/>
                <w:szCs w:val="16"/>
              </w:rPr>
            </w:pPr>
          </w:p>
        </w:tc>
        <w:tc>
          <w:tcPr>
            <w:tcW w:w="2181" w:type="dxa"/>
          </w:tcPr>
          <w:p w14:paraId="362DAC4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137A5F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80</w:t>
            </w:r>
          </w:p>
          <w:p w14:paraId="1EE6E41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60</w:t>
            </w:r>
          </w:p>
          <w:p w14:paraId="1AC8839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40</w:t>
            </w:r>
          </w:p>
          <w:p w14:paraId="196D3E2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c>
          <w:tcPr>
            <w:tcW w:w="2494" w:type="dxa"/>
          </w:tcPr>
          <w:p w14:paraId="0EF53EA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717124CB"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1C9D6C52"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5E5140E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6E33EA2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r>
      <w:tr w:rsidR="00140B7C" w:rsidRPr="00EC4EC4" w14:paraId="5E2DBFD8" w14:textId="77777777" w:rsidTr="00BC1087">
        <w:tc>
          <w:tcPr>
            <w:tcW w:w="4855" w:type="dxa"/>
          </w:tcPr>
          <w:p w14:paraId="55F46EAF"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19. Hotels (see residential)</w:t>
            </w:r>
          </w:p>
        </w:tc>
        <w:tc>
          <w:tcPr>
            <w:tcW w:w="2181" w:type="dxa"/>
          </w:tcPr>
          <w:p w14:paraId="1D471AB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c>
          <w:tcPr>
            <w:tcW w:w="2494" w:type="dxa"/>
          </w:tcPr>
          <w:p w14:paraId="4BD8FB4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31BFBA31" w14:textId="77777777" w:rsidTr="00BC1087">
        <w:tc>
          <w:tcPr>
            <w:tcW w:w="4855" w:type="dxa"/>
          </w:tcPr>
          <w:p w14:paraId="1C259983"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20. Libraries</w:t>
            </w:r>
          </w:p>
          <w:p w14:paraId="697EFA79"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Corridors above first floor</w:t>
            </w:r>
          </w:p>
          <w:p w14:paraId="475BE386"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Reading rooms</w:t>
            </w:r>
          </w:p>
          <w:p w14:paraId="2B347747"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Stack rooms</w:t>
            </w:r>
          </w:p>
          <w:p w14:paraId="16D0B257" w14:textId="77777777" w:rsidR="00140B7C" w:rsidRPr="00EC4EC4" w:rsidRDefault="00140B7C" w:rsidP="00BC1087">
            <w:pPr>
              <w:widowControl w:val="0"/>
              <w:kinsoku w:val="0"/>
              <w:spacing w:after="0" w:line="240" w:lineRule="auto"/>
              <w:ind w:left="342"/>
              <w:rPr>
                <w:rFonts w:eastAsia="Times New Roman" w:cs="Times New Roman"/>
                <w:sz w:val="16"/>
                <w:szCs w:val="16"/>
              </w:rPr>
            </w:pPr>
          </w:p>
        </w:tc>
        <w:tc>
          <w:tcPr>
            <w:tcW w:w="2181" w:type="dxa"/>
          </w:tcPr>
          <w:p w14:paraId="5F567B6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3C85F42"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80</w:t>
            </w:r>
          </w:p>
          <w:p w14:paraId="08FB15B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60</w:t>
            </w:r>
          </w:p>
          <w:p w14:paraId="237D8DF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150</w:t>
            </w:r>
            <w:r w:rsidRPr="00EC4EC4">
              <w:rPr>
                <w:rFonts w:eastAsia="Times New Roman" w:cs="Times New Roman"/>
                <w:sz w:val="16"/>
                <w:szCs w:val="16"/>
                <w:vertAlign w:val="superscript"/>
              </w:rPr>
              <w:t>b,n</w:t>
            </w:r>
          </w:p>
          <w:p w14:paraId="22BBE6D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c>
          <w:tcPr>
            <w:tcW w:w="2494" w:type="dxa"/>
          </w:tcPr>
          <w:p w14:paraId="1D93A31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3E4932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32EE2B4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75FF93D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68D796C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r>
      <w:tr w:rsidR="00140B7C" w:rsidRPr="00EC4EC4" w14:paraId="003724B8" w14:textId="77777777" w:rsidTr="00BC1087">
        <w:tc>
          <w:tcPr>
            <w:tcW w:w="4855" w:type="dxa"/>
          </w:tcPr>
          <w:p w14:paraId="2356AD3D"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21. Manufacturing </w:t>
            </w:r>
          </w:p>
          <w:p w14:paraId="4F40C2EB"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Heavy</w:t>
            </w:r>
          </w:p>
          <w:p w14:paraId="02828F56"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Light</w:t>
            </w:r>
          </w:p>
          <w:p w14:paraId="65C1812D" w14:textId="77777777" w:rsidR="00140B7C" w:rsidRPr="00EC4EC4" w:rsidRDefault="00140B7C" w:rsidP="00BC1087">
            <w:pPr>
              <w:widowControl w:val="0"/>
              <w:kinsoku w:val="0"/>
              <w:spacing w:after="0" w:line="240" w:lineRule="auto"/>
              <w:ind w:left="342"/>
              <w:rPr>
                <w:rFonts w:eastAsia="Times New Roman" w:cs="Times New Roman"/>
                <w:sz w:val="16"/>
                <w:szCs w:val="16"/>
              </w:rPr>
            </w:pPr>
          </w:p>
        </w:tc>
        <w:tc>
          <w:tcPr>
            <w:tcW w:w="2181" w:type="dxa"/>
          </w:tcPr>
          <w:p w14:paraId="4B85784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5A6375C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250</w:t>
            </w:r>
            <w:r w:rsidRPr="00EC4EC4">
              <w:rPr>
                <w:rFonts w:eastAsia="Times New Roman" w:cs="Times New Roman"/>
                <w:sz w:val="16"/>
                <w:szCs w:val="16"/>
                <w:vertAlign w:val="superscript"/>
              </w:rPr>
              <w:t>n</w:t>
            </w:r>
          </w:p>
          <w:p w14:paraId="34AB6D60"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125</w:t>
            </w:r>
            <w:r w:rsidRPr="00EC4EC4">
              <w:rPr>
                <w:rFonts w:eastAsia="Times New Roman" w:cs="Times New Roman"/>
                <w:sz w:val="16"/>
                <w:szCs w:val="16"/>
                <w:vertAlign w:val="superscript"/>
              </w:rPr>
              <w:t>n</w:t>
            </w:r>
          </w:p>
          <w:p w14:paraId="2F8FDA4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c>
          <w:tcPr>
            <w:tcW w:w="2494" w:type="dxa"/>
          </w:tcPr>
          <w:p w14:paraId="3CB5F74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2BDBAFE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3,000</w:t>
            </w:r>
          </w:p>
          <w:p w14:paraId="25F77C8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2,000</w:t>
            </w:r>
          </w:p>
          <w:p w14:paraId="2271BB9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r>
      <w:tr w:rsidR="00140B7C" w:rsidRPr="00EC4EC4" w14:paraId="12E2F734" w14:textId="77777777" w:rsidTr="00BC1087">
        <w:tc>
          <w:tcPr>
            <w:tcW w:w="4855" w:type="dxa"/>
          </w:tcPr>
          <w:p w14:paraId="5E886089"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22. Marquees, except one- and two-family dwellings</w:t>
            </w:r>
          </w:p>
        </w:tc>
        <w:tc>
          <w:tcPr>
            <w:tcW w:w="2181" w:type="dxa"/>
          </w:tcPr>
          <w:p w14:paraId="30EC62BB"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75</w:t>
            </w:r>
          </w:p>
        </w:tc>
        <w:tc>
          <w:tcPr>
            <w:tcW w:w="2494" w:type="dxa"/>
          </w:tcPr>
          <w:p w14:paraId="7794649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302FB7F2" w14:textId="77777777" w:rsidTr="00BC1087">
        <w:trPr>
          <w:trHeight w:val="620"/>
        </w:trPr>
        <w:tc>
          <w:tcPr>
            <w:tcW w:w="4855" w:type="dxa"/>
          </w:tcPr>
          <w:p w14:paraId="2832485B"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23. Office buildings</w:t>
            </w:r>
          </w:p>
          <w:p w14:paraId="2C0E82F5"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Corridors above first floor</w:t>
            </w:r>
          </w:p>
          <w:p w14:paraId="43C2B7D0"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File and computer rooms shall be designed for heavier loads based on anticipated occupancy</w:t>
            </w:r>
          </w:p>
          <w:p w14:paraId="201272FE"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Lobbies and first-floor corridors</w:t>
            </w:r>
          </w:p>
          <w:p w14:paraId="7ED2383C"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Offices</w:t>
            </w:r>
          </w:p>
        </w:tc>
        <w:tc>
          <w:tcPr>
            <w:tcW w:w="2181" w:type="dxa"/>
          </w:tcPr>
          <w:p w14:paraId="61C45E5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563217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80</w:t>
            </w:r>
          </w:p>
          <w:p w14:paraId="0707BC7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ED683E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p w14:paraId="168E871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p>
          <w:p w14:paraId="74E0445B"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50</w:t>
            </w:r>
          </w:p>
          <w:p w14:paraId="5AAB453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c>
          <w:tcPr>
            <w:tcW w:w="2494" w:type="dxa"/>
          </w:tcPr>
          <w:p w14:paraId="778AB65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F81979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2,000</w:t>
            </w:r>
          </w:p>
          <w:p w14:paraId="49A09AF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3166219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p w14:paraId="3624781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2,000</w:t>
            </w:r>
          </w:p>
          <w:p w14:paraId="30203EC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2,000</w:t>
            </w:r>
          </w:p>
          <w:p w14:paraId="6015677B"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r>
      <w:tr w:rsidR="00140B7C" w:rsidRPr="00EC4EC4" w14:paraId="2AC91BA9" w14:textId="77777777" w:rsidTr="00BC1087">
        <w:tc>
          <w:tcPr>
            <w:tcW w:w="4855" w:type="dxa"/>
          </w:tcPr>
          <w:p w14:paraId="31B085B9"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24. Penal institutions</w:t>
            </w:r>
          </w:p>
          <w:p w14:paraId="5C06D6A2"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Cell blocks</w:t>
            </w:r>
          </w:p>
          <w:p w14:paraId="0D64E92F"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Corridors</w:t>
            </w:r>
          </w:p>
        </w:tc>
        <w:tc>
          <w:tcPr>
            <w:tcW w:w="2181" w:type="dxa"/>
          </w:tcPr>
          <w:p w14:paraId="73526BDD"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3C00FB8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40</w:t>
            </w:r>
          </w:p>
          <w:p w14:paraId="0CBEB98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p>
        </w:tc>
        <w:tc>
          <w:tcPr>
            <w:tcW w:w="2494" w:type="dxa"/>
            <w:vAlign w:val="center"/>
          </w:tcPr>
          <w:p w14:paraId="0BDFFBB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3C1386BC" w14:textId="77777777" w:rsidTr="00BC1087">
        <w:tc>
          <w:tcPr>
            <w:tcW w:w="4855" w:type="dxa"/>
          </w:tcPr>
          <w:p w14:paraId="0036FD5D"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25. Recreational uses:</w:t>
            </w:r>
          </w:p>
          <w:p w14:paraId="58A27987"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Bowling alleys, poolrooms and similar uses</w:t>
            </w:r>
          </w:p>
          <w:p w14:paraId="6C1D1858"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Dance halls and ballrooms</w:t>
            </w:r>
          </w:p>
          <w:p w14:paraId="333BCA33"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Gymnasiums</w:t>
            </w:r>
          </w:p>
          <w:p w14:paraId="17C8E577"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Ice skating rink</w:t>
            </w:r>
          </w:p>
          <w:p w14:paraId="1117BF08"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Reviewing stands, grandstands and bleachers</w:t>
            </w:r>
          </w:p>
          <w:p w14:paraId="57083D3E"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Roller skating rink</w:t>
            </w:r>
          </w:p>
          <w:p w14:paraId="72225B39"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Stadiums and arenas with fixed seats (fastened to floor)</w:t>
            </w:r>
          </w:p>
        </w:tc>
        <w:tc>
          <w:tcPr>
            <w:tcW w:w="2181" w:type="dxa"/>
          </w:tcPr>
          <w:p w14:paraId="2B12828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002679B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75</w:t>
            </w:r>
            <w:r w:rsidRPr="00EC4EC4">
              <w:rPr>
                <w:rFonts w:eastAsia="Times New Roman" w:cs="Times New Roman"/>
                <w:sz w:val="16"/>
                <w:szCs w:val="16"/>
                <w:vertAlign w:val="superscript"/>
              </w:rPr>
              <w:t>m</w:t>
            </w:r>
          </w:p>
          <w:p w14:paraId="5F193BC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vertAlign w:val="superscript"/>
              </w:rPr>
            </w:pPr>
            <w:r w:rsidRPr="00EC4EC4">
              <w:rPr>
                <w:rFonts w:eastAsia="Times New Roman" w:cs="Times New Roman"/>
                <w:sz w:val="16"/>
                <w:szCs w:val="16"/>
              </w:rPr>
              <w:t>100</w:t>
            </w:r>
            <w:r w:rsidRPr="00EC4EC4">
              <w:rPr>
                <w:rFonts w:eastAsia="Times New Roman" w:cs="Times New Roman"/>
                <w:sz w:val="16"/>
                <w:szCs w:val="16"/>
                <w:vertAlign w:val="superscript"/>
              </w:rPr>
              <w:t>m</w:t>
            </w:r>
          </w:p>
          <w:p w14:paraId="6617EFC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vertAlign w:val="superscript"/>
              </w:rPr>
            </w:pPr>
            <w:r w:rsidRPr="00EC4EC4">
              <w:rPr>
                <w:rFonts w:eastAsia="Times New Roman" w:cs="Times New Roman"/>
                <w:sz w:val="16"/>
                <w:szCs w:val="16"/>
              </w:rPr>
              <w:t>100</w:t>
            </w:r>
            <w:r w:rsidRPr="00EC4EC4">
              <w:rPr>
                <w:rFonts w:eastAsia="Times New Roman" w:cs="Times New Roman"/>
                <w:sz w:val="16"/>
                <w:szCs w:val="16"/>
                <w:vertAlign w:val="superscript"/>
              </w:rPr>
              <w:t>m</w:t>
            </w:r>
          </w:p>
          <w:p w14:paraId="3F569862"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vertAlign w:val="superscript"/>
              </w:rPr>
            </w:pPr>
            <w:r w:rsidRPr="00EC4EC4">
              <w:rPr>
                <w:rFonts w:eastAsia="Times New Roman" w:cs="Times New Roman"/>
                <w:sz w:val="16"/>
                <w:szCs w:val="16"/>
              </w:rPr>
              <w:t>250</w:t>
            </w:r>
            <w:r w:rsidRPr="00EC4EC4">
              <w:rPr>
                <w:rFonts w:eastAsia="Times New Roman" w:cs="Times New Roman"/>
                <w:sz w:val="16"/>
                <w:szCs w:val="16"/>
                <w:vertAlign w:val="superscript"/>
              </w:rPr>
              <w:t>n</w:t>
            </w:r>
          </w:p>
          <w:p w14:paraId="7820C170"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vertAlign w:val="superscript"/>
              </w:rPr>
            </w:pPr>
            <w:r w:rsidRPr="00EC4EC4">
              <w:rPr>
                <w:rFonts w:eastAsia="Times New Roman" w:cs="Times New Roman"/>
                <w:sz w:val="16"/>
                <w:szCs w:val="16"/>
              </w:rPr>
              <w:t>100</w:t>
            </w:r>
            <w:r w:rsidRPr="00EC4EC4">
              <w:rPr>
                <w:rFonts w:eastAsia="Times New Roman" w:cs="Times New Roman"/>
                <w:sz w:val="16"/>
                <w:szCs w:val="16"/>
                <w:vertAlign w:val="superscript"/>
              </w:rPr>
              <w:t>c,m</w:t>
            </w:r>
          </w:p>
          <w:p w14:paraId="1BA9DDB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vertAlign w:val="superscript"/>
              </w:rPr>
            </w:pPr>
            <w:r w:rsidRPr="00EC4EC4">
              <w:rPr>
                <w:rFonts w:eastAsia="Times New Roman" w:cs="Times New Roman"/>
                <w:sz w:val="16"/>
                <w:szCs w:val="16"/>
              </w:rPr>
              <w:t>100</w:t>
            </w:r>
            <w:r w:rsidRPr="00EC4EC4">
              <w:rPr>
                <w:rFonts w:eastAsia="Times New Roman" w:cs="Times New Roman"/>
                <w:sz w:val="16"/>
                <w:szCs w:val="16"/>
                <w:vertAlign w:val="superscript"/>
              </w:rPr>
              <w:t>m</w:t>
            </w:r>
          </w:p>
          <w:p w14:paraId="5EABDBB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60</w:t>
            </w:r>
            <w:r w:rsidRPr="00EC4EC4">
              <w:rPr>
                <w:rFonts w:eastAsia="Times New Roman" w:cs="Times New Roman"/>
                <w:sz w:val="16"/>
                <w:szCs w:val="16"/>
                <w:vertAlign w:val="superscript"/>
              </w:rPr>
              <w:t>c,m</w:t>
            </w:r>
          </w:p>
        </w:tc>
        <w:tc>
          <w:tcPr>
            <w:tcW w:w="2494" w:type="dxa"/>
            <w:vAlign w:val="center"/>
          </w:tcPr>
          <w:p w14:paraId="021A0A8D"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0D8B8DE8" w14:textId="77777777" w:rsidTr="00BC1087">
        <w:tc>
          <w:tcPr>
            <w:tcW w:w="4855" w:type="dxa"/>
          </w:tcPr>
          <w:p w14:paraId="5424A706"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26. Residential </w:t>
            </w:r>
          </w:p>
          <w:p w14:paraId="1D288206"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One- and two-family dwellings</w:t>
            </w:r>
          </w:p>
          <w:p w14:paraId="3610E8C9" w14:textId="77777777" w:rsidR="00140B7C" w:rsidRPr="00EC4EC4" w:rsidRDefault="00140B7C" w:rsidP="00BC1087">
            <w:pPr>
              <w:widowControl w:val="0"/>
              <w:kinsoku w:val="0"/>
              <w:spacing w:after="0" w:line="240" w:lineRule="auto"/>
              <w:ind w:left="522"/>
              <w:rPr>
                <w:rFonts w:eastAsia="Times New Roman" w:cs="Times New Roman"/>
                <w:sz w:val="16"/>
                <w:szCs w:val="16"/>
              </w:rPr>
            </w:pPr>
            <w:r w:rsidRPr="00EC4EC4">
              <w:rPr>
                <w:rFonts w:eastAsia="Times New Roman" w:cs="Times New Roman"/>
                <w:sz w:val="16"/>
                <w:szCs w:val="16"/>
              </w:rPr>
              <w:t>Uninhabitable attics without storage</w:t>
            </w:r>
            <w:r w:rsidRPr="00EC4EC4">
              <w:rPr>
                <w:rFonts w:eastAsia="Times New Roman" w:cs="Times New Roman"/>
                <w:sz w:val="16"/>
                <w:szCs w:val="16"/>
                <w:vertAlign w:val="superscript"/>
              </w:rPr>
              <w:t>i</w:t>
            </w:r>
          </w:p>
          <w:p w14:paraId="41BF413C" w14:textId="77777777" w:rsidR="00140B7C" w:rsidRPr="00EC4EC4" w:rsidRDefault="00140B7C" w:rsidP="00BC1087">
            <w:pPr>
              <w:widowControl w:val="0"/>
              <w:kinsoku w:val="0"/>
              <w:spacing w:after="0" w:line="240" w:lineRule="auto"/>
              <w:ind w:left="522"/>
              <w:rPr>
                <w:rFonts w:eastAsia="Times New Roman" w:cs="Times New Roman"/>
                <w:sz w:val="16"/>
                <w:szCs w:val="16"/>
              </w:rPr>
            </w:pPr>
            <w:r w:rsidRPr="00EC4EC4">
              <w:rPr>
                <w:rFonts w:eastAsia="Times New Roman" w:cs="Times New Roman"/>
                <w:sz w:val="16"/>
                <w:szCs w:val="16"/>
              </w:rPr>
              <w:t>Uninhabitable attics with storage</w:t>
            </w:r>
            <w:r w:rsidRPr="00EC4EC4">
              <w:rPr>
                <w:rFonts w:eastAsia="Times New Roman" w:cs="Times New Roman"/>
                <w:sz w:val="16"/>
                <w:szCs w:val="16"/>
                <w:vertAlign w:val="superscript"/>
              </w:rPr>
              <w:t>i,j,k</w:t>
            </w:r>
          </w:p>
          <w:p w14:paraId="613668F2" w14:textId="77777777" w:rsidR="00140B7C" w:rsidRPr="00EC4EC4" w:rsidRDefault="00140B7C" w:rsidP="00BC1087">
            <w:pPr>
              <w:widowControl w:val="0"/>
              <w:kinsoku w:val="0"/>
              <w:spacing w:after="0" w:line="240" w:lineRule="auto"/>
              <w:ind w:left="522"/>
              <w:rPr>
                <w:rFonts w:eastAsia="Times New Roman" w:cs="Times New Roman"/>
                <w:sz w:val="16"/>
                <w:szCs w:val="16"/>
              </w:rPr>
            </w:pPr>
            <w:r w:rsidRPr="00EC4EC4">
              <w:rPr>
                <w:rFonts w:eastAsia="Times New Roman" w:cs="Times New Roman"/>
                <w:sz w:val="16"/>
                <w:szCs w:val="16"/>
              </w:rPr>
              <w:lastRenderedPageBreak/>
              <w:t>Habitable attics and sleeping areas</w:t>
            </w:r>
            <w:r w:rsidRPr="00EC4EC4">
              <w:rPr>
                <w:rFonts w:eastAsia="Times New Roman" w:cs="Times New Roman"/>
                <w:sz w:val="16"/>
                <w:szCs w:val="16"/>
                <w:vertAlign w:val="superscript"/>
              </w:rPr>
              <w:t>k</w:t>
            </w:r>
          </w:p>
          <w:p w14:paraId="7F64F70F" w14:textId="77777777" w:rsidR="00140B7C" w:rsidRPr="00EC4EC4" w:rsidRDefault="00140B7C" w:rsidP="00BC1087">
            <w:pPr>
              <w:widowControl w:val="0"/>
              <w:kinsoku w:val="0"/>
              <w:spacing w:after="0" w:line="240" w:lineRule="auto"/>
              <w:ind w:left="522"/>
              <w:rPr>
                <w:rFonts w:eastAsia="Times New Roman" w:cs="Times New Roman"/>
                <w:sz w:val="16"/>
                <w:szCs w:val="16"/>
              </w:rPr>
            </w:pPr>
            <w:r w:rsidRPr="00EC4EC4">
              <w:rPr>
                <w:rFonts w:eastAsia="Times New Roman" w:cs="Times New Roman"/>
                <w:sz w:val="16"/>
                <w:szCs w:val="16"/>
              </w:rPr>
              <w:t>Canopies, including marquees</w:t>
            </w:r>
          </w:p>
          <w:p w14:paraId="5F66F0E9" w14:textId="77777777" w:rsidR="00140B7C" w:rsidRPr="00EC4EC4" w:rsidRDefault="00140B7C" w:rsidP="00BC1087">
            <w:pPr>
              <w:widowControl w:val="0"/>
              <w:kinsoku w:val="0"/>
              <w:spacing w:after="0" w:line="240" w:lineRule="auto"/>
              <w:ind w:left="522"/>
              <w:rPr>
                <w:rFonts w:eastAsia="Times New Roman" w:cs="Times New Roman"/>
                <w:sz w:val="16"/>
                <w:szCs w:val="16"/>
              </w:rPr>
            </w:pPr>
            <w:r w:rsidRPr="00EC4EC4">
              <w:rPr>
                <w:rFonts w:eastAsia="Times New Roman" w:cs="Times New Roman"/>
                <w:sz w:val="16"/>
                <w:szCs w:val="16"/>
              </w:rPr>
              <w:t xml:space="preserve">All other areas </w:t>
            </w:r>
          </w:p>
          <w:p w14:paraId="0B34FB3B"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Hotels and multifamily dwellings</w:t>
            </w:r>
          </w:p>
          <w:p w14:paraId="0A96BF15" w14:textId="77777777" w:rsidR="00140B7C" w:rsidRPr="00EC4EC4" w:rsidRDefault="00140B7C" w:rsidP="00BC1087">
            <w:pPr>
              <w:widowControl w:val="0"/>
              <w:kinsoku w:val="0"/>
              <w:spacing w:after="0" w:line="240" w:lineRule="auto"/>
              <w:ind w:left="702" w:hanging="180"/>
              <w:rPr>
                <w:rFonts w:eastAsia="Times New Roman" w:cs="Times New Roman"/>
                <w:sz w:val="16"/>
                <w:szCs w:val="16"/>
              </w:rPr>
            </w:pPr>
            <w:r w:rsidRPr="00EC4EC4">
              <w:rPr>
                <w:rFonts w:eastAsia="Times New Roman" w:cs="Times New Roman"/>
                <w:sz w:val="16"/>
                <w:szCs w:val="16"/>
              </w:rPr>
              <w:t xml:space="preserve">Private rooms and corridors serving them </w:t>
            </w:r>
          </w:p>
          <w:p w14:paraId="542D4864" w14:textId="77777777" w:rsidR="00140B7C" w:rsidRPr="00EC4EC4" w:rsidRDefault="00140B7C" w:rsidP="00BC1087">
            <w:pPr>
              <w:widowControl w:val="0"/>
              <w:kinsoku w:val="0"/>
              <w:spacing w:after="0" w:line="240" w:lineRule="auto"/>
              <w:ind w:left="702" w:hanging="180"/>
              <w:rPr>
                <w:rFonts w:eastAsia="Times New Roman" w:cs="Times New Roman"/>
                <w:sz w:val="16"/>
                <w:szCs w:val="16"/>
              </w:rPr>
            </w:pPr>
            <w:r w:rsidRPr="00EC4EC4">
              <w:rPr>
                <w:rFonts w:eastAsia="Times New Roman" w:cs="Times New Roman"/>
                <w:sz w:val="16"/>
                <w:szCs w:val="16"/>
              </w:rPr>
              <w:t>Public rooms</w:t>
            </w:r>
            <w:r w:rsidRPr="00EC4EC4">
              <w:rPr>
                <w:rFonts w:eastAsia="Times New Roman" w:cs="Times New Roman"/>
                <w:sz w:val="16"/>
                <w:szCs w:val="16"/>
                <w:vertAlign w:val="superscript"/>
              </w:rPr>
              <w:t>m</w:t>
            </w:r>
            <w:r w:rsidRPr="00EC4EC4">
              <w:rPr>
                <w:rFonts w:eastAsia="Times New Roman" w:cs="Times New Roman"/>
                <w:sz w:val="16"/>
                <w:szCs w:val="16"/>
              </w:rPr>
              <w:t xml:space="preserve"> and corridors serving them </w:t>
            </w:r>
          </w:p>
        </w:tc>
        <w:tc>
          <w:tcPr>
            <w:tcW w:w="2181" w:type="dxa"/>
          </w:tcPr>
          <w:p w14:paraId="683F1445"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56F9832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3D28E162"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w:t>
            </w:r>
          </w:p>
          <w:p w14:paraId="645B364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w:t>
            </w:r>
          </w:p>
          <w:p w14:paraId="1A3D4AA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lastRenderedPageBreak/>
              <w:t>30</w:t>
            </w:r>
          </w:p>
          <w:p w14:paraId="3C65F03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w:t>
            </w:r>
          </w:p>
          <w:p w14:paraId="2DBD380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40</w:t>
            </w:r>
          </w:p>
          <w:p w14:paraId="4F1A9040"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91CB3D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40</w:t>
            </w:r>
          </w:p>
          <w:p w14:paraId="6D2B97E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p>
        </w:tc>
        <w:tc>
          <w:tcPr>
            <w:tcW w:w="2494" w:type="dxa"/>
          </w:tcPr>
          <w:p w14:paraId="3C6FEC4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2CC8852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23A94B2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30B558D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381EB82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lastRenderedPageBreak/>
              <w:t>─</w:t>
            </w:r>
          </w:p>
        </w:tc>
      </w:tr>
      <w:tr w:rsidR="00140B7C" w:rsidRPr="00EC4EC4" w14:paraId="26554621" w14:textId="77777777" w:rsidTr="00BC1087">
        <w:tc>
          <w:tcPr>
            <w:tcW w:w="4855" w:type="dxa"/>
          </w:tcPr>
          <w:p w14:paraId="3DCFB9AD"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lastRenderedPageBreak/>
              <w:t xml:space="preserve">27. Roofs </w:t>
            </w:r>
          </w:p>
          <w:p w14:paraId="6512E4C2" w14:textId="77777777" w:rsidR="00140B7C" w:rsidRPr="00EC4EC4" w:rsidRDefault="00140B7C" w:rsidP="00BC1087">
            <w:pPr>
              <w:widowControl w:val="0"/>
              <w:kinsoku w:val="0"/>
              <w:spacing w:after="0" w:line="240" w:lineRule="auto"/>
              <w:ind w:left="252"/>
              <w:rPr>
                <w:rFonts w:eastAsia="Times New Roman" w:cs="Times New Roman"/>
                <w:sz w:val="16"/>
                <w:szCs w:val="16"/>
              </w:rPr>
            </w:pPr>
            <w:r w:rsidRPr="00EC4EC4">
              <w:rPr>
                <w:rFonts w:eastAsia="Times New Roman" w:cs="Times New Roman"/>
                <w:sz w:val="16"/>
                <w:szCs w:val="16"/>
              </w:rPr>
              <w:t>All roof surfaces subject to maintenance workers</w:t>
            </w:r>
          </w:p>
          <w:p w14:paraId="20DEC82F" w14:textId="77777777" w:rsidR="00140B7C" w:rsidRPr="00EC4EC4" w:rsidRDefault="00140B7C" w:rsidP="00BC1087">
            <w:pPr>
              <w:widowControl w:val="0"/>
              <w:kinsoku w:val="0"/>
              <w:spacing w:after="0" w:line="240" w:lineRule="auto"/>
              <w:ind w:left="252"/>
              <w:rPr>
                <w:rFonts w:eastAsia="Times New Roman" w:cs="Times New Roman"/>
                <w:sz w:val="16"/>
                <w:szCs w:val="16"/>
              </w:rPr>
            </w:pPr>
            <w:r w:rsidRPr="00EC4EC4">
              <w:rPr>
                <w:rFonts w:eastAsia="Times New Roman" w:cs="Times New Roman"/>
                <w:sz w:val="16"/>
                <w:szCs w:val="16"/>
              </w:rPr>
              <w:t>Awnings and canopies:</w:t>
            </w:r>
          </w:p>
          <w:p w14:paraId="1DB28785"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Fabric construction supported by a skeleton structure</w:t>
            </w:r>
          </w:p>
          <w:p w14:paraId="6505C7FD"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All other construction, except one- and two-family dwellings</w:t>
            </w:r>
          </w:p>
          <w:p w14:paraId="29D62A79" w14:textId="77777777" w:rsidR="00140B7C" w:rsidRPr="00EC4EC4" w:rsidRDefault="00140B7C" w:rsidP="00BC1087">
            <w:pPr>
              <w:widowControl w:val="0"/>
              <w:kinsoku w:val="0"/>
              <w:spacing w:after="0" w:line="240" w:lineRule="auto"/>
              <w:ind w:left="252"/>
              <w:rPr>
                <w:rFonts w:eastAsia="Times New Roman" w:cs="Times New Roman"/>
                <w:sz w:val="16"/>
                <w:szCs w:val="16"/>
              </w:rPr>
            </w:pPr>
            <w:r w:rsidRPr="00EC4EC4">
              <w:rPr>
                <w:rFonts w:eastAsia="Times New Roman" w:cs="Times New Roman"/>
                <w:sz w:val="16"/>
                <w:szCs w:val="16"/>
              </w:rPr>
              <w:t>Ordinary flat, pitched, and curved roofs (that are not occupiable)</w:t>
            </w:r>
          </w:p>
          <w:p w14:paraId="18283D93" w14:textId="77777777" w:rsidR="00140B7C" w:rsidRPr="00EC4EC4" w:rsidRDefault="00140B7C" w:rsidP="00BC1087">
            <w:pPr>
              <w:widowControl w:val="0"/>
              <w:kinsoku w:val="0"/>
              <w:spacing w:after="0" w:line="240" w:lineRule="auto"/>
              <w:ind w:left="252"/>
              <w:rPr>
                <w:rFonts w:eastAsia="Times New Roman" w:cs="Times New Roman"/>
                <w:sz w:val="16"/>
                <w:szCs w:val="16"/>
              </w:rPr>
            </w:pPr>
            <w:r w:rsidRPr="00EC4EC4">
              <w:rPr>
                <w:rFonts w:eastAsia="Times New Roman" w:cs="Times New Roman"/>
                <w:sz w:val="16"/>
                <w:szCs w:val="16"/>
              </w:rPr>
              <w:t>Primary roof members exposed to a work floor</w:t>
            </w:r>
          </w:p>
          <w:p w14:paraId="5ACEED2B" w14:textId="77777777" w:rsidR="00140B7C" w:rsidRPr="00EC4EC4" w:rsidRDefault="00140B7C" w:rsidP="00BC1087">
            <w:pPr>
              <w:widowControl w:val="0"/>
              <w:kinsoku w:val="0"/>
              <w:spacing w:after="0" w:line="240" w:lineRule="auto"/>
              <w:ind w:left="342"/>
              <w:jc w:val="both"/>
              <w:rPr>
                <w:rFonts w:eastAsia="Times New Roman" w:cs="Times New Roman"/>
                <w:sz w:val="16"/>
                <w:szCs w:val="16"/>
              </w:rPr>
            </w:pPr>
            <w:r w:rsidRPr="00EC4EC4">
              <w:rPr>
                <w:rFonts w:eastAsia="Times New Roman" w:cs="Times New Roman"/>
                <w:sz w:val="16"/>
                <w:szCs w:val="16"/>
              </w:rPr>
              <w:t>Single panel point of lower chord of roof trusses or any point along primary structural members supporting roofs over manufacturing, storage warehouses, and repair garages</w:t>
            </w:r>
          </w:p>
          <w:p w14:paraId="4F6D7060"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All other primary roof members</w:t>
            </w:r>
          </w:p>
          <w:p w14:paraId="347CDFFA" w14:textId="77777777" w:rsidR="00140B7C" w:rsidRPr="00EC4EC4" w:rsidRDefault="00140B7C" w:rsidP="00BC1087">
            <w:pPr>
              <w:widowControl w:val="0"/>
              <w:kinsoku w:val="0"/>
              <w:spacing w:after="0" w:line="240" w:lineRule="auto"/>
              <w:ind w:left="252"/>
              <w:rPr>
                <w:rFonts w:eastAsia="Times New Roman" w:cs="Times New Roman"/>
                <w:sz w:val="16"/>
                <w:szCs w:val="16"/>
              </w:rPr>
            </w:pPr>
            <w:r w:rsidRPr="00EC4EC4">
              <w:rPr>
                <w:rFonts w:eastAsia="Times New Roman" w:cs="Times New Roman"/>
                <w:sz w:val="16"/>
                <w:szCs w:val="16"/>
              </w:rPr>
              <w:t>Occupiable roofs:</w:t>
            </w:r>
          </w:p>
          <w:p w14:paraId="35A95023"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Roof gardens</w:t>
            </w:r>
          </w:p>
          <w:p w14:paraId="3B743225"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Assembly areas</w:t>
            </w:r>
          </w:p>
          <w:p w14:paraId="73B490B4"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All other similar areas</w:t>
            </w:r>
          </w:p>
        </w:tc>
        <w:tc>
          <w:tcPr>
            <w:tcW w:w="2181" w:type="dxa"/>
          </w:tcPr>
          <w:p w14:paraId="71202C5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7A53106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5FA91BC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759C865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0DA0BD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vertAlign w:val="superscript"/>
              </w:rPr>
            </w:pPr>
            <w:r w:rsidRPr="00EC4EC4">
              <w:rPr>
                <w:rFonts w:eastAsia="Times New Roman" w:cs="Times New Roman"/>
                <w:sz w:val="16"/>
                <w:szCs w:val="16"/>
              </w:rPr>
              <w:t>5</w:t>
            </w:r>
            <w:r w:rsidRPr="00EC4EC4">
              <w:rPr>
                <w:rFonts w:eastAsia="Times New Roman" w:cs="Times New Roman"/>
                <w:sz w:val="16"/>
                <w:szCs w:val="16"/>
                <w:vertAlign w:val="superscript"/>
              </w:rPr>
              <w:t>m</w:t>
            </w:r>
            <w:r w:rsidRPr="00EC4EC4">
              <w:rPr>
                <w:rFonts w:eastAsia="Times New Roman" w:cs="Times New Roman"/>
                <w:sz w:val="16"/>
                <w:szCs w:val="16"/>
              </w:rPr>
              <w:t xml:space="preserve"> </w:t>
            </w:r>
          </w:p>
          <w:p w14:paraId="18055AAD"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w:t>
            </w:r>
          </w:p>
          <w:p w14:paraId="20746655"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w:t>
            </w:r>
          </w:p>
          <w:p w14:paraId="2C86894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04DE7D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07C4555D"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20B88F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5F92E7DD"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21D5EB9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26BBE5A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p>
          <w:p w14:paraId="11673EA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r w:rsidRPr="00EC4EC4">
              <w:rPr>
                <w:rFonts w:eastAsia="Times New Roman" w:cs="Times New Roman"/>
                <w:sz w:val="16"/>
                <w:szCs w:val="16"/>
                <w:vertAlign w:val="superscript"/>
              </w:rPr>
              <w:t>m</w:t>
            </w:r>
          </w:p>
          <w:p w14:paraId="40DB122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Note l</w:t>
            </w:r>
          </w:p>
        </w:tc>
        <w:tc>
          <w:tcPr>
            <w:tcW w:w="2494" w:type="dxa"/>
          </w:tcPr>
          <w:p w14:paraId="2F53AC85"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380E420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300</w:t>
            </w:r>
          </w:p>
          <w:p w14:paraId="160907D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737E035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4530AB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0CE7D0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C9F1CA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0F1B2BD5"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206D32D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8443F3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0D3AFEE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2,000</w:t>
            </w:r>
          </w:p>
          <w:p w14:paraId="2B517B1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300</w:t>
            </w:r>
          </w:p>
          <w:p w14:paraId="6FEB403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2F0CA18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29CAC0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F7F698C"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7600E8C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1BEE76E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Note l</w:t>
            </w:r>
          </w:p>
        </w:tc>
      </w:tr>
      <w:tr w:rsidR="00140B7C" w:rsidRPr="00EC4EC4" w14:paraId="662C826E" w14:textId="77777777" w:rsidTr="00BC1087">
        <w:tc>
          <w:tcPr>
            <w:tcW w:w="4855" w:type="dxa"/>
          </w:tcPr>
          <w:p w14:paraId="30702646"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28. Schools</w:t>
            </w:r>
          </w:p>
          <w:p w14:paraId="59790D71"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Classrooms</w:t>
            </w:r>
          </w:p>
          <w:p w14:paraId="140582DE"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Corridors above the first floor</w:t>
            </w:r>
          </w:p>
          <w:p w14:paraId="327A37D2"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First-floor corridors</w:t>
            </w:r>
          </w:p>
        </w:tc>
        <w:tc>
          <w:tcPr>
            <w:tcW w:w="2181" w:type="dxa"/>
          </w:tcPr>
          <w:p w14:paraId="15BC3D7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718EF7B0"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40</w:t>
            </w:r>
          </w:p>
          <w:p w14:paraId="14C105A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80</w:t>
            </w:r>
          </w:p>
          <w:p w14:paraId="4C020AD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p>
        </w:tc>
        <w:tc>
          <w:tcPr>
            <w:tcW w:w="2494" w:type="dxa"/>
          </w:tcPr>
          <w:p w14:paraId="0567B98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7744F91B"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2C158030"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4FE3832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tc>
      </w:tr>
      <w:tr w:rsidR="00140B7C" w:rsidRPr="00EC4EC4" w14:paraId="1369CFD8" w14:textId="77777777" w:rsidTr="00BC1087">
        <w:trPr>
          <w:trHeight w:val="224"/>
        </w:trPr>
        <w:tc>
          <w:tcPr>
            <w:tcW w:w="4855" w:type="dxa"/>
          </w:tcPr>
          <w:p w14:paraId="5494A66D"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29. Scuttles, skylight ribs and accessible ceilings </w:t>
            </w:r>
          </w:p>
        </w:tc>
        <w:tc>
          <w:tcPr>
            <w:tcW w:w="2181" w:type="dxa"/>
          </w:tcPr>
          <w:p w14:paraId="65C1961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c>
          <w:tcPr>
            <w:tcW w:w="2494" w:type="dxa"/>
          </w:tcPr>
          <w:p w14:paraId="4EA7B8D0"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200</w:t>
            </w:r>
          </w:p>
        </w:tc>
      </w:tr>
      <w:tr w:rsidR="00140B7C" w:rsidRPr="00EC4EC4" w14:paraId="40A92CFA" w14:textId="77777777" w:rsidTr="00BC1087">
        <w:trPr>
          <w:trHeight w:val="269"/>
        </w:trPr>
        <w:tc>
          <w:tcPr>
            <w:tcW w:w="4855" w:type="dxa"/>
          </w:tcPr>
          <w:p w14:paraId="5D57417F"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30. Sidewalks, vehicular driveways and yards, subject to trucking</w:t>
            </w:r>
          </w:p>
        </w:tc>
        <w:tc>
          <w:tcPr>
            <w:tcW w:w="2181" w:type="dxa"/>
          </w:tcPr>
          <w:p w14:paraId="77788F8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vertAlign w:val="superscript"/>
              </w:rPr>
            </w:pPr>
            <w:r w:rsidRPr="00EC4EC4">
              <w:rPr>
                <w:rFonts w:eastAsia="Times New Roman" w:cs="Times New Roman"/>
                <w:sz w:val="16"/>
                <w:szCs w:val="16"/>
              </w:rPr>
              <w:t>300</w:t>
            </w:r>
            <w:r w:rsidRPr="00EC4EC4" w:rsidDel="009C6B1A">
              <w:rPr>
                <w:rFonts w:eastAsia="Times New Roman" w:cs="Times New Roman"/>
                <w:sz w:val="16"/>
                <w:szCs w:val="16"/>
              </w:rPr>
              <w:t xml:space="preserve"> </w:t>
            </w:r>
            <w:r w:rsidRPr="00EC4EC4">
              <w:rPr>
                <w:rFonts w:eastAsia="Times New Roman" w:cs="Times New Roman"/>
                <w:sz w:val="16"/>
                <w:szCs w:val="16"/>
                <w:vertAlign w:val="superscript"/>
              </w:rPr>
              <w:t>d,m</w:t>
            </w:r>
          </w:p>
          <w:p w14:paraId="672751E9"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6A7E3B12" w14:textId="77777777" w:rsidR="00140B7C" w:rsidRPr="00EC4EC4" w:rsidRDefault="00140B7C" w:rsidP="00BC1087">
            <w:pPr>
              <w:widowControl w:val="0"/>
              <w:kinsoku w:val="0"/>
              <w:spacing w:after="0" w:line="240" w:lineRule="auto"/>
              <w:ind w:left="144"/>
              <w:contextualSpacing/>
              <w:rPr>
                <w:rFonts w:eastAsia="Times New Roman" w:cs="Times New Roman"/>
                <w:sz w:val="16"/>
                <w:szCs w:val="16"/>
              </w:rPr>
            </w:pPr>
          </w:p>
        </w:tc>
        <w:tc>
          <w:tcPr>
            <w:tcW w:w="2494" w:type="dxa"/>
          </w:tcPr>
          <w:p w14:paraId="07AD232B"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8,000</w:t>
            </w:r>
            <w:r w:rsidRPr="00EC4EC4">
              <w:rPr>
                <w:rFonts w:eastAsia="Times New Roman" w:cs="Times New Roman"/>
                <w:sz w:val="16"/>
                <w:szCs w:val="16"/>
                <w:vertAlign w:val="superscript"/>
              </w:rPr>
              <w:t>[</w:t>
            </w:r>
            <w:r w:rsidRPr="00EC4EC4">
              <w:rPr>
                <w:rFonts w:eastAsia="Times New Roman" w:cs="Times New Roman"/>
                <w:strike/>
                <w:sz w:val="16"/>
                <w:szCs w:val="16"/>
                <w:vertAlign w:val="superscript"/>
              </w:rPr>
              <w:t>d</w:t>
            </w:r>
            <w:r w:rsidRPr="00EC4EC4">
              <w:rPr>
                <w:rFonts w:eastAsia="Times New Roman" w:cs="Times New Roman"/>
                <w:sz w:val="16"/>
                <w:szCs w:val="16"/>
                <w:vertAlign w:val="superscript"/>
              </w:rPr>
              <w:t xml:space="preserve">]e </w:t>
            </w:r>
            <w:r w:rsidRPr="00EC4EC4">
              <w:rPr>
                <w:rFonts w:eastAsia="Times New Roman" w:cs="Times New Roman"/>
                <w:sz w:val="16"/>
                <w:szCs w:val="16"/>
              </w:rPr>
              <w:t>or 20,000</w:t>
            </w:r>
            <w:r w:rsidRPr="00EC4EC4">
              <w:rPr>
                <w:rFonts w:eastAsia="Times New Roman" w:cs="Times New Roman"/>
                <w:sz w:val="16"/>
                <w:szCs w:val="16"/>
                <w:vertAlign w:val="superscript"/>
              </w:rPr>
              <w:t>d</w:t>
            </w:r>
            <w:r w:rsidRPr="00EC4EC4">
              <w:rPr>
                <w:rFonts w:eastAsia="Times New Roman" w:cs="Times New Roman"/>
                <w:sz w:val="16"/>
                <w:szCs w:val="16"/>
              </w:rPr>
              <w:t xml:space="preserve"> </w:t>
            </w:r>
          </w:p>
          <w:p w14:paraId="182AE53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tc>
      </w:tr>
      <w:tr w:rsidR="00140B7C" w:rsidRPr="00EC4EC4" w14:paraId="3A51CEB2" w14:textId="77777777" w:rsidTr="00BC1087">
        <w:tc>
          <w:tcPr>
            <w:tcW w:w="4855" w:type="dxa"/>
          </w:tcPr>
          <w:p w14:paraId="352F482A"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31. Stairs and exits </w:t>
            </w:r>
          </w:p>
          <w:p w14:paraId="71F048D3" w14:textId="77777777" w:rsidR="00140B7C" w:rsidRPr="00EC4EC4" w:rsidRDefault="00140B7C" w:rsidP="00BC1087">
            <w:pPr>
              <w:widowControl w:val="0"/>
              <w:kinsoku w:val="0"/>
              <w:spacing w:after="0" w:line="240" w:lineRule="auto"/>
              <w:ind w:left="288"/>
              <w:rPr>
                <w:rFonts w:eastAsia="Times New Roman" w:cs="Times New Roman"/>
                <w:sz w:val="16"/>
                <w:szCs w:val="16"/>
              </w:rPr>
            </w:pPr>
            <w:r w:rsidRPr="00EC4EC4">
              <w:rPr>
                <w:rFonts w:eastAsia="Times New Roman" w:cs="Times New Roman"/>
                <w:sz w:val="16"/>
                <w:szCs w:val="16"/>
              </w:rPr>
              <w:t>One- and two-family dwellings</w:t>
            </w:r>
          </w:p>
          <w:p w14:paraId="2A26B121" w14:textId="77777777" w:rsidR="00140B7C" w:rsidRPr="00EC4EC4" w:rsidRDefault="00140B7C" w:rsidP="00BC1087">
            <w:pPr>
              <w:widowControl w:val="0"/>
              <w:kinsoku w:val="0"/>
              <w:spacing w:after="0" w:line="240" w:lineRule="auto"/>
              <w:ind w:left="288"/>
              <w:rPr>
                <w:rFonts w:eastAsia="Times New Roman" w:cs="Times New Roman"/>
                <w:sz w:val="16"/>
                <w:szCs w:val="16"/>
              </w:rPr>
            </w:pPr>
            <w:r w:rsidRPr="00EC4EC4">
              <w:rPr>
                <w:rFonts w:eastAsia="Times New Roman" w:cs="Times New Roman"/>
                <w:sz w:val="16"/>
                <w:szCs w:val="16"/>
              </w:rPr>
              <w:t>All other</w:t>
            </w:r>
          </w:p>
        </w:tc>
        <w:tc>
          <w:tcPr>
            <w:tcW w:w="2181" w:type="dxa"/>
          </w:tcPr>
          <w:p w14:paraId="2965F6D0"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7BA496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40</w:t>
            </w:r>
          </w:p>
          <w:p w14:paraId="509EC4F7"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p>
        </w:tc>
        <w:tc>
          <w:tcPr>
            <w:tcW w:w="2494" w:type="dxa"/>
          </w:tcPr>
          <w:p w14:paraId="75F71BA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23EDEE4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vertAlign w:val="superscript"/>
              </w:rPr>
            </w:pPr>
            <w:r w:rsidRPr="00EC4EC4">
              <w:rPr>
                <w:rFonts w:eastAsia="Times New Roman" w:cs="Times New Roman"/>
                <w:sz w:val="16"/>
                <w:szCs w:val="16"/>
              </w:rPr>
              <w:t xml:space="preserve"> 300</w:t>
            </w:r>
            <w:r w:rsidRPr="00EC4EC4">
              <w:rPr>
                <w:rFonts w:eastAsia="Times New Roman" w:cs="Times New Roman"/>
                <w:sz w:val="16"/>
                <w:szCs w:val="16"/>
                <w:vertAlign w:val="superscript"/>
              </w:rPr>
              <w:t>f</w:t>
            </w:r>
          </w:p>
          <w:p w14:paraId="79D9F9D1"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300</w:t>
            </w:r>
            <w:r w:rsidRPr="00EC4EC4">
              <w:rPr>
                <w:rFonts w:eastAsia="Times New Roman" w:cs="Times New Roman"/>
                <w:sz w:val="16"/>
                <w:szCs w:val="16"/>
                <w:vertAlign w:val="superscript"/>
              </w:rPr>
              <w:t>f</w:t>
            </w:r>
          </w:p>
        </w:tc>
      </w:tr>
      <w:tr w:rsidR="00140B7C" w:rsidRPr="00EC4EC4" w14:paraId="482BC1D7" w14:textId="77777777" w:rsidTr="00BC1087">
        <w:tc>
          <w:tcPr>
            <w:tcW w:w="4855" w:type="dxa"/>
          </w:tcPr>
          <w:p w14:paraId="6F736198"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32. Storage warehouses (shall be designed for heavier loads if required for anticipated storage)</w:t>
            </w:r>
          </w:p>
          <w:p w14:paraId="387409BE"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Heavy</w:t>
            </w:r>
          </w:p>
          <w:p w14:paraId="56A68BDF"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Light</w:t>
            </w:r>
          </w:p>
        </w:tc>
        <w:tc>
          <w:tcPr>
            <w:tcW w:w="2181" w:type="dxa"/>
          </w:tcPr>
          <w:p w14:paraId="4E50DFA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0FA0C3E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2587BA7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250</w:t>
            </w:r>
            <w:r w:rsidRPr="00EC4EC4">
              <w:rPr>
                <w:rFonts w:eastAsia="Times New Roman" w:cs="Times New Roman"/>
                <w:sz w:val="16"/>
                <w:szCs w:val="16"/>
                <w:vertAlign w:val="superscript"/>
              </w:rPr>
              <w:t>n</w:t>
            </w:r>
          </w:p>
          <w:p w14:paraId="63099A15"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125</w:t>
            </w:r>
            <w:r w:rsidRPr="00EC4EC4">
              <w:rPr>
                <w:rFonts w:eastAsia="Times New Roman" w:cs="Times New Roman"/>
                <w:sz w:val="16"/>
                <w:szCs w:val="16"/>
                <w:vertAlign w:val="superscript"/>
              </w:rPr>
              <w:t>n</w:t>
            </w:r>
          </w:p>
          <w:p w14:paraId="02690793" w14:textId="77777777" w:rsidR="00140B7C" w:rsidRPr="00EC4EC4" w:rsidRDefault="00140B7C" w:rsidP="00BC1087">
            <w:pPr>
              <w:widowControl w:val="0"/>
              <w:kinsoku w:val="0"/>
              <w:spacing w:after="0" w:line="240" w:lineRule="auto"/>
              <w:ind w:left="144"/>
              <w:contextualSpacing/>
              <w:rPr>
                <w:rFonts w:eastAsia="Times New Roman" w:cs="Times New Roman"/>
                <w:sz w:val="16"/>
                <w:szCs w:val="16"/>
              </w:rPr>
            </w:pPr>
          </w:p>
        </w:tc>
        <w:tc>
          <w:tcPr>
            <w:tcW w:w="2494" w:type="dxa"/>
            <w:vAlign w:val="center"/>
          </w:tcPr>
          <w:p w14:paraId="1254541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78AA0FF3" w14:textId="77777777" w:rsidTr="00BC1087">
        <w:tc>
          <w:tcPr>
            <w:tcW w:w="4855" w:type="dxa"/>
          </w:tcPr>
          <w:p w14:paraId="51B835C3"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33. Stores</w:t>
            </w:r>
          </w:p>
          <w:p w14:paraId="22F35FD2" w14:textId="77777777" w:rsidR="00140B7C" w:rsidRPr="00EC4EC4" w:rsidRDefault="00140B7C" w:rsidP="00BC1087">
            <w:pPr>
              <w:widowControl w:val="0"/>
              <w:kinsoku w:val="0"/>
              <w:spacing w:after="0" w:line="240" w:lineRule="auto"/>
              <w:ind w:left="252"/>
              <w:rPr>
                <w:rFonts w:eastAsia="Times New Roman" w:cs="Times New Roman"/>
                <w:sz w:val="16"/>
                <w:szCs w:val="16"/>
              </w:rPr>
            </w:pPr>
            <w:r w:rsidRPr="00EC4EC4">
              <w:rPr>
                <w:rFonts w:eastAsia="Times New Roman" w:cs="Times New Roman"/>
                <w:sz w:val="16"/>
                <w:szCs w:val="16"/>
              </w:rPr>
              <w:t>Retail</w:t>
            </w:r>
          </w:p>
          <w:p w14:paraId="6DAFB6EE"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First floor</w:t>
            </w:r>
          </w:p>
          <w:p w14:paraId="0909B8C8" w14:textId="77777777" w:rsidR="00140B7C" w:rsidRPr="00EC4EC4" w:rsidRDefault="00140B7C" w:rsidP="00BC1087">
            <w:pPr>
              <w:widowControl w:val="0"/>
              <w:kinsoku w:val="0"/>
              <w:spacing w:after="0" w:line="240" w:lineRule="auto"/>
              <w:ind w:left="342"/>
              <w:rPr>
                <w:rFonts w:eastAsia="Times New Roman" w:cs="Times New Roman"/>
                <w:sz w:val="16"/>
                <w:szCs w:val="16"/>
              </w:rPr>
            </w:pPr>
            <w:r w:rsidRPr="00EC4EC4">
              <w:rPr>
                <w:rFonts w:eastAsia="Times New Roman" w:cs="Times New Roman"/>
                <w:sz w:val="16"/>
                <w:szCs w:val="16"/>
              </w:rPr>
              <w:t>Upper floors</w:t>
            </w:r>
          </w:p>
          <w:p w14:paraId="55028EEC" w14:textId="77777777" w:rsidR="00140B7C" w:rsidRPr="00EC4EC4" w:rsidRDefault="00140B7C" w:rsidP="00BC1087">
            <w:pPr>
              <w:widowControl w:val="0"/>
              <w:kinsoku w:val="0"/>
              <w:spacing w:after="0" w:line="240" w:lineRule="auto"/>
              <w:ind w:left="252"/>
              <w:rPr>
                <w:rFonts w:eastAsia="Times New Roman" w:cs="Times New Roman"/>
                <w:sz w:val="16"/>
                <w:szCs w:val="16"/>
              </w:rPr>
            </w:pPr>
            <w:r w:rsidRPr="00EC4EC4">
              <w:rPr>
                <w:rFonts w:eastAsia="Times New Roman" w:cs="Times New Roman"/>
                <w:sz w:val="16"/>
                <w:szCs w:val="16"/>
              </w:rPr>
              <w:t>Wholesale, all floors</w:t>
            </w:r>
          </w:p>
        </w:tc>
        <w:tc>
          <w:tcPr>
            <w:tcW w:w="2181" w:type="dxa"/>
          </w:tcPr>
          <w:p w14:paraId="5E31CB6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3754F5D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51677D76"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p>
          <w:p w14:paraId="0A450198"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75</w:t>
            </w:r>
          </w:p>
          <w:p w14:paraId="145AE303"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125</w:t>
            </w:r>
            <w:r w:rsidRPr="00EC4EC4">
              <w:rPr>
                <w:rFonts w:eastAsia="Times New Roman" w:cs="Times New Roman"/>
                <w:sz w:val="16"/>
                <w:szCs w:val="16"/>
                <w:vertAlign w:val="superscript"/>
              </w:rPr>
              <w:t>n</w:t>
            </w:r>
          </w:p>
        </w:tc>
        <w:tc>
          <w:tcPr>
            <w:tcW w:w="2494" w:type="dxa"/>
          </w:tcPr>
          <w:p w14:paraId="7DC3A5CE"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55BCC71F"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p>
          <w:p w14:paraId="462FD0B2"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33660DBD"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p w14:paraId="6D29D3AA"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1,000</w:t>
            </w:r>
          </w:p>
        </w:tc>
      </w:tr>
      <w:tr w:rsidR="00140B7C" w:rsidRPr="00EC4EC4" w14:paraId="6159D23F" w14:textId="77777777" w:rsidTr="00BC1087">
        <w:tc>
          <w:tcPr>
            <w:tcW w:w="4855" w:type="dxa"/>
          </w:tcPr>
          <w:p w14:paraId="2F32CC66"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34. Vehicle barriers</w:t>
            </w:r>
          </w:p>
        </w:tc>
        <w:tc>
          <w:tcPr>
            <w:tcW w:w="4675" w:type="dxa"/>
            <w:gridSpan w:val="2"/>
          </w:tcPr>
          <w:p w14:paraId="4AD826EB"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See Section 1607.9</w:t>
            </w:r>
          </w:p>
        </w:tc>
      </w:tr>
      <w:tr w:rsidR="00140B7C" w:rsidRPr="00EC4EC4" w14:paraId="5A90B8F2" w14:textId="77777777" w:rsidTr="00BC1087">
        <w:tc>
          <w:tcPr>
            <w:tcW w:w="4855" w:type="dxa"/>
          </w:tcPr>
          <w:p w14:paraId="4DE3A2A9"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35. Walkways and elevated platforms (other than exitways) </w:t>
            </w:r>
          </w:p>
        </w:tc>
        <w:tc>
          <w:tcPr>
            <w:tcW w:w="2181" w:type="dxa"/>
          </w:tcPr>
          <w:p w14:paraId="30E41D30"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60</w:t>
            </w:r>
          </w:p>
        </w:tc>
        <w:tc>
          <w:tcPr>
            <w:tcW w:w="2494" w:type="dxa"/>
          </w:tcPr>
          <w:p w14:paraId="3A40949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r w:rsidR="00140B7C" w:rsidRPr="00EC4EC4" w14:paraId="28E46A5D" w14:textId="77777777" w:rsidTr="00BC1087">
        <w:tc>
          <w:tcPr>
            <w:tcW w:w="4855" w:type="dxa"/>
            <w:tcBorders>
              <w:right w:val="single" w:sz="6" w:space="0" w:color="auto"/>
            </w:tcBorders>
          </w:tcPr>
          <w:p w14:paraId="7D140B2E" w14:textId="77777777" w:rsidR="00140B7C" w:rsidRPr="00EC4EC4" w:rsidRDefault="00140B7C" w:rsidP="00BC1087">
            <w:pPr>
              <w:widowControl w:val="0"/>
              <w:kinsoku w:val="0"/>
              <w:spacing w:after="0" w:line="240" w:lineRule="auto"/>
              <w:rPr>
                <w:rFonts w:eastAsia="Times New Roman" w:cs="Times New Roman"/>
                <w:sz w:val="16"/>
                <w:szCs w:val="16"/>
              </w:rPr>
            </w:pPr>
            <w:r w:rsidRPr="00EC4EC4">
              <w:rPr>
                <w:rFonts w:eastAsia="Times New Roman" w:cs="Times New Roman"/>
                <w:sz w:val="16"/>
                <w:szCs w:val="16"/>
              </w:rPr>
              <w:t xml:space="preserve">36. Yards and terraces, pedestrians </w:t>
            </w:r>
          </w:p>
        </w:tc>
        <w:tc>
          <w:tcPr>
            <w:tcW w:w="2181" w:type="dxa"/>
            <w:tcBorders>
              <w:left w:val="single" w:sz="6" w:space="0" w:color="auto"/>
              <w:right w:val="single" w:sz="6" w:space="0" w:color="auto"/>
            </w:tcBorders>
          </w:tcPr>
          <w:p w14:paraId="04FDD9CD"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100</w:t>
            </w:r>
            <w:r w:rsidRPr="00EC4EC4">
              <w:rPr>
                <w:rFonts w:eastAsia="Times New Roman" w:cs="Times New Roman"/>
                <w:sz w:val="16"/>
                <w:szCs w:val="16"/>
                <w:vertAlign w:val="superscript"/>
              </w:rPr>
              <w:t>m</w:t>
            </w:r>
          </w:p>
        </w:tc>
        <w:tc>
          <w:tcPr>
            <w:tcW w:w="2494" w:type="dxa"/>
            <w:tcBorders>
              <w:left w:val="single" w:sz="6" w:space="0" w:color="auto"/>
            </w:tcBorders>
          </w:tcPr>
          <w:p w14:paraId="19994B24" w14:textId="77777777" w:rsidR="00140B7C" w:rsidRPr="00EC4EC4" w:rsidRDefault="00140B7C" w:rsidP="00BC1087">
            <w:pPr>
              <w:widowControl w:val="0"/>
              <w:kinsoku w:val="0"/>
              <w:spacing w:after="0" w:line="240" w:lineRule="auto"/>
              <w:ind w:left="144"/>
              <w:contextualSpacing/>
              <w:jc w:val="center"/>
              <w:rPr>
                <w:rFonts w:eastAsia="Times New Roman" w:cs="Times New Roman"/>
                <w:sz w:val="16"/>
                <w:szCs w:val="16"/>
              </w:rPr>
            </w:pPr>
            <w:r w:rsidRPr="00EC4EC4">
              <w:rPr>
                <w:rFonts w:eastAsia="Times New Roman" w:cs="Times New Roman"/>
                <w:sz w:val="16"/>
                <w:szCs w:val="16"/>
              </w:rPr>
              <w:t>─</w:t>
            </w:r>
          </w:p>
        </w:tc>
      </w:tr>
    </w:tbl>
    <w:p w14:paraId="5DD133CC" w14:textId="77777777" w:rsidR="00140B7C" w:rsidRPr="00EC4EC4" w:rsidRDefault="00140B7C" w:rsidP="00140B7C">
      <w:pPr>
        <w:widowControl w:val="0"/>
        <w:kinsoku w:val="0"/>
        <w:spacing w:after="0" w:line="213" w:lineRule="auto"/>
        <w:rPr>
          <w:rFonts w:eastAsia="Times New Roman" w:cs="Times New Roman"/>
          <w:spacing w:val="4"/>
          <w:sz w:val="14"/>
          <w:szCs w:val="14"/>
        </w:rPr>
      </w:pPr>
    </w:p>
    <w:p w14:paraId="3DBCF3EC" w14:textId="77777777" w:rsidR="00140B7C" w:rsidRPr="00EC4EC4" w:rsidRDefault="00140B7C" w:rsidP="00140B7C">
      <w:pPr>
        <w:widowControl w:val="0"/>
        <w:kinsoku w:val="0"/>
        <w:spacing w:after="0" w:line="213" w:lineRule="auto"/>
        <w:rPr>
          <w:rFonts w:eastAsia="Times New Roman" w:cs="Times New Roman"/>
          <w:spacing w:val="4"/>
          <w:sz w:val="14"/>
          <w:szCs w:val="14"/>
        </w:rPr>
      </w:pPr>
      <w:r w:rsidRPr="00EC4EC4">
        <w:rPr>
          <w:rFonts w:eastAsia="Times New Roman" w:cs="Times New Roman"/>
          <w:spacing w:val="4"/>
          <w:sz w:val="14"/>
          <w:szCs w:val="14"/>
        </w:rPr>
        <w:t xml:space="preserve">For SI: </w:t>
      </w:r>
    </w:p>
    <w:p w14:paraId="14E68445" w14:textId="77777777" w:rsidR="00140B7C" w:rsidRPr="00EC4EC4" w:rsidRDefault="00140B7C" w:rsidP="00140B7C">
      <w:pPr>
        <w:widowControl w:val="0"/>
        <w:kinsoku w:val="0"/>
        <w:spacing w:after="0" w:line="213" w:lineRule="auto"/>
        <w:rPr>
          <w:rFonts w:eastAsia="Times New Roman" w:cs="Times New Roman"/>
          <w:spacing w:val="4"/>
          <w:sz w:val="14"/>
          <w:szCs w:val="14"/>
        </w:rPr>
      </w:pPr>
      <w:r w:rsidRPr="00EC4EC4">
        <w:rPr>
          <w:rFonts w:eastAsia="Times New Roman" w:cs="Times New Roman"/>
          <w:spacing w:val="4"/>
          <w:sz w:val="14"/>
          <w:szCs w:val="14"/>
        </w:rPr>
        <w:t>1 inch = 25.4 mm, 1 square inch = 645.16 mm</w:t>
      </w:r>
      <w:r w:rsidRPr="00EC4EC4">
        <w:rPr>
          <w:rFonts w:eastAsia="Times New Roman" w:cs="Times New Roman"/>
          <w:spacing w:val="4"/>
          <w:sz w:val="14"/>
          <w:szCs w:val="14"/>
          <w:vertAlign w:val="superscript"/>
        </w:rPr>
        <w:t>2</w:t>
      </w:r>
      <w:r w:rsidRPr="00EC4EC4">
        <w:rPr>
          <w:rFonts w:eastAsia="Times New Roman" w:cs="Times New Roman"/>
          <w:spacing w:val="4"/>
          <w:sz w:val="14"/>
          <w:szCs w:val="14"/>
        </w:rPr>
        <w:t>,</w:t>
      </w:r>
    </w:p>
    <w:p w14:paraId="6A6D153E" w14:textId="77777777" w:rsidR="00140B7C" w:rsidRPr="00EC4EC4" w:rsidRDefault="00140B7C" w:rsidP="00140B7C">
      <w:pPr>
        <w:widowControl w:val="0"/>
        <w:kinsoku w:val="0"/>
        <w:spacing w:after="0" w:line="213" w:lineRule="auto"/>
        <w:rPr>
          <w:rFonts w:eastAsia="Times New Roman" w:cs="Times New Roman"/>
          <w:spacing w:val="4"/>
          <w:sz w:val="14"/>
          <w:szCs w:val="14"/>
        </w:rPr>
      </w:pPr>
      <w:r w:rsidRPr="00EC4EC4">
        <w:rPr>
          <w:rFonts w:eastAsia="Times New Roman" w:cs="Times New Roman"/>
          <w:spacing w:val="4"/>
          <w:sz w:val="14"/>
          <w:szCs w:val="14"/>
        </w:rPr>
        <w:t xml:space="preserve">1 square foot = </w:t>
      </w:r>
      <w:r w:rsidRPr="00EC4EC4">
        <w:rPr>
          <w:rFonts w:eastAsia="Times New Roman" w:cs="Times New Roman"/>
          <w:spacing w:val="4"/>
          <w:w w:val="115"/>
          <w:sz w:val="14"/>
          <w:szCs w:val="14"/>
        </w:rPr>
        <w:t>0</w:t>
      </w:r>
      <w:r w:rsidRPr="00EC4EC4">
        <w:rPr>
          <w:rFonts w:eastAsia="Times New Roman" w:cs="Times New Roman"/>
          <w:spacing w:val="4"/>
          <w:sz w:val="14"/>
          <w:szCs w:val="14"/>
        </w:rPr>
        <w:t>.0929m</w:t>
      </w:r>
      <w:r w:rsidRPr="00EC4EC4">
        <w:rPr>
          <w:rFonts w:eastAsia="Times New Roman" w:cs="Times New Roman"/>
          <w:spacing w:val="4"/>
          <w:sz w:val="14"/>
          <w:szCs w:val="14"/>
          <w:vertAlign w:val="superscript"/>
        </w:rPr>
        <w:t>2</w:t>
      </w:r>
      <w:r w:rsidRPr="00EC4EC4">
        <w:rPr>
          <w:rFonts w:eastAsia="Times New Roman" w:cs="Times New Roman"/>
          <w:spacing w:val="4"/>
          <w:sz w:val="14"/>
          <w:szCs w:val="14"/>
        </w:rPr>
        <w:t>,</w:t>
      </w:r>
    </w:p>
    <w:p w14:paraId="75D4E4FB" w14:textId="77777777" w:rsidR="00140B7C" w:rsidRPr="00EC4EC4" w:rsidRDefault="00140B7C" w:rsidP="00140B7C">
      <w:pPr>
        <w:widowControl w:val="0"/>
        <w:kinsoku w:val="0"/>
        <w:spacing w:after="0" w:line="213" w:lineRule="auto"/>
        <w:rPr>
          <w:rFonts w:eastAsia="Times New Roman" w:cs="Times New Roman"/>
          <w:spacing w:val="2"/>
          <w:sz w:val="14"/>
          <w:szCs w:val="14"/>
        </w:rPr>
      </w:pPr>
      <w:r w:rsidRPr="00EC4EC4">
        <w:rPr>
          <w:rFonts w:eastAsia="Times New Roman" w:cs="Times New Roman"/>
          <w:spacing w:val="4"/>
          <w:sz w:val="14"/>
          <w:szCs w:val="14"/>
        </w:rPr>
        <w:t xml:space="preserve">1 pound per square </w:t>
      </w:r>
      <w:r w:rsidRPr="00EC4EC4">
        <w:rPr>
          <w:rFonts w:eastAsia="Times New Roman" w:cs="Times New Roman"/>
          <w:spacing w:val="2"/>
          <w:sz w:val="14"/>
          <w:szCs w:val="14"/>
        </w:rPr>
        <w:t>foot = 0.0479 kN/m</w:t>
      </w:r>
      <w:r w:rsidRPr="00EC4EC4">
        <w:rPr>
          <w:rFonts w:eastAsia="Times New Roman" w:cs="Times New Roman"/>
          <w:spacing w:val="2"/>
          <w:w w:val="115"/>
          <w:sz w:val="14"/>
          <w:szCs w:val="14"/>
          <w:vertAlign w:val="superscript"/>
        </w:rPr>
        <w:t>2</w:t>
      </w:r>
      <w:r w:rsidRPr="00EC4EC4">
        <w:rPr>
          <w:rFonts w:eastAsia="Times New Roman" w:cs="Times New Roman"/>
          <w:spacing w:val="4"/>
          <w:sz w:val="14"/>
          <w:szCs w:val="14"/>
        </w:rPr>
        <w:t>,</w:t>
      </w:r>
      <w:r w:rsidRPr="00EC4EC4">
        <w:rPr>
          <w:rFonts w:eastAsia="Times New Roman" w:cs="Times New Roman"/>
          <w:spacing w:val="2"/>
          <w:w w:val="115"/>
          <w:sz w:val="14"/>
          <w:szCs w:val="14"/>
          <w:vertAlign w:val="superscript"/>
        </w:rPr>
        <w:t xml:space="preserve"> </w:t>
      </w:r>
    </w:p>
    <w:p w14:paraId="03615BE3" w14:textId="77777777" w:rsidR="00140B7C" w:rsidRPr="00EC4EC4" w:rsidRDefault="00140B7C" w:rsidP="00140B7C">
      <w:pPr>
        <w:widowControl w:val="0"/>
        <w:kinsoku w:val="0"/>
        <w:spacing w:after="0" w:line="213" w:lineRule="auto"/>
        <w:rPr>
          <w:rFonts w:eastAsia="Times New Roman" w:cs="Times New Roman"/>
          <w:spacing w:val="2"/>
          <w:w w:val="115"/>
          <w:sz w:val="14"/>
          <w:szCs w:val="14"/>
          <w:vertAlign w:val="superscript"/>
        </w:rPr>
      </w:pPr>
      <w:r w:rsidRPr="00EC4EC4">
        <w:rPr>
          <w:rFonts w:eastAsia="Times New Roman" w:cs="Times New Roman"/>
          <w:spacing w:val="2"/>
          <w:sz w:val="14"/>
          <w:szCs w:val="14"/>
        </w:rPr>
        <w:t>1 pound = 0.004448 kN</w:t>
      </w:r>
      <w:r w:rsidRPr="00EC4EC4">
        <w:rPr>
          <w:rFonts w:eastAsia="Times New Roman" w:cs="Times New Roman"/>
          <w:spacing w:val="4"/>
          <w:sz w:val="14"/>
          <w:szCs w:val="14"/>
        </w:rPr>
        <w:t>,</w:t>
      </w:r>
    </w:p>
    <w:p w14:paraId="490EB9C1" w14:textId="77777777" w:rsidR="00140B7C" w:rsidRPr="00EC4EC4" w:rsidRDefault="00140B7C" w:rsidP="00140B7C">
      <w:pPr>
        <w:widowControl w:val="0"/>
        <w:kinsoku w:val="0"/>
        <w:spacing w:after="0" w:line="213" w:lineRule="auto"/>
        <w:rPr>
          <w:rFonts w:eastAsia="Times New Roman" w:cs="Times New Roman"/>
          <w:spacing w:val="4"/>
          <w:sz w:val="14"/>
          <w:szCs w:val="14"/>
        </w:rPr>
      </w:pPr>
      <w:r w:rsidRPr="00EC4EC4">
        <w:rPr>
          <w:rFonts w:eastAsia="Times New Roman" w:cs="Times New Roman"/>
          <w:spacing w:val="2"/>
          <w:sz w:val="14"/>
          <w:szCs w:val="14"/>
        </w:rPr>
        <w:t>1 pound per cubic foot = 16 kg/m</w:t>
      </w:r>
      <w:r w:rsidRPr="00EC4EC4">
        <w:rPr>
          <w:rFonts w:eastAsia="Times New Roman" w:cs="Times New Roman"/>
          <w:spacing w:val="2"/>
          <w:w w:val="115"/>
          <w:sz w:val="14"/>
          <w:szCs w:val="14"/>
          <w:vertAlign w:val="superscript"/>
        </w:rPr>
        <w:t>3</w:t>
      </w:r>
      <w:r w:rsidRPr="00EC4EC4">
        <w:rPr>
          <w:rFonts w:eastAsia="Times New Roman" w:cs="Times New Roman"/>
          <w:spacing w:val="4"/>
          <w:sz w:val="14"/>
          <w:szCs w:val="14"/>
        </w:rPr>
        <w:t>.</w:t>
      </w:r>
    </w:p>
    <w:p w14:paraId="54F8F3FC" w14:textId="77777777" w:rsidR="00140B7C" w:rsidRPr="00EC4EC4" w:rsidRDefault="00140B7C" w:rsidP="00140B7C">
      <w:pPr>
        <w:widowControl w:val="0"/>
        <w:kinsoku w:val="0"/>
        <w:spacing w:after="0" w:line="240" w:lineRule="auto"/>
        <w:ind w:left="720" w:hanging="720"/>
        <w:jc w:val="both"/>
        <w:rPr>
          <w:rFonts w:eastAsia="Times New Roman" w:cs="Times New Roman"/>
          <w:spacing w:val="3"/>
          <w:sz w:val="14"/>
          <w:szCs w:val="14"/>
        </w:rPr>
      </w:pPr>
      <w:r w:rsidRPr="00EC4EC4">
        <w:rPr>
          <w:rFonts w:eastAsia="Times New Roman" w:cs="Times New Roman"/>
          <w:spacing w:val="1"/>
          <w:sz w:val="14"/>
          <w:szCs w:val="14"/>
        </w:rPr>
        <w:t>a.</w:t>
      </w:r>
      <w:r w:rsidRPr="00EC4EC4">
        <w:rPr>
          <w:rFonts w:eastAsia="Times New Roman" w:cs="Times New Roman"/>
          <w:spacing w:val="1"/>
          <w:sz w:val="14"/>
          <w:szCs w:val="14"/>
        </w:rPr>
        <w:tab/>
        <w:t>Floors in garages or portions of buildings used for the storage of motor vehi</w:t>
      </w:r>
      <w:r w:rsidRPr="00EC4EC4">
        <w:rPr>
          <w:rFonts w:eastAsia="Times New Roman" w:cs="Times New Roman"/>
          <w:spacing w:val="5"/>
          <w:sz w:val="14"/>
          <w:szCs w:val="14"/>
        </w:rPr>
        <w:t xml:space="preserve">cles shall be designed for the uniformly distributed live loads of this Table </w:t>
      </w:r>
      <w:r w:rsidRPr="00EC4EC4">
        <w:rPr>
          <w:rFonts w:eastAsia="Times New Roman" w:cs="Times New Roman"/>
          <w:spacing w:val="3"/>
          <w:sz w:val="14"/>
          <w:szCs w:val="14"/>
        </w:rPr>
        <w:t xml:space="preserve"> or the following concentrated loads: (1) for garages restricted to passenger vehicles accommodating not more than nine passengers, 3,000 pounds act</w:t>
      </w:r>
      <w:r w:rsidRPr="00EC4EC4">
        <w:rPr>
          <w:rFonts w:eastAsia="Times New Roman" w:cs="Times New Roman"/>
          <w:spacing w:val="1"/>
          <w:sz w:val="14"/>
          <w:szCs w:val="14"/>
        </w:rPr>
        <w:t>ing on an area of 4</w:t>
      </w:r>
      <w:r w:rsidRPr="00EC4EC4">
        <w:rPr>
          <w:rFonts w:eastAsia="Times New Roman" w:cs="Times New Roman"/>
          <w:spacing w:val="1"/>
          <w:sz w:val="14"/>
          <w:szCs w:val="14"/>
          <w:vertAlign w:val="superscript"/>
        </w:rPr>
        <w:t>1</w:t>
      </w:r>
      <w:r w:rsidRPr="00EC4EC4">
        <w:rPr>
          <w:rFonts w:eastAsia="Times New Roman" w:cs="Times New Roman"/>
          <w:spacing w:val="1"/>
          <w:sz w:val="14"/>
          <w:szCs w:val="14"/>
        </w:rPr>
        <w:t>/</w:t>
      </w:r>
      <w:r w:rsidRPr="00EC4EC4">
        <w:rPr>
          <w:rFonts w:eastAsia="Times New Roman" w:cs="Times New Roman"/>
          <w:spacing w:val="1"/>
          <w:sz w:val="14"/>
          <w:szCs w:val="14"/>
          <w:vertAlign w:val="subscript"/>
        </w:rPr>
        <w:t>2</w:t>
      </w:r>
      <w:r w:rsidRPr="00EC4EC4">
        <w:rPr>
          <w:rFonts w:eastAsia="Times New Roman" w:cs="Times New Roman"/>
          <w:spacing w:val="1"/>
          <w:sz w:val="14"/>
          <w:szCs w:val="14"/>
        </w:rPr>
        <w:t xml:space="preserve"> inches by 4</w:t>
      </w:r>
      <w:r w:rsidRPr="00EC4EC4">
        <w:rPr>
          <w:rFonts w:eastAsia="Times New Roman" w:cs="Times New Roman"/>
          <w:spacing w:val="1"/>
          <w:sz w:val="14"/>
          <w:szCs w:val="14"/>
          <w:vertAlign w:val="superscript"/>
        </w:rPr>
        <w:t>1</w:t>
      </w:r>
      <w:r w:rsidRPr="00EC4EC4">
        <w:rPr>
          <w:rFonts w:eastAsia="Times New Roman" w:cs="Times New Roman"/>
          <w:spacing w:val="1"/>
          <w:sz w:val="14"/>
          <w:szCs w:val="14"/>
        </w:rPr>
        <w:t>/</w:t>
      </w:r>
      <w:r w:rsidRPr="00EC4EC4">
        <w:rPr>
          <w:rFonts w:eastAsia="Times New Roman" w:cs="Times New Roman"/>
          <w:spacing w:val="1"/>
          <w:sz w:val="14"/>
          <w:szCs w:val="14"/>
          <w:vertAlign w:val="subscript"/>
        </w:rPr>
        <w:t>2</w:t>
      </w:r>
      <w:r w:rsidRPr="00EC4EC4">
        <w:rPr>
          <w:rFonts w:eastAsia="Times New Roman" w:cs="Times New Roman"/>
          <w:spacing w:val="1"/>
          <w:sz w:val="14"/>
          <w:szCs w:val="14"/>
        </w:rPr>
        <w:t xml:space="preserve"> inches; (2) for mechanical parking struc</w:t>
      </w:r>
      <w:r w:rsidRPr="00EC4EC4">
        <w:rPr>
          <w:rFonts w:eastAsia="Times New Roman" w:cs="Times New Roman"/>
          <w:spacing w:val="4"/>
          <w:sz w:val="14"/>
          <w:szCs w:val="14"/>
        </w:rPr>
        <w:t xml:space="preserve">tures without slab or deck which are used for storing passenger vehicles </w:t>
      </w:r>
      <w:r w:rsidRPr="00EC4EC4">
        <w:rPr>
          <w:rFonts w:eastAsia="Times New Roman" w:cs="Times New Roman"/>
          <w:spacing w:val="3"/>
          <w:sz w:val="14"/>
          <w:szCs w:val="14"/>
        </w:rPr>
        <w:t>only, 2,250 pounds per wheel.</w:t>
      </w:r>
    </w:p>
    <w:p w14:paraId="6DB4E056" w14:textId="77777777" w:rsidR="00140B7C" w:rsidRPr="00EC4EC4" w:rsidRDefault="00140B7C" w:rsidP="00140B7C">
      <w:pPr>
        <w:widowControl w:val="0"/>
        <w:kinsoku w:val="0"/>
        <w:spacing w:after="0" w:line="240" w:lineRule="auto"/>
        <w:ind w:left="720" w:hanging="720"/>
        <w:jc w:val="both"/>
        <w:rPr>
          <w:rFonts w:eastAsia="Times New Roman" w:cs="Times New Roman"/>
          <w:spacing w:val="3"/>
          <w:sz w:val="14"/>
          <w:szCs w:val="14"/>
        </w:rPr>
      </w:pPr>
      <w:r w:rsidRPr="00EC4EC4">
        <w:rPr>
          <w:rFonts w:eastAsia="Times New Roman" w:cs="Times New Roman"/>
          <w:spacing w:val="7"/>
          <w:sz w:val="14"/>
          <w:szCs w:val="14"/>
        </w:rPr>
        <w:t>b.</w:t>
      </w:r>
      <w:r w:rsidRPr="00EC4EC4">
        <w:rPr>
          <w:rFonts w:eastAsia="Times New Roman" w:cs="Times New Roman"/>
          <w:spacing w:val="7"/>
          <w:sz w:val="14"/>
          <w:szCs w:val="14"/>
        </w:rPr>
        <w:tab/>
        <w:t>The loading applies to stack room floors that support nonmobile, dou</w:t>
      </w:r>
      <w:r w:rsidRPr="00EC4EC4">
        <w:rPr>
          <w:rFonts w:eastAsia="Times New Roman" w:cs="Times New Roman"/>
          <w:spacing w:val="3"/>
          <w:sz w:val="14"/>
          <w:szCs w:val="14"/>
        </w:rPr>
        <w:t>ble-faced library book stacks, subject to the following limitations:</w:t>
      </w:r>
    </w:p>
    <w:p w14:paraId="4F0F429F" w14:textId="77777777" w:rsidR="00140B7C" w:rsidRPr="00EC4EC4" w:rsidRDefault="00140B7C" w:rsidP="00226293">
      <w:pPr>
        <w:widowControl w:val="0"/>
        <w:numPr>
          <w:ilvl w:val="0"/>
          <w:numId w:val="4"/>
        </w:numPr>
        <w:tabs>
          <w:tab w:val="num" w:pos="-1800"/>
        </w:tabs>
        <w:kinsoku w:val="0"/>
        <w:autoSpaceDE w:val="0"/>
        <w:autoSpaceDN w:val="0"/>
        <w:adjustRightInd w:val="0"/>
        <w:spacing w:after="0" w:line="240" w:lineRule="auto"/>
        <w:ind w:left="1080" w:hanging="360"/>
        <w:jc w:val="both"/>
        <w:rPr>
          <w:rFonts w:eastAsia="Times New Roman" w:cs="Times New Roman"/>
          <w:i/>
          <w:iCs/>
          <w:spacing w:val="3"/>
          <w:sz w:val="14"/>
          <w:szCs w:val="14"/>
        </w:rPr>
      </w:pPr>
      <w:r w:rsidRPr="00EC4EC4">
        <w:rPr>
          <w:rFonts w:eastAsia="Times New Roman" w:cs="Times New Roman"/>
          <w:spacing w:val="6"/>
          <w:sz w:val="14"/>
          <w:szCs w:val="14"/>
        </w:rPr>
        <w:t xml:space="preserve">The nominal </w:t>
      </w:r>
      <w:r w:rsidRPr="00EC4EC4">
        <w:rPr>
          <w:rFonts w:eastAsia="Times New Roman" w:cs="Times New Roman"/>
          <w:spacing w:val="3"/>
          <w:sz w:val="14"/>
          <w:szCs w:val="14"/>
        </w:rPr>
        <w:t>book stack</w:t>
      </w:r>
      <w:r w:rsidRPr="00EC4EC4">
        <w:rPr>
          <w:rFonts w:eastAsia="Times New Roman" w:cs="Times New Roman"/>
          <w:spacing w:val="6"/>
          <w:sz w:val="14"/>
          <w:szCs w:val="14"/>
        </w:rPr>
        <w:t xml:space="preserve"> unit height shall not exceed 90 inches;</w:t>
      </w:r>
    </w:p>
    <w:p w14:paraId="177B9F83" w14:textId="77777777" w:rsidR="00140B7C" w:rsidRPr="00EC4EC4" w:rsidRDefault="00140B7C" w:rsidP="00226293">
      <w:pPr>
        <w:widowControl w:val="0"/>
        <w:numPr>
          <w:ilvl w:val="0"/>
          <w:numId w:val="4"/>
        </w:numPr>
        <w:tabs>
          <w:tab w:val="num" w:pos="-2880"/>
          <w:tab w:val="num" w:pos="-1800"/>
        </w:tabs>
        <w:kinsoku w:val="0"/>
        <w:autoSpaceDE w:val="0"/>
        <w:autoSpaceDN w:val="0"/>
        <w:adjustRightInd w:val="0"/>
        <w:spacing w:after="0" w:line="240" w:lineRule="auto"/>
        <w:ind w:left="1080" w:hanging="360"/>
        <w:jc w:val="both"/>
        <w:rPr>
          <w:rFonts w:eastAsia="Times New Roman" w:cs="Times New Roman"/>
          <w:i/>
          <w:iCs/>
          <w:spacing w:val="3"/>
          <w:sz w:val="14"/>
          <w:szCs w:val="14"/>
        </w:rPr>
      </w:pPr>
      <w:r w:rsidRPr="00EC4EC4">
        <w:rPr>
          <w:rFonts w:eastAsia="Times New Roman" w:cs="Times New Roman"/>
          <w:spacing w:val="2"/>
          <w:sz w:val="14"/>
          <w:szCs w:val="14"/>
        </w:rPr>
        <w:t>The nominal shelf depth shall not exceed 12 inches for each face; and</w:t>
      </w:r>
    </w:p>
    <w:p w14:paraId="7CA31E95" w14:textId="77777777" w:rsidR="00140B7C" w:rsidRPr="00EC4EC4" w:rsidRDefault="00140B7C" w:rsidP="00226293">
      <w:pPr>
        <w:widowControl w:val="0"/>
        <w:numPr>
          <w:ilvl w:val="0"/>
          <w:numId w:val="4"/>
        </w:numPr>
        <w:tabs>
          <w:tab w:val="num" w:pos="-2880"/>
          <w:tab w:val="num" w:pos="-1800"/>
        </w:tabs>
        <w:kinsoku w:val="0"/>
        <w:autoSpaceDE w:val="0"/>
        <w:autoSpaceDN w:val="0"/>
        <w:adjustRightInd w:val="0"/>
        <w:spacing w:after="0" w:line="240" w:lineRule="auto"/>
        <w:ind w:left="1080" w:hanging="360"/>
        <w:jc w:val="both"/>
        <w:rPr>
          <w:rFonts w:eastAsia="Times New Roman" w:cs="Times New Roman"/>
          <w:i/>
          <w:iCs/>
          <w:spacing w:val="3"/>
          <w:sz w:val="14"/>
          <w:szCs w:val="14"/>
        </w:rPr>
      </w:pPr>
      <w:r w:rsidRPr="00EC4EC4">
        <w:rPr>
          <w:rFonts w:eastAsia="Times New Roman" w:cs="Times New Roman"/>
          <w:spacing w:val="1"/>
          <w:sz w:val="14"/>
          <w:szCs w:val="14"/>
        </w:rPr>
        <w:t>Parallel rows of double-faced</w:t>
      </w:r>
      <w:r w:rsidRPr="00EC4EC4">
        <w:rPr>
          <w:rFonts w:eastAsia="Times New Roman" w:cs="Times New Roman"/>
          <w:spacing w:val="3"/>
          <w:sz w:val="14"/>
          <w:szCs w:val="14"/>
        </w:rPr>
        <w:t xml:space="preserve"> book stacks</w:t>
      </w:r>
      <w:r w:rsidRPr="00EC4EC4">
        <w:rPr>
          <w:rFonts w:eastAsia="Times New Roman" w:cs="Times New Roman"/>
          <w:spacing w:val="1"/>
          <w:sz w:val="14"/>
          <w:szCs w:val="14"/>
        </w:rPr>
        <w:t xml:space="preserve"> shall be separated by aisles </w:t>
      </w:r>
      <w:r w:rsidRPr="00EC4EC4">
        <w:rPr>
          <w:rFonts w:eastAsia="Times New Roman" w:cs="Times New Roman"/>
          <w:spacing w:val="4"/>
          <w:sz w:val="14"/>
          <w:szCs w:val="14"/>
        </w:rPr>
        <w:t>not less than 36 inches wide.</w:t>
      </w:r>
    </w:p>
    <w:p w14:paraId="18D92A99" w14:textId="77777777" w:rsidR="00140B7C" w:rsidRPr="00EC4EC4" w:rsidRDefault="00140B7C" w:rsidP="00140B7C">
      <w:pPr>
        <w:widowControl w:val="0"/>
        <w:kinsoku w:val="0"/>
        <w:spacing w:after="0" w:line="240" w:lineRule="auto"/>
        <w:ind w:left="720" w:hanging="720"/>
        <w:jc w:val="both"/>
        <w:rPr>
          <w:rFonts w:eastAsia="Times New Roman" w:cs="Times New Roman"/>
          <w:spacing w:val="-1"/>
          <w:sz w:val="14"/>
          <w:szCs w:val="14"/>
        </w:rPr>
      </w:pPr>
      <w:r w:rsidRPr="00EC4EC4">
        <w:rPr>
          <w:rFonts w:eastAsia="Times New Roman" w:cs="Times New Roman"/>
          <w:spacing w:val="3"/>
          <w:sz w:val="14"/>
          <w:szCs w:val="14"/>
        </w:rPr>
        <w:t>c.</w:t>
      </w:r>
      <w:r w:rsidRPr="00EC4EC4">
        <w:rPr>
          <w:rFonts w:eastAsia="Times New Roman" w:cs="Times New Roman"/>
          <w:spacing w:val="3"/>
          <w:sz w:val="14"/>
          <w:szCs w:val="14"/>
        </w:rPr>
        <w:tab/>
        <w:t>Design in accordance with</w:t>
      </w:r>
      <w:r w:rsidRPr="00EC4EC4">
        <w:rPr>
          <w:rFonts w:eastAsia="Times New Roman" w:cs="Times New Roman"/>
          <w:iCs/>
          <w:spacing w:val="-1"/>
          <w:sz w:val="14"/>
          <w:szCs w:val="14"/>
        </w:rPr>
        <w:t xml:space="preserve"> </w:t>
      </w:r>
      <w:r w:rsidRPr="00EC4EC4">
        <w:rPr>
          <w:rFonts w:eastAsia="Times New Roman" w:cs="Times New Roman"/>
          <w:spacing w:val="-1"/>
          <w:sz w:val="14"/>
          <w:szCs w:val="14"/>
        </w:rPr>
        <w:t>Section 1029.1.</w:t>
      </w:r>
    </w:p>
    <w:p w14:paraId="5E43FBC8" w14:textId="77777777" w:rsidR="00140B7C" w:rsidRPr="00EC4EC4" w:rsidRDefault="00140B7C" w:rsidP="00140B7C">
      <w:pPr>
        <w:shd w:val="clear" w:color="auto" w:fill="FFFFFF"/>
        <w:spacing w:after="0" w:line="240" w:lineRule="auto"/>
        <w:ind w:left="720" w:hanging="720"/>
        <w:jc w:val="both"/>
        <w:rPr>
          <w:rFonts w:eastAsia="Times New Roman" w:cs="Times New Roman"/>
          <w:sz w:val="14"/>
          <w:szCs w:val="18"/>
        </w:rPr>
      </w:pPr>
      <w:r w:rsidRPr="00EC4EC4">
        <w:rPr>
          <w:rFonts w:eastAsia="Times New Roman" w:cs="Times New Roman"/>
          <w:sz w:val="14"/>
          <w:szCs w:val="18"/>
        </w:rPr>
        <w:t>d.</w:t>
      </w:r>
      <w:r w:rsidRPr="00EC4EC4">
        <w:rPr>
          <w:rFonts w:eastAsia="Times New Roman" w:cs="Times New Roman"/>
          <w:sz w:val="14"/>
          <w:szCs w:val="18"/>
        </w:rPr>
        <w:tab/>
        <w:t>The concentrated wheel load of 20,000 pounds shall be applied on a 20 inch by 10 inch area.</w:t>
      </w:r>
    </w:p>
    <w:p w14:paraId="711F1D71" w14:textId="77777777" w:rsidR="00140B7C" w:rsidRPr="00EC4EC4" w:rsidRDefault="00140B7C" w:rsidP="00140B7C">
      <w:pPr>
        <w:shd w:val="clear" w:color="auto" w:fill="FFFFFF"/>
        <w:spacing w:after="0" w:line="240" w:lineRule="auto"/>
        <w:ind w:left="720" w:hanging="720"/>
        <w:jc w:val="both"/>
        <w:rPr>
          <w:rFonts w:eastAsia="Times New Roman" w:cs="Times New Roman"/>
          <w:strike/>
          <w:sz w:val="14"/>
          <w:szCs w:val="18"/>
        </w:rPr>
      </w:pPr>
      <w:r w:rsidRPr="00EC4EC4">
        <w:rPr>
          <w:rFonts w:eastAsia="Times New Roman" w:cs="Times New Roman"/>
          <w:sz w:val="14"/>
          <w:szCs w:val="18"/>
        </w:rPr>
        <w:t>e.</w:t>
      </w:r>
      <w:r w:rsidRPr="00EC4EC4">
        <w:rPr>
          <w:rFonts w:eastAsia="Times New Roman" w:cs="Times New Roman"/>
          <w:sz w:val="14"/>
          <w:szCs w:val="18"/>
        </w:rPr>
        <w:tab/>
        <w:t>The concentrated wheel load shall be applied on an area of 4.5 inches by 4.5 inches.</w:t>
      </w:r>
    </w:p>
    <w:p w14:paraId="51B96692" w14:textId="77777777" w:rsidR="00140B7C" w:rsidRPr="00EC4EC4" w:rsidRDefault="00140B7C" w:rsidP="00140B7C">
      <w:pPr>
        <w:shd w:val="clear" w:color="auto" w:fill="FFFFFF"/>
        <w:spacing w:after="0" w:line="240" w:lineRule="auto"/>
        <w:ind w:left="720" w:hanging="720"/>
        <w:jc w:val="both"/>
        <w:rPr>
          <w:rFonts w:eastAsia="Times New Roman" w:cs="Times New Roman"/>
          <w:sz w:val="14"/>
          <w:szCs w:val="18"/>
        </w:rPr>
      </w:pPr>
      <w:r w:rsidRPr="00EC4EC4">
        <w:rPr>
          <w:rFonts w:eastAsia="Times New Roman" w:cs="Times New Roman"/>
          <w:sz w:val="14"/>
          <w:szCs w:val="18"/>
        </w:rPr>
        <w:t>f.</w:t>
      </w:r>
      <w:r w:rsidRPr="00EC4EC4">
        <w:rPr>
          <w:rFonts w:eastAsia="Times New Roman" w:cs="Times New Roman"/>
          <w:sz w:val="14"/>
          <w:szCs w:val="18"/>
        </w:rPr>
        <w:tab/>
        <w:t>The minimum concentrated load on stair treads shall be applied on an area of 2 inches by 2 inches. This load need not be assumed to act concurrently with the uniform load.</w:t>
      </w:r>
    </w:p>
    <w:p w14:paraId="50A0C5E1" w14:textId="77777777" w:rsidR="00140B7C" w:rsidRPr="00EC4EC4" w:rsidRDefault="00140B7C" w:rsidP="00140B7C">
      <w:pPr>
        <w:shd w:val="clear" w:color="auto" w:fill="FFFFFF"/>
        <w:spacing w:after="0" w:line="240" w:lineRule="auto"/>
        <w:ind w:left="720" w:hanging="720"/>
        <w:jc w:val="both"/>
        <w:rPr>
          <w:rFonts w:eastAsia="Times New Roman" w:cs="Times New Roman"/>
          <w:sz w:val="14"/>
          <w:szCs w:val="18"/>
        </w:rPr>
      </w:pPr>
      <w:r w:rsidRPr="00EC4EC4">
        <w:rPr>
          <w:rFonts w:eastAsia="Times New Roman" w:cs="Times New Roman"/>
          <w:sz w:val="14"/>
          <w:szCs w:val="18"/>
        </w:rPr>
        <w:t>g.</w:t>
      </w:r>
      <w:r w:rsidRPr="00EC4EC4">
        <w:rPr>
          <w:rFonts w:eastAsia="Times New Roman" w:cs="Times New Roman"/>
          <w:sz w:val="14"/>
          <w:szCs w:val="18"/>
        </w:rPr>
        <w:tab/>
        <w:t>Where snow loads occur that are in excess of the design conditions, the structure shall be designed to support the loads due to the increased loads caused by drift buildup or a greater snow design determined by the department (see Section 1608).</w:t>
      </w:r>
    </w:p>
    <w:p w14:paraId="42D43695" w14:textId="77777777" w:rsidR="00140B7C" w:rsidRPr="00EC4EC4" w:rsidRDefault="00140B7C" w:rsidP="00140B7C">
      <w:pPr>
        <w:shd w:val="clear" w:color="auto" w:fill="FFFFFF"/>
        <w:spacing w:after="0" w:line="240" w:lineRule="auto"/>
        <w:ind w:left="720" w:hanging="720"/>
        <w:jc w:val="both"/>
        <w:rPr>
          <w:rFonts w:eastAsia="Times New Roman" w:cs="Times New Roman"/>
          <w:sz w:val="14"/>
          <w:szCs w:val="18"/>
        </w:rPr>
      </w:pPr>
      <w:r w:rsidRPr="00EC4EC4">
        <w:rPr>
          <w:rFonts w:eastAsia="Times New Roman" w:cs="Times New Roman"/>
          <w:sz w:val="14"/>
          <w:szCs w:val="18"/>
        </w:rPr>
        <w:t>h.</w:t>
      </w:r>
      <w:r w:rsidRPr="00EC4EC4">
        <w:rPr>
          <w:rFonts w:eastAsia="Times New Roman" w:cs="Times New Roman"/>
          <w:sz w:val="14"/>
          <w:szCs w:val="18"/>
        </w:rPr>
        <w:tab/>
        <w:t>See Section 1604.8.3 for decks attached to exterior walls.</w:t>
      </w:r>
    </w:p>
    <w:p w14:paraId="623ED6E8" w14:textId="77777777" w:rsidR="00140B7C" w:rsidRPr="00EC4EC4" w:rsidRDefault="00140B7C" w:rsidP="00140B7C">
      <w:pPr>
        <w:shd w:val="clear" w:color="auto" w:fill="FFFFFF"/>
        <w:spacing w:after="0" w:line="240" w:lineRule="auto"/>
        <w:ind w:left="720" w:hanging="720"/>
        <w:jc w:val="both"/>
        <w:rPr>
          <w:rFonts w:eastAsia="Times New Roman" w:cs="Times New Roman"/>
          <w:sz w:val="14"/>
          <w:szCs w:val="18"/>
        </w:rPr>
      </w:pPr>
      <w:r w:rsidRPr="00EC4EC4">
        <w:rPr>
          <w:rFonts w:eastAsia="Times New Roman" w:cs="Times New Roman"/>
          <w:sz w:val="14"/>
          <w:szCs w:val="18"/>
        </w:rPr>
        <w:lastRenderedPageBreak/>
        <w:t>i.</w:t>
      </w:r>
      <w:r w:rsidRPr="00EC4EC4">
        <w:rPr>
          <w:rFonts w:eastAsia="Times New Roman" w:cs="Times New Roman"/>
          <w:sz w:val="14"/>
          <w:szCs w:val="18"/>
        </w:rPr>
        <w:tab/>
      </w:r>
      <w:r w:rsidRPr="00EC4EC4">
        <w:rPr>
          <w:rFonts w:eastAsia="Times New Roman" w:cs="Times New Roman"/>
          <w:spacing w:val="3"/>
          <w:sz w:val="14"/>
          <w:szCs w:val="14"/>
        </w:rPr>
        <w:t>Uninhabitable attics without storage are those where the maximum clear height between the joists and rafters is less than 42 inches, or where there are not two or more adjacent trusses with web configurations capable of accommodating an assumed rectangle 42 inches in height by 24 inches in width, or greater, within the plane of the trusses. This live load need not be assumed to act concurrently with any other live load requirements.</w:t>
      </w:r>
    </w:p>
    <w:p w14:paraId="1FC767E3" w14:textId="77777777" w:rsidR="00140B7C" w:rsidRPr="00EC4EC4" w:rsidRDefault="00140B7C" w:rsidP="00140B7C">
      <w:pPr>
        <w:widowControl w:val="0"/>
        <w:kinsoku w:val="0"/>
        <w:spacing w:after="20" w:line="240" w:lineRule="auto"/>
        <w:ind w:left="720" w:hanging="720"/>
        <w:jc w:val="both"/>
        <w:rPr>
          <w:rFonts w:eastAsia="Times New Roman" w:cs="Times New Roman"/>
          <w:spacing w:val="3"/>
          <w:sz w:val="14"/>
          <w:szCs w:val="14"/>
        </w:rPr>
      </w:pPr>
      <w:r w:rsidRPr="00EC4EC4">
        <w:rPr>
          <w:rFonts w:eastAsia="Times New Roman" w:cs="Times New Roman"/>
          <w:sz w:val="14"/>
          <w:szCs w:val="18"/>
        </w:rPr>
        <w:t>j.</w:t>
      </w:r>
      <w:r w:rsidRPr="00EC4EC4">
        <w:rPr>
          <w:rFonts w:eastAsia="Times New Roman" w:cs="Times New Roman"/>
          <w:sz w:val="14"/>
          <w:szCs w:val="18"/>
        </w:rPr>
        <w:tab/>
      </w:r>
      <w:r w:rsidRPr="00EC4EC4">
        <w:rPr>
          <w:rFonts w:eastAsia="Times New Roman" w:cs="Times New Roman"/>
          <w:spacing w:val="3"/>
          <w:sz w:val="14"/>
          <w:szCs w:val="14"/>
        </w:rPr>
        <w:t>Uninhabitable attics with storage are those where the maximum clear height between the joists and rafters is 42 inches or greater, or where there are two or more adjacent trusses with web configurations capable of accommodating an assumed rectangle 42 inches in height by 24 inches in width, or greater, within the plane of the trusses.</w:t>
      </w:r>
    </w:p>
    <w:p w14:paraId="3FE92EA1" w14:textId="77777777" w:rsidR="00140B7C" w:rsidRPr="00EC4EC4" w:rsidRDefault="00140B7C" w:rsidP="00140B7C">
      <w:pPr>
        <w:widowControl w:val="0"/>
        <w:kinsoku w:val="0"/>
        <w:spacing w:after="20" w:line="240" w:lineRule="auto"/>
        <w:ind w:left="360" w:firstLine="360"/>
        <w:jc w:val="both"/>
        <w:rPr>
          <w:rFonts w:eastAsia="Times New Roman" w:cs="Times New Roman"/>
          <w:spacing w:val="3"/>
          <w:sz w:val="14"/>
          <w:szCs w:val="14"/>
        </w:rPr>
      </w:pPr>
      <w:r w:rsidRPr="00EC4EC4">
        <w:rPr>
          <w:rFonts w:eastAsia="Times New Roman" w:cs="Times New Roman"/>
          <w:spacing w:val="3"/>
          <w:sz w:val="14"/>
          <w:szCs w:val="14"/>
        </w:rPr>
        <w:t>The live load need only be applied to those portions of the joists of truss bottom chords where both of the following conditions are met:</w:t>
      </w:r>
    </w:p>
    <w:p w14:paraId="6FAEB50C" w14:textId="77777777" w:rsidR="00140B7C" w:rsidRPr="00EC4EC4" w:rsidRDefault="00140B7C" w:rsidP="00140B7C">
      <w:pPr>
        <w:widowControl w:val="0"/>
        <w:kinsoku w:val="0"/>
        <w:spacing w:after="20" w:line="240" w:lineRule="auto"/>
        <w:ind w:left="1440" w:hanging="360"/>
        <w:jc w:val="both"/>
        <w:rPr>
          <w:rFonts w:eastAsia="Times New Roman" w:cs="Times New Roman"/>
          <w:spacing w:val="3"/>
          <w:sz w:val="14"/>
          <w:szCs w:val="14"/>
        </w:rPr>
      </w:pPr>
      <w:r w:rsidRPr="00EC4EC4">
        <w:rPr>
          <w:rFonts w:eastAsia="Times New Roman" w:cs="Times New Roman"/>
          <w:spacing w:val="3"/>
          <w:sz w:val="14"/>
          <w:szCs w:val="14"/>
        </w:rPr>
        <w:t>i.</w:t>
      </w:r>
      <w:r w:rsidRPr="00EC4EC4">
        <w:rPr>
          <w:rFonts w:eastAsia="Times New Roman" w:cs="Times New Roman"/>
          <w:spacing w:val="3"/>
          <w:sz w:val="14"/>
          <w:szCs w:val="14"/>
        </w:rPr>
        <w:tab/>
        <w:t>The attic area is accessible from an opening not less than 20 inches in width by 30 inches in length that is located where the clear height in the attic is a minimum of 30 inches; and</w:t>
      </w:r>
    </w:p>
    <w:p w14:paraId="1C64700B" w14:textId="77777777" w:rsidR="00140B7C" w:rsidRPr="00EC4EC4" w:rsidRDefault="00140B7C" w:rsidP="00140B7C">
      <w:pPr>
        <w:widowControl w:val="0"/>
        <w:kinsoku w:val="0"/>
        <w:spacing w:after="20" w:line="240" w:lineRule="auto"/>
        <w:ind w:left="1440" w:hanging="360"/>
        <w:jc w:val="both"/>
        <w:rPr>
          <w:rFonts w:eastAsia="Times New Roman" w:cs="Times New Roman"/>
          <w:spacing w:val="3"/>
          <w:sz w:val="14"/>
          <w:szCs w:val="14"/>
        </w:rPr>
      </w:pPr>
      <w:r w:rsidRPr="00EC4EC4">
        <w:rPr>
          <w:rFonts w:eastAsia="Times New Roman" w:cs="Times New Roman"/>
          <w:spacing w:val="3"/>
          <w:sz w:val="14"/>
          <w:szCs w:val="14"/>
        </w:rPr>
        <w:t>ii.</w:t>
      </w:r>
      <w:r w:rsidRPr="00EC4EC4">
        <w:rPr>
          <w:rFonts w:eastAsia="Times New Roman" w:cs="Times New Roman"/>
          <w:spacing w:val="3"/>
          <w:sz w:val="14"/>
          <w:szCs w:val="14"/>
        </w:rPr>
        <w:tab/>
        <w:t>The slopes of the joists or truss bottom chords are no greater than two units vertical in 12 units horizontal.</w:t>
      </w:r>
    </w:p>
    <w:p w14:paraId="542B1203" w14:textId="77777777" w:rsidR="00140B7C" w:rsidRPr="00EC4EC4" w:rsidRDefault="00140B7C" w:rsidP="00140B7C">
      <w:pPr>
        <w:widowControl w:val="0"/>
        <w:kinsoku w:val="0"/>
        <w:spacing w:after="0" w:line="240" w:lineRule="auto"/>
        <w:ind w:left="720"/>
        <w:jc w:val="both"/>
        <w:rPr>
          <w:rFonts w:eastAsia="Times New Roman" w:cs="Times New Roman"/>
          <w:spacing w:val="3"/>
          <w:sz w:val="14"/>
          <w:szCs w:val="14"/>
        </w:rPr>
      </w:pPr>
      <w:r w:rsidRPr="00EC4EC4">
        <w:rPr>
          <w:rFonts w:eastAsia="Times New Roman" w:cs="Times New Roman"/>
          <w:spacing w:val="3"/>
          <w:sz w:val="14"/>
          <w:szCs w:val="14"/>
        </w:rPr>
        <w:t>The remaining portions of the joists or truss bottom chords shall be designed for a uniformly distributed concurrent live load of not less than 10 pounds per square foot.</w:t>
      </w:r>
    </w:p>
    <w:p w14:paraId="135EE9E4" w14:textId="77777777" w:rsidR="00140B7C" w:rsidRPr="00EC4EC4" w:rsidRDefault="00140B7C" w:rsidP="00140B7C">
      <w:pPr>
        <w:widowControl w:val="0"/>
        <w:kinsoku w:val="0"/>
        <w:spacing w:after="0" w:line="240" w:lineRule="auto"/>
        <w:ind w:left="720" w:hanging="720"/>
        <w:jc w:val="both"/>
        <w:rPr>
          <w:rFonts w:eastAsia="Times New Roman" w:cs="Times New Roman"/>
          <w:spacing w:val="3"/>
          <w:sz w:val="14"/>
          <w:szCs w:val="14"/>
        </w:rPr>
      </w:pPr>
      <w:r w:rsidRPr="00EC4EC4">
        <w:rPr>
          <w:rFonts w:eastAsia="Times New Roman" w:cs="Times New Roman"/>
          <w:spacing w:val="3"/>
          <w:sz w:val="14"/>
          <w:szCs w:val="14"/>
        </w:rPr>
        <w:t>k.</w:t>
      </w:r>
      <w:r w:rsidRPr="00EC4EC4">
        <w:rPr>
          <w:rFonts w:eastAsia="Times New Roman" w:cs="Times New Roman"/>
          <w:spacing w:val="3"/>
          <w:sz w:val="14"/>
          <w:szCs w:val="14"/>
        </w:rPr>
        <w:tab/>
        <w:t>Attic spaces served by stairways other than the pull-down type shall be designed to support the minimum live load specified for habitable attics and sleeping rooms.</w:t>
      </w:r>
    </w:p>
    <w:p w14:paraId="3B3F796A" w14:textId="77777777" w:rsidR="00140B7C" w:rsidRPr="00EC4EC4" w:rsidRDefault="00140B7C" w:rsidP="00140B7C">
      <w:pPr>
        <w:widowControl w:val="0"/>
        <w:kinsoku w:val="0"/>
        <w:spacing w:after="0" w:line="240" w:lineRule="auto"/>
        <w:ind w:left="720" w:hanging="720"/>
        <w:jc w:val="both"/>
        <w:rPr>
          <w:rFonts w:eastAsia="Times New Roman" w:cs="Times New Roman"/>
          <w:spacing w:val="3"/>
          <w:sz w:val="14"/>
          <w:szCs w:val="14"/>
        </w:rPr>
      </w:pPr>
      <w:r w:rsidRPr="00EC4EC4">
        <w:rPr>
          <w:rFonts w:eastAsia="Times New Roman" w:cs="Times New Roman"/>
          <w:spacing w:val="3"/>
          <w:sz w:val="14"/>
          <w:szCs w:val="14"/>
        </w:rPr>
        <w:t>l.</w:t>
      </w:r>
      <w:r w:rsidRPr="00EC4EC4">
        <w:rPr>
          <w:rFonts w:eastAsia="Times New Roman" w:cs="Times New Roman"/>
          <w:spacing w:val="3"/>
          <w:sz w:val="14"/>
          <w:szCs w:val="14"/>
        </w:rPr>
        <w:tab/>
        <w:t>Areas of occupiable roofs, other than roof gardens and assembly areas, shall be designed for appropriate loads as approved by the department. Unoccupied landscaped areas of roofs shall be designed in accordance with Section 1607.13.3.</w:t>
      </w:r>
    </w:p>
    <w:p w14:paraId="0D21AA15" w14:textId="77777777" w:rsidR="00140B7C" w:rsidRPr="00EC4EC4" w:rsidRDefault="00140B7C" w:rsidP="00140B7C">
      <w:pPr>
        <w:shd w:val="clear" w:color="auto" w:fill="FFFFFF"/>
        <w:spacing w:after="0" w:line="240" w:lineRule="auto"/>
        <w:ind w:left="720" w:hanging="720"/>
        <w:jc w:val="both"/>
        <w:rPr>
          <w:rFonts w:eastAsia="Times New Roman" w:cs="Times New Roman"/>
          <w:spacing w:val="3"/>
          <w:sz w:val="14"/>
          <w:szCs w:val="14"/>
        </w:rPr>
      </w:pPr>
      <w:r w:rsidRPr="00EC4EC4">
        <w:rPr>
          <w:rFonts w:eastAsia="Times New Roman" w:cs="Times New Roman"/>
          <w:spacing w:val="3"/>
          <w:sz w:val="14"/>
          <w:szCs w:val="14"/>
        </w:rPr>
        <w:t>m.</w:t>
      </w:r>
      <w:r w:rsidRPr="00EC4EC4">
        <w:rPr>
          <w:rFonts w:eastAsia="Times New Roman" w:cs="Times New Roman"/>
          <w:spacing w:val="3"/>
          <w:sz w:val="14"/>
          <w:szCs w:val="14"/>
        </w:rPr>
        <w:tab/>
        <w:t>Live load reduction is not permitted.</w:t>
      </w:r>
    </w:p>
    <w:p w14:paraId="5F86A18C" w14:textId="77777777" w:rsidR="00140B7C" w:rsidRPr="00EC4EC4" w:rsidRDefault="00140B7C" w:rsidP="00140B7C">
      <w:pPr>
        <w:shd w:val="clear" w:color="auto" w:fill="FFFFFF"/>
        <w:spacing w:after="0" w:line="240" w:lineRule="auto"/>
        <w:ind w:left="720" w:hanging="720"/>
        <w:jc w:val="both"/>
        <w:rPr>
          <w:rFonts w:eastAsia="Times New Roman" w:cs="Times New Roman"/>
          <w:spacing w:val="3"/>
          <w:sz w:val="14"/>
          <w:szCs w:val="14"/>
        </w:rPr>
      </w:pPr>
      <w:r w:rsidRPr="00EC4EC4">
        <w:rPr>
          <w:rFonts w:eastAsia="Times New Roman" w:cs="Times New Roman"/>
          <w:spacing w:val="3"/>
          <w:sz w:val="14"/>
          <w:szCs w:val="14"/>
        </w:rPr>
        <w:t>n.</w:t>
      </w:r>
      <w:r w:rsidRPr="00EC4EC4">
        <w:rPr>
          <w:rFonts w:eastAsia="Times New Roman" w:cs="Times New Roman"/>
          <w:spacing w:val="3"/>
          <w:sz w:val="14"/>
          <w:szCs w:val="14"/>
        </w:rPr>
        <w:tab/>
        <w:t>Live Load reduction is only permitted in accordance with Section 1607.11.1.2 or Item 1 of Section 1607.11.2.</w:t>
      </w:r>
    </w:p>
    <w:p w14:paraId="4AF0615C" w14:textId="77777777" w:rsidR="00140B7C" w:rsidRPr="00EC4EC4" w:rsidRDefault="00140B7C" w:rsidP="00140B7C">
      <w:pPr>
        <w:shd w:val="clear" w:color="auto" w:fill="FFFFFF"/>
        <w:spacing w:after="0" w:line="240" w:lineRule="auto"/>
        <w:ind w:left="720" w:hanging="720"/>
        <w:jc w:val="both"/>
        <w:rPr>
          <w:rFonts w:eastAsia="Times New Roman" w:cs="Times New Roman"/>
          <w:spacing w:val="3"/>
          <w:sz w:val="14"/>
          <w:szCs w:val="14"/>
        </w:rPr>
      </w:pPr>
      <w:r w:rsidRPr="00EC4EC4">
        <w:rPr>
          <w:rFonts w:eastAsia="Times New Roman" w:cs="Times New Roman"/>
          <w:spacing w:val="3"/>
          <w:sz w:val="14"/>
          <w:szCs w:val="14"/>
        </w:rPr>
        <w:t>o.</w:t>
      </w:r>
      <w:r w:rsidRPr="00EC4EC4">
        <w:rPr>
          <w:rFonts w:eastAsia="Times New Roman" w:cs="Times New Roman"/>
          <w:spacing w:val="3"/>
          <w:sz w:val="14"/>
          <w:szCs w:val="14"/>
        </w:rPr>
        <w:tab/>
        <w:t>Live Load reduction is only permitted in accordance with Section 1607.11.1.3 or Item 2 of Section 1607.11.2.</w:t>
      </w:r>
    </w:p>
    <w:p w14:paraId="02D3D6AD" w14:textId="77777777" w:rsidR="00140B7C" w:rsidRPr="00EC4EC4" w:rsidRDefault="00140B7C" w:rsidP="00140B7C">
      <w:pPr>
        <w:shd w:val="clear" w:color="auto" w:fill="FFFFFF"/>
        <w:spacing w:after="0" w:line="240" w:lineRule="auto"/>
        <w:ind w:left="720" w:hanging="720"/>
        <w:jc w:val="both"/>
        <w:rPr>
          <w:rFonts w:eastAsia="Times New Roman" w:cs="Times New Roman"/>
          <w:spacing w:val="3"/>
          <w:sz w:val="14"/>
          <w:szCs w:val="14"/>
          <w:u w:val="single"/>
        </w:rPr>
      </w:pPr>
    </w:p>
    <w:p w14:paraId="13DF4C92" w14:textId="31A06F85" w:rsidR="00140B7C" w:rsidRPr="00EC4EC4" w:rsidRDefault="00140B7C" w:rsidP="00140B7C">
      <w:pPr>
        <w:kinsoku w:val="0"/>
        <w:spacing w:after="0" w:line="240" w:lineRule="auto"/>
        <w:ind w:firstLine="720"/>
        <w:jc w:val="both"/>
        <w:rPr>
          <w:rFonts w:eastAsia="Times New Roman" w:cs="Times New Roman"/>
          <w:b/>
          <w:bCs/>
          <w:szCs w:val="24"/>
        </w:rPr>
      </w:pPr>
      <w:bookmarkStart w:id="139" w:name="_Hlk115342571"/>
      <w:bookmarkStart w:id="140" w:name="_Toc389736840"/>
      <w:bookmarkStart w:id="141" w:name="_Toc389745402"/>
      <w:r w:rsidRPr="00EC4EC4">
        <w:rPr>
          <w:rFonts w:cs="Times New Roman"/>
          <w:sz w:val="23"/>
          <w:szCs w:val="23"/>
        </w:rPr>
        <w:t>§</w:t>
      </w:r>
      <w:r>
        <w:rPr>
          <w:rFonts w:cs="Times New Roman"/>
          <w:sz w:val="23"/>
          <w:szCs w:val="23"/>
        </w:rPr>
        <w:t>1</w:t>
      </w:r>
      <w:r w:rsidR="00B57C76">
        <w:rPr>
          <w:rFonts w:cs="Times New Roman"/>
          <w:sz w:val="23"/>
          <w:szCs w:val="23"/>
        </w:rPr>
        <w:t>72</w:t>
      </w:r>
      <w:r w:rsidRPr="00EC4EC4">
        <w:rPr>
          <w:rFonts w:cs="Times New Roman"/>
          <w:sz w:val="23"/>
          <w:szCs w:val="23"/>
        </w:rPr>
        <w:t>. Section 1607.7 of  the New York city building code, as added by local law number 126 for the year 2021, is amended to read as follows:</w:t>
      </w:r>
    </w:p>
    <w:bookmarkEnd w:id="139"/>
    <w:p w14:paraId="78892679" w14:textId="77777777" w:rsidR="00140B7C" w:rsidRPr="00EC4EC4" w:rsidRDefault="00140B7C" w:rsidP="00140B7C">
      <w:pPr>
        <w:pStyle w:val="FlushLeft"/>
        <w:spacing w:after="0"/>
        <w:rPr>
          <w:b/>
          <w:bCs/>
          <w:color w:val="000000"/>
          <w:szCs w:val="24"/>
        </w:rPr>
      </w:pPr>
    </w:p>
    <w:p w14:paraId="4095F1F5" w14:textId="77777777" w:rsidR="00140B7C" w:rsidRPr="00EC4EC4" w:rsidRDefault="00140B7C" w:rsidP="00140B7C">
      <w:pPr>
        <w:pStyle w:val="FlushLeft"/>
        <w:spacing w:after="0"/>
        <w:rPr>
          <w:color w:val="000000"/>
          <w:szCs w:val="24"/>
        </w:rPr>
      </w:pPr>
      <w:r w:rsidRPr="00EC4EC4">
        <w:rPr>
          <w:b/>
          <w:bCs/>
          <w:color w:val="000000"/>
          <w:szCs w:val="24"/>
        </w:rPr>
        <w:t>1607.7 Heavy [</w:t>
      </w:r>
      <w:r w:rsidRPr="00EC4EC4">
        <w:rPr>
          <w:b/>
          <w:bCs/>
          <w:strike/>
          <w:color w:val="000000"/>
          <w:szCs w:val="24"/>
        </w:rPr>
        <w:t>Vehicle</w:t>
      </w:r>
      <w:r w:rsidRPr="00EC4EC4">
        <w:rPr>
          <w:b/>
          <w:bCs/>
          <w:color w:val="000000"/>
          <w:szCs w:val="24"/>
        </w:rPr>
        <w:t>]</w:t>
      </w:r>
      <w:r w:rsidRPr="00EC4EC4">
        <w:rPr>
          <w:b/>
          <w:bCs/>
          <w:color w:val="000000"/>
          <w:szCs w:val="24"/>
          <w:u w:val="single"/>
        </w:rPr>
        <w:t>vehicle</w:t>
      </w:r>
      <w:r w:rsidRPr="00EC4EC4">
        <w:rPr>
          <w:b/>
          <w:bCs/>
          <w:color w:val="000000"/>
          <w:szCs w:val="24"/>
        </w:rPr>
        <w:t xml:space="preserve"> loads.</w:t>
      </w:r>
      <w:bookmarkEnd w:id="140"/>
      <w:bookmarkEnd w:id="141"/>
      <w:r w:rsidRPr="00EC4EC4">
        <w:rPr>
          <w:bCs/>
          <w:color w:val="000000"/>
          <w:szCs w:val="24"/>
        </w:rPr>
        <w:t xml:space="preserve">  Floors and other surfaces that are intended to support vehicle loads greater than a 10,000-pound (4535.9 kg) gross vehicle weight rating shall comply with Sections 1607.7.1 through 1607.7.5.</w:t>
      </w:r>
      <w:r w:rsidRPr="00EC4EC4">
        <w:rPr>
          <w:color w:val="000000"/>
          <w:szCs w:val="24"/>
        </w:rPr>
        <w:t xml:space="preserve"> </w:t>
      </w:r>
    </w:p>
    <w:p w14:paraId="53702389" w14:textId="77777777" w:rsidR="00140B7C" w:rsidRPr="00EC4EC4" w:rsidRDefault="00140B7C" w:rsidP="00140B7C">
      <w:pPr>
        <w:pStyle w:val="FlushLeft"/>
        <w:spacing w:after="0"/>
        <w:rPr>
          <w:color w:val="000000"/>
          <w:szCs w:val="24"/>
        </w:rPr>
      </w:pPr>
    </w:p>
    <w:p w14:paraId="10102F51" w14:textId="09DA0837"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w:t>
      </w:r>
      <w:r w:rsidR="00B57C76">
        <w:rPr>
          <w:rFonts w:cs="Times New Roman"/>
          <w:sz w:val="23"/>
          <w:szCs w:val="23"/>
        </w:rPr>
        <w:t>73</w:t>
      </w:r>
      <w:r w:rsidRPr="00EC4EC4">
        <w:rPr>
          <w:rFonts w:cs="Times New Roman"/>
          <w:sz w:val="23"/>
          <w:szCs w:val="23"/>
        </w:rPr>
        <w:t>. Section 1607.</w:t>
      </w:r>
      <w:r>
        <w:rPr>
          <w:rFonts w:cs="Times New Roman"/>
          <w:sz w:val="23"/>
          <w:szCs w:val="23"/>
        </w:rPr>
        <w:t>11</w:t>
      </w:r>
      <w:r w:rsidRPr="00EC4EC4">
        <w:rPr>
          <w:rFonts w:cs="Times New Roman"/>
          <w:sz w:val="23"/>
          <w:szCs w:val="23"/>
        </w:rPr>
        <w:t>.1.</w:t>
      </w:r>
      <w:r>
        <w:rPr>
          <w:rFonts w:cs="Times New Roman"/>
          <w:sz w:val="23"/>
          <w:szCs w:val="23"/>
        </w:rPr>
        <w:t>4</w:t>
      </w:r>
      <w:r w:rsidRPr="00EC4EC4">
        <w:rPr>
          <w:rFonts w:cs="Times New Roman"/>
          <w:sz w:val="23"/>
          <w:szCs w:val="23"/>
        </w:rPr>
        <w:t xml:space="preserve"> of  the New York city building code, as renumbered and amended by local law number 126 for the year 2021, is amended to read as follows:</w:t>
      </w:r>
    </w:p>
    <w:p w14:paraId="57F3E328" w14:textId="77777777" w:rsidR="00140B7C" w:rsidRPr="00EC4EC4" w:rsidRDefault="00140B7C" w:rsidP="00140B7C">
      <w:pPr>
        <w:widowControl w:val="0"/>
        <w:autoSpaceDE w:val="0"/>
        <w:autoSpaceDN w:val="0"/>
        <w:adjustRightInd w:val="0"/>
        <w:spacing w:after="0" w:line="240" w:lineRule="auto"/>
        <w:ind w:left="720"/>
        <w:jc w:val="both"/>
        <w:rPr>
          <w:rFonts w:eastAsia="Times New Roman" w:cs="Times New Roman"/>
          <w:b/>
          <w:color w:val="000000"/>
          <w:szCs w:val="24"/>
        </w:rPr>
      </w:pPr>
      <w:bookmarkStart w:id="142" w:name="_Toc389736864"/>
      <w:bookmarkStart w:id="143" w:name="_Toc389745426"/>
    </w:p>
    <w:p w14:paraId="425E603B" w14:textId="77777777" w:rsidR="00140B7C" w:rsidRPr="00EC4EC4" w:rsidRDefault="00140B7C" w:rsidP="00140B7C">
      <w:pPr>
        <w:widowControl w:val="0"/>
        <w:autoSpaceDE w:val="0"/>
        <w:autoSpaceDN w:val="0"/>
        <w:adjustRightInd w:val="0"/>
        <w:spacing w:after="0" w:line="240" w:lineRule="auto"/>
        <w:jc w:val="both"/>
        <w:rPr>
          <w:rFonts w:eastAsia="Times New Roman" w:cs="Times New Roman"/>
          <w:color w:val="000000"/>
          <w:spacing w:val="1"/>
          <w:szCs w:val="24"/>
        </w:rPr>
      </w:pPr>
      <w:r w:rsidRPr="00EC4EC4">
        <w:rPr>
          <w:rFonts w:eastAsia="Times New Roman" w:cs="Times New Roman"/>
          <w:b/>
          <w:color w:val="000000"/>
          <w:szCs w:val="24"/>
        </w:rPr>
        <w:t>1607.11.1.4 Flat [</w:t>
      </w:r>
      <w:r w:rsidRPr="00EC4EC4">
        <w:rPr>
          <w:rFonts w:eastAsia="Times New Roman" w:cs="Times New Roman"/>
          <w:b/>
          <w:strike/>
          <w:color w:val="000000"/>
          <w:szCs w:val="24"/>
        </w:rPr>
        <w:t>Slab and Flat Plate Construction</w:t>
      </w:r>
      <w:r w:rsidRPr="00EC4EC4">
        <w:rPr>
          <w:rFonts w:eastAsia="Times New Roman" w:cs="Times New Roman"/>
          <w:b/>
          <w:color w:val="000000"/>
          <w:szCs w:val="24"/>
        </w:rPr>
        <w:t>]</w:t>
      </w:r>
      <w:r w:rsidRPr="00EC4EC4">
        <w:rPr>
          <w:rFonts w:eastAsia="Times New Roman" w:cs="Times New Roman"/>
          <w:b/>
          <w:color w:val="000000"/>
          <w:szCs w:val="24"/>
          <w:u w:val="single"/>
        </w:rPr>
        <w:t>slab and flat plate construction</w:t>
      </w:r>
      <w:r w:rsidRPr="00EC4EC4">
        <w:rPr>
          <w:rFonts w:eastAsia="Times New Roman" w:cs="Times New Roman"/>
          <w:b/>
          <w:color w:val="000000"/>
          <w:szCs w:val="24"/>
        </w:rPr>
        <w:t xml:space="preserve">. </w:t>
      </w:r>
      <w:r w:rsidRPr="00EC4EC4">
        <w:rPr>
          <w:rFonts w:eastAsia="Times New Roman" w:cs="Times New Roman"/>
          <w:color w:val="000000"/>
          <w:spacing w:val="1"/>
          <w:szCs w:val="24"/>
        </w:rPr>
        <w:t>Live loads shall not be reduced for calculating shear stresses at the heads of columns in flat slab or flat plate construction.</w:t>
      </w:r>
    </w:p>
    <w:p w14:paraId="399E8416" w14:textId="77777777" w:rsidR="00140B7C" w:rsidRPr="00EC4EC4" w:rsidRDefault="00140B7C" w:rsidP="00140B7C">
      <w:pPr>
        <w:widowControl w:val="0"/>
        <w:autoSpaceDE w:val="0"/>
        <w:autoSpaceDN w:val="0"/>
        <w:adjustRightInd w:val="0"/>
        <w:spacing w:after="0" w:line="240" w:lineRule="auto"/>
        <w:jc w:val="both"/>
        <w:rPr>
          <w:rFonts w:eastAsia="Times New Roman" w:cs="Times New Roman"/>
          <w:color w:val="000000"/>
          <w:spacing w:val="1"/>
          <w:szCs w:val="24"/>
        </w:rPr>
      </w:pPr>
    </w:p>
    <w:bookmarkEnd w:id="142"/>
    <w:bookmarkEnd w:id="143"/>
    <w:p w14:paraId="113E12DE" w14:textId="39367393"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17</w:t>
      </w:r>
      <w:r w:rsidR="00B57C76">
        <w:rPr>
          <w:color w:val="000000"/>
          <w:sz w:val="23"/>
          <w:szCs w:val="23"/>
        </w:rPr>
        <w:t>4</w:t>
      </w:r>
      <w:r w:rsidRPr="00EC4EC4">
        <w:rPr>
          <w:color w:val="000000"/>
          <w:sz w:val="23"/>
          <w:szCs w:val="23"/>
        </w:rPr>
        <w:t>. Section 1618.4</w:t>
      </w:r>
      <w:r w:rsidRPr="00EC4EC4">
        <w:t xml:space="preserve"> of the New York city building code, as added by local law number 126 for the year 2021, is amended to read as follows:</w:t>
      </w:r>
    </w:p>
    <w:p w14:paraId="15667E15" w14:textId="77777777" w:rsidR="00140B7C" w:rsidRPr="00EC4EC4" w:rsidRDefault="00140B7C" w:rsidP="00140B7C">
      <w:pPr>
        <w:pStyle w:val="FlushLeft"/>
        <w:spacing w:after="0"/>
        <w:rPr>
          <w:b/>
          <w:color w:val="000000"/>
          <w:szCs w:val="24"/>
        </w:rPr>
      </w:pPr>
    </w:p>
    <w:p w14:paraId="17FF9E49" w14:textId="77777777" w:rsidR="00140B7C" w:rsidRPr="00EC4EC4" w:rsidRDefault="00140B7C" w:rsidP="00140B7C">
      <w:pPr>
        <w:pStyle w:val="FlushLeft"/>
        <w:rPr>
          <w:color w:val="000000"/>
          <w:szCs w:val="24"/>
        </w:rPr>
      </w:pPr>
      <w:r w:rsidRPr="00EC4EC4">
        <w:rPr>
          <w:b/>
          <w:color w:val="000000"/>
          <w:szCs w:val="24"/>
        </w:rPr>
        <w:t xml:space="preserve">1618.4 Geotechnical peer review.  </w:t>
      </w:r>
      <w:r w:rsidRPr="00EC4EC4">
        <w:rPr>
          <w:color w:val="000000"/>
          <w:szCs w:val="24"/>
        </w:rPr>
        <w:t>Geotechnical peer reviews are required to be performed in accordance with Section [</w:t>
      </w:r>
      <w:r w:rsidRPr="00EC4EC4">
        <w:rPr>
          <w:strike/>
          <w:color w:val="000000"/>
          <w:szCs w:val="24"/>
        </w:rPr>
        <w:t>d</w:t>
      </w:r>
      <w:r w:rsidRPr="00EC4EC4">
        <w:rPr>
          <w:color w:val="000000"/>
          <w:szCs w:val="24"/>
        </w:rPr>
        <w:t xml:space="preserve">] </w:t>
      </w:r>
      <w:r w:rsidRPr="00EC4EC4">
        <w:rPr>
          <w:color w:val="000000"/>
          <w:szCs w:val="24"/>
          <w:u w:val="single"/>
        </w:rPr>
        <w:t>1815</w:t>
      </w:r>
      <w:r w:rsidRPr="00EC4EC4">
        <w:rPr>
          <w:color w:val="000000"/>
          <w:szCs w:val="24"/>
        </w:rPr>
        <w:t>.</w:t>
      </w:r>
    </w:p>
    <w:p w14:paraId="446801E7" w14:textId="78EBB587" w:rsidR="00140B7C" w:rsidRDefault="00140B7C" w:rsidP="00140B7C">
      <w:pPr>
        <w:kinsoku w:val="0"/>
        <w:spacing w:after="0" w:line="240" w:lineRule="auto"/>
        <w:ind w:firstLine="720"/>
        <w:jc w:val="both"/>
        <w:rPr>
          <w:rFonts w:cs="Times New Roman"/>
          <w:sz w:val="23"/>
          <w:szCs w:val="23"/>
        </w:rPr>
      </w:pPr>
      <w:r w:rsidRPr="00EC4EC4">
        <w:rPr>
          <w:rFonts w:cs="Times New Roman"/>
          <w:sz w:val="23"/>
          <w:szCs w:val="23"/>
        </w:rPr>
        <w:t>§</w:t>
      </w:r>
      <w:r>
        <w:rPr>
          <w:rFonts w:cs="Times New Roman"/>
          <w:sz w:val="23"/>
          <w:szCs w:val="23"/>
        </w:rPr>
        <w:t>17</w:t>
      </w:r>
      <w:r w:rsidR="009348C2">
        <w:rPr>
          <w:rFonts w:cs="Times New Roman"/>
          <w:sz w:val="23"/>
          <w:szCs w:val="23"/>
        </w:rPr>
        <w:t>5</w:t>
      </w:r>
      <w:r w:rsidRPr="00EC4EC4">
        <w:rPr>
          <w:rFonts w:cs="Times New Roman"/>
          <w:sz w:val="23"/>
          <w:szCs w:val="23"/>
        </w:rPr>
        <w:t>. Section 1619.5 of  the New York city building code, as added by local law number 126 for the year 2021, is amended to read as follows:</w:t>
      </w:r>
    </w:p>
    <w:p w14:paraId="651DDB46" w14:textId="77777777" w:rsidR="00140B7C" w:rsidRPr="005E58A1" w:rsidRDefault="00140B7C" w:rsidP="00140B7C">
      <w:pPr>
        <w:kinsoku w:val="0"/>
        <w:spacing w:after="0" w:line="240" w:lineRule="auto"/>
        <w:ind w:firstLine="720"/>
        <w:jc w:val="both"/>
        <w:rPr>
          <w:rFonts w:eastAsia="Times New Roman" w:cs="Times New Roman"/>
          <w:b/>
          <w:bCs/>
          <w:szCs w:val="24"/>
        </w:rPr>
      </w:pPr>
    </w:p>
    <w:p w14:paraId="4571FCE6" w14:textId="77777777" w:rsidR="00140B7C" w:rsidRPr="00EC4EC4" w:rsidRDefault="00140B7C" w:rsidP="00140B7C">
      <w:pPr>
        <w:pStyle w:val="FlushLeft"/>
        <w:rPr>
          <w:color w:val="000000"/>
          <w:szCs w:val="24"/>
        </w:rPr>
      </w:pPr>
      <w:r w:rsidRPr="00EC4EC4">
        <w:rPr>
          <w:b/>
          <w:color w:val="000000"/>
          <w:szCs w:val="24"/>
        </w:rPr>
        <w:t xml:space="preserve">1619.5 Action plan. </w:t>
      </w:r>
      <w:r w:rsidRPr="00EC4EC4">
        <w:rPr>
          <w:color w:val="000000"/>
          <w:szCs w:val="24"/>
        </w:rPr>
        <w:t>All temporary structures or temporary construction installations with reduced design environmental loads in accordance with [</w:t>
      </w:r>
      <w:r w:rsidRPr="00EC4EC4">
        <w:rPr>
          <w:strike/>
          <w:color w:val="000000"/>
          <w:szCs w:val="24"/>
        </w:rPr>
        <w:t>Sections</w:t>
      </w:r>
      <w:r w:rsidRPr="00EC4EC4">
        <w:rPr>
          <w:color w:val="000000"/>
          <w:szCs w:val="24"/>
        </w:rPr>
        <w:t>]</w:t>
      </w:r>
      <w:r w:rsidRPr="00EC4EC4">
        <w:rPr>
          <w:color w:val="000000"/>
          <w:szCs w:val="24"/>
          <w:u w:val="single"/>
        </w:rPr>
        <w:t>Section</w:t>
      </w:r>
      <w:r w:rsidRPr="00EC4EC4">
        <w:rPr>
          <w:color w:val="000000"/>
          <w:szCs w:val="24"/>
        </w:rPr>
        <w:t xml:space="preserve"> 1619.3.3 or 1619.4.3 shall include environmental load mitigation measures as part of an action plan to protect the public.  The action plan measures shall be indicated on the design drawings required by </w:t>
      </w:r>
      <w:r>
        <w:rPr>
          <w:color w:val="000000"/>
          <w:szCs w:val="24"/>
        </w:rPr>
        <w:t>[</w:t>
      </w:r>
      <w:r w:rsidRPr="00805CE3">
        <w:rPr>
          <w:strike/>
          <w:color w:val="000000"/>
          <w:szCs w:val="24"/>
        </w:rPr>
        <w:t>Sections</w:t>
      </w:r>
      <w:r>
        <w:rPr>
          <w:color w:val="000000"/>
          <w:szCs w:val="24"/>
        </w:rPr>
        <w:t>]</w:t>
      </w:r>
      <w:r>
        <w:rPr>
          <w:color w:val="000000"/>
          <w:szCs w:val="24"/>
          <w:u w:val="single"/>
        </w:rPr>
        <w:t>Section</w:t>
      </w:r>
      <w:r w:rsidRPr="00EC4EC4">
        <w:rPr>
          <w:color w:val="000000"/>
          <w:szCs w:val="24"/>
        </w:rPr>
        <w:t xml:space="preserve"> 1619.3.1 or 1619.4.1.</w:t>
      </w:r>
    </w:p>
    <w:p w14:paraId="40FFCFAF" w14:textId="77777777" w:rsidR="00140B7C" w:rsidRPr="00EC4EC4" w:rsidRDefault="00140B7C" w:rsidP="00140B7C">
      <w:pPr>
        <w:pStyle w:val="FlushLeftDouble"/>
        <w:rPr>
          <w:color w:val="000000"/>
          <w:szCs w:val="24"/>
        </w:rPr>
      </w:pPr>
      <w:r w:rsidRPr="00EC4EC4">
        <w:rPr>
          <w:b/>
          <w:color w:val="000000"/>
          <w:szCs w:val="24"/>
        </w:rPr>
        <w:t xml:space="preserve">Exception: </w:t>
      </w:r>
      <w:r w:rsidRPr="00EC4EC4">
        <w:rPr>
          <w:color w:val="000000"/>
          <w:szCs w:val="24"/>
        </w:rPr>
        <w:t>An action plan is not required for:</w:t>
      </w:r>
    </w:p>
    <w:p w14:paraId="30CF3508" w14:textId="77777777" w:rsidR="00140B7C" w:rsidRPr="00EC4EC4" w:rsidRDefault="00140B7C" w:rsidP="00140B7C">
      <w:pPr>
        <w:widowControl w:val="0"/>
        <w:autoSpaceDE w:val="0"/>
        <w:autoSpaceDN w:val="0"/>
        <w:adjustRightInd w:val="0"/>
        <w:spacing w:after="240" w:line="240" w:lineRule="auto"/>
        <w:ind w:left="1080" w:hanging="360"/>
        <w:jc w:val="both"/>
        <w:rPr>
          <w:rFonts w:eastAsia="Times New Roman" w:cs="Times New Roman"/>
          <w:color w:val="000000"/>
          <w:szCs w:val="24"/>
        </w:rPr>
      </w:pPr>
      <w:r w:rsidRPr="00EC4EC4">
        <w:rPr>
          <w:rFonts w:eastAsia="Times New Roman" w:cs="Times New Roman"/>
          <w:color w:val="000000"/>
          <w:szCs w:val="24"/>
        </w:rPr>
        <w:t>1.</w:t>
      </w:r>
      <w:r w:rsidRPr="00EC4EC4">
        <w:rPr>
          <w:rFonts w:eastAsia="Times New Roman" w:cs="Times New Roman"/>
          <w:color w:val="000000"/>
          <w:szCs w:val="24"/>
        </w:rPr>
        <w:tab/>
        <w:t>Derricks not permanently mounted to a building.  Derricks not permanently mounted to a building shall be secured in accordance with a wind action plan as specified in rules promulgated by the commissioner.</w:t>
      </w:r>
    </w:p>
    <w:p w14:paraId="18324030" w14:textId="77777777" w:rsidR="00140B7C" w:rsidRPr="00EC4EC4" w:rsidRDefault="00140B7C" w:rsidP="00140B7C">
      <w:pPr>
        <w:widowControl w:val="0"/>
        <w:tabs>
          <w:tab w:val="left" w:pos="-6210"/>
        </w:tabs>
        <w:autoSpaceDE w:val="0"/>
        <w:autoSpaceDN w:val="0"/>
        <w:adjustRightInd w:val="0"/>
        <w:spacing w:after="240" w:line="240" w:lineRule="auto"/>
        <w:ind w:left="1080" w:hanging="360"/>
        <w:jc w:val="both"/>
        <w:rPr>
          <w:rFonts w:eastAsia="Times New Roman" w:cs="Times New Roman"/>
          <w:color w:val="000000"/>
          <w:szCs w:val="24"/>
        </w:rPr>
      </w:pPr>
      <w:r w:rsidRPr="00EC4EC4">
        <w:rPr>
          <w:rFonts w:eastAsia="Times New Roman" w:cs="Times New Roman"/>
          <w:color w:val="000000"/>
          <w:szCs w:val="24"/>
        </w:rPr>
        <w:t>2.</w:t>
      </w:r>
      <w:r w:rsidRPr="00EC4EC4">
        <w:rPr>
          <w:rFonts w:eastAsia="Times New Roman" w:cs="Times New Roman"/>
          <w:color w:val="000000"/>
          <w:szCs w:val="24"/>
        </w:rPr>
        <w:tab/>
        <w:t xml:space="preserve">Mobile cranes.  Mobile cranes shall be secured in accordance with a wind action plan as </w:t>
      </w:r>
      <w:r w:rsidRPr="00EC4EC4">
        <w:rPr>
          <w:rFonts w:eastAsia="Times New Roman" w:cs="Times New Roman"/>
          <w:color w:val="000000"/>
          <w:szCs w:val="24"/>
        </w:rPr>
        <w:lastRenderedPageBreak/>
        <w:t>specified in rules promulgated by the commissioner.</w:t>
      </w:r>
    </w:p>
    <w:p w14:paraId="5AD52177" w14:textId="77777777" w:rsidR="00140B7C" w:rsidRPr="00EC4EC4" w:rsidRDefault="00140B7C" w:rsidP="00140B7C">
      <w:pPr>
        <w:widowControl w:val="0"/>
        <w:autoSpaceDE w:val="0"/>
        <w:autoSpaceDN w:val="0"/>
        <w:adjustRightInd w:val="0"/>
        <w:spacing w:after="240" w:line="240" w:lineRule="auto"/>
        <w:ind w:left="1080" w:hanging="360"/>
        <w:jc w:val="both"/>
        <w:rPr>
          <w:rFonts w:eastAsia="Times New Roman" w:cs="Times New Roman"/>
          <w:color w:val="000000"/>
          <w:szCs w:val="24"/>
        </w:rPr>
      </w:pPr>
      <w:r w:rsidRPr="00EC4EC4">
        <w:rPr>
          <w:rFonts w:eastAsia="Times New Roman" w:cs="Times New Roman"/>
          <w:color w:val="000000"/>
          <w:szCs w:val="24"/>
        </w:rPr>
        <w:t>3.</w:t>
      </w:r>
      <w:r w:rsidRPr="00EC4EC4">
        <w:rPr>
          <w:rFonts w:eastAsia="Times New Roman" w:cs="Times New Roman"/>
          <w:color w:val="000000"/>
          <w:szCs w:val="24"/>
        </w:rPr>
        <w:tab/>
        <w:t>A suspended scaffold. Suspended scaffolds shall be secured in accordance with the requirements of Section 3314; requirements for securing suspended scaffolds shall be indicated on design drawings when required by Section 3314.</w:t>
      </w:r>
    </w:p>
    <w:p w14:paraId="3D71BCA1" w14:textId="666BC552"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17</w:t>
      </w:r>
      <w:r w:rsidR="009348C2">
        <w:rPr>
          <w:rFonts w:cs="Times New Roman"/>
          <w:sz w:val="23"/>
          <w:szCs w:val="23"/>
        </w:rPr>
        <w:t>6</w:t>
      </w:r>
      <w:r w:rsidRPr="00EC4EC4">
        <w:rPr>
          <w:rFonts w:cs="Times New Roman"/>
          <w:sz w:val="23"/>
          <w:szCs w:val="23"/>
        </w:rPr>
        <w:t>. Table 1705.2 of  the New York city building code, as added by local law number 126 for the year 2021, is amended to read as follows:</w:t>
      </w:r>
    </w:p>
    <w:p w14:paraId="4F5E43A1" w14:textId="77777777" w:rsidR="00140B7C" w:rsidRPr="00EC4EC4" w:rsidRDefault="00140B7C" w:rsidP="00140B7C">
      <w:pPr>
        <w:pStyle w:val="FlushLeftDouble"/>
        <w:rPr>
          <w:b/>
          <w:color w:val="000000"/>
          <w:szCs w:val="24"/>
        </w:rPr>
      </w:pPr>
    </w:p>
    <w:p w14:paraId="6E555AD7" w14:textId="77777777" w:rsidR="00140B7C" w:rsidRPr="00EC4EC4" w:rsidRDefault="00140B7C" w:rsidP="00140B7C">
      <w:pPr>
        <w:pStyle w:val="HeadingCaps"/>
      </w:pPr>
      <w:r w:rsidRPr="00EC4EC4">
        <w:t>TABLE 1705.2</w:t>
      </w:r>
      <w:r w:rsidRPr="00EC4EC4">
        <w:br/>
      </w:r>
      <w:r w:rsidRPr="00EC4EC4">
        <w:rPr>
          <w:u w:val="single"/>
        </w:rPr>
        <w:t>REQUIRED SPECIAL INSPECTION OF STEEL CONSTRUCTION</w:t>
      </w:r>
    </w:p>
    <w:tbl>
      <w:tblPr>
        <w:tblW w:w="5087" w:type="pct"/>
        <w:jc w:val="center"/>
        <w:tblLayout w:type="fixed"/>
        <w:tblCellMar>
          <w:left w:w="0" w:type="dxa"/>
          <w:right w:w="0" w:type="dxa"/>
        </w:tblCellMar>
        <w:tblLook w:val="0000" w:firstRow="0" w:lastRow="0" w:firstColumn="0" w:lastColumn="0" w:noHBand="0" w:noVBand="0"/>
      </w:tblPr>
      <w:tblGrid>
        <w:gridCol w:w="2891"/>
        <w:gridCol w:w="1905"/>
        <w:gridCol w:w="1901"/>
        <w:gridCol w:w="1891"/>
        <w:gridCol w:w="1222"/>
      </w:tblGrid>
      <w:tr w:rsidR="00140B7C" w:rsidRPr="00EC4EC4" w14:paraId="0ACC6496" w14:textId="77777777" w:rsidTr="00BC1087">
        <w:trPr>
          <w:cantSplit/>
          <w:trHeight w:val="892"/>
          <w:tblHeader/>
          <w:jc w:val="center"/>
        </w:trPr>
        <w:tc>
          <w:tcPr>
            <w:tcW w:w="1473" w:type="pct"/>
            <w:tcBorders>
              <w:top w:val="single" w:sz="2" w:space="0" w:color="auto"/>
              <w:left w:val="single" w:sz="2" w:space="0" w:color="auto"/>
              <w:bottom w:val="single" w:sz="2" w:space="0" w:color="auto"/>
              <w:right w:val="single" w:sz="2" w:space="0" w:color="auto"/>
            </w:tcBorders>
            <w:vAlign w:val="center"/>
          </w:tcPr>
          <w:p w14:paraId="5B8AE4C3" w14:textId="77777777" w:rsidR="00140B7C" w:rsidRPr="00EC4EC4" w:rsidRDefault="00140B7C" w:rsidP="00BC1087">
            <w:pPr>
              <w:widowControl w:val="0"/>
              <w:kinsoku w:val="0"/>
              <w:spacing w:before="216" w:after="0" w:line="240" w:lineRule="auto"/>
              <w:ind w:right="-18"/>
              <w:jc w:val="center"/>
              <w:rPr>
                <w:rFonts w:eastAsia="Times New Roman" w:cs="Times New Roman"/>
                <w:b/>
                <w:bCs/>
                <w:sz w:val="18"/>
                <w:szCs w:val="18"/>
              </w:rPr>
            </w:pPr>
            <w:r w:rsidRPr="00EC4EC4">
              <w:rPr>
                <w:rFonts w:eastAsia="Times New Roman" w:cs="Times New Roman"/>
                <w:b/>
                <w:bCs/>
                <w:sz w:val="18"/>
                <w:szCs w:val="18"/>
              </w:rPr>
              <w:t>TYPE</w:t>
            </w:r>
          </w:p>
        </w:tc>
        <w:tc>
          <w:tcPr>
            <w:tcW w:w="971" w:type="pct"/>
            <w:tcBorders>
              <w:top w:val="single" w:sz="2" w:space="0" w:color="auto"/>
              <w:left w:val="single" w:sz="2" w:space="0" w:color="auto"/>
              <w:bottom w:val="single" w:sz="2" w:space="0" w:color="auto"/>
              <w:right w:val="single" w:sz="2" w:space="0" w:color="auto"/>
            </w:tcBorders>
            <w:vAlign w:val="center"/>
          </w:tcPr>
          <w:p w14:paraId="7A76F403" w14:textId="77777777" w:rsidR="00140B7C" w:rsidRPr="00EC4EC4" w:rsidRDefault="00140B7C" w:rsidP="00BC1087">
            <w:pPr>
              <w:widowControl w:val="0"/>
              <w:kinsoku w:val="0"/>
              <w:spacing w:before="216" w:after="0" w:line="240" w:lineRule="auto"/>
              <w:ind w:left="62" w:right="82"/>
              <w:jc w:val="center"/>
              <w:rPr>
                <w:rFonts w:eastAsia="Times New Roman" w:cs="Times New Roman"/>
                <w:b/>
                <w:bCs/>
                <w:sz w:val="18"/>
                <w:szCs w:val="18"/>
              </w:rPr>
            </w:pPr>
            <w:r w:rsidRPr="00EC4EC4">
              <w:rPr>
                <w:rFonts w:eastAsia="Times New Roman" w:cs="Times New Roman"/>
                <w:b/>
                <w:bCs/>
                <w:sz w:val="18"/>
                <w:szCs w:val="18"/>
              </w:rPr>
              <w:t>CONTINUOUS SPECIAL INSPECTION</w:t>
            </w:r>
          </w:p>
        </w:tc>
        <w:tc>
          <w:tcPr>
            <w:tcW w:w="969" w:type="pct"/>
            <w:tcBorders>
              <w:top w:val="single" w:sz="2" w:space="0" w:color="auto"/>
              <w:left w:val="single" w:sz="2" w:space="0" w:color="auto"/>
              <w:bottom w:val="single" w:sz="2" w:space="0" w:color="auto"/>
              <w:right w:val="single" w:sz="2" w:space="0" w:color="auto"/>
            </w:tcBorders>
            <w:vAlign w:val="center"/>
          </w:tcPr>
          <w:p w14:paraId="407C1BDD" w14:textId="77777777" w:rsidR="00140B7C" w:rsidRPr="00EC4EC4" w:rsidRDefault="00140B7C" w:rsidP="00BC1087">
            <w:pPr>
              <w:widowControl w:val="0"/>
              <w:kinsoku w:val="0"/>
              <w:spacing w:before="216" w:after="0" w:line="240" w:lineRule="auto"/>
              <w:ind w:left="50" w:right="89"/>
              <w:jc w:val="center"/>
              <w:rPr>
                <w:rFonts w:eastAsia="Times New Roman" w:cs="Times New Roman"/>
                <w:b/>
                <w:bCs/>
                <w:sz w:val="18"/>
                <w:szCs w:val="18"/>
              </w:rPr>
            </w:pPr>
            <w:r w:rsidRPr="00EC4EC4">
              <w:rPr>
                <w:rFonts w:eastAsia="Times New Roman" w:cs="Times New Roman"/>
                <w:b/>
                <w:bCs/>
                <w:sz w:val="18"/>
                <w:szCs w:val="18"/>
              </w:rPr>
              <w:t>PERIODIC SPECIAL INSPECTION</w:t>
            </w:r>
          </w:p>
        </w:tc>
        <w:tc>
          <w:tcPr>
            <w:tcW w:w="964" w:type="pct"/>
            <w:tcBorders>
              <w:top w:val="single" w:sz="2" w:space="0" w:color="auto"/>
              <w:left w:val="single" w:sz="2" w:space="0" w:color="auto"/>
              <w:bottom w:val="single" w:sz="2" w:space="0" w:color="auto"/>
              <w:right w:val="single" w:sz="2" w:space="0" w:color="auto"/>
            </w:tcBorders>
            <w:vAlign w:val="center"/>
          </w:tcPr>
          <w:p w14:paraId="7445C207" w14:textId="77777777" w:rsidR="00140B7C" w:rsidRPr="00EC4EC4" w:rsidRDefault="00140B7C" w:rsidP="00BC1087">
            <w:pPr>
              <w:widowControl w:val="0"/>
              <w:kinsoku w:val="0"/>
              <w:spacing w:before="72" w:after="0" w:line="240" w:lineRule="auto"/>
              <w:jc w:val="center"/>
              <w:rPr>
                <w:rFonts w:eastAsia="Times New Roman" w:cs="Times New Roman"/>
                <w:b/>
                <w:bCs/>
                <w:sz w:val="18"/>
                <w:szCs w:val="18"/>
              </w:rPr>
            </w:pPr>
            <w:r w:rsidRPr="00EC4EC4">
              <w:rPr>
                <w:rFonts w:eastAsia="Times New Roman" w:cs="Times New Roman"/>
                <w:b/>
                <w:bCs/>
                <w:sz w:val="18"/>
                <w:szCs w:val="18"/>
              </w:rPr>
              <w:t>REFERENCED STANDARD</w:t>
            </w:r>
            <w:r w:rsidRPr="00EC4EC4">
              <w:rPr>
                <w:rFonts w:eastAsia="Times New Roman" w:cs="Times New Roman"/>
                <w:b/>
                <w:bCs/>
                <w:w w:val="110"/>
                <w:sz w:val="18"/>
                <w:szCs w:val="18"/>
                <w:vertAlign w:val="superscript"/>
              </w:rPr>
              <w:t>a</w:t>
            </w:r>
          </w:p>
        </w:tc>
        <w:tc>
          <w:tcPr>
            <w:tcW w:w="623" w:type="pct"/>
            <w:tcBorders>
              <w:top w:val="single" w:sz="2" w:space="0" w:color="auto"/>
              <w:left w:val="single" w:sz="2" w:space="0" w:color="auto"/>
              <w:bottom w:val="single" w:sz="2" w:space="0" w:color="auto"/>
              <w:right w:val="single" w:sz="2" w:space="0" w:color="auto"/>
            </w:tcBorders>
            <w:vAlign w:val="center"/>
          </w:tcPr>
          <w:p w14:paraId="33317118" w14:textId="77777777" w:rsidR="00140B7C" w:rsidRPr="00EC4EC4" w:rsidRDefault="00140B7C" w:rsidP="00BC1087">
            <w:pPr>
              <w:widowControl w:val="0"/>
              <w:kinsoku w:val="0"/>
              <w:spacing w:before="72" w:after="0" w:line="240" w:lineRule="auto"/>
              <w:jc w:val="center"/>
              <w:rPr>
                <w:rFonts w:eastAsia="Times New Roman" w:cs="Times New Roman"/>
                <w:b/>
                <w:bCs/>
                <w:sz w:val="18"/>
                <w:szCs w:val="18"/>
              </w:rPr>
            </w:pPr>
            <w:r w:rsidRPr="00EC4EC4">
              <w:rPr>
                <w:rFonts w:eastAsia="Times New Roman" w:cs="Times New Roman"/>
                <w:b/>
                <w:bCs/>
                <w:sz w:val="18"/>
                <w:szCs w:val="18"/>
              </w:rPr>
              <w:t>BC REFERENCE</w:t>
            </w:r>
          </w:p>
        </w:tc>
      </w:tr>
      <w:tr w:rsidR="00140B7C" w:rsidRPr="00EC4EC4" w14:paraId="2E3D5E84" w14:textId="77777777" w:rsidTr="00BC1087">
        <w:trPr>
          <w:trHeight w:val="496"/>
          <w:jc w:val="center"/>
        </w:trPr>
        <w:tc>
          <w:tcPr>
            <w:tcW w:w="5000" w:type="pct"/>
            <w:gridSpan w:val="5"/>
            <w:tcBorders>
              <w:top w:val="single" w:sz="2" w:space="0" w:color="auto"/>
              <w:left w:val="single" w:sz="2" w:space="0" w:color="auto"/>
              <w:bottom w:val="single" w:sz="2" w:space="0" w:color="auto"/>
              <w:right w:val="single" w:sz="2" w:space="0" w:color="auto"/>
            </w:tcBorders>
            <w:vAlign w:val="center"/>
          </w:tcPr>
          <w:p w14:paraId="5E3B912D" w14:textId="77777777" w:rsidR="00140B7C" w:rsidRPr="00EC4EC4" w:rsidRDefault="00140B7C" w:rsidP="00BC1087">
            <w:pPr>
              <w:widowControl w:val="0"/>
              <w:kinsoku w:val="0"/>
              <w:spacing w:after="0" w:line="240" w:lineRule="auto"/>
              <w:ind w:left="459" w:hanging="360"/>
              <w:rPr>
                <w:rFonts w:eastAsia="Times New Roman" w:cs="Times New Roman"/>
                <w:sz w:val="18"/>
                <w:szCs w:val="18"/>
              </w:rPr>
            </w:pPr>
            <w:r w:rsidRPr="00EC4EC4">
              <w:rPr>
                <w:rFonts w:eastAsia="Times New Roman" w:cs="Times New Roman"/>
                <w:sz w:val="18"/>
                <w:szCs w:val="18"/>
              </w:rPr>
              <w:t>1.</w:t>
            </w:r>
            <w:r w:rsidRPr="00EC4EC4">
              <w:rPr>
                <w:rFonts w:eastAsia="Times New Roman" w:cs="Times New Roman"/>
                <w:sz w:val="18"/>
                <w:szCs w:val="18"/>
              </w:rPr>
              <w:tab/>
              <w:t>Material verification of high-strength bolts, nuts and washers:</w:t>
            </w:r>
          </w:p>
        </w:tc>
      </w:tr>
      <w:tr w:rsidR="00140B7C" w:rsidRPr="00EC4EC4" w14:paraId="2B5B7E24" w14:textId="77777777" w:rsidTr="00BC1087">
        <w:trPr>
          <w:trHeight w:val="1558"/>
          <w:jc w:val="center"/>
        </w:trPr>
        <w:tc>
          <w:tcPr>
            <w:tcW w:w="1473" w:type="pct"/>
            <w:tcBorders>
              <w:top w:val="single" w:sz="2" w:space="0" w:color="auto"/>
              <w:left w:val="single" w:sz="2" w:space="0" w:color="auto"/>
              <w:bottom w:val="single" w:sz="2" w:space="0" w:color="auto"/>
              <w:right w:val="single" w:sz="2" w:space="0" w:color="auto"/>
            </w:tcBorders>
            <w:vAlign w:val="center"/>
          </w:tcPr>
          <w:p w14:paraId="035FA867" w14:textId="77777777" w:rsidR="00140B7C" w:rsidRPr="00EC4EC4" w:rsidRDefault="00140B7C" w:rsidP="00BC1087">
            <w:pPr>
              <w:widowControl w:val="0"/>
              <w:kinsoku w:val="0"/>
              <w:spacing w:after="0" w:line="240" w:lineRule="auto"/>
              <w:ind w:left="720" w:hanging="357"/>
              <w:rPr>
                <w:rFonts w:eastAsia="Times New Roman" w:cs="Times New Roman"/>
                <w:sz w:val="18"/>
                <w:szCs w:val="18"/>
              </w:rPr>
            </w:pPr>
            <w:r w:rsidRPr="00EC4EC4">
              <w:rPr>
                <w:rFonts w:eastAsia="Times New Roman" w:cs="Times New Roman"/>
                <w:spacing w:val="3"/>
                <w:sz w:val="18"/>
                <w:szCs w:val="18"/>
              </w:rPr>
              <w:t>a.</w:t>
            </w:r>
            <w:r w:rsidRPr="00EC4EC4">
              <w:rPr>
                <w:rFonts w:eastAsia="Times New Roman" w:cs="Times New Roman"/>
                <w:spacing w:val="3"/>
                <w:sz w:val="18"/>
                <w:szCs w:val="18"/>
              </w:rPr>
              <w:tab/>
              <w:t xml:space="preserve">Identification markings to conform to ASTM </w:t>
            </w:r>
            <w:r w:rsidRPr="00EC4EC4">
              <w:rPr>
                <w:rFonts w:eastAsia="Times New Roman" w:cs="Times New Roman"/>
                <w:spacing w:val="-2"/>
                <w:sz w:val="18"/>
                <w:szCs w:val="18"/>
              </w:rPr>
              <w:t xml:space="preserve">standards specified in the approved construction </w:t>
            </w:r>
            <w:r w:rsidRPr="00EC4EC4">
              <w:rPr>
                <w:rFonts w:eastAsia="Times New Roman" w:cs="Times New Roman"/>
                <w:sz w:val="18"/>
                <w:szCs w:val="18"/>
              </w:rPr>
              <w:t>documents.</w:t>
            </w:r>
          </w:p>
        </w:tc>
        <w:tc>
          <w:tcPr>
            <w:tcW w:w="971" w:type="pct"/>
            <w:tcBorders>
              <w:top w:val="single" w:sz="2" w:space="0" w:color="auto"/>
              <w:left w:val="single" w:sz="2" w:space="0" w:color="auto"/>
              <w:bottom w:val="single" w:sz="2" w:space="0" w:color="auto"/>
              <w:right w:val="single" w:sz="2" w:space="0" w:color="auto"/>
            </w:tcBorders>
            <w:vAlign w:val="center"/>
          </w:tcPr>
          <w:p w14:paraId="07CC1E9C" w14:textId="77777777" w:rsidR="00140B7C" w:rsidRPr="00EC4EC4" w:rsidRDefault="00140B7C" w:rsidP="00BC1087">
            <w:pPr>
              <w:widowControl w:val="0"/>
              <w:kinsoku w:val="0"/>
              <w:spacing w:before="360" w:after="0" w:line="240" w:lineRule="auto"/>
              <w:ind w:left="62" w:right="82"/>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2" w:space="0" w:color="auto"/>
              <w:left w:val="single" w:sz="2" w:space="0" w:color="auto"/>
              <w:bottom w:val="single" w:sz="2" w:space="0" w:color="auto"/>
              <w:right w:val="single" w:sz="2" w:space="0" w:color="auto"/>
            </w:tcBorders>
            <w:vAlign w:val="center"/>
          </w:tcPr>
          <w:p w14:paraId="3CBEFA13" w14:textId="77777777" w:rsidR="00140B7C" w:rsidRPr="00EC4EC4" w:rsidRDefault="00140B7C" w:rsidP="00BC1087">
            <w:pPr>
              <w:widowControl w:val="0"/>
              <w:kinsoku w:val="0"/>
              <w:spacing w:after="0" w:line="240" w:lineRule="auto"/>
              <w:ind w:left="50" w:right="89"/>
              <w:jc w:val="center"/>
              <w:rPr>
                <w:rFonts w:eastAsia="Times New Roman" w:cs="Times New Roman"/>
                <w:sz w:val="18"/>
                <w:szCs w:val="18"/>
              </w:rPr>
            </w:pPr>
            <w:r w:rsidRPr="00EC4EC4">
              <w:rPr>
                <w:rFonts w:eastAsia="Times New Roman" w:cs="Times New Roman"/>
                <w:sz w:val="18"/>
                <w:szCs w:val="18"/>
              </w:rPr>
              <w:t>X</w:t>
            </w:r>
          </w:p>
        </w:tc>
        <w:tc>
          <w:tcPr>
            <w:tcW w:w="964" w:type="pct"/>
            <w:tcBorders>
              <w:top w:val="single" w:sz="2" w:space="0" w:color="auto"/>
              <w:left w:val="single" w:sz="2" w:space="0" w:color="auto"/>
              <w:bottom w:val="single" w:sz="2" w:space="0" w:color="auto"/>
              <w:right w:val="single" w:sz="2" w:space="0" w:color="auto"/>
            </w:tcBorders>
            <w:vAlign w:val="center"/>
          </w:tcPr>
          <w:p w14:paraId="058C759C" w14:textId="77777777" w:rsidR="00140B7C" w:rsidRPr="00EC4EC4" w:rsidRDefault="00140B7C" w:rsidP="00BC1087">
            <w:pPr>
              <w:widowControl w:val="0"/>
              <w:kinsoku w:val="0"/>
              <w:spacing w:after="0" w:line="240" w:lineRule="auto"/>
              <w:jc w:val="center"/>
              <w:rPr>
                <w:rFonts w:eastAsia="Times New Roman" w:cs="Times New Roman"/>
                <w:spacing w:val="4"/>
                <w:sz w:val="18"/>
                <w:szCs w:val="18"/>
              </w:rPr>
            </w:pPr>
            <w:r w:rsidRPr="00EC4EC4">
              <w:rPr>
                <w:rFonts w:eastAsia="Times New Roman" w:cs="Times New Roman"/>
                <w:spacing w:val="4"/>
                <w:sz w:val="18"/>
                <w:szCs w:val="18"/>
              </w:rPr>
              <w:t>AISC 360, Section A3.3; applicable ASTM material specifications; and RCSC Specification for Structural Joints Using High-Strength Bolts Section 2</w:t>
            </w:r>
          </w:p>
        </w:tc>
        <w:tc>
          <w:tcPr>
            <w:tcW w:w="623" w:type="pct"/>
            <w:tcBorders>
              <w:top w:val="single" w:sz="2" w:space="0" w:color="auto"/>
              <w:left w:val="single" w:sz="2" w:space="0" w:color="auto"/>
              <w:bottom w:val="single" w:sz="2" w:space="0" w:color="auto"/>
              <w:right w:val="single" w:sz="2" w:space="0" w:color="auto"/>
            </w:tcBorders>
            <w:vAlign w:val="center"/>
          </w:tcPr>
          <w:p w14:paraId="788898D1"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r>
      <w:tr w:rsidR="00140B7C" w:rsidRPr="00EC4EC4" w14:paraId="392FDFCF" w14:textId="77777777" w:rsidTr="00BC1087">
        <w:trPr>
          <w:trHeight w:val="964"/>
          <w:jc w:val="center"/>
        </w:trPr>
        <w:tc>
          <w:tcPr>
            <w:tcW w:w="1473" w:type="pct"/>
            <w:tcBorders>
              <w:top w:val="single" w:sz="2" w:space="0" w:color="auto"/>
              <w:left w:val="single" w:sz="2" w:space="0" w:color="auto"/>
              <w:bottom w:val="single" w:sz="2" w:space="0" w:color="auto"/>
              <w:right w:val="single" w:sz="2" w:space="0" w:color="auto"/>
            </w:tcBorders>
            <w:vAlign w:val="center"/>
          </w:tcPr>
          <w:p w14:paraId="7002FA6D" w14:textId="77777777" w:rsidR="00140B7C" w:rsidRPr="00EC4EC4" w:rsidRDefault="00140B7C" w:rsidP="00BC1087">
            <w:pPr>
              <w:widowControl w:val="0"/>
              <w:kinsoku w:val="0"/>
              <w:spacing w:after="0" w:line="240" w:lineRule="auto"/>
              <w:ind w:left="722" w:hanging="357"/>
              <w:rPr>
                <w:rFonts w:eastAsia="Times New Roman" w:cs="Times New Roman"/>
                <w:spacing w:val="4"/>
                <w:sz w:val="18"/>
                <w:szCs w:val="18"/>
              </w:rPr>
            </w:pPr>
            <w:r w:rsidRPr="00EC4EC4">
              <w:rPr>
                <w:rFonts w:eastAsia="Times New Roman" w:cs="Times New Roman"/>
                <w:spacing w:val="4"/>
                <w:sz w:val="18"/>
                <w:szCs w:val="18"/>
              </w:rPr>
              <w:t>b.</w:t>
            </w:r>
            <w:r w:rsidRPr="00EC4EC4">
              <w:rPr>
                <w:rFonts w:eastAsia="Times New Roman" w:cs="Times New Roman"/>
                <w:spacing w:val="4"/>
                <w:sz w:val="18"/>
                <w:szCs w:val="18"/>
              </w:rPr>
              <w:tab/>
              <w:t>Manufacturer’s certificate of compliance required.</w:t>
            </w:r>
          </w:p>
        </w:tc>
        <w:tc>
          <w:tcPr>
            <w:tcW w:w="971" w:type="pct"/>
            <w:tcBorders>
              <w:top w:val="single" w:sz="2" w:space="0" w:color="auto"/>
              <w:left w:val="single" w:sz="2" w:space="0" w:color="auto"/>
              <w:bottom w:val="single" w:sz="2" w:space="0" w:color="auto"/>
              <w:right w:val="single" w:sz="2" w:space="0" w:color="auto"/>
            </w:tcBorders>
            <w:vAlign w:val="center"/>
          </w:tcPr>
          <w:p w14:paraId="3D4E0F26" w14:textId="77777777" w:rsidR="00140B7C" w:rsidRPr="00EC4EC4" w:rsidRDefault="00140B7C" w:rsidP="00BC1087">
            <w:pPr>
              <w:widowControl w:val="0"/>
              <w:kinsoku w:val="0"/>
              <w:spacing w:after="0" w:line="240" w:lineRule="auto"/>
              <w:ind w:left="62" w:right="82"/>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2" w:space="0" w:color="auto"/>
              <w:left w:val="single" w:sz="2" w:space="0" w:color="auto"/>
              <w:bottom w:val="single" w:sz="2" w:space="0" w:color="auto"/>
              <w:right w:val="single" w:sz="2" w:space="0" w:color="auto"/>
            </w:tcBorders>
            <w:vAlign w:val="center"/>
          </w:tcPr>
          <w:p w14:paraId="76A7FFD7" w14:textId="77777777" w:rsidR="00140B7C" w:rsidRPr="00EC4EC4" w:rsidRDefault="00140B7C" w:rsidP="00BC1087">
            <w:pPr>
              <w:widowControl w:val="0"/>
              <w:kinsoku w:val="0"/>
              <w:spacing w:after="0" w:line="240" w:lineRule="auto"/>
              <w:ind w:left="50" w:right="89"/>
              <w:jc w:val="center"/>
              <w:rPr>
                <w:rFonts w:eastAsia="Times New Roman" w:cs="Times New Roman"/>
                <w:sz w:val="18"/>
                <w:szCs w:val="18"/>
              </w:rPr>
            </w:pPr>
            <w:r w:rsidRPr="00EC4EC4">
              <w:rPr>
                <w:rFonts w:eastAsia="Times New Roman" w:cs="Times New Roman"/>
                <w:sz w:val="18"/>
                <w:szCs w:val="18"/>
              </w:rPr>
              <w:t>X</w:t>
            </w:r>
          </w:p>
        </w:tc>
        <w:tc>
          <w:tcPr>
            <w:tcW w:w="964" w:type="pct"/>
            <w:tcBorders>
              <w:top w:val="single" w:sz="2" w:space="0" w:color="auto"/>
              <w:left w:val="single" w:sz="2" w:space="0" w:color="auto"/>
              <w:bottom w:val="single" w:sz="2" w:space="0" w:color="auto"/>
              <w:right w:val="single" w:sz="2" w:space="0" w:color="auto"/>
            </w:tcBorders>
            <w:vAlign w:val="center"/>
          </w:tcPr>
          <w:p w14:paraId="260ECF8C"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RCSC Specification for Structural Joints Using High-Strength Bolts Section 2.1</w:t>
            </w:r>
          </w:p>
        </w:tc>
        <w:tc>
          <w:tcPr>
            <w:tcW w:w="623" w:type="pct"/>
            <w:tcBorders>
              <w:top w:val="single" w:sz="2" w:space="0" w:color="auto"/>
              <w:left w:val="single" w:sz="2" w:space="0" w:color="auto"/>
              <w:bottom w:val="single" w:sz="2" w:space="0" w:color="auto"/>
              <w:right w:val="single" w:sz="2" w:space="0" w:color="auto"/>
            </w:tcBorders>
            <w:vAlign w:val="center"/>
          </w:tcPr>
          <w:p w14:paraId="213CEBD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r>
      <w:tr w:rsidR="00140B7C" w:rsidRPr="00EC4EC4" w14:paraId="1C06AEAB" w14:textId="77777777" w:rsidTr="00BC1087">
        <w:trPr>
          <w:trHeight w:val="388"/>
          <w:jc w:val="center"/>
        </w:trPr>
        <w:tc>
          <w:tcPr>
            <w:tcW w:w="5000" w:type="pct"/>
            <w:gridSpan w:val="5"/>
            <w:tcBorders>
              <w:top w:val="single" w:sz="2" w:space="0" w:color="auto"/>
              <w:left w:val="single" w:sz="2" w:space="0" w:color="auto"/>
              <w:bottom w:val="single" w:sz="2" w:space="0" w:color="auto"/>
              <w:right w:val="single" w:sz="2" w:space="0" w:color="auto"/>
            </w:tcBorders>
            <w:vAlign w:val="center"/>
          </w:tcPr>
          <w:p w14:paraId="7CA9E016" w14:textId="77777777" w:rsidR="00140B7C" w:rsidRPr="00EC4EC4" w:rsidRDefault="00140B7C" w:rsidP="00BC1087">
            <w:pPr>
              <w:widowControl w:val="0"/>
              <w:kinsoku w:val="0"/>
              <w:spacing w:after="0" w:line="240" w:lineRule="auto"/>
              <w:ind w:left="459" w:hanging="360"/>
              <w:rPr>
                <w:rFonts w:eastAsia="Times New Roman" w:cs="Times New Roman"/>
                <w:sz w:val="18"/>
                <w:szCs w:val="18"/>
              </w:rPr>
            </w:pPr>
            <w:r w:rsidRPr="00EC4EC4">
              <w:rPr>
                <w:rFonts w:eastAsia="Times New Roman" w:cs="Times New Roman"/>
                <w:sz w:val="18"/>
                <w:szCs w:val="18"/>
              </w:rPr>
              <w:t>2.</w:t>
            </w:r>
            <w:r w:rsidRPr="00EC4EC4">
              <w:rPr>
                <w:rFonts w:eastAsia="Times New Roman" w:cs="Times New Roman"/>
                <w:sz w:val="18"/>
                <w:szCs w:val="18"/>
              </w:rPr>
              <w:tab/>
            </w:r>
            <w:r w:rsidRPr="00EC4EC4">
              <w:rPr>
                <w:rFonts w:eastAsia="Times New Roman" w:cs="Times New Roman"/>
                <w:spacing w:val="2"/>
                <w:sz w:val="18"/>
                <w:szCs w:val="18"/>
              </w:rPr>
              <w:t>Inspection of high-strength bolting:</w:t>
            </w:r>
          </w:p>
        </w:tc>
      </w:tr>
      <w:tr w:rsidR="00140B7C" w:rsidRPr="00EC4EC4" w14:paraId="6E4FA81D" w14:textId="77777777" w:rsidTr="00BC1087">
        <w:trPr>
          <w:cantSplit/>
          <w:trHeight w:val="352"/>
          <w:jc w:val="center"/>
        </w:trPr>
        <w:tc>
          <w:tcPr>
            <w:tcW w:w="1473" w:type="pct"/>
            <w:tcBorders>
              <w:top w:val="single" w:sz="2" w:space="0" w:color="auto"/>
              <w:left w:val="single" w:sz="2" w:space="0" w:color="auto"/>
              <w:bottom w:val="single" w:sz="2" w:space="0" w:color="auto"/>
              <w:right w:val="single" w:sz="2" w:space="0" w:color="auto"/>
            </w:tcBorders>
            <w:vAlign w:val="center"/>
          </w:tcPr>
          <w:p w14:paraId="4767A791" w14:textId="77777777" w:rsidR="00140B7C" w:rsidRPr="00EC4EC4" w:rsidRDefault="00140B7C" w:rsidP="00BC1087">
            <w:pPr>
              <w:widowControl w:val="0"/>
              <w:kinsoku w:val="0"/>
              <w:spacing w:after="0" w:line="240" w:lineRule="auto"/>
              <w:ind w:left="722" w:hanging="361"/>
              <w:rPr>
                <w:rFonts w:eastAsia="Times New Roman" w:cs="Times New Roman"/>
                <w:spacing w:val="12"/>
                <w:sz w:val="18"/>
                <w:szCs w:val="18"/>
              </w:rPr>
            </w:pPr>
            <w:r w:rsidRPr="00EC4EC4">
              <w:rPr>
                <w:rFonts w:eastAsia="Times New Roman" w:cs="Times New Roman"/>
                <w:spacing w:val="12"/>
                <w:sz w:val="18"/>
                <w:szCs w:val="18"/>
              </w:rPr>
              <w:t>a.</w:t>
            </w:r>
            <w:r w:rsidRPr="00EC4EC4">
              <w:rPr>
                <w:rFonts w:eastAsia="Times New Roman" w:cs="Times New Roman"/>
                <w:spacing w:val="12"/>
                <w:sz w:val="18"/>
                <w:szCs w:val="18"/>
              </w:rPr>
              <w:tab/>
              <w:t>Snug-tight joints.</w:t>
            </w:r>
          </w:p>
        </w:tc>
        <w:tc>
          <w:tcPr>
            <w:tcW w:w="971" w:type="pct"/>
            <w:tcBorders>
              <w:top w:val="single" w:sz="2" w:space="0" w:color="auto"/>
              <w:left w:val="single" w:sz="2" w:space="0" w:color="auto"/>
              <w:bottom w:val="single" w:sz="2" w:space="0" w:color="auto"/>
              <w:right w:val="single" w:sz="2" w:space="0" w:color="auto"/>
            </w:tcBorders>
            <w:vAlign w:val="center"/>
          </w:tcPr>
          <w:p w14:paraId="6E945085" w14:textId="77777777" w:rsidR="00140B7C" w:rsidRPr="00EC4EC4" w:rsidRDefault="00140B7C" w:rsidP="00BC1087">
            <w:pPr>
              <w:widowControl w:val="0"/>
              <w:kinsoku w:val="0"/>
              <w:spacing w:after="0" w:line="240" w:lineRule="auto"/>
              <w:ind w:left="62" w:right="82"/>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2" w:space="0" w:color="auto"/>
              <w:left w:val="single" w:sz="2" w:space="0" w:color="auto"/>
              <w:bottom w:val="single" w:sz="2" w:space="0" w:color="auto"/>
              <w:right w:val="single" w:sz="2" w:space="0" w:color="auto"/>
            </w:tcBorders>
            <w:vAlign w:val="center"/>
          </w:tcPr>
          <w:p w14:paraId="4AE1FF45" w14:textId="77777777" w:rsidR="00140B7C" w:rsidRPr="00EC4EC4" w:rsidRDefault="00140B7C" w:rsidP="00BC1087">
            <w:pPr>
              <w:widowControl w:val="0"/>
              <w:kinsoku w:val="0"/>
              <w:spacing w:after="0" w:line="240" w:lineRule="auto"/>
              <w:ind w:left="50" w:right="89"/>
              <w:jc w:val="center"/>
              <w:rPr>
                <w:rFonts w:eastAsia="Times New Roman" w:cs="Times New Roman"/>
                <w:sz w:val="18"/>
                <w:szCs w:val="18"/>
              </w:rPr>
            </w:pPr>
            <w:r w:rsidRPr="00EC4EC4">
              <w:rPr>
                <w:rFonts w:eastAsia="Times New Roman" w:cs="Times New Roman"/>
                <w:sz w:val="18"/>
                <w:szCs w:val="18"/>
              </w:rPr>
              <w:t>X</w:t>
            </w:r>
          </w:p>
        </w:tc>
        <w:tc>
          <w:tcPr>
            <w:tcW w:w="964" w:type="pct"/>
            <w:vMerge w:val="restart"/>
            <w:tcBorders>
              <w:top w:val="single" w:sz="2" w:space="0" w:color="auto"/>
              <w:left w:val="single" w:sz="2" w:space="0" w:color="auto"/>
              <w:right w:val="single" w:sz="2" w:space="0" w:color="auto"/>
            </w:tcBorders>
            <w:vAlign w:val="center"/>
          </w:tcPr>
          <w:p w14:paraId="5B0AC4C5" w14:textId="77777777" w:rsidR="00140B7C" w:rsidRPr="00EC4EC4" w:rsidRDefault="00140B7C" w:rsidP="00BC1087">
            <w:pPr>
              <w:widowControl w:val="0"/>
              <w:kinsoku w:val="0"/>
              <w:spacing w:after="0" w:line="240" w:lineRule="auto"/>
              <w:jc w:val="center"/>
              <w:rPr>
                <w:rFonts w:eastAsia="Times New Roman" w:cs="Times New Roman"/>
                <w:spacing w:val="4"/>
                <w:sz w:val="18"/>
                <w:szCs w:val="18"/>
              </w:rPr>
            </w:pPr>
            <w:r w:rsidRPr="00EC4EC4">
              <w:rPr>
                <w:rFonts w:eastAsia="Times New Roman" w:cs="Times New Roman"/>
                <w:spacing w:val="4"/>
                <w:sz w:val="18"/>
                <w:szCs w:val="18"/>
              </w:rPr>
              <w:t>AISC 360 Section M2.5; and RCSC Specification for Structural Joints Using High-Strength Bolts Section 9</w:t>
            </w:r>
          </w:p>
        </w:tc>
        <w:tc>
          <w:tcPr>
            <w:tcW w:w="623" w:type="pct"/>
            <w:vMerge w:val="restart"/>
            <w:tcBorders>
              <w:top w:val="single" w:sz="2" w:space="0" w:color="auto"/>
              <w:left w:val="single" w:sz="2" w:space="0" w:color="auto"/>
              <w:right w:val="single" w:sz="2" w:space="0" w:color="auto"/>
            </w:tcBorders>
            <w:vAlign w:val="center"/>
          </w:tcPr>
          <w:p w14:paraId="472B971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1705.2.3</w:t>
            </w:r>
          </w:p>
        </w:tc>
      </w:tr>
      <w:tr w:rsidR="00140B7C" w:rsidRPr="00EC4EC4" w14:paraId="52576E2E" w14:textId="77777777" w:rsidTr="00BC1087">
        <w:trPr>
          <w:cantSplit/>
          <w:trHeight w:val="1351"/>
          <w:jc w:val="center"/>
        </w:trPr>
        <w:tc>
          <w:tcPr>
            <w:tcW w:w="1473" w:type="pct"/>
            <w:tcBorders>
              <w:top w:val="single" w:sz="2" w:space="0" w:color="auto"/>
              <w:left w:val="single" w:sz="2" w:space="0" w:color="auto"/>
              <w:bottom w:val="single" w:sz="2" w:space="0" w:color="auto"/>
              <w:right w:val="single" w:sz="2" w:space="0" w:color="auto"/>
            </w:tcBorders>
            <w:vAlign w:val="center"/>
          </w:tcPr>
          <w:p w14:paraId="00F1562D" w14:textId="77777777" w:rsidR="00140B7C" w:rsidRPr="00EC4EC4" w:rsidRDefault="00140B7C" w:rsidP="00BC1087">
            <w:pPr>
              <w:widowControl w:val="0"/>
              <w:kinsoku w:val="0"/>
              <w:spacing w:after="0" w:line="240" w:lineRule="auto"/>
              <w:ind w:left="722" w:hanging="361"/>
              <w:rPr>
                <w:rFonts w:eastAsia="Times New Roman" w:cs="Times New Roman"/>
                <w:spacing w:val="12"/>
                <w:sz w:val="18"/>
                <w:szCs w:val="18"/>
              </w:rPr>
            </w:pPr>
            <w:r w:rsidRPr="00EC4EC4">
              <w:rPr>
                <w:rFonts w:eastAsia="Times New Roman" w:cs="Times New Roman"/>
                <w:spacing w:val="12"/>
                <w:sz w:val="18"/>
                <w:szCs w:val="18"/>
              </w:rPr>
              <w:t>b.</w:t>
            </w:r>
            <w:r w:rsidRPr="00EC4EC4">
              <w:rPr>
                <w:rFonts w:eastAsia="Times New Roman" w:cs="Times New Roman"/>
                <w:spacing w:val="12"/>
                <w:sz w:val="18"/>
                <w:szCs w:val="18"/>
              </w:rPr>
              <w:tab/>
              <w:t>Pre-tensioned and slip-critical joints using turn-of-nut with matchmarking, twist-off bolt or direct tension indicator methods of installation.</w:t>
            </w:r>
          </w:p>
        </w:tc>
        <w:tc>
          <w:tcPr>
            <w:tcW w:w="971" w:type="pct"/>
            <w:tcBorders>
              <w:top w:val="single" w:sz="2" w:space="0" w:color="auto"/>
              <w:left w:val="single" w:sz="2" w:space="0" w:color="auto"/>
              <w:bottom w:val="single" w:sz="2" w:space="0" w:color="auto"/>
              <w:right w:val="single" w:sz="2" w:space="0" w:color="auto"/>
            </w:tcBorders>
            <w:vAlign w:val="center"/>
          </w:tcPr>
          <w:p w14:paraId="4583B6B7" w14:textId="77777777" w:rsidR="00140B7C" w:rsidRPr="00EC4EC4" w:rsidRDefault="00140B7C" w:rsidP="00BC1087">
            <w:pPr>
              <w:widowControl w:val="0"/>
              <w:kinsoku w:val="0"/>
              <w:spacing w:after="0" w:line="240" w:lineRule="auto"/>
              <w:ind w:left="62" w:right="82"/>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2" w:space="0" w:color="auto"/>
              <w:left w:val="single" w:sz="2" w:space="0" w:color="auto"/>
              <w:bottom w:val="single" w:sz="2" w:space="0" w:color="auto"/>
              <w:right w:val="single" w:sz="2" w:space="0" w:color="auto"/>
            </w:tcBorders>
            <w:vAlign w:val="center"/>
          </w:tcPr>
          <w:p w14:paraId="6905776D" w14:textId="77777777" w:rsidR="00140B7C" w:rsidRPr="00EC4EC4" w:rsidRDefault="00140B7C" w:rsidP="00BC1087">
            <w:pPr>
              <w:widowControl w:val="0"/>
              <w:kinsoku w:val="0"/>
              <w:spacing w:after="0" w:line="240" w:lineRule="auto"/>
              <w:ind w:left="50" w:right="89"/>
              <w:jc w:val="center"/>
              <w:rPr>
                <w:rFonts w:eastAsia="Times New Roman" w:cs="Times New Roman"/>
                <w:sz w:val="18"/>
                <w:szCs w:val="18"/>
              </w:rPr>
            </w:pPr>
            <w:r w:rsidRPr="00EC4EC4">
              <w:rPr>
                <w:rFonts w:eastAsia="Times New Roman" w:cs="Times New Roman"/>
                <w:sz w:val="18"/>
                <w:szCs w:val="18"/>
              </w:rPr>
              <w:t>X</w:t>
            </w:r>
          </w:p>
        </w:tc>
        <w:tc>
          <w:tcPr>
            <w:tcW w:w="964" w:type="pct"/>
            <w:vMerge/>
            <w:tcBorders>
              <w:left w:val="single" w:sz="2" w:space="0" w:color="auto"/>
              <w:right w:val="single" w:sz="2" w:space="0" w:color="auto"/>
            </w:tcBorders>
            <w:vAlign w:val="center"/>
          </w:tcPr>
          <w:p w14:paraId="11C379F3" w14:textId="77777777" w:rsidR="00140B7C" w:rsidRPr="00EC4EC4" w:rsidRDefault="00140B7C" w:rsidP="00BC1087">
            <w:pPr>
              <w:widowControl w:val="0"/>
              <w:kinsoku w:val="0"/>
              <w:spacing w:after="0" w:line="240" w:lineRule="auto"/>
              <w:jc w:val="center"/>
              <w:rPr>
                <w:rFonts w:eastAsia="Times New Roman" w:cs="Times New Roman"/>
                <w:sz w:val="18"/>
                <w:szCs w:val="18"/>
              </w:rPr>
            </w:pPr>
          </w:p>
        </w:tc>
        <w:tc>
          <w:tcPr>
            <w:tcW w:w="623" w:type="pct"/>
            <w:vMerge/>
            <w:tcBorders>
              <w:left w:val="single" w:sz="2" w:space="0" w:color="auto"/>
              <w:right w:val="single" w:sz="2" w:space="0" w:color="auto"/>
            </w:tcBorders>
            <w:vAlign w:val="center"/>
          </w:tcPr>
          <w:p w14:paraId="132A2198" w14:textId="77777777" w:rsidR="00140B7C" w:rsidRPr="00EC4EC4" w:rsidRDefault="00140B7C" w:rsidP="00BC1087">
            <w:pPr>
              <w:widowControl w:val="0"/>
              <w:kinsoku w:val="0"/>
              <w:spacing w:after="0" w:line="240" w:lineRule="auto"/>
              <w:jc w:val="center"/>
              <w:rPr>
                <w:rFonts w:eastAsia="Times New Roman" w:cs="Times New Roman"/>
                <w:sz w:val="18"/>
                <w:szCs w:val="18"/>
              </w:rPr>
            </w:pPr>
          </w:p>
        </w:tc>
      </w:tr>
      <w:tr w:rsidR="00140B7C" w:rsidRPr="00EC4EC4" w14:paraId="4665A56B" w14:textId="77777777" w:rsidTr="00BC1087">
        <w:trPr>
          <w:cantSplit/>
          <w:trHeight w:val="1171"/>
          <w:jc w:val="center"/>
        </w:trPr>
        <w:tc>
          <w:tcPr>
            <w:tcW w:w="1473" w:type="pct"/>
            <w:tcBorders>
              <w:top w:val="single" w:sz="2" w:space="0" w:color="auto"/>
              <w:left w:val="single" w:sz="2" w:space="0" w:color="auto"/>
              <w:bottom w:val="single" w:sz="2" w:space="0" w:color="auto"/>
              <w:right w:val="single" w:sz="2" w:space="0" w:color="auto"/>
            </w:tcBorders>
            <w:vAlign w:val="center"/>
          </w:tcPr>
          <w:p w14:paraId="7F2AA9C2" w14:textId="77777777" w:rsidR="00140B7C" w:rsidRPr="00EC4EC4" w:rsidRDefault="00140B7C" w:rsidP="00BC1087">
            <w:pPr>
              <w:widowControl w:val="0"/>
              <w:kinsoku w:val="0"/>
              <w:spacing w:after="0" w:line="240" w:lineRule="auto"/>
              <w:ind w:left="722" w:hanging="361"/>
              <w:rPr>
                <w:rFonts w:eastAsia="Times New Roman" w:cs="Times New Roman"/>
                <w:spacing w:val="12"/>
                <w:sz w:val="18"/>
                <w:szCs w:val="18"/>
              </w:rPr>
            </w:pPr>
            <w:r w:rsidRPr="00EC4EC4">
              <w:rPr>
                <w:rFonts w:eastAsia="Times New Roman" w:cs="Times New Roman"/>
                <w:spacing w:val="12"/>
                <w:sz w:val="18"/>
                <w:szCs w:val="18"/>
              </w:rPr>
              <w:t>c.</w:t>
            </w:r>
            <w:r w:rsidRPr="00EC4EC4">
              <w:rPr>
                <w:rFonts w:eastAsia="Times New Roman" w:cs="Times New Roman"/>
                <w:spacing w:val="12"/>
                <w:sz w:val="18"/>
                <w:szCs w:val="18"/>
              </w:rPr>
              <w:tab/>
              <w:t>Pre-tensioned and slip-critical joints using turn-of-nut without matchmarking or calibrated wrench methods of installation.</w:t>
            </w:r>
          </w:p>
        </w:tc>
        <w:tc>
          <w:tcPr>
            <w:tcW w:w="971" w:type="pct"/>
            <w:tcBorders>
              <w:top w:val="single" w:sz="2" w:space="0" w:color="auto"/>
              <w:left w:val="single" w:sz="2" w:space="0" w:color="auto"/>
              <w:bottom w:val="single" w:sz="2" w:space="0" w:color="auto"/>
              <w:right w:val="single" w:sz="2" w:space="0" w:color="auto"/>
            </w:tcBorders>
            <w:vAlign w:val="center"/>
          </w:tcPr>
          <w:p w14:paraId="22BF6985" w14:textId="77777777" w:rsidR="00140B7C" w:rsidRPr="00EC4EC4" w:rsidRDefault="00140B7C" w:rsidP="00BC1087">
            <w:pPr>
              <w:widowControl w:val="0"/>
              <w:kinsoku w:val="0"/>
              <w:spacing w:after="0" w:line="240" w:lineRule="auto"/>
              <w:ind w:left="62" w:right="82"/>
              <w:jc w:val="center"/>
              <w:rPr>
                <w:rFonts w:eastAsia="Times New Roman" w:cs="Times New Roman"/>
                <w:sz w:val="18"/>
                <w:szCs w:val="18"/>
              </w:rPr>
            </w:pPr>
            <w:r w:rsidRPr="00EC4EC4">
              <w:rPr>
                <w:rFonts w:eastAsia="Times New Roman" w:cs="Times New Roman"/>
                <w:sz w:val="18"/>
                <w:szCs w:val="18"/>
              </w:rPr>
              <w:t>X</w:t>
            </w:r>
          </w:p>
        </w:tc>
        <w:tc>
          <w:tcPr>
            <w:tcW w:w="969" w:type="pct"/>
            <w:tcBorders>
              <w:top w:val="single" w:sz="2" w:space="0" w:color="auto"/>
              <w:left w:val="single" w:sz="2" w:space="0" w:color="auto"/>
              <w:bottom w:val="single" w:sz="2" w:space="0" w:color="auto"/>
              <w:right w:val="single" w:sz="2" w:space="0" w:color="auto"/>
            </w:tcBorders>
            <w:vAlign w:val="center"/>
          </w:tcPr>
          <w:p w14:paraId="243FD87A" w14:textId="77777777" w:rsidR="00140B7C" w:rsidRPr="00EC4EC4" w:rsidRDefault="00140B7C" w:rsidP="00BC1087">
            <w:pPr>
              <w:widowControl w:val="0"/>
              <w:kinsoku w:val="0"/>
              <w:spacing w:after="0" w:line="240" w:lineRule="auto"/>
              <w:ind w:left="50" w:right="89"/>
              <w:jc w:val="center"/>
              <w:rPr>
                <w:rFonts w:eastAsia="Times New Roman" w:cs="Times New Roman"/>
                <w:sz w:val="18"/>
                <w:szCs w:val="18"/>
              </w:rPr>
            </w:pPr>
            <w:r w:rsidRPr="00EC4EC4">
              <w:rPr>
                <w:rFonts w:eastAsia="Times New Roman" w:cs="Times New Roman"/>
                <w:sz w:val="18"/>
                <w:szCs w:val="18"/>
              </w:rPr>
              <w:t>—</w:t>
            </w:r>
          </w:p>
        </w:tc>
        <w:tc>
          <w:tcPr>
            <w:tcW w:w="964" w:type="pct"/>
            <w:vMerge/>
            <w:tcBorders>
              <w:left w:val="single" w:sz="2" w:space="0" w:color="auto"/>
              <w:bottom w:val="single" w:sz="2" w:space="0" w:color="auto"/>
              <w:right w:val="single" w:sz="2" w:space="0" w:color="auto"/>
            </w:tcBorders>
            <w:vAlign w:val="center"/>
          </w:tcPr>
          <w:p w14:paraId="40608CE6" w14:textId="77777777" w:rsidR="00140B7C" w:rsidRPr="00EC4EC4" w:rsidRDefault="00140B7C" w:rsidP="00BC1087">
            <w:pPr>
              <w:widowControl w:val="0"/>
              <w:kinsoku w:val="0"/>
              <w:spacing w:after="0" w:line="240" w:lineRule="auto"/>
              <w:jc w:val="center"/>
              <w:rPr>
                <w:rFonts w:eastAsia="Times New Roman" w:cs="Times New Roman"/>
                <w:sz w:val="18"/>
                <w:szCs w:val="18"/>
              </w:rPr>
            </w:pPr>
          </w:p>
        </w:tc>
        <w:tc>
          <w:tcPr>
            <w:tcW w:w="623" w:type="pct"/>
            <w:vMerge/>
            <w:tcBorders>
              <w:left w:val="single" w:sz="2" w:space="0" w:color="auto"/>
              <w:bottom w:val="single" w:sz="2" w:space="0" w:color="auto"/>
              <w:right w:val="single" w:sz="2" w:space="0" w:color="auto"/>
            </w:tcBorders>
            <w:vAlign w:val="center"/>
          </w:tcPr>
          <w:p w14:paraId="530A1F75" w14:textId="77777777" w:rsidR="00140B7C" w:rsidRPr="00EC4EC4" w:rsidRDefault="00140B7C" w:rsidP="00BC1087">
            <w:pPr>
              <w:widowControl w:val="0"/>
              <w:kinsoku w:val="0"/>
              <w:spacing w:after="0" w:line="240" w:lineRule="auto"/>
              <w:jc w:val="center"/>
              <w:rPr>
                <w:rFonts w:eastAsia="Times New Roman" w:cs="Times New Roman"/>
                <w:sz w:val="18"/>
                <w:szCs w:val="18"/>
              </w:rPr>
            </w:pPr>
          </w:p>
        </w:tc>
      </w:tr>
      <w:tr w:rsidR="00140B7C" w:rsidRPr="00EC4EC4" w14:paraId="23E46DFF" w14:textId="77777777" w:rsidTr="00BC1087">
        <w:trPr>
          <w:trHeight w:val="883"/>
          <w:jc w:val="center"/>
        </w:trPr>
        <w:tc>
          <w:tcPr>
            <w:tcW w:w="1473" w:type="pct"/>
            <w:tcBorders>
              <w:top w:val="single" w:sz="2" w:space="0" w:color="auto"/>
              <w:left w:val="single" w:sz="2" w:space="0" w:color="auto"/>
              <w:bottom w:val="single" w:sz="2" w:space="0" w:color="auto"/>
              <w:right w:val="single" w:sz="2" w:space="0" w:color="auto"/>
            </w:tcBorders>
            <w:vAlign w:val="center"/>
          </w:tcPr>
          <w:p w14:paraId="4487D283" w14:textId="77777777" w:rsidR="00140B7C" w:rsidRPr="00EC4EC4" w:rsidRDefault="00140B7C" w:rsidP="00BC1087">
            <w:pPr>
              <w:widowControl w:val="0"/>
              <w:tabs>
                <w:tab w:val="right" w:pos="-1361"/>
              </w:tabs>
              <w:kinsoku w:val="0"/>
              <w:spacing w:after="0" w:line="240" w:lineRule="auto"/>
              <w:ind w:left="722" w:hanging="361"/>
              <w:rPr>
                <w:rFonts w:eastAsia="Times New Roman" w:cs="Times New Roman"/>
                <w:spacing w:val="2"/>
                <w:sz w:val="18"/>
                <w:szCs w:val="18"/>
              </w:rPr>
            </w:pPr>
            <w:r w:rsidRPr="00EC4EC4">
              <w:rPr>
                <w:rFonts w:eastAsia="Times New Roman" w:cs="Times New Roman"/>
                <w:spacing w:val="2"/>
                <w:sz w:val="18"/>
                <w:szCs w:val="18"/>
              </w:rPr>
              <w:t>d.</w:t>
            </w:r>
            <w:r w:rsidRPr="00EC4EC4">
              <w:rPr>
                <w:rFonts w:eastAsia="Times New Roman" w:cs="Times New Roman"/>
                <w:spacing w:val="2"/>
                <w:sz w:val="18"/>
                <w:szCs w:val="18"/>
              </w:rPr>
              <w:tab/>
              <w:t>Pre-installation verification testing.</w:t>
            </w:r>
          </w:p>
        </w:tc>
        <w:tc>
          <w:tcPr>
            <w:tcW w:w="971" w:type="pct"/>
            <w:tcBorders>
              <w:top w:val="single" w:sz="2" w:space="0" w:color="auto"/>
              <w:left w:val="single" w:sz="2" w:space="0" w:color="auto"/>
              <w:bottom w:val="single" w:sz="2" w:space="0" w:color="auto"/>
              <w:right w:val="single" w:sz="2" w:space="0" w:color="auto"/>
            </w:tcBorders>
            <w:vAlign w:val="center"/>
          </w:tcPr>
          <w:p w14:paraId="29A3C0DC" w14:textId="77777777" w:rsidR="00140B7C" w:rsidRPr="00EC4EC4" w:rsidRDefault="00140B7C" w:rsidP="00BC1087">
            <w:pPr>
              <w:widowControl w:val="0"/>
              <w:kinsoku w:val="0"/>
              <w:spacing w:after="0" w:line="240" w:lineRule="auto"/>
              <w:ind w:left="62" w:right="82"/>
              <w:jc w:val="center"/>
              <w:rPr>
                <w:rFonts w:eastAsia="Times New Roman" w:cs="Times New Roman"/>
                <w:sz w:val="18"/>
                <w:szCs w:val="18"/>
              </w:rPr>
            </w:pPr>
            <w:r w:rsidRPr="00EC4EC4">
              <w:rPr>
                <w:rFonts w:eastAsia="Times New Roman" w:cs="Times New Roman"/>
                <w:sz w:val="18"/>
                <w:szCs w:val="18"/>
              </w:rPr>
              <w:t>X</w:t>
            </w:r>
          </w:p>
        </w:tc>
        <w:tc>
          <w:tcPr>
            <w:tcW w:w="969" w:type="pct"/>
            <w:tcBorders>
              <w:top w:val="single" w:sz="2" w:space="0" w:color="auto"/>
              <w:left w:val="single" w:sz="2" w:space="0" w:color="auto"/>
              <w:bottom w:val="single" w:sz="2" w:space="0" w:color="auto"/>
              <w:right w:val="single" w:sz="2" w:space="0" w:color="auto"/>
            </w:tcBorders>
            <w:vAlign w:val="center"/>
          </w:tcPr>
          <w:p w14:paraId="0A2A8686" w14:textId="77777777" w:rsidR="00140B7C" w:rsidRPr="00EC4EC4" w:rsidRDefault="00140B7C" w:rsidP="00BC1087">
            <w:pPr>
              <w:widowControl w:val="0"/>
              <w:kinsoku w:val="0"/>
              <w:spacing w:after="0" w:line="240" w:lineRule="auto"/>
              <w:ind w:left="50" w:right="89"/>
              <w:jc w:val="center"/>
              <w:rPr>
                <w:rFonts w:eastAsia="Times New Roman" w:cs="Times New Roman"/>
                <w:sz w:val="18"/>
                <w:szCs w:val="18"/>
              </w:rPr>
            </w:pPr>
            <w:r w:rsidRPr="00EC4EC4">
              <w:rPr>
                <w:rFonts w:eastAsia="Times New Roman" w:cs="Times New Roman"/>
                <w:sz w:val="18"/>
                <w:szCs w:val="18"/>
              </w:rPr>
              <w:t>—</w:t>
            </w:r>
          </w:p>
        </w:tc>
        <w:tc>
          <w:tcPr>
            <w:tcW w:w="964" w:type="pct"/>
            <w:tcBorders>
              <w:top w:val="single" w:sz="2" w:space="0" w:color="auto"/>
              <w:left w:val="single" w:sz="2" w:space="0" w:color="auto"/>
              <w:bottom w:val="single" w:sz="2" w:space="0" w:color="auto"/>
              <w:right w:val="single" w:sz="2" w:space="0" w:color="auto"/>
            </w:tcBorders>
            <w:vAlign w:val="center"/>
          </w:tcPr>
          <w:p w14:paraId="1C778AEA" w14:textId="77777777" w:rsidR="00140B7C" w:rsidRPr="00EC4EC4" w:rsidRDefault="00140B7C" w:rsidP="00BC1087">
            <w:pPr>
              <w:widowControl w:val="0"/>
              <w:kinsoku w:val="0"/>
              <w:spacing w:after="0" w:line="240" w:lineRule="auto"/>
              <w:jc w:val="center"/>
              <w:rPr>
                <w:rFonts w:eastAsia="Times New Roman" w:cs="Times New Roman"/>
                <w:spacing w:val="4"/>
                <w:sz w:val="18"/>
                <w:szCs w:val="18"/>
              </w:rPr>
            </w:pPr>
            <w:r w:rsidRPr="00EC4EC4">
              <w:rPr>
                <w:rFonts w:eastAsia="Times New Roman" w:cs="Times New Roman"/>
                <w:spacing w:val="4"/>
                <w:sz w:val="18"/>
                <w:szCs w:val="18"/>
              </w:rPr>
              <w:t>Specification for Structural Joints Using High-Strength Bolts Section 8.2</w:t>
            </w:r>
          </w:p>
        </w:tc>
        <w:tc>
          <w:tcPr>
            <w:tcW w:w="623" w:type="pct"/>
            <w:tcBorders>
              <w:top w:val="single" w:sz="2" w:space="0" w:color="auto"/>
              <w:left w:val="single" w:sz="2" w:space="0" w:color="auto"/>
              <w:bottom w:val="single" w:sz="2" w:space="0" w:color="auto"/>
              <w:right w:val="single" w:sz="2" w:space="0" w:color="auto"/>
            </w:tcBorders>
            <w:vAlign w:val="center"/>
          </w:tcPr>
          <w:p w14:paraId="3118EA62"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1705.2.3.1</w:t>
            </w:r>
          </w:p>
        </w:tc>
      </w:tr>
      <w:tr w:rsidR="00140B7C" w:rsidRPr="00EC4EC4" w14:paraId="336EE691" w14:textId="77777777" w:rsidTr="00BC1087">
        <w:trPr>
          <w:trHeight w:val="541"/>
          <w:jc w:val="center"/>
        </w:trPr>
        <w:tc>
          <w:tcPr>
            <w:tcW w:w="5000" w:type="pct"/>
            <w:gridSpan w:val="5"/>
            <w:tcBorders>
              <w:top w:val="single" w:sz="2" w:space="0" w:color="auto"/>
              <w:left w:val="single" w:sz="2" w:space="0" w:color="auto"/>
              <w:bottom w:val="single" w:sz="2" w:space="0" w:color="auto"/>
              <w:right w:val="single" w:sz="2" w:space="0" w:color="auto"/>
            </w:tcBorders>
            <w:vAlign w:val="center"/>
          </w:tcPr>
          <w:p w14:paraId="0D5C928D" w14:textId="77777777" w:rsidR="00140B7C" w:rsidRPr="00EC4EC4" w:rsidRDefault="00140B7C" w:rsidP="00BC1087">
            <w:pPr>
              <w:widowControl w:val="0"/>
              <w:kinsoku w:val="0"/>
              <w:spacing w:after="0" w:line="240" w:lineRule="auto"/>
              <w:ind w:left="459" w:hanging="360"/>
              <w:rPr>
                <w:rFonts w:eastAsia="Times New Roman" w:cs="Times New Roman"/>
                <w:sz w:val="18"/>
                <w:szCs w:val="18"/>
              </w:rPr>
            </w:pPr>
            <w:r w:rsidRPr="00EC4EC4">
              <w:rPr>
                <w:rFonts w:eastAsia="Times New Roman" w:cs="Times New Roman"/>
                <w:spacing w:val="2"/>
                <w:sz w:val="18"/>
                <w:szCs w:val="18"/>
              </w:rPr>
              <w:t>3.</w:t>
            </w:r>
            <w:r w:rsidRPr="00EC4EC4">
              <w:rPr>
                <w:rFonts w:eastAsia="Times New Roman" w:cs="Times New Roman"/>
                <w:spacing w:val="2"/>
                <w:sz w:val="18"/>
                <w:szCs w:val="18"/>
              </w:rPr>
              <w:tab/>
              <w:t>Material verification of structural steel and cold formed steel deck:</w:t>
            </w:r>
          </w:p>
        </w:tc>
      </w:tr>
      <w:tr w:rsidR="00140B7C" w:rsidRPr="00EC4EC4" w14:paraId="076071D7" w14:textId="77777777" w:rsidTr="00BC1087">
        <w:trPr>
          <w:trHeight w:val="739"/>
          <w:jc w:val="center"/>
        </w:trPr>
        <w:tc>
          <w:tcPr>
            <w:tcW w:w="1473" w:type="pct"/>
            <w:tcBorders>
              <w:top w:val="single" w:sz="2" w:space="0" w:color="auto"/>
              <w:left w:val="single" w:sz="2" w:space="0" w:color="auto"/>
              <w:bottom w:val="single" w:sz="2" w:space="0" w:color="auto"/>
              <w:right w:val="single" w:sz="2" w:space="0" w:color="auto"/>
            </w:tcBorders>
            <w:vAlign w:val="center"/>
          </w:tcPr>
          <w:p w14:paraId="40901D1F" w14:textId="77777777" w:rsidR="00140B7C" w:rsidRPr="00EC4EC4" w:rsidRDefault="00140B7C" w:rsidP="00BC1087">
            <w:pPr>
              <w:widowControl w:val="0"/>
              <w:tabs>
                <w:tab w:val="right" w:pos="-1361"/>
              </w:tabs>
              <w:kinsoku w:val="0"/>
              <w:spacing w:after="0" w:line="240" w:lineRule="auto"/>
              <w:ind w:left="720" w:hanging="358"/>
              <w:rPr>
                <w:rFonts w:eastAsia="Times New Roman" w:cs="Times New Roman"/>
                <w:spacing w:val="2"/>
                <w:sz w:val="18"/>
                <w:szCs w:val="18"/>
              </w:rPr>
            </w:pPr>
            <w:r w:rsidRPr="00EC4EC4">
              <w:rPr>
                <w:rFonts w:eastAsia="Times New Roman" w:cs="Times New Roman"/>
                <w:spacing w:val="2"/>
                <w:sz w:val="18"/>
                <w:szCs w:val="18"/>
              </w:rPr>
              <w:t>a.</w:t>
            </w:r>
            <w:r w:rsidRPr="00EC4EC4">
              <w:rPr>
                <w:rFonts w:eastAsia="Times New Roman" w:cs="Times New Roman"/>
                <w:spacing w:val="2"/>
                <w:sz w:val="18"/>
                <w:szCs w:val="18"/>
              </w:rPr>
              <w:tab/>
              <w:t>For structural steel, identification markings to conform to AISC 360.</w:t>
            </w:r>
          </w:p>
        </w:tc>
        <w:tc>
          <w:tcPr>
            <w:tcW w:w="971" w:type="pct"/>
            <w:tcBorders>
              <w:top w:val="single" w:sz="2" w:space="0" w:color="auto"/>
              <w:left w:val="single" w:sz="2" w:space="0" w:color="auto"/>
              <w:bottom w:val="single" w:sz="2" w:space="0" w:color="auto"/>
              <w:right w:val="single" w:sz="2" w:space="0" w:color="auto"/>
            </w:tcBorders>
            <w:vAlign w:val="center"/>
          </w:tcPr>
          <w:p w14:paraId="73B9FCEF"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pacing w:val="4"/>
                <w:sz w:val="18"/>
                <w:szCs w:val="18"/>
              </w:rPr>
              <w:t>—</w:t>
            </w:r>
          </w:p>
        </w:tc>
        <w:tc>
          <w:tcPr>
            <w:tcW w:w="969" w:type="pct"/>
            <w:tcBorders>
              <w:top w:val="single" w:sz="2" w:space="0" w:color="auto"/>
              <w:left w:val="single" w:sz="2" w:space="0" w:color="auto"/>
              <w:bottom w:val="single" w:sz="2" w:space="0" w:color="auto"/>
              <w:right w:val="single" w:sz="2" w:space="0" w:color="auto"/>
            </w:tcBorders>
            <w:vAlign w:val="center"/>
          </w:tcPr>
          <w:p w14:paraId="41295263"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pacing w:val="4"/>
                <w:sz w:val="18"/>
                <w:szCs w:val="18"/>
              </w:rPr>
              <w:t>X</w:t>
            </w:r>
          </w:p>
        </w:tc>
        <w:tc>
          <w:tcPr>
            <w:tcW w:w="964" w:type="pct"/>
            <w:tcBorders>
              <w:top w:val="single" w:sz="2" w:space="0" w:color="auto"/>
              <w:left w:val="single" w:sz="2" w:space="0" w:color="auto"/>
              <w:bottom w:val="single" w:sz="2" w:space="0" w:color="auto"/>
              <w:right w:val="single" w:sz="2" w:space="0" w:color="auto"/>
            </w:tcBorders>
            <w:vAlign w:val="center"/>
          </w:tcPr>
          <w:p w14:paraId="694A79A7" w14:textId="77777777" w:rsidR="00140B7C" w:rsidRPr="00EC4EC4" w:rsidRDefault="00140B7C" w:rsidP="00BC1087">
            <w:pPr>
              <w:widowControl w:val="0"/>
              <w:kinsoku w:val="0"/>
              <w:spacing w:after="0" w:line="240" w:lineRule="auto"/>
              <w:jc w:val="center"/>
              <w:rPr>
                <w:rFonts w:eastAsia="Times New Roman" w:cs="Times New Roman"/>
                <w:spacing w:val="4"/>
                <w:sz w:val="18"/>
                <w:szCs w:val="18"/>
              </w:rPr>
            </w:pPr>
            <w:r w:rsidRPr="00EC4EC4">
              <w:rPr>
                <w:rFonts w:eastAsia="Times New Roman" w:cs="Times New Roman"/>
                <w:spacing w:val="4"/>
                <w:sz w:val="18"/>
                <w:szCs w:val="18"/>
              </w:rPr>
              <w:t>AISC 360 Sections A3.1, N2.1, N3.2 (a) and (k)(1)</w:t>
            </w:r>
          </w:p>
        </w:tc>
        <w:tc>
          <w:tcPr>
            <w:tcW w:w="623" w:type="pct"/>
            <w:tcBorders>
              <w:top w:val="single" w:sz="2" w:space="0" w:color="auto"/>
              <w:left w:val="single" w:sz="2" w:space="0" w:color="auto"/>
              <w:bottom w:val="single" w:sz="2" w:space="0" w:color="auto"/>
              <w:right w:val="single" w:sz="2" w:space="0" w:color="auto"/>
            </w:tcBorders>
            <w:vAlign w:val="center"/>
          </w:tcPr>
          <w:p w14:paraId="6929E5C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pacing w:val="4"/>
                <w:sz w:val="18"/>
                <w:szCs w:val="18"/>
              </w:rPr>
              <w:t>—</w:t>
            </w:r>
          </w:p>
        </w:tc>
      </w:tr>
      <w:tr w:rsidR="00140B7C" w:rsidRPr="00EC4EC4" w14:paraId="168B6389" w14:textId="77777777" w:rsidTr="00BC1087">
        <w:trPr>
          <w:cantSplit/>
          <w:trHeight w:val="1153"/>
          <w:jc w:val="center"/>
        </w:trPr>
        <w:tc>
          <w:tcPr>
            <w:tcW w:w="1473" w:type="pct"/>
            <w:tcBorders>
              <w:top w:val="single" w:sz="2" w:space="0" w:color="auto"/>
              <w:left w:val="single" w:sz="2" w:space="0" w:color="auto"/>
              <w:bottom w:val="single" w:sz="2" w:space="0" w:color="auto"/>
              <w:right w:val="single" w:sz="2" w:space="0" w:color="auto"/>
            </w:tcBorders>
            <w:vAlign w:val="center"/>
          </w:tcPr>
          <w:p w14:paraId="19FBEC38" w14:textId="77777777" w:rsidR="00140B7C" w:rsidRPr="00EC4EC4" w:rsidRDefault="00140B7C" w:rsidP="00BC1087">
            <w:pPr>
              <w:widowControl w:val="0"/>
              <w:kinsoku w:val="0"/>
              <w:spacing w:after="0" w:line="240" w:lineRule="auto"/>
              <w:ind w:left="720" w:right="216" w:hanging="358"/>
              <w:rPr>
                <w:rFonts w:eastAsia="Times New Roman" w:cs="Times New Roman"/>
                <w:sz w:val="18"/>
                <w:szCs w:val="18"/>
              </w:rPr>
            </w:pPr>
            <w:r w:rsidRPr="00EC4EC4">
              <w:rPr>
                <w:rFonts w:eastAsia="Times New Roman" w:cs="Times New Roman"/>
                <w:spacing w:val="3"/>
                <w:sz w:val="18"/>
                <w:szCs w:val="18"/>
              </w:rPr>
              <w:lastRenderedPageBreak/>
              <w:t>b.</w:t>
            </w:r>
            <w:r w:rsidRPr="00EC4EC4">
              <w:rPr>
                <w:rFonts w:eastAsia="Times New Roman" w:cs="Times New Roman"/>
                <w:spacing w:val="3"/>
                <w:sz w:val="18"/>
                <w:szCs w:val="18"/>
              </w:rPr>
              <w:tab/>
              <w:t xml:space="preserve">For other steel, identification markings to conform to ASTM </w:t>
            </w:r>
            <w:r w:rsidRPr="00EC4EC4">
              <w:rPr>
                <w:rFonts w:eastAsia="Times New Roman" w:cs="Times New Roman"/>
                <w:spacing w:val="-2"/>
                <w:sz w:val="18"/>
                <w:szCs w:val="18"/>
              </w:rPr>
              <w:t xml:space="preserve">standards specified in the approved construction </w:t>
            </w:r>
            <w:r w:rsidRPr="00EC4EC4">
              <w:rPr>
                <w:rFonts w:eastAsia="Times New Roman" w:cs="Times New Roman"/>
                <w:sz w:val="18"/>
                <w:szCs w:val="18"/>
              </w:rPr>
              <w:t>documents.</w:t>
            </w:r>
          </w:p>
        </w:tc>
        <w:tc>
          <w:tcPr>
            <w:tcW w:w="971" w:type="pct"/>
            <w:tcBorders>
              <w:top w:val="single" w:sz="2" w:space="0" w:color="auto"/>
              <w:left w:val="single" w:sz="2" w:space="0" w:color="auto"/>
              <w:bottom w:val="single" w:sz="2" w:space="0" w:color="auto"/>
              <w:right w:val="single" w:sz="2" w:space="0" w:color="auto"/>
            </w:tcBorders>
            <w:vAlign w:val="center"/>
          </w:tcPr>
          <w:p w14:paraId="70A1F323"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2" w:space="0" w:color="auto"/>
              <w:left w:val="single" w:sz="2" w:space="0" w:color="auto"/>
              <w:bottom w:val="single" w:sz="2" w:space="0" w:color="auto"/>
              <w:right w:val="single" w:sz="2" w:space="0" w:color="auto"/>
            </w:tcBorders>
            <w:vAlign w:val="center"/>
          </w:tcPr>
          <w:p w14:paraId="0FF97AE8"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tcBorders>
              <w:top w:val="single" w:sz="2" w:space="0" w:color="auto"/>
              <w:left w:val="single" w:sz="2" w:space="0" w:color="auto"/>
              <w:bottom w:val="single" w:sz="2" w:space="0" w:color="auto"/>
              <w:right w:val="single" w:sz="2" w:space="0" w:color="auto"/>
            </w:tcBorders>
            <w:vAlign w:val="center"/>
          </w:tcPr>
          <w:p w14:paraId="70ECCD0D" w14:textId="77777777" w:rsidR="00140B7C" w:rsidRPr="00EC4EC4" w:rsidRDefault="00140B7C" w:rsidP="00BC1087">
            <w:pPr>
              <w:widowControl w:val="0"/>
              <w:kinsoku w:val="0"/>
              <w:spacing w:after="0" w:line="240" w:lineRule="auto"/>
              <w:jc w:val="center"/>
              <w:rPr>
                <w:rFonts w:eastAsia="Times New Roman" w:cs="Times New Roman"/>
                <w:spacing w:val="4"/>
                <w:sz w:val="18"/>
                <w:szCs w:val="18"/>
              </w:rPr>
            </w:pPr>
            <w:r w:rsidRPr="00EC4EC4">
              <w:rPr>
                <w:rFonts w:eastAsia="Times New Roman" w:cs="Times New Roman"/>
                <w:spacing w:val="4"/>
                <w:sz w:val="18"/>
                <w:szCs w:val="18"/>
              </w:rPr>
              <w:t>Applicable ASTM Standards</w:t>
            </w:r>
          </w:p>
        </w:tc>
        <w:tc>
          <w:tcPr>
            <w:tcW w:w="623" w:type="pct"/>
            <w:vMerge w:val="restart"/>
            <w:tcBorders>
              <w:top w:val="single" w:sz="2" w:space="0" w:color="auto"/>
              <w:left w:val="single" w:sz="2" w:space="0" w:color="auto"/>
              <w:bottom w:val="nil"/>
              <w:right w:val="single" w:sz="2" w:space="0" w:color="auto"/>
            </w:tcBorders>
            <w:vAlign w:val="center"/>
          </w:tcPr>
          <w:p w14:paraId="47836375"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pacing w:val="4"/>
                <w:sz w:val="18"/>
                <w:szCs w:val="18"/>
              </w:rPr>
              <w:t>—</w:t>
            </w:r>
          </w:p>
        </w:tc>
      </w:tr>
      <w:tr w:rsidR="00140B7C" w:rsidRPr="00EC4EC4" w14:paraId="0910A70D" w14:textId="77777777" w:rsidTr="00BC1087">
        <w:trPr>
          <w:cantSplit/>
          <w:trHeight w:val="532"/>
          <w:jc w:val="center"/>
        </w:trPr>
        <w:tc>
          <w:tcPr>
            <w:tcW w:w="1473" w:type="pct"/>
            <w:tcBorders>
              <w:top w:val="single" w:sz="2" w:space="0" w:color="auto"/>
              <w:left w:val="single" w:sz="2" w:space="0" w:color="auto"/>
              <w:bottom w:val="single" w:sz="2" w:space="0" w:color="auto"/>
              <w:right w:val="single" w:sz="2" w:space="0" w:color="auto"/>
            </w:tcBorders>
            <w:vAlign w:val="center"/>
          </w:tcPr>
          <w:p w14:paraId="7C76450D" w14:textId="77777777" w:rsidR="00140B7C" w:rsidRPr="00EC4EC4" w:rsidRDefault="00140B7C" w:rsidP="00BC1087">
            <w:pPr>
              <w:widowControl w:val="0"/>
              <w:kinsoku w:val="0"/>
              <w:spacing w:after="0" w:line="240" w:lineRule="auto"/>
              <w:ind w:left="722" w:hanging="360"/>
              <w:rPr>
                <w:rFonts w:eastAsia="Times New Roman" w:cs="Times New Roman"/>
                <w:spacing w:val="8"/>
                <w:sz w:val="18"/>
                <w:szCs w:val="18"/>
              </w:rPr>
            </w:pPr>
            <w:r w:rsidRPr="00EC4EC4">
              <w:rPr>
                <w:rFonts w:eastAsia="Times New Roman" w:cs="Times New Roman"/>
                <w:spacing w:val="8"/>
                <w:sz w:val="18"/>
                <w:szCs w:val="18"/>
              </w:rPr>
              <w:t>c.</w:t>
            </w:r>
            <w:r w:rsidRPr="00EC4EC4">
              <w:rPr>
                <w:rFonts w:eastAsia="Times New Roman" w:cs="Times New Roman"/>
                <w:spacing w:val="8"/>
                <w:sz w:val="18"/>
                <w:szCs w:val="18"/>
              </w:rPr>
              <w:tab/>
              <w:t>Manufacturers’ certified mill test reports.</w:t>
            </w:r>
          </w:p>
        </w:tc>
        <w:tc>
          <w:tcPr>
            <w:tcW w:w="971" w:type="pct"/>
            <w:tcBorders>
              <w:top w:val="single" w:sz="2" w:space="0" w:color="auto"/>
              <w:left w:val="single" w:sz="2" w:space="0" w:color="auto"/>
              <w:bottom w:val="single" w:sz="2" w:space="0" w:color="auto"/>
              <w:right w:val="single" w:sz="2" w:space="0" w:color="auto"/>
            </w:tcBorders>
            <w:vAlign w:val="center"/>
          </w:tcPr>
          <w:p w14:paraId="6043EC19"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2" w:space="0" w:color="auto"/>
              <w:left w:val="single" w:sz="2" w:space="0" w:color="auto"/>
              <w:bottom w:val="single" w:sz="2" w:space="0" w:color="auto"/>
              <w:right w:val="single" w:sz="2" w:space="0" w:color="auto"/>
            </w:tcBorders>
            <w:vAlign w:val="center"/>
          </w:tcPr>
          <w:p w14:paraId="28C555F9"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4" w:type="pct"/>
            <w:tcBorders>
              <w:top w:val="single" w:sz="2" w:space="0" w:color="auto"/>
              <w:left w:val="single" w:sz="2" w:space="0" w:color="auto"/>
              <w:bottom w:val="single" w:sz="2" w:space="0" w:color="auto"/>
              <w:right w:val="single" w:sz="2" w:space="0" w:color="auto"/>
            </w:tcBorders>
            <w:vAlign w:val="center"/>
          </w:tcPr>
          <w:p w14:paraId="357FF199" w14:textId="77777777" w:rsidR="00140B7C" w:rsidRPr="00EC4EC4" w:rsidRDefault="00140B7C" w:rsidP="00BC1087">
            <w:pPr>
              <w:widowControl w:val="0"/>
              <w:kinsoku w:val="0"/>
              <w:spacing w:after="0" w:line="240" w:lineRule="auto"/>
              <w:jc w:val="center"/>
              <w:rPr>
                <w:rFonts w:eastAsia="Times New Roman" w:cs="Times New Roman"/>
                <w:spacing w:val="4"/>
                <w:sz w:val="18"/>
                <w:szCs w:val="18"/>
              </w:rPr>
            </w:pPr>
            <w:r w:rsidRPr="00EC4EC4">
              <w:rPr>
                <w:rFonts w:eastAsia="Times New Roman" w:cs="Times New Roman"/>
                <w:spacing w:val="4"/>
                <w:sz w:val="18"/>
                <w:szCs w:val="18"/>
              </w:rPr>
              <w:t>Applicable ASTM material standards</w:t>
            </w:r>
          </w:p>
        </w:tc>
        <w:tc>
          <w:tcPr>
            <w:tcW w:w="623" w:type="pct"/>
            <w:vMerge/>
            <w:tcBorders>
              <w:top w:val="nil"/>
              <w:left w:val="single" w:sz="2" w:space="0" w:color="auto"/>
              <w:bottom w:val="single" w:sz="2" w:space="0" w:color="auto"/>
              <w:right w:val="single" w:sz="2" w:space="0" w:color="auto"/>
            </w:tcBorders>
            <w:vAlign w:val="center"/>
          </w:tcPr>
          <w:p w14:paraId="086440A5" w14:textId="77777777" w:rsidR="00140B7C" w:rsidRPr="00EC4EC4" w:rsidRDefault="00140B7C" w:rsidP="00BC1087">
            <w:pPr>
              <w:widowControl w:val="0"/>
              <w:kinsoku w:val="0"/>
              <w:spacing w:after="0" w:line="240" w:lineRule="auto"/>
              <w:jc w:val="center"/>
              <w:rPr>
                <w:rFonts w:eastAsia="Times New Roman" w:cs="Times New Roman"/>
                <w:spacing w:val="4"/>
                <w:sz w:val="18"/>
                <w:szCs w:val="18"/>
              </w:rPr>
            </w:pPr>
          </w:p>
        </w:tc>
      </w:tr>
      <w:tr w:rsidR="00140B7C" w:rsidRPr="00EC4EC4" w14:paraId="20688C2E" w14:textId="77777777" w:rsidTr="00BC1087">
        <w:trPr>
          <w:trHeight w:val="532"/>
          <w:jc w:val="center"/>
        </w:trPr>
        <w:tc>
          <w:tcPr>
            <w:tcW w:w="5000" w:type="pct"/>
            <w:gridSpan w:val="5"/>
            <w:tcBorders>
              <w:top w:val="single" w:sz="2" w:space="0" w:color="auto"/>
              <w:left w:val="single" w:sz="2" w:space="0" w:color="auto"/>
              <w:bottom w:val="single" w:sz="2" w:space="0" w:color="auto"/>
              <w:right w:val="single" w:sz="2" w:space="0" w:color="auto"/>
            </w:tcBorders>
            <w:vAlign w:val="center"/>
          </w:tcPr>
          <w:p w14:paraId="5EE55E89" w14:textId="77777777" w:rsidR="00140B7C" w:rsidRPr="00EC4EC4" w:rsidRDefault="00140B7C" w:rsidP="00BC1087">
            <w:pPr>
              <w:widowControl w:val="0"/>
              <w:kinsoku w:val="0"/>
              <w:spacing w:after="0" w:line="240" w:lineRule="auto"/>
              <w:ind w:left="459" w:hanging="360"/>
              <w:rPr>
                <w:rFonts w:eastAsia="Times New Roman" w:cs="Times New Roman"/>
                <w:sz w:val="18"/>
                <w:szCs w:val="18"/>
              </w:rPr>
            </w:pPr>
            <w:r w:rsidRPr="00EC4EC4">
              <w:rPr>
                <w:rFonts w:eastAsia="Times New Roman" w:cs="Times New Roman"/>
                <w:spacing w:val="2"/>
                <w:sz w:val="18"/>
                <w:szCs w:val="18"/>
              </w:rPr>
              <w:t>4.</w:t>
            </w:r>
            <w:r w:rsidRPr="00EC4EC4">
              <w:rPr>
                <w:rFonts w:eastAsia="Times New Roman" w:cs="Times New Roman"/>
                <w:spacing w:val="2"/>
                <w:sz w:val="18"/>
                <w:szCs w:val="18"/>
              </w:rPr>
              <w:tab/>
              <w:t>Material verification of weld filler materials:</w:t>
            </w:r>
          </w:p>
        </w:tc>
      </w:tr>
      <w:tr w:rsidR="00140B7C" w:rsidRPr="00EC4EC4" w14:paraId="4A7B454B" w14:textId="77777777" w:rsidTr="00BC1087">
        <w:trPr>
          <w:trHeight w:val="1072"/>
          <w:jc w:val="center"/>
        </w:trPr>
        <w:tc>
          <w:tcPr>
            <w:tcW w:w="1473" w:type="pct"/>
            <w:tcBorders>
              <w:top w:val="single" w:sz="2" w:space="0" w:color="auto"/>
              <w:left w:val="single" w:sz="2" w:space="0" w:color="auto"/>
              <w:bottom w:val="single" w:sz="2" w:space="0" w:color="auto"/>
              <w:right w:val="single" w:sz="2" w:space="0" w:color="auto"/>
            </w:tcBorders>
            <w:vAlign w:val="center"/>
          </w:tcPr>
          <w:p w14:paraId="65D69574" w14:textId="77777777" w:rsidR="00140B7C" w:rsidRPr="00EC4EC4" w:rsidRDefault="00140B7C" w:rsidP="00BC1087">
            <w:pPr>
              <w:widowControl w:val="0"/>
              <w:tabs>
                <w:tab w:val="left" w:pos="-2745"/>
                <w:tab w:val="left" w:pos="-2655"/>
              </w:tabs>
              <w:kinsoku w:val="0"/>
              <w:spacing w:after="0" w:line="240" w:lineRule="auto"/>
              <w:ind w:left="720" w:right="159" w:hanging="359"/>
              <w:rPr>
                <w:rFonts w:eastAsia="Times New Roman" w:cs="Times New Roman"/>
                <w:sz w:val="18"/>
                <w:szCs w:val="18"/>
              </w:rPr>
            </w:pPr>
            <w:r w:rsidRPr="00EC4EC4">
              <w:rPr>
                <w:rFonts w:eastAsia="Times New Roman" w:cs="Times New Roman"/>
                <w:spacing w:val="-3"/>
                <w:sz w:val="18"/>
                <w:szCs w:val="18"/>
              </w:rPr>
              <w:t>a.</w:t>
            </w:r>
            <w:r w:rsidRPr="00EC4EC4">
              <w:rPr>
                <w:rFonts w:eastAsia="Times New Roman" w:cs="Times New Roman"/>
                <w:spacing w:val="-3"/>
                <w:sz w:val="18"/>
                <w:szCs w:val="18"/>
              </w:rPr>
              <w:tab/>
              <w:t xml:space="preserve">Identification markings to conform to AWS </w:t>
            </w:r>
            <w:r w:rsidRPr="00EC4EC4">
              <w:rPr>
                <w:rFonts w:eastAsia="Times New Roman" w:cs="Times New Roman"/>
                <w:sz w:val="18"/>
                <w:szCs w:val="18"/>
              </w:rPr>
              <w:t>specification in the approved construction documents.</w:t>
            </w:r>
          </w:p>
        </w:tc>
        <w:tc>
          <w:tcPr>
            <w:tcW w:w="971" w:type="pct"/>
            <w:tcBorders>
              <w:top w:val="single" w:sz="2" w:space="0" w:color="auto"/>
              <w:left w:val="single" w:sz="2" w:space="0" w:color="auto"/>
              <w:bottom w:val="single" w:sz="2" w:space="0" w:color="auto"/>
              <w:right w:val="single" w:sz="2" w:space="0" w:color="auto"/>
            </w:tcBorders>
            <w:vAlign w:val="center"/>
          </w:tcPr>
          <w:p w14:paraId="74306DB0" w14:textId="77777777" w:rsidR="00140B7C" w:rsidRPr="00EC4EC4" w:rsidRDefault="00140B7C" w:rsidP="00BC1087">
            <w:pPr>
              <w:widowControl w:val="0"/>
              <w:kinsoku w:val="0"/>
              <w:spacing w:before="360"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2" w:space="0" w:color="auto"/>
              <w:left w:val="single" w:sz="2" w:space="0" w:color="auto"/>
              <w:bottom w:val="single" w:sz="2" w:space="0" w:color="auto"/>
              <w:right w:val="single" w:sz="2" w:space="0" w:color="auto"/>
            </w:tcBorders>
            <w:vAlign w:val="center"/>
          </w:tcPr>
          <w:p w14:paraId="00ECDE05" w14:textId="77777777" w:rsidR="00140B7C" w:rsidRPr="00EC4EC4" w:rsidRDefault="00140B7C" w:rsidP="00BC1087">
            <w:pPr>
              <w:widowControl w:val="0"/>
              <w:kinsoku w:val="0"/>
              <w:spacing w:before="360"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tcBorders>
              <w:top w:val="single" w:sz="2" w:space="0" w:color="auto"/>
              <w:left w:val="single" w:sz="2" w:space="0" w:color="auto"/>
              <w:bottom w:val="single" w:sz="2" w:space="0" w:color="auto"/>
              <w:right w:val="single" w:sz="2" w:space="0" w:color="auto"/>
            </w:tcBorders>
            <w:vAlign w:val="center"/>
          </w:tcPr>
          <w:p w14:paraId="1A0E1AA5" w14:textId="77777777" w:rsidR="00140B7C" w:rsidRPr="00EC4EC4" w:rsidRDefault="00140B7C" w:rsidP="00BC1087">
            <w:pPr>
              <w:widowControl w:val="0"/>
              <w:kinsoku w:val="0"/>
              <w:spacing w:after="0" w:line="195" w:lineRule="exact"/>
              <w:jc w:val="center"/>
              <w:rPr>
                <w:rFonts w:eastAsia="Times New Roman" w:cs="Times New Roman"/>
                <w:spacing w:val="4"/>
                <w:sz w:val="18"/>
                <w:szCs w:val="18"/>
              </w:rPr>
            </w:pPr>
            <w:r w:rsidRPr="00EC4EC4">
              <w:rPr>
                <w:rFonts w:eastAsia="Times New Roman" w:cs="Times New Roman"/>
                <w:spacing w:val="4"/>
                <w:sz w:val="18"/>
                <w:szCs w:val="18"/>
              </w:rPr>
              <w:t>AISC 360 Section A3.5 and N3.2(e), and applicable AWS A5 documents; and AWS D1.1 5.3.1 and approved contract documents</w:t>
            </w:r>
          </w:p>
        </w:tc>
        <w:tc>
          <w:tcPr>
            <w:tcW w:w="623" w:type="pct"/>
            <w:tcBorders>
              <w:top w:val="single" w:sz="2" w:space="0" w:color="auto"/>
              <w:left w:val="single" w:sz="2" w:space="0" w:color="auto"/>
              <w:bottom w:val="single" w:sz="2" w:space="0" w:color="auto"/>
              <w:right w:val="single" w:sz="2" w:space="0" w:color="auto"/>
            </w:tcBorders>
            <w:vAlign w:val="center"/>
          </w:tcPr>
          <w:p w14:paraId="2A20E198" w14:textId="77777777" w:rsidR="00140B7C" w:rsidRPr="00EC4EC4" w:rsidRDefault="00140B7C" w:rsidP="00BC1087">
            <w:pPr>
              <w:widowControl w:val="0"/>
              <w:kinsoku w:val="0"/>
              <w:spacing w:before="360" w:after="0" w:line="240" w:lineRule="auto"/>
              <w:jc w:val="center"/>
              <w:rPr>
                <w:rFonts w:eastAsia="Times New Roman" w:cs="Times New Roman"/>
                <w:sz w:val="18"/>
                <w:szCs w:val="18"/>
              </w:rPr>
            </w:pPr>
            <w:r w:rsidRPr="00EC4EC4">
              <w:rPr>
                <w:rFonts w:eastAsia="Times New Roman" w:cs="Times New Roman"/>
                <w:sz w:val="18"/>
                <w:szCs w:val="18"/>
              </w:rPr>
              <w:t>—</w:t>
            </w:r>
          </w:p>
        </w:tc>
      </w:tr>
      <w:tr w:rsidR="00140B7C" w:rsidRPr="00EC4EC4" w14:paraId="0B5AF36D" w14:textId="77777777" w:rsidTr="00BC1087">
        <w:trPr>
          <w:trHeight w:val="730"/>
          <w:jc w:val="center"/>
        </w:trPr>
        <w:tc>
          <w:tcPr>
            <w:tcW w:w="1473" w:type="pct"/>
            <w:tcBorders>
              <w:top w:val="single" w:sz="2" w:space="0" w:color="auto"/>
              <w:left w:val="single" w:sz="2" w:space="0" w:color="auto"/>
              <w:bottom w:val="single" w:sz="2" w:space="0" w:color="auto"/>
              <w:right w:val="single" w:sz="2" w:space="0" w:color="auto"/>
            </w:tcBorders>
            <w:vAlign w:val="center"/>
          </w:tcPr>
          <w:p w14:paraId="761E31DC" w14:textId="77777777" w:rsidR="00140B7C" w:rsidRPr="00EC4EC4" w:rsidRDefault="00140B7C" w:rsidP="00BC1087">
            <w:pPr>
              <w:widowControl w:val="0"/>
              <w:kinsoku w:val="0"/>
              <w:spacing w:after="0" w:line="240" w:lineRule="auto"/>
              <w:ind w:left="720" w:right="828" w:hanging="359"/>
              <w:rPr>
                <w:rFonts w:eastAsia="Times New Roman" w:cs="Times New Roman"/>
                <w:sz w:val="18"/>
                <w:szCs w:val="18"/>
              </w:rPr>
            </w:pPr>
            <w:r w:rsidRPr="00EC4EC4">
              <w:rPr>
                <w:rFonts w:eastAsia="Times New Roman" w:cs="Times New Roman"/>
                <w:spacing w:val="-5"/>
                <w:sz w:val="18"/>
                <w:szCs w:val="18"/>
              </w:rPr>
              <w:t>b.</w:t>
            </w:r>
            <w:r w:rsidRPr="00EC4EC4">
              <w:rPr>
                <w:rFonts w:eastAsia="Times New Roman" w:cs="Times New Roman"/>
                <w:spacing w:val="-5"/>
                <w:sz w:val="18"/>
                <w:szCs w:val="18"/>
              </w:rPr>
              <w:tab/>
              <w:t xml:space="preserve">Manufacturer’s certificate of compliance </w:t>
            </w:r>
            <w:r w:rsidRPr="00EC4EC4">
              <w:rPr>
                <w:rFonts w:eastAsia="Times New Roman" w:cs="Times New Roman"/>
                <w:sz w:val="18"/>
                <w:szCs w:val="18"/>
              </w:rPr>
              <w:t>required.</w:t>
            </w:r>
          </w:p>
        </w:tc>
        <w:tc>
          <w:tcPr>
            <w:tcW w:w="971" w:type="pct"/>
            <w:tcBorders>
              <w:top w:val="single" w:sz="2" w:space="0" w:color="auto"/>
              <w:left w:val="single" w:sz="2" w:space="0" w:color="auto"/>
              <w:bottom w:val="single" w:sz="2" w:space="0" w:color="auto"/>
              <w:right w:val="single" w:sz="2" w:space="0" w:color="auto"/>
            </w:tcBorders>
            <w:vAlign w:val="center"/>
          </w:tcPr>
          <w:p w14:paraId="7F6BC4BF" w14:textId="77777777" w:rsidR="00140B7C" w:rsidRPr="00EC4EC4" w:rsidRDefault="00140B7C" w:rsidP="00BC1087">
            <w:pPr>
              <w:widowControl w:val="0"/>
              <w:kinsoku w:val="0"/>
              <w:spacing w:before="288"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2" w:space="0" w:color="auto"/>
              <w:left w:val="single" w:sz="2" w:space="0" w:color="auto"/>
              <w:bottom w:val="single" w:sz="2" w:space="0" w:color="auto"/>
              <w:right w:val="single" w:sz="2" w:space="0" w:color="auto"/>
            </w:tcBorders>
            <w:vAlign w:val="center"/>
          </w:tcPr>
          <w:p w14:paraId="6467CF17" w14:textId="77777777" w:rsidR="00140B7C" w:rsidRPr="00EC4EC4" w:rsidRDefault="00140B7C" w:rsidP="00BC1087">
            <w:pPr>
              <w:widowControl w:val="0"/>
              <w:kinsoku w:val="0"/>
              <w:spacing w:before="288"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tcBorders>
              <w:top w:val="single" w:sz="2" w:space="0" w:color="auto"/>
              <w:left w:val="single" w:sz="2" w:space="0" w:color="auto"/>
              <w:bottom w:val="single" w:sz="2" w:space="0" w:color="auto"/>
              <w:right w:val="single" w:sz="2" w:space="0" w:color="auto"/>
            </w:tcBorders>
            <w:vAlign w:val="center"/>
          </w:tcPr>
          <w:p w14:paraId="7D80A15C"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AISC 360 Section A3.5</w:t>
            </w:r>
          </w:p>
        </w:tc>
        <w:tc>
          <w:tcPr>
            <w:tcW w:w="623" w:type="pct"/>
            <w:tcBorders>
              <w:top w:val="single" w:sz="2" w:space="0" w:color="auto"/>
              <w:left w:val="single" w:sz="2" w:space="0" w:color="auto"/>
              <w:bottom w:val="single" w:sz="2" w:space="0" w:color="auto"/>
              <w:right w:val="single" w:sz="2" w:space="0" w:color="auto"/>
            </w:tcBorders>
            <w:vAlign w:val="center"/>
          </w:tcPr>
          <w:p w14:paraId="4ABB37DD"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r>
      <w:tr w:rsidR="00140B7C" w:rsidRPr="00EC4EC4" w14:paraId="23B5B890" w14:textId="77777777" w:rsidTr="00BC1087">
        <w:trPr>
          <w:trHeight w:val="352"/>
          <w:jc w:val="center"/>
        </w:trPr>
        <w:tc>
          <w:tcPr>
            <w:tcW w:w="5000" w:type="pct"/>
            <w:gridSpan w:val="5"/>
            <w:tcBorders>
              <w:top w:val="single" w:sz="2" w:space="0" w:color="auto"/>
              <w:left w:val="single" w:sz="2" w:space="0" w:color="auto"/>
              <w:bottom w:val="single" w:sz="4" w:space="0" w:color="auto"/>
              <w:right w:val="single" w:sz="2" w:space="0" w:color="auto"/>
            </w:tcBorders>
            <w:vAlign w:val="center"/>
          </w:tcPr>
          <w:p w14:paraId="3B3963C8" w14:textId="77777777" w:rsidR="00140B7C" w:rsidRPr="00EC4EC4" w:rsidRDefault="00140B7C" w:rsidP="00BC1087">
            <w:pPr>
              <w:widowControl w:val="0"/>
              <w:kinsoku w:val="0"/>
              <w:spacing w:after="0" w:line="240" w:lineRule="auto"/>
              <w:ind w:left="459" w:hanging="360"/>
              <w:rPr>
                <w:rFonts w:eastAsia="Times New Roman" w:cs="Times New Roman"/>
                <w:sz w:val="18"/>
                <w:szCs w:val="18"/>
              </w:rPr>
            </w:pPr>
            <w:r w:rsidRPr="00EC4EC4">
              <w:rPr>
                <w:rFonts w:eastAsia="Times New Roman" w:cs="Times New Roman"/>
                <w:sz w:val="18"/>
                <w:szCs w:val="18"/>
              </w:rPr>
              <w:t>5.</w:t>
            </w:r>
            <w:r w:rsidRPr="00EC4EC4">
              <w:rPr>
                <w:rFonts w:eastAsia="Times New Roman" w:cs="Times New Roman"/>
                <w:sz w:val="18"/>
                <w:szCs w:val="18"/>
              </w:rPr>
              <w:tab/>
              <w:t>Inspection of welding:</w:t>
            </w:r>
          </w:p>
        </w:tc>
      </w:tr>
      <w:tr w:rsidR="00140B7C" w:rsidRPr="00EC4EC4" w14:paraId="16F442BE" w14:textId="77777777" w:rsidTr="00BC1087">
        <w:trPr>
          <w:cantSplit/>
          <w:trHeight w:val="437"/>
          <w:jc w:val="center"/>
        </w:trPr>
        <w:tc>
          <w:tcPr>
            <w:tcW w:w="1473" w:type="pct"/>
            <w:tcBorders>
              <w:top w:val="single" w:sz="4" w:space="0" w:color="auto"/>
              <w:left w:val="single" w:sz="4" w:space="0" w:color="auto"/>
              <w:bottom w:val="single" w:sz="4" w:space="0" w:color="auto"/>
              <w:right w:val="single" w:sz="4" w:space="0" w:color="auto"/>
            </w:tcBorders>
            <w:vAlign w:val="center"/>
          </w:tcPr>
          <w:p w14:paraId="0D763C0A" w14:textId="77777777" w:rsidR="00140B7C" w:rsidRPr="00EC4EC4" w:rsidRDefault="00140B7C" w:rsidP="00BC1087">
            <w:pPr>
              <w:widowControl w:val="0"/>
              <w:kinsoku w:val="0"/>
              <w:spacing w:after="0" w:line="240" w:lineRule="auto"/>
              <w:ind w:left="721" w:right="540" w:hanging="360"/>
              <w:rPr>
                <w:rFonts w:eastAsia="Times New Roman" w:cs="Times New Roman"/>
                <w:spacing w:val="-2"/>
                <w:sz w:val="18"/>
                <w:szCs w:val="18"/>
              </w:rPr>
            </w:pPr>
            <w:r w:rsidRPr="00EC4EC4">
              <w:rPr>
                <w:rFonts w:eastAsia="Times New Roman" w:cs="Times New Roman"/>
                <w:spacing w:val="4"/>
                <w:sz w:val="18"/>
                <w:szCs w:val="18"/>
              </w:rPr>
              <w:t>a.</w:t>
            </w:r>
            <w:r w:rsidRPr="00EC4EC4">
              <w:rPr>
                <w:rFonts w:eastAsia="Times New Roman" w:cs="Times New Roman"/>
                <w:spacing w:val="4"/>
                <w:sz w:val="18"/>
                <w:szCs w:val="18"/>
              </w:rPr>
              <w:tab/>
              <w:t>Structural steel:</w:t>
            </w:r>
          </w:p>
        </w:tc>
        <w:tc>
          <w:tcPr>
            <w:tcW w:w="971" w:type="pct"/>
            <w:tcBorders>
              <w:top w:val="single" w:sz="4" w:space="0" w:color="auto"/>
              <w:left w:val="single" w:sz="4" w:space="0" w:color="auto"/>
              <w:bottom w:val="single" w:sz="4" w:space="0" w:color="auto"/>
              <w:right w:val="single" w:sz="4" w:space="0" w:color="auto"/>
            </w:tcBorders>
            <w:vAlign w:val="center"/>
          </w:tcPr>
          <w:p w14:paraId="0BEA094D" w14:textId="77777777" w:rsidR="00140B7C" w:rsidRPr="00EC4EC4" w:rsidRDefault="00140B7C" w:rsidP="00BC1087">
            <w:pPr>
              <w:widowControl w:val="0"/>
              <w:kinsoku w:val="0"/>
              <w:spacing w:before="288"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2C739542" w14:textId="77777777" w:rsidR="00140B7C" w:rsidRPr="00EC4EC4" w:rsidRDefault="00140B7C" w:rsidP="00BC1087">
            <w:pPr>
              <w:widowControl w:val="0"/>
              <w:kinsoku w:val="0"/>
              <w:spacing w:before="288"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tcBorders>
              <w:top w:val="single" w:sz="4" w:space="0" w:color="auto"/>
              <w:left w:val="single" w:sz="4" w:space="0" w:color="auto"/>
              <w:bottom w:val="single" w:sz="4" w:space="0" w:color="auto"/>
              <w:right w:val="single" w:sz="4" w:space="0" w:color="auto"/>
            </w:tcBorders>
            <w:vAlign w:val="center"/>
          </w:tcPr>
          <w:p w14:paraId="6931C6FC"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23" w:type="pct"/>
            <w:tcBorders>
              <w:top w:val="single" w:sz="4" w:space="0" w:color="auto"/>
              <w:left w:val="single" w:sz="4" w:space="0" w:color="auto"/>
              <w:bottom w:val="single" w:sz="4" w:space="0" w:color="auto"/>
              <w:right w:val="single" w:sz="4" w:space="0" w:color="auto"/>
            </w:tcBorders>
            <w:vAlign w:val="center"/>
          </w:tcPr>
          <w:p w14:paraId="35ABB2B9"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r>
      <w:tr w:rsidR="00140B7C" w:rsidRPr="00EC4EC4" w14:paraId="2CAEAA07" w14:textId="77777777" w:rsidTr="00BC1087">
        <w:trPr>
          <w:cantSplit/>
          <w:trHeight w:val="653"/>
          <w:jc w:val="center"/>
        </w:trPr>
        <w:tc>
          <w:tcPr>
            <w:tcW w:w="1473" w:type="pct"/>
            <w:tcBorders>
              <w:top w:val="single" w:sz="4" w:space="0" w:color="auto"/>
              <w:left w:val="single" w:sz="4" w:space="0" w:color="auto"/>
              <w:bottom w:val="single" w:sz="4" w:space="0" w:color="auto"/>
              <w:right w:val="single" w:sz="4" w:space="0" w:color="auto"/>
            </w:tcBorders>
            <w:vAlign w:val="center"/>
          </w:tcPr>
          <w:p w14:paraId="33B13D34" w14:textId="77777777" w:rsidR="00140B7C" w:rsidRPr="00EC4EC4" w:rsidRDefault="00140B7C" w:rsidP="00BC1087">
            <w:pPr>
              <w:widowControl w:val="0"/>
              <w:kinsoku w:val="0"/>
              <w:spacing w:after="0" w:line="240" w:lineRule="auto"/>
              <w:ind w:left="1081" w:right="540" w:hanging="360"/>
              <w:rPr>
                <w:rFonts w:eastAsia="Times New Roman" w:cs="Times New Roman"/>
                <w:sz w:val="18"/>
                <w:szCs w:val="18"/>
              </w:rPr>
            </w:pPr>
            <w:r w:rsidRPr="00EC4EC4">
              <w:rPr>
                <w:rFonts w:eastAsia="Times New Roman" w:cs="Times New Roman"/>
                <w:spacing w:val="-2"/>
                <w:sz w:val="18"/>
                <w:szCs w:val="18"/>
              </w:rPr>
              <w:t>1)</w:t>
            </w:r>
            <w:r w:rsidRPr="00EC4EC4">
              <w:rPr>
                <w:rFonts w:eastAsia="Times New Roman" w:cs="Times New Roman"/>
                <w:spacing w:val="-2"/>
                <w:sz w:val="18"/>
                <w:szCs w:val="18"/>
              </w:rPr>
              <w:tab/>
              <w:t xml:space="preserve">Complete and partial penetration groove </w:t>
            </w:r>
            <w:r w:rsidRPr="00EC4EC4">
              <w:rPr>
                <w:rFonts w:eastAsia="Times New Roman" w:cs="Times New Roman"/>
                <w:sz w:val="18"/>
                <w:szCs w:val="18"/>
              </w:rPr>
              <w:t>welds.</w:t>
            </w:r>
          </w:p>
        </w:tc>
        <w:tc>
          <w:tcPr>
            <w:tcW w:w="971" w:type="pct"/>
            <w:tcBorders>
              <w:top w:val="single" w:sz="4" w:space="0" w:color="auto"/>
              <w:left w:val="single" w:sz="4" w:space="0" w:color="auto"/>
              <w:bottom w:val="single" w:sz="4" w:space="0" w:color="auto"/>
              <w:right w:val="single" w:sz="4" w:space="0" w:color="auto"/>
            </w:tcBorders>
            <w:vAlign w:val="center"/>
          </w:tcPr>
          <w:p w14:paraId="3185C6FD"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9" w:type="pct"/>
            <w:tcBorders>
              <w:top w:val="single" w:sz="4" w:space="0" w:color="auto"/>
              <w:left w:val="single" w:sz="4" w:space="0" w:color="auto"/>
              <w:bottom w:val="single" w:sz="4" w:space="0" w:color="auto"/>
              <w:right w:val="single" w:sz="4" w:space="0" w:color="auto"/>
            </w:tcBorders>
            <w:vAlign w:val="center"/>
          </w:tcPr>
          <w:p w14:paraId="742F9C3E"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vMerge w:val="restart"/>
            <w:tcBorders>
              <w:top w:val="single" w:sz="4" w:space="0" w:color="auto"/>
              <w:left w:val="single" w:sz="4" w:space="0" w:color="auto"/>
              <w:bottom w:val="single" w:sz="4" w:space="0" w:color="auto"/>
              <w:right w:val="single" w:sz="4" w:space="0" w:color="auto"/>
            </w:tcBorders>
            <w:vAlign w:val="center"/>
          </w:tcPr>
          <w:p w14:paraId="6189E989"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AWS D1.1</w:t>
            </w:r>
          </w:p>
        </w:tc>
        <w:tc>
          <w:tcPr>
            <w:tcW w:w="623" w:type="pct"/>
            <w:vMerge w:val="restart"/>
            <w:tcBorders>
              <w:top w:val="single" w:sz="4" w:space="0" w:color="auto"/>
              <w:left w:val="single" w:sz="4" w:space="0" w:color="auto"/>
              <w:bottom w:val="single" w:sz="4" w:space="0" w:color="auto"/>
              <w:right w:val="single" w:sz="4" w:space="0" w:color="auto"/>
            </w:tcBorders>
            <w:vAlign w:val="center"/>
          </w:tcPr>
          <w:p w14:paraId="02D12615"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1705.2.1</w:t>
            </w:r>
          </w:p>
        </w:tc>
      </w:tr>
      <w:tr w:rsidR="00140B7C" w:rsidRPr="00EC4EC4" w14:paraId="78B9D62F" w14:textId="77777777" w:rsidTr="00BC1087">
        <w:trPr>
          <w:cantSplit/>
          <w:trHeight w:val="347"/>
          <w:jc w:val="center"/>
        </w:trPr>
        <w:tc>
          <w:tcPr>
            <w:tcW w:w="1473" w:type="pct"/>
            <w:tcBorders>
              <w:top w:val="single" w:sz="4" w:space="0" w:color="auto"/>
              <w:left w:val="single" w:sz="4" w:space="0" w:color="auto"/>
              <w:bottom w:val="single" w:sz="4" w:space="0" w:color="auto"/>
              <w:right w:val="single" w:sz="4" w:space="0" w:color="auto"/>
            </w:tcBorders>
            <w:vAlign w:val="center"/>
          </w:tcPr>
          <w:p w14:paraId="43BDA370" w14:textId="77777777" w:rsidR="00140B7C" w:rsidRPr="00EC4EC4" w:rsidRDefault="00140B7C" w:rsidP="00BC1087">
            <w:pPr>
              <w:widowControl w:val="0"/>
              <w:kinsoku w:val="0"/>
              <w:spacing w:after="0" w:line="240" w:lineRule="auto"/>
              <w:ind w:left="1081" w:hanging="360"/>
              <w:rPr>
                <w:rFonts w:eastAsia="Times New Roman" w:cs="Times New Roman"/>
                <w:spacing w:val="14"/>
                <w:sz w:val="18"/>
                <w:szCs w:val="18"/>
              </w:rPr>
            </w:pPr>
            <w:r w:rsidRPr="00EC4EC4">
              <w:rPr>
                <w:rFonts w:eastAsia="Times New Roman" w:cs="Times New Roman"/>
                <w:spacing w:val="-2"/>
                <w:sz w:val="18"/>
                <w:szCs w:val="18"/>
              </w:rPr>
              <w:t>2)</w:t>
            </w:r>
            <w:r w:rsidRPr="00EC4EC4">
              <w:rPr>
                <w:rFonts w:eastAsia="Times New Roman" w:cs="Times New Roman"/>
                <w:spacing w:val="-2"/>
                <w:sz w:val="18"/>
                <w:szCs w:val="18"/>
              </w:rPr>
              <w:tab/>
              <w:t>Multipass fillet welds.</w:t>
            </w:r>
          </w:p>
        </w:tc>
        <w:tc>
          <w:tcPr>
            <w:tcW w:w="971" w:type="pct"/>
            <w:tcBorders>
              <w:top w:val="single" w:sz="4" w:space="0" w:color="auto"/>
              <w:left w:val="single" w:sz="4" w:space="0" w:color="auto"/>
              <w:bottom w:val="single" w:sz="4" w:space="0" w:color="auto"/>
              <w:right w:val="single" w:sz="4" w:space="0" w:color="auto"/>
            </w:tcBorders>
            <w:vAlign w:val="center"/>
          </w:tcPr>
          <w:p w14:paraId="5D33E8CF"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9" w:type="pct"/>
            <w:tcBorders>
              <w:top w:val="single" w:sz="4" w:space="0" w:color="auto"/>
              <w:left w:val="single" w:sz="4" w:space="0" w:color="auto"/>
              <w:bottom w:val="single" w:sz="4" w:space="0" w:color="auto"/>
              <w:right w:val="single" w:sz="4" w:space="0" w:color="auto"/>
            </w:tcBorders>
            <w:vAlign w:val="center"/>
          </w:tcPr>
          <w:p w14:paraId="2B774755"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vMerge/>
            <w:tcBorders>
              <w:top w:val="single" w:sz="4" w:space="0" w:color="auto"/>
              <w:left w:val="single" w:sz="4" w:space="0" w:color="auto"/>
              <w:bottom w:val="single" w:sz="4" w:space="0" w:color="auto"/>
              <w:right w:val="single" w:sz="4" w:space="0" w:color="auto"/>
            </w:tcBorders>
            <w:vAlign w:val="center"/>
          </w:tcPr>
          <w:p w14:paraId="19F86491" w14:textId="77777777" w:rsidR="00140B7C" w:rsidRPr="00EC4EC4" w:rsidRDefault="00140B7C" w:rsidP="00BC1087">
            <w:pPr>
              <w:widowControl w:val="0"/>
              <w:kinsoku w:val="0"/>
              <w:spacing w:before="180" w:after="0" w:line="240" w:lineRule="auto"/>
              <w:jc w:val="center"/>
              <w:rPr>
                <w:rFonts w:eastAsia="Times New Roman" w:cs="Times New Roman"/>
                <w:sz w:val="18"/>
                <w:szCs w:val="18"/>
              </w:rPr>
            </w:pPr>
          </w:p>
        </w:tc>
        <w:tc>
          <w:tcPr>
            <w:tcW w:w="623" w:type="pct"/>
            <w:vMerge/>
            <w:tcBorders>
              <w:top w:val="single" w:sz="4" w:space="0" w:color="auto"/>
              <w:left w:val="single" w:sz="4" w:space="0" w:color="auto"/>
              <w:bottom w:val="single" w:sz="4" w:space="0" w:color="auto"/>
              <w:right w:val="single" w:sz="4" w:space="0" w:color="auto"/>
            </w:tcBorders>
            <w:vAlign w:val="center"/>
          </w:tcPr>
          <w:p w14:paraId="6936DC99" w14:textId="77777777" w:rsidR="00140B7C" w:rsidRPr="00EC4EC4" w:rsidRDefault="00140B7C" w:rsidP="00BC1087">
            <w:pPr>
              <w:widowControl w:val="0"/>
              <w:kinsoku w:val="0"/>
              <w:spacing w:before="180" w:after="0" w:line="240" w:lineRule="auto"/>
              <w:jc w:val="center"/>
              <w:rPr>
                <w:rFonts w:eastAsia="Times New Roman" w:cs="Times New Roman"/>
                <w:sz w:val="18"/>
                <w:szCs w:val="18"/>
              </w:rPr>
            </w:pPr>
          </w:p>
        </w:tc>
      </w:tr>
      <w:tr w:rsidR="00140B7C" w:rsidRPr="00EC4EC4" w14:paraId="41B74433" w14:textId="77777777" w:rsidTr="00BC1087">
        <w:trPr>
          <w:cantSplit/>
          <w:trHeight w:val="536"/>
          <w:jc w:val="center"/>
        </w:trPr>
        <w:tc>
          <w:tcPr>
            <w:tcW w:w="1473" w:type="pct"/>
            <w:tcBorders>
              <w:top w:val="single" w:sz="4" w:space="0" w:color="auto"/>
              <w:left w:val="single" w:sz="4" w:space="0" w:color="auto"/>
              <w:bottom w:val="single" w:sz="4" w:space="0" w:color="auto"/>
              <w:right w:val="single" w:sz="4" w:space="0" w:color="auto"/>
            </w:tcBorders>
            <w:vAlign w:val="center"/>
          </w:tcPr>
          <w:p w14:paraId="0C5ACBE7" w14:textId="77777777" w:rsidR="00140B7C" w:rsidRPr="00EC4EC4" w:rsidRDefault="00140B7C" w:rsidP="00BC1087">
            <w:pPr>
              <w:widowControl w:val="0"/>
              <w:kinsoku w:val="0"/>
              <w:spacing w:after="0" w:line="240" w:lineRule="auto"/>
              <w:ind w:left="1081" w:hanging="360"/>
              <w:rPr>
                <w:rFonts w:eastAsia="Times New Roman" w:cs="Times New Roman"/>
                <w:spacing w:val="16"/>
                <w:sz w:val="18"/>
                <w:szCs w:val="18"/>
              </w:rPr>
            </w:pPr>
            <w:r w:rsidRPr="00EC4EC4">
              <w:rPr>
                <w:rFonts w:eastAsia="Times New Roman" w:cs="Times New Roman"/>
                <w:spacing w:val="-2"/>
                <w:sz w:val="18"/>
                <w:szCs w:val="18"/>
              </w:rPr>
              <w:t>3)</w:t>
            </w:r>
            <w:r w:rsidRPr="00EC4EC4">
              <w:rPr>
                <w:rFonts w:eastAsia="Times New Roman" w:cs="Times New Roman"/>
                <w:spacing w:val="-2"/>
                <w:sz w:val="18"/>
                <w:szCs w:val="18"/>
              </w:rPr>
              <w:tab/>
              <w:t xml:space="preserve">Single-pass fillet welds &gt; </w:t>
            </w:r>
            <w:r w:rsidRPr="00EC4EC4">
              <w:rPr>
                <w:rFonts w:eastAsia="Times New Roman" w:cs="Times New Roman"/>
                <w:spacing w:val="-2"/>
                <w:sz w:val="18"/>
                <w:szCs w:val="18"/>
                <w:vertAlign w:val="superscript"/>
              </w:rPr>
              <w:t>5</w:t>
            </w:r>
            <w:r w:rsidRPr="00EC4EC4">
              <w:rPr>
                <w:rFonts w:eastAsia="Times New Roman" w:cs="Times New Roman"/>
                <w:spacing w:val="-2"/>
                <w:sz w:val="18"/>
                <w:szCs w:val="18"/>
              </w:rPr>
              <w:t>/</w:t>
            </w:r>
            <w:r w:rsidRPr="00EC4EC4">
              <w:rPr>
                <w:rFonts w:eastAsia="Times New Roman" w:cs="Times New Roman"/>
                <w:spacing w:val="-2"/>
                <w:sz w:val="18"/>
                <w:szCs w:val="18"/>
                <w:vertAlign w:val="subscript"/>
              </w:rPr>
              <w:t>16</w:t>
            </w:r>
            <w:r w:rsidRPr="00EC4EC4">
              <w:rPr>
                <w:rFonts w:eastAsia="Times New Roman" w:cs="Times New Roman"/>
                <w:spacing w:val="-2"/>
                <w:sz w:val="18"/>
                <w:szCs w:val="18"/>
              </w:rPr>
              <w:t>″.</w:t>
            </w:r>
          </w:p>
        </w:tc>
        <w:tc>
          <w:tcPr>
            <w:tcW w:w="971" w:type="pct"/>
            <w:tcBorders>
              <w:top w:val="single" w:sz="4" w:space="0" w:color="auto"/>
              <w:left w:val="single" w:sz="4" w:space="0" w:color="auto"/>
              <w:bottom w:val="single" w:sz="4" w:space="0" w:color="auto"/>
              <w:right w:val="single" w:sz="4" w:space="0" w:color="auto"/>
            </w:tcBorders>
            <w:vAlign w:val="center"/>
          </w:tcPr>
          <w:p w14:paraId="124D1617"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9" w:type="pct"/>
            <w:tcBorders>
              <w:top w:val="single" w:sz="4" w:space="0" w:color="auto"/>
              <w:left w:val="single" w:sz="4" w:space="0" w:color="auto"/>
              <w:bottom w:val="single" w:sz="4" w:space="0" w:color="auto"/>
              <w:right w:val="single" w:sz="4" w:space="0" w:color="auto"/>
            </w:tcBorders>
            <w:vAlign w:val="center"/>
          </w:tcPr>
          <w:p w14:paraId="32553A89"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vMerge/>
            <w:tcBorders>
              <w:top w:val="single" w:sz="4" w:space="0" w:color="auto"/>
              <w:left w:val="single" w:sz="4" w:space="0" w:color="auto"/>
              <w:bottom w:val="single" w:sz="4" w:space="0" w:color="auto"/>
              <w:right w:val="single" w:sz="4" w:space="0" w:color="auto"/>
            </w:tcBorders>
            <w:vAlign w:val="center"/>
          </w:tcPr>
          <w:p w14:paraId="0AB36CDE" w14:textId="77777777" w:rsidR="00140B7C" w:rsidRPr="00EC4EC4" w:rsidRDefault="00140B7C" w:rsidP="00BC1087">
            <w:pPr>
              <w:widowControl w:val="0"/>
              <w:kinsoku w:val="0"/>
              <w:spacing w:before="180" w:after="0" w:line="240" w:lineRule="auto"/>
              <w:jc w:val="center"/>
              <w:rPr>
                <w:rFonts w:eastAsia="Times New Roman" w:cs="Times New Roman"/>
                <w:sz w:val="18"/>
                <w:szCs w:val="18"/>
              </w:rPr>
            </w:pPr>
          </w:p>
        </w:tc>
        <w:tc>
          <w:tcPr>
            <w:tcW w:w="623" w:type="pct"/>
            <w:vMerge/>
            <w:tcBorders>
              <w:top w:val="single" w:sz="4" w:space="0" w:color="auto"/>
              <w:left w:val="single" w:sz="4" w:space="0" w:color="auto"/>
              <w:bottom w:val="single" w:sz="4" w:space="0" w:color="auto"/>
              <w:right w:val="single" w:sz="4" w:space="0" w:color="auto"/>
            </w:tcBorders>
            <w:vAlign w:val="center"/>
          </w:tcPr>
          <w:p w14:paraId="206444FC" w14:textId="77777777" w:rsidR="00140B7C" w:rsidRPr="00EC4EC4" w:rsidRDefault="00140B7C" w:rsidP="00BC1087">
            <w:pPr>
              <w:widowControl w:val="0"/>
              <w:kinsoku w:val="0"/>
              <w:spacing w:before="180" w:after="0" w:line="240" w:lineRule="auto"/>
              <w:jc w:val="center"/>
              <w:rPr>
                <w:rFonts w:eastAsia="Times New Roman" w:cs="Times New Roman"/>
                <w:sz w:val="18"/>
                <w:szCs w:val="18"/>
              </w:rPr>
            </w:pPr>
          </w:p>
        </w:tc>
      </w:tr>
      <w:tr w:rsidR="00140B7C" w:rsidRPr="00EC4EC4" w14:paraId="17054FBB" w14:textId="77777777" w:rsidTr="00BC1087">
        <w:trPr>
          <w:cantSplit/>
          <w:trHeight w:val="347"/>
          <w:jc w:val="center"/>
        </w:trPr>
        <w:tc>
          <w:tcPr>
            <w:tcW w:w="1473" w:type="pct"/>
            <w:tcBorders>
              <w:top w:val="single" w:sz="4" w:space="0" w:color="auto"/>
              <w:left w:val="single" w:sz="4" w:space="0" w:color="auto"/>
              <w:bottom w:val="single" w:sz="4" w:space="0" w:color="auto"/>
              <w:right w:val="single" w:sz="4" w:space="0" w:color="auto"/>
            </w:tcBorders>
            <w:vAlign w:val="center"/>
          </w:tcPr>
          <w:p w14:paraId="2EC02B66" w14:textId="77777777" w:rsidR="00140B7C" w:rsidRPr="00EC4EC4" w:rsidRDefault="00140B7C" w:rsidP="00BC1087">
            <w:pPr>
              <w:widowControl w:val="0"/>
              <w:kinsoku w:val="0"/>
              <w:spacing w:after="0" w:line="240" w:lineRule="auto"/>
              <w:ind w:left="1081" w:hanging="360"/>
              <w:rPr>
                <w:rFonts w:eastAsia="Times New Roman" w:cs="Times New Roman"/>
                <w:spacing w:val="16"/>
                <w:sz w:val="18"/>
                <w:szCs w:val="18"/>
              </w:rPr>
            </w:pPr>
            <w:r w:rsidRPr="00EC4EC4">
              <w:rPr>
                <w:rFonts w:eastAsia="Times New Roman" w:cs="Times New Roman"/>
                <w:spacing w:val="-2"/>
                <w:sz w:val="18"/>
                <w:szCs w:val="18"/>
              </w:rPr>
              <w:t>4)</w:t>
            </w:r>
            <w:r w:rsidRPr="00EC4EC4">
              <w:rPr>
                <w:rFonts w:eastAsia="Times New Roman" w:cs="Times New Roman"/>
                <w:spacing w:val="-2"/>
                <w:sz w:val="18"/>
                <w:szCs w:val="18"/>
              </w:rPr>
              <w:tab/>
              <w:t>Plug and slot welds.</w:t>
            </w:r>
          </w:p>
        </w:tc>
        <w:tc>
          <w:tcPr>
            <w:tcW w:w="971" w:type="pct"/>
            <w:tcBorders>
              <w:top w:val="single" w:sz="4" w:space="0" w:color="auto"/>
              <w:left w:val="single" w:sz="4" w:space="0" w:color="auto"/>
              <w:bottom w:val="single" w:sz="4" w:space="0" w:color="auto"/>
              <w:right w:val="single" w:sz="4" w:space="0" w:color="auto"/>
            </w:tcBorders>
            <w:vAlign w:val="center"/>
          </w:tcPr>
          <w:p w14:paraId="1D4DBDDA"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9" w:type="pct"/>
            <w:tcBorders>
              <w:top w:val="single" w:sz="4" w:space="0" w:color="auto"/>
              <w:left w:val="single" w:sz="4" w:space="0" w:color="auto"/>
              <w:bottom w:val="single" w:sz="4" w:space="0" w:color="auto"/>
              <w:right w:val="single" w:sz="4" w:space="0" w:color="auto"/>
            </w:tcBorders>
            <w:vAlign w:val="center"/>
          </w:tcPr>
          <w:p w14:paraId="4A7906D9"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vMerge/>
            <w:tcBorders>
              <w:top w:val="single" w:sz="4" w:space="0" w:color="auto"/>
              <w:left w:val="single" w:sz="4" w:space="0" w:color="auto"/>
              <w:bottom w:val="single" w:sz="4" w:space="0" w:color="auto"/>
              <w:right w:val="single" w:sz="4" w:space="0" w:color="auto"/>
            </w:tcBorders>
            <w:vAlign w:val="center"/>
          </w:tcPr>
          <w:p w14:paraId="20088495" w14:textId="77777777" w:rsidR="00140B7C" w:rsidRPr="00EC4EC4" w:rsidRDefault="00140B7C" w:rsidP="00BC1087">
            <w:pPr>
              <w:widowControl w:val="0"/>
              <w:kinsoku w:val="0"/>
              <w:spacing w:before="180" w:after="0" w:line="240" w:lineRule="auto"/>
              <w:jc w:val="center"/>
              <w:rPr>
                <w:rFonts w:eastAsia="Times New Roman" w:cs="Times New Roman"/>
                <w:sz w:val="18"/>
                <w:szCs w:val="18"/>
              </w:rPr>
            </w:pPr>
          </w:p>
        </w:tc>
        <w:tc>
          <w:tcPr>
            <w:tcW w:w="623" w:type="pct"/>
            <w:vMerge/>
            <w:tcBorders>
              <w:top w:val="single" w:sz="4" w:space="0" w:color="auto"/>
              <w:left w:val="single" w:sz="4" w:space="0" w:color="auto"/>
              <w:bottom w:val="single" w:sz="4" w:space="0" w:color="auto"/>
              <w:right w:val="single" w:sz="4" w:space="0" w:color="auto"/>
            </w:tcBorders>
            <w:vAlign w:val="center"/>
          </w:tcPr>
          <w:p w14:paraId="01D30221" w14:textId="77777777" w:rsidR="00140B7C" w:rsidRPr="00EC4EC4" w:rsidRDefault="00140B7C" w:rsidP="00BC1087">
            <w:pPr>
              <w:widowControl w:val="0"/>
              <w:kinsoku w:val="0"/>
              <w:spacing w:before="180" w:after="0" w:line="240" w:lineRule="auto"/>
              <w:jc w:val="center"/>
              <w:rPr>
                <w:rFonts w:eastAsia="Times New Roman" w:cs="Times New Roman"/>
                <w:sz w:val="18"/>
                <w:szCs w:val="18"/>
              </w:rPr>
            </w:pPr>
          </w:p>
        </w:tc>
      </w:tr>
      <w:tr w:rsidR="00140B7C" w:rsidRPr="00EC4EC4" w14:paraId="1FE01A9B" w14:textId="77777777" w:rsidTr="00BC1087">
        <w:trPr>
          <w:cantSplit/>
          <w:trHeight w:val="527"/>
          <w:jc w:val="center"/>
        </w:trPr>
        <w:tc>
          <w:tcPr>
            <w:tcW w:w="1473" w:type="pct"/>
            <w:tcBorders>
              <w:top w:val="single" w:sz="4" w:space="0" w:color="auto"/>
              <w:left w:val="single" w:sz="4" w:space="0" w:color="auto"/>
              <w:bottom w:val="single" w:sz="4" w:space="0" w:color="auto"/>
              <w:right w:val="single" w:sz="4" w:space="0" w:color="auto"/>
            </w:tcBorders>
            <w:vAlign w:val="center"/>
          </w:tcPr>
          <w:p w14:paraId="41D08510" w14:textId="77777777" w:rsidR="00140B7C" w:rsidRPr="00EC4EC4" w:rsidRDefault="00140B7C" w:rsidP="00BC1087">
            <w:pPr>
              <w:widowControl w:val="0"/>
              <w:kinsoku w:val="0"/>
              <w:spacing w:after="0" w:line="240" w:lineRule="auto"/>
              <w:ind w:left="1081" w:hanging="360"/>
              <w:rPr>
                <w:rFonts w:eastAsia="Times New Roman" w:cs="Times New Roman"/>
                <w:spacing w:val="16"/>
                <w:sz w:val="18"/>
                <w:szCs w:val="18"/>
              </w:rPr>
            </w:pPr>
            <w:r w:rsidRPr="00EC4EC4">
              <w:rPr>
                <w:rFonts w:eastAsia="Times New Roman" w:cs="Times New Roman"/>
                <w:spacing w:val="-2"/>
                <w:sz w:val="18"/>
                <w:szCs w:val="18"/>
              </w:rPr>
              <w:t>5)</w:t>
            </w:r>
            <w:r w:rsidRPr="00EC4EC4">
              <w:rPr>
                <w:rFonts w:eastAsia="Times New Roman" w:cs="Times New Roman"/>
                <w:spacing w:val="-2"/>
                <w:sz w:val="18"/>
                <w:szCs w:val="18"/>
              </w:rPr>
              <w:tab/>
              <w:t xml:space="preserve">Single-pass fillet welds ≤ </w:t>
            </w:r>
            <w:r w:rsidRPr="00EC4EC4">
              <w:rPr>
                <w:rFonts w:eastAsia="Times New Roman" w:cs="Times New Roman"/>
                <w:spacing w:val="-2"/>
                <w:sz w:val="18"/>
                <w:szCs w:val="18"/>
                <w:vertAlign w:val="superscript"/>
              </w:rPr>
              <w:t>5</w:t>
            </w:r>
            <w:r w:rsidRPr="00EC4EC4">
              <w:rPr>
                <w:rFonts w:eastAsia="Times New Roman" w:cs="Times New Roman"/>
                <w:spacing w:val="-2"/>
                <w:sz w:val="18"/>
                <w:szCs w:val="18"/>
              </w:rPr>
              <w:t>/</w:t>
            </w:r>
            <w:r w:rsidRPr="00EC4EC4">
              <w:rPr>
                <w:rFonts w:eastAsia="Times New Roman" w:cs="Times New Roman"/>
                <w:spacing w:val="-2"/>
                <w:sz w:val="18"/>
                <w:szCs w:val="18"/>
                <w:vertAlign w:val="subscript"/>
              </w:rPr>
              <w:t>16</w:t>
            </w:r>
            <w:r w:rsidRPr="00EC4EC4">
              <w:rPr>
                <w:rFonts w:eastAsia="Times New Roman" w:cs="Times New Roman"/>
                <w:spacing w:val="-2"/>
                <w:sz w:val="18"/>
                <w:szCs w:val="18"/>
              </w:rPr>
              <w:t>″.</w:t>
            </w:r>
          </w:p>
        </w:tc>
        <w:tc>
          <w:tcPr>
            <w:tcW w:w="971" w:type="pct"/>
            <w:tcBorders>
              <w:top w:val="single" w:sz="4" w:space="0" w:color="auto"/>
              <w:left w:val="single" w:sz="4" w:space="0" w:color="auto"/>
              <w:bottom w:val="single" w:sz="4" w:space="0" w:color="auto"/>
              <w:right w:val="single" w:sz="4" w:space="0" w:color="auto"/>
            </w:tcBorders>
            <w:vAlign w:val="center"/>
          </w:tcPr>
          <w:p w14:paraId="778D9645"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0DCABEA5"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4" w:type="pct"/>
            <w:vMerge/>
            <w:tcBorders>
              <w:top w:val="single" w:sz="4" w:space="0" w:color="auto"/>
              <w:left w:val="single" w:sz="4" w:space="0" w:color="auto"/>
              <w:bottom w:val="single" w:sz="4" w:space="0" w:color="auto"/>
              <w:right w:val="single" w:sz="4" w:space="0" w:color="auto"/>
            </w:tcBorders>
            <w:vAlign w:val="center"/>
          </w:tcPr>
          <w:p w14:paraId="360070DF" w14:textId="77777777" w:rsidR="00140B7C" w:rsidRPr="00EC4EC4" w:rsidRDefault="00140B7C" w:rsidP="00BC1087">
            <w:pPr>
              <w:widowControl w:val="0"/>
              <w:kinsoku w:val="0"/>
              <w:spacing w:after="0" w:line="240" w:lineRule="auto"/>
              <w:jc w:val="center"/>
              <w:rPr>
                <w:rFonts w:eastAsia="Times New Roman" w:cs="Times New Roman"/>
                <w:sz w:val="18"/>
                <w:szCs w:val="18"/>
              </w:rPr>
            </w:pPr>
          </w:p>
        </w:tc>
        <w:tc>
          <w:tcPr>
            <w:tcW w:w="623" w:type="pct"/>
            <w:vMerge/>
            <w:tcBorders>
              <w:top w:val="single" w:sz="4" w:space="0" w:color="auto"/>
              <w:left w:val="single" w:sz="4" w:space="0" w:color="auto"/>
              <w:bottom w:val="single" w:sz="4" w:space="0" w:color="auto"/>
              <w:right w:val="single" w:sz="4" w:space="0" w:color="auto"/>
            </w:tcBorders>
            <w:vAlign w:val="center"/>
          </w:tcPr>
          <w:p w14:paraId="49F6E5F1" w14:textId="77777777" w:rsidR="00140B7C" w:rsidRPr="00EC4EC4" w:rsidRDefault="00140B7C" w:rsidP="00BC1087">
            <w:pPr>
              <w:widowControl w:val="0"/>
              <w:kinsoku w:val="0"/>
              <w:spacing w:after="0" w:line="240" w:lineRule="auto"/>
              <w:jc w:val="center"/>
              <w:rPr>
                <w:rFonts w:eastAsia="Times New Roman" w:cs="Times New Roman"/>
                <w:sz w:val="18"/>
                <w:szCs w:val="18"/>
              </w:rPr>
            </w:pPr>
          </w:p>
        </w:tc>
      </w:tr>
      <w:tr w:rsidR="00140B7C" w:rsidRPr="00EC4EC4" w14:paraId="21DE6DCC" w14:textId="77777777" w:rsidTr="00BC1087">
        <w:trPr>
          <w:trHeight w:val="356"/>
          <w:jc w:val="center"/>
        </w:trPr>
        <w:tc>
          <w:tcPr>
            <w:tcW w:w="1473" w:type="pct"/>
            <w:tcBorders>
              <w:top w:val="single" w:sz="4" w:space="0" w:color="auto"/>
              <w:left w:val="single" w:sz="4" w:space="0" w:color="auto"/>
              <w:bottom w:val="single" w:sz="4" w:space="0" w:color="auto"/>
              <w:right w:val="single" w:sz="4" w:space="0" w:color="auto"/>
            </w:tcBorders>
            <w:vAlign w:val="center"/>
          </w:tcPr>
          <w:p w14:paraId="73696DCB" w14:textId="77777777" w:rsidR="00140B7C" w:rsidRPr="00EC4EC4" w:rsidRDefault="00140B7C" w:rsidP="00BC1087">
            <w:pPr>
              <w:widowControl w:val="0"/>
              <w:kinsoku w:val="0"/>
              <w:spacing w:after="0" w:line="240" w:lineRule="auto"/>
              <w:ind w:left="1081" w:hanging="360"/>
              <w:rPr>
                <w:rFonts w:eastAsia="Times New Roman" w:cs="Times New Roman"/>
                <w:spacing w:val="12"/>
                <w:sz w:val="18"/>
                <w:szCs w:val="18"/>
              </w:rPr>
            </w:pPr>
            <w:r w:rsidRPr="00EC4EC4">
              <w:rPr>
                <w:rFonts w:eastAsia="Times New Roman" w:cs="Times New Roman"/>
                <w:spacing w:val="-2"/>
                <w:sz w:val="18"/>
                <w:szCs w:val="18"/>
              </w:rPr>
              <w:t>6)</w:t>
            </w:r>
            <w:r w:rsidRPr="00EC4EC4">
              <w:rPr>
                <w:rFonts w:eastAsia="Times New Roman" w:cs="Times New Roman"/>
                <w:spacing w:val="-2"/>
                <w:sz w:val="18"/>
                <w:szCs w:val="18"/>
              </w:rPr>
              <w:tab/>
              <w:t>Floor and roof deck welds.</w:t>
            </w:r>
          </w:p>
        </w:tc>
        <w:tc>
          <w:tcPr>
            <w:tcW w:w="971" w:type="pct"/>
            <w:tcBorders>
              <w:top w:val="single" w:sz="4" w:space="0" w:color="auto"/>
              <w:left w:val="single" w:sz="4" w:space="0" w:color="auto"/>
              <w:bottom w:val="single" w:sz="4" w:space="0" w:color="auto"/>
              <w:right w:val="single" w:sz="4" w:space="0" w:color="auto"/>
            </w:tcBorders>
            <w:vAlign w:val="center"/>
          </w:tcPr>
          <w:p w14:paraId="2EA5FB82"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30AE8052"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4" w:type="pct"/>
            <w:tcBorders>
              <w:top w:val="single" w:sz="4" w:space="0" w:color="auto"/>
              <w:left w:val="single" w:sz="4" w:space="0" w:color="auto"/>
              <w:bottom w:val="single" w:sz="4" w:space="0" w:color="auto"/>
              <w:right w:val="single" w:sz="4" w:space="0" w:color="auto"/>
            </w:tcBorders>
            <w:vAlign w:val="center"/>
          </w:tcPr>
          <w:p w14:paraId="317D9851"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AWS D1.3</w:t>
            </w:r>
          </w:p>
        </w:tc>
        <w:tc>
          <w:tcPr>
            <w:tcW w:w="623" w:type="pct"/>
            <w:tcBorders>
              <w:top w:val="single" w:sz="4" w:space="0" w:color="auto"/>
              <w:left w:val="single" w:sz="4" w:space="0" w:color="auto"/>
              <w:bottom w:val="single" w:sz="4" w:space="0" w:color="auto"/>
              <w:right w:val="single" w:sz="4" w:space="0" w:color="auto"/>
            </w:tcBorders>
            <w:vAlign w:val="center"/>
          </w:tcPr>
          <w:p w14:paraId="3A491CB0"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r>
      <w:tr w:rsidR="00140B7C" w:rsidRPr="00EC4EC4" w14:paraId="134BF936" w14:textId="77777777" w:rsidTr="00BC1087">
        <w:trPr>
          <w:trHeight w:val="347"/>
          <w:jc w:val="center"/>
        </w:trPr>
        <w:tc>
          <w:tcPr>
            <w:tcW w:w="1473" w:type="pct"/>
            <w:tcBorders>
              <w:top w:val="single" w:sz="4" w:space="0" w:color="auto"/>
              <w:left w:val="single" w:sz="4" w:space="0" w:color="auto"/>
              <w:bottom w:val="single" w:sz="4" w:space="0" w:color="auto"/>
              <w:right w:val="single" w:sz="4" w:space="0" w:color="auto"/>
            </w:tcBorders>
            <w:vAlign w:val="center"/>
          </w:tcPr>
          <w:p w14:paraId="6D26E720" w14:textId="77777777" w:rsidR="00140B7C" w:rsidRPr="00EC4EC4" w:rsidRDefault="00140B7C" w:rsidP="00BC1087">
            <w:pPr>
              <w:widowControl w:val="0"/>
              <w:kinsoku w:val="0"/>
              <w:spacing w:after="0" w:line="240" w:lineRule="auto"/>
              <w:ind w:left="1081" w:hanging="360"/>
              <w:rPr>
                <w:rFonts w:eastAsia="Times New Roman" w:cs="Times New Roman"/>
                <w:spacing w:val="12"/>
                <w:sz w:val="18"/>
                <w:szCs w:val="18"/>
              </w:rPr>
            </w:pPr>
            <w:r w:rsidRPr="00EC4EC4">
              <w:rPr>
                <w:rFonts w:eastAsia="Times New Roman" w:cs="Times New Roman"/>
                <w:spacing w:val="-2"/>
                <w:sz w:val="18"/>
                <w:szCs w:val="18"/>
              </w:rPr>
              <w:t>7)</w:t>
            </w:r>
            <w:r w:rsidRPr="00EC4EC4">
              <w:rPr>
                <w:rFonts w:eastAsia="Times New Roman" w:cs="Times New Roman"/>
                <w:spacing w:val="-2"/>
                <w:sz w:val="18"/>
                <w:szCs w:val="18"/>
              </w:rPr>
              <w:tab/>
              <w:t>Cold-formed steel welds.</w:t>
            </w:r>
          </w:p>
        </w:tc>
        <w:tc>
          <w:tcPr>
            <w:tcW w:w="971" w:type="pct"/>
            <w:tcBorders>
              <w:top w:val="single" w:sz="4" w:space="0" w:color="auto"/>
              <w:left w:val="single" w:sz="4" w:space="0" w:color="auto"/>
              <w:bottom w:val="single" w:sz="4" w:space="0" w:color="auto"/>
              <w:right w:val="single" w:sz="4" w:space="0" w:color="auto"/>
            </w:tcBorders>
            <w:vAlign w:val="center"/>
          </w:tcPr>
          <w:p w14:paraId="087DA36D"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56F3362F"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4" w:type="pct"/>
            <w:tcBorders>
              <w:top w:val="single" w:sz="4" w:space="0" w:color="auto"/>
              <w:left w:val="single" w:sz="4" w:space="0" w:color="auto"/>
              <w:bottom w:val="single" w:sz="4" w:space="0" w:color="auto"/>
              <w:right w:val="single" w:sz="4" w:space="0" w:color="auto"/>
            </w:tcBorders>
            <w:vAlign w:val="center"/>
          </w:tcPr>
          <w:p w14:paraId="4B727BA5"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AWS D1.3</w:t>
            </w:r>
          </w:p>
        </w:tc>
        <w:tc>
          <w:tcPr>
            <w:tcW w:w="623" w:type="pct"/>
            <w:tcBorders>
              <w:top w:val="single" w:sz="4" w:space="0" w:color="auto"/>
              <w:left w:val="single" w:sz="4" w:space="0" w:color="auto"/>
              <w:bottom w:val="single" w:sz="4" w:space="0" w:color="auto"/>
              <w:right w:val="single" w:sz="4" w:space="0" w:color="auto"/>
            </w:tcBorders>
            <w:vAlign w:val="center"/>
          </w:tcPr>
          <w:p w14:paraId="01FE493A"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r>
      <w:tr w:rsidR="00140B7C" w:rsidRPr="00EC4EC4" w14:paraId="108DBD7C" w14:textId="77777777" w:rsidTr="00BC1087">
        <w:trPr>
          <w:cantSplit/>
          <w:trHeight w:val="347"/>
          <w:jc w:val="center"/>
        </w:trPr>
        <w:tc>
          <w:tcPr>
            <w:tcW w:w="1473" w:type="pct"/>
            <w:tcBorders>
              <w:top w:val="single" w:sz="4" w:space="0" w:color="auto"/>
              <w:left w:val="single" w:sz="4" w:space="0" w:color="auto"/>
              <w:bottom w:val="single" w:sz="4" w:space="0" w:color="auto"/>
              <w:right w:val="single" w:sz="4" w:space="0" w:color="auto"/>
            </w:tcBorders>
            <w:vAlign w:val="center"/>
          </w:tcPr>
          <w:p w14:paraId="64A43681" w14:textId="77777777" w:rsidR="00140B7C" w:rsidRPr="00EC4EC4" w:rsidRDefault="00140B7C" w:rsidP="00BC1087">
            <w:pPr>
              <w:widowControl w:val="0"/>
              <w:kinsoku w:val="0"/>
              <w:spacing w:after="0" w:line="240" w:lineRule="auto"/>
              <w:ind w:left="721" w:hanging="360"/>
              <w:rPr>
                <w:rFonts w:eastAsia="Times New Roman" w:cs="Times New Roman"/>
                <w:spacing w:val="4"/>
                <w:sz w:val="18"/>
                <w:szCs w:val="18"/>
              </w:rPr>
            </w:pPr>
            <w:r w:rsidRPr="00EC4EC4">
              <w:rPr>
                <w:rFonts w:eastAsia="Times New Roman" w:cs="Times New Roman"/>
                <w:spacing w:val="4"/>
                <w:sz w:val="18"/>
                <w:szCs w:val="18"/>
              </w:rPr>
              <w:t>b.</w:t>
            </w:r>
            <w:r w:rsidRPr="00EC4EC4">
              <w:rPr>
                <w:rFonts w:eastAsia="Times New Roman" w:cs="Times New Roman"/>
                <w:spacing w:val="4"/>
                <w:sz w:val="18"/>
                <w:szCs w:val="18"/>
              </w:rPr>
              <w:tab/>
              <w:t>Reinforcing steel:</w:t>
            </w:r>
          </w:p>
        </w:tc>
        <w:tc>
          <w:tcPr>
            <w:tcW w:w="971" w:type="pct"/>
            <w:tcBorders>
              <w:top w:val="single" w:sz="4" w:space="0" w:color="auto"/>
              <w:left w:val="single" w:sz="4" w:space="0" w:color="auto"/>
              <w:bottom w:val="single" w:sz="4" w:space="0" w:color="auto"/>
              <w:right w:val="single" w:sz="4" w:space="0" w:color="auto"/>
            </w:tcBorders>
            <w:vAlign w:val="center"/>
          </w:tcPr>
          <w:p w14:paraId="0ACBD1F3"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48421E02"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vMerge w:val="restart"/>
            <w:tcBorders>
              <w:top w:val="single" w:sz="4" w:space="0" w:color="auto"/>
              <w:left w:val="single" w:sz="4" w:space="0" w:color="auto"/>
              <w:bottom w:val="single" w:sz="4" w:space="0" w:color="auto"/>
              <w:right w:val="single" w:sz="4" w:space="0" w:color="auto"/>
            </w:tcBorders>
            <w:vAlign w:val="center"/>
          </w:tcPr>
          <w:p w14:paraId="2B861E8D" w14:textId="77777777" w:rsidR="00140B7C" w:rsidRPr="00EC4EC4" w:rsidRDefault="00140B7C" w:rsidP="00BC1087">
            <w:pPr>
              <w:widowControl w:val="0"/>
              <w:kinsoku w:val="0"/>
              <w:spacing w:after="0" w:line="240" w:lineRule="auto"/>
              <w:jc w:val="center"/>
              <w:rPr>
                <w:rFonts w:eastAsia="Times New Roman" w:cs="Times New Roman"/>
                <w:spacing w:val="2"/>
                <w:sz w:val="18"/>
                <w:szCs w:val="18"/>
              </w:rPr>
            </w:pPr>
            <w:r w:rsidRPr="00EC4EC4">
              <w:rPr>
                <w:rFonts w:eastAsia="Times New Roman" w:cs="Times New Roman"/>
                <w:sz w:val="18"/>
                <w:szCs w:val="18"/>
              </w:rPr>
              <w:t>AWS D1.4</w:t>
            </w:r>
          </w:p>
        </w:tc>
        <w:tc>
          <w:tcPr>
            <w:tcW w:w="623" w:type="pct"/>
            <w:vMerge w:val="restart"/>
            <w:tcBorders>
              <w:top w:val="single" w:sz="4" w:space="0" w:color="auto"/>
              <w:left w:val="single" w:sz="4" w:space="0" w:color="auto"/>
              <w:bottom w:val="single" w:sz="4" w:space="0" w:color="auto"/>
              <w:right w:val="single" w:sz="4" w:space="0" w:color="auto"/>
            </w:tcBorders>
            <w:vAlign w:val="center"/>
          </w:tcPr>
          <w:p w14:paraId="534EC94F"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1903.6.2</w:t>
            </w:r>
          </w:p>
        </w:tc>
      </w:tr>
      <w:tr w:rsidR="00140B7C" w:rsidRPr="00EC4EC4" w14:paraId="2C737319" w14:textId="77777777" w:rsidTr="00BC1087">
        <w:trPr>
          <w:cantSplit/>
          <w:trHeight w:val="144"/>
          <w:jc w:val="center"/>
        </w:trPr>
        <w:tc>
          <w:tcPr>
            <w:tcW w:w="1473" w:type="pct"/>
            <w:tcBorders>
              <w:top w:val="single" w:sz="4" w:space="0" w:color="auto"/>
              <w:left w:val="single" w:sz="4" w:space="0" w:color="auto"/>
              <w:bottom w:val="single" w:sz="4" w:space="0" w:color="auto"/>
              <w:right w:val="single" w:sz="4" w:space="0" w:color="auto"/>
            </w:tcBorders>
            <w:vAlign w:val="center"/>
          </w:tcPr>
          <w:p w14:paraId="28AAF319" w14:textId="77777777" w:rsidR="00140B7C" w:rsidRPr="00EC4EC4" w:rsidRDefault="00140B7C" w:rsidP="00BC1087">
            <w:pPr>
              <w:widowControl w:val="0"/>
              <w:kinsoku w:val="0"/>
              <w:spacing w:after="0" w:line="240" w:lineRule="auto"/>
              <w:ind w:left="1081" w:right="108" w:hanging="360"/>
              <w:rPr>
                <w:rFonts w:eastAsia="Times New Roman" w:cs="Times New Roman"/>
                <w:spacing w:val="4"/>
                <w:sz w:val="18"/>
                <w:szCs w:val="18"/>
              </w:rPr>
            </w:pPr>
            <w:r w:rsidRPr="00EC4EC4">
              <w:rPr>
                <w:rFonts w:eastAsia="Times New Roman" w:cs="Times New Roman"/>
                <w:spacing w:val="12"/>
                <w:sz w:val="18"/>
                <w:szCs w:val="18"/>
              </w:rPr>
              <w:t>1)</w:t>
            </w:r>
            <w:r w:rsidRPr="00EC4EC4">
              <w:rPr>
                <w:rFonts w:eastAsia="Times New Roman" w:cs="Times New Roman"/>
                <w:spacing w:val="12"/>
                <w:sz w:val="18"/>
                <w:szCs w:val="18"/>
              </w:rPr>
              <w:tab/>
            </w:r>
            <w:r w:rsidRPr="00EC4EC4">
              <w:rPr>
                <w:rFonts w:eastAsia="Times New Roman" w:cs="Times New Roman"/>
                <w:spacing w:val="4"/>
                <w:sz w:val="18"/>
                <w:szCs w:val="18"/>
              </w:rPr>
              <w:t>Pre-welding verification of base metal.</w:t>
            </w:r>
          </w:p>
        </w:tc>
        <w:tc>
          <w:tcPr>
            <w:tcW w:w="971" w:type="pct"/>
            <w:tcBorders>
              <w:top w:val="single" w:sz="4" w:space="0" w:color="auto"/>
              <w:left w:val="single" w:sz="4" w:space="0" w:color="auto"/>
              <w:bottom w:val="single" w:sz="4" w:space="0" w:color="auto"/>
              <w:right w:val="single" w:sz="4" w:space="0" w:color="auto"/>
            </w:tcBorders>
            <w:vAlign w:val="center"/>
          </w:tcPr>
          <w:p w14:paraId="413CD0A3"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551CCCCA"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4" w:type="pct"/>
            <w:vMerge/>
            <w:tcBorders>
              <w:top w:val="single" w:sz="4" w:space="0" w:color="auto"/>
              <w:left w:val="single" w:sz="4" w:space="0" w:color="auto"/>
              <w:bottom w:val="single" w:sz="4" w:space="0" w:color="auto"/>
              <w:right w:val="single" w:sz="4" w:space="0" w:color="auto"/>
            </w:tcBorders>
            <w:vAlign w:val="center"/>
          </w:tcPr>
          <w:p w14:paraId="4CE9377A" w14:textId="77777777" w:rsidR="00140B7C" w:rsidRPr="00EC4EC4" w:rsidRDefault="00140B7C" w:rsidP="00BC1087">
            <w:pPr>
              <w:widowControl w:val="0"/>
              <w:kinsoku w:val="0"/>
              <w:spacing w:after="0" w:line="240" w:lineRule="auto"/>
              <w:rPr>
                <w:rFonts w:eastAsia="Times New Roman" w:cs="Times New Roman"/>
                <w:sz w:val="18"/>
                <w:szCs w:val="18"/>
              </w:rPr>
            </w:pPr>
          </w:p>
        </w:tc>
        <w:tc>
          <w:tcPr>
            <w:tcW w:w="623" w:type="pct"/>
            <w:vMerge/>
            <w:tcBorders>
              <w:top w:val="single" w:sz="4" w:space="0" w:color="auto"/>
              <w:left w:val="single" w:sz="4" w:space="0" w:color="auto"/>
              <w:bottom w:val="single" w:sz="4" w:space="0" w:color="auto"/>
              <w:right w:val="single" w:sz="4" w:space="0" w:color="auto"/>
            </w:tcBorders>
            <w:vAlign w:val="center"/>
          </w:tcPr>
          <w:p w14:paraId="2A0211D9" w14:textId="77777777" w:rsidR="00140B7C" w:rsidRPr="00EC4EC4" w:rsidRDefault="00140B7C" w:rsidP="00BC1087">
            <w:pPr>
              <w:widowControl w:val="0"/>
              <w:kinsoku w:val="0"/>
              <w:spacing w:after="0" w:line="240" w:lineRule="auto"/>
              <w:rPr>
                <w:rFonts w:eastAsia="Times New Roman" w:cs="Times New Roman"/>
                <w:sz w:val="18"/>
                <w:szCs w:val="18"/>
              </w:rPr>
            </w:pPr>
          </w:p>
        </w:tc>
      </w:tr>
      <w:tr w:rsidR="00140B7C" w:rsidRPr="00EC4EC4" w14:paraId="52601940" w14:textId="77777777" w:rsidTr="00BC1087">
        <w:trPr>
          <w:cantSplit/>
          <w:trHeight w:val="144"/>
          <w:jc w:val="center"/>
        </w:trPr>
        <w:tc>
          <w:tcPr>
            <w:tcW w:w="1473" w:type="pct"/>
            <w:tcBorders>
              <w:top w:val="single" w:sz="4" w:space="0" w:color="auto"/>
              <w:left w:val="single" w:sz="4" w:space="0" w:color="auto"/>
              <w:bottom w:val="single" w:sz="4" w:space="0" w:color="auto"/>
              <w:right w:val="single" w:sz="4" w:space="0" w:color="auto"/>
            </w:tcBorders>
            <w:vAlign w:val="center"/>
          </w:tcPr>
          <w:p w14:paraId="64134193" w14:textId="77777777" w:rsidR="00140B7C" w:rsidRPr="00EC4EC4" w:rsidRDefault="00140B7C" w:rsidP="00BC1087">
            <w:pPr>
              <w:widowControl w:val="0"/>
              <w:kinsoku w:val="0"/>
              <w:spacing w:before="108" w:after="0" w:line="240" w:lineRule="auto"/>
              <w:ind w:left="1081" w:right="252" w:hanging="360"/>
              <w:rPr>
                <w:rFonts w:eastAsia="Times New Roman" w:cs="Times New Roman"/>
                <w:sz w:val="18"/>
                <w:szCs w:val="18"/>
              </w:rPr>
            </w:pPr>
            <w:r w:rsidRPr="00EC4EC4">
              <w:rPr>
                <w:rFonts w:eastAsia="Times New Roman" w:cs="Times New Roman"/>
                <w:spacing w:val="12"/>
                <w:sz w:val="18"/>
                <w:szCs w:val="18"/>
              </w:rPr>
              <w:t>2)</w:t>
            </w:r>
            <w:r w:rsidRPr="00EC4EC4">
              <w:rPr>
                <w:rFonts w:eastAsia="Times New Roman" w:cs="Times New Roman"/>
                <w:spacing w:val="12"/>
                <w:sz w:val="18"/>
                <w:szCs w:val="18"/>
              </w:rPr>
              <w:tab/>
            </w:r>
            <w:r w:rsidRPr="00EC4EC4">
              <w:rPr>
                <w:rFonts w:eastAsia="Times New Roman" w:cs="Times New Roman"/>
                <w:sz w:val="18"/>
                <w:szCs w:val="18"/>
              </w:rPr>
              <w:t>Reinforcing steel-resisting flexural and axial forces in intermediate and special moment frames, and boundary elements of special reinforced concrete shear walls and shear reinforcement.</w:t>
            </w:r>
          </w:p>
        </w:tc>
        <w:tc>
          <w:tcPr>
            <w:tcW w:w="971" w:type="pct"/>
            <w:tcBorders>
              <w:top w:val="single" w:sz="4" w:space="0" w:color="auto"/>
              <w:left w:val="single" w:sz="4" w:space="0" w:color="auto"/>
              <w:bottom w:val="single" w:sz="4" w:space="0" w:color="auto"/>
              <w:right w:val="single" w:sz="4" w:space="0" w:color="auto"/>
            </w:tcBorders>
            <w:vAlign w:val="center"/>
          </w:tcPr>
          <w:p w14:paraId="51C786C8"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9" w:type="pct"/>
            <w:tcBorders>
              <w:top w:val="single" w:sz="4" w:space="0" w:color="auto"/>
              <w:left w:val="single" w:sz="4" w:space="0" w:color="auto"/>
              <w:bottom w:val="single" w:sz="4" w:space="0" w:color="auto"/>
              <w:right w:val="single" w:sz="4" w:space="0" w:color="auto"/>
            </w:tcBorders>
            <w:vAlign w:val="center"/>
          </w:tcPr>
          <w:p w14:paraId="6E8A9373"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vMerge/>
            <w:tcBorders>
              <w:top w:val="single" w:sz="4" w:space="0" w:color="auto"/>
              <w:left w:val="single" w:sz="4" w:space="0" w:color="auto"/>
              <w:bottom w:val="single" w:sz="4" w:space="0" w:color="auto"/>
              <w:right w:val="single" w:sz="4" w:space="0" w:color="auto"/>
            </w:tcBorders>
            <w:vAlign w:val="center"/>
          </w:tcPr>
          <w:p w14:paraId="55479917" w14:textId="77777777" w:rsidR="00140B7C" w:rsidRPr="00EC4EC4" w:rsidRDefault="00140B7C" w:rsidP="00BC1087">
            <w:pPr>
              <w:widowControl w:val="0"/>
              <w:kinsoku w:val="0"/>
              <w:spacing w:before="576" w:after="0" w:line="240" w:lineRule="auto"/>
              <w:rPr>
                <w:rFonts w:eastAsia="Times New Roman" w:cs="Times New Roman"/>
                <w:sz w:val="18"/>
                <w:szCs w:val="18"/>
              </w:rPr>
            </w:pPr>
          </w:p>
        </w:tc>
        <w:tc>
          <w:tcPr>
            <w:tcW w:w="623" w:type="pct"/>
            <w:vMerge/>
            <w:tcBorders>
              <w:top w:val="single" w:sz="4" w:space="0" w:color="auto"/>
              <w:left w:val="single" w:sz="4" w:space="0" w:color="auto"/>
              <w:bottom w:val="single" w:sz="4" w:space="0" w:color="auto"/>
              <w:right w:val="single" w:sz="4" w:space="0" w:color="auto"/>
            </w:tcBorders>
            <w:vAlign w:val="center"/>
          </w:tcPr>
          <w:p w14:paraId="36C8DA01" w14:textId="77777777" w:rsidR="00140B7C" w:rsidRPr="00EC4EC4" w:rsidRDefault="00140B7C" w:rsidP="00BC1087">
            <w:pPr>
              <w:widowControl w:val="0"/>
              <w:kinsoku w:val="0"/>
              <w:spacing w:before="576" w:after="0" w:line="240" w:lineRule="auto"/>
              <w:rPr>
                <w:rFonts w:eastAsia="Times New Roman" w:cs="Times New Roman"/>
                <w:sz w:val="18"/>
                <w:szCs w:val="18"/>
              </w:rPr>
            </w:pPr>
          </w:p>
        </w:tc>
      </w:tr>
      <w:tr w:rsidR="00140B7C" w:rsidRPr="00EC4EC4" w14:paraId="4B083BE4" w14:textId="77777777" w:rsidTr="00BC1087">
        <w:trPr>
          <w:cantSplit/>
          <w:trHeight w:val="144"/>
          <w:jc w:val="center"/>
        </w:trPr>
        <w:tc>
          <w:tcPr>
            <w:tcW w:w="1473" w:type="pct"/>
            <w:tcBorders>
              <w:top w:val="single" w:sz="4" w:space="0" w:color="auto"/>
              <w:left w:val="single" w:sz="4" w:space="0" w:color="auto"/>
              <w:bottom w:val="single" w:sz="4" w:space="0" w:color="auto"/>
              <w:right w:val="single" w:sz="4" w:space="0" w:color="auto"/>
            </w:tcBorders>
            <w:vAlign w:val="center"/>
          </w:tcPr>
          <w:p w14:paraId="4BB591A1" w14:textId="77777777" w:rsidR="00140B7C" w:rsidRPr="00EC4EC4" w:rsidRDefault="00140B7C" w:rsidP="00BC1087">
            <w:pPr>
              <w:widowControl w:val="0"/>
              <w:kinsoku w:val="0"/>
              <w:spacing w:after="0" w:line="240" w:lineRule="auto"/>
              <w:ind w:left="1081" w:hanging="360"/>
              <w:rPr>
                <w:rFonts w:eastAsia="Times New Roman" w:cs="Times New Roman"/>
                <w:sz w:val="18"/>
                <w:szCs w:val="18"/>
              </w:rPr>
            </w:pPr>
            <w:r w:rsidRPr="00EC4EC4">
              <w:rPr>
                <w:rFonts w:eastAsia="Times New Roman" w:cs="Times New Roman"/>
                <w:spacing w:val="12"/>
                <w:sz w:val="18"/>
                <w:szCs w:val="18"/>
              </w:rPr>
              <w:lastRenderedPageBreak/>
              <w:t>3)</w:t>
            </w:r>
            <w:r w:rsidRPr="00EC4EC4">
              <w:rPr>
                <w:rFonts w:eastAsia="Times New Roman" w:cs="Times New Roman"/>
                <w:spacing w:val="12"/>
                <w:sz w:val="18"/>
                <w:szCs w:val="18"/>
              </w:rPr>
              <w:tab/>
            </w:r>
            <w:r w:rsidRPr="00EC4EC4">
              <w:rPr>
                <w:rFonts w:eastAsia="Times New Roman" w:cs="Times New Roman"/>
                <w:sz w:val="18"/>
                <w:szCs w:val="18"/>
              </w:rPr>
              <w:t>Shear reinforcement.</w:t>
            </w:r>
          </w:p>
        </w:tc>
        <w:tc>
          <w:tcPr>
            <w:tcW w:w="971" w:type="pct"/>
            <w:tcBorders>
              <w:top w:val="single" w:sz="4" w:space="0" w:color="auto"/>
              <w:left w:val="single" w:sz="4" w:space="0" w:color="auto"/>
              <w:bottom w:val="single" w:sz="4" w:space="0" w:color="auto"/>
              <w:right w:val="single" w:sz="4" w:space="0" w:color="auto"/>
            </w:tcBorders>
            <w:vAlign w:val="center"/>
          </w:tcPr>
          <w:p w14:paraId="0FA09E1D"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r w:rsidRPr="00EC4EC4">
              <w:rPr>
                <w:rFonts w:eastAsia="Times New Roman" w:cs="Times New Roman"/>
                <w:sz w:val="18"/>
                <w:szCs w:val="18"/>
              </w:rPr>
              <w:br/>
              <w:t>Note a</w:t>
            </w:r>
          </w:p>
        </w:tc>
        <w:tc>
          <w:tcPr>
            <w:tcW w:w="969" w:type="pct"/>
            <w:tcBorders>
              <w:top w:val="single" w:sz="4" w:space="0" w:color="auto"/>
              <w:left w:val="single" w:sz="4" w:space="0" w:color="auto"/>
              <w:bottom w:val="single" w:sz="4" w:space="0" w:color="auto"/>
              <w:right w:val="single" w:sz="4" w:space="0" w:color="auto"/>
            </w:tcBorders>
            <w:vAlign w:val="center"/>
          </w:tcPr>
          <w:p w14:paraId="1FDE8319"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4" w:type="pct"/>
            <w:vMerge/>
            <w:tcBorders>
              <w:top w:val="single" w:sz="4" w:space="0" w:color="auto"/>
              <w:left w:val="single" w:sz="4" w:space="0" w:color="auto"/>
              <w:bottom w:val="single" w:sz="4" w:space="0" w:color="auto"/>
              <w:right w:val="single" w:sz="4" w:space="0" w:color="auto"/>
            </w:tcBorders>
            <w:vAlign w:val="center"/>
          </w:tcPr>
          <w:p w14:paraId="36581147" w14:textId="77777777" w:rsidR="00140B7C" w:rsidRPr="00EC4EC4" w:rsidRDefault="00140B7C" w:rsidP="00BC1087">
            <w:pPr>
              <w:widowControl w:val="0"/>
              <w:kinsoku w:val="0"/>
              <w:spacing w:after="0" w:line="240" w:lineRule="auto"/>
              <w:rPr>
                <w:rFonts w:eastAsia="Times New Roman" w:cs="Times New Roman"/>
                <w:sz w:val="18"/>
                <w:szCs w:val="18"/>
              </w:rPr>
            </w:pPr>
          </w:p>
        </w:tc>
        <w:tc>
          <w:tcPr>
            <w:tcW w:w="623" w:type="pct"/>
            <w:vMerge/>
            <w:tcBorders>
              <w:top w:val="single" w:sz="4" w:space="0" w:color="auto"/>
              <w:left w:val="single" w:sz="4" w:space="0" w:color="auto"/>
              <w:bottom w:val="single" w:sz="4" w:space="0" w:color="auto"/>
              <w:right w:val="single" w:sz="4" w:space="0" w:color="auto"/>
            </w:tcBorders>
            <w:vAlign w:val="center"/>
          </w:tcPr>
          <w:p w14:paraId="6B9B974C" w14:textId="77777777" w:rsidR="00140B7C" w:rsidRPr="00EC4EC4" w:rsidRDefault="00140B7C" w:rsidP="00BC1087">
            <w:pPr>
              <w:widowControl w:val="0"/>
              <w:kinsoku w:val="0"/>
              <w:spacing w:after="0" w:line="240" w:lineRule="auto"/>
              <w:rPr>
                <w:rFonts w:eastAsia="Times New Roman" w:cs="Times New Roman"/>
                <w:sz w:val="18"/>
                <w:szCs w:val="18"/>
              </w:rPr>
            </w:pPr>
          </w:p>
        </w:tc>
      </w:tr>
      <w:tr w:rsidR="00140B7C" w:rsidRPr="00EC4EC4" w14:paraId="42D74E6D" w14:textId="77777777" w:rsidTr="00BC1087">
        <w:trPr>
          <w:cantSplit/>
          <w:trHeight w:val="446"/>
          <w:jc w:val="center"/>
        </w:trPr>
        <w:tc>
          <w:tcPr>
            <w:tcW w:w="1473" w:type="pct"/>
            <w:tcBorders>
              <w:top w:val="single" w:sz="4" w:space="0" w:color="auto"/>
              <w:left w:val="single" w:sz="4" w:space="0" w:color="auto"/>
              <w:bottom w:val="single" w:sz="4" w:space="0" w:color="auto"/>
              <w:right w:val="single" w:sz="4" w:space="0" w:color="auto"/>
            </w:tcBorders>
            <w:vAlign w:val="center"/>
          </w:tcPr>
          <w:p w14:paraId="15EE6848" w14:textId="77777777" w:rsidR="00140B7C" w:rsidRPr="00EC4EC4" w:rsidRDefault="00140B7C" w:rsidP="00BC1087">
            <w:pPr>
              <w:widowControl w:val="0"/>
              <w:kinsoku w:val="0"/>
              <w:spacing w:after="0" w:line="240" w:lineRule="auto"/>
              <w:ind w:left="1081" w:hanging="360"/>
              <w:rPr>
                <w:rFonts w:eastAsia="Times New Roman" w:cs="Times New Roman"/>
                <w:spacing w:val="12"/>
                <w:sz w:val="18"/>
                <w:szCs w:val="18"/>
              </w:rPr>
            </w:pPr>
            <w:r w:rsidRPr="00EC4EC4">
              <w:rPr>
                <w:rFonts w:eastAsia="Times New Roman" w:cs="Times New Roman"/>
                <w:spacing w:val="12"/>
                <w:sz w:val="18"/>
                <w:szCs w:val="18"/>
              </w:rPr>
              <w:t>4)</w:t>
            </w:r>
            <w:r w:rsidRPr="00EC4EC4">
              <w:rPr>
                <w:rFonts w:eastAsia="Times New Roman" w:cs="Times New Roman"/>
                <w:spacing w:val="12"/>
                <w:sz w:val="18"/>
                <w:szCs w:val="18"/>
              </w:rPr>
              <w:tab/>
              <w:t>Other reinforcing steel</w:t>
            </w:r>
            <w:r w:rsidRPr="00EC4EC4">
              <w:rPr>
                <w:rFonts w:eastAsia="Times New Roman" w:cs="Times New Roman"/>
                <w:sz w:val="18"/>
                <w:szCs w:val="18"/>
              </w:rPr>
              <w:t>.</w:t>
            </w:r>
          </w:p>
        </w:tc>
        <w:tc>
          <w:tcPr>
            <w:tcW w:w="971" w:type="pct"/>
            <w:tcBorders>
              <w:top w:val="single" w:sz="4" w:space="0" w:color="auto"/>
              <w:left w:val="single" w:sz="4" w:space="0" w:color="auto"/>
              <w:bottom w:val="single" w:sz="4" w:space="0" w:color="auto"/>
              <w:right w:val="single" w:sz="4" w:space="0" w:color="auto"/>
            </w:tcBorders>
            <w:vAlign w:val="center"/>
          </w:tcPr>
          <w:p w14:paraId="76234C73"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4338BDC1"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r w:rsidRPr="00EC4EC4">
              <w:rPr>
                <w:rFonts w:eastAsia="Times New Roman" w:cs="Times New Roman"/>
                <w:sz w:val="18"/>
                <w:szCs w:val="18"/>
              </w:rPr>
              <w:br/>
              <w:t>Note b</w:t>
            </w:r>
          </w:p>
        </w:tc>
        <w:tc>
          <w:tcPr>
            <w:tcW w:w="964" w:type="pct"/>
            <w:vMerge/>
            <w:tcBorders>
              <w:top w:val="single" w:sz="4" w:space="0" w:color="auto"/>
              <w:left w:val="single" w:sz="4" w:space="0" w:color="auto"/>
              <w:bottom w:val="single" w:sz="4" w:space="0" w:color="auto"/>
              <w:right w:val="single" w:sz="4" w:space="0" w:color="auto"/>
            </w:tcBorders>
            <w:vAlign w:val="center"/>
          </w:tcPr>
          <w:p w14:paraId="72D47731" w14:textId="77777777" w:rsidR="00140B7C" w:rsidRPr="00EC4EC4" w:rsidRDefault="00140B7C" w:rsidP="00BC1087">
            <w:pPr>
              <w:widowControl w:val="0"/>
              <w:kinsoku w:val="0"/>
              <w:spacing w:after="0" w:line="240" w:lineRule="auto"/>
              <w:rPr>
                <w:rFonts w:eastAsia="Times New Roman" w:cs="Times New Roman"/>
                <w:sz w:val="18"/>
                <w:szCs w:val="18"/>
              </w:rPr>
            </w:pPr>
          </w:p>
        </w:tc>
        <w:tc>
          <w:tcPr>
            <w:tcW w:w="623" w:type="pct"/>
            <w:vMerge/>
            <w:tcBorders>
              <w:top w:val="single" w:sz="4" w:space="0" w:color="auto"/>
              <w:left w:val="single" w:sz="4" w:space="0" w:color="auto"/>
              <w:bottom w:val="single" w:sz="4" w:space="0" w:color="auto"/>
              <w:right w:val="single" w:sz="4" w:space="0" w:color="auto"/>
            </w:tcBorders>
            <w:vAlign w:val="center"/>
          </w:tcPr>
          <w:p w14:paraId="5BED8A16" w14:textId="77777777" w:rsidR="00140B7C" w:rsidRPr="00EC4EC4" w:rsidRDefault="00140B7C" w:rsidP="00BC1087">
            <w:pPr>
              <w:widowControl w:val="0"/>
              <w:kinsoku w:val="0"/>
              <w:spacing w:after="0" w:line="240" w:lineRule="auto"/>
              <w:rPr>
                <w:rFonts w:eastAsia="Times New Roman" w:cs="Times New Roman"/>
                <w:sz w:val="18"/>
                <w:szCs w:val="18"/>
              </w:rPr>
            </w:pPr>
          </w:p>
        </w:tc>
      </w:tr>
      <w:tr w:rsidR="00140B7C" w:rsidRPr="00EC4EC4" w14:paraId="7A0129C9" w14:textId="77777777" w:rsidTr="00BC1087">
        <w:trPr>
          <w:cantSplit/>
          <w:trHeight w:val="977"/>
          <w:jc w:val="center"/>
        </w:trPr>
        <w:tc>
          <w:tcPr>
            <w:tcW w:w="1473" w:type="pct"/>
            <w:tcBorders>
              <w:top w:val="single" w:sz="4" w:space="0" w:color="auto"/>
              <w:left w:val="single" w:sz="4" w:space="0" w:color="auto"/>
              <w:bottom w:val="single" w:sz="4" w:space="0" w:color="auto"/>
              <w:right w:val="single" w:sz="4" w:space="0" w:color="auto"/>
            </w:tcBorders>
            <w:vAlign w:val="center"/>
          </w:tcPr>
          <w:p w14:paraId="58E87CAB" w14:textId="77777777" w:rsidR="00140B7C" w:rsidRPr="00EC4EC4" w:rsidRDefault="00140B7C" w:rsidP="00BC1087">
            <w:pPr>
              <w:widowControl w:val="0"/>
              <w:kinsoku w:val="0"/>
              <w:spacing w:after="0" w:line="240" w:lineRule="auto"/>
              <w:ind w:left="361" w:hanging="273"/>
              <w:rPr>
                <w:rFonts w:eastAsia="Times New Roman" w:cs="Times New Roman"/>
                <w:spacing w:val="12"/>
                <w:sz w:val="18"/>
                <w:szCs w:val="18"/>
              </w:rPr>
            </w:pPr>
            <w:r w:rsidRPr="00EC4EC4">
              <w:rPr>
                <w:rFonts w:eastAsia="Times New Roman" w:cs="Times New Roman"/>
                <w:spacing w:val="12"/>
                <w:sz w:val="18"/>
                <w:szCs w:val="18"/>
              </w:rPr>
              <w:t>6.</w:t>
            </w:r>
            <w:r w:rsidRPr="00EC4EC4">
              <w:rPr>
                <w:rFonts w:eastAsia="Times New Roman" w:cs="Times New Roman"/>
                <w:spacing w:val="12"/>
                <w:sz w:val="18"/>
                <w:szCs w:val="18"/>
              </w:rPr>
              <w:tab/>
              <w:t>Inspection of steel frame joint details for compliance with approved construction documents:</w:t>
            </w:r>
          </w:p>
        </w:tc>
        <w:tc>
          <w:tcPr>
            <w:tcW w:w="971" w:type="pct"/>
            <w:tcBorders>
              <w:top w:val="single" w:sz="4" w:space="0" w:color="auto"/>
              <w:left w:val="single" w:sz="4" w:space="0" w:color="auto"/>
              <w:bottom w:val="single" w:sz="4" w:space="0" w:color="auto"/>
              <w:right w:val="single" w:sz="4" w:space="0" w:color="auto"/>
            </w:tcBorders>
            <w:vAlign w:val="center"/>
          </w:tcPr>
          <w:p w14:paraId="6A039A7D"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p>
        </w:tc>
        <w:tc>
          <w:tcPr>
            <w:tcW w:w="969" w:type="pct"/>
            <w:tcBorders>
              <w:top w:val="single" w:sz="4" w:space="0" w:color="auto"/>
              <w:left w:val="single" w:sz="4" w:space="0" w:color="auto"/>
              <w:bottom w:val="single" w:sz="4" w:space="0" w:color="auto"/>
              <w:right w:val="single" w:sz="4" w:space="0" w:color="auto"/>
            </w:tcBorders>
            <w:vAlign w:val="center"/>
          </w:tcPr>
          <w:p w14:paraId="274A9C9B"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p>
        </w:tc>
        <w:tc>
          <w:tcPr>
            <w:tcW w:w="964" w:type="pct"/>
            <w:vMerge w:val="restart"/>
            <w:tcBorders>
              <w:top w:val="single" w:sz="4" w:space="0" w:color="auto"/>
              <w:left w:val="single" w:sz="4" w:space="0" w:color="auto"/>
              <w:right w:val="single" w:sz="4" w:space="0" w:color="auto"/>
            </w:tcBorders>
            <w:vAlign w:val="center"/>
          </w:tcPr>
          <w:p w14:paraId="7466AF10"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23" w:type="pct"/>
            <w:vMerge w:val="restart"/>
            <w:tcBorders>
              <w:top w:val="single" w:sz="4" w:space="0" w:color="auto"/>
              <w:left w:val="single" w:sz="4" w:space="0" w:color="auto"/>
              <w:right w:val="single" w:sz="4" w:space="0" w:color="auto"/>
            </w:tcBorders>
            <w:vAlign w:val="center"/>
          </w:tcPr>
          <w:p w14:paraId="2256E0F7"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1705.2.2</w:t>
            </w:r>
          </w:p>
        </w:tc>
      </w:tr>
      <w:tr w:rsidR="00140B7C" w:rsidRPr="00EC4EC4" w14:paraId="0CAE3178" w14:textId="77777777" w:rsidTr="00BC1087">
        <w:trPr>
          <w:cantSplit/>
          <w:trHeight w:val="518"/>
          <w:jc w:val="center"/>
        </w:trPr>
        <w:tc>
          <w:tcPr>
            <w:tcW w:w="1473" w:type="pct"/>
            <w:tcBorders>
              <w:top w:val="single" w:sz="4" w:space="0" w:color="auto"/>
              <w:left w:val="single" w:sz="4" w:space="0" w:color="auto"/>
              <w:bottom w:val="single" w:sz="4" w:space="0" w:color="auto"/>
              <w:right w:val="single" w:sz="4" w:space="0" w:color="auto"/>
            </w:tcBorders>
            <w:vAlign w:val="center"/>
          </w:tcPr>
          <w:p w14:paraId="19ACFDDB" w14:textId="77777777" w:rsidR="00140B7C" w:rsidRPr="00EC4EC4" w:rsidRDefault="00140B7C" w:rsidP="00BC1087">
            <w:pPr>
              <w:widowControl w:val="0"/>
              <w:kinsoku w:val="0"/>
              <w:spacing w:after="0" w:line="240" w:lineRule="auto"/>
              <w:ind w:left="721" w:hanging="360"/>
              <w:rPr>
                <w:rFonts w:eastAsia="Times New Roman" w:cs="Times New Roman"/>
                <w:spacing w:val="12"/>
                <w:sz w:val="18"/>
                <w:szCs w:val="18"/>
              </w:rPr>
            </w:pPr>
            <w:r w:rsidRPr="00EC4EC4">
              <w:rPr>
                <w:rFonts w:eastAsia="Times New Roman" w:cs="Times New Roman"/>
                <w:spacing w:val="12"/>
                <w:sz w:val="18"/>
                <w:szCs w:val="18"/>
              </w:rPr>
              <w:t>a.</w:t>
            </w:r>
            <w:r w:rsidRPr="00EC4EC4">
              <w:rPr>
                <w:rFonts w:eastAsia="Times New Roman" w:cs="Times New Roman"/>
                <w:spacing w:val="12"/>
                <w:sz w:val="18"/>
                <w:szCs w:val="18"/>
              </w:rPr>
              <w:tab/>
              <w:t>Details such as bracing and stiffening.</w:t>
            </w:r>
          </w:p>
        </w:tc>
        <w:tc>
          <w:tcPr>
            <w:tcW w:w="971" w:type="pct"/>
            <w:tcBorders>
              <w:top w:val="single" w:sz="4" w:space="0" w:color="auto"/>
              <w:left w:val="single" w:sz="4" w:space="0" w:color="auto"/>
              <w:bottom w:val="single" w:sz="4" w:space="0" w:color="auto"/>
              <w:right w:val="single" w:sz="4" w:space="0" w:color="auto"/>
            </w:tcBorders>
            <w:vAlign w:val="center"/>
          </w:tcPr>
          <w:p w14:paraId="1C937B86"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60F689A9"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4" w:type="pct"/>
            <w:vMerge/>
            <w:tcBorders>
              <w:left w:val="single" w:sz="4" w:space="0" w:color="auto"/>
              <w:right w:val="single" w:sz="4" w:space="0" w:color="auto"/>
            </w:tcBorders>
            <w:vAlign w:val="center"/>
          </w:tcPr>
          <w:p w14:paraId="6D0C0B42" w14:textId="77777777" w:rsidR="00140B7C" w:rsidRPr="00EC4EC4" w:rsidRDefault="00140B7C" w:rsidP="00BC1087">
            <w:pPr>
              <w:widowControl w:val="0"/>
              <w:kinsoku w:val="0"/>
              <w:spacing w:after="0" w:line="240" w:lineRule="auto"/>
              <w:rPr>
                <w:rFonts w:eastAsia="Times New Roman" w:cs="Times New Roman"/>
                <w:sz w:val="18"/>
                <w:szCs w:val="18"/>
              </w:rPr>
            </w:pPr>
          </w:p>
        </w:tc>
        <w:tc>
          <w:tcPr>
            <w:tcW w:w="623" w:type="pct"/>
            <w:vMerge/>
            <w:tcBorders>
              <w:left w:val="single" w:sz="4" w:space="0" w:color="auto"/>
              <w:right w:val="single" w:sz="4" w:space="0" w:color="auto"/>
            </w:tcBorders>
            <w:vAlign w:val="center"/>
          </w:tcPr>
          <w:p w14:paraId="0218CE47" w14:textId="77777777" w:rsidR="00140B7C" w:rsidRPr="00EC4EC4" w:rsidRDefault="00140B7C" w:rsidP="00BC1087">
            <w:pPr>
              <w:widowControl w:val="0"/>
              <w:kinsoku w:val="0"/>
              <w:spacing w:after="0" w:line="240" w:lineRule="auto"/>
              <w:rPr>
                <w:rFonts w:eastAsia="Times New Roman" w:cs="Times New Roman"/>
                <w:sz w:val="18"/>
                <w:szCs w:val="18"/>
              </w:rPr>
            </w:pPr>
          </w:p>
        </w:tc>
      </w:tr>
      <w:tr w:rsidR="00140B7C" w:rsidRPr="00EC4EC4" w14:paraId="3D7C91E7" w14:textId="77777777" w:rsidTr="00BC1087">
        <w:trPr>
          <w:cantSplit/>
          <w:trHeight w:val="365"/>
          <w:jc w:val="center"/>
        </w:trPr>
        <w:tc>
          <w:tcPr>
            <w:tcW w:w="1473" w:type="pct"/>
            <w:tcBorders>
              <w:top w:val="single" w:sz="4" w:space="0" w:color="auto"/>
              <w:left w:val="single" w:sz="4" w:space="0" w:color="auto"/>
              <w:bottom w:val="single" w:sz="4" w:space="0" w:color="auto"/>
              <w:right w:val="single" w:sz="4" w:space="0" w:color="auto"/>
            </w:tcBorders>
            <w:vAlign w:val="center"/>
          </w:tcPr>
          <w:p w14:paraId="11AC7A80" w14:textId="77777777" w:rsidR="00140B7C" w:rsidRPr="00EC4EC4" w:rsidRDefault="00140B7C" w:rsidP="00BC1087">
            <w:pPr>
              <w:widowControl w:val="0"/>
              <w:kinsoku w:val="0"/>
              <w:spacing w:after="0" w:line="240" w:lineRule="auto"/>
              <w:ind w:left="721" w:hanging="360"/>
              <w:rPr>
                <w:rFonts w:eastAsia="Times New Roman" w:cs="Times New Roman"/>
                <w:spacing w:val="12"/>
                <w:sz w:val="18"/>
                <w:szCs w:val="18"/>
              </w:rPr>
            </w:pPr>
            <w:r w:rsidRPr="00EC4EC4">
              <w:rPr>
                <w:rFonts w:eastAsia="Times New Roman" w:cs="Times New Roman"/>
                <w:spacing w:val="12"/>
                <w:sz w:val="18"/>
                <w:szCs w:val="18"/>
              </w:rPr>
              <w:t>b.</w:t>
            </w:r>
            <w:r w:rsidRPr="00EC4EC4">
              <w:rPr>
                <w:rFonts w:eastAsia="Times New Roman" w:cs="Times New Roman"/>
                <w:spacing w:val="12"/>
                <w:sz w:val="18"/>
                <w:szCs w:val="18"/>
              </w:rPr>
              <w:tab/>
              <w:t>Member locations.</w:t>
            </w:r>
          </w:p>
        </w:tc>
        <w:tc>
          <w:tcPr>
            <w:tcW w:w="971" w:type="pct"/>
            <w:tcBorders>
              <w:top w:val="single" w:sz="4" w:space="0" w:color="auto"/>
              <w:left w:val="single" w:sz="4" w:space="0" w:color="auto"/>
              <w:bottom w:val="single" w:sz="4" w:space="0" w:color="auto"/>
              <w:right w:val="single" w:sz="4" w:space="0" w:color="auto"/>
            </w:tcBorders>
            <w:vAlign w:val="center"/>
          </w:tcPr>
          <w:p w14:paraId="20E449EC"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70F4AD9F"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4" w:type="pct"/>
            <w:vMerge/>
            <w:tcBorders>
              <w:left w:val="single" w:sz="4" w:space="0" w:color="auto"/>
              <w:right w:val="single" w:sz="4" w:space="0" w:color="auto"/>
            </w:tcBorders>
            <w:vAlign w:val="center"/>
          </w:tcPr>
          <w:p w14:paraId="75B5AEDF" w14:textId="77777777" w:rsidR="00140B7C" w:rsidRPr="00EC4EC4" w:rsidRDefault="00140B7C" w:rsidP="00BC1087">
            <w:pPr>
              <w:widowControl w:val="0"/>
              <w:kinsoku w:val="0"/>
              <w:spacing w:after="0" w:line="240" w:lineRule="auto"/>
              <w:rPr>
                <w:rFonts w:eastAsia="Times New Roman" w:cs="Times New Roman"/>
                <w:sz w:val="18"/>
                <w:szCs w:val="18"/>
              </w:rPr>
            </w:pPr>
          </w:p>
        </w:tc>
        <w:tc>
          <w:tcPr>
            <w:tcW w:w="623" w:type="pct"/>
            <w:vMerge/>
            <w:tcBorders>
              <w:left w:val="single" w:sz="4" w:space="0" w:color="auto"/>
              <w:right w:val="single" w:sz="4" w:space="0" w:color="auto"/>
            </w:tcBorders>
            <w:vAlign w:val="center"/>
          </w:tcPr>
          <w:p w14:paraId="56029E37" w14:textId="77777777" w:rsidR="00140B7C" w:rsidRPr="00EC4EC4" w:rsidRDefault="00140B7C" w:rsidP="00BC1087">
            <w:pPr>
              <w:widowControl w:val="0"/>
              <w:kinsoku w:val="0"/>
              <w:spacing w:after="0" w:line="240" w:lineRule="auto"/>
              <w:rPr>
                <w:rFonts w:eastAsia="Times New Roman" w:cs="Times New Roman"/>
                <w:sz w:val="18"/>
                <w:szCs w:val="18"/>
              </w:rPr>
            </w:pPr>
          </w:p>
        </w:tc>
      </w:tr>
      <w:tr w:rsidR="00140B7C" w:rsidRPr="00EC4EC4" w14:paraId="549BD53E" w14:textId="77777777" w:rsidTr="00BC1087">
        <w:trPr>
          <w:trHeight w:val="617"/>
          <w:jc w:val="center"/>
        </w:trPr>
        <w:tc>
          <w:tcPr>
            <w:tcW w:w="1473" w:type="pct"/>
            <w:tcBorders>
              <w:top w:val="single" w:sz="4" w:space="0" w:color="auto"/>
              <w:left w:val="single" w:sz="4" w:space="0" w:color="auto"/>
              <w:bottom w:val="single" w:sz="4" w:space="0" w:color="auto"/>
              <w:right w:val="single" w:sz="4" w:space="0" w:color="auto"/>
            </w:tcBorders>
            <w:vAlign w:val="center"/>
          </w:tcPr>
          <w:p w14:paraId="6EF6104D" w14:textId="77777777" w:rsidR="00140B7C" w:rsidRPr="00EC4EC4" w:rsidRDefault="00140B7C" w:rsidP="00BC1087">
            <w:pPr>
              <w:widowControl w:val="0"/>
              <w:kinsoku w:val="0"/>
              <w:spacing w:before="72" w:after="0" w:line="240" w:lineRule="auto"/>
              <w:ind w:left="721" w:hanging="360"/>
              <w:rPr>
                <w:rFonts w:eastAsia="Times New Roman" w:cs="Times New Roman"/>
                <w:spacing w:val="8"/>
                <w:sz w:val="18"/>
                <w:szCs w:val="18"/>
              </w:rPr>
            </w:pPr>
            <w:r w:rsidRPr="00EC4EC4">
              <w:rPr>
                <w:rFonts w:eastAsia="Times New Roman" w:cs="Times New Roman"/>
                <w:sz w:val="18"/>
                <w:szCs w:val="18"/>
              </w:rPr>
              <w:t>c.</w:t>
            </w:r>
            <w:r w:rsidRPr="00EC4EC4">
              <w:rPr>
                <w:rFonts w:eastAsia="Times New Roman" w:cs="Times New Roman"/>
                <w:sz w:val="18"/>
                <w:szCs w:val="18"/>
              </w:rPr>
              <w:tab/>
              <w:t>Application of joint details at each connection.</w:t>
            </w:r>
          </w:p>
        </w:tc>
        <w:tc>
          <w:tcPr>
            <w:tcW w:w="971" w:type="pct"/>
            <w:tcBorders>
              <w:top w:val="single" w:sz="4" w:space="0" w:color="auto"/>
              <w:left w:val="single" w:sz="4" w:space="0" w:color="auto"/>
              <w:bottom w:val="single" w:sz="4" w:space="0" w:color="auto"/>
              <w:right w:val="single" w:sz="4" w:space="0" w:color="auto"/>
            </w:tcBorders>
            <w:vAlign w:val="center"/>
          </w:tcPr>
          <w:p w14:paraId="70DC3B74" w14:textId="77777777" w:rsidR="00140B7C" w:rsidRPr="00EC4EC4" w:rsidRDefault="00140B7C" w:rsidP="00BC1087">
            <w:pPr>
              <w:widowControl w:val="0"/>
              <w:kinsoku w:val="0"/>
              <w:spacing w:after="0" w:line="405" w:lineRule="auto"/>
              <w:ind w:left="98" w:right="127"/>
              <w:jc w:val="center"/>
              <w:rPr>
                <w:rFonts w:eastAsia="Times New Roman" w:cs="Times New Roman"/>
                <w:sz w:val="18"/>
                <w:szCs w:val="18"/>
              </w:rPr>
            </w:pPr>
            <w:r w:rsidRPr="00EC4EC4">
              <w:rPr>
                <w:rFonts w:eastAsia="Times New Roman" w:cs="Times New Roman"/>
                <w:sz w:val="18"/>
                <w:szCs w:val="18"/>
              </w:rPr>
              <w:t>—</w:t>
            </w:r>
          </w:p>
        </w:tc>
        <w:tc>
          <w:tcPr>
            <w:tcW w:w="969" w:type="pct"/>
            <w:tcBorders>
              <w:top w:val="single" w:sz="4" w:space="0" w:color="auto"/>
              <w:left w:val="single" w:sz="4" w:space="0" w:color="auto"/>
              <w:bottom w:val="single" w:sz="4" w:space="0" w:color="auto"/>
              <w:right w:val="single" w:sz="4" w:space="0" w:color="auto"/>
            </w:tcBorders>
            <w:vAlign w:val="center"/>
          </w:tcPr>
          <w:p w14:paraId="4BE1B71E" w14:textId="77777777" w:rsidR="00140B7C" w:rsidRPr="00EC4EC4" w:rsidRDefault="00140B7C" w:rsidP="00BC1087">
            <w:pPr>
              <w:widowControl w:val="0"/>
              <w:kinsoku w:val="0"/>
              <w:spacing w:after="0" w:line="240" w:lineRule="auto"/>
              <w:ind w:left="98" w:right="127"/>
              <w:jc w:val="center"/>
              <w:rPr>
                <w:rFonts w:eastAsia="Times New Roman" w:cs="Times New Roman"/>
                <w:sz w:val="18"/>
                <w:szCs w:val="18"/>
              </w:rPr>
            </w:pPr>
            <w:r w:rsidRPr="00EC4EC4">
              <w:rPr>
                <w:rFonts w:eastAsia="Times New Roman" w:cs="Times New Roman"/>
                <w:sz w:val="18"/>
                <w:szCs w:val="18"/>
              </w:rPr>
              <w:t>X</w:t>
            </w:r>
          </w:p>
        </w:tc>
        <w:tc>
          <w:tcPr>
            <w:tcW w:w="964" w:type="pct"/>
            <w:vMerge/>
            <w:tcBorders>
              <w:left w:val="single" w:sz="4" w:space="0" w:color="auto"/>
              <w:bottom w:val="single" w:sz="4" w:space="0" w:color="auto"/>
              <w:right w:val="single" w:sz="4" w:space="0" w:color="auto"/>
            </w:tcBorders>
            <w:vAlign w:val="center"/>
          </w:tcPr>
          <w:p w14:paraId="2D3ADBFB" w14:textId="77777777" w:rsidR="00140B7C" w:rsidRPr="00EC4EC4" w:rsidRDefault="00140B7C" w:rsidP="00BC1087">
            <w:pPr>
              <w:widowControl w:val="0"/>
              <w:kinsoku w:val="0"/>
              <w:spacing w:after="0" w:line="240" w:lineRule="auto"/>
              <w:rPr>
                <w:rFonts w:eastAsia="Times New Roman" w:cs="Times New Roman"/>
                <w:sz w:val="18"/>
                <w:szCs w:val="18"/>
              </w:rPr>
            </w:pPr>
          </w:p>
        </w:tc>
        <w:tc>
          <w:tcPr>
            <w:tcW w:w="623" w:type="pct"/>
            <w:vMerge/>
            <w:tcBorders>
              <w:left w:val="single" w:sz="4" w:space="0" w:color="auto"/>
              <w:bottom w:val="single" w:sz="4" w:space="0" w:color="auto"/>
              <w:right w:val="single" w:sz="4" w:space="0" w:color="auto"/>
            </w:tcBorders>
            <w:vAlign w:val="center"/>
          </w:tcPr>
          <w:p w14:paraId="4615FD1B" w14:textId="77777777" w:rsidR="00140B7C" w:rsidRPr="00EC4EC4" w:rsidRDefault="00140B7C" w:rsidP="00BC1087">
            <w:pPr>
              <w:widowControl w:val="0"/>
              <w:kinsoku w:val="0"/>
              <w:spacing w:after="0" w:line="240" w:lineRule="auto"/>
              <w:rPr>
                <w:rFonts w:eastAsia="Times New Roman" w:cs="Times New Roman"/>
                <w:sz w:val="18"/>
                <w:szCs w:val="18"/>
              </w:rPr>
            </w:pPr>
          </w:p>
        </w:tc>
      </w:tr>
    </w:tbl>
    <w:p w14:paraId="79507C98" w14:textId="77777777" w:rsidR="00140B7C" w:rsidRPr="00EC4EC4" w:rsidRDefault="00140B7C" w:rsidP="00140B7C">
      <w:pPr>
        <w:widowControl w:val="0"/>
        <w:kinsoku w:val="0"/>
        <w:spacing w:before="108" w:after="0" w:line="206" w:lineRule="auto"/>
        <w:jc w:val="both"/>
        <w:rPr>
          <w:rFonts w:eastAsia="Times New Roman" w:cs="Times New Roman"/>
          <w:spacing w:val="8"/>
          <w:sz w:val="14"/>
          <w:szCs w:val="14"/>
        </w:rPr>
      </w:pPr>
      <w:r w:rsidRPr="00EC4EC4">
        <w:rPr>
          <w:rFonts w:eastAsia="Times New Roman" w:cs="Times New Roman"/>
          <w:spacing w:val="8"/>
          <w:sz w:val="14"/>
          <w:szCs w:val="14"/>
        </w:rPr>
        <w:t>For SI: 1 inch = 25.4 mm.</w:t>
      </w:r>
    </w:p>
    <w:p w14:paraId="1FC8C197" w14:textId="77777777" w:rsidR="00140B7C" w:rsidRPr="00EC4EC4" w:rsidRDefault="00140B7C" w:rsidP="00140B7C">
      <w:pPr>
        <w:widowControl w:val="0"/>
        <w:kinsoku w:val="0"/>
        <w:spacing w:before="36" w:after="0" w:line="240" w:lineRule="auto"/>
        <w:ind w:left="540" w:hanging="360"/>
        <w:jc w:val="both"/>
        <w:rPr>
          <w:rFonts w:eastAsia="Times New Roman" w:cs="Times New Roman"/>
          <w:spacing w:val="2"/>
          <w:sz w:val="14"/>
          <w:szCs w:val="14"/>
        </w:rPr>
      </w:pPr>
      <w:r w:rsidRPr="00EC4EC4">
        <w:rPr>
          <w:rFonts w:eastAsia="Times New Roman" w:cs="Times New Roman"/>
          <w:spacing w:val="1"/>
          <w:sz w:val="14"/>
          <w:szCs w:val="14"/>
        </w:rPr>
        <w:t>a</w:t>
      </w:r>
      <w:r w:rsidRPr="00EC4EC4">
        <w:rPr>
          <w:rFonts w:eastAsia="Times New Roman" w:cs="Times New Roman"/>
          <w:spacing w:val="1"/>
          <w:sz w:val="14"/>
          <w:szCs w:val="14"/>
        </w:rPr>
        <w:tab/>
        <w:t xml:space="preserve">A minimum of 10 % of shear studs shall be verified for strength of welded connection. If failure is evident on one or more, then the strength of all shear studs </w:t>
      </w:r>
      <w:r w:rsidRPr="00EC4EC4">
        <w:rPr>
          <w:rFonts w:eastAsia="Times New Roman" w:cs="Times New Roman"/>
          <w:spacing w:val="2"/>
          <w:sz w:val="14"/>
          <w:szCs w:val="14"/>
        </w:rPr>
        <w:t>shall be verified.</w:t>
      </w:r>
    </w:p>
    <w:p w14:paraId="73B786C2" w14:textId="77777777" w:rsidR="00140B7C" w:rsidRPr="00EC4EC4" w:rsidRDefault="00140B7C" w:rsidP="00140B7C">
      <w:pPr>
        <w:widowControl w:val="0"/>
        <w:kinsoku w:val="0"/>
        <w:spacing w:before="36" w:after="0" w:line="240" w:lineRule="auto"/>
        <w:ind w:left="540" w:hanging="360"/>
        <w:jc w:val="both"/>
        <w:rPr>
          <w:rFonts w:eastAsia="Times New Roman" w:cs="Times New Roman"/>
          <w:sz w:val="14"/>
          <w:szCs w:val="14"/>
        </w:rPr>
      </w:pPr>
      <w:r w:rsidRPr="00EC4EC4">
        <w:rPr>
          <w:rFonts w:eastAsia="Times New Roman" w:cs="Times New Roman"/>
          <w:spacing w:val="1"/>
          <w:sz w:val="14"/>
          <w:szCs w:val="14"/>
        </w:rPr>
        <w:t>b.</w:t>
      </w:r>
      <w:r w:rsidRPr="00EC4EC4">
        <w:rPr>
          <w:rFonts w:eastAsia="Times New Roman" w:cs="Times New Roman"/>
          <w:spacing w:val="1"/>
          <w:sz w:val="14"/>
          <w:szCs w:val="14"/>
        </w:rPr>
        <w:tab/>
      </w:r>
      <w:r w:rsidRPr="00EC4EC4">
        <w:rPr>
          <w:rFonts w:eastAsia="Times New Roman" w:cs="Times New Roman"/>
          <w:sz w:val="14"/>
          <w:szCs w:val="14"/>
        </w:rPr>
        <w:t>Welding of indirect and direct butt joints shall be continuously inspected.</w:t>
      </w:r>
    </w:p>
    <w:p w14:paraId="62B9B690" w14:textId="77777777" w:rsidR="00140B7C" w:rsidRPr="00EC4EC4" w:rsidRDefault="00140B7C" w:rsidP="00140B7C">
      <w:pPr>
        <w:widowControl w:val="0"/>
        <w:kinsoku w:val="0"/>
        <w:spacing w:before="36" w:after="0" w:line="240" w:lineRule="auto"/>
        <w:ind w:left="540" w:hanging="360"/>
        <w:jc w:val="both"/>
        <w:rPr>
          <w:rFonts w:eastAsia="Times New Roman" w:cs="Times New Roman"/>
          <w:spacing w:val="3"/>
          <w:sz w:val="14"/>
          <w:szCs w:val="14"/>
          <w:u w:val="single"/>
        </w:rPr>
      </w:pPr>
    </w:p>
    <w:p w14:paraId="099D9658" w14:textId="27085953" w:rsidR="00140B7C" w:rsidRPr="00EC4EC4" w:rsidRDefault="00140B7C" w:rsidP="00140B7C">
      <w:pPr>
        <w:kinsoku w:val="0"/>
        <w:spacing w:after="0" w:line="240" w:lineRule="auto"/>
        <w:ind w:firstLine="720"/>
        <w:jc w:val="both"/>
        <w:rPr>
          <w:rFonts w:eastAsia="Times New Roman" w:cs="Times New Roman"/>
          <w:b/>
          <w:bCs/>
          <w:szCs w:val="24"/>
        </w:rPr>
      </w:pPr>
      <w:r w:rsidRPr="00C455D6">
        <w:rPr>
          <w:rFonts w:cs="Times New Roman"/>
          <w:sz w:val="23"/>
          <w:szCs w:val="23"/>
        </w:rPr>
        <w:t>§</w:t>
      </w:r>
      <w:r>
        <w:rPr>
          <w:rFonts w:cs="Times New Roman"/>
          <w:sz w:val="23"/>
          <w:szCs w:val="23"/>
        </w:rPr>
        <w:t>17</w:t>
      </w:r>
      <w:r w:rsidR="009348C2">
        <w:rPr>
          <w:rFonts w:cs="Times New Roman"/>
          <w:sz w:val="23"/>
          <w:szCs w:val="23"/>
        </w:rPr>
        <w:t>7</w:t>
      </w:r>
      <w:r w:rsidRPr="00C455D6">
        <w:rPr>
          <w:rFonts w:cs="Times New Roman"/>
          <w:sz w:val="23"/>
          <w:szCs w:val="23"/>
        </w:rPr>
        <w:t>. Section 1705.2.4 of  the New York city</w:t>
      </w:r>
      <w:r w:rsidRPr="00EC4EC4">
        <w:rPr>
          <w:rFonts w:cs="Times New Roman"/>
          <w:sz w:val="23"/>
          <w:szCs w:val="23"/>
        </w:rPr>
        <w:t xml:space="preserve"> building code, as added by local law number 126 for the year 2021, is amended to read as follows:</w:t>
      </w:r>
    </w:p>
    <w:p w14:paraId="7D9D7440" w14:textId="77777777" w:rsidR="00140B7C" w:rsidRPr="00EC4EC4" w:rsidRDefault="00140B7C" w:rsidP="00140B7C">
      <w:pPr>
        <w:pStyle w:val="FlushLeftDouble"/>
        <w:spacing w:after="0"/>
        <w:rPr>
          <w:b/>
          <w:bCs/>
          <w:szCs w:val="24"/>
          <w:u w:val="single"/>
        </w:rPr>
      </w:pPr>
    </w:p>
    <w:p w14:paraId="1C81A3A1" w14:textId="77777777" w:rsidR="00140B7C" w:rsidRPr="00EC4EC4" w:rsidRDefault="00140B7C" w:rsidP="00140B7C">
      <w:pPr>
        <w:pStyle w:val="FlushLeftDouble"/>
        <w:spacing w:after="0"/>
        <w:ind w:left="0"/>
        <w:rPr>
          <w:bCs/>
          <w:szCs w:val="24"/>
        </w:rPr>
      </w:pPr>
      <w:r w:rsidRPr="00EC4EC4">
        <w:rPr>
          <w:b/>
          <w:bCs/>
          <w:szCs w:val="24"/>
        </w:rPr>
        <w:t>1705.2.4 Special inspection for seismic resistance.</w:t>
      </w:r>
      <w:r w:rsidRPr="00EC4EC4">
        <w:rPr>
          <w:bCs/>
          <w:szCs w:val="24"/>
        </w:rPr>
        <w:t xml:space="preserve"> In addition to the other special inspection requirements of this code, special inspections of structural steel seismic force resistancing systems and structural steel elements shall be performed in accordance with [</w:t>
      </w:r>
      <w:r w:rsidRPr="00EC4EC4">
        <w:rPr>
          <w:bCs/>
          <w:strike/>
          <w:szCs w:val="24"/>
        </w:rPr>
        <w:t>Section</w:t>
      </w:r>
      <w:r w:rsidRPr="00EC4EC4">
        <w:rPr>
          <w:bCs/>
          <w:szCs w:val="24"/>
        </w:rPr>
        <w:t>]</w:t>
      </w:r>
      <w:r w:rsidRPr="00EC4EC4">
        <w:rPr>
          <w:bCs/>
          <w:szCs w:val="24"/>
          <w:u w:val="single"/>
        </w:rPr>
        <w:t>Sections</w:t>
      </w:r>
      <w:r w:rsidRPr="00EC4EC4">
        <w:rPr>
          <w:bCs/>
          <w:szCs w:val="24"/>
        </w:rPr>
        <w:t xml:space="preserve"> 1705.2.4.1 and 1705.2.4.2.</w:t>
      </w:r>
    </w:p>
    <w:p w14:paraId="346F0C04" w14:textId="77777777" w:rsidR="00140B7C" w:rsidRDefault="00140B7C" w:rsidP="00140B7C">
      <w:pPr>
        <w:kinsoku w:val="0"/>
        <w:spacing w:after="0" w:line="240" w:lineRule="auto"/>
        <w:ind w:firstLine="720"/>
        <w:jc w:val="both"/>
        <w:rPr>
          <w:rFonts w:cs="Times New Roman"/>
          <w:sz w:val="23"/>
          <w:szCs w:val="23"/>
        </w:rPr>
      </w:pPr>
    </w:p>
    <w:p w14:paraId="232CB598" w14:textId="64EC67F6"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17</w:t>
      </w:r>
      <w:r w:rsidR="009348C2">
        <w:rPr>
          <w:rFonts w:cs="Times New Roman"/>
          <w:sz w:val="23"/>
          <w:szCs w:val="23"/>
        </w:rPr>
        <w:t>8</w:t>
      </w:r>
      <w:r w:rsidRPr="00EC4EC4">
        <w:rPr>
          <w:rFonts w:cs="Times New Roman"/>
          <w:sz w:val="23"/>
          <w:szCs w:val="23"/>
        </w:rPr>
        <w:t xml:space="preserve">. </w:t>
      </w:r>
      <w:r>
        <w:rPr>
          <w:rFonts w:cs="Times New Roman"/>
          <w:sz w:val="23"/>
          <w:szCs w:val="23"/>
        </w:rPr>
        <w:t>Table</w:t>
      </w:r>
      <w:r w:rsidRPr="00EC4EC4">
        <w:rPr>
          <w:rFonts w:cs="Times New Roman"/>
          <w:sz w:val="23"/>
          <w:szCs w:val="23"/>
        </w:rPr>
        <w:t xml:space="preserve"> 1705.2.</w:t>
      </w:r>
      <w:r>
        <w:rPr>
          <w:rFonts w:cs="Times New Roman"/>
          <w:sz w:val="23"/>
          <w:szCs w:val="23"/>
        </w:rPr>
        <w:t>6</w:t>
      </w:r>
      <w:r w:rsidRPr="00EC4EC4">
        <w:rPr>
          <w:rFonts w:cs="Times New Roman"/>
          <w:sz w:val="23"/>
          <w:szCs w:val="23"/>
        </w:rPr>
        <w:t xml:space="preserve"> of  the New York city building code, as added by local law number 126 for the year 2021, is amended to read as follows:</w:t>
      </w:r>
    </w:p>
    <w:p w14:paraId="053F4E48" w14:textId="77777777" w:rsidR="00140B7C" w:rsidRPr="00A44DB3" w:rsidRDefault="00140B7C" w:rsidP="00140B7C"/>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2041"/>
        <w:gridCol w:w="2177"/>
        <w:gridCol w:w="1487"/>
        <w:gridCol w:w="1523"/>
      </w:tblGrid>
      <w:tr w:rsidR="00140B7C" w:rsidRPr="00A44DB3" w14:paraId="7B916A83" w14:textId="77777777" w:rsidTr="00BC1087">
        <w:trPr>
          <w:cantSplit/>
          <w:tblHeader/>
          <w:jc w:val="center"/>
        </w:trPr>
        <w:tc>
          <w:tcPr>
            <w:tcW w:w="5000" w:type="pct"/>
            <w:gridSpan w:val="5"/>
            <w:tcBorders>
              <w:top w:val="nil"/>
              <w:left w:val="nil"/>
              <w:right w:val="nil"/>
            </w:tcBorders>
            <w:shd w:val="clear" w:color="auto" w:fill="auto"/>
            <w:vAlign w:val="center"/>
          </w:tcPr>
          <w:p w14:paraId="68AACD43" w14:textId="77777777" w:rsidR="00140B7C" w:rsidRPr="00A44DB3" w:rsidRDefault="00140B7C" w:rsidP="00BC1087">
            <w:pPr>
              <w:widowControl w:val="0"/>
              <w:kinsoku w:val="0"/>
              <w:spacing w:before="36" w:after="0" w:line="240" w:lineRule="auto"/>
              <w:jc w:val="center"/>
              <w:rPr>
                <w:rFonts w:eastAsia="Times New Roman" w:cs="Times New Roman"/>
                <w:b/>
                <w:spacing w:val="3"/>
                <w:sz w:val="18"/>
                <w:szCs w:val="18"/>
              </w:rPr>
            </w:pPr>
            <w:r w:rsidRPr="00A44DB3">
              <w:rPr>
                <w:rFonts w:eastAsia="Times New Roman" w:cs="Times New Roman"/>
                <w:b/>
                <w:bCs/>
                <w:spacing w:val="3"/>
                <w:sz w:val="18"/>
                <w:szCs w:val="18"/>
              </w:rPr>
              <w:br w:type="page"/>
            </w:r>
            <w:r w:rsidRPr="00A44DB3">
              <w:rPr>
                <w:rFonts w:eastAsia="Times New Roman" w:cs="Times New Roman"/>
                <w:b/>
                <w:bCs/>
                <w:spacing w:val="3"/>
                <w:sz w:val="20"/>
                <w:szCs w:val="20"/>
              </w:rPr>
              <w:t>TABLE 1705.2.6</w:t>
            </w:r>
            <w:r w:rsidRPr="00A44DB3">
              <w:rPr>
                <w:rFonts w:eastAsia="Times New Roman" w:cs="Times New Roman"/>
                <w:b/>
                <w:bCs/>
                <w:spacing w:val="3"/>
                <w:sz w:val="20"/>
                <w:szCs w:val="20"/>
              </w:rPr>
              <w:br/>
              <w:t>REQUIRED SPECIAL INSPECTION OF COLD-FORMED STEEL CONSTRUCTION</w:t>
            </w:r>
          </w:p>
        </w:tc>
      </w:tr>
      <w:tr w:rsidR="00140B7C" w:rsidRPr="00A44DB3" w14:paraId="7E0E1D3A" w14:textId="77777777" w:rsidTr="00BC1087">
        <w:trPr>
          <w:cantSplit/>
          <w:trHeight w:val="644"/>
          <w:tblHeader/>
          <w:jc w:val="center"/>
        </w:trPr>
        <w:tc>
          <w:tcPr>
            <w:tcW w:w="1346" w:type="pct"/>
            <w:shd w:val="clear" w:color="auto" w:fill="auto"/>
            <w:vAlign w:val="center"/>
          </w:tcPr>
          <w:p w14:paraId="14B0285E" w14:textId="77777777" w:rsidR="00140B7C" w:rsidRPr="00A44DB3" w:rsidRDefault="00140B7C" w:rsidP="00BC1087">
            <w:pPr>
              <w:widowControl w:val="0"/>
              <w:kinsoku w:val="0"/>
              <w:spacing w:before="36" w:after="0" w:line="240" w:lineRule="auto"/>
              <w:jc w:val="center"/>
              <w:rPr>
                <w:rFonts w:eastAsia="Times New Roman" w:cs="Times New Roman"/>
                <w:b/>
                <w:spacing w:val="3"/>
                <w:sz w:val="18"/>
                <w:szCs w:val="18"/>
              </w:rPr>
            </w:pPr>
            <w:r w:rsidRPr="00A44DB3">
              <w:rPr>
                <w:rFonts w:eastAsia="Times New Roman" w:cs="Times New Roman"/>
                <w:b/>
                <w:spacing w:val="3"/>
                <w:sz w:val="18"/>
                <w:szCs w:val="18"/>
              </w:rPr>
              <w:t>TYPE</w:t>
            </w:r>
          </w:p>
        </w:tc>
        <w:tc>
          <w:tcPr>
            <w:tcW w:w="1037" w:type="pct"/>
            <w:shd w:val="clear" w:color="auto" w:fill="auto"/>
            <w:vAlign w:val="center"/>
          </w:tcPr>
          <w:p w14:paraId="45094C87" w14:textId="77777777" w:rsidR="00140B7C" w:rsidRPr="00A44DB3" w:rsidRDefault="00140B7C" w:rsidP="00BC1087">
            <w:pPr>
              <w:widowControl w:val="0"/>
              <w:kinsoku w:val="0"/>
              <w:spacing w:before="36" w:after="0" w:line="240" w:lineRule="auto"/>
              <w:jc w:val="center"/>
              <w:rPr>
                <w:rFonts w:eastAsia="Times New Roman" w:cs="Times New Roman"/>
                <w:b/>
                <w:spacing w:val="3"/>
                <w:sz w:val="18"/>
                <w:szCs w:val="18"/>
              </w:rPr>
            </w:pPr>
            <w:r w:rsidRPr="00A44DB3">
              <w:rPr>
                <w:rFonts w:eastAsia="Times New Roman" w:cs="Times New Roman"/>
                <w:b/>
                <w:spacing w:val="3"/>
                <w:sz w:val="18"/>
                <w:szCs w:val="18"/>
              </w:rPr>
              <w:t>CONTINUOUS SPECIAL INSPECTION</w:t>
            </w:r>
          </w:p>
        </w:tc>
        <w:tc>
          <w:tcPr>
            <w:tcW w:w="1106" w:type="pct"/>
            <w:shd w:val="clear" w:color="auto" w:fill="auto"/>
            <w:vAlign w:val="center"/>
          </w:tcPr>
          <w:p w14:paraId="10C9C198" w14:textId="77777777" w:rsidR="00140B7C" w:rsidRPr="00A44DB3" w:rsidRDefault="00140B7C" w:rsidP="00BC1087">
            <w:pPr>
              <w:widowControl w:val="0"/>
              <w:kinsoku w:val="0"/>
              <w:spacing w:before="36" w:after="0" w:line="240" w:lineRule="auto"/>
              <w:jc w:val="center"/>
              <w:rPr>
                <w:rFonts w:eastAsia="Times New Roman" w:cs="Times New Roman"/>
                <w:b/>
                <w:spacing w:val="3"/>
                <w:sz w:val="18"/>
                <w:szCs w:val="18"/>
              </w:rPr>
            </w:pPr>
            <w:r w:rsidRPr="00A44DB3">
              <w:rPr>
                <w:rFonts w:eastAsia="Times New Roman" w:cs="Times New Roman"/>
                <w:b/>
                <w:spacing w:val="3"/>
                <w:sz w:val="18"/>
                <w:szCs w:val="18"/>
              </w:rPr>
              <w:t>PERIODIC SPECIAL INSPECTION</w:t>
            </w:r>
          </w:p>
        </w:tc>
        <w:tc>
          <w:tcPr>
            <w:tcW w:w="736" w:type="pct"/>
            <w:shd w:val="clear" w:color="auto" w:fill="auto"/>
            <w:vAlign w:val="center"/>
          </w:tcPr>
          <w:p w14:paraId="2714A2F0" w14:textId="77777777" w:rsidR="00140B7C" w:rsidRPr="00A44DB3" w:rsidRDefault="00140B7C" w:rsidP="00BC1087">
            <w:pPr>
              <w:widowControl w:val="0"/>
              <w:kinsoku w:val="0"/>
              <w:spacing w:before="36" w:after="0" w:line="240" w:lineRule="auto"/>
              <w:jc w:val="center"/>
              <w:rPr>
                <w:rFonts w:eastAsia="Times New Roman" w:cs="Times New Roman"/>
                <w:b/>
                <w:spacing w:val="3"/>
                <w:sz w:val="18"/>
                <w:szCs w:val="18"/>
              </w:rPr>
            </w:pPr>
            <w:r w:rsidRPr="00A44DB3">
              <w:rPr>
                <w:rFonts w:eastAsia="Times New Roman" w:cs="Times New Roman"/>
                <w:b/>
                <w:spacing w:val="3"/>
                <w:sz w:val="18"/>
                <w:szCs w:val="18"/>
              </w:rPr>
              <w:t>REFERENCED STANDARD</w:t>
            </w:r>
          </w:p>
        </w:tc>
        <w:tc>
          <w:tcPr>
            <w:tcW w:w="774" w:type="pct"/>
            <w:shd w:val="clear" w:color="auto" w:fill="auto"/>
            <w:vAlign w:val="center"/>
          </w:tcPr>
          <w:p w14:paraId="5DBB85EF" w14:textId="77777777" w:rsidR="00140B7C" w:rsidRPr="00A44DB3" w:rsidRDefault="00140B7C" w:rsidP="00BC1087">
            <w:pPr>
              <w:widowControl w:val="0"/>
              <w:kinsoku w:val="0"/>
              <w:spacing w:before="36" w:after="0" w:line="240" w:lineRule="auto"/>
              <w:jc w:val="center"/>
              <w:rPr>
                <w:rFonts w:eastAsia="Times New Roman" w:cs="Times New Roman"/>
                <w:b/>
                <w:spacing w:val="3"/>
                <w:sz w:val="18"/>
                <w:szCs w:val="18"/>
              </w:rPr>
            </w:pPr>
            <w:r w:rsidRPr="00A44DB3">
              <w:rPr>
                <w:rFonts w:eastAsia="Times New Roman" w:cs="Times New Roman"/>
                <w:b/>
                <w:spacing w:val="3"/>
                <w:sz w:val="18"/>
                <w:szCs w:val="18"/>
              </w:rPr>
              <w:t>BC REFERENCE</w:t>
            </w:r>
          </w:p>
        </w:tc>
      </w:tr>
      <w:tr w:rsidR="00140B7C" w:rsidRPr="00A44DB3" w14:paraId="03DAFFFD" w14:textId="77777777" w:rsidTr="00BC1087">
        <w:trPr>
          <w:jc w:val="center"/>
        </w:trPr>
        <w:tc>
          <w:tcPr>
            <w:tcW w:w="1346" w:type="pct"/>
            <w:shd w:val="clear" w:color="auto" w:fill="auto"/>
            <w:vAlign w:val="center"/>
          </w:tcPr>
          <w:p w14:paraId="7E84407D" w14:textId="77777777" w:rsidR="00140B7C" w:rsidRPr="00A44DB3" w:rsidRDefault="00140B7C" w:rsidP="00BC1087">
            <w:pPr>
              <w:widowControl w:val="0"/>
              <w:kinsoku w:val="0"/>
              <w:spacing w:before="36" w:after="0" w:line="240" w:lineRule="auto"/>
              <w:ind w:left="360" w:hanging="360"/>
              <w:rPr>
                <w:rFonts w:eastAsia="Times New Roman" w:cs="Times New Roman"/>
                <w:b/>
                <w:spacing w:val="3"/>
                <w:sz w:val="18"/>
                <w:szCs w:val="18"/>
              </w:rPr>
            </w:pPr>
            <w:r w:rsidRPr="00A44DB3">
              <w:rPr>
                <w:rFonts w:eastAsia="Times New Roman" w:cs="Times New Roman"/>
                <w:b/>
                <w:spacing w:val="3"/>
                <w:sz w:val="18"/>
                <w:szCs w:val="18"/>
              </w:rPr>
              <w:t>1.</w:t>
            </w:r>
            <w:r w:rsidRPr="00A44DB3">
              <w:rPr>
                <w:rFonts w:eastAsia="Times New Roman" w:cs="Times New Roman"/>
                <w:b/>
                <w:spacing w:val="3"/>
                <w:sz w:val="18"/>
                <w:szCs w:val="18"/>
              </w:rPr>
              <w:tab/>
              <w:t>Material Verification:</w:t>
            </w:r>
          </w:p>
        </w:tc>
        <w:tc>
          <w:tcPr>
            <w:tcW w:w="1037" w:type="pct"/>
            <w:shd w:val="clear" w:color="auto" w:fill="auto"/>
            <w:vAlign w:val="center"/>
          </w:tcPr>
          <w:p w14:paraId="32AAF685"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tcBorders>
              <w:bottom w:val="single" w:sz="4" w:space="0" w:color="auto"/>
            </w:tcBorders>
            <w:shd w:val="clear" w:color="auto" w:fill="auto"/>
            <w:vAlign w:val="center"/>
          </w:tcPr>
          <w:p w14:paraId="63C01093"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36" w:type="pct"/>
            <w:shd w:val="clear" w:color="auto" w:fill="auto"/>
            <w:vAlign w:val="center"/>
          </w:tcPr>
          <w:p w14:paraId="5A48C373"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347EE9C5"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3A51172E" w14:textId="77777777" w:rsidTr="00BC1087">
        <w:trPr>
          <w:jc w:val="center"/>
        </w:trPr>
        <w:tc>
          <w:tcPr>
            <w:tcW w:w="1346" w:type="pct"/>
            <w:shd w:val="clear" w:color="auto" w:fill="auto"/>
            <w:vAlign w:val="center"/>
          </w:tcPr>
          <w:p w14:paraId="039B4316"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a.</w:t>
            </w:r>
            <w:r w:rsidRPr="00A44DB3">
              <w:rPr>
                <w:rFonts w:eastAsia="Times New Roman" w:cs="Times New Roman"/>
                <w:spacing w:val="3"/>
                <w:sz w:val="18"/>
                <w:szCs w:val="18"/>
              </w:rPr>
              <w:tab/>
              <w:t xml:space="preserve">Verify that identification markings conform to AISI </w:t>
            </w:r>
            <w:r>
              <w:rPr>
                <w:rFonts w:eastAsia="Times New Roman" w:cs="Times New Roman"/>
                <w:spacing w:val="3"/>
                <w:sz w:val="18"/>
                <w:szCs w:val="18"/>
              </w:rPr>
              <w:t>[</w:t>
            </w:r>
            <w:r w:rsidRPr="00A44DB3">
              <w:rPr>
                <w:rFonts w:eastAsia="Times New Roman" w:cs="Times New Roman"/>
                <w:strike/>
                <w:spacing w:val="3"/>
                <w:sz w:val="18"/>
                <w:szCs w:val="18"/>
              </w:rPr>
              <w:t>S240and</w:t>
            </w:r>
            <w:r>
              <w:rPr>
                <w:rFonts w:eastAsia="Times New Roman" w:cs="Times New Roman"/>
                <w:spacing w:val="3"/>
                <w:sz w:val="18"/>
                <w:szCs w:val="18"/>
              </w:rPr>
              <w:t>]</w:t>
            </w:r>
            <w:r w:rsidRPr="00A44DB3">
              <w:rPr>
                <w:rFonts w:eastAsia="Times New Roman" w:cs="Times New Roman"/>
                <w:spacing w:val="3"/>
                <w:sz w:val="18"/>
                <w:szCs w:val="18"/>
                <w:u w:val="single"/>
              </w:rPr>
              <w:t>S240 and</w:t>
            </w:r>
            <w:r w:rsidRPr="00A44DB3">
              <w:rPr>
                <w:rFonts w:eastAsia="Times New Roman" w:cs="Times New Roman"/>
                <w:spacing w:val="3"/>
                <w:sz w:val="18"/>
                <w:szCs w:val="18"/>
              </w:rPr>
              <w:t xml:space="preserve"> as specified in the approved construction documents.</w:t>
            </w:r>
          </w:p>
        </w:tc>
        <w:tc>
          <w:tcPr>
            <w:tcW w:w="1037" w:type="pct"/>
            <w:shd w:val="clear" w:color="auto" w:fill="auto"/>
            <w:vAlign w:val="center"/>
          </w:tcPr>
          <w:p w14:paraId="766962FA"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bCs/>
                <w:spacing w:val="3"/>
                <w:sz w:val="18"/>
                <w:szCs w:val="18"/>
              </w:rPr>
              <w:t>X</w:t>
            </w:r>
          </w:p>
        </w:tc>
        <w:tc>
          <w:tcPr>
            <w:tcW w:w="1106" w:type="pct"/>
            <w:shd w:val="clear" w:color="auto" w:fill="auto"/>
            <w:vAlign w:val="center"/>
          </w:tcPr>
          <w:p w14:paraId="440715AB"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36" w:type="pct"/>
            <w:shd w:val="clear" w:color="auto" w:fill="auto"/>
            <w:vAlign w:val="center"/>
          </w:tcPr>
          <w:p w14:paraId="5ED71CE8"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AISI S240, Section D6.5</w:t>
            </w:r>
          </w:p>
        </w:tc>
        <w:tc>
          <w:tcPr>
            <w:tcW w:w="774" w:type="pct"/>
            <w:shd w:val="clear" w:color="auto" w:fill="auto"/>
            <w:vAlign w:val="center"/>
          </w:tcPr>
          <w:p w14:paraId="7D7CDDAC"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7D6DE2C8" w14:textId="77777777" w:rsidTr="00BC1087">
        <w:trPr>
          <w:jc w:val="center"/>
        </w:trPr>
        <w:tc>
          <w:tcPr>
            <w:tcW w:w="1346" w:type="pct"/>
            <w:shd w:val="clear" w:color="auto" w:fill="auto"/>
            <w:vAlign w:val="center"/>
          </w:tcPr>
          <w:p w14:paraId="53F317C0"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b.</w:t>
            </w:r>
            <w:r w:rsidRPr="00A44DB3">
              <w:rPr>
                <w:rFonts w:eastAsia="Times New Roman" w:cs="Times New Roman"/>
                <w:spacing w:val="3"/>
                <w:sz w:val="18"/>
                <w:szCs w:val="18"/>
              </w:rPr>
              <w:tab/>
              <w:t>Verify that material is clean, straight and undamaged.</w:t>
            </w:r>
          </w:p>
        </w:tc>
        <w:tc>
          <w:tcPr>
            <w:tcW w:w="1037" w:type="pct"/>
            <w:shd w:val="clear" w:color="auto" w:fill="auto"/>
            <w:vAlign w:val="center"/>
          </w:tcPr>
          <w:p w14:paraId="2FE30B00"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3429C835"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shd w:val="clear" w:color="auto" w:fill="auto"/>
            <w:vAlign w:val="center"/>
          </w:tcPr>
          <w:p w14:paraId="41F25E7D"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0A1FB4F5"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421BB3B0" w14:textId="77777777" w:rsidTr="00BC1087">
        <w:trPr>
          <w:jc w:val="center"/>
        </w:trPr>
        <w:tc>
          <w:tcPr>
            <w:tcW w:w="1346" w:type="pct"/>
            <w:shd w:val="clear" w:color="auto" w:fill="auto"/>
            <w:vAlign w:val="center"/>
          </w:tcPr>
          <w:p w14:paraId="7BA2134E" w14:textId="77777777" w:rsidR="00140B7C" w:rsidRPr="00A44DB3" w:rsidRDefault="00140B7C" w:rsidP="00BC1087">
            <w:pPr>
              <w:widowControl w:val="0"/>
              <w:kinsoku w:val="0"/>
              <w:spacing w:before="36" w:after="0" w:line="240" w:lineRule="auto"/>
              <w:ind w:left="360" w:hanging="360"/>
              <w:rPr>
                <w:rFonts w:eastAsia="Times New Roman" w:cs="Times New Roman"/>
                <w:b/>
                <w:spacing w:val="3"/>
                <w:sz w:val="18"/>
                <w:szCs w:val="18"/>
              </w:rPr>
            </w:pPr>
            <w:r w:rsidRPr="00A44DB3">
              <w:rPr>
                <w:rFonts w:eastAsia="Times New Roman" w:cs="Times New Roman"/>
                <w:b/>
                <w:spacing w:val="3"/>
                <w:sz w:val="18"/>
                <w:szCs w:val="18"/>
              </w:rPr>
              <w:t>2.</w:t>
            </w:r>
            <w:r w:rsidRPr="00A44DB3">
              <w:rPr>
                <w:rFonts w:eastAsia="Times New Roman" w:cs="Times New Roman"/>
                <w:b/>
                <w:spacing w:val="3"/>
                <w:sz w:val="18"/>
                <w:szCs w:val="18"/>
              </w:rPr>
              <w:tab/>
              <w:t>Inspection of general framing:</w:t>
            </w:r>
          </w:p>
        </w:tc>
        <w:tc>
          <w:tcPr>
            <w:tcW w:w="1037" w:type="pct"/>
            <w:shd w:val="clear" w:color="auto" w:fill="auto"/>
            <w:vAlign w:val="center"/>
          </w:tcPr>
          <w:p w14:paraId="13CB92E5"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03CF22E7"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36" w:type="pct"/>
            <w:shd w:val="clear" w:color="auto" w:fill="auto"/>
            <w:vAlign w:val="center"/>
          </w:tcPr>
          <w:p w14:paraId="3C7AA4E0"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4813FE9D"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015E6E5A" w14:textId="77777777" w:rsidTr="00BC1087">
        <w:trPr>
          <w:jc w:val="center"/>
        </w:trPr>
        <w:tc>
          <w:tcPr>
            <w:tcW w:w="1346" w:type="pct"/>
            <w:shd w:val="clear" w:color="auto" w:fill="auto"/>
            <w:vAlign w:val="center"/>
          </w:tcPr>
          <w:p w14:paraId="3BC93AEF"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a.</w:t>
            </w:r>
            <w:r w:rsidRPr="00A44DB3">
              <w:rPr>
                <w:rFonts w:eastAsia="Times New Roman" w:cs="Times New Roman"/>
                <w:spacing w:val="3"/>
                <w:sz w:val="18"/>
                <w:szCs w:val="18"/>
              </w:rPr>
              <w:tab/>
              <w:t xml:space="preserve">Verify that member sizes conform to the </w:t>
            </w:r>
            <w:r w:rsidRPr="00A44DB3">
              <w:rPr>
                <w:rFonts w:eastAsia="Times New Roman" w:cs="Times New Roman"/>
                <w:spacing w:val="3"/>
                <w:sz w:val="18"/>
                <w:szCs w:val="18"/>
              </w:rPr>
              <w:lastRenderedPageBreak/>
              <w:t>approved construction documents.</w:t>
            </w:r>
          </w:p>
        </w:tc>
        <w:tc>
          <w:tcPr>
            <w:tcW w:w="1037" w:type="pct"/>
            <w:shd w:val="clear" w:color="auto" w:fill="auto"/>
            <w:vAlign w:val="center"/>
          </w:tcPr>
          <w:p w14:paraId="31E6AE0E"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79B010A5"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vMerge w:val="restart"/>
            <w:shd w:val="clear" w:color="auto" w:fill="auto"/>
            <w:vAlign w:val="center"/>
          </w:tcPr>
          <w:p w14:paraId="727B87AB"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AISI S240 Section C</w:t>
            </w:r>
          </w:p>
        </w:tc>
        <w:tc>
          <w:tcPr>
            <w:tcW w:w="774" w:type="pct"/>
            <w:shd w:val="clear" w:color="auto" w:fill="auto"/>
            <w:vAlign w:val="center"/>
          </w:tcPr>
          <w:p w14:paraId="0810A389"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53A56F74" w14:textId="77777777" w:rsidTr="00BC1087">
        <w:trPr>
          <w:jc w:val="center"/>
        </w:trPr>
        <w:tc>
          <w:tcPr>
            <w:tcW w:w="1346" w:type="pct"/>
            <w:shd w:val="clear" w:color="auto" w:fill="auto"/>
            <w:vAlign w:val="center"/>
          </w:tcPr>
          <w:p w14:paraId="1EBC3349"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b.</w:t>
            </w:r>
            <w:r w:rsidRPr="00A44DB3">
              <w:rPr>
                <w:rFonts w:eastAsia="Times New Roman" w:cs="Times New Roman"/>
                <w:spacing w:val="3"/>
                <w:sz w:val="18"/>
                <w:szCs w:val="18"/>
              </w:rPr>
              <w:tab/>
              <w:t>Verify that member layout conforms to the approved construction documents.</w:t>
            </w:r>
          </w:p>
        </w:tc>
        <w:tc>
          <w:tcPr>
            <w:tcW w:w="1037" w:type="pct"/>
            <w:shd w:val="clear" w:color="auto" w:fill="auto"/>
            <w:vAlign w:val="center"/>
          </w:tcPr>
          <w:p w14:paraId="35084107"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18B36FCA"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vMerge/>
            <w:shd w:val="clear" w:color="auto" w:fill="auto"/>
            <w:vAlign w:val="center"/>
          </w:tcPr>
          <w:p w14:paraId="36D46A18"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0DF6E46A"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35EDED22" w14:textId="77777777" w:rsidTr="00BC1087">
        <w:trPr>
          <w:jc w:val="center"/>
        </w:trPr>
        <w:tc>
          <w:tcPr>
            <w:tcW w:w="1346" w:type="pct"/>
            <w:shd w:val="clear" w:color="auto" w:fill="auto"/>
            <w:vAlign w:val="center"/>
          </w:tcPr>
          <w:p w14:paraId="0CB190C8"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c.</w:t>
            </w:r>
            <w:r w:rsidRPr="00A44DB3">
              <w:rPr>
                <w:rFonts w:eastAsia="Times New Roman" w:cs="Times New Roman"/>
                <w:spacing w:val="3"/>
                <w:sz w:val="18"/>
                <w:szCs w:val="18"/>
              </w:rPr>
              <w:tab/>
              <w:t>Verify that proper bearing lengths are provided in accordance with approved construction documents.</w:t>
            </w:r>
          </w:p>
        </w:tc>
        <w:tc>
          <w:tcPr>
            <w:tcW w:w="1037" w:type="pct"/>
            <w:shd w:val="clear" w:color="auto" w:fill="auto"/>
            <w:vAlign w:val="center"/>
          </w:tcPr>
          <w:p w14:paraId="130C01C1"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4EAC0C53"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vMerge/>
            <w:shd w:val="clear" w:color="auto" w:fill="auto"/>
            <w:vAlign w:val="center"/>
          </w:tcPr>
          <w:p w14:paraId="3961A35F"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71C53778"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1BE99422" w14:textId="77777777" w:rsidTr="00BC1087">
        <w:trPr>
          <w:jc w:val="center"/>
        </w:trPr>
        <w:tc>
          <w:tcPr>
            <w:tcW w:w="1346" w:type="pct"/>
            <w:shd w:val="clear" w:color="auto" w:fill="auto"/>
            <w:vAlign w:val="center"/>
          </w:tcPr>
          <w:p w14:paraId="03AEF29E"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d.</w:t>
            </w:r>
            <w:r w:rsidRPr="00A44DB3">
              <w:rPr>
                <w:rFonts w:eastAsia="Times New Roman" w:cs="Times New Roman"/>
                <w:spacing w:val="3"/>
                <w:sz w:val="18"/>
                <w:szCs w:val="18"/>
              </w:rPr>
              <w:tab/>
              <w:t>Verify that punched holes and sheared or flame cut edges of material in members are clean and free from notches and burred edges.</w:t>
            </w:r>
          </w:p>
        </w:tc>
        <w:tc>
          <w:tcPr>
            <w:tcW w:w="1037" w:type="pct"/>
            <w:shd w:val="clear" w:color="auto" w:fill="auto"/>
            <w:vAlign w:val="center"/>
          </w:tcPr>
          <w:p w14:paraId="699E52E4"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79DED735"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vMerge/>
            <w:shd w:val="clear" w:color="auto" w:fill="auto"/>
            <w:vAlign w:val="center"/>
          </w:tcPr>
          <w:p w14:paraId="74F2F90C"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284937AC"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6579E4B9" w14:textId="77777777" w:rsidTr="00BC1087">
        <w:trPr>
          <w:jc w:val="center"/>
        </w:trPr>
        <w:tc>
          <w:tcPr>
            <w:tcW w:w="1346" w:type="pct"/>
            <w:shd w:val="clear" w:color="auto" w:fill="auto"/>
            <w:vAlign w:val="center"/>
          </w:tcPr>
          <w:p w14:paraId="6AE49D3D" w14:textId="77777777" w:rsidR="00140B7C" w:rsidRPr="00A44DB3" w:rsidRDefault="00140B7C" w:rsidP="00BC1087">
            <w:pPr>
              <w:widowControl w:val="0"/>
              <w:kinsoku w:val="0"/>
              <w:spacing w:before="36" w:after="0" w:line="240" w:lineRule="auto"/>
              <w:ind w:left="360" w:hanging="360"/>
              <w:rPr>
                <w:rFonts w:eastAsia="Times New Roman" w:cs="Times New Roman"/>
                <w:b/>
                <w:spacing w:val="3"/>
                <w:sz w:val="18"/>
                <w:szCs w:val="18"/>
              </w:rPr>
            </w:pPr>
            <w:r w:rsidRPr="00A44DB3">
              <w:rPr>
                <w:rFonts w:eastAsia="Times New Roman" w:cs="Times New Roman"/>
                <w:b/>
                <w:spacing w:val="3"/>
                <w:sz w:val="18"/>
                <w:szCs w:val="18"/>
              </w:rPr>
              <w:t>3.</w:t>
            </w:r>
            <w:r w:rsidRPr="00A44DB3">
              <w:rPr>
                <w:rFonts w:eastAsia="Times New Roman" w:cs="Times New Roman"/>
                <w:b/>
                <w:spacing w:val="3"/>
                <w:sz w:val="18"/>
                <w:szCs w:val="18"/>
              </w:rPr>
              <w:tab/>
              <w:t>Inspection of framing connections and anchorages:</w:t>
            </w:r>
          </w:p>
        </w:tc>
        <w:tc>
          <w:tcPr>
            <w:tcW w:w="1037" w:type="pct"/>
            <w:shd w:val="clear" w:color="auto" w:fill="auto"/>
            <w:vAlign w:val="center"/>
          </w:tcPr>
          <w:p w14:paraId="5F711289"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0FE108D5"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36" w:type="pct"/>
            <w:shd w:val="clear" w:color="auto" w:fill="auto"/>
            <w:vAlign w:val="center"/>
          </w:tcPr>
          <w:p w14:paraId="471C9EE8"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300907B8"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2C638142" w14:textId="77777777" w:rsidTr="00BC1087">
        <w:trPr>
          <w:jc w:val="center"/>
        </w:trPr>
        <w:tc>
          <w:tcPr>
            <w:tcW w:w="1346" w:type="pct"/>
            <w:shd w:val="clear" w:color="auto" w:fill="auto"/>
            <w:vAlign w:val="center"/>
          </w:tcPr>
          <w:p w14:paraId="104886F8"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a.</w:t>
            </w:r>
            <w:r w:rsidRPr="00A44DB3">
              <w:rPr>
                <w:rFonts w:eastAsia="Times New Roman" w:cs="Times New Roman"/>
                <w:spacing w:val="3"/>
                <w:sz w:val="18"/>
                <w:szCs w:val="18"/>
              </w:rPr>
              <w:tab/>
              <w:t>Verify that screws, bolts, and other fasteners conform to approved construction document requirements for diameter, length, quantity, spacing, edge distance, and location.</w:t>
            </w:r>
          </w:p>
        </w:tc>
        <w:tc>
          <w:tcPr>
            <w:tcW w:w="1037" w:type="pct"/>
            <w:shd w:val="clear" w:color="auto" w:fill="auto"/>
            <w:vAlign w:val="center"/>
          </w:tcPr>
          <w:p w14:paraId="496E91F0"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31E186B8"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shd w:val="clear" w:color="auto" w:fill="auto"/>
            <w:vAlign w:val="center"/>
          </w:tcPr>
          <w:p w14:paraId="33FA1537"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AISI S240, Section D6.7</w:t>
            </w:r>
          </w:p>
        </w:tc>
        <w:tc>
          <w:tcPr>
            <w:tcW w:w="774" w:type="pct"/>
            <w:shd w:val="clear" w:color="auto" w:fill="auto"/>
            <w:vAlign w:val="center"/>
          </w:tcPr>
          <w:p w14:paraId="1C0CA6B0"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5F02183F" w14:textId="77777777" w:rsidTr="00BC1087">
        <w:trPr>
          <w:jc w:val="center"/>
        </w:trPr>
        <w:tc>
          <w:tcPr>
            <w:tcW w:w="1346" w:type="pct"/>
            <w:shd w:val="clear" w:color="auto" w:fill="auto"/>
            <w:vAlign w:val="center"/>
          </w:tcPr>
          <w:p w14:paraId="00629A38"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b.</w:t>
            </w:r>
            <w:r w:rsidRPr="00A44DB3">
              <w:rPr>
                <w:rFonts w:eastAsia="Times New Roman" w:cs="Times New Roman"/>
                <w:spacing w:val="3"/>
                <w:sz w:val="18"/>
                <w:szCs w:val="18"/>
              </w:rPr>
              <w:tab/>
              <w:t>Verify that manufactured connectors, such as joist hangers, caps, straps, clips, ties, hold-downs, and anchors conform to approved construction document requirements for manufacturer, type, gauge, and fastener requirements.</w:t>
            </w:r>
          </w:p>
        </w:tc>
        <w:tc>
          <w:tcPr>
            <w:tcW w:w="1037" w:type="pct"/>
            <w:shd w:val="clear" w:color="auto" w:fill="auto"/>
            <w:vAlign w:val="center"/>
          </w:tcPr>
          <w:p w14:paraId="61C316A1"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144818DA"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shd w:val="clear" w:color="auto" w:fill="auto"/>
            <w:vAlign w:val="center"/>
          </w:tcPr>
          <w:p w14:paraId="2CEE1673"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AISI S240 Section B1.5 and Section C4</w:t>
            </w:r>
          </w:p>
        </w:tc>
        <w:tc>
          <w:tcPr>
            <w:tcW w:w="774" w:type="pct"/>
            <w:shd w:val="clear" w:color="auto" w:fill="auto"/>
            <w:vAlign w:val="center"/>
          </w:tcPr>
          <w:p w14:paraId="44DFF68B"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7F9D7533" w14:textId="77777777" w:rsidTr="00BC1087">
        <w:trPr>
          <w:trHeight w:val="545"/>
          <w:jc w:val="center"/>
        </w:trPr>
        <w:tc>
          <w:tcPr>
            <w:tcW w:w="1346" w:type="pct"/>
            <w:shd w:val="clear" w:color="auto" w:fill="auto"/>
            <w:vAlign w:val="center"/>
          </w:tcPr>
          <w:p w14:paraId="6E691C59"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c.</w:t>
            </w:r>
            <w:r w:rsidRPr="00A44DB3">
              <w:rPr>
                <w:rFonts w:eastAsia="Times New Roman" w:cs="Times New Roman"/>
                <w:spacing w:val="3"/>
                <w:sz w:val="18"/>
                <w:szCs w:val="18"/>
              </w:rPr>
              <w:tab/>
              <w:t>Post-installed connections to concrete.</w:t>
            </w:r>
          </w:p>
        </w:tc>
        <w:tc>
          <w:tcPr>
            <w:tcW w:w="1037" w:type="pct"/>
            <w:shd w:val="clear" w:color="auto" w:fill="auto"/>
            <w:vAlign w:val="center"/>
          </w:tcPr>
          <w:p w14:paraId="51717F03"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1106" w:type="pct"/>
            <w:shd w:val="clear" w:color="auto" w:fill="auto"/>
            <w:vAlign w:val="center"/>
          </w:tcPr>
          <w:p w14:paraId="0A227986"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36" w:type="pct"/>
            <w:shd w:val="clear" w:color="auto" w:fill="auto"/>
            <w:vAlign w:val="center"/>
          </w:tcPr>
          <w:p w14:paraId="679CBE94"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AISI S240 Section D6.9</w:t>
            </w:r>
          </w:p>
        </w:tc>
        <w:tc>
          <w:tcPr>
            <w:tcW w:w="774" w:type="pct"/>
            <w:shd w:val="clear" w:color="auto" w:fill="auto"/>
            <w:vAlign w:val="center"/>
          </w:tcPr>
          <w:p w14:paraId="034816C0"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33E6DA86" w14:textId="77777777" w:rsidTr="00BC1087">
        <w:trPr>
          <w:jc w:val="center"/>
        </w:trPr>
        <w:tc>
          <w:tcPr>
            <w:tcW w:w="1346" w:type="pct"/>
            <w:shd w:val="clear" w:color="auto" w:fill="auto"/>
            <w:vAlign w:val="center"/>
          </w:tcPr>
          <w:p w14:paraId="56A6213C" w14:textId="77777777" w:rsidR="00140B7C" w:rsidRPr="00A44DB3" w:rsidRDefault="00140B7C" w:rsidP="00BC1087">
            <w:pPr>
              <w:widowControl w:val="0"/>
              <w:kinsoku w:val="0"/>
              <w:spacing w:before="36" w:after="0" w:line="240" w:lineRule="auto"/>
              <w:ind w:left="360" w:hanging="360"/>
              <w:rPr>
                <w:rFonts w:eastAsia="Times New Roman" w:cs="Times New Roman"/>
                <w:b/>
                <w:spacing w:val="3"/>
                <w:sz w:val="18"/>
                <w:szCs w:val="18"/>
              </w:rPr>
            </w:pPr>
            <w:r w:rsidRPr="00A44DB3">
              <w:rPr>
                <w:rFonts w:eastAsia="Times New Roman" w:cs="Times New Roman"/>
                <w:b/>
                <w:spacing w:val="3"/>
                <w:sz w:val="18"/>
                <w:szCs w:val="18"/>
              </w:rPr>
              <w:t>4.</w:t>
            </w:r>
            <w:r w:rsidRPr="00A44DB3">
              <w:rPr>
                <w:rFonts w:eastAsia="Times New Roman" w:cs="Times New Roman"/>
                <w:b/>
                <w:spacing w:val="3"/>
                <w:sz w:val="18"/>
                <w:szCs w:val="18"/>
              </w:rPr>
              <w:tab/>
              <w:t>Inspection of welding:</w:t>
            </w:r>
          </w:p>
        </w:tc>
        <w:tc>
          <w:tcPr>
            <w:tcW w:w="1037" w:type="pct"/>
            <w:shd w:val="clear" w:color="auto" w:fill="auto"/>
            <w:vAlign w:val="center"/>
          </w:tcPr>
          <w:p w14:paraId="3E55E75E"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0099E28F"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36" w:type="pct"/>
            <w:shd w:val="clear" w:color="auto" w:fill="auto"/>
            <w:vAlign w:val="center"/>
          </w:tcPr>
          <w:p w14:paraId="2A954086"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3AD90D7A"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65BF7F63" w14:textId="77777777" w:rsidTr="00BC1087">
        <w:trPr>
          <w:trHeight w:val="908"/>
          <w:jc w:val="center"/>
        </w:trPr>
        <w:tc>
          <w:tcPr>
            <w:tcW w:w="1346" w:type="pct"/>
            <w:shd w:val="clear" w:color="auto" w:fill="auto"/>
            <w:vAlign w:val="center"/>
          </w:tcPr>
          <w:p w14:paraId="3A5A16B4"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a.</w:t>
            </w:r>
            <w:r w:rsidRPr="00A44DB3">
              <w:rPr>
                <w:rFonts w:eastAsia="Times New Roman" w:cs="Times New Roman"/>
                <w:spacing w:val="3"/>
                <w:sz w:val="18"/>
                <w:szCs w:val="18"/>
              </w:rPr>
              <w:tab/>
              <w:t>Inspect welds in accordance with S240 Section D6.6.</w:t>
            </w:r>
          </w:p>
        </w:tc>
        <w:tc>
          <w:tcPr>
            <w:tcW w:w="1037" w:type="pct"/>
            <w:shd w:val="clear" w:color="auto" w:fill="auto"/>
            <w:vAlign w:val="center"/>
          </w:tcPr>
          <w:p w14:paraId="2D25D0EE"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1ECD16A0"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shd w:val="clear" w:color="auto" w:fill="auto"/>
            <w:vAlign w:val="center"/>
          </w:tcPr>
          <w:p w14:paraId="3CE9BBA3"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AWS D1.3, AISI S240 Section D6.6</w:t>
            </w:r>
          </w:p>
        </w:tc>
        <w:tc>
          <w:tcPr>
            <w:tcW w:w="774" w:type="pct"/>
            <w:shd w:val="clear" w:color="auto" w:fill="auto"/>
            <w:vAlign w:val="center"/>
          </w:tcPr>
          <w:p w14:paraId="6DD028F0"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60FA9C52" w14:textId="77777777" w:rsidTr="00BC1087">
        <w:trPr>
          <w:trHeight w:val="1016"/>
          <w:jc w:val="center"/>
        </w:trPr>
        <w:tc>
          <w:tcPr>
            <w:tcW w:w="1346" w:type="pct"/>
            <w:shd w:val="clear" w:color="auto" w:fill="auto"/>
            <w:vAlign w:val="center"/>
          </w:tcPr>
          <w:p w14:paraId="7E86F112"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lastRenderedPageBreak/>
              <w:t>b.</w:t>
            </w:r>
            <w:r w:rsidRPr="00A44DB3">
              <w:rPr>
                <w:rFonts w:eastAsia="Times New Roman" w:cs="Times New Roman"/>
                <w:spacing w:val="3"/>
                <w:sz w:val="18"/>
                <w:szCs w:val="18"/>
              </w:rPr>
              <w:tab/>
              <w:t>Additional requirements for welds performed as a part of a lateral force-resisting system</w:t>
            </w:r>
          </w:p>
        </w:tc>
        <w:tc>
          <w:tcPr>
            <w:tcW w:w="1037" w:type="pct"/>
            <w:shd w:val="clear" w:color="auto" w:fill="auto"/>
            <w:vAlign w:val="center"/>
          </w:tcPr>
          <w:p w14:paraId="19DB4643"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r w:rsidRPr="00A44DB3">
              <w:rPr>
                <w:rFonts w:eastAsia="Times New Roman" w:cs="Times New Roman"/>
                <w:spacing w:val="3"/>
                <w:sz w:val="18"/>
                <w:szCs w:val="18"/>
              </w:rPr>
              <w:br/>
              <w:t>Note a</w:t>
            </w:r>
          </w:p>
        </w:tc>
        <w:tc>
          <w:tcPr>
            <w:tcW w:w="1106" w:type="pct"/>
            <w:shd w:val="clear" w:color="auto" w:fill="auto"/>
            <w:vAlign w:val="center"/>
          </w:tcPr>
          <w:p w14:paraId="0C234299"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36" w:type="pct"/>
            <w:shd w:val="clear" w:color="auto" w:fill="auto"/>
            <w:vAlign w:val="center"/>
          </w:tcPr>
          <w:p w14:paraId="3FBE9B48"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AISI S240 Section D6.9</w:t>
            </w:r>
          </w:p>
        </w:tc>
        <w:tc>
          <w:tcPr>
            <w:tcW w:w="774" w:type="pct"/>
            <w:shd w:val="clear" w:color="auto" w:fill="auto"/>
            <w:vAlign w:val="center"/>
          </w:tcPr>
          <w:p w14:paraId="0E57FFBD"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5A0CA240" w14:textId="77777777" w:rsidTr="00BC1087">
        <w:trPr>
          <w:jc w:val="center"/>
        </w:trPr>
        <w:tc>
          <w:tcPr>
            <w:tcW w:w="1346" w:type="pct"/>
            <w:shd w:val="clear" w:color="auto" w:fill="auto"/>
            <w:vAlign w:val="center"/>
          </w:tcPr>
          <w:p w14:paraId="094BEB81" w14:textId="77777777" w:rsidR="00140B7C" w:rsidRPr="00A44DB3" w:rsidRDefault="00140B7C" w:rsidP="00BC1087">
            <w:pPr>
              <w:widowControl w:val="0"/>
              <w:kinsoku w:val="0"/>
              <w:spacing w:before="36" w:after="0" w:line="240" w:lineRule="auto"/>
              <w:ind w:left="360" w:hanging="360"/>
              <w:rPr>
                <w:rFonts w:eastAsia="Times New Roman" w:cs="Times New Roman"/>
                <w:b/>
                <w:spacing w:val="3"/>
                <w:sz w:val="18"/>
                <w:szCs w:val="18"/>
              </w:rPr>
            </w:pPr>
            <w:r w:rsidRPr="00A44DB3">
              <w:rPr>
                <w:rFonts w:eastAsia="Times New Roman" w:cs="Times New Roman"/>
                <w:b/>
                <w:spacing w:val="3"/>
                <w:sz w:val="18"/>
                <w:szCs w:val="18"/>
              </w:rPr>
              <w:t>5.</w:t>
            </w:r>
            <w:r w:rsidRPr="00A44DB3">
              <w:rPr>
                <w:rFonts w:eastAsia="Times New Roman" w:cs="Times New Roman"/>
                <w:b/>
                <w:spacing w:val="3"/>
                <w:sz w:val="18"/>
                <w:szCs w:val="18"/>
              </w:rPr>
              <w:tab/>
              <w:t>Bracing:</w:t>
            </w:r>
          </w:p>
        </w:tc>
        <w:tc>
          <w:tcPr>
            <w:tcW w:w="1037" w:type="pct"/>
            <w:shd w:val="clear" w:color="auto" w:fill="auto"/>
            <w:vAlign w:val="center"/>
          </w:tcPr>
          <w:p w14:paraId="4096750D"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67154E9C"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36" w:type="pct"/>
            <w:shd w:val="clear" w:color="auto" w:fill="auto"/>
            <w:vAlign w:val="center"/>
          </w:tcPr>
          <w:p w14:paraId="37759D2D"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361B8D68"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30C7E2A5" w14:textId="77777777" w:rsidTr="00BC1087">
        <w:trPr>
          <w:jc w:val="center"/>
        </w:trPr>
        <w:tc>
          <w:tcPr>
            <w:tcW w:w="1346" w:type="pct"/>
            <w:shd w:val="clear" w:color="auto" w:fill="auto"/>
            <w:vAlign w:val="center"/>
          </w:tcPr>
          <w:p w14:paraId="31B9586D"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a.</w:t>
            </w:r>
            <w:r w:rsidRPr="00A44DB3">
              <w:rPr>
                <w:rFonts w:eastAsia="Times New Roman" w:cs="Times New Roman"/>
                <w:spacing w:val="3"/>
                <w:sz w:val="18"/>
                <w:szCs w:val="18"/>
              </w:rPr>
              <w:tab/>
              <w:t>Verify that temporary bracing, shoring, jacks, etc., are installed, and not removed until no longer necessary, in accordance with the approved construction documents and approved erection drawings.</w:t>
            </w:r>
          </w:p>
        </w:tc>
        <w:tc>
          <w:tcPr>
            <w:tcW w:w="1037" w:type="pct"/>
            <w:shd w:val="clear" w:color="auto" w:fill="auto"/>
            <w:vAlign w:val="center"/>
          </w:tcPr>
          <w:p w14:paraId="2E822C02"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52DF1D78"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vMerge w:val="restart"/>
            <w:shd w:val="clear" w:color="auto" w:fill="auto"/>
            <w:vAlign w:val="center"/>
          </w:tcPr>
          <w:p w14:paraId="547A6F24"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AISI S240 Section E6</w:t>
            </w:r>
          </w:p>
        </w:tc>
        <w:tc>
          <w:tcPr>
            <w:tcW w:w="774" w:type="pct"/>
            <w:shd w:val="clear" w:color="auto" w:fill="auto"/>
            <w:vAlign w:val="center"/>
          </w:tcPr>
          <w:p w14:paraId="78069D27"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53C99D8E" w14:textId="77777777" w:rsidTr="00BC1087">
        <w:trPr>
          <w:jc w:val="center"/>
        </w:trPr>
        <w:tc>
          <w:tcPr>
            <w:tcW w:w="1346" w:type="pct"/>
            <w:shd w:val="clear" w:color="auto" w:fill="auto"/>
            <w:vAlign w:val="center"/>
          </w:tcPr>
          <w:p w14:paraId="7F4EA8FB"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b.</w:t>
            </w:r>
            <w:r w:rsidRPr="00A44DB3">
              <w:rPr>
                <w:rFonts w:eastAsia="Times New Roman" w:cs="Times New Roman"/>
                <w:spacing w:val="3"/>
                <w:sz w:val="18"/>
                <w:szCs w:val="18"/>
              </w:rPr>
              <w:tab/>
              <w:t>Verify that permanent bracing, web stiffeners, bridging, blocking, wind bracing, etc, are installed in accordance with the approved construction documents and approved erection drawings.</w:t>
            </w:r>
          </w:p>
        </w:tc>
        <w:tc>
          <w:tcPr>
            <w:tcW w:w="1037" w:type="pct"/>
            <w:shd w:val="clear" w:color="auto" w:fill="auto"/>
            <w:vAlign w:val="center"/>
          </w:tcPr>
          <w:p w14:paraId="07B5AB9C"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5F852E0D"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vMerge/>
            <w:shd w:val="clear" w:color="auto" w:fill="auto"/>
            <w:vAlign w:val="center"/>
          </w:tcPr>
          <w:p w14:paraId="13449346"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48D2A325"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6DDF2E4E" w14:textId="77777777" w:rsidTr="00BC1087">
        <w:trPr>
          <w:jc w:val="center"/>
        </w:trPr>
        <w:tc>
          <w:tcPr>
            <w:tcW w:w="1346" w:type="pct"/>
            <w:shd w:val="clear" w:color="auto" w:fill="auto"/>
            <w:vAlign w:val="center"/>
          </w:tcPr>
          <w:p w14:paraId="78AE25A0" w14:textId="77777777" w:rsidR="00140B7C" w:rsidRPr="00A44DB3" w:rsidRDefault="00140B7C" w:rsidP="00BC1087">
            <w:pPr>
              <w:widowControl w:val="0"/>
              <w:kinsoku w:val="0"/>
              <w:spacing w:before="36" w:after="0" w:line="240" w:lineRule="auto"/>
              <w:ind w:left="720" w:hanging="360"/>
              <w:rPr>
                <w:rFonts w:eastAsia="Times New Roman" w:cs="Times New Roman"/>
                <w:spacing w:val="3"/>
                <w:sz w:val="18"/>
                <w:szCs w:val="18"/>
              </w:rPr>
            </w:pPr>
            <w:r w:rsidRPr="00A44DB3">
              <w:rPr>
                <w:rFonts w:eastAsia="Times New Roman" w:cs="Times New Roman"/>
                <w:spacing w:val="3"/>
                <w:sz w:val="18"/>
                <w:szCs w:val="18"/>
              </w:rPr>
              <w:t>c.</w:t>
            </w:r>
            <w:r w:rsidRPr="00A44DB3">
              <w:rPr>
                <w:rFonts w:eastAsia="Times New Roman" w:cs="Times New Roman"/>
                <w:spacing w:val="3"/>
                <w:sz w:val="18"/>
                <w:szCs w:val="18"/>
              </w:rPr>
              <w:tab/>
              <w:t>Where a cold-formed steel truss clear span is 60</w:t>
            </w:r>
            <w:r w:rsidRPr="00A44DB3">
              <w:rPr>
                <w:rFonts w:eastAsia="Times New Roman" w:cs="Times New Roman"/>
                <w:b/>
                <w:bCs/>
                <w:spacing w:val="3"/>
                <w:sz w:val="18"/>
                <w:szCs w:val="18"/>
              </w:rPr>
              <w:t xml:space="preserve"> </w:t>
            </w:r>
            <w:r w:rsidRPr="00A44DB3">
              <w:rPr>
                <w:rFonts w:eastAsia="Times New Roman" w:cs="Times New Roman"/>
                <w:spacing w:val="3"/>
                <w:sz w:val="18"/>
                <w:szCs w:val="18"/>
              </w:rPr>
              <w:t>feet (18 288 mm) or greater, the special inspector shall verify</w:t>
            </w:r>
            <w:r w:rsidRPr="00A44DB3">
              <w:rPr>
                <w:rFonts w:eastAsia="Times New Roman" w:cs="Times New Roman"/>
                <w:b/>
                <w:bCs/>
                <w:spacing w:val="3"/>
                <w:sz w:val="18"/>
                <w:szCs w:val="18"/>
              </w:rPr>
              <w:t xml:space="preserve"> </w:t>
            </w:r>
            <w:r w:rsidRPr="00A44DB3">
              <w:rPr>
                <w:rFonts w:eastAsia="Times New Roman" w:cs="Times New Roman"/>
                <w:spacing w:val="3"/>
                <w:sz w:val="18"/>
                <w:szCs w:val="18"/>
              </w:rPr>
              <w:t>that the temporary installation restraint/bracing and the</w:t>
            </w:r>
            <w:r w:rsidRPr="00A44DB3">
              <w:rPr>
                <w:rFonts w:eastAsia="Times New Roman" w:cs="Times New Roman"/>
                <w:b/>
                <w:bCs/>
                <w:spacing w:val="3"/>
                <w:sz w:val="18"/>
                <w:szCs w:val="18"/>
              </w:rPr>
              <w:t xml:space="preserve"> </w:t>
            </w:r>
            <w:r w:rsidRPr="00A44DB3">
              <w:rPr>
                <w:rFonts w:eastAsia="Times New Roman" w:cs="Times New Roman"/>
                <w:spacing w:val="3"/>
                <w:sz w:val="18"/>
                <w:szCs w:val="18"/>
              </w:rPr>
              <w:t>permanent individual truss member restraint/bracing are</w:t>
            </w:r>
            <w:r w:rsidRPr="00A44DB3">
              <w:rPr>
                <w:rFonts w:eastAsia="Times New Roman" w:cs="Times New Roman"/>
                <w:b/>
                <w:bCs/>
                <w:spacing w:val="3"/>
                <w:sz w:val="18"/>
                <w:szCs w:val="18"/>
              </w:rPr>
              <w:t xml:space="preserve"> </w:t>
            </w:r>
            <w:r w:rsidRPr="00A44DB3">
              <w:rPr>
                <w:rFonts w:eastAsia="Times New Roman" w:cs="Times New Roman"/>
                <w:spacing w:val="3"/>
                <w:sz w:val="18"/>
                <w:szCs w:val="18"/>
              </w:rPr>
              <w:t xml:space="preserve">installed in accordance with the </w:t>
            </w:r>
            <w:r w:rsidRPr="00A44DB3">
              <w:rPr>
                <w:rFonts w:eastAsia="Times New Roman" w:cs="Times New Roman"/>
                <w:iCs/>
                <w:spacing w:val="3"/>
                <w:sz w:val="18"/>
                <w:szCs w:val="18"/>
              </w:rPr>
              <w:t xml:space="preserve">approved </w:t>
            </w:r>
            <w:r w:rsidRPr="00A44DB3">
              <w:rPr>
                <w:rFonts w:eastAsia="Times New Roman" w:cs="Times New Roman"/>
                <w:spacing w:val="3"/>
                <w:sz w:val="18"/>
                <w:szCs w:val="18"/>
              </w:rPr>
              <w:t>truss submittal</w:t>
            </w:r>
            <w:r w:rsidRPr="00A44DB3">
              <w:rPr>
                <w:rFonts w:eastAsia="Times New Roman" w:cs="Times New Roman"/>
                <w:b/>
                <w:bCs/>
                <w:spacing w:val="3"/>
                <w:sz w:val="18"/>
                <w:szCs w:val="18"/>
              </w:rPr>
              <w:t xml:space="preserve"> </w:t>
            </w:r>
            <w:r w:rsidRPr="00A44DB3">
              <w:rPr>
                <w:rFonts w:eastAsia="Times New Roman" w:cs="Times New Roman"/>
                <w:spacing w:val="3"/>
                <w:sz w:val="18"/>
                <w:szCs w:val="18"/>
              </w:rPr>
              <w:t>package.</w:t>
            </w:r>
          </w:p>
        </w:tc>
        <w:tc>
          <w:tcPr>
            <w:tcW w:w="1037" w:type="pct"/>
            <w:shd w:val="clear" w:color="auto" w:fill="auto"/>
            <w:vAlign w:val="center"/>
          </w:tcPr>
          <w:p w14:paraId="4BE6718C"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629EDC9A"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vMerge/>
            <w:shd w:val="clear" w:color="auto" w:fill="auto"/>
            <w:vAlign w:val="center"/>
          </w:tcPr>
          <w:p w14:paraId="0381EA7F"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774" w:type="pct"/>
            <w:shd w:val="clear" w:color="auto" w:fill="auto"/>
            <w:vAlign w:val="center"/>
          </w:tcPr>
          <w:p w14:paraId="2A0DC8DA"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2211.1.3.2</w:t>
            </w:r>
          </w:p>
        </w:tc>
      </w:tr>
      <w:tr w:rsidR="00140B7C" w:rsidRPr="00A44DB3" w14:paraId="5C712C0D" w14:textId="77777777" w:rsidTr="00BC1087">
        <w:trPr>
          <w:trHeight w:val="284"/>
          <w:jc w:val="center"/>
        </w:trPr>
        <w:tc>
          <w:tcPr>
            <w:tcW w:w="1346" w:type="pct"/>
            <w:shd w:val="clear" w:color="auto" w:fill="auto"/>
            <w:vAlign w:val="center"/>
          </w:tcPr>
          <w:p w14:paraId="260061BF" w14:textId="77777777" w:rsidR="00140B7C" w:rsidRPr="00A44DB3" w:rsidRDefault="00140B7C" w:rsidP="00BC1087">
            <w:pPr>
              <w:widowControl w:val="0"/>
              <w:kinsoku w:val="0"/>
              <w:spacing w:before="36" w:after="0" w:line="240" w:lineRule="auto"/>
              <w:ind w:left="360" w:hanging="360"/>
              <w:rPr>
                <w:rFonts w:eastAsia="Times New Roman" w:cs="Times New Roman"/>
                <w:b/>
                <w:bCs/>
                <w:spacing w:val="3"/>
                <w:sz w:val="18"/>
                <w:szCs w:val="18"/>
              </w:rPr>
            </w:pPr>
            <w:r w:rsidRPr="00A44DB3">
              <w:rPr>
                <w:rFonts w:eastAsia="Times New Roman" w:cs="Times New Roman"/>
                <w:b/>
                <w:bCs/>
                <w:spacing w:val="3"/>
                <w:sz w:val="18"/>
                <w:szCs w:val="18"/>
              </w:rPr>
              <w:t>6.</w:t>
            </w:r>
            <w:r w:rsidRPr="00A44DB3">
              <w:rPr>
                <w:rFonts w:eastAsia="Times New Roman" w:cs="Times New Roman"/>
                <w:b/>
                <w:bCs/>
                <w:spacing w:val="3"/>
                <w:sz w:val="18"/>
                <w:szCs w:val="18"/>
              </w:rPr>
              <w:tab/>
              <w:t>Pre-installation Document Submittals</w:t>
            </w:r>
          </w:p>
        </w:tc>
        <w:tc>
          <w:tcPr>
            <w:tcW w:w="1037" w:type="pct"/>
            <w:shd w:val="clear" w:color="auto" w:fill="auto"/>
            <w:vAlign w:val="center"/>
          </w:tcPr>
          <w:p w14:paraId="77B29627"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19375819"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shd w:val="clear" w:color="auto" w:fill="auto"/>
            <w:vAlign w:val="center"/>
          </w:tcPr>
          <w:p w14:paraId="7B3B695B"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AISI S240, Section D3</w:t>
            </w:r>
          </w:p>
        </w:tc>
        <w:tc>
          <w:tcPr>
            <w:tcW w:w="774" w:type="pct"/>
            <w:shd w:val="clear" w:color="auto" w:fill="auto"/>
            <w:vAlign w:val="center"/>
          </w:tcPr>
          <w:p w14:paraId="3145C3B1"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r w:rsidR="00140B7C" w:rsidRPr="00A44DB3" w14:paraId="60AFE41A" w14:textId="77777777" w:rsidTr="00BC1087">
        <w:trPr>
          <w:trHeight w:val="572"/>
          <w:jc w:val="center"/>
        </w:trPr>
        <w:tc>
          <w:tcPr>
            <w:tcW w:w="1346" w:type="pct"/>
            <w:shd w:val="clear" w:color="auto" w:fill="auto"/>
            <w:vAlign w:val="center"/>
          </w:tcPr>
          <w:p w14:paraId="7CB3C4E3" w14:textId="77777777" w:rsidR="00140B7C" w:rsidRPr="00A44DB3" w:rsidRDefault="00140B7C" w:rsidP="00BC1087">
            <w:pPr>
              <w:widowControl w:val="0"/>
              <w:kinsoku w:val="0"/>
              <w:spacing w:before="36" w:after="0" w:line="240" w:lineRule="auto"/>
              <w:ind w:left="360" w:hanging="360"/>
              <w:rPr>
                <w:rFonts w:eastAsia="Times New Roman" w:cs="Times New Roman"/>
                <w:b/>
                <w:bCs/>
                <w:spacing w:val="3"/>
                <w:sz w:val="18"/>
                <w:szCs w:val="18"/>
              </w:rPr>
            </w:pPr>
            <w:r w:rsidRPr="00A44DB3">
              <w:rPr>
                <w:rFonts w:eastAsia="Times New Roman" w:cs="Times New Roman"/>
                <w:b/>
                <w:bCs/>
                <w:spacing w:val="3"/>
                <w:sz w:val="18"/>
                <w:szCs w:val="18"/>
              </w:rPr>
              <w:t>7.</w:t>
            </w:r>
            <w:r w:rsidRPr="00A44DB3">
              <w:rPr>
                <w:rFonts w:eastAsia="Times New Roman" w:cs="Times New Roman"/>
                <w:b/>
                <w:bCs/>
                <w:spacing w:val="3"/>
                <w:sz w:val="18"/>
                <w:szCs w:val="18"/>
              </w:rPr>
              <w:tab/>
              <w:t>Lateral Force-Resisting System Additional Requirements</w:t>
            </w:r>
          </w:p>
        </w:tc>
        <w:tc>
          <w:tcPr>
            <w:tcW w:w="1037" w:type="pct"/>
            <w:shd w:val="clear" w:color="auto" w:fill="auto"/>
            <w:vAlign w:val="center"/>
          </w:tcPr>
          <w:p w14:paraId="17953453"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c>
          <w:tcPr>
            <w:tcW w:w="1106" w:type="pct"/>
            <w:shd w:val="clear" w:color="auto" w:fill="auto"/>
            <w:vAlign w:val="center"/>
          </w:tcPr>
          <w:p w14:paraId="5205115E"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X</w:t>
            </w:r>
          </w:p>
        </w:tc>
        <w:tc>
          <w:tcPr>
            <w:tcW w:w="736" w:type="pct"/>
            <w:shd w:val="clear" w:color="auto" w:fill="auto"/>
            <w:vAlign w:val="center"/>
          </w:tcPr>
          <w:p w14:paraId="27782C59"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r w:rsidRPr="00A44DB3">
              <w:rPr>
                <w:rFonts w:eastAsia="Times New Roman" w:cs="Times New Roman"/>
                <w:spacing w:val="3"/>
                <w:sz w:val="18"/>
                <w:szCs w:val="18"/>
              </w:rPr>
              <w:t>AISI S240 Section D6.9</w:t>
            </w:r>
          </w:p>
        </w:tc>
        <w:tc>
          <w:tcPr>
            <w:tcW w:w="774" w:type="pct"/>
            <w:shd w:val="clear" w:color="auto" w:fill="auto"/>
            <w:vAlign w:val="center"/>
          </w:tcPr>
          <w:p w14:paraId="484A2D12" w14:textId="77777777" w:rsidR="00140B7C" w:rsidRPr="00A44DB3" w:rsidRDefault="00140B7C" w:rsidP="00BC1087">
            <w:pPr>
              <w:widowControl w:val="0"/>
              <w:kinsoku w:val="0"/>
              <w:spacing w:before="36" w:after="0" w:line="240" w:lineRule="auto"/>
              <w:jc w:val="center"/>
              <w:rPr>
                <w:rFonts w:eastAsia="Times New Roman" w:cs="Times New Roman"/>
                <w:spacing w:val="3"/>
                <w:sz w:val="18"/>
                <w:szCs w:val="18"/>
              </w:rPr>
            </w:pPr>
          </w:p>
        </w:tc>
      </w:tr>
    </w:tbl>
    <w:p w14:paraId="56CEAE1C" w14:textId="77777777" w:rsidR="00140B7C" w:rsidRPr="00A44DB3" w:rsidRDefault="00140B7C" w:rsidP="00140B7C">
      <w:pPr>
        <w:widowControl w:val="0"/>
        <w:kinsoku w:val="0"/>
        <w:spacing w:before="120" w:after="120" w:line="240" w:lineRule="auto"/>
        <w:rPr>
          <w:rFonts w:eastAsia="Times New Roman" w:cs="Times New Roman"/>
          <w:bCs/>
          <w:sz w:val="14"/>
          <w:szCs w:val="14"/>
        </w:rPr>
      </w:pPr>
      <w:r w:rsidRPr="00A44DB3">
        <w:rPr>
          <w:rFonts w:eastAsia="Times New Roman" w:cs="Times New Roman"/>
          <w:bCs/>
          <w:sz w:val="14"/>
          <w:szCs w:val="14"/>
        </w:rPr>
        <w:t>Note a:  In accordance with AISI S240 Section D6.9.1, continuous special inspection of weld fit-up in lateral force-resisting systems may be reduced to periodic special inspection upon fulfillment of the conditions of Section D6.9.1.</w:t>
      </w:r>
    </w:p>
    <w:p w14:paraId="51FA3AE4" w14:textId="7F58C069"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17</w:t>
      </w:r>
      <w:r w:rsidR="00D462E6">
        <w:rPr>
          <w:rFonts w:cs="Times New Roman"/>
          <w:sz w:val="23"/>
          <w:szCs w:val="23"/>
        </w:rPr>
        <w:t>9</w:t>
      </w:r>
      <w:r w:rsidRPr="00EC4EC4">
        <w:rPr>
          <w:rFonts w:cs="Times New Roman"/>
          <w:sz w:val="23"/>
          <w:szCs w:val="23"/>
        </w:rPr>
        <w:t>. Section 170</w:t>
      </w:r>
      <w:r>
        <w:rPr>
          <w:rFonts w:cs="Times New Roman"/>
          <w:sz w:val="23"/>
          <w:szCs w:val="23"/>
        </w:rPr>
        <w:t>5</w:t>
      </w:r>
      <w:r w:rsidRPr="00EC4EC4">
        <w:rPr>
          <w:rFonts w:cs="Times New Roman"/>
          <w:sz w:val="23"/>
          <w:szCs w:val="23"/>
        </w:rPr>
        <w:t>.</w:t>
      </w:r>
      <w:r>
        <w:rPr>
          <w:rFonts w:cs="Times New Roman"/>
          <w:sz w:val="23"/>
          <w:szCs w:val="23"/>
        </w:rPr>
        <w:t>3</w:t>
      </w:r>
      <w:r w:rsidRPr="00EC4EC4">
        <w:rPr>
          <w:rFonts w:cs="Times New Roman"/>
          <w:sz w:val="23"/>
          <w:szCs w:val="23"/>
        </w:rPr>
        <w:t xml:space="preserve"> of  the New York city building code, as renumbered and amended by local law number 126 for the year 2021, is amended to read as follows:</w:t>
      </w:r>
    </w:p>
    <w:p w14:paraId="07B22B0D" w14:textId="77777777" w:rsidR="00140B7C" w:rsidRPr="00EC4EC4" w:rsidRDefault="00140B7C" w:rsidP="00140B7C">
      <w:pPr>
        <w:pStyle w:val="FlushLeft"/>
        <w:spacing w:after="0"/>
        <w:rPr>
          <w:b/>
          <w:bCs/>
        </w:rPr>
      </w:pPr>
    </w:p>
    <w:p w14:paraId="592A4C9D" w14:textId="77777777" w:rsidR="00140B7C" w:rsidRPr="00EC4EC4" w:rsidRDefault="00140B7C" w:rsidP="00140B7C">
      <w:pPr>
        <w:pStyle w:val="FlushLeft"/>
        <w:spacing w:after="0"/>
      </w:pPr>
      <w:r w:rsidRPr="00EC4EC4">
        <w:rPr>
          <w:b/>
          <w:bCs/>
        </w:rPr>
        <w:lastRenderedPageBreak/>
        <w:t xml:space="preserve">1705.3 Concrete construction. </w:t>
      </w:r>
      <w:r w:rsidRPr="00EC4EC4">
        <w:t>The special inspections and verifications for concrete construction shall be as required by this section and Table 1705.3.</w:t>
      </w:r>
    </w:p>
    <w:p w14:paraId="46CA1A65" w14:textId="77777777" w:rsidR="00140B7C" w:rsidRPr="00EC4EC4" w:rsidRDefault="00140B7C" w:rsidP="00140B7C">
      <w:pPr>
        <w:kinsoku w:val="0"/>
        <w:spacing w:after="240" w:line="240" w:lineRule="auto"/>
        <w:ind w:left="360"/>
        <w:jc w:val="both"/>
        <w:rPr>
          <w:rFonts w:eastAsia="Times New Roman" w:cs="Times New Roman"/>
          <w:b/>
          <w:bCs/>
          <w:szCs w:val="24"/>
        </w:rPr>
      </w:pPr>
      <w:r w:rsidRPr="00EC4EC4">
        <w:rPr>
          <w:rFonts w:eastAsia="Times New Roman" w:cs="Times New Roman"/>
          <w:b/>
          <w:bCs/>
          <w:szCs w:val="24"/>
        </w:rPr>
        <w:t>Exceptions:</w:t>
      </w:r>
    </w:p>
    <w:p w14:paraId="52637C17" w14:textId="77777777" w:rsidR="00140B7C" w:rsidRPr="00EC4EC4" w:rsidRDefault="00140B7C" w:rsidP="00226293">
      <w:pPr>
        <w:numPr>
          <w:ilvl w:val="0"/>
          <w:numId w:val="8"/>
        </w:numPr>
        <w:tabs>
          <w:tab w:val="left" w:pos="990"/>
        </w:tabs>
        <w:kinsoku w:val="0"/>
        <w:spacing w:after="240" w:line="240" w:lineRule="auto"/>
        <w:ind w:left="990" w:hanging="270"/>
        <w:jc w:val="both"/>
        <w:rPr>
          <w:rFonts w:eastAsia="Times New Roman" w:cs="Times New Roman"/>
          <w:szCs w:val="24"/>
        </w:rPr>
      </w:pPr>
      <w:r w:rsidRPr="00EC4EC4">
        <w:rPr>
          <w:rFonts w:eastAsia="Times New Roman" w:cs="Times New Roman"/>
          <w:szCs w:val="24"/>
        </w:rPr>
        <w:t>Special inspection shall not be required when specifically indicated as not required on the approved construction documents for:</w:t>
      </w:r>
    </w:p>
    <w:p w14:paraId="4D9C71AB" w14:textId="77777777" w:rsidR="00140B7C" w:rsidRPr="00EC4EC4" w:rsidRDefault="00140B7C" w:rsidP="00140B7C">
      <w:pPr>
        <w:kinsoku w:val="0"/>
        <w:spacing w:after="240" w:line="240" w:lineRule="auto"/>
        <w:ind w:left="1620" w:hanging="540"/>
        <w:jc w:val="both"/>
        <w:rPr>
          <w:rFonts w:eastAsia="Times New Roman" w:cs="Times New Roman"/>
          <w:spacing w:val="1"/>
          <w:szCs w:val="24"/>
        </w:rPr>
      </w:pPr>
      <w:r w:rsidRPr="00EC4EC4">
        <w:rPr>
          <w:rFonts w:eastAsia="Times New Roman" w:cs="Times New Roman"/>
          <w:spacing w:val="1"/>
          <w:szCs w:val="24"/>
          <w:u w:val="single"/>
        </w:rPr>
        <w:t>1.1.</w:t>
      </w:r>
      <w:r w:rsidRPr="00EC4EC4">
        <w:rPr>
          <w:rFonts w:eastAsia="Times New Roman" w:cs="Times New Roman"/>
          <w:spacing w:val="1"/>
          <w:szCs w:val="24"/>
        </w:rPr>
        <w:tab/>
        <w:t>Nonstructural concrete slabs supported directly on the ground, including prestressed slabs on grade, where the effective prestress in the concrete is less than 150 psi (1.03 Mpa).</w:t>
      </w:r>
    </w:p>
    <w:p w14:paraId="05C19BDE" w14:textId="77777777" w:rsidR="00140B7C" w:rsidRPr="00EC4EC4" w:rsidRDefault="00140B7C" w:rsidP="00140B7C">
      <w:pPr>
        <w:kinsoku w:val="0"/>
        <w:spacing w:after="240" w:line="240" w:lineRule="auto"/>
        <w:ind w:left="1620" w:hanging="540"/>
        <w:jc w:val="both"/>
        <w:rPr>
          <w:rFonts w:eastAsia="Times New Roman" w:cs="Times New Roman"/>
          <w:spacing w:val="1"/>
          <w:szCs w:val="24"/>
        </w:rPr>
      </w:pPr>
      <w:r w:rsidRPr="00EC4EC4">
        <w:rPr>
          <w:rFonts w:eastAsia="Times New Roman" w:cs="Times New Roman"/>
          <w:spacing w:val="1"/>
          <w:szCs w:val="24"/>
          <w:u w:val="single"/>
        </w:rPr>
        <w:t>1.2.</w:t>
      </w:r>
      <w:r w:rsidRPr="00EC4EC4">
        <w:rPr>
          <w:rFonts w:eastAsia="Times New Roman" w:cs="Times New Roman"/>
          <w:spacing w:val="1"/>
          <w:szCs w:val="24"/>
        </w:rPr>
        <w:tab/>
        <w:t>Concrete foundation(s) for lightweight fences and recreational equipment.</w:t>
      </w:r>
    </w:p>
    <w:p w14:paraId="6F8558F4" w14:textId="77777777" w:rsidR="00140B7C" w:rsidRPr="00EC4EC4" w:rsidRDefault="00140B7C" w:rsidP="00140B7C">
      <w:pPr>
        <w:kinsoku w:val="0"/>
        <w:spacing w:after="240" w:line="240" w:lineRule="auto"/>
        <w:ind w:left="1620" w:hanging="540"/>
        <w:jc w:val="both"/>
        <w:rPr>
          <w:rFonts w:eastAsia="Times New Roman" w:cs="Times New Roman"/>
          <w:spacing w:val="1"/>
          <w:szCs w:val="24"/>
        </w:rPr>
      </w:pPr>
      <w:r w:rsidRPr="00EC4EC4">
        <w:rPr>
          <w:rFonts w:eastAsia="Times New Roman" w:cs="Times New Roman"/>
          <w:spacing w:val="1"/>
          <w:szCs w:val="24"/>
          <w:u w:val="single"/>
        </w:rPr>
        <w:t>1.3.</w:t>
      </w:r>
      <w:r w:rsidRPr="00EC4EC4">
        <w:rPr>
          <w:rFonts w:eastAsia="Times New Roman" w:cs="Times New Roman"/>
          <w:spacing w:val="1"/>
          <w:szCs w:val="24"/>
        </w:rPr>
        <w:tab/>
        <w:t>Concrete patios, site furnishings, garden walls, driveways, sidewalks and similar construction.</w:t>
      </w:r>
    </w:p>
    <w:p w14:paraId="69B28984"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Testing required by Table 1705.3, Item 6, may be waived by the registered design professional who prepared the approved structural construction documents when such waiver is specifically indicated on such construction documents in the following cases:</w:t>
      </w:r>
    </w:p>
    <w:p w14:paraId="015276FB" w14:textId="77777777" w:rsidR="00140B7C" w:rsidRPr="00EC4EC4" w:rsidRDefault="00140B7C" w:rsidP="00140B7C">
      <w:pPr>
        <w:kinsoku w:val="0"/>
        <w:spacing w:after="240" w:line="240" w:lineRule="auto"/>
        <w:ind w:left="1620" w:hanging="540"/>
        <w:jc w:val="both"/>
        <w:rPr>
          <w:rFonts w:eastAsia="Times New Roman" w:cs="Times New Roman"/>
          <w:spacing w:val="1"/>
          <w:szCs w:val="24"/>
        </w:rPr>
      </w:pPr>
      <w:r w:rsidRPr="00EC4EC4">
        <w:rPr>
          <w:rFonts w:eastAsia="Times New Roman" w:cs="Times New Roman"/>
          <w:spacing w:val="1"/>
          <w:szCs w:val="24"/>
        </w:rPr>
        <w:t>2.1.</w:t>
      </w:r>
      <w:r w:rsidRPr="00EC4EC4">
        <w:rPr>
          <w:rFonts w:eastAsia="Times New Roman" w:cs="Times New Roman"/>
          <w:spacing w:val="1"/>
          <w:szCs w:val="24"/>
        </w:rPr>
        <w:tab/>
        <w:t>Where the total concrete placement on a given project is less than 50 cubic yards (38.2 m</w:t>
      </w:r>
      <w:r w:rsidRPr="00EC4EC4">
        <w:rPr>
          <w:rFonts w:eastAsia="Times New Roman" w:cs="Times New Roman"/>
          <w:spacing w:val="1"/>
          <w:szCs w:val="24"/>
          <w:vertAlign w:val="superscript"/>
        </w:rPr>
        <w:t>3</w:t>
      </w:r>
      <w:r w:rsidRPr="00EC4EC4">
        <w:rPr>
          <w:rFonts w:eastAsia="Times New Roman" w:cs="Times New Roman"/>
          <w:spacing w:val="1"/>
          <w:szCs w:val="24"/>
        </w:rPr>
        <w:t>).</w:t>
      </w:r>
    </w:p>
    <w:p w14:paraId="53AB2F7C" w14:textId="77777777" w:rsidR="00140B7C" w:rsidRPr="00EC4EC4" w:rsidRDefault="00140B7C" w:rsidP="00140B7C">
      <w:pPr>
        <w:kinsoku w:val="0"/>
        <w:spacing w:after="240" w:line="240" w:lineRule="auto"/>
        <w:ind w:left="1620" w:hanging="540"/>
        <w:jc w:val="both"/>
        <w:rPr>
          <w:rFonts w:eastAsia="Times New Roman" w:cs="Times New Roman"/>
          <w:spacing w:val="1"/>
          <w:szCs w:val="24"/>
        </w:rPr>
      </w:pPr>
      <w:r w:rsidRPr="00EC4EC4">
        <w:rPr>
          <w:rFonts w:eastAsia="Times New Roman" w:cs="Times New Roman"/>
          <w:spacing w:val="1"/>
          <w:szCs w:val="24"/>
        </w:rPr>
        <w:t>2.2.</w:t>
      </w:r>
      <w:r w:rsidRPr="00EC4EC4">
        <w:rPr>
          <w:rFonts w:eastAsia="Times New Roman" w:cs="Times New Roman"/>
          <w:spacing w:val="1"/>
          <w:szCs w:val="24"/>
        </w:rPr>
        <w:tab/>
        <w:t>Isolated spread concrete footings of R-3 buildings three stories or less above grade plan that are fully supported on earth or rock.</w:t>
      </w:r>
    </w:p>
    <w:p w14:paraId="694979A5" w14:textId="77777777" w:rsidR="00140B7C" w:rsidRPr="00EC4EC4" w:rsidRDefault="00140B7C" w:rsidP="00140B7C">
      <w:pPr>
        <w:kinsoku w:val="0"/>
        <w:spacing w:after="240" w:line="240" w:lineRule="auto"/>
        <w:ind w:left="1620" w:hanging="540"/>
        <w:jc w:val="both"/>
        <w:rPr>
          <w:rFonts w:eastAsia="Times New Roman" w:cs="Times New Roman"/>
          <w:spacing w:val="1"/>
          <w:szCs w:val="24"/>
        </w:rPr>
      </w:pPr>
      <w:r w:rsidRPr="00EC4EC4">
        <w:rPr>
          <w:rFonts w:eastAsia="Times New Roman" w:cs="Times New Roman"/>
          <w:spacing w:val="1"/>
          <w:szCs w:val="24"/>
        </w:rPr>
        <w:t>2.3.</w:t>
      </w:r>
      <w:r w:rsidRPr="00EC4EC4">
        <w:rPr>
          <w:rFonts w:eastAsia="Times New Roman" w:cs="Times New Roman"/>
          <w:spacing w:val="1"/>
          <w:szCs w:val="24"/>
        </w:rPr>
        <w:tab/>
        <w:t xml:space="preserve">Continuous concrete footings supporting walls of R-3 buildings three stories or less above grade plan that are fully supported on earth or rock where the structural design of the footing is based on a specified compressive strength, </w:t>
      </w:r>
      <w:r w:rsidRPr="00EC4EC4">
        <w:rPr>
          <w:rFonts w:eastAsia="Times New Roman" w:cs="Times New Roman"/>
          <w:i/>
          <w:spacing w:val="1"/>
          <w:szCs w:val="24"/>
        </w:rPr>
        <w:t>f’</w:t>
      </w:r>
      <w:r w:rsidRPr="00EC4EC4">
        <w:rPr>
          <w:rFonts w:eastAsia="Times New Roman" w:cs="Times New Roman"/>
          <w:i/>
          <w:spacing w:val="1"/>
          <w:szCs w:val="24"/>
          <w:vertAlign w:val="subscript"/>
        </w:rPr>
        <w:t>c</w:t>
      </w:r>
      <w:r w:rsidRPr="00EC4EC4">
        <w:rPr>
          <w:rFonts w:eastAsia="Times New Roman" w:cs="Times New Roman"/>
          <w:spacing w:val="1"/>
          <w:szCs w:val="24"/>
        </w:rPr>
        <w:t>, no greater than 2,500 pounds per square inch (psi) (17.2 Mpa), and the compressive strength used in the footing construction is at least 4,000 psi (27.6 Mpa).</w:t>
      </w:r>
    </w:p>
    <w:p w14:paraId="42CC8CD4" w14:textId="5C00DF2B"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w:t>
      </w:r>
      <w:r w:rsidR="00D462E6">
        <w:rPr>
          <w:rFonts w:cs="Times New Roman"/>
          <w:sz w:val="23"/>
          <w:szCs w:val="23"/>
        </w:rPr>
        <w:t>80</w:t>
      </w:r>
      <w:r w:rsidRPr="00EC4EC4">
        <w:rPr>
          <w:rFonts w:cs="Times New Roman"/>
          <w:sz w:val="23"/>
          <w:szCs w:val="23"/>
        </w:rPr>
        <w:t>. Table 1705.3 of  the New York city building code, as added by local law number 126 for the year 2021, is amended to read as follows:</w:t>
      </w:r>
    </w:p>
    <w:tbl>
      <w:tblPr>
        <w:tblpPr w:leftFromText="180" w:rightFromText="180" w:vertAnchor="text" w:tblpXSpec="center" w:tblpY="1"/>
        <w:tblOverlap w:val="never"/>
        <w:tblW w:w="5211" w:type="pct"/>
        <w:tblLayout w:type="fixed"/>
        <w:tblCellMar>
          <w:left w:w="29" w:type="dxa"/>
          <w:right w:w="29" w:type="dxa"/>
        </w:tblCellMar>
        <w:tblLook w:val="0000" w:firstRow="0" w:lastRow="0" w:firstColumn="0" w:lastColumn="0" w:noHBand="0" w:noVBand="0"/>
      </w:tblPr>
      <w:tblGrid>
        <w:gridCol w:w="3036"/>
        <w:gridCol w:w="1088"/>
        <w:gridCol w:w="1032"/>
        <w:gridCol w:w="1386"/>
        <w:gridCol w:w="1172"/>
        <w:gridCol w:w="1253"/>
        <w:gridCol w:w="1088"/>
      </w:tblGrid>
      <w:tr w:rsidR="00140B7C" w:rsidRPr="00EC4EC4" w14:paraId="0179F001" w14:textId="77777777" w:rsidTr="00BC1087">
        <w:trPr>
          <w:cantSplit/>
          <w:trHeight w:val="533"/>
          <w:tblHeader/>
        </w:trPr>
        <w:tc>
          <w:tcPr>
            <w:tcW w:w="5000" w:type="pct"/>
            <w:gridSpan w:val="7"/>
            <w:tcBorders>
              <w:bottom w:val="single" w:sz="2" w:space="0" w:color="auto"/>
            </w:tcBorders>
            <w:vAlign w:val="center"/>
          </w:tcPr>
          <w:p w14:paraId="3C436B58" w14:textId="77777777" w:rsidR="00140B7C" w:rsidRPr="00EC4EC4" w:rsidRDefault="00140B7C" w:rsidP="00BC1087">
            <w:pPr>
              <w:pStyle w:val="HeadingCaps"/>
              <w:rPr>
                <w:b w:val="0"/>
                <w:bCs/>
                <w:sz w:val="16"/>
                <w:szCs w:val="16"/>
              </w:rPr>
            </w:pPr>
            <w:r w:rsidRPr="00EC4EC4">
              <w:rPr>
                <w:b w:val="0"/>
                <w:bCs/>
                <w:sz w:val="20"/>
              </w:rPr>
              <w:lastRenderedPageBreak/>
              <w:t>TABLE 1705.3</w:t>
            </w:r>
            <w:r w:rsidRPr="00EC4EC4">
              <w:rPr>
                <w:b w:val="0"/>
                <w:bCs/>
                <w:sz w:val="20"/>
              </w:rPr>
              <w:br/>
              <w:t>REQUIRED SPECIAL INSPECTIONS AND TESTS OF CONCRETE CONSTRUCTION</w:t>
            </w:r>
          </w:p>
        </w:tc>
      </w:tr>
      <w:tr w:rsidR="00140B7C" w:rsidRPr="00EC4EC4" w14:paraId="210FFFE3" w14:textId="77777777" w:rsidTr="00BC1087">
        <w:trPr>
          <w:cantSplit/>
          <w:trHeight w:val="832"/>
          <w:tblHeader/>
        </w:trPr>
        <w:tc>
          <w:tcPr>
            <w:tcW w:w="1510" w:type="pct"/>
            <w:tcBorders>
              <w:top w:val="single" w:sz="2" w:space="0" w:color="auto"/>
              <w:left w:val="single" w:sz="2" w:space="0" w:color="auto"/>
              <w:bottom w:val="single" w:sz="2" w:space="0" w:color="auto"/>
              <w:right w:val="single" w:sz="2" w:space="0" w:color="auto"/>
            </w:tcBorders>
            <w:vAlign w:val="center"/>
          </w:tcPr>
          <w:p w14:paraId="3DF91275" w14:textId="77777777" w:rsidR="00140B7C" w:rsidRPr="00EC4EC4" w:rsidRDefault="00140B7C" w:rsidP="00BC1087">
            <w:pPr>
              <w:widowControl w:val="0"/>
              <w:kinsoku w:val="0"/>
              <w:spacing w:after="0" w:line="240" w:lineRule="auto"/>
              <w:jc w:val="center"/>
              <w:rPr>
                <w:rFonts w:eastAsia="Times New Roman" w:cs="Times New Roman"/>
                <w:b/>
                <w:bCs/>
                <w:sz w:val="16"/>
                <w:szCs w:val="16"/>
              </w:rPr>
            </w:pPr>
            <w:r w:rsidRPr="00EC4EC4">
              <w:rPr>
                <w:rFonts w:eastAsia="Times New Roman" w:cs="Times New Roman"/>
                <w:b/>
                <w:bCs/>
                <w:sz w:val="16"/>
                <w:szCs w:val="16"/>
              </w:rPr>
              <w:t>TYPE</w:t>
            </w:r>
          </w:p>
        </w:tc>
        <w:tc>
          <w:tcPr>
            <w:tcW w:w="541" w:type="pct"/>
            <w:tcBorders>
              <w:top w:val="single" w:sz="2" w:space="0" w:color="auto"/>
              <w:left w:val="single" w:sz="2" w:space="0" w:color="auto"/>
              <w:bottom w:val="single" w:sz="2" w:space="0" w:color="auto"/>
              <w:right w:val="single" w:sz="2" w:space="0" w:color="auto"/>
            </w:tcBorders>
            <w:vAlign w:val="center"/>
          </w:tcPr>
          <w:p w14:paraId="1745DFE9" w14:textId="77777777" w:rsidR="00140B7C" w:rsidRPr="00EC4EC4" w:rsidRDefault="00140B7C" w:rsidP="00BC1087">
            <w:pPr>
              <w:widowControl w:val="0"/>
              <w:kinsoku w:val="0"/>
              <w:spacing w:after="0" w:line="240" w:lineRule="auto"/>
              <w:jc w:val="center"/>
              <w:rPr>
                <w:rFonts w:eastAsia="Times New Roman" w:cs="Times New Roman"/>
                <w:b/>
                <w:bCs/>
                <w:sz w:val="16"/>
                <w:szCs w:val="16"/>
              </w:rPr>
            </w:pPr>
            <w:r w:rsidRPr="00EC4EC4">
              <w:rPr>
                <w:rFonts w:eastAsia="Times New Roman" w:cs="Times New Roman"/>
                <w:b/>
                <w:bCs/>
                <w:sz w:val="16"/>
                <w:szCs w:val="16"/>
              </w:rPr>
              <w:t>CONTINUOUS SPECIAL INSPECTION</w:t>
            </w:r>
          </w:p>
        </w:tc>
        <w:tc>
          <w:tcPr>
            <w:tcW w:w="513" w:type="pct"/>
            <w:tcBorders>
              <w:top w:val="single" w:sz="2" w:space="0" w:color="auto"/>
              <w:left w:val="single" w:sz="2" w:space="0" w:color="auto"/>
              <w:bottom w:val="single" w:sz="2" w:space="0" w:color="auto"/>
              <w:right w:val="single" w:sz="2" w:space="0" w:color="auto"/>
            </w:tcBorders>
            <w:vAlign w:val="center"/>
          </w:tcPr>
          <w:p w14:paraId="6EAB9E92" w14:textId="77777777" w:rsidR="00140B7C" w:rsidRPr="00EC4EC4" w:rsidRDefault="00140B7C" w:rsidP="00BC1087">
            <w:pPr>
              <w:widowControl w:val="0"/>
              <w:kinsoku w:val="0"/>
              <w:spacing w:after="0" w:line="240" w:lineRule="auto"/>
              <w:jc w:val="center"/>
              <w:rPr>
                <w:rFonts w:eastAsia="Times New Roman" w:cs="Times New Roman"/>
                <w:b/>
                <w:bCs/>
                <w:sz w:val="16"/>
                <w:szCs w:val="16"/>
              </w:rPr>
            </w:pPr>
            <w:r w:rsidRPr="00EC4EC4">
              <w:rPr>
                <w:rFonts w:eastAsia="Times New Roman" w:cs="Times New Roman"/>
                <w:b/>
                <w:bCs/>
                <w:sz w:val="16"/>
                <w:szCs w:val="16"/>
              </w:rPr>
              <w:t>PERIODIC SPECIAL INSPECTION</w:t>
            </w:r>
          </w:p>
        </w:tc>
        <w:tc>
          <w:tcPr>
            <w:tcW w:w="689" w:type="pct"/>
            <w:tcBorders>
              <w:top w:val="single" w:sz="2" w:space="0" w:color="auto"/>
              <w:left w:val="single" w:sz="2" w:space="0" w:color="auto"/>
              <w:bottom w:val="single" w:sz="2" w:space="0" w:color="auto"/>
              <w:right w:val="single" w:sz="2" w:space="0" w:color="auto"/>
            </w:tcBorders>
            <w:vAlign w:val="center"/>
          </w:tcPr>
          <w:p w14:paraId="48EF3855" w14:textId="77777777" w:rsidR="00140B7C" w:rsidRPr="00EC4EC4" w:rsidRDefault="00140B7C" w:rsidP="00BC1087">
            <w:pPr>
              <w:widowControl w:val="0"/>
              <w:kinsoku w:val="0"/>
              <w:spacing w:after="0" w:line="240" w:lineRule="auto"/>
              <w:jc w:val="center"/>
              <w:rPr>
                <w:rFonts w:eastAsia="Times New Roman" w:cs="Times New Roman"/>
                <w:b/>
                <w:bCs/>
                <w:sz w:val="16"/>
                <w:szCs w:val="16"/>
              </w:rPr>
            </w:pPr>
            <w:r w:rsidRPr="00EC4EC4">
              <w:rPr>
                <w:rFonts w:eastAsia="Times New Roman" w:cs="Times New Roman"/>
                <w:b/>
                <w:bCs/>
                <w:sz w:val="16"/>
                <w:szCs w:val="16"/>
              </w:rPr>
              <w:t>REFERENCED STANDARD</w:t>
            </w:r>
          </w:p>
        </w:tc>
        <w:tc>
          <w:tcPr>
            <w:tcW w:w="583" w:type="pct"/>
            <w:tcBorders>
              <w:top w:val="single" w:sz="2" w:space="0" w:color="auto"/>
              <w:left w:val="single" w:sz="2" w:space="0" w:color="auto"/>
              <w:bottom w:val="single" w:sz="2" w:space="0" w:color="auto"/>
              <w:right w:val="single" w:sz="2" w:space="0" w:color="auto"/>
            </w:tcBorders>
            <w:vAlign w:val="center"/>
          </w:tcPr>
          <w:p w14:paraId="1C50E0EF" w14:textId="77777777" w:rsidR="00140B7C" w:rsidRPr="00EC4EC4" w:rsidRDefault="00140B7C" w:rsidP="00BC1087">
            <w:pPr>
              <w:widowControl w:val="0"/>
              <w:kinsoku w:val="0"/>
              <w:spacing w:after="0" w:line="240" w:lineRule="auto"/>
              <w:jc w:val="center"/>
              <w:rPr>
                <w:rFonts w:eastAsia="Times New Roman" w:cs="Times New Roman"/>
                <w:b/>
                <w:bCs/>
                <w:sz w:val="16"/>
                <w:szCs w:val="16"/>
              </w:rPr>
            </w:pPr>
            <w:r w:rsidRPr="00EC4EC4">
              <w:rPr>
                <w:rFonts w:eastAsia="Times New Roman" w:cs="Times New Roman"/>
                <w:b/>
                <w:bCs/>
                <w:sz w:val="16"/>
                <w:szCs w:val="16"/>
              </w:rPr>
              <w:t>BC REFERENCE</w:t>
            </w:r>
          </w:p>
        </w:tc>
        <w:tc>
          <w:tcPr>
            <w:tcW w:w="623" w:type="pct"/>
            <w:tcBorders>
              <w:top w:val="single" w:sz="2" w:space="0" w:color="auto"/>
              <w:left w:val="single" w:sz="2" w:space="0" w:color="auto"/>
              <w:bottom w:val="single" w:sz="2" w:space="0" w:color="auto"/>
              <w:right w:val="single" w:sz="2" w:space="0" w:color="auto"/>
            </w:tcBorders>
            <w:vAlign w:val="center"/>
          </w:tcPr>
          <w:p w14:paraId="65D1F24F" w14:textId="77777777" w:rsidR="00140B7C" w:rsidRPr="00EC4EC4" w:rsidRDefault="00140B7C" w:rsidP="00BC1087">
            <w:pPr>
              <w:widowControl w:val="0"/>
              <w:kinsoku w:val="0"/>
              <w:spacing w:after="0" w:line="240" w:lineRule="auto"/>
              <w:jc w:val="center"/>
              <w:rPr>
                <w:rFonts w:eastAsia="Times New Roman" w:cs="Times New Roman"/>
                <w:b/>
                <w:bCs/>
                <w:sz w:val="16"/>
                <w:szCs w:val="16"/>
              </w:rPr>
            </w:pPr>
            <w:r w:rsidRPr="00EC4EC4">
              <w:rPr>
                <w:rFonts w:eastAsia="Times New Roman" w:cs="Times New Roman"/>
                <w:b/>
                <w:bCs/>
                <w:sz w:val="16"/>
                <w:szCs w:val="16"/>
              </w:rPr>
              <w:t>Concrete Special Inspector (Cast-In-Place, Precast, &amp; Prestressed)</w:t>
            </w:r>
          </w:p>
        </w:tc>
        <w:tc>
          <w:tcPr>
            <w:tcW w:w="541" w:type="pct"/>
            <w:tcBorders>
              <w:top w:val="single" w:sz="2" w:space="0" w:color="auto"/>
              <w:left w:val="single" w:sz="2" w:space="0" w:color="auto"/>
              <w:bottom w:val="single" w:sz="2" w:space="0" w:color="auto"/>
              <w:right w:val="single" w:sz="2" w:space="0" w:color="auto"/>
            </w:tcBorders>
            <w:vAlign w:val="center"/>
          </w:tcPr>
          <w:p w14:paraId="4249B776" w14:textId="77777777" w:rsidR="00140B7C" w:rsidRPr="00EC4EC4" w:rsidRDefault="00140B7C" w:rsidP="00BC1087">
            <w:pPr>
              <w:widowControl w:val="0"/>
              <w:kinsoku w:val="0"/>
              <w:spacing w:after="0" w:line="240" w:lineRule="auto"/>
              <w:jc w:val="center"/>
              <w:rPr>
                <w:rFonts w:eastAsia="Times New Roman" w:cs="Times New Roman"/>
                <w:b/>
                <w:bCs/>
                <w:sz w:val="16"/>
                <w:szCs w:val="16"/>
              </w:rPr>
            </w:pPr>
            <w:r w:rsidRPr="00EC4EC4">
              <w:rPr>
                <w:rFonts w:eastAsia="Times New Roman" w:cs="Times New Roman"/>
                <w:b/>
                <w:bCs/>
                <w:sz w:val="16"/>
                <w:szCs w:val="16"/>
              </w:rPr>
              <w:t>Licensed Concrete Testing Laboratory</w:t>
            </w:r>
          </w:p>
        </w:tc>
      </w:tr>
      <w:tr w:rsidR="00140B7C" w:rsidRPr="00EC4EC4" w14:paraId="2E1666C1" w14:textId="77777777" w:rsidTr="00BC1087">
        <w:trPr>
          <w:cantSplit/>
          <w:trHeight w:val="606"/>
          <w:tblHeader/>
        </w:trPr>
        <w:tc>
          <w:tcPr>
            <w:tcW w:w="1510" w:type="pct"/>
            <w:tcBorders>
              <w:top w:val="single" w:sz="2" w:space="0" w:color="auto"/>
              <w:left w:val="single" w:sz="2" w:space="0" w:color="auto"/>
              <w:bottom w:val="single" w:sz="2" w:space="0" w:color="auto"/>
              <w:right w:val="single" w:sz="2" w:space="0" w:color="auto"/>
            </w:tcBorders>
            <w:vAlign w:val="center"/>
          </w:tcPr>
          <w:p w14:paraId="7DD86F05" w14:textId="77777777" w:rsidR="00140B7C" w:rsidRPr="00EC4EC4" w:rsidRDefault="00140B7C" w:rsidP="00BC1087">
            <w:pPr>
              <w:widowControl w:val="0"/>
              <w:tabs>
                <w:tab w:val="right" w:pos="3821"/>
              </w:tabs>
              <w:kinsoku w:val="0"/>
              <w:spacing w:after="0" w:line="240" w:lineRule="auto"/>
              <w:ind w:left="360" w:right="28" w:hanging="270"/>
              <w:rPr>
                <w:rFonts w:eastAsia="Times New Roman" w:cs="Times New Roman"/>
                <w:spacing w:val="4"/>
                <w:sz w:val="16"/>
                <w:szCs w:val="16"/>
              </w:rPr>
            </w:pPr>
            <w:r w:rsidRPr="00EC4EC4">
              <w:rPr>
                <w:rFonts w:eastAsia="Times New Roman" w:cs="Times New Roman"/>
                <w:sz w:val="16"/>
                <w:szCs w:val="16"/>
              </w:rPr>
              <w:t>1.</w:t>
            </w:r>
            <w:r w:rsidRPr="00EC4EC4">
              <w:rPr>
                <w:rFonts w:eastAsia="Times New Roman" w:cs="Times New Roman"/>
                <w:sz w:val="16"/>
                <w:szCs w:val="16"/>
              </w:rPr>
              <w:tab/>
            </w:r>
            <w:r w:rsidRPr="00EC4EC4">
              <w:rPr>
                <w:rFonts w:eastAsia="Times New Roman" w:cs="Times New Roman"/>
                <w:spacing w:val="15"/>
                <w:sz w:val="16"/>
                <w:szCs w:val="16"/>
              </w:rPr>
              <w:t xml:space="preserve">Inspect reinforcement, including </w:t>
            </w:r>
            <w:r w:rsidRPr="00EC4EC4">
              <w:rPr>
                <w:rFonts w:eastAsia="Times New Roman" w:cs="Times New Roman"/>
                <w:spacing w:val="4"/>
                <w:sz w:val="16"/>
                <w:szCs w:val="16"/>
              </w:rPr>
              <w:t>prestressing tendons and verify placement.</w:t>
            </w:r>
          </w:p>
        </w:tc>
        <w:tc>
          <w:tcPr>
            <w:tcW w:w="541" w:type="pct"/>
            <w:tcBorders>
              <w:top w:val="single" w:sz="2" w:space="0" w:color="auto"/>
              <w:left w:val="single" w:sz="2" w:space="0" w:color="auto"/>
              <w:bottom w:val="single" w:sz="2" w:space="0" w:color="auto"/>
              <w:right w:val="single" w:sz="2" w:space="0" w:color="auto"/>
            </w:tcBorders>
            <w:vAlign w:val="center"/>
          </w:tcPr>
          <w:p w14:paraId="7327FE8F" w14:textId="77777777" w:rsidR="00140B7C" w:rsidRPr="00EC4EC4" w:rsidRDefault="00140B7C" w:rsidP="00BC1087">
            <w:pPr>
              <w:widowControl w:val="0"/>
              <w:kinsoku w:val="0"/>
              <w:spacing w:after="0" w:line="240" w:lineRule="auto"/>
              <w:jc w:val="center"/>
              <w:rPr>
                <w:rFonts w:eastAsia="Times New Roman" w:cs="Times New Roman"/>
                <w:b/>
                <w:bCs/>
                <w:sz w:val="16"/>
                <w:szCs w:val="16"/>
              </w:rPr>
            </w:pPr>
            <w:r w:rsidRPr="00EC4EC4">
              <w:rPr>
                <w:rFonts w:eastAsia="Times New Roman" w:cs="Times New Roman"/>
                <w:sz w:val="16"/>
                <w:szCs w:val="16"/>
              </w:rPr>
              <w:t>—</w:t>
            </w:r>
          </w:p>
        </w:tc>
        <w:tc>
          <w:tcPr>
            <w:tcW w:w="513" w:type="pct"/>
            <w:tcBorders>
              <w:top w:val="single" w:sz="2" w:space="0" w:color="auto"/>
              <w:left w:val="single" w:sz="2" w:space="0" w:color="auto"/>
              <w:bottom w:val="single" w:sz="2" w:space="0" w:color="auto"/>
              <w:right w:val="single" w:sz="2" w:space="0" w:color="auto"/>
            </w:tcBorders>
            <w:vAlign w:val="center"/>
          </w:tcPr>
          <w:p w14:paraId="605DBBF1"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689" w:type="pct"/>
            <w:tcBorders>
              <w:top w:val="single" w:sz="2" w:space="0" w:color="auto"/>
              <w:left w:val="single" w:sz="2" w:space="0" w:color="auto"/>
              <w:bottom w:val="single" w:sz="2" w:space="0" w:color="auto"/>
              <w:right w:val="single" w:sz="2" w:space="0" w:color="auto"/>
            </w:tcBorders>
            <w:vAlign w:val="center"/>
          </w:tcPr>
          <w:p w14:paraId="07000078"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ACI 318: 3.5, 7.1 – 7.7</w:t>
            </w:r>
          </w:p>
        </w:tc>
        <w:tc>
          <w:tcPr>
            <w:tcW w:w="583" w:type="pct"/>
            <w:tcBorders>
              <w:top w:val="single" w:sz="2" w:space="0" w:color="auto"/>
              <w:left w:val="single" w:sz="2" w:space="0" w:color="auto"/>
              <w:bottom w:val="single" w:sz="2" w:space="0" w:color="auto"/>
              <w:right w:val="single" w:sz="2" w:space="0" w:color="auto"/>
            </w:tcBorders>
            <w:vAlign w:val="center"/>
          </w:tcPr>
          <w:p w14:paraId="261EAEFF"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1903.6, 1907.1,</w:t>
            </w:r>
            <w:r w:rsidRPr="00EC4EC4">
              <w:rPr>
                <w:rFonts w:eastAsia="Times New Roman" w:cs="Times New Roman"/>
                <w:spacing w:val="2"/>
                <w:sz w:val="16"/>
                <w:szCs w:val="16"/>
              </w:rPr>
              <w:br/>
              <w:t>1907.7, 1911.4</w:t>
            </w:r>
          </w:p>
        </w:tc>
        <w:tc>
          <w:tcPr>
            <w:tcW w:w="623" w:type="pct"/>
            <w:tcBorders>
              <w:top w:val="single" w:sz="2" w:space="0" w:color="auto"/>
              <w:left w:val="single" w:sz="2" w:space="0" w:color="auto"/>
              <w:bottom w:val="single" w:sz="2" w:space="0" w:color="auto"/>
              <w:right w:val="single" w:sz="2" w:space="0" w:color="auto"/>
            </w:tcBorders>
            <w:vAlign w:val="center"/>
          </w:tcPr>
          <w:p w14:paraId="022C3758"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X</w:t>
            </w:r>
          </w:p>
        </w:tc>
        <w:tc>
          <w:tcPr>
            <w:tcW w:w="541" w:type="pct"/>
            <w:tcBorders>
              <w:top w:val="single" w:sz="2" w:space="0" w:color="auto"/>
              <w:left w:val="single" w:sz="2" w:space="0" w:color="auto"/>
              <w:bottom w:val="single" w:sz="2" w:space="0" w:color="auto"/>
              <w:right w:val="single" w:sz="2" w:space="0" w:color="auto"/>
            </w:tcBorders>
            <w:vAlign w:val="center"/>
          </w:tcPr>
          <w:p w14:paraId="7553E21D"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p>
        </w:tc>
      </w:tr>
      <w:tr w:rsidR="00140B7C" w:rsidRPr="00EC4EC4" w14:paraId="720AFC65" w14:textId="77777777" w:rsidTr="00BC1087">
        <w:trPr>
          <w:cantSplit/>
          <w:trHeight w:val="444"/>
          <w:tblHeader/>
        </w:trPr>
        <w:tc>
          <w:tcPr>
            <w:tcW w:w="1510" w:type="pct"/>
            <w:tcBorders>
              <w:top w:val="single" w:sz="2" w:space="0" w:color="auto"/>
              <w:left w:val="single" w:sz="2" w:space="0" w:color="auto"/>
              <w:bottom w:val="single" w:sz="2" w:space="0" w:color="auto"/>
              <w:right w:val="single" w:sz="2" w:space="0" w:color="auto"/>
            </w:tcBorders>
            <w:vAlign w:val="center"/>
          </w:tcPr>
          <w:p w14:paraId="2C70BA07" w14:textId="77777777" w:rsidR="00140B7C" w:rsidRPr="00EC4EC4" w:rsidRDefault="00140B7C" w:rsidP="00BC1087">
            <w:pPr>
              <w:widowControl w:val="0"/>
              <w:tabs>
                <w:tab w:val="right" w:pos="3821"/>
              </w:tabs>
              <w:kinsoku w:val="0"/>
              <w:spacing w:after="0" w:line="240" w:lineRule="auto"/>
              <w:ind w:left="360" w:right="28" w:hanging="270"/>
              <w:rPr>
                <w:rFonts w:eastAsia="Times New Roman" w:cs="Times New Roman"/>
                <w:spacing w:val="4"/>
                <w:sz w:val="16"/>
                <w:szCs w:val="16"/>
              </w:rPr>
            </w:pPr>
            <w:r w:rsidRPr="00EC4EC4">
              <w:rPr>
                <w:rFonts w:eastAsia="Times New Roman" w:cs="Times New Roman"/>
                <w:sz w:val="16"/>
                <w:szCs w:val="16"/>
              </w:rPr>
              <w:t>2.</w:t>
            </w:r>
            <w:r w:rsidRPr="00EC4EC4">
              <w:rPr>
                <w:rFonts w:eastAsia="Times New Roman" w:cs="Times New Roman"/>
                <w:sz w:val="16"/>
                <w:szCs w:val="16"/>
              </w:rPr>
              <w:tab/>
            </w:r>
            <w:r w:rsidRPr="00EC4EC4">
              <w:rPr>
                <w:rFonts w:eastAsia="Times New Roman" w:cs="Times New Roman"/>
                <w:spacing w:val="2"/>
                <w:sz w:val="16"/>
                <w:szCs w:val="16"/>
              </w:rPr>
              <w:t>Inspection of reinforcing steel welding in accor</w:t>
            </w:r>
            <w:r w:rsidRPr="00EC4EC4">
              <w:rPr>
                <w:rFonts w:eastAsia="Times New Roman" w:cs="Times New Roman"/>
                <w:spacing w:val="4"/>
                <w:sz w:val="16"/>
                <w:szCs w:val="16"/>
              </w:rPr>
              <w:t>dance with Table 1705.2, Item 5b.</w:t>
            </w:r>
          </w:p>
        </w:tc>
        <w:tc>
          <w:tcPr>
            <w:tcW w:w="541" w:type="pct"/>
            <w:tcBorders>
              <w:top w:val="single" w:sz="2" w:space="0" w:color="auto"/>
              <w:left w:val="single" w:sz="2" w:space="0" w:color="auto"/>
              <w:bottom w:val="single" w:sz="2" w:space="0" w:color="auto"/>
              <w:right w:val="single" w:sz="2" w:space="0" w:color="auto"/>
            </w:tcBorders>
            <w:vAlign w:val="center"/>
          </w:tcPr>
          <w:p w14:paraId="7B9D760E"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513" w:type="pct"/>
            <w:tcBorders>
              <w:top w:val="single" w:sz="2" w:space="0" w:color="auto"/>
              <w:left w:val="single" w:sz="2" w:space="0" w:color="auto"/>
              <w:bottom w:val="single" w:sz="2" w:space="0" w:color="auto"/>
              <w:right w:val="single" w:sz="2" w:space="0" w:color="auto"/>
            </w:tcBorders>
            <w:vAlign w:val="center"/>
          </w:tcPr>
          <w:p w14:paraId="62C6FD48"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689" w:type="pct"/>
            <w:tcBorders>
              <w:top w:val="single" w:sz="2" w:space="0" w:color="auto"/>
              <w:left w:val="single" w:sz="2" w:space="0" w:color="auto"/>
              <w:bottom w:val="single" w:sz="2" w:space="0" w:color="auto"/>
              <w:right w:val="single" w:sz="2" w:space="0" w:color="auto"/>
            </w:tcBorders>
            <w:vAlign w:val="center"/>
          </w:tcPr>
          <w:p w14:paraId="06EF994A"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z w:val="16"/>
                <w:szCs w:val="16"/>
              </w:rPr>
              <w:t>AWS D1.4</w:t>
            </w:r>
            <w:r w:rsidRPr="00EC4EC4">
              <w:rPr>
                <w:rFonts w:eastAsia="Times New Roman" w:cs="Times New Roman"/>
                <w:sz w:val="16"/>
                <w:szCs w:val="16"/>
              </w:rPr>
              <w:br/>
            </w:r>
            <w:r w:rsidRPr="00EC4EC4">
              <w:rPr>
                <w:rFonts w:eastAsia="Times New Roman" w:cs="Times New Roman"/>
                <w:spacing w:val="2"/>
                <w:sz w:val="16"/>
                <w:szCs w:val="16"/>
              </w:rPr>
              <w:t>ACI 318: 3.5.2</w:t>
            </w:r>
          </w:p>
        </w:tc>
        <w:tc>
          <w:tcPr>
            <w:tcW w:w="583" w:type="pct"/>
            <w:tcBorders>
              <w:top w:val="single" w:sz="2" w:space="0" w:color="auto"/>
              <w:left w:val="single" w:sz="2" w:space="0" w:color="auto"/>
              <w:bottom w:val="single" w:sz="2" w:space="0" w:color="auto"/>
              <w:right w:val="single" w:sz="2" w:space="0" w:color="auto"/>
            </w:tcBorders>
            <w:vAlign w:val="center"/>
          </w:tcPr>
          <w:p w14:paraId="30D84F1A"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1903.6.2</w:t>
            </w:r>
          </w:p>
        </w:tc>
        <w:tc>
          <w:tcPr>
            <w:tcW w:w="623" w:type="pct"/>
            <w:tcBorders>
              <w:top w:val="single" w:sz="2" w:space="0" w:color="auto"/>
              <w:left w:val="single" w:sz="2" w:space="0" w:color="auto"/>
              <w:bottom w:val="single" w:sz="2" w:space="0" w:color="auto"/>
              <w:right w:val="single" w:sz="2" w:space="0" w:color="auto"/>
            </w:tcBorders>
            <w:vAlign w:val="center"/>
          </w:tcPr>
          <w:p w14:paraId="755F5A28" w14:textId="77777777" w:rsidR="00140B7C" w:rsidRPr="00EC4EC4" w:rsidRDefault="00140B7C" w:rsidP="00BC1087">
            <w:pPr>
              <w:widowControl w:val="0"/>
              <w:kinsoku w:val="0"/>
              <w:spacing w:after="0" w:line="240" w:lineRule="auto"/>
              <w:jc w:val="center"/>
              <w:rPr>
                <w:rFonts w:eastAsia="Times New Roman" w:cs="Times New Roman"/>
                <w:sz w:val="16"/>
                <w:szCs w:val="16"/>
              </w:rPr>
            </w:pPr>
          </w:p>
        </w:tc>
        <w:tc>
          <w:tcPr>
            <w:tcW w:w="541" w:type="pct"/>
            <w:tcBorders>
              <w:top w:val="single" w:sz="2" w:space="0" w:color="auto"/>
              <w:left w:val="single" w:sz="2" w:space="0" w:color="auto"/>
              <w:bottom w:val="single" w:sz="2" w:space="0" w:color="auto"/>
              <w:right w:val="single" w:sz="2" w:space="0" w:color="auto"/>
            </w:tcBorders>
            <w:vAlign w:val="center"/>
          </w:tcPr>
          <w:p w14:paraId="661295D5" w14:textId="77777777" w:rsidR="00140B7C" w:rsidRPr="00EC4EC4" w:rsidRDefault="00140B7C" w:rsidP="00BC1087">
            <w:pPr>
              <w:widowControl w:val="0"/>
              <w:kinsoku w:val="0"/>
              <w:spacing w:after="0" w:line="240" w:lineRule="auto"/>
              <w:jc w:val="center"/>
              <w:rPr>
                <w:rFonts w:eastAsia="Times New Roman" w:cs="Times New Roman"/>
                <w:sz w:val="16"/>
                <w:szCs w:val="16"/>
              </w:rPr>
            </w:pPr>
          </w:p>
        </w:tc>
      </w:tr>
      <w:tr w:rsidR="00140B7C" w:rsidRPr="00EC4EC4" w14:paraId="4C30021C" w14:textId="77777777" w:rsidTr="00BC1087">
        <w:trPr>
          <w:cantSplit/>
          <w:trHeight w:val="1256"/>
          <w:tblHeader/>
        </w:trPr>
        <w:tc>
          <w:tcPr>
            <w:tcW w:w="1510" w:type="pct"/>
            <w:tcBorders>
              <w:top w:val="single" w:sz="2" w:space="0" w:color="auto"/>
              <w:left w:val="single" w:sz="2" w:space="0" w:color="auto"/>
              <w:bottom w:val="single" w:sz="2" w:space="0" w:color="auto"/>
              <w:right w:val="single" w:sz="2" w:space="0" w:color="auto"/>
            </w:tcBorders>
            <w:vAlign w:val="center"/>
          </w:tcPr>
          <w:p w14:paraId="2A819DBD" w14:textId="77777777" w:rsidR="00140B7C" w:rsidRPr="00EC4EC4" w:rsidRDefault="00140B7C" w:rsidP="00BC1087">
            <w:pPr>
              <w:widowControl w:val="0"/>
              <w:tabs>
                <w:tab w:val="right" w:pos="-2982"/>
              </w:tabs>
              <w:kinsoku w:val="0"/>
              <w:spacing w:after="0" w:line="240" w:lineRule="auto"/>
              <w:ind w:left="360" w:right="28" w:hanging="270"/>
              <w:rPr>
                <w:rFonts w:eastAsia="Times New Roman" w:cs="Times New Roman"/>
                <w:spacing w:val="4"/>
                <w:sz w:val="16"/>
                <w:szCs w:val="16"/>
              </w:rPr>
            </w:pPr>
            <w:r w:rsidRPr="00EC4EC4">
              <w:rPr>
                <w:rFonts w:eastAsia="Times New Roman" w:cs="Times New Roman"/>
                <w:sz w:val="16"/>
                <w:szCs w:val="16"/>
              </w:rPr>
              <w:t>3.</w:t>
            </w:r>
            <w:r w:rsidRPr="00EC4EC4">
              <w:rPr>
                <w:rFonts w:eastAsia="Times New Roman" w:cs="Times New Roman"/>
                <w:sz w:val="16"/>
                <w:szCs w:val="16"/>
              </w:rPr>
              <w:tab/>
            </w:r>
            <w:r w:rsidRPr="00EC4EC4">
              <w:rPr>
                <w:rFonts w:eastAsia="Times New Roman" w:cs="Times New Roman"/>
                <w:spacing w:val="4"/>
                <w:sz w:val="16"/>
                <w:szCs w:val="16"/>
              </w:rPr>
              <w:t>Inspect anchors cast in concrete.</w:t>
            </w:r>
          </w:p>
        </w:tc>
        <w:tc>
          <w:tcPr>
            <w:tcW w:w="541" w:type="pct"/>
            <w:tcBorders>
              <w:top w:val="single" w:sz="2" w:space="0" w:color="auto"/>
              <w:left w:val="single" w:sz="2" w:space="0" w:color="auto"/>
              <w:bottom w:val="single" w:sz="2" w:space="0" w:color="auto"/>
              <w:right w:val="single" w:sz="2" w:space="0" w:color="auto"/>
            </w:tcBorders>
            <w:vAlign w:val="center"/>
          </w:tcPr>
          <w:p w14:paraId="498D16A1"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513" w:type="pct"/>
            <w:tcBorders>
              <w:top w:val="single" w:sz="2" w:space="0" w:color="auto"/>
              <w:left w:val="single" w:sz="2" w:space="0" w:color="auto"/>
              <w:bottom w:val="single" w:sz="2" w:space="0" w:color="auto"/>
              <w:right w:val="single" w:sz="2" w:space="0" w:color="auto"/>
            </w:tcBorders>
            <w:vAlign w:val="center"/>
          </w:tcPr>
          <w:p w14:paraId="44A9F674"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689" w:type="pct"/>
            <w:tcBorders>
              <w:top w:val="single" w:sz="2" w:space="0" w:color="auto"/>
              <w:left w:val="single" w:sz="2" w:space="0" w:color="auto"/>
              <w:bottom w:val="single" w:sz="2" w:space="0" w:color="auto"/>
              <w:right w:val="single" w:sz="2" w:space="0" w:color="auto"/>
            </w:tcBorders>
            <w:vAlign w:val="center"/>
          </w:tcPr>
          <w:p w14:paraId="4760A36C"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ACI 318: 17.8.2</w:t>
            </w:r>
          </w:p>
        </w:tc>
        <w:tc>
          <w:tcPr>
            <w:tcW w:w="583" w:type="pct"/>
            <w:tcBorders>
              <w:top w:val="single" w:sz="2" w:space="0" w:color="auto"/>
              <w:left w:val="single" w:sz="2" w:space="0" w:color="auto"/>
              <w:bottom w:val="single" w:sz="2" w:space="0" w:color="auto"/>
              <w:right w:val="single" w:sz="2" w:space="0" w:color="auto"/>
            </w:tcBorders>
            <w:vAlign w:val="center"/>
          </w:tcPr>
          <w:p w14:paraId="616A338F"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1901.3</w:t>
            </w:r>
          </w:p>
        </w:tc>
        <w:tc>
          <w:tcPr>
            <w:tcW w:w="623" w:type="pct"/>
            <w:tcBorders>
              <w:top w:val="single" w:sz="2" w:space="0" w:color="auto"/>
              <w:left w:val="single" w:sz="2" w:space="0" w:color="auto"/>
              <w:bottom w:val="single" w:sz="2" w:space="0" w:color="auto"/>
              <w:right w:val="single" w:sz="2" w:space="0" w:color="auto"/>
            </w:tcBorders>
            <w:vAlign w:val="center"/>
          </w:tcPr>
          <w:p w14:paraId="4248E02C"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pacing w:val="2"/>
                <w:sz w:val="16"/>
                <w:szCs w:val="16"/>
              </w:rPr>
              <w:t>X</w:t>
            </w:r>
          </w:p>
        </w:tc>
        <w:tc>
          <w:tcPr>
            <w:tcW w:w="541" w:type="pct"/>
            <w:tcBorders>
              <w:top w:val="single" w:sz="2" w:space="0" w:color="auto"/>
              <w:left w:val="single" w:sz="2" w:space="0" w:color="auto"/>
              <w:bottom w:val="single" w:sz="2" w:space="0" w:color="auto"/>
              <w:right w:val="single" w:sz="2" w:space="0" w:color="auto"/>
            </w:tcBorders>
            <w:vAlign w:val="center"/>
          </w:tcPr>
          <w:p w14:paraId="00CCCF0E" w14:textId="77777777" w:rsidR="00140B7C" w:rsidRPr="00EC4EC4" w:rsidRDefault="00140B7C" w:rsidP="00BC1087">
            <w:pPr>
              <w:widowControl w:val="0"/>
              <w:kinsoku w:val="0"/>
              <w:spacing w:after="0" w:line="240" w:lineRule="auto"/>
              <w:jc w:val="center"/>
              <w:rPr>
                <w:rFonts w:eastAsia="Times New Roman" w:cs="Times New Roman"/>
                <w:sz w:val="16"/>
                <w:szCs w:val="16"/>
              </w:rPr>
            </w:pPr>
          </w:p>
        </w:tc>
      </w:tr>
      <w:tr w:rsidR="00140B7C" w:rsidRPr="00EC4EC4" w14:paraId="0F256D3B" w14:textId="77777777" w:rsidTr="00BC1087">
        <w:trPr>
          <w:cantSplit/>
          <w:trHeight w:val="1706"/>
          <w:tblHeader/>
        </w:trPr>
        <w:tc>
          <w:tcPr>
            <w:tcW w:w="1510" w:type="pct"/>
            <w:tcBorders>
              <w:top w:val="single" w:sz="2" w:space="0" w:color="auto"/>
              <w:left w:val="single" w:sz="2" w:space="0" w:color="auto"/>
              <w:bottom w:val="single" w:sz="2" w:space="0" w:color="auto"/>
              <w:right w:val="single" w:sz="2" w:space="0" w:color="auto"/>
            </w:tcBorders>
            <w:vAlign w:val="center"/>
          </w:tcPr>
          <w:p w14:paraId="68CDC496" w14:textId="77777777" w:rsidR="00140B7C" w:rsidRPr="00EC4EC4" w:rsidRDefault="00140B7C" w:rsidP="00BC1087">
            <w:pPr>
              <w:widowControl w:val="0"/>
              <w:tabs>
                <w:tab w:val="right" w:pos="-2982"/>
              </w:tabs>
              <w:kinsoku w:val="0"/>
              <w:spacing w:after="0" w:line="240" w:lineRule="auto"/>
              <w:ind w:left="360" w:right="-4" w:hanging="270"/>
              <w:rPr>
                <w:rFonts w:eastAsia="Times New Roman" w:cs="Times New Roman"/>
                <w:sz w:val="16"/>
                <w:szCs w:val="16"/>
              </w:rPr>
            </w:pPr>
            <w:r w:rsidRPr="00EC4EC4">
              <w:rPr>
                <w:rFonts w:eastAsia="Times New Roman" w:cs="Times New Roman"/>
                <w:sz w:val="16"/>
                <w:szCs w:val="16"/>
              </w:rPr>
              <w:t>4.</w:t>
            </w:r>
            <w:r w:rsidRPr="00EC4EC4">
              <w:rPr>
                <w:rFonts w:eastAsia="Times New Roman" w:cs="Times New Roman"/>
                <w:sz w:val="16"/>
                <w:szCs w:val="16"/>
              </w:rPr>
              <w:tab/>
            </w:r>
            <w:r w:rsidRPr="00EC4EC4">
              <w:rPr>
                <w:rFonts w:eastAsia="Times New Roman" w:cs="Times New Roman"/>
                <w:spacing w:val="2"/>
                <w:sz w:val="16"/>
                <w:szCs w:val="16"/>
              </w:rPr>
              <w:t xml:space="preserve">Inspect </w:t>
            </w:r>
            <w:r w:rsidRPr="00EC4EC4">
              <w:rPr>
                <w:rFonts w:eastAsia="Times New Roman" w:cs="Times New Roman"/>
                <w:sz w:val="16"/>
                <w:szCs w:val="16"/>
              </w:rPr>
              <w:t>anchors post-installed in hardened concrete members</w:t>
            </w:r>
            <w:r w:rsidRPr="00EC4EC4">
              <w:rPr>
                <w:rFonts w:eastAsia="Times New Roman" w:cs="Times New Roman"/>
                <w:sz w:val="16"/>
                <w:szCs w:val="16"/>
                <w:vertAlign w:val="superscript"/>
              </w:rPr>
              <w:t>c</w:t>
            </w:r>
            <w:r w:rsidRPr="00EC4EC4">
              <w:rPr>
                <w:rFonts w:eastAsia="Times New Roman" w:cs="Times New Roman"/>
                <w:sz w:val="16"/>
                <w:szCs w:val="16"/>
              </w:rPr>
              <w:t>.</w:t>
            </w:r>
          </w:p>
          <w:p w14:paraId="38FBA0AF" w14:textId="77777777" w:rsidR="00140B7C" w:rsidRPr="00EC4EC4" w:rsidRDefault="00140B7C" w:rsidP="00BC1087">
            <w:pPr>
              <w:widowControl w:val="0"/>
              <w:tabs>
                <w:tab w:val="right" w:pos="-2982"/>
              </w:tabs>
              <w:kinsoku w:val="0"/>
              <w:spacing w:after="0" w:line="240" w:lineRule="auto"/>
              <w:ind w:left="720" w:right="-4" w:hanging="360"/>
              <w:rPr>
                <w:rFonts w:eastAsia="Times New Roman" w:cs="Times New Roman"/>
                <w:sz w:val="16"/>
                <w:szCs w:val="16"/>
              </w:rPr>
            </w:pPr>
            <w:r w:rsidRPr="00EC4EC4">
              <w:rPr>
                <w:rFonts w:eastAsia="Times New Roman" w:cs="Times New Roman"/>
                <w:sz w:val="16"/>
                <w:szCs w:val="16"/>
              </w:rPr>
              <w:t>a.</w:t>
            </w:r>
            <w:r w:rsidRPr="00EC4EC4">
              <w:rPr>
                <w:rFonts w:eastAsia="Times New Roman" w:cs="Times New Roman"/>
                <w:sz w:val="16"/>
                <w:szCs w:val="16"/>
              </w:rPr>
              <w:tab/>
              <w:t>Adhesive anchors installed in horizontally or upwardly inclined orientations to resist sustained tension loads.</w:t>
            </w:r>
          </w:p>
          <w:p w14:paraId="28502C86" w14:textId="77777777" w:rsidR="00140B7C" w:rsidRPr="00EC4EC4" w:rsidRDefault="00140B7C" w:rsidP="00BC1087">
            <w:pPr>
              <w:widowControl w:val="0"/>
              <w:tabs>
                <w:tab w:val="right" w:pos="-2982"/>
              </w:tabs>
              <w:kinsoku w:val="0"/>
              <w:spacing w:after="0" w:line="240" w:lineRule="auto"/>
              <w:ind w:left="720" w:right="-4" w:hanging="360"/>
              <w:rPr>
                <w:rFonts w:eastAsia="Times New Roman" w:cs="Times New Roman"/>
                <w:spacing w:val="-28"/>
                <w:sz w:val="16"/>
                <w:szCs w:val="16"/>
              </w:rPr>
            </w:pPr>
            <w:r w:rsidRPr="00EC4EC4">
              <w:rPr>
                <w:rFonts w:eastAsia="Times New Roman" w:cs="Times New Roman"/>
                <w:sz w:val="16"/>
                <w:szCs w:val="16"/>
              </w:rPr>
              <w:t>b.</w:t>
            </w:r>
            <w:r w:rsidRPr="00EC4EC4">
              <w:rPr>
                <w:rFonts w:eastAsia="Times New Roman" w:cs="Times New Roman"/>
                <w:sz w:val="16"/>
                <w:szCs w:val="16"/>
              </w:rPr>
              <w:tab/>
              <w:t>Mechanical anchors and adhesive anchors not defined in 4a.</w:t>
            </w:r>
          </w:p>
        </w:tc>
        <w:tc>
          <w:tcPr>
            <w:tcW w:w="541" w:type="pct"/>
            <w:tcBorders>
              <w:top w:val="single" w:sz="2" w:space="0" w:color="auto"/>
              <w:left w:val="single" w:sz="2" w:space="0" w:color="auto"/>
              <w:bottom w:val="single" w:sz="2" w:space="0" w:color="auto"/>
              <w:right w:val="single" w:sz="2" w:space="0" w:color="auto"/>
            </w:tcBorders>
            <w:vAlign w:val="center"/>
          </w:tcPr>
          <w:p w14:paraId="26C8C714"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513" w:type="pct"/>
            <w:tcBorders>
              <w:top w:val="single" w:sz="2" w:space="0" w:color="auto"/>
              <w:left w:val="single" w:sz="2" w:space="0" w:color="auto"/>
              <w:bottom w:val="single" w:sz="2" w:space="0" w:color="auto"/>
              <w:right w:val="single" w:sz="2" w:space="0" w:color="auto"/>
            </w:tcBorders>
            <w:vAlign w:val="center"/>
          </w:tcPr>
          <w:p w14:paraId="7F8A1F28" w14:textId="77777777" w:rsidR="00140B7C" w:rsidRPr="00140B7C" w:rsidRDefault="00140B7C" w:rsidP="00BC1087">
            <w:pPr>
              <w:widowControl w:val="0"/>
              <w:kinsoku w:val="0"/>
              <w:spacing w:after="0" w:line="240" w:lineRule="auto"/>
              <w:jc w:val="center"/>
              <w:rPr>
                <w:rFonts w:eastAsia="Times New Roman" w:cs="Times New Roman"/>
                <w:sz w:val="16"/>
                <w:szCs w:val="16"/>
              </w:rPr>
            </w:pPr>
            <w:r w:rsidRPr="00140B7C">
              <w:rPr>
                <w:rFonts w:eastAsia="Times New Roman" w:cs="Times New Roman"/>
                <w:sz w:val="16"/>
                <w:szCs w:val="16"/>
              </w:rPr>
              <w:t>[</w:t>
            </w:r>
            <w:r w:rsidRPr="00140B7C">
              <w:rPr>
                <w:rFonts w:eastAsia="Times New Roman" w:cs="Times New Roman"/>
                <w:strike/>
                <w:sz w:val="16"/>
                <w:szCs w:val="16"/>
              </w:rPr>
              <w:t>X</w:t>
            </w:r>
            <w:r w:rsidRPr="00140B7C">
              <w:rPr>
                <w:rFonts w:eastAsia="Times New Roman" w:cs="Times New Roman"/>
                <w:sz w:val="16"/>
                <w:szCs w:val="16"/>
              </w:rPr>
              <w:t>]</w:t>
            </w:r>
          </w:p>
          <w:p w14:paraId="70DA3A03" w14:textId="77777777" w:rsidR="00140B7C" w:rsidRPr="00140B7C" w:rsidRDefault="00140B7C" w:rsidP="00BC1087">
            <w:pPr>
              <w:widowControl w:val="0"/>
              <w:kinsoku w:val="0"/>
              <w:spacing w:after="0" w:line="240" w:lineRule="auto"/>
              <w:jc w:val="center"/>
              <w:rPr>
                <w:rFonts w:eastAsia="Times New Roman" w:cs="Times New Roman"/>
                <w:sz w:val="16"/>
                <w:szCs w:val="16"/>
              </w:rPr>
            </w:pPr>
          </w:p>
          <w:p w14:paraId="7EF08849" w14:textId="77777777" w:rsidR="00140B7C" w:rsidRPr="00140B7C" w:rsidRDefault="00140B7C" w:rsidP="00BC1087">
            <w:pPr>
              <w:widowControl w:val="0"/>
              <w:kinsoku w:val="0"/>
              <w:spacing w:after="0" w:line="240" w:lineRule="auto"/>
              <w:jc w:val="center"/>
              <w:rPr>
                <w:rFonts w:eastAsia="Times New Roman" w:cs="Times New Roman"/>
                <w:sz w:val="16"/>
                <w:szCs w:val="16"/>
              </w:rPr>
            </w:pPr>
          </w:p>
          <w:p w14:paraId="6CA95AD1"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140B7C">
              <w:rPr>
                <w:rFonts w:eastAsia="Times New Roman" w:cs="Times New Roman"/>
                <w:sz w:val="16"/>
                <w:szCs w:val="16"/>
                <w:u w:val="single"/>
              </w:rPr>
              <w:t>X</w:t>
            </w:r>
            <w:r w:rsidRPr="00EC4EC4" w:rsidDel="001230BF">
              <w:rPr>
                <w:rFonts w:eastAsia="Times New Roman" w:cs="Times New Roman"/>
                <w:sz w:val="16"/>
                <w:szCs w:val="16"/>
              </w:rPr>
              <w:t xml:space="preserve"> </w:t>
            </w:r>
          </w:p>
        </w:tc>
        <w:tc>
          <w:tcPr>
            <w:tcW w:w="689" w:type="pct"/>
            <w:tcBorders>
              <w:top w:val="single" w:sz="2" w:space="0" w:color="auto"/>
              <w:left w:val="single" w:sz="2" w:space="0" w:color="auto"/>
              <w:bottom w:val="single" w:sz="2" w:space="0" w:color="auto"/>
              <w:right w:val="single" w:sz="2" w:space="0" w:color="auto"/>
            </w:tcBorders>
            <w:vAlign w:val="center"/>
          </w:tcPr>
          <w:p w14:paraId="380DFF55"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ACI 318: 17.8</w:t>
            </w:r>
          </w:p>
        </w:tc>
        <w:tc>
          <w:tcPr>
            <w:tcW w:w="583" w:type="pct"/>
            <w:tcBorders>
              <w:top w:val="single" w:sz="2" w:space="0" w:color="auto"/>
              <w:left w:val="single" w:sz="2" w:space="0" w:color="auto"/>
              <w:bottom w:val="single" w:sz="2" w:space="0" w:color="auto"/>
              <w:right w:val="single" w:sz="2" w:space="0" w:color="auto"/>
            </w:tcBorders>
            <w:vAlign w:val="center"/>
          </w:tcPr>
          <w:p w14:paraId="0C094004"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p>
        </w:tc>
        <w:tc>
          <w:tcPr>
            <w:tcW w:w="623" w:type="pct"/>
            <w:tcBorders>
              <w:top w:val="single" w:sz="2" w:space="0" w:color="auto"/>
              <w:left w:val="single" w:sz="2" w:space="0" w:color="auto"/>
              <w:bottom w:val="single" w:sz="2" w:space="0" w:color="auto"/>
              <w:right w:val="single" w:sz="2" w:space="0" w:color="auto"/>
            </w:tcBorders>
            <w:vAlign w:val="center"/>
          </w:tcPr>
          <w:p w14:paraId="59E98EA7"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X</w:t>
            </w:r>
          </w:p>
        </w:tc>
        <w:tc>
          <w:tcPr>
            <w:tcW w:w="541" w:type="pct"/>
            <w:tcBorders>
              <w:top w:val="single" w:sz="2" w:space="0" w:color="auto"/>
              <w:left w:val="single" w:sz="2" w:space="0" w:color="auto"/>
              <w:bottom w:val="single" w:sz="2" w:space="0" w:color="auto"/>
              <w:right w:val="single" w:sz="2" w:space="0" w:color="auto"/>
            </w:tcBorders>
            <w:vAlign w:val="center"/>
          </w:tcPr>
          <w:p w14:paraId="70127528"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p>
        </w:tc>
      </w:tr>
      <w:tr w:rsidR="00140B7C" w:rsidRPr="00EC4EC4" w14:paraId="49C1D91D" w14:textId="77777777" w:rsidTr="00BC1087">
        <w:trPr>
          <w:cantSplit/>
          <w:trHeight w:val="20"/>
          <w:tblHeader/>
        </w:trPr>
        <w:tc>
          <w:tcPr>
            <w:tcW w:w="1510" w:type="pct"/>
            <w:tcBorders>
              <w:top w:val="single" w:sz="2" w:space="0" w:color="auto"/>
              <w:left w:val="single" w:sz="2" w:space="0" w:color="auto"/>
              <w:bottom w:val="single" w:sz="2" w:space="0" w:color="auto"/>
              <w:right w:val="single" w:sz="2" w:space="0" w:color="auto"/>
            </w:tcBorders>
            <w:vAlign w:val="center"/>
          </w:tcPr>
          <w:p w14:paraId="29DC20EA" w14:textId="77777777" w:rsidR="00140B7C" w:rsidRPr="00EC4EC4" w:rsidRDefault="00140B7C" w:rsidP="00BC1087">
            <w:pPr>
              <w:widowControl w:val="0"/>
              <w:tabs>
                <w:tab w:val="right" w:pos="3096"/>
              </w:tabs>
              <w:kinsoku w:val="0"/>
              <w:spacing w:after="0" w:line="240" w:lineRule="auto"/>
              <w:ind w:left="360" w:right="658" w:hanging="270"/>
              <w:rPr>
                <w:rFonts w:eastAsia="Times New Roman" w:cs="Times New Roman"/>
                <w:spacing w:val="3"/>
                <w:sz w:val="16"/>
                <w:szCs w:val="16"/>
              </w:rPr>
            </w:pPr>
            <w:r w:rsidRPr="00EC4EC4">
              <w:rPr>
                <w:rFonts w:eastAsia="Times New Roman" w:cs="Times New Roman"/>
                <w:spacing w:val="-28"/>
                <w:sz w:val="16"/>
                <w:szCs w:val="16"/>
              </w:rPr>
              <w:t>5.</w:t>
            </w:r>
            <w:r w:rsidRPr="00EC4EC4">
              <w:rPr>
                <w:rFonts w:eastAsia="Times New Roman" w:cs="Times New Roman"/>
                <w:spacing w:val="-28"/>
                <w:sz w:val="16"/>
                <w:szCs w:val="16"/>
              </w:rPr>
              <w:tab/>
            </w:r>
            <w:r w:rsidRPr="00EC4EC4">
              <w:rPr>
                <w:rFonts w:eastAsia="Times New Roman" w:cs="Times New Roman"/>
                <w:spacing w:val="3"/>
                <w:sz w:val="16"/>
                <w:szCs w:val="16"/>
              </w:rPr>
              <w:t>Verifying use of required design mix.</w:t>
            </w:r>
          </w:p>
        </w:tc>
        <w:tc>
          <w:tcPr>
            <w:tcW w:w="541" w:type="pct"/>
            <w:tcBorders>
              <w:top w:val="single" w:sz="2" w:space="0" w:color="auto"/>
              <w:left w:val="single" w:sz="2" w:space="0" w:color="auto"/>
              <w:bottom w:val="single" w:sz="2" w:space="0" w:color="auto"/>
              <w:right w:val="single" w:sz="2" w:space="0" w:color="auto"/>
            </w:tcBorders>
            <w:vAlign w:val="center"/>
          </w:tcPr>
          <w:p w14:paraId="7CE7787C"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513" w:type="pct"/>
            <w:tcBorders>
              <w:top w:val="single" w:sz="2" w:space="0" w:color="auto"/>
              <w:left w:val="single" w:sz="2" w:space="0" w:color="auto"/>
              <w:bottom w:val="single" w:sz="2" w:space="0" w:color="auto"/>
              <w:right w:val="single" w:sz="2" w:space="0" w:color="auto"/>
            </w:tcBorders>
            <w:vAlign w:val="center"/>
          </w:tcPr>
          <w:p w14:paraId="57063830"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689" w:type="pct"/>
            <w:tcBorders>
              <w:top w:val="single" w:sz="2" w:space="0" w:color="auto"/>
              <w:left w:val="single" w:sz="2" w:space="0" w:color="auto"/>
              <w:bottom w:val="single" w:sz="2" w:space="0" w:color="auto"/>
              <w:right w:val="single" w:sz="2" w:space="0" w:color="auto"/>
            </w:tcBorders>
            <w:vAlign w:val="center"/>
          </w:tcPr>
          <w:p w14:paraId="24A66F1E" w14:textId="77777777" w:rsidR="00140B7C" w:rsidRPr="00EC4EC4" w:rsidRDefault="00140B7C" w:rsidP="00BC1087">
            <w:pPr>
              <w:widowControl w:val="0"/>
              <w:kinsoku w:val="0"/>
              <w:spacing w:after="0" w:line="240" w:lineRule="auto"/>
              <w:jc w:val="center"/>
              <w:rPr>
                <w:rFonts w:eastAsia="Times New Roman" w:cs="Times New Roman"/>
                <w:strike/>
                <w:spacing w:val="2"/>
                <w:sz w:val="16"/>
                <w:szCs w:val="16"/>
              </w:rPr>
            </w:pPr>
            <w:r w:rsidRPr="00EC4EC4">
              <w:rPr>
                <w:rFonts w:eastAsia="Times New Roman" w:cs="Times New Roman"/>
                <w:spacing w:val="2"/>
                <w:sz w:val="16"/>
                <w:szCs w:val="16"/>
              </w:rPr>
              <w:t>ACI 318: Ch. 4, 5.2-5.4</w:t>
            </w:r>
          </w:p>
        </w:tc>
        <w:tc>
          <w:tcPr>
            <w:tcW w:w="583" w:type="pct"/>
            <w:tcBorders>
              <w:top w:val="single" w:sz="2" w:space="0" w:color="auto"/>
              <w:left w:val="single" w:sz="2" w:space="0" w:color="auto"/>
              <w:bottom w:val="single" w:sz="2" w:space="0" w:color="auto"/>
              <w:right w:val="single" w:sz="2" w:space="0" w:color="auto"/>
            </w:tcBorders>
            <w:vAlign w:val="center"/>
          </w:tcPr>
          <w:p w14:paraId="20019809"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pacing w:val="2"/>
                <w:sz w:val="16"/>
                <w:szCs w:val="16"/>
              </w:rPr>
              <w:t>1904, 1905.2-1905.4,</w:t>
            </w:r>
            <w:r w:rsidRPr="00EC4EC4">
              <w:rPr>
                <w:rFonts w:eastAsia="Times New Roman" w:cs="Times New Roman"/>
                <w:spacing w:val="2"/>
                <w:sz w:val="16"/>
                <w:szCs w:val="16"/>
              </w:rPr>
              <w:br/>
            </w:r>
            <w:r w:rsidRPr="00EC4EC4">
              <w:rPr>
                <w:rFonts w:eastAsia="Times New Roman" w:cs="Times New Roman"/>
                <w:sz w:val="16"/>
                <w:szCs w:val="16"/>
              </w:rPr>
              <w:t>1911.3</w:t>
            </w:r>
          </w:p>
        </w:tc>
        <w:tc>
          <w:tcPr>
            <w:tcW w:w="623" w:type="pct"/>
            <w:tcBorders>
              <w:top w:val="single" w:sz="2" w:space="0" w:color="auto"/>
              <w:left w:val="single" w:sz="2" w:space="0" w:color="auto"/>
              <w:bottom w:val="single" w:sz="2" w:space="0" w:color="auto"/>
              <w:right w:val="single" w:sz="2" w:space="0" w:color="auto"/>
            </w:tcBorders>
            <w:vAlign w:val="center"/>
          </w:tcPr>
          <w:p w14:paraId="78324557"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p>
        </w:tc>
        <w:tc>
          <w:tcPr>
            <w:tcW w:w="541" w:type="pct"/>
            <w:tcBorders>
              <w:top w:val="single" w:sz="2" w:space="0" w:color="auto"/>
              <w:left w:val="single" w:sz="2" w:space="0" w:color="auto"/>
              <w:bottom w:val="single" w:sz="2" w:space="0" w:color="auto"/>
              <w:right w:val="single" w:sz="2" w:space="0" w:color="auto"/>
            </w:tcBorders>
            <w:vAlign w:val="center"/>
          </w:tcPr>
          <w:p w14:paraId="3B9B2406"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X</w:t>
            </w:r>
          </w:p>
        </w:tc>
      </w:tr>
      <w:tr w:rsidR="00140B7C" w:rsidRPr="00EC4EC4" w14:paraId="253F5DD3" w14:textId="77777777" w:rsidTr="00BC1087">
        <w:trPr>
          <w:cantSplit/>
          <w:trHeight w:val="20"/>
          <w:tblHeader/>
        </w:trPr>
        <w:tc>
          <w:tcPr>
            <w:tcW w:w="1510" w:type="pct"/>
            <w:tcBorders>
              <w:top w:val="single" w:sz="2" w:space="0" w:color="auto"/>
              <w:left w:val="single" w:sz="2" w:space="0" w:color="auto"/>
              <w:bottom w:val="single" w:sz="2" w:space="0" w:color="auto"/>
              <w:right w:val="single" w:sz="2" w:space="0" w:color="auto"/>
            </w:tcBorders>
            <w:vAlign w:val="center"/>
          </w:tcPr>
          <w:p w14:paraId="2CB30CB2" w14:textId="77777777" w:rsidR="00140B7C" w:rsidRPr="00EC4EC4" w:rsidRDefault="00140B7C" w:rsidP="00BC1087">
            <w:pPr>
              <w:widowControl w:val="0"/>
              <w:tabs>
                <w:tab w:val="left" w:pos="-1452"/>
              </w:tabs>
              <w:kinsoku w:val="0"/>
              <w:spacing w:after="0" w:line="240" w:lineRule="auto"/>
              <w:ind w:left="360" w:right="28" w:hanging="270"/>
              <w:rPr>
                <w:rFonts w:eastAsia="Times New Roman" w:cs="Times New Roman"/>
                <w:spacing w:val="1"/>
                <w:sz w:val="16"/>
                <w:szCs w:val="16"/>
                <w:vertAlign w:val="superscript"/>
              </w:rPr>
            </w:pPr>
            <w:r w:rsidRPr="00EC4EC4">
              <w:rPr>
                <w:rFonts w:eastAsia="Times New Roman" w:cs="Times New Roman"/>
                <w:spacing w:val="-32"/>
                <w:sz w:val="16"/>
                <w:szCs w:val="16"/>
              </w:rPr>
              <w:t>6.</w:t>
            </w:r>
            <w:r w:rsidRPr="00EC4EC4">
              <w:rPr>
                <w:rFonts w:eastAsia="Times New Roman" w:cs="Times New Roman"/>
                <w:spacing w:val="-32"/>
                <w:sz w:val="16"/>
                <w:szCs w:val="16"/>
              </w:rPr>
              <w:tab/>
            </w:r>
            <w:r w:rsidRPr="00EC4EC4">
              <w:rPr>
                <w:rFonts w:eastAsia="Times New Roman" w:cs="Times New Roman"/>
                <w:spacing w:val="1"/>
                <w:sz w:val="16"/>
                <w:szCs w:val="16"/>
              </w:rPr>
              <w:t xml:space="preserve">Prior to concrete placement, fabricate specimens for strength tests, perform slump and </w:t>
            </w:r>
            <w:r w:rsidRPr="00EC4EC4">
              <w:rPr>
                <w:rFonts w:eastAsia="Times New Roman" w:cs="Times New Roman"/>
                <w:spacing w:val="2"/>
                <w:sz w:val="16"/>
                <w:szCs w:val="16"/>
              </w:rPr>
              <w:t>air content tests, and determine the temperature of the concrete.  Determine water content when required.</w:t>
            </w:r>
          </w:p>
        </w:tc>
        <w:tc>
          <w:tcPr>
            <w:tcW w:w="541" w:type="pct"/>
            <w:tcBorders>
              <w:top w:val="single" w:sz="2" w:space="0" w:color="auto"/>
              <w:left w:val="single" w:sz="2" w:space="0" w:color="auto"/>
              <w:bottom w:val="single" w:sz="2" w:space="0" w:color="auto"/>
              <w:right w:val="single" w:sz="2" w:space="0" w:color="auto"/>
            </w:tcBorders>
            <w:vAlign w:val="center"/>
          </w:tcPr>
          <w:p w14:paraId="6BFAD65D"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513" w:type="pct"/>
            <w:tcBorders>
              <w:top w:val="single" w:sz="2" w:space="0" w:color="auto"/>
              <w:left w:val="single" w:sz="2" w:space="0" w:color="auto"/>
              <w:bottom w:val="single" w:sz="2" w:space="0" w:color="auto"/>
              <w:right w:val="single" w:sz="2" w:space="0" w:color="auto"/>
            </w:tcBorders>
            <w:vAlign w:val="center"/>
          </w:tcPr>
          <w:p w14:paraId="10FE957D"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689" w:type="pct"/>
            <w:tcBorders>
              <w:top w:val="single" w:sz="2" w:space="0" w:color="auto"/>
              <w:left w:val="single" w:sz="2" w:space="0" w:color="auto"/>
              <w:bottom w:val="single" w:sz="2" w:space="0" w:color="auto"/>
              <w:right w:val="single" w:sz="2" w:space="0" w:color="auto"/>
            </w:tcBorders>
            <w:vAlign w:val="center"/>
          </w:tcPr>
          <w:p w14:paraId="11B99EE0"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3"/>
                <w:sz w:val="16"/>
                <w:szCs w:val="16"/>
              </w:rPr>
              <w:t>ASTM C 172 ASTM C 31</w:t>
            </w:r>
            <w:r w:rsidRPr="00EC4EC4">
              <w:rPr>
                <w:rFonts w:eastAsia="Times New Roman" w:cs="Times New Roman"/>
                <w:spacing w:val="3"/>
                <w:sz w:val="16"/>
                <w:szCs w:val="16"/>
              </w:rPr>
              <w:br/>
            </w:r>
            <w:r w:rsidRPr="00EC4EC4">
              <w:rPr>
                <w:rFonts w:eastAsia="Times New Roman" w:cs="Times New Roman"/>
                <w:spacing w:val="2"/>
                <w:sz w:val="16"/>
                <w:szCs w:val="16"/>
              </w:rPr>
              <w:t>ACI 318: 5.6, 5.8</w:t>
            </w:r>
            <w:r w:rsidRPr="00EC4EC4">
              <w:rPr>
                <w:rFonts w:eastAsia="Times New Roman" w:cs="Times New Roman"/>
                <w:spacing w:val="2"/>
                <w:sz w:val="16"/>
                <w:szCs w:val="16"/>
              </w:rPr>
              <w:br/>
              <w:t>([</w:t>
            </w:r>
            <w:r w:rsidRPr="00EC4EC4">
              <w:rPr>
                <w:rFonts w:eastAsia="Times New Roman" w:cs="Times New Roman"/>
                <w:strike/>
                <w:spacing w:val="2"/>
                <w:sz w:val="16"/>
                <w:szCs w:val="16"/>
              </w:rPr>
              <w:t>Note</w:t>
            </w:r>
            <w:r w:rsidRPr="00EC4EC4">
              <w:rPr>
                <w:rFonts w:eastAsia="Times New Roman" w:cs="Times New Roman"/>
                <w:spacing w:val="2"/>
                <w:sz w:val="16"/>
                <w:szCs w:val="16"/>
              </w:rPr>
              <w:t>]</w:t>
            </w:r>
            <w:r w:rsidRPr="00EC4EC4">
              <w:rPr>
                <w:rFonts w:eastAsia="Times New Roman" w:cs="Times New Roman"/>
                <w:spacing w:val="2"/>
                <w:sz w:val="16"/>
                <w:szCs w:val="16"/>
                <w:u w:val="single"/>
              </w:rPr>
              <w:t>Notes</w:t>
            </w:r>
            <w:r w:rsidRPr="00EC4EC4">
              <w:rPr>
                <w:rFonts w:eastAsia="Times New Roman" w:cs="Times New Roman"/>
                <w:spacing w:val="2"/>
                <w:sz w:val="16"/>
                <w:szCs w:val="16"/>
              </w:rPr>
              <w:t xml:space="preserve"> a, b)</w:t>
            </w:r>
          </w:p>
        </w:tc>
        <w:tc>
          <w:tcPr>
            <w:tcW w:w="583" w:type="pct"/>
            <w:tcBorders>
              <w:top w:val="single" w:sz="2" w:space="0" w:color="auto"/>
              <w:left w:val="single" w:sz="2" w:space="0" w:color="auto"/>
              <w:bottom w:val="single" w:sz="2" w:space="0" w:color="auto"/>
              <w:right w:val="single" w:sz="2" w:space="0" w:color="auto"/>
            </w:tcBorders>
            <w:vAlign w:val="center"/>
          </w:tcPr>
          <w:p w14:paraId="1910AF46"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1905.6, 1911.10</w:t>
            </w:r>
          </w:p>
        </w:tc>
        <w:tc>
          <w:tcPr>
            <w:tcW w:w="623" w:type="pct"/>
            <w:tcBorders>
              <w:top w:val="single" w:sz="2" w:space="0" w:color="auto"/>
              <w:left w:val="single" w:sz="2" w:space="0" w:color="auto"/>
              <w:bottom w:val="single" w:sz="2" w:space="0" w:color="auto"/>
              <w:right w:val="single" w:sz="2" w:space="0" w:color="auto"/>
            </w:tcBorders>
            <w:vAlign w:val="center"/>
          </w:tcPr>
          <w:p w14:paraId="3020D73D"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p>
        </w:tc>
        <w:tc>
          <w:tcPr>
            <w:tcW w:w="541" w:type="pct"/>
            <w:tcBorders>
              <w:top w:val="single" w:sz="2" w:space="0" w:color="auto"/>
              <w:left w:val="single" w:sz="2" w:space="0" w:color="auto"/>
              <w:bottom w:val="single" w:sz="2" w:space="0" w:color="auto"/>
              <w:right w:val="single" w:sz="2" w:space="0" w:color="auto"/>
            </w:tcBorders>
            <w:vAlign w:val="center"/>
          </w:tcPr>
          <w:p w14:paraId="76EE0B96"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X</w:t>
            </w:r>
          </w:p>
        </w:tc>
      </w:tr>
      <w:tr w:rsidR="00140B7C" w:rsidRPr="00EC4EC4" w14:paraId="5499A418" w14:textId="77777777" w:rsidTr="00BC1087">
        <w:trPr>
          <w:cantSplit/>
          <w:trHeight w:val="2704"/>
          <w:tblHeader/>
        </w:trPr>
        <w:tc>
          <w:tcPr>
            <w:tcW w:w="1510" w:type="pct"/>
            <w:tcBorders>
              <w:top w:val="single" w:sz="2" w:space="0" w:color="auto"/>
              <w:left w:val="single" w:sz="2" w:space="0" w:color="auto"/>
              <w:bottom w:val="single" w:sz="2" w:space="0" w:color="auto"/>
              <w:right w:val="single" w:sz="2" w:space="0" w:color="auto"/>
            </w:tcBorders>
            <w:vAlign w:val="center"/>
          </w:tcPr>
          <w:p w14:paraId="0AFF2386" w14:textId="77777777" w:rsidR="00140B7C" w:rsidRPr="00EC4EC4" w:rsidRDefault="00140B7C" w:rsidP="00BC1087">
            <w:pPr>
              <w:widowControl w:val="0"/>
              <w:tabs>
                <w:tab w:val="right" w:pos="-1452"/>
              </w:tabs>
              <w:kinsoku w:val="0"/>
              <w:spacing w:after="0" w:line="240" w:lineRule="auto"/>
              <w:ind w:left="360" w:right="28" w:hanging="270"/>
              <w:rPr>
                <w:rFonts w:eastAsia="Times New Roman" w:cs="Times New Roman"/>
                <w:sz w:val="16"/>
                <w:szCs w:val="16"/>
              </w:rPr>
            </w:pPr>
            <w:r w:rsidRPr="00EC4EC4">
              <w:rPr>
                <w:rFonts w:eastAsia="Times New Roman" w:cs="Times New Roman"/>
                <w:sz w:val="16"/>
                <w:szCs w:val="16"/>
              </w:rPr>
              <w:t>7.</w:t>
            </w:r>
            <w:r w:rsidRPr="00EC4EC4">
              <w:rPr>
                <w:rFonts w:eastAsia="Times New Roman" w:cs="Times New Roman"/>
                <w:sz w:val="16"/>
                <w:szCs w:val="16"/>
              </w:rPr>
              <w:tab/>
            </w:r>
          </w:p>
          <w:p w14:paraId="7902842C" w14:textId="77777777" w:rsidR="00140B7C" w:rsidRPr="00EC4EC4" w:rsidRDefault="00140B7C" w:rsidP="00BC1087">
            <w:pPr>
              <w:widowControl w:val="0"/>
              <w:tabs>
                <w:tab w:val="right" w:pos="-1452"/>
              </w:tabs>
              <w:kinsoku w:val="0"/>
              <w:spacing w:after="0" w:line="240" w:lineRule="auto"/>
              <w:ind w:left="720" w:right="28" w:hanging="360"/>
              <w:rPr>
                <w:rFonts w:eastAsia="Times New Roman" w:cs="Times New Roman"/>
                <w:spacing w:val="3"/>
                <w:sz w:val="16"/>
                <w:szCs w:val="16"/>
              </w:rPr>
            </w:pPr>
            <w:r w:rsidRPr="00EC4EC4">
              <w:rPr>
                <w:rFonts w:eastAsia="Times New Roman" w:cs="Times New Roman"/>
                <w:spacing w:val="2"/>
                <w:sz w:val="16"/>
                <w:szCs w:val="16"/>
              </w:rPr>
              <w:t>a.</w:t>
            </w:r>
            <w:r w:rsidRPr="00EC4EC4">
              <w:rPr>
                <w:rFonts w:eastAsia="Times New Roman" w:cs="Times New Roman"/>
                <w:spacing w:val="2"/>
                <w:sz w:val="16"/>
                <w:szCs w:val="16"/>
              </w:rPr>
              <w:tab/>
              <w:t xml:space="preserve">Inspect </w:t>
            </w:r>
            <w:r w:rsidRPr="00EC4EC4">
              <w:rPr>
                <w:rFonts w:eastAsia="Times New Roman" w:cs="Times New Roman"/>
                <w:spacing w:val="4"/>
                <w:sz w:val="16"/>
                <w:szCs w:val="16"/>
              </w:rPr>
              <w:t xml:space="preserve">concrete and shotcrete placement </w:t>
            </w:r>
            <w:r w:rsidRPr="00EC4EC4">
              <w:rPr>
                <w:rFonts w:eastAsia="Times New Roman" w:cs="Times New Roman"/>
                <w:spacing w:val="3"/>
                <w:sz w:val="16"/>
                <w:szCs w:val="16"/>
              </w:rPr>
              <w:t>for proper application techniques.</w:t>
            </w:r>
          </w:p>
          <w:p w14:paraId="70958A89" w14:textId="77777777" w:rsidR="00140B7C" w:rsidRPr="00EC4EC4" w:rsidRDefault="00140B7C" w:rsidP="00BC1087">
            <w:pPr>
              <w:widowControl w:val="0"/>
              <w:tabs>
                <w:tab w:val="right" w:pos="-1452"/>
              </w:tabs>
              <w:kinsoku w:val="0"/>
              <w:spacing w:after="0" w:line="240" w:lineRule="auto"/>
              <w:ind w:left="720" w:right="28" w:hanging="360"/>
              <w:rPr>
                <w:rFonts w:eastAsia="Times New Roman" w:cs="Times New Roman"/>
                <w:spacing w:val="4"/>
                <w:sz w:val="16"/>
                <w:szCs w:val="16"/>
              </w:rPr>
            </w:pPr>
            <w:r w:rsidRPr="00EC4EC4">
              <w:rPr>
                <w:rFonts w:eastAsia="Times New Roman" w:cs="Times New Roman"/>
                <w:spacing w:val="2"/>
                <w:sz w:val="16"/>
                <w:szCs w:val="16"/>
              </w:rPr>
              <w:t>b.</w:t>
            </w:r>
            <w:r w:rsidRPr="00EC4EC4">
              <w:rPr>
                <w:rFonts w:eastAsia="Times New Roman" w:cs="Times New Roman"/>
                <w:spacing w:val="2"/>
                <w:sz w:val="16"/>
                <w:szCs w:val="16"/>
              </w:rPr>
              <w:tab/>
              <w:t>For concrete pumped through a placement boom: Following the lubrication of the concrete placement boom and prior to Contractor’s commencement of</w:t>
            </w:r>
            <w:r w:rsidRPr="00EC4EC4">
              <w:rPr>
                <w:rFonts w:eastAsia="Times New Roman" w:cs="Times New Roman"/>
                <w:i/>
                <w:iCs/>
                <w:sz w:val="16"/>
                <w:szCs w:val="16"/>
              </w:rPr>
              <w:t xml:space="preserve"> </w:t>
            </w:r>
            <w:r w:rsidRPr="00EC4EC4">
              <w:rPr>
                <w:rFonts w:eastAsia="Times New Roman" w:cs="Times New Roman"/>
                <w:sz w:val="16"/>
                <w:szCs w:val="16"/>
              </w:rPr>
              <w:t>the concrete pour, observe and document as part of the special inspection of the concrete placement whether the material exiting the hose is concrete exhibiting a uniform matrix of aggregate.</w:t>
            </w:r>
          </w:p>
        </w:tc>
        <w:tc>
          <w:tcPr>
            <w:tcW w:w="541" w:type="pct"/>
            <w:tcBorders>
              <w:top w:val="single" w:sz="2" w:space="0" w:color="auto"/>
              <w:left w:val="single" w:sz="2" w:space="0" w:color="auto"/>
              <w:bottom w:val="single" w:sz="2" w:space="0" w:color="auto"/>
              <w:right w:val="single" w:sz="2" w:space="0" w:color="auto"/>
            </w:tcBorders>
            <w:vAlign w:val="center"/>
          </w:tcPr>
          <w:p w14:paraId="33F0A208"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513" w:type="pct"/>
            <w:tcBorders>
              <w:top w:val="single" w:sz="2" w:space="0" w:color="auto"/>
              <w:left w:val="single" w:sz="2" w:space="0" w:color="auto"/>
              <w:bottom w:val="single" w:sz="2" w:space="0" w:color="auto"/>
              <w:right w:val="single" w:sz="2" w:space="0" w:color="auto"/>
            </w:tcBorders>
            <w:vAlign w:val="center"/>
          </w:tcPr>
          <w:p w14:paraId="3184D4EA"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689" w:type="pct"/>
            <w:tcBorders>
              <w:top w:val="single" w:sz="2" w:space="0" w:color="auto"/>
              <w:left w:val="single" w:sz="2" w:space="0" w:color="auto"/>
              <w:bottom w:val="single" w:sz="2" w:space="0" w:color="auto"/>
              <w:right w:val="single" w:sz="2" w:space="0" w:color="auto"/>
            </w:tcBorders>
            <w:vAlign w:val="center"/>
          </w:tcPr>
          <w:p w14:paraId="4FE8DDD6"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ACI 318: 5.9, 5.10</w:t>
            </w:r>
          </w:p>
        </w:tc>
        <w:tc>
          <w:tcPr>
            <w:tcW w:w="583" w:type="pct"/>
            <w:tcBorders>
              <w:top w:val="single" w:sz="2" w:space="0" w:color="auto"/>
              <w:left w:val="single" w:sz="2" w:space="0" w:color="auto"/>
              <w:bottom w:val="single" w:sz="2" w:space="0" w:color="auto"/>
              <w:right w:val="single" w:sz="2" w:space="0" w:color="auto"/>
            </w:tcBorders>
            <w:vAlign w:val="center"/>
          </w:tcPr>
          <w:p w14:paraId="339349DD"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pacing w:val="2"/>
                <w:sz w:val="16"/>
                <w:szCs w:val="16"/>
              </w:rPr>
              <w:t>1905.9, 1905.10,</w:t>
            </w:r>
            <w:r w:rsidRPr="00EC4EC4">
              <w:rPr>
                <w:rFonts w:eastAsia="Times New Roman" w:cs="Times New Roman"/>
                <w:spacing w:val="2"/>
                <w:sz w:val="16"/>
                <w:szCs w:val="16"/>
              </w:rPr>
              <w:br/>
              <w:t>1911.6, 1911.7, 1911.8</w:t>
            </w:r>
          </w:p>
        </w:tc>
        <w:tc>
          <w:tcPr>
            <w:tcW w:w="623" w:type="pct"/>
            <w:tcBorders>
              <w:top w:val="single" w:sz="2" w:space="0" w:color="auto"/>
              <w:left w:val="single" w:sz="2" w:space="0" w:color="auto"/>
              <w:bottom w:val="single" w:sz="2" w:space="0" w:color="auto"/>
              <w:right w:val="single" w:sz="2" w:space="0" w:color="auto"/>
            </w:tcBorders>
            <w:vAlign w:val="center"/>
          </w:tcPr>
          <w:p w14:paraId="34856513"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X</w:t>
            </w:r>
          </w:p>
        </w:tc>
        <w:tc>
          <w:tcPr>
            <w:tcW w:w="541" w:type="pct"/>
            <w:tcBorders>
              <w:top w:val="single" w:sz="2" w:space="0" w:color="auto"/>
              <w:left w:val="single" w:sz="2" w:space="0" w:color="auto"/>
              <w:bottom w:val="single" w:sz="2" w:space="0" w:color="auto"/>
              <w:right w:val="single" w:sz="2" w:space="0" w:color="auto"/>
            </w:tcBorders>
            <w:vAlign w:val="center"/>
          </w:tcPr>
          <w:p w14:paraId="7C834FCF"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p>
        </w:tc>
      </w:tr>
      <w:tr w:rsidR="00140B7C" w:rsidRPr="00EC4EC4" w14:paraId="0F0FABD4" w14:textId="77777777" w:rsidTr="00BC1087">
        <w:trPr>
          <w:cantSplit/>
          <w:trHeight w:val="20"/>
          <w:tblHeader/>
        </w:trPr>
        <w:tc>
          <w:tcPr>
            <w:tcW w:w="1510" w:type="pct"/>
            <w:tcBorders>
              <w:top w:val="single" w:sz="2" w:space="0" w:color="auto"/>
              <w:left w:val="single" w:sz="2" w:space="0" w:color="auto"/>
              <w:bottom w:val="single" w:sz="2" w:space="0" w:color="auto"/>
              <w:right w:val="single" w:sz="2" w:space="0" w:color="auto"/>
            </w:tcBorders>
            <w:vAlign w:val="center"/>
          </w:tcPr>
          <w:p w14:paraId="25391C24" w14:textId="77777777" w:rsidR="00140B7C" w:rsidRPr="00EC4EC4" w:rsidRDefault="00140B7C" w:rsidP="00BC1087">
            <w:pPr>
              <w:widowControl w:val="0"/>
              <w:tabs>
                <w:tab w:val="right" w:pos="3821"/>
              </w:tabs>
              <w:kinsoku w:val="0"/>
              <w:spacing w:after="0" w:line="240" w:lineRule="auto"/>
              <w:ind w:left="360" w:right="28" w:hanging="270"/>
              <w:rPr>
                <w:rFonts w:eastAsia="Times New Roman" w:cs="Times New Roman"/>
                <w:spacing w:val="4"/>
                <w:sz w:val="16"/>
                <w:szCs w:val="16"/>
              </w:rPr>
            </w:pPr>
            <w:r w:rsidRPr="00EC4EC4">
              <w:rPr>
                <w:rFonts w:eastAsia="Times New Roman" w:cs="Times New Roman"/>
                <w:sz w:val="16"/>
                <w:szCs w:val="16"/>
              </w:rPr>
              <w:t>8.</w:t>
            </w:r>
            <w:r w:rsidRPr="00EC4EC4">
              <w:rPr>
                <w:rFonts w:eastAsia="Times New Roman" w:cs="Times New Roman"/>
                <w:sz w:val="16"/>
                <w:szCs w:val="16"/>
              </w:rPr>
              <w:tab/>
            </w:r>
            <w:r w:rsidRPr="00EC4EC4">
              <w:rPr>
                <w:rFonts w:eastAsia="Times New Roman" w:cs="Times New Roman"/>
                <w:spacing w:val="2"/>
                <w:sz w:val="16"/>
                <w:szCs w:val="16"/>
              </w:rPr>
              <w:t>Verify</w:t>
            </w:r>
            <w:r w:rsidRPr="00EC4EC4">
              <w:rPr>
                <w:rFonts w:eastAsia="Times New Roman" w:cs="Times New Roman"/>
                <w:spacing w:val="5"/>
                <w:sz w:val="16"/>
                <w:szCs w:val="16"/>
              </w:rPr>
              <w:t xml:space="preserve"> maintenance of specified curing </w:t>
            </w:r>
            <w:r w:rsidRPr="00EC4EC4">
              <w:rPr>
                <w:rFonts w:eastAsia="Times New Roman" w:cs="Times New Roman"/>
                <w:spacing w:val="4"/>
                <w:sz w:val="16"/>
                <w:szCs w:val="16"/>
              </w:rPr>
              <w:t>temperature and techniques.  Monitoring of in-place temperatures per thermal protection plan when required.</w:t>
            </w:r>
          </w:p>
        </w:tc>
        <w:tc>
          <w:tcPr>
            <w:tcW w:w="541" w:type="pct"/>
            <w:tcBorders>
              <w:top w:val="single" w:sz="2" w:space="0" w:color="auto"/>
              <w:left w:val="single" w:sz="2" w:space="0" w:color="auto"/>
              <w:bottom w:val="single" w:sz="2" w:space="0" w:color="auto"/>
              <w:right w:val="single" w:sz="2" w:space="0" w:color="auto"/>
            </w:tcBorders>
            <w:vAlign w:val="center"/>
          </w:tcPr>
          <w:p w14:paraId="1AF94861"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513" w:type="pct"/>
            <w:tcBorders>
              <w:top w:val="single" w:sz="2" w:space="0" w:color="auto"/>
              <w:left w:val="single" w:sz="2" w:space="0" w:color="auto"/>
              <w:bottom w:val="single" w:sz="2" w:space="0" w:color="auto"/>
              <w:right w:val="single" w:sz="2" w:space="0" w:color="auto"/>
            </w:tcBorders>
            <w:vAlign w:val="center"/>
          </w:tcPr>
          <w:p w14:paraId="685A66A9"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689" w:type="pct"/>
            <w:tcBorders>
              <w:top w:val="single" w:sz="2" w:space="0" w:color="auto"/>
              <w:left w:val="single" w:sz="2" w:space="0" w:color="auto"/>
              <w:bottom w:val="single" w:sz="2" w:space="0" w:color="auto"/>
              <w:right w:val="single" w:sz="2" w:space="0" w:color="auto"/>
            </w:tcBorders>
            <w:vAlign w:val="center"/>
          </w:tcPr>
          <w:p w14:paraId="6F214ECA"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ACI 318: 5.11-5.13</w:t>
            </w:r>
          </w:p>
        </w:tc>
        <w:tc>
          <w:tcPr>
            <w:tcW w:w="583" w:type="pct"/>
            <w:tcBorders>
              <w:top w:val="single" w:sz="2" w:space="0" w:color="auto"/>
              <w:left w:val="single" w:sz="2" w:space="0" w:color="auto"/>
              <w:bottom w:val="single" w:sz="2" w:space="0" w:color="auto"/>
              <w:right w:val="single" w:sz="2" w:space="0" w:color="auto"/>
            </w:tcBorders>
            <w:vAlign w:val="center"/>
          </w:tcPr>
          <w:p w14:paraId="6BD87CB6"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pacing w:val="2"/>
                <w:sz w:val="16"/>
                <w:szCs w:val="16"/>
              </w:rPr>
              <w:t>1905.11, 1905.13,</w:t>
            </w:r>
            <w:r w:rsidRPr="00EC4EC4">
              <w:rPr>
                <w:rFonts w:eastAsia="Times New Roman" w:cs="Times New Roman"/>
                <w:spacing w:val="2"/>
                <w:sz w:val="16"/>
                <w:szCs w:val="16"/>
              </w:rPr>
              <w:br/>
            </w:r>
            <w:r w:rsidRPr="00EC4EC4">
              <w:rPr>
                <w:rFonts w:eastAsia="Times New Roman" w:cs="Times New Roman"/>
                <w:sz w:val="16"/>
                <w:szCs w:val="16"/>
              </w:rPr>
              <w:t>1911.9</w:t>
            </w:r>
          </w:p>
        </w:tc>
        <w:tc>
          <w:tcPr>
            <w:tcW w:w="623" w:type="pct"/>
            <w:tcBorders>
              <w:top w:val="single" w:sz="2" w:space="0" w:color="auto"/>
              <w:left w:val="single" w:sz="2" w:space="0" w:color="auto"/>
              <w:bottom w:val="single" w:sz="2" w:space="0" w:color="auto"/>
              <w:right w:val="single" w:sz="2" w:space="0" w:color="auto"/>
            </w:tcBorders>
            <w:vAlign w:val="center"/>
          </w:tcPr>
          <w:p w14:paraId="6B355085"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r w:rsidRPr="00EC4EC4">
              <w:rPr>
                <w:rFonts w:eastAsia="Times New Roman" w:cs="Times New Roman"/>
                <w:spacing w:val="2"/>
                <w:sz w:val="16"/>
                <w:szCs w:val="16"/>
              </w:rPr>
              <w:t>X</w:t>
            </w:r>
          </w:p>
        </w:tc>
        <w:tc>
          <w:tcPr>
            <w:tcW w:w="541" w:type="pct"/>
            <w:tcBorders>
              <w:top w:val="single" w:sz="2" w:space="0" w:color="auto"/>
              <w:left w:val="single" w:sz="2" w:space="0" w:color="auto"/>
              <w:bottom w:val="single" w:sz="2" w:space="0" w:color="auto"/>
              <w:right w:val="single" w:sz="2" w:space="0" w:color="auto"/>
            </w:tcBorders>
            <w:vAlign w:val="center"/>
          </w:tcPr>
          <w:p w14:paraId="775EE8A3" w14:textId="77777777" w:rsidR="00140B7C" w:rsidRPr="00EC4EC4" w:rsidRDefault="00140B7C" w:rsidP="00BC1087">
            <w:pPr>
              <w:widowControl w:val="0"/>
              <w:kinsoku w:val="0"/>
              <w:spacing w:after="0" w:line="240" w:lineRule="auto"/>
              <w:jc w:val="center"/>
              <w:rPr>
                <w:rFonts w:eastAsia="Times New Roman" w:cs="Times New Roman"/>
                <w:spacing w:val="2"/>
                <w:sz w:val="16"/>
                <w:szCs w:val="16"/>
              </w:rPr>
            </w:pPr>
          </w:p>
        </w:tc>
      </w:tr>
      <w:tr w:rsidR="00140B7C" w:rsidRPr="00EC4EC4" w14:paraId="52EEDE20" w14:textId="77777777" w:rsidTr="00BC1087">
        <w:trPr>
          <w:cantSplit/>
          <w:trHeight w:val="20"/>
          <w:tblHeader/>
        </w:trPr>
        <w:tc>
          <w:tcPr>
            <w:tcW w:w="1510" w:type="pct"/>
            <w:tcBorders>
              <w:top w:val="single" w:sz="2" w:space="0" w:color="auto"/>
              <w:left w:val="single" w:sz="2" w:space="0" w:color="auto"/>
              <w:bottom w:val="single" w:sz="2" w:space="0" w:color="auto"/>
              <w:right w:val="single" w:sz="2" w:space="0" w:color="auto"/>
            </w:tcBorders>
            <w:vAlign w:val="center"/>
          </w:tcPr>
          <w:p w14:paraId="673FAC2B" w14:textId="77777777" w:rsidR="00140B7C" w:rsidRPr="00EC4EC4" w:rsidRDefault="00140B7C" w:rsidP="00BC1087">
            <w:pPr>
              <w:widowControl w:val="0"/>
              <w:kinsoku w:val="0"/>
              <w:spacing w:after="0" w:line="240" w:lineRule="auto"/>
              <w:ind w:left="360" w:hanging="270"/>
              <w:rPr>
                <w:rFonts w:eastAsia="Times New Roman" w:cs="Times New Roman"/>
                <w:spacing w:val="3"/>
                <w:sz w:val="16"/>
                <w:szCs w:val="16"/>
              </w:rPr>
            </w:pPr>
            <w:r w:rsidRPr="00EC4EC4">
              <w:rPr>
                <w:rFonts w:eastAsia="Times New Roman" w:cs="Times New Roman"/>
                <w:sz w:val="16"/>
                <w:szCs w:val="16"/>
              </w:rPr>
              <w:t>9.</w:t>
            </w:r>
            <w:r w:rsidRPr="00EC4EC4">
              <w:rPr>
                <w:rFonts w:eastAsia="Times New Roman" w:cs="Times New Roman"/>
                <w:sz w:val="16"/>
                <w:szCs w:val="16"/>
              </w:rPr>
              <w:tab/>
            </w:r>
            <w:r w:rsidRPr="00EC4EC4">
              <w:rPr>
                <w:rFonts w:eastAsia="Times New Roman" w:cs="Times New Roman"/>
                <w:spacing w:val="3"/>
                <w:sz w:val="16"/>
                <w:szCs w:val="16"/>
              </w:rPr>
              <w:t>Inspect prestressed concrete for:</w:t>
            </w:r>
          </w:p>
          <w:p w14:paraId="10BCEAC1" w14:textId="77777777" w:rsidR="00140B7C" w:rsidRPr="00EC4EC4" w:rsidRDefault="00140B7C" w:rsidP="00BC1087">
            <w:pPr>
              <w:widowControl w:val="0"/>
              <w:kinsoku w:val="0"/>
              <w:spacing w:after="0" w:line="240" w:lineRule="auto"/>
              <w:ind w:left="720" w:hanging="360"/>
              <w:rPr>
                <w:rFonts w:eastAsia="Times New Roman" w:cs="Times New Roman"/>
                <w:spacing w:val="10"/>
                <w:sz w:val="16"/>
                <w:szCs w:val="16"/>
              </w:rPr>
            </w:pPr>
            <w:r w:rsidRPr="00EC4EC4">
              <w:rPr>
                <w:rFonts w:eastAsia="Times New Roman" w:cs="Times New Roman"/>
                <w:spacing w:val="10"/>
                <w:sz w:val="16"/>
                <w:szCs w:val="16"/>
              </w:rPr>
              <w:t>A.</w:t>
            </w:r>
            <w:r w:rsidRPr="00EC4EC4">
              <w:rPr>
                <w:rFonts w:eastAsia="Times New Roman" w:cs="Times New Roman"/>
                <w:spacing w:val="10"/>
                <w:sz w:val="16"/>
                <w:szCs w:val="16"/>
              </w:rPr>
              <w:tab/>
              <w:t>Application of prestressing forces; and</w:t>
            </w:r>
          </w:p>
          <w:p w14:paraId="3A86AEA1" w14:textId="77777777" w:rsidR="00140B7C" w:rsidRPr="00EC4EC4" w:rsidRDefault="00140B7C" w:rsidP="00BC1087">
            <w:pPr>
              <w:widowControl w:val="0"/>
              <w:kinsoku w:val="0"/>
              <w:spacing w:after="0" w:line="240" w:lineRule="auto"/>
              <w:ind w:left="720" w:hanging="360"/>
              <w:rPr>
                <w:rFonts w:eastAsia="Times New Roman" w:cs="Times New Roman"/>
                <w:spacing w:val="10"/>
                <w:sz w:val="16"/>
                <w:szCs w:val="16"/>
              </w:rPr>
            </w:pPr>
            <w:r w:rsidRPr="00EC4EC4">
              <w:rPr>
                <w:rFonts w:eastAsia="Times New Roman" w:cs="Times New Roman"/>
                <w:sz w:val="16"/>
                <w:szCs w:val="16"/>
              </w:rPr>
              <w:t>B.</w:t>
            </w:r>
            <w:r w:rsidRPr="00EC4EC4">
              <w:rPr>
                <w:rFonts w:eastAsia="Times New Roman" w:cs="Times New Roman"/>
                <w:sz w:val="16"/>
                <w:szCs w:val="16"/>
              </w:rPr>
              <w:tab/>
              <w:t>Grouting of bonded prestressing tendons</w:t>
            </w:r>
            <w:r w:rsidRPr="00EC4EC4">
              <w:rPr>
                <w:rFonts w:eastAsia="Times New Roman" w:cs="Times New Roman"/>
                <w:spacing w:val="3"/>
                <w:sz w:val="16"/>
                <w:szCs w:val="16"/>
              </w:rPr>
              <w:t>.</w:t>
            </w:r>
          </w:p>
        </w:tc>
        <w:tc>
          <w:tcPr>
            <w:tcW w:w="541" w:type="pct"/>
            <w:tcBorders>
              <w:top w:val="single" w:sz="2" w:space="0" w:color="auto"/>
              <w:left w:val="single" w:sz="2" w:space="0" w:color="auto"/>
              <w:bottom w:val="single" w:sz="2" w:space="0" w:color="auto"/>
              <w:right w:val="single" w:sz="2" w:space="0" w:color="auto"/>
            </w:tcBorders>
            <w:vAlign w:val="center"/>
          </w:tcPr>
          <w:p w14:paraId="5BE61906"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p w14:paraId="255AE069" w14:textId="77777777" w:rsidR="00140B7C" w:rsidRPr="00EC4EC4" w:rsidRDefault="00140B7C" w:rsidP="00BC1087">
            <w:pPr>
              <w:widowControl w:val="0"/>
              <w:kinsoku w:val="0"/>
              <w:spacing w:after="0" w:line="240" w:lineRule="auto"/>
              <w:jc w:val="center"/>
              <w:rPr>
                <w:rFonts w:eastAsia="Times New Roman" w:cs="Times New Roman"/>
                <w:sz w:val="16"/>
                <w:szCs w:val="16"/>
              </w:rPr>
            </w:pPr>
          </w:p>
          <w:p w14:paraId="2A5FDED5"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513" w:type="pct"/>
            <w:tcBorders>
              <w:top w:val="single" w:sz="2" w:space="0" w:color="auto"/>
              <w:left w:val="single" w:sz="2" w:space="0" w:color="auto"/>
              <w:bottom w:val="single" w:sz="2" w:space="0" w:color="auto"/>
              <w:right w:val="single" w:sz="2" w:space="0" w:color="auto"/>
            </w:tcBorders>
            <w:vAlign w:val="center"/>
          </w:tcPr>
          <w:p w14:paraId="3AF45E2E"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689" w:type="pct"/>
            <w:tcBorders>
              <w:top w:val="single" w:sz="2" w:space="0" w:color="auto"/>
              <w:left w:val="single" w:sz="2" w:space="0" w:color="auto"/>
              <w:bottom w:val="single" w:sz="2" w:space="0" w:color="auto"/>
              <w:right w:val="single" w:sz="2" w:space="0" w:color="auto"/>
            </w:tcBorders>
            <w:vAlign w:val="center"/>
          </w:tcPr>
          <w:p w14:paraId="4BCDEB85" w14:textId="77777777" w:rsidR="00140B7C" w:rsidRPr="00EC4EC4" w:rsidRDefault="00140B7C" w:rsidP="00BC1087">
            <w:pPr>
              <w:widowControl w:val="0"/>
              <w:kinsoku w:val="0"/>
              <w:spacing w:after="0" w:line="240" w:lineRule="auto"/>
              <w:jc w:val="center"/>
              <w:rPr>
                <w:rFonts w:eastAsia="Times New Roman" w:cs="Times New Roman"/>
                <w:spacing w:val="4"/>
                <w:sz w:val="16"/>
                <w:szCs w:val="16"/>
              </w:rPr>
            </w:pPr>
            <w:r w:rsidRPr="00EC4EC4">
              <w:rPr>
                <w:rFonts w:eastAsia="Times New Roman" w:cs="Times New Roman"/>
                <w:spacing w:val="4"/>
                <w:sz w:val="16"/>
                <w:szCs w:val="16"/>
              </w:rPr>
              <w:t>ACI 318: 18.20</w:t>
            </w:r>
            <w:r w:rsidRPr="00EC4EC4">
              <w:rPr>
                <w:rFonts w:eastAsia="Times New Roman" w:cs="Times New Roman"/>
                <w:spacing w:val="4"/>
                <w:sz w:val="16"/>
                <w:szCs w:val="16"/>
              </w:rPr>
              <w:br/>
              <w:t>ACI 318: 18.18.4</w:t>
            </w:r>
          </w:p>
        </w:tc>
        <w:tc>
          <w:tcPr>
            <w:tcW w:w="583" w:type="pct"/>
            <w:tcBorders>
              <w:top w:val="single" w:sz="2" w:space="0" w:color="auto"/>
              <w:left w:val="single" w:sz="2" w:space="0" w:color="auto"/>
              <w:bottom w:val="single" w:sz="2" w:space="0" w:color="auto"/>
              <w:right w:val="single" w:sz="2" w:space="0" w:color="auto"/>
            </w:tcBorders>
            <w:vAlign w:val="center"/>
          </w:tcPr>
          <w:p w14:paraId="35D11ADE"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623" w:type="pct"/>
            <w:tcBorders>
              <w:top w:val="single" w:sz="2" w:space="0" w:color="auto"/>
              <w:left w:val="single" w:sz="2" w:space="0" w:color="auto"/>
              <w:bottom w:val="single" w:sz="2" w:space="0" w:color="auto"/>
              <w:right w:val="single" w:sz="2" w:space="0" w:color="auto"/>
            </w:tcBorders>
            <w:vAlign w:val="center"/>
          </w:tcPr>
          <w:p w14:paraId="3200906A"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541" w:type="pct"/>
            <w:tcBorders>
              <w:top w:val="single" w:sz="2" w:space="0" w:color="auto"/>
              <w:left w:val="single" w:sz="2" w:space="0" w:color="auto"/>
              <w:bottom w:val="single" w:sz="2" w:space="0" w:color="auto"/>
              <w:right w:val="single" w:sz="2" w:space="0" w:color="auto"/>
            </w:tcBorders>
            <w:vAlign w:val="center"/>
          </w:tcPr>
          <w:p w14:paraId="5AB0FD36" w14:textId="77777777" w:rsidR="00140B7C" w:rsidRPr="00EC4EC4" w:rsidRDefault="00140B7C" w:rsidP="00BC1087">
            <w:pPr>
              <w:widowControl w:val="0"/>
              <w:kinsoku w:val="0"/>
              <w:spacing w:after="0" w:line="240" w:lineRule="auto"/>
              <w:jc w:val="center"/>
              <w:rPr>
                <w:rFonts w:eastAsia="Times New Roman" w:cs="Times New Roman"/>
                <w:sz w:val="16"/>
                <w:szCs w:val="16"/>
              </w:rPr>
            </w:pPr>
          </w:p>
        </w:tc>
      </w:tr>
      <w:tr w:rsidR="00140B7C" w:rsidRPr="00EC4EC4" w14:paraId="6609DC19" w14:textId="77777777" w:rsidTr="00BC1087">
        <w:trPr>
          <w:cantSplit/>
          <w:trHeight w:val="350"/>
          <w:tblHeader/>
        </w:trPr>
        <w:tc>
          <w:tcPr>
            <w:tcW w:w="1510" w:type="pct"/>
            <w:tcBorders>
              <w:top w:val="single" w:sz="2" w:space="0" w:color="auto"/>
              <w:left w:val="single" w:sz="2" w:space="0" w:color="auto"/>
              <w:bottom w:val="single" w:sz="2" w:space="0" w:color="auto"/>
              <w:right w:val="single" w:sz="2" w:space="0" w:color="auto"/>
            </w:tcBorders>
            <w:vAlign w:val="center"/>
          </w:tcPr>
          <w:p w14:paraId="30CC65D7" w14:textId="77777777" w:rsidR="00140B7C" w:rsidRPr="00EC4EC4" w:rsidRDefault="00140B7C" w:rsidP="00BC1087">
            <w:pPr>
              <w:widowControl w:val="0"/>
              <w:kinsoku w:val="0"/>
              <w:spacing w:after="0" w:line="240" w:lineRule="auto"/>
              <w:ind w:left="360" w:hanging="270"/>
              <w:rPr>
                <w:rFonts w:eastAsia="Times New Roman" w:cs="Times New Roman"/>
                <w:spacing w:val="3"/>
                <w:sz w:val="16"/>
                <w:szCs w:val="16"/>
              </w:rPr>
            </w:pPr>
            <w:r w:rsidRPr="00EC4EC4">
              <w:rPr>
                <w:rFonts w:eastAsia="Times New Roman" w:cs="Times New Roman"/>
                <w:sz w:val="16"/>
                <w:szCs w:val="16"/>
              </w:rPr>
              <w:t>10.</w:t>
            </w:r>
            <w:r w:rsidRPr="00EC4EC4">
              <w:rPr>
                <w:rFonts w:eastAsia="Times New Roman" w:cs="Times New Roman"/>
                <w:sz w:val="16"/>
                <w:szCs w:val="16"/>
              </w:rPr>
              <w:tab/>
            </w:r>
            <w:r w:rsidRPr="00EC4EC4">
              <w:rPr>
                <w:rFonts w:eastAsia="Times New Roman" w:cs="Times New Roman"/>
                <w:spacing w:val="3"/>
                <w:sz w:val="16"/>
                <w:szCs w:val="16"/>
              </w:rPr>
              <w:t>Inspect erection of precast concrete members.</w:t>
            </w:r>
          </w:p>
        </w:tc>
        <w:tc>
          <w:tcPr>
            <w:tcW w:w="541" w:type="pct"/>
            <w:tcBorders>
              <w:top w:val="single" w:sz="2" w:space="0" w:color="auto"/>
              <w:left w:val="single" w:sz="2" w:space="0" w:color="auto"/>
              <w:bottom w:val="single" w:sz="2" w:space="0" w:color="auto"/>
              <w:right w:val="single" w:sz="2" w:space="0" w:color="auto"/>
            </w:tcBorders>
            <w:vAlign w:val="center"/>
          </w:tcPr>
          <w:p w14:paraId="2C6BB862"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513" w:type="pct"/>
            <w:tcBorders>
              <w:top w:val="single" w:sz="2" w:space="0" w:color="auto"/>
              <w:left w:val="single" w:sz="2" w:space="0" w:color="auto"/>
              <w:bottom w:val="single" w:sz="2" w:space="0" w:color="auto"/>
              <w:right w:val="single" w:sz="2" w:space="0" w:color="auto"/>
            </w:tcBorders>
            <w:vAlign w:val="center"/>
          </w:tcPr>
          <w:p w14:paraId="3B8D41D2"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689" w:type="pct"/>
            <w:tcBorders>
              <w:top w:val="single" w:sz="2" w:space="0" w:color="auto"/>
              <w:left w:val="single" w:sz="2" w:space="0" w:color="auto"/>
              <w:bottom w:val="single" w:sz="2" w:space="0" w:color="auto"/>
              <w:right w:val="single" w:sz="2" w:space="0" w:color="auto"/>
            </w:tcBorders>
            <w:vAlign w:val="center"/>
          </w:tcPr>
          <w:p w14:paraId="3522F44D" w14:textId="77777777" w:rsidR="00140B7C" w:rsidRPr="00EC4EC4" w:rsidRDefault="00140B7C" w:rsidP="00BC1087">
            <w:pPr>
              <w:widowControl w:val="0"/>
              <w:kinsoku w:val="0"/>
              <w:spacing w:after="0" w:line="240" w:lineRule="auto"/>
              <w:jc w:val="center"/>
              <w:rPr>
                <w:rFonts w:eastAsia="Times New Roman" w:cs="Times New Roman"/>
                <w:spacing w:val="4"/>
                <w:sz w:val="16"/>
                <w:szCs w:val="16"/>
              </w:rPr>
            </w:pPr>
            <w:r w:rsidRPr="00EC4EC4">
              <w:rPr>
                <w:rFonts w:eastAsia="Times New Roman" w:cs="Times New Roman"/>
                <w:spacing w:val="4"/>
                <w:sz w:val="16"/>
                <w:szCs w:val="16"/>
              </w:rPr>
              <w:t>ACI 318: Ch. 16</w:t>
            </w:r>
          </w:p>
        </w:tc>
        <w:tc>
          <w:tcPr>
            <w:tcW w:w="583" w:type="pct"/>
            <w:tcBorders>
              <w:top w:val="single" w:sz="2" w:space="0" w:color="auto"/>
              <w:left w:val="single" w:sz="2" w:space="0" w:color="auto"/>
              <w:bottom w:val="single" w:sz="2" w:space="0" w:color="auto"/>
              <w:right w:val="single" w:sz="2" w:space="0" w:color="auto"/>
            </w:tcBorders>
            <w:vAlign w:val="center"/>
          </w:tcPr>
          <w:p w14:paraId="1902EDBD"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623" w:type="pct"/>
            <w:tcBorders>
              <w:top w:val="single" w:sz="2" w:space="0" w:color="auto"/>
              <w:left w:val="single" w:sz="2" w:space="0" w:color="auto"/>
              <w:bottom w:val="single" w:sz="2" w:space="0" w:color="auto"/>
              <w:right w:val="single" w:sz="2" w:space="0" w:color="auto"/>
            </w:tcBorders>
            <w:vAlign w:val="center"/>
          </w:tcPr>
          <w:p w14:paraId="2067353E"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541" w:type="pct"/>
            <w:tcBorders>
              <w:top w:val="single" w:sz="2" w:space="0" w:color="auto"/>
              <w:left w:val="single" w:sz="2" w:space="0" w:color="auto"/>
              <w:bottom w:val="single" w:sz="2" w:space="0" w:color="auto"/>
              <w:right w:val="single" w:sz="2" w:space="0" w:color="auto"/>
            </w:tcBorders>
            <w:vAlign w:val="center"/>
          </w:tcPr>
          <w:p w14:paraId="32724D3D" w14:textId="77777777" w:rsidR="00140B7C" w:rsidRPr="00EC4EC4" w:rsidRDefault="00140B7C" w:rsidP="00BC1087">
            <w:pPr>
              <w:widowControl w:val="0"/>
              <w:kinsoku w:val="0"/>
              <w:spacing w:after="0" w:line="240" w:lineRule="auto"/>
              <w:jc w:val="center"/>
              <w:rPr>
                <w:rFonts w:eastAsia="Times New Roman" w:cs="Times New Roman"/>
                <w:sz w:val="16"/>
                <w:szCs w:val="16"/>
              </w:rPr>
            </w:pPr>
          </w:p>
        </w:tc>
      </w:tr>
      <w:tr w:rsidR="00140B7C" w:rsidRPr="00EC4EC4" w14:paraId="3E11BCD6" w14:textId="77777777" w:rsidTr="00BC1087">
        <w:trPr>
          <w:cantSplit/>
          <w:trHeight w:val="20"/>
          <w:tblHeader/>
        </w:trPr>
        <w:tc>
          <w:tcPr>
            <w:tcW w:w="1510" w:type="pct"/>
            <w:tcBorders>
              <w:top w:val="single" w:sz="2" w:space="0" w:color="auto"/>
              <w:left w:val="single" w:sz="2" w:space="0" w:color="auto"/>
              <w:bottom w:val="single" w:sz="2" w:space="0" w:color="auto"/>
              <w:right w:val="single" w:sz="2" w:space="0" w:color="auto"/>
            </w:tcBorders>
            <w:vAlign w:val="center"/>
          </w:tcPr>
          <w:p w14:paraId="234D9B1A" w14:textId="77777777" w:rsidR="00140B7C" w:rsidRPr="00EC4EC4" w:rsidRDefault="00140B7C" w:rsidP="00BC1087">
            <w:pPr>
              <w:widowControl w:val="0"/>
              <w:kinsoku w:val="0"/>
              <w:spacing w:after="0" w:line="240" w:lineRule="auto"/>
              <w:ind w:left="360" w:right="28" w:hanging="270"/>
              <w:rPr>
                <w:rFonts w:eastAsia="Times New Roman" w:cs="Times New Roman"/>
                <w:spacing w:val="4"/>
                <w:sz w:val="16"/>
                <w:szCs w:val="16"/>
              </w:rPr>
            </w:pPr>
            <w:r w:rsidRPr="00EC4EC4">
              <w:rPr>
                <w:rFonts w:eastAsia="Times New Roman" w:cs="Times New Roman"/>
                <w:spacing w:val="-22"/>
                <w:sz w:val="16"/>
                <w:szCs w:val="16"/>
              </w:rPr>
              <w:t>11.</w:t>
            </w:r>
            <w:r w:rsidRPr="00EC4EC4">
              <w:rPr>
                <w:rFonts w:eastAsia="Times New Roman" w:cs="Times New Roman"/>
                <w:spacing w:val="-22"/>
                <w:sz w:val="16"/>
                <w:szCs w:val="16"/>
              </w:rPr>
              <w:tab/>
            </w:r>
            <w:r w:rsidRPr="00EC4EC4">
              <w:rPr>
                <w:rFonts w:eastAsia="Times New Roman" w:cs="Times New Roman"/>
                <w:spacing w:val="2"/>
                <w:sz w:val="16"/>
                <w:szCs w:val="16"/>
              </w:rPr>
              <w:t>Verify in-situ concrete strength, prior to stressing of tendons in post-</w:t>
            </w:r>
            <w:r w:rsidRPr="00EC4EC4">
              <w:rPr>
                <w:rFonts w:eastAsia="Times New Roman" w:cs="Times New Roman"/>
                <w:spacing w:val="2"/>
                <w:sz w:val="16"/>
                <w:szCs w:val="16"/>
              </w:rPr>
              <w:lastRenderedPageBreak/>
              <w:t xml:space="preserve">tensioned concrete </w:t>
            </w:r>
            <w:r w:rsidRPr="00EC4EC4">
              <w:rPr>
                <w:rFonts w:eastAsia="Times New Roman" w:cs="Times New Roman"/>
                <w:spacing w:val="1"/>
                <w:sz w:val="16"/>
                <w:szCs w:val="16"/>
              </w:rPr>
              <w:t xml:space="preserve">and prior to removal of shores and forms from </w:t>
            </w:r>
            <w:r w:rsidRPr="00EC4EC4">
              <w:rPr>
                <w:rFonts w:eastAsia="Times New Roman" w:cs="Times New Roman"/>
                <w:spacing w:val="4"/>
                <w:sz w:val="16"/>
                <w:szCs w:val="16"/>
              </w:rPr>
              <w:t>beams and structural slabs.</w:t>
            </w:r>
          </w:p>
        </w:tc>
        <w:tc>
          <w:tcPr>
            <w:tcW w:w="541" w:type="pct"/>
            <w:tcBorders>
              <w:top w:val="single" w:sz="2" w:space="0" w:color="auto"/>
              <w:left w:val="single" w:sz="2" w:space="0" w:color="auto"/>
              <w:bottom w:val="single" w:sz="2" w:space="0" w:color="auto"/>
              <w:right w:val="single" w:sz="2" w:space="0" w:color="auto"/>
            </w:tcBorders>
            <w:vAlign w:val="center"/>
          </w:tcPr>
          <w:p w14:paraId="7343FD1F"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lastRenderedPageBreak/>
              <w:t>—</w:t>
            </w:r>
          </w:p>
        </w:tc>
        <w:tc>
          <w:tcPr>
            <w:tcW w:w="513" w:type="pct"/>
            <w:tcBorders>
              <w:top w:val="single" w:sz="2" w:space="0" w:color="auto"/>
              <w:left w:val="single" w:sz="2" w:space="0" w:color="auto"/>
              <w:bottom w:val="single" w:sz="2" w:space="0" w:color="auto"/>
              <w:right w:val="single" w:sz="2" w:space="0" w:color="auto"/>
            </w:tcBorders>
            <w:vAlign w:val="center"/>
          </w:tcPr>
          <w:p w14:paraId="125295CF"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689" w:type="pct"/>
            <w:tcBorders>
              <w:top w:val="single" w:sz="2" w:space="0" w:color="auto"/>
              <w:left w:val="single" w:sz="2" w:space="0" w:color="auto"/>
              <w:bottom w:val="single" w:sz="2" w:space="0" w:color="auto"/>
              <w:right w:val="single" w:sz="2" w:space="0" w:color="auto"/>
            </w:tcBorders>
            <w:vAlign w:val="center"/>
          </w:tcPr>
          <w:p w14:paraId="0549F04F" w14:textId="77777777" w:rsidR="00140B7C" w:rsidRPr="00EC4EC4" w:rsidRDefault="00140B7C" w:rsidP="00BC1087">
            <w:pPr>
              <w:widowControl w:val="0"/>
              <w:kinsoku w:val="0"/>
              <w:spacing w:after="0" w:line="240" w:lineRule="auto"/>
              <w:jc w:val="center"/>
              <w:rPr>
                <w:rFonts w:eastAsia="Times New Roman" w:cs="Times New Roman"/>
                <w:spacing w:val="4"/>
                <w:sz w:val="16"/>
                <w:szCs w:val="16"/>
              </w:rPr>
            </w:pPr>
            <w:r w:rsidRPr="00EC4EC4">
              <w:rPr>
                <w:rFonts w:eastAsia="Times New Roman" w:cs="Times New Roman"/>
                <w:spacing w:val="4"/>
                <w:sz w:val="16"/>
                <w:szCs w:val="16"/>
              </w:rPr>
              <w:t>ACI 318: 6.2</w:t>
            </w:r>
          </w:p>
        </w:tc>
        <w:tc>
          <w:tcPr>
            <w:tcW w:w="583" w:type="pct"/>
            <w:tcBorders>
              <w:top w:val="single" w:sz="2" w:space="0" w:color="auto"/>
              <w:left w:val="single" w:sz="2" w:space="0" w:color="auto"/>
              <w:bottom w:val="single" w:sz="2" w:space="0" w:color="auto"/>
              <w:right w:val="single" w:sz="2" w:space="0" w:color="auto"/>
            </w:tcBorders>
            <w:vAlign w:val="center"/>
          </w:tcPr>
          <w:p w14:paraId="0094AC78"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1906.2</w:t>
            </w:r>
          </w:p>
        </w:tc>
        <w:tc>
          <w:tcPr>
            <w:tcW w:w="623" w:type="pct"/>
            <w:tcBorders>
              <w:top w:val="single" w:sz="2" w:space="0" w:color="auto"/>
              <w:left w:val="single" w:sz="2" w:space="0" w:color="auto"/>
              <w:bottom w:val="single" w:sz="2" w:space="0" w:color="auto"/>
              <w:right w:val="single" w:sz="2" w:space="0" w:color="auto"/>
            </w:tcBorders>
            <w:vAlign w:val="center"/>
          </w:tcPr>
          <w:p w14:paraId="62A919AF" w14:textId="77777777" w:rsidR="00140B7C" w:rsidRPr="00EC4EC4" w:rsidRDefault="00140B7C" w:rsidP="00BC1087">
            <w:pPr>
              <w:widowControl w:val="0"/>
              <w:kinsoku w:val="0"/>
              <w:spacing w:after="0" w:line="240" w:lineRule="auto"/>
              <w:jc w:val="center"/>
              <w:rPr>
                <w:rFonts w:eastAsia="Times New Roman" w:cs="Times New Roman"/>
                <w:strike/>
                <w:sz w:val="16"/>
                <w:szCs w:val="16"/>
              </w:rPr>
            </w:pPr>
            <w:r w:rsidRPr="00EC4EC4">
              <w:rPr>
                <w:rFonts w:eastAsia="Times New Roman" w:cs="Times New Roman"/>
                <w:sz w:val="16"/>
                <w:szCs w:val="16"/>
              </w:rPr>
              <w:t>—</w:t>
            </w:r>
          </w:p>
        </w:tc>
        <w:tc>
          <w:tcPr>
            <w:tcW w:w="541" w:type="pct"/>
            <w:tcBorders>
              <w:top w:val="single" w:sz="2" w:space="0" w:color="auto"/>
              <w:left w:val="single" w:sz="2" w:space="0" w:color="auto"/>
              <w:bottom w:val="single" w:sz="2" w:space="0" w:color="auto"/>
              <w:right w:val="single" w:sz="2" w:space="0" w:color="auto"/>
            </w:tcBorders>
            <w:vAlign w:val="center"/>
          </w:tcPr>
          <w:p w14:paraId="0C4B4138"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r>
      <w:tr w:rsidR="00140B7C" w:rsidRPr="00EC4EC4" w14:paraId="6194B8DC" w14:textId="77777777" w:rsidTr="00BC1087">
        <w:trPr>
          <w:cantSplit/>
          <w:trHeight w:val="20"/>
          <w:tblHeader/>
        </w:trPr>
        <w:tc>
          <w:tcPr>
            <w:tcW w:w="1510" w:type="pct"/>
            <w:tcBorders>
              <w:top w:val="single" w:sz="2" w:space="0" w:color="auto"/>
              <w:left w:val="single" w:sz="2" w:space="0" w:color="auto"/>
              <w:bottom w:val="single" w:sz="2" w:space="0" w:color="auto"/>
              <w:right w:val="single" w:sz="2" w:space="0" w:color="auto"/>
            </w:tcBorders>
            <w:vAlign w:val="center"/>
          </w:tcPr>
          <w:p w14:paraId="4986401F" w14:textId="77777777" w:rsidR="00140B7C" w:rsidRPr="00EC4EC4" w:rsidDel="00155C86" w:rsidRDefault="00140B7C" w:rsidP="00BC1087">
            <w:pPr>
              <w:widowControl w:val="0"/>
              <w:tabs>
                <w:tab w:val="right" w:pos="-2982"/>
              </w:tabs>
              <w:kinsoku w:val="0"/>
              <w:spacing w:after="0" w:line="240" w:lineRule="auto"/>
              <w:ind w:left="360" w:right="29" w:hanging="270"/>
              <w:rPr>
                <w:rFonts w:eastAsia="Times New Roman" w:cs="Times New Roman"/>
                <w:spacing w:val="2"/>
                <w:sz w:val="16"/>
                <w:szCs w:val="16"/>
              </w:rPr>
            </w:pPr>
            <w:r w:rsidRPr="00EC4EC4">
              <w:rPr>
                <w:rFonts w:eastAsia="Times New Roman" w:cs="Times New Roman"/>
                <w:spacing w:val="-22"/>
                <w:sz w:val="16"/>
                <w:szCs w:val="16"/>
              </w:rPr>
              <w:t>12.</w:t>
            </w:r>
            <w:r w:rsidRPr="00EC4EC4">
              <w:rPr>
                <w:rFonts w:eastAsia="Times New Roman" w:cs="Times New Roman"/>
                <w:spacing w:val="-22"/>
                <w:sz w:val="16"/>
                <w:szCs w:val="16"/>
              </w:rPr>
              <w:tab/>
            </w:r>
            <w:r w:rsidRPr="00EC4EC4">
              <w:rPr>
                <w:rFonts w:eastAsia="Times New Roman" w:cs="Times New Roman"/>
                <w:spacing w:val="2"/>
                <w:sz w:val="16"/>
                <w:szCs w:val="16"/>
              </w:rPr>
              <w:t>Inspect formwork for shape, location, and dimensions of the concrete member being formed.</w:t>
            </w:r>
          </w:p>
        </w:tc>
        <w:tc>
          <w:tcPr>
            <w:tcW w:w="541" w:type="pct"/>
            <w:tcBorders>
              <w:top w:val="single" w:sz="2" w:space="0" w:color="auto"/>
              <w:left w:val="single" w:sz="2" w:space="0" w:color="auto"/>
              <w:bottom w:val="single" w:sz="2" w:space="0" w:color="auto"/>
              <w:right w:val="single" w:sz="2" w:space="0" w:color="auto"/>
            </w:tcBorders>
            <w:vAlign w:val="center"/>
          </w:tcPr>
          <w:p w14:paraId="3E56D20F"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w:t>
            </w:r>
          </w:p>
        </w:tc>
        <w:tc>
          <w:tcPr>
            <w:tcW w:w="513" w:type="pct"/>
            <w:tcBorders>
              <w:top w:val="single" w:sz="2" w:space="0" w:color="auto"/>
              <w:left w:val="single" w:sz="2" w:space="0" w:color="auto"/>
              <w:bottom w:val="single" w:sz="2" w:space="0" w:color="auto"/>
              <w:right w:val="single" w:sz="2" w:space="0" w:color="auto"/>
            </w:tcBorders>
            <w:vAlign w:val="center"/>
          </w:tcPr>
          <w:p w14:paraId="23C55966"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689" w:type="pct"/>
            <w:tcBorders>
              <w:top w:val="single" w:sz="2" w:space="0" w:color="auto"/>
              <w:left w:val="single" w:sz="2" w:space="0" w:color="auto"/>
              <w:bottom w:val="single" w:sz="2" w:space="0" w:color="auto"/>
              <w:right w:val="single" w:sz="2" w:space="0" w:color="auto"/>
            </w:tcBorders>
            <w:vAlign w:val="center"/>
          </w:tcPr>
          <w:p w14:paraId="650370A0" w14:textId="77777777" w:rsidR="00140B7C" w:rsidRPr="00EC4EC4" w:rsidRDefault="00140B7C" w:rsidP="00BC1087">
            <w:pPr>
              <w:widowControl w:val="0"/>
              <w:kinsoku w:val="0"/>
              <w:spacing w:after="0" w:line="240" w:lineRule="auto"/>
              <w:jc w:val="center"/>
              <w:rPr>
                <w:rFonts w:eastAsia="Times New Roman" w:cs="Times New Roman"/>
                <w:spacing w:val="4"/>
                <w:sz w:val="16"/>
                <w:szCs w:val="16"/>
              </w:rPr>
            </w:pPr>
            <w:r w:rsidRPr="00EC4EC4">
              <w:rPr>
                <w:rFonts w:eastAsia="Times New Roman" w:cs="Times New Roman"/>
                <w:spacing w:val="4"/>
                <w:sz w:val="16"/>
                <w:szCs w:val="16"/>
              </w:rPr>
              <w:t>ACI 318: 6.1.1</w:t>
            </w:r>
          </w:p>
        </w:tc>
        <w:tc>
          <w:tcPr>
            <w:tcW w:w="583" w:type="pct"/>
            <w:tcBorders>
              <w:top w:val="single" w:sz="2" w:space="0" w:color="auto"/>
              <w:left w:val="single" w:sz="2" w:space="0" w:color="auto"/>
              <w:bottom w:val="single" w:sz="2" w:space="0" w:color="auto"/>
              <w:right w:val="single" w:sz="2" w:space="0" w:color="auto"/>
            </w:tcBorders>
            <w:vAlign w:val="center"/>
          </w:tcPr>
          <w:p w14:paraId="50048A68"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1906.2</w:t>
            </w:r>
          </w:p>
        </w:tc>
        <w:tc>
          <w:tcPr>
            <w:tcW w:w="623" w:type="pct"/>
            <w:tcBorders>
              <w:top w:val="single" w:sz="2" w:space="0" w:color="auto"/>
              <w:left w:val="single" w:sz="2" w:space="0" w:color="auto"/>
              <w:bottom w:val="single" w:sz="2" w:space="0" w:color="auto"/>
              <w:right w:val="single" w:sz="2" w:space="0" w:color="auto"/>
            </w:tcBorders>
            <w:vAlign w:val="center"/>
          </w:tcPr>
          <w:p w14:paraId="593EA147" w14:textId="77777777" w:rsidR="00140B7C" w:rsidRPr="00EC4EC4" w:rsidRDefault="00140B7C" w:rsidP="00BC1087">
            <w:pPr>
              <w:widowControl w:val="0"/>
              <w:kinsoku w:val="0"/>
              <w:spacing w:after="0" w:line="240" w:lineRule="auto"/>
              <w:jc w:val="center"/>
              <w:rPr>
                <w:rFonts w:eastAsia="Times New Roman" w:cs="Times New Roman"/>
                <w:sz w:val="16"/>
                <w:szCs w:val="16"/>
              </w:rPr>
            </w:pPr>
            <w:r w:rsidRPr="00EC4EC4">
              <w:rPr>
                <w:rFonts w:eastAsia="Times New Roman" w:cs="Times New Roman"/>
                <w:sz w:val="16"/>
                <w:szCs w:val="16"/>
              </w:rPr>
              <w:t>X</w:t>
            </w:r>
          </w:p>
        </w:tc>
        <w:tc>
          <w:tcPr>
            <w:tcW w:w="541" w:type="pct"/>
            <w:tcBorders>
              <w:top w:val="single" w:sz="2" w:space="0" w:color="auto"/>
              <w:left w:val="single" w:sz="2" w:space="0" w:color="auto"/>
              <w:bottom w:val="single" w:sz="2" w:space="0" w:color="auto"/>
              <w:right w:val="single" w:sz="2" w:space="0" w:color="auto"/>
            </w:tcBorders>
            <w:vAlign w:val="center"/>
          </w:tcPr>
          <w:p w14:paraId="52BE1767" w14:textId="77777777" w:rsidR="00140B7C" w:rsidRPr="00EC4EC4" w:rsidRDefault="00140B7C" w:rsidP="00BC1087">
            <w:pPr>
              <w:widowControl w:val="0"/>
              <w:kinsoku w:val="0"/>
              <w:spacing w:after="0" w:line="240" w:lineRule="auto"/>
              <w:jc w:val="center"/>
              <w:rPr>
                <w:rFonts w:eastAsia="Times New Roman" w:cs="Times New Roman"/>
                <w:sz w:val="16"/>
                <w:szCs w:val="16"/>
              </w:rPr>
            </w:pPr>
          </w:p>
        </w:tc>
      </w:tr>
    </w:tbl>
    <w:p w14:paraId="2184C616" w14:textId="77777777" w:rsidR="00140B7C" w:rsidRPr="00EC4EC4" w:rsidRDefault="00140B7C" w:rsidP="00140B7C">
      <w:pPr>
        <w:widowControl w:val="0"/>
        <w:kinsoku w:val="0"/>
        <w:spacing w:before="108" w:after="0" w:line="240" w:lineRule="auto"/>
        <w:ind w:left="540" w:hanging="360"/>
        <w:jc w:val="both"/>
        <w:rPr>
          <w:rFonts w:eastAsia="Times New Roman" w:cs="Times New Roman"/>
          <w:spacing w:val="6"/>
          <w:sz w:val="14"/>
          <w:szCs w:val="14"/>
        </w:rPr>
      </w:pPr>
      <w:r w:rsidRPr="00EC4EC4">
        <w:rPr>
          <w:rFonts w:eastAsia="Times New Roman" w:cs="Times New Roman"/>
          <w:spacing w:val="6"/>
          <w:sz w:val="14"/>
          <w:szCs w:val="14"/>
        </w:rPr>
        <w:t>a.</w:t>
      </w:r>
      <w:r w:rsidRPr="00EC4EC4">
        <w:rPr>
          <w:rFonts w:eastAsia="Times New Roman" w:cs="Times New Roman"/>
          <w:spacing w:val="6"/>
          <w:sz w:val="14"/>
          <w:szCs w:val="14"/>
        </w:rPr>
        <w:tab/>
        <w:t>Standard sampling rate shall be in accordance with Section 1905.6.2.</w:t>
      </w:r>
    </w:p>
    <w:p w14:paraId="7DAFFEA0" w14:textId="77777777" w:rsidR="00140B7C" w:rsidRPr="00EC4EC4" w:rsidRDefault="00140B7C" w:rsidP="00140B7C">
      <w:pPr>
        <w:widowControl w:val="0"/>
        <w:kinsoku w:val="0"/>
        <w:spacing w:after="0" w:line="240" w:lineRule="auto"/>
        <w:ind w:left="540" w:hanging="360"/>
        <w:jc w:val="both"/>
        <w:rPr>
          <w:rFonts w:eastAsia="Times New Roman" w:cs="Times New Roman"/>
          <w:spacing w:val="5"/>
          <w:sz w:val="14"/>
          <w:szCs w:val="14"/>
        </w:rPr>
      </w:pPr>
      <w:r w:rsidRPr="00EC4EC4">
        <w:rPr>
          <w:rFonts w:eastAsia="Times New Roman" w:cs="Times New Roman"/>
          <w:spacing w:val="5"/>
          <w:sz w:val="14"/>
          <w:szCs w:val="14"/>
        </w:rPr>
        <w:t>b.</w:t>
      </w:r>
      <w:r w:rsidRPr="00EC4EC4">
        <w:rPr>
          <w:rFonts w:eastAsia="Times New Roman" w:cs="Times New Roman"/>
          <w:spacing w:val="5"/>
          <w:sz w:val="14"/>
          <w:szCs w:val="14"/>
        </w:rPr>
        <w:tab/>
        <w:t>Four-inch by 8-inch cylinders may be accepted in lieu of 6-inch by 12-inch cylinders at the option of the engineer of record.</w:t>
      </w:r>
    </w:p>
    <w:p w14:paraId="63C828A6" w14:textId="77777777" w:rsidR="00140B7C" w:rsidRPr="00EC4EC4" w:rsidRDefault="00140B7C" w:rsidP="00140B7C">
      <w:pPr>
        <w:widowControl w:val="0"/>
        <w:kinsoku w:val="0"/>
        <w:spacing w:after="0" w:line="240" w:lineRule="auto"/>
        <w:ind w:left="540" w:hanging="360"/>
        <w:jc w:val="both"/>
        <w:rPr>
          <w:rFonts w:eastAsia="Times New Roman" w:cs="Times New Roman"/>
          <w:spacing w:val="5"/>
          <w:sz w:val="14"/>
          <w:szCs w:val="14"/>
        </w:rPr>
      </w:pPr>
      <w:r w:rsidRPr="00EC4EC4">
        <w:rPr>
          <w:rFonts w:eastAsia="Times New Roman" w:cs="Times New Roman"/>
          <w:spacing w:val="5"/>
          <w:sz w:val="14"/>
          <w:szCs w:val="14"/>
        </w:rPr>
        <w:t>c.</w:t>
      </w:r>
      <w:r w:rsidRPr="00EC4EC4">
        <w:rPr>
          <w:rFonts w:eastAsia="Times New Roman" w:cs="Times New Roman"/>
          <w:spacing w:val="5"/>
          <w:sz w:val="14"/>
          <w:szCs w:val="14"/>
        </w:rPr>
        <w:tab/>
        <w:t>Specific requirements for special inspection shall be included in the research report for the anchor issued by an approved source in accordance with 17.8.2 in ACI 318, or other qualification procedures.  Where specific requirements are not provided, special inspection requirements shall be specified by the registered design professional and shall be approved by the commissioner prior to the commencement of the work.</w:t>
      </w:r>
    </w:p>
    <w:p w14:paraId="10CC5122" w14:textId="77777777" w:rsidR="00140B7C" w:rsidRPr="00EC4EC4" w:rsidRDefault="00140B7C" w:rsidP="00140B7C">
      <w:pPr>
        <w:widowControl w:val="0"/>
        <w:kinsoku w:val="0"/>
        <w:spacing w:after="0" w:line="240" w:lineRule="auto"/>
        <w:ind w:left="540" w:hanging="360"/>
        <w:jc w:val="both"/>
        <w:rPr>
          <w:rFonts w:eastAsia="Times New Roman" w:cs="Times New Roman"/>
          <w:spacing w:val="5"/>
          <w:sz w:val="14"/>
          <w:szCs w:val="14"/>
        </w:rPr>
      </w:pPr>
    </w:p>
    <w:p w14:paraId="09513D40" w14:textId="4A51F291"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1</w:t>
      </w:r>
      <w:r w:rsidR="00F02F52">
        <w:rPr>
          <w:rFonts w:cs="Times New Roman"/>
          <w:sz w:val="23"/>
          <w:szCs w:val="23"/>
        </w:rPr>
        <w:t>81</w:t>
      </w:r>
      <w:r w:rsidRPr="00EC4EC4">
        <w:rPr>
          <w:rFonts w:cs="Times New Roman"/>
          <w:sz w:val="23"/>
          <w:szCs w:val="23"/>
        </w:rPr>
        <w:t>. Table 1705.4.3 of  the New York city building code, as added by local law number 126 for the year 2021, is amended to read as follows:</w:t>
      </w:r>
    </w:p>
    <w:p w14:paraId="0CA78710" w14:textId="77777777" w:rsidR="00140B7C" w:rsidRPr="00EC4EC4" w:rsidRDefault="00140B7C" w:rsidP="00140B7C">
      <w:pPr>
        <w:widowControl w:val="0"/>
        <w:kinsoku w:val="0"/>
        <w:spacing w:after="0" w:line="240" w:lineRule="auto"/>
        <w:ind w:left="540" w:hanging="360"/>
        <w:jc w:val="both"/>
        <w:rPr>
          <w:rFonts w:eastAsia="Times New Roman" w:cs="Times New Roman"/>
          <w:spacing w:val="5"/>
          <w:sz w:val="14"/>
          <w:szCs w:val="14"/>
        </w:rPr>
      </w:pPr>
    </w:p>
    <w:p w14:paraId="11F516E1" w14:textId="77777777" w:rsidR="00140B7C" w:rsidRPr="00EC4EC4" w:rsidRDefault="00140B7C" w:rsidP="00140B7C">
      <w:pPr>
        <w:widowControl w:val="0"/>
        <w:kinsoku w:val="0"/>
        <w:spacing w:after="0" w:line="240" w:lineRule="auto"/>
        <w:ind w:left="540" w:hanging="360"/>
        <w:jc w:val="both"/>
        <w:rPr>
          <w:rFonts w:eastAsia="Times New Roman" w:cs="Times New Roman"/>
          <w:spacing w:val="5"/>
          <w:sz w:val="14"/>
          <w:szCs w:val="14"/>
          <w:u w:val="single"/>
        </w:rPr>
      </w:pPr>
    </w:p>
    <w:tbl>
      <w:tblPr>
        <w:tblW w:w="5000" w:type="pct"/>
        <w:jc w:val="center"/>
        <w:tblCellMar>
          <w:left w:w="0" w:type="dxa"/>
          <w:right w:w="0" w:type="dxa"/>
        </w:tblCellMar>
        <w:tblLook w:val="0000" w:firstRow="0" w:lastRow="0" w:firstColumn="0" w:lastColumn="0" w:noHBand="0" w:noVBand="0"/>
      </w:tblPr>
      <w:tblGrid>
        <w:gridCol w:w="3401"/>
        <w:gridCol w:w="1293"/>
        <w:gridCol w:w="1189"/>
        <w:gridCol w:w="1102"/>
        <w:gridCol w:w="1357"/>
        <w:gridCol w:w="1306"/>
      </w:tblGrid>
      <w:tr w:rsidR="00140B7C" w:rsidRPr="00EC4EC4" w14:paraId="5512A28C" w14:textId="77777777" w:rsidTr="00BC1087">
        <w:trPr>
          <w:cantSplit/>
          <w:trHeight w:hRule="exact" w:val="722"/>
          <w:tblHeader/>
          <w:jc w:val="center"/>
        </w:trPr>
        <w:tc>
          <w:tcPr>
            <w:tcW w:w="5000" w:type="pct"/>
            <w:gridSpan w:val="6"/>
            <w:tcBorders>
              <w:bottom w:val="single" w:sz="2" w:space="0" w:color="auto"/>
            </w:tcBorders>
            <w:vAlign w:val="center"/>
          </w:tcPr>
          <w:p w14:paraId="027B73B5" w14:textId="77777777" w:rsidR="00140B7C" w:rsidRPr="00EC4EC4" w:rsidRDefault="00140B7C" w:rsidP="00BC1087">
            <w:pPr>
              <w:widowControl w:val="0"/>
              <w:kinsoku w:val="0"/>
              <w:spacing w:after="0" w:line="240" w:lineRule="auto"/>
              <w:jc w:val="center"/>
              <w:rPr>
                <w:rFonts w:eastAsia="Times New Roman" w:cs="Times New Roman"/>
                <w:b/>
                <w:sz w:val="18"/>
                <w:szCs w:val="18"/>
              </w:rPr>
            </w:pPr>
            <w:r w:rsidRPr="00EC4EC4">
              <w:rPr>
                <w:rFonts w:eastAsia="Times New Roman" w:cs="Times New Roman"/>
                <w:b/>
                <w:bCs/>
                <w:sz w:val="20"/>
                <w:szCs w:val="20"/>
              </w:rPr>
              <w:t>TABLE 1705.4.3</w:t>
            </w:r>
            <w:r w:rsidRPr="00EC4EC4">
              <w:rPr>
                <w:rFonts w:eastAsia="Times New Roman" w:cs="Times New Roman"/>
                <w:b/>
                <w:bCs/>
                <w:sz w:val="20"/>
                <w:szCs w:val="20"/>
              </w:rPr>
              <w:br/>
              <w:t>LEVEL C REQUIRED SPECIAL INSPECTIONS AND TESTS OF MASONRY CONSTRUCTION</w:t>
            </w:r>
          </w:p>
        </w:tc>
      </w:tr>
      <w:tr w:rsidR="00140B7C" w:rsidRPr="00EC4EC4" w14:paraId="66DA3510" w14:textId="77777777" w:rsidTr="00BC1087">
        <w:trPr>
          <w:cantSplit/>
          <w:trHeight w:hRule="exact" w:val="344"/>
          <w:tblHeader/>
          <w:jc w:val="center"/>
        </w:trPr>
        <w:tc>
          <w:tcPr>
            <w:tcW w:w="5000" w:type="pct"/>
            <w:gridSpan w:val="6"/>
            <w:tcBorders>
              <w:top w:val="single" w:sz="2" w:space="0" w:color="auto"/>
              <w:left w:val="single" w:sz="2" w:space="0" w:color="auto"/>
              <w:bottom w:val="nil"/>
              <w:right w:val="single" w:sz="2" w:space="0" w:color="auto"/>
            </w:tcBorders>
            <w:vAlign w:val="center"/>
          </w:tcPr>
          <w:p w14:paraId="46F2ACC1" w14:textId="77777777" w:rsidR="00140B7C" w:rsidRPr="00EC4EC4" w:rsidRDefault="00140B7C" w:rsidP="00BC1087">
            <w:pPr>
              <w:widowControl w:val="0"/>
              <w:kinsoku w:val="0"/>
              <w:spacing w:after="0" w:line="240" w:lineRule="auto"/>
              <w:jc w:val="center"/>
              <w:rPr>
                <w:rFonts w:eastAsia="Times New Roman" w:cs="Times New Roman"/>
                <w:b/>
                <w:sz w:val="18"/>
                <w:szCs w:val="18"/>
              </w:rPr>
            </w:pPr>
            <w:r w:rsidRPr="00EC4EC4">
              <w:rPr>
                <w:rFonts w:eastAsia="Times New Roman" w:cs="Times New Roman"/>
                <w:b/>
                <w:sz w:val="18"/>
                <w:szCs w:val="18"/>
              </w:rPr>
              <w:t>MINIMUM TESTS</w:t>
            </w:r>
          </w:p>
        </w:tc>
      </w:tr>
      <w:tr w:rsidR="00140B7C" w:rsidRPr="00EC4EC4" w14:paraId="1BA05443" w14:textId="77777777" w:rsidTr="00BC1087">
        <w:trPr>
          <w:cantSplit/>
          <w:trHeight w:hRule="exact" w:val="479"/>
          <w:tblHeader/>
          <w:jc w:val="center"/>
        </w:trPr>
        <w:tc>
          <w:tcPr>
            <w:tcW w:w="5000" w:type="pct"/>
            <w:gridSpan w:val="6"/>
            <w:tcBorders>
              <w:top w:val="single" w:sz="2" w:space="0" w:color="auto"/>
              <w:left w:val="single" w:sz="2" w:space="0" w:color="auto"/>
              <w:bottom w:val="nil"/>
              <w:right w:val="single" w:sz="2" w:space="0" w:color="auto"/>
            </w:tcBorders>
            <w:vAlign w:val="center"/>
          </w:tcPr>
          <w:p w14:paraId="5C32958E" w14:textId="77777777" w:rsidR="00140B7C" w:rsidRPr="00EC4EC4" w:rsidRDefault="00140B7C" w:rsidP="00BC1087">
            <w:pPr>
              <w:widowControl w:val="0"/>
              <w:kinsoku w:val="0"/>
              <w:spacing w:after="0" w:line="240" w:lineRule="auto"/>
              <w:jc w:val="center"/>
              <w:rPr>
                <w:rFonts w:eastAsia="Times New Roman" w:cs="Times New Roman"/>
                <w:bCs/>
                <w:sz w:val="18"/>
                <w:szCs w:val="18"/>
              </w:rPr>
            </w:pPr>
            <w:r w:rsidRPr="00EC4EC4">
              <w:rPr>
                <w:rFonts w:eastAsia="Times New Roman" w:cs="Times New Roman"/>
                <w:bCs/>
                <w:sz w:val="18"/>
                <w:szCs w:val="18"/>
              </w:rPr>
              <w:t xml:space="preserve">Verification of </w:t>
            </w:r>
            <w:r w:rsidRPr="00EC4EC4">
              <w:rPr>
                <w:rFonts w:eastAsia="Times New Roman" w:cs="Times New Roman"/>
                <w:bCs/>
                <w:i/>
                <w:sz w:val="18"/>
                <w:szCs w:val="18"/>
              </w:rPr>
              <w:t>f’</w:t>
            </w:r>
            <w:r w:rsidRPr="00EC4EC4">
              <w:rPr>
                <w:rFonts w:eastAsia="Times New Roman" w:cs="Times New Roman"/>
                <w:bCs/>
                <w:i/>
                <w:sz w:val="18"/>
                <w:szCs w:val="18"/>
                <w:vertAlign w:val="subscript"/>
              </w:rPr>
              <w:t>m</w:t>
            </w:r>
            <w:r w:rsidRPr="00EC4EC4">
              <w:rPr>
                <w:rFonts w:eastAsia="Times New Roman" w:cs="Times New Roman"/>
                <w:bCs/>
                <w:sz w:val="18"/>
                <w:szCs w:val="18"/>
              </w:rPr>
              <w:t xml:space="preserve"> and </w:t>
            </w:r>
            <w:r w:rsidRPr="00EC4EC4">
              <w:rPr>
                <w:rFonts w:eastAsia="Times New Roman" w:cs="Times New Roman"/>
                <w:bCs/>
                <w:i/>
                <w:sz w:val="18"/>
                <w:szCs w:val="18"/>
              </w:rPr>
              <w:t>f’</w:t>
            </w:r>
            <w:r w:rsidRPr="00EC4EC4">
              <w:rPr>
                <w:rFonts w:eastAsia="Times New Roman" w:cs="Times New Roman"/>
                <w:b/>
                <w:bCs/>
                <w:sz w:val="18"/>
                <w:szCs w:val="18"/>
                <w:vertAlign w:val="subscript"/>
              </w:rPr>
              <w:t>AAC</w:t>
            </w:r>
            <w:r w:rsidRPr="00EC4EC4">
              <w:rPr>
                <w:rFonts w:eastAsia="Times New Roman" w:cs="Times New Roman"/>
                <w:bCs/>
                <w:sz w:val="18"/>
                <w:szCs w:val="18"/>
              </w:rPr>
              <w:t xml:space="preserve"> in accordance with TMS 602 Article 1.4 B prior to construction and every 5,000 sq. ft. during construction.</w:t>
            </w:r>
          </w:p>
        </w:tc>
      </w:tr>
      <w:tr w:rsidR="00140B7C" w:rsidRPr="00EC4EC4" w14:paraId="0D7C9F70" w14:textId="77777777" w:rsidTr="00BC1087">
        <w:trPr>
          <w:cantSplit/>
          <w:trHeight w:hRule="exact" w:val="452"/>
          <w:tblHeader/>
          <w:jc w:val="center"/>
        </w:trPr>
        <w:tc>
          <w:tcPr>
            <w:tcW w:w="5000" w:type="pct"/>
            <w:gridSpan w:val="6"/>
            <w:tcBorders>
              <w:top w:val="single" w:sz="2" w:space="0" w:color="auto"/>
              <w:left w:val="single" w:sz="2" w:space="0" w:color="auto"/>
              <w:bottom w:val="nil"/>
              <w:right w:val="single" w:sz="2" w:space="0" w:color="auto"/>
            </w:tcBorders>
            <w:vAlign w:val="center"/>
          </w:tcPr>
          <w:p w14:paraId="70CD427D" w14:textId="77777777" w:rsidR="00140B7C" w:rsidRPr="00EC4EC4" w:rsidRDefault="00140B7C" w:rsidP="00BC1087">
            <w:pPr>
              <w:widowControl w:val="0"/>
              <w:kinsoku w:val="0"/>
              <w:spacing w:after="0" w:line="240" w:lineRule="auto"/>
              <w:jc w:val="center"/>
              <w:rPr>
                <w:rFonts w:eastAsia="Times New Roman" w:cs="Times New Roman"/>
                <w:bCs/>
                <w:sz w:val="18"/>
                <w:szCs w:val="18"/>
              </w:rPr>
            </w:pPr>
            <w:r w:rsidRPr="00EC4EC4">
              <w:rPr>
                <w:rFonts w:eastAsia="Times New Roman" w:cs="Times New Roman"/>
                <w:bCs/>
                <w:sz w:val="18"/>
                <w:szCs w:val="18"/>
              </w:rPr>
              <w:t>Verification of proportions of materials in premixed or preblended mortar, prestressing grout, and grout other than self-consolidating grout, as delivered to the project site</w:t>
            </w:r>
            <w:r w:rsidRPr="00EC4EC4">
              <w:rPr>
                <w:rFonts w:eastAsia="Times New Roman" w:cs="Times New Roman"/>
                <w:sz w:val="18"/>
                <w:szCs w:val="18"/>
              </w:rPr>
              <w:t xml:space="preserve"> </w:t>
            </w:r>
            <w:r w:rsidRPr="00EC4EC4">
              <w:rPr>
                <w:rFonts w:eastAsia="Times New Roman" w:cs="Times New Roman"/>
                <w:bCs/>
                <w:sz w:val="18"/>
                <w:szCs w:val="18"/>
              </w:rPr>
              <w:t>in accordance with TMS 602 Article 1.5B.</w:t>
            </w:r>
          </w:p>
        </w:tc>
      </w:tr>
      <w:tr w:rsidR="00140B7C" w:rsidRPr="00EC4EC4" w14:paraId="0E8F7E62" w14:textId="77777777" w:rsidTr="00BC1087">
        <w:trPr>
          <w:cantSplit/>
          <w:trHeight w:hRule="exact" w:val="452"/>
          <w:tblHeader/>
          <w:jc w:val="center"/>
        </w:trPr>
        <w:tc>
          <w:tcPr>
            <w:tcW w:w="5000" w:type="pct"/>
            <w:gridSpan w:val="6"/>
            <w:tcBorders>
              <w:top w:val="single" w:sz="2" w:space="0" w:color="auto"/>
              <w:left w:val="single" w:sz="2" w:space="0" w:color="auto"/>
              <w:bottom w:val="nil"/>
              <w:right w:val="single" w:sz="2" w:space="0" w:color="auto"/>
            </w:tcBorders>
            <w:vAlign w:val="center"/>
          </w:tcPr>
          <w:p w14:paraId="00FD4011" w14:textId="77777777" w:rsidR="00140B7C" w:rsidRPr="00EC4EC4" w:rsidRDefault="00140B7C" w:rsidP="00BC1087">
            <w:pPr>
              <w:widowControl w:val="0"/>
              <w:kinsoku w:val="0"/>
              <w:spacing w:after="0" w:line="240" w:lineRule="auto"/>
              <w:jc w:val="center"/>
              <w:rPr>
                <w:rFonts w:eastAsia="Times New Roman" w:cs="Times New Roman"/>
                <w:bCs/>
                <w:sz w:val="18"/>
                <w:szCs w:val="18"/>
              </w:rPr>
            </w:pPr>
            <w:r w:rsidRPr="00EC4EC4">
              <w:rPr>
                <w:rFonts w:eastAsia="Times New Roman" w:cs="Times New Roman"/>
                <w:bCs/>
                <w:sz w:val="18"/>
                <w:szCs w:val="18"/>
              </w:rPr>
              <w:t>Verification of Slump flow and Visual Stability Index (VSI) as delivered to the project site in accordance with TMS 602 Article 1.5.B.1.b.3 for self-consolidating grout.</w:t>
            </w:r>
          </w:p>
        </w:tc>
      </w:tr>
      <w:tr w:rsidR="00140B7C" w:rsidRPr="00EC4EC4" w14:paraId="63AA155A" w14:textId="77777777" w:rsidTr="00BC1087">
        <w:trPr>
          <w:cantSplit/>
          <w:trHeight w:hRule="exact" w:val="263"/>
          <w:tblHeader/>
          <w:jc w:val="center"/>
        </w:trPr>
        <w:tc>
          <w:tcPr>
            <w:tcW w:w="5000" w:type="pct"/>
            <w:gridSpan w:val="6"/>
            <w:tcBorders>
              <w:top w:val="single" w:sz="2" w:space="0" w:color="auto"/>
              <w:left w:val="single" w:sz="2" w:space="0" w:color="auto"/>
              <w:bottom w:val="nil"/>
              <w:right w:val="single" w:sz="2" w:space="0" w:color="auto"/>
            </w:tcBorders>
            <w:vAlign w:val="center"/>
          </w:tcPr>
          <w:p w14:paraId="31F01D8A" w14:textId="77777777" w:rsidR="00140B7C" w:rsidRPr="00EC4EC4" w:rsidRDefault="00140B7C" w:rsidP="00BC1087">
            <w:pPr>
              <w:widowControl w:val="0"/>
              <w:kinsoku w:val="0"/>
              <w:spacing w:after="0" w:line="240" w:lineRule="auto"/>
              <w:jc w:val="center"/>
              <w:rPr>
                <w:rFonts w:eastAsia="Times New Roman" w:cs="Times New Roman"/>
                <w:b/>
                <w:sz w:val="18"/>
                <w:szCs w:val="18"/>
              </w:rPr>
            </w:pPr>
            <w:r w:rsidRPr="00EC4EC4">
              <w:rPr>
                <w:rFonts w:eastAsia="Times New Roman" w:cs="Times New Roman"/>
                <w:b/>
                <w:sz w:val="18"/>
                <w:szCs w:val="18"/>
              </w:rPr>
              <w:t>MINIMUM SPECIAL INSPECTION</w:t>
            </w:r>
          </w:p>
        </w:tc>
      </w:tr>
      <w:tr w:rsidR="00140B7C" w:rsidRPr="00EC4EC4" w14:paraId="1586F9A8" w14:textId="77777777" w:rsidTr="00BC1087">
        <w:trPr>
          <w:cantSplit/>
          <w:trHeight w:hRule="exact" w:val="263"/>
          <w:tblHeader/>
          <w:jc w:val="center"/>
        </w:trPr>
        <w:tc>
          <w:tcPr>
            <w:tcW w:w="1763" w:type="pct"/>
            <w:vMerge w:val="restart"/>
            <w:tcBorders>
              <w:top w:val="single" w:sz="2" w:space="0" w:color="auto"/>
              <w:left w:val="single" w:sz="2" w:space="0" w:color="auto"/>
              <w:bottom w:val="nil"/>
              <w:right w:val="single" w:sz="2" w:space="0" w:color="auto"/>
            </w:tcBorders>
            <w:vAlign w:val="center"/>
          </w:tcPr>
          <w:p w14:paraId="0F021A91" w14:textId="77777777" w:rsidR="00140B7C" w:rsidRPr="00EC4EC4" w:rsidRDefault="00140B7C" w:rsidP="00BC1087">
            <w:pPr>
              <w:widowControl w:val="0"/>
              <w:kinsoku w:val="0"/>
              <w:spacing w:after="0" w:line="240" w:lineRule="auto"/>
              <w:jc w:val="center"/>
              <w:rPr>
                <w:rFonts w:eastAsia="Times New Roman" w:cs="Times New Roman"/>
                <w:b/>
                <w:bCs/>
                <w:sz w:val="18"/>
                <w:szCs w:val="18"/>
              </w:rPr>
            </w:pPr>
            <w:r w:rsidRPr="00EC4EC4">
              <w:rPr>
                <w:rFonts w:eastAsia="Times New Roman" w:cs="Times New Roman"/>
                <w:b/>
                <w:bCs/>
                <w:sz w:val="18"/>
                <w:szCs w:val="18"/>
              </w:rPr>
              <w:t>TYPE</w:t>
            </w:r>
          </w:p>
        </w:tc>
        <w:tc>
          <w:tcPr>
            <w:tcW w:w="670" w:type="pct"/>
            <w:vMerge w:val="restart"/>
            <w:tcBorders>
              <w:top w:val="single" w:sz="2" w:space="0" w:color="auto"/>
              <w:left w:val="single" w:sz="2" w:space="0" w:color="auto"/>
              <w:bottom w:val="nil"/>
              <w:right w:val="single" w:sz="2" w:space="0" w:color="auto"/>
            </w:tcBorders>
            <w:vAlign w:val="center"/>
          </w:tcPr>
          <w:p w14:paraId="5EC1E804" w14:textId="77777777" w:rsidR="00140B7C" w:rsidRPr="00EC4EC4" w:rsidRDefault="00140B7C" w:rsidP="00BC1087">
            <w:pPr>
              <w:widowControl w:val="0"/>
              <w:kinsoku w:val="0"/>
              <w:spacing w:after="0" w:line="240" w:lineRule="auto"/>
              <w:jc w:val="center"/>
              <w:rPr>
                <w:rFonts w:eastAsia="Times New Roman" w:cs="Times New Roman"/>
                <w:b/>
                <w:bCs/>
                <w:sz w:val="18"/>
                <w:szCs w:val="18"/>
              </w:rPr>
            </w:pPr>
            <w:r w:rsidRPr="00EC4EC4">
              <w:rPr>
                <w:rFonts w:eastAsia="Times New Roman" w:cs="Times New Roman"/>
                <w:b/>
                <w:bCs/>
                <w:sz w:val="18"/>
                <w:szCs w:val="18"/>
              </w:rPr>
              <w:t>Continuous Special Inspection</w:t>
            </w:r>
          </w:p>
        </w:tc>
        <w:tc>
          <w:tcPr>
            <w:tcW w:w="616" w:type="pct"/>
            <w:vMerge w:val="restart"/>
            <w:tcBorders>
              <w:top w:val="single" w:sz="2" w:space="0" w:color="auto"/>
              <w:left w:val="single" w:sz="2" w:space="0" w:color="auto"/>
              <w:bottom w:val="nil"/>
              <w:right w:val="single" w:sz="2" w:space="0" w:color="auto"/>
            </w:tcBorders>
            <w:vAlign w:val="center"/>
          </w:tcPr>
          <w:p w14:paraId="4FEEDC43" w14:textId="77777777" w:rsidR="00140B7C" w:rsidRPr="00EC4EC4" w:rsidRDefault="00140B7C" w:rsidP="00BC1087">
            <w:pPr>
              <w:widowControl w:val="0"/>
              <w:kinsoku w:val="0"/>
              <w:spacing w:after="0" w:line="240" w:lineRule="auto"/>
              <w:jc w:val="center"/>
              <w:rPr>
                <w:rFonts w:eastAsia="Times New Roman" w:cs="Times New Roman"/>
                <w:b/>
                <w:bCs/>
                <w:sz w:val="18"/>
                <w:szCs w:val="18"/>
              </w:rPr>
            </w:pPr>
            <w:r w:rsidRPr="00EC4EC4">
              <w:rPr>
                <w:rFonts w:eastAsia="Times New Roman" w:cs="Times New Roman"/>
                <w:b/>
                <w:bCs/>
                <w:sz w:val="18"/>
                <w:szCs w:val="18"/>
              </w:rPr>
              <w:t>Periodic Special Inspection</w:t>
            </w:r>
          </w:p>
        </w:tc>
        <w:tc>
          <w:tcPr>
            <w:tcW w:w="1951" w:type="pct"/>
            <w:gridSpan w:val="3"/>
            <w:tcBorders>
              <w:top w:val="single" w:sz="2" w:space="0" w:color="auto"/>
              <w:left w:val="single" w:sz="2" w:space="0" w:color="auto"/>
              <w:bottom w:val="single" w:sz="2" w:space="0" w:color="auto"/>
              <w:right w:val="single" w:sz="2" w:space="0" w:color="auto"/>
            </w:tcBorders>
            <w:vAlign w:val="center"/>
          </w:tcPr>
          <w:p w14:paraId="1984C504" w14:textId="77777777" w:rsidR="00140B7C" w:rsidRPr="00EC4EC4" w:rsidRDefault="00140B7C" w:rsidP="00BC1087">
            <w:pPr>
              <w:widowControl w:val="0"/>
              <w:kinsoku w:val="0"/>
              <w:spacing w:after="0" w:line="240" w:lineRule="auto"/>
              <w:jc w:val="center"/>
              <w:rPr>
                <w:rFonts w:eastAsia="Times New Roman" w:cs="Times New Roman"/>
                <w:b/>
                <w:bCs/>
                <w:sz w:val="18"/>
                <w:szCs w:val="18"/>
              </w:rPr>
            </w:pPr>
            <w:r w:rsidRPr="00EC4EC4">
              <w:rPr>
                <w:rFonts w:eastAsia="Times New Roman" w:cs="Times New Roman"/>
                <w:b/>
                <w:bCs/>
                <w:sz w:val="18"/>
                <w:szCs w:val="18"/>
              </w:rPr>
              <w:t>REFERENCE FOR CRITERIA</w:t>
            </w:r>
          </w:p>
        </w:tc>
      </w:tr>
      <w:tr w:rsidR="00140B7C" w:rsidRPr="00EC4EC4" w14:paraId="465852F1" w14:textId="77777777" w:rsidTr="00BC1087">
        <w:trPr>
          <w:cantSplit/>
          <w:trHeight w:hRule="exact" w:val="767"/>
          <w:tblHeader/>
          <w:jc w:val="center"/>
        </w:trPr>
        <w:tc>
          <w:tcPr>
            <w:tcW w:w="1763" w:type="pct"/>
            <w:vMerge/>
            <w:tcBorders>
              <w:top w:val="nil"/>
              <w:left w:val="single" w:sz="2" w:space="0" w:color="auto"/>
              <w:bottom w:val="single" w:sz="2" w:space="0" w:color="auto"/>
              <w:right w:val="single" w:sz="2" w:space="0" w:color="auto"/>
            </w:tcBorders>
            <w:vAlign w:val="center"/>
          </w:tcPr>
          <w:p w14:paraId="76245547" w14:textId="77777777" w:rsidR="00140B7C" w:rsidRPr="00EC4EC4" w:rsidRDefault="00140B7C" w:rsidP="00BC1087">
            <w:pPr>
              <w:widowControl w:val="0"/>
              <w:kinsoku w:val="0"/>
              <w:spacing w:after="0" w:line="240" w:lineRule="auto"/>
              <w:jc w:val="center"/>
              <w:rPr>
                <w:rFonts w:eastAsia="Times New Roman" w:cs="Times New Roman"/>
                <w:b/>
                <w:bCs/>
                <w:sz w:val="18"/>
                <w:szCs w:val="18"/>
              </w:rPr>
            </w:pPr>
          </w:p>
        </w:tc>
        <w:tc>
          <w:tcPr>
            <w:tcW w:w="670" w:type="pct"/>
            <w:vMerge/>
            <w:tcBorders>
              <w:top w:val="nil"/>
              <w:left w:val="single" w:sz="2" w:space="0" w:color="auto"/>
              <w:bottom w:val="single" w:sz="2" w:space="0" w:color="auto"/>
              <w:right w:val="single" w:sz="2" w:space="0" w:color="auto"/>
            </w:tcBorders>
            <w:vAlign w:val="center"/>
          </w:tcPr>
          <w:p w14:paraId="6AE88E49" w14:textId="77777777" w:rsidR="00140B7C" w:rsidRPr="00EC4EC4" w:rsidRDefault="00140B7C" w:rsidP="00BC1087">
            <w:pPr>
              <w:widowControl w:val="0"/>
              <w:kinsoku w:val="0"/>
              <w:spacing w:after="0" w:line="240" w:lineRule="auto"/>
              <w:jc w:val="center"/>
              <w:rPr>
                <w:rFonts w:eastAsia="Times New Roman" w:cs="Times New Roman"/>
                <w:b/>
                <w:bCs/>
                <w:sz w:val="18"/>
                <w:szCs w:val="18"/>
              </w:rPr>
            </w:pPr>
          </w:p>
        </w:tc>
        <w:tc>
          <w:tcPr>
            <w:tcW w:w="616" w:type="pct"/>
            <w:vMerge/>
            <w:tcBorders>
              <w:top w:val="nil"/>
              <w:left w:val="single" w:sz="2" w:space="0" w:color="auto"/>
              <w:bottom w:val="single" w:sz="2" w:space="0" w:color="auto"/>
              <w:right w:val="single" w:sz="2" w:space="0" w:color="auto"/>
            </w:tcBorders>
            <w:vAlign w:val="center"/>
          </w:tcPr>
          <w:p w14:paraId="76A76C58" w14:textId="77777777" w:rsidR="00140B7C" w:rsidRPr="00EC4EC4" w:rsidRDefault="00140B7C" w:rsidP="00BC1087">
            <w:pPr>
              <w:widowControl w:val="0"/>
              <w:kinsoku w:val="0"/>
              <w:spacing w:after="0" w:line="240" w:lineRule="auto"/>
              <w:jc w:val="center"/>
              <w:rPr>
                <w:rFonts w:eastAsia="Times New Roman" w:cs="Times New Roman"/>
                <w:b/>
                <w:bCs/>
                <w:sz w:val="18"/>
                <w:szCs w:val="18"/>
              </w:rPr>
            </w:pPr>
          </w:p>
        </w:tc>
        <w:tc>
          <w:tcPr>
            <w:tcW w:w="571" w:type="pct"/>
            <w:tcBorders>
              <w:top w:val="single" w:sz="2" w:space="0" w:color="auto"/>
              <w:left w:val="single" w:sz="2" w:space="0" w:color="auto"/>
              <w:bottom w:val="single" w:sz="2" w:space="0" w:color="auto"/>
              <w:right w:val="single" w:sz="2" w:space="0" w:color="auto"/>
            </w:tcBorders>
            <w:vAlign w:val="center"/>
          </w:tcPr>
          <w:p w14:paraId="0FF4667B" w14:textId="77777777" w:rsidR="00140B7C" w:rsidRPr="00EC4EC4" w:rsidRDefault="00140B7C" w:rsidP="00BC1087">
            <w:pPr>
              <w:widowControl w:val="0"/>
              <w:kinsoku w:val="0"/>
              <w:spacing w:after="0" w:line="240" w:lineRule="auto"/>
              <w:jc w:val="center"/>
              <w:rPr>
                <w:rFonts w:eastAsia="Times New Roman" w:cs="Times New Roman"/>
                <w:b/>
                <w:bCs/>
                <w:sz w:val="18"/>
                <w:szCs w:val="18"/>
              </w:rPr>
            </w:pPr>
            <w:r w:rsidRPr="00EC4EC4">
              <w:rPr>
                <w:rFonts w:eastAsia="Times New Roman" w:cs="Times New Roman"/>
                <w:b/>
                <w:bCs/>
                <w:sz w:val="18"/>
                <w:szCs w:val="18"/>
              </w:rPr>
              <w:t>BC Section</w:t>
            </w:r>
          </w:p>
        </w:tc>
        <w:tc>
          <w:tcPr>
            <w:tcW w:w="703" w:type="pct"/>
            <w:tcBorders>
              <w:top w:val="single" w:sz="2" w:space="0" w:color="auto"/>
              <w:left w:val="single" w:sz="2" w:space="0" w:color="auto"/>
              <w:bottom w:val="single" w:sz="2" w:space="0" w:color="auto"/>
              <w:right w:val="single" w:sz="2" w:space="0" w:color="auto"/>
            </w:tcBorders>
            <w:vAlign w:val="center"/>
          </w:tcPr>
          <w:p w14:paraId="2E0C2F90" w14:textId="77777777" w:rsidR="00140B7C" w:rsidRPr="00EC4EC4" w:rsidRDefault="00140B7C" w:rsidP="00BC1087">
            <w:pPr>
              <w:widowControl w:val="0"/>
              <w:kinsoku w:val="0"/>
              <w:spacing w:after="0" w:line="240" w:lineRule="auto"/>
              <w:jc w:val="center"/>
              <w:rPr>
                <w:rFonts w:eastAsia="Times New Roman" w:cs="Times New Roman"/>
                <w:b/>
                <w:bCs/>
                <w:spacing w:val="-2"/>
                <w:w w:val="110"/>
                <w:sz w:val="18"/>
                <w:szCs w:val="18"/>
              </w:rPr>
            </w:pPr>
            <w:r w:rsidRPr="00EC4EC4">
              <w:rPr>
                <w:rFonts w:eastAsia="Times New Roman" w:cs="Times New Roman"/>
                <w:b/>
                <w:bCs/>
                <w:sz w:val="18"/>
                <w:szCs w:val="18"/>
              </w:rPr>
              <w:t>TMS 402</w:t>
            </w:r>
          </w:p>
        </w:tc>
        <w:tc>
          <w:tcPr>
            <w:tcW w:w="677" w:type="pct"/>
            <w:tcBorders>
              <w:top w:val="single" w:sz="2" w:space="0" w:color="auto"/>
              <w:left w:val="single" w:sz="2" w:space="0" w:color="auto"/>
              <w:bottom w:val="single" w:sz="2" w:space="0" w:color="auto"/>
              <w:right w:val="single" w:sz="2" w:space="0" w:color="auto"/>
            </w:tcBorders>
            <w:vAlign w:val="center"/>
          </w:tcPr>
          <w:p w14:paraId="2489679A" w14:textId="77777777" w:rsidR="00140B7C" w:rsidRPr="00EC4EC4" w:rsidRDefault="00140B7C" w:rsidP="00BC1087">
            <w:pPr>
              <w:widowControl w:val="0"/>
              <w:kinsoku w:val="0"/>
              <w:spacing w:after="0" w:line="240" w:lineRule="auto"/>
              <w:jc w:val="center"/>
              <w:rPr>
                <w:rFonts w:eastAsia="Times New Roman" w:cs="Times New Roman"/>
                <w:b/>
                <w:bCs/>
                <w:w w:val="110"/>
                <w:sz w:val="18"/>
                <w:szCs w:val="18"/>
              </w:rPr>
            </w:pPr>
            <w:r w:rsidRPr="00EC4EC4">
              <w:rPr>
                <w:rFonts w:eastAsia="Times New Roman" w:cs="Times New Roman"/>
                <w:b/>
                <w:bCs/>
                <w:sz w:val="18"/>
                <w:szCs w:val="18"/>
              </w:rPr>
              <w:t>TMS 602</w:t>
            </w:r>
            <w:r w:rsidRPr="00EC4EC4">
              <w:rPr>
                <w:rFonts w:eastAsia="Times New Roman" w:cs="Times New Roman"/>
                <w:b/>
                <w:bCs/>
                <w:w w:val="110"/>
                <w:sz w:val="18"/>
                <w:szCs w:val="18"/>
                <w:vertAlign w:val="superscript"/>
              </w:rPr>
              <w:t>a</w:t>
            </w:r>
          </w:p>
        </w:tc>
      </w:tr>
      <w:tr w:rsidR="00140B7C" w:rsidRPr="00EC4EC4" w14:paraId="194ECCE5" w14:textId="77777777" w:rsidTr="00BC1087">
        <w:trPr>
          <w:trHeight w:hRule="exact" w:val="857"/>
          <w:jc w:val="center"/>
        </w:trPr>
        <w:tc>
          <w:tcPr>
            <w:tcW w:w="1763" w:type="pct"/>
            <w:tcBorders>
              <w:top w:val="single" w:sz="2" w:space="0" w:color="auto"/>
              <w:left w:val="single" w:sz="2" w:space="0" w:color="auto"/>
              <w:bottom w:val="single" w:sz="2" w:space="0" w:color="auto"/>
              <w:right w:val="single" w:sz="2" w:space="0" w:color="auto"/>
            </w:tcBorders>
            <w:vAlign w:val="center"/>
          </w:tcPr>
          <w:p w14:paraId="4572B2C7" w14:textId="77777777" w:rsidR="00140B7C" w:rsidRPr="00EC4EC4" w:rsidRDefault="00140B7C" w:rsidP="00BC1087">
            <w:pPr>
              <w:widowControl w:val="0"/>
              <w:kinsoku w:val="0"/>
              <w:spacing w:after="0" w:line="240" w:lineRule="auto"/>
              <w:ind w:left="503" w:right="126" w:hanging="389"/>
              <w:rPr>
                <w:rFonts w:eastAsia="Times New Roman" w:cs="Times New Roman"/>
                <w:spacing w:val="2"/>
                <w:sz w:val="18"/>
                <w:szCs w:val="18"/>
              </w:rPr>
            </w:pPr>
            <w:r w:rsidRPr="00EC4EC4">
              <w:rPr>
                <w:rFonts w:eastAsia="Times New Roman" w:cs="Times New Roman"/>
                <w:spacing w:val="2"/>
                <w:sz w:val="18"/>
                <w:szCs w:val="18"/>
              </w:rPr>
              <w:t>1.</w:t>
            </w:r>
            <w:r w:rsidRPr="00EC4EC4">
              <w:rPr>
                <w:rFonts w:eastAsia="Times New Roman" w:cs="Times New Roman"/>
                <w:spacing w:val="2"/>
                <w:sz w:val="18"/>
                <w:szCs w:val="18"/>
              </w:rPr>
              <w:tab/>
              <w:t>Verify compliance with required inspection provi</w:t>
            </w:r>
            <w:r w:rsidRPr="00EC4EC4">
              <w:rPr>
                <w:rFonts w:eastAsia="Times New Roman" w:cs="Times New Roman"/>
                <w:spacing w:val="-1"/>
                <w:sz w:val="18"/>
                <w:szCs w:val="18"/>
              </w:rPr>
              <w:t xml:space="preserve">sions of the construction documents and the </w:t>
            </w:r>
            <w:r w:rsidRPr="00EC4EC4">
              <w:rPr>
                <w:rFonts w:eastAsia="Times New Roman" w:cs="Times New Roman"/>
                <w:spacing w:val="2"/>
                <w:sz w:val="18"/>
                <w:szCs w:val="18"/>
              </w:rPr>
              <w:t>approved submittals.</w:t>
            </w:r>
          </w:p>
        </w:tc>
        <w:tc>
          <w:tcPr>
            <w:tcW w:w="670" w:type="pct"/>
            <w:tcBorders>
              <w:top w:val="single" w:sz="2" w:space="0" w:color="auto"/>
              <w:left w:val="single" w:sz="2" w:space="0" w:color="auto"/>
              <w:bottom w:val="single" w:sz="2" w:space="0" w:color="auto"/>
              <w:right w:val="single" w:sz="2" w:space="0" w:color="auto"/>
            </w:tcBorders>
            <w:vAlign w:val="center"/>
          </w:tcPr>
          <w:p w14:paraId="5C416438"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16" w:type="pct"/>
            <w:tcBorders>
              <w:top w:val="single" w:sz="2" w:space="0" w:color="auto"/>
              <w:left w:val="single" w:sz="2" w:space="0" w:color="auto"/>
              <w:bottom w:val="single" w:sz="2" w:space="0" w:color="auto"/>
              <w:right w:val="single" w:sz="2" w:space="0" w:color="auto"/>
            </w:tcBorders>
            <w:vAlign w:val="center"/>
          </w:tcPr>
          <w:p w14:paraId="53AE8FB6"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571" w:type="pct"/>
            <w:tcBorders>
              <w:top w:val="single" w:sz="2" w:space="0" w:color="auto"/>
              <w:left w:val="single" w:sz="2" w:space="0" w:color="auto"/>
              <w:bottom w:val="single" w:sz="2" w:space="0" w:color="auto"/>
              <w:right w:val="single" w:sz="2" w:space="0" w:color="auto"/>
            </w:tcBorders>
            <w:vAlign w:val="center"/>
          </w:tcPr>
          <w:p w14:paraId="6ACC0B03"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30CF6063"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1EB177D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1.5</w:t>
            </w:r>
          </w:p>
        </w:tc>
      </w:tr>
      <w:tr w:rsidR="00140B7C" w:rsidRPr="00EC4EC4" w14:paraId="3763B9BD" w14:textId="77777777" w:rsidTr="00BC1087">
        <w:trPr>
          <w:trHeight w:hRule="exact" w:val="383"/>
          <w:jc w:val="center"/>
        </w:trPr>
        <w:tc>
          <w:tcPr>
            <w:tcW w:w="5000" w:type="pct"/>
            <w:gridSpan w:val="6"/>
            <w:tcBorders>
              <w:top w:val="single" w:sz="2" w:space="0" w:color="auto"/>
              <w:left w:val="single" w:sz="2" w:space="0" w:color="auto"/>
              <w:bottom w:val="single" w:sz="2" w:space="0" w:color="auto"/>
              <w:right w:val="single" w:sz="2" w:space="0" w:color="auto"/>
            </w:tcBorders>
            <w:vAlign w:val="center"/>
          </w:tcPr>
          <w:p w14:paraId="7F172E9A" w14:textId="77777777" w:rsidR="00140B7C" w:rsidRPr="00EC4EC4" w:rsidRDefault="00140B7C" w:rsidP="00BC1087">
            <w:pPr>
              <w:widowControl w:val="0"/>
              <w:kinsoku w:val="0"/>
              <w:spacing w:after="0" w:line="240" w:lineRule="auto"/>
              <w:ind w:left="501" w:hanging="360"/>
              <w:rPr>
                <w:rFonts w:eastAsia="Times New Roman" w:cs="Times New Roman"/>
                <w:spacing w:val="4"/>
                <w:sz w:val="18"/>
                <w:szCs w:val="18"/>
              </w:rPr>
            </w:pPr>
            <w:r w:rsidRPr="00EC4EC4">
              <w:rPr>
                <w:rFonts w:eastAsia="Times New Roman" w:cs="Times New Roman"/>
                <w:spacing w:val="4"/>
                <w:sz w:val="18"/>
                <w:szCs w:val="18"/>
              </w:rPr>
              <w:t>2.</w:t>
            </w:r>
            <w:r w:rsidRPr="00EC4EC4">
              <w:rPr>
                <w:rFonts w:eastAsia="Times New Roman" w:cs="Times New Roman"/>
                <w:spacing w:val="4"/>
                <w:sz w:val="18"/>
                <w:szCs w:val="18"/>
              </w:rPr>
              <w:tab/>
              <w:t>Verify that the following are in compliance:</w:t>
            </w:r>
          </w:p>
        </w:tc>
      </w:tr>
      <w:tr w:rsidR="00140B7C" w:rsidRPr="00EC4EC4" w14:paraId="23188E5E" w14:textId="77777777" w:rsidTr="00BC1087">
        <w:trPr>
          <w:trHeight w:hRule="exact" w:val="767"/>
          <w:jc w:val="center"/>
        </w:trPr>
        <w:tc>
          <w:tcPr>
            <w:tcW w:w="1763" w:type="pct"/>
            <w:tcBorders>
              <w:top w:val="single" w:sz="2" w:space="0" w:color="auto"/>
              <w:left w:val="single" w:sz="2" w:space="0" w:color="auto"/>
              <w:bottom w:val="single" w:sz="2" w:space="0" w:color="auto"/>
              <w:right w:val="single" w:sz="2" w:space="0" w:color="auto"/>
            </w:tcBorders>
            <w:vAlign w:val="center"/>
          </w:tcPr>
          <w:p w14:paraId="07D961CD" w14:textId="77777777" w:rsidR="00140B7C" w:rsidRPr="00EC4EC4" w:rsidRDefault="00140B7C" w:rsidP="00BC1087">
            <w:pPr>
              <w:widowControl w:val="0"/>
              <w:tabs>
                <w:tab w:val="left" w:pos="-2379"/>
              </w:tabs>
              <w:kinsoku w:val="0"/>
              <w:spacing w:after="0" w:line="240" w:lineRule="auto"/>
              <w:ind w:left="1041" w:right="222" w:hanging="540"/>
              <w:rPr>
                <w:rFonts w:eastAsia="Times New Roman" w:cs="Times New Roman"/>
                <w:sz w:val="18"/>
                <w:szCs w:val="18"/>
              </w:rPr>
            </w:pPr>
            <w:r w:rsidRPr="00EC4EC4">
              <w:rPr>
                <w:rFonts w:eastAsia="Times New Roman" w:cs="Times New Roman"/>
                <w:spacing w:val="5"/>
                <w:sz w:val="18"/>
                <w:szCs w:val="18"/>
              </w:rPr>
              <w:t>a.</w:t>
            </w:r>
            <w:r w:rsidRPr="00EC4EC4">
              <w:rPr>
                <w:rFonts w:eastAsia="Times New Roman" w:cs="Times New Roman"/>
                <w:spacing w:val="5"/>
                <w:sz w:val="18"/>
                <w:szCs w:val="18"/>
              </w:rPr>
              <w:tab/>
              <w:t xml:space="preserve">Proportions of site-prepared mortar, </w:t>
            </w:r>
            <w:r w:rsidRPr="00EC4EC4">
              <w:rPr>
                <w:rFonts w:eastAsia="Times New Roman" w:cs="Times New Roman"/>
                <w:spacing w:val="-2"/>
                <w:sz w:val="18"/>
                <w:szCs w:val="18"/>
              </w:rPr>
              <w:t xml:space="preserve">grout and prestressing grout for bonded </w:t>
            </w:r>
            <w:r w:rsidRPr="00EC4EC4">
              <w:rPr>
                <w:rFonts w:eastAsia="Times New Roman" w:cs="Times New Roman"/>
                <w:sz w:val="18"/>
                <w:szCs w:val="18"/>
              </w:rPr>
              <w:t>tendons.</w:t>
            </w:r>
          </w:p>
        </w:tc>
        <w:tc>
          <w:tcPr>
            <w:tcW w:w="670" w:type="pct"/>
            <w:tcBorders>
              <w:top w:val="single" w:sz="2" w:space="0" w:color="auto"/>
              <w:left w:val="single" w:sz="2" w:space="0" w:color="auto"/>
              <w:bottom w:val="single" w:sz="2" w:space="0" w:color="auto"/>
              <w:right w:val="single" w:sz="2" w:space="0" w:color="auto"/>
            </w:tcBorders>
            <w:vAlign w:val="center"/>
          </w:tcPr>
          <w:p w14:paraId="3989BCA8"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16" w:type="pct"/>
            <w:tcBorders>
              <w:top w:val="single" w:sz="2" w:space="0" w:color="auto"/>
              <w:left w:val="single" w:sz="2" w:space="0" w:color="auto"/>
              <w:bottom w:val="single" w:sz="2" w:space="0" w:color="auto"/>
              <w:right w:val="single" w:sz="2" w:space="0" w:color="auto"/>
            </w:tcBorders>
            <w:vAlign w:val="center"/>
          </w:tcPr>
          <w:p w14:paraId="741741EF"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571" w:type="pct"/>
            <w:tcBorders>
              <w:top w:val="single" w:sz="2" w:space="0" w:color="auto"/>
              <w:left w:val="single" w:sz="2" w:space="0" w:color="auto"/>
              <w:bottom w:val="single" w:sz="2" w:space="0" w:color="auto"/>
              <w:right w:val="single" w:sz="2" w:space="0" w:color="auto"/>
            </w:tcBorders>
            <w:vAlign w:val="center"/>
          </w:tcPr>
          <w:p w14:paraId="3B4963E9"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098AC5AD"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2BCE4422"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2.6 A</w:t>
            </w:r>
          </w:p>
        </w:tc>
      </w:tr>
      <w:tr w:rsidR="00140B7C" w:rsidRPr="00EC4EC4" w14:paraId="7E43AE2C" w14:textId="77777777" w:rsidTr="00BC1087">
        <w:trPr>
          <w:trHeight w:hRule="exact" w:val="965"/>
          <w:jc w:val="center"/>
        </w:trPr>
        <w:tc>
          <w:tcPr>
            <w:tcW w:w="1763" w:type="pct"/>
            <w:tcBorders>
              <w:top w:val="single" w:sz="2" w:space="0" w:color="auto"/>
              <w:left w:val="single" w:sz="2" w:space="0" w:color="auto"/>
              <w:bottom w:val="single" w:sz="2" w:space="0" w:color="auto"/>
              <w:right w:val="single" w:sz="2" w:space="0" w:color="auto"/>
            </w:tcBorders>
            <w:vAlign w:val="center"/>
          </w:tcPr>
          <w:p w14:paraId="001A609A" w14:textId="77777777" w:rsidR="00140B7C" w:rsidRPr="00EC4EC4" w:rsidRDefault="00140B7C" w:rsidP="00BC1087">
            <w:pPr>
              <w:widowControl w:val="0"/>
              <w:tabs>
                <w:tab w:val="left" w:pos="-2379"/>
              </w:tabs>
              <w:kinsoku w:val="0"/>
              <w:spacing w:after="0" w:line="240" w:lineRule="auto"/>
              <w:ind w:left="1041" w:right="222" w:hanging="540"/>
              <w:rPr>
                <w:rFonts w:eastAsia="Times New Roman" w:cs="Times New Roman"/>
                <w:spacing w:val="-2"/>
                <w:sz w:val="18"/>
                <w:szCs w:val="18"/>
              </w:rPr>
            </w:pPr>
            <w:r w:rsidRPr="00EC4EC4">
              <w:rPr>
                <w:rFonts w:eastAsia="Times New Roman" w:cs="Times New Roman"/>
                <w:spacing w:val="6"/>
                <w:sz w:val="18"/>
                <w:szCs w:val="18"/>
              </w:rPr>
              <w:t>b.</w:t>
            </w:r>
            <w:r w:rsidRPr="00EC4EC4">
              <w:rPr>
                <w:rFonts w:eastAsia="Times New Roman" w:cs="Times New Roman"/>
                <w:spacing w:val="6"/>
                <w:sz w:val="18"/>
                <w:szCs w:val="18"/>
              </w:rPr>
              <w:tab/>
              <w:t>Grade, type, and size of reinforcement and anchor bolts, and prestressing grout for bonded tendons.</w:t>
            </w:r>
          </w:p>
        </w:tc>
        <w:tc>
          <w:tcPr>
            <w:tcW w:w="670" w:type="pct"/>
            <w:tcBorders>
              <w:top w:val="single" w:sz="2" w:space="0" w:color="auto"/>
              <w:left w:val="single" w:sz="2" w:space="0" w:color="auto"/>
              <w:bottom w:val="single" w:sz="2" w:space="0" w:color="auto"/>
              <w:right w:val="single" w:sz="2" w:space="0" w:color="auto"/>
            </w:tcBorders>
            <w:vAlign w:val="center"/>
          </w:tcPr>
          <w:p w14:paraId="0EF8AD1E"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16" w:type="pct"/>
            <w:tcBorders>
              <w:top w:val="single" w:sz="2" w:space="0" w:color="auto"/>
              <w:left w:val="single" w:sz="2" w:space="0" w:color="auto"/>
              <w:bottom w:val="single" w:sz="2" w:space="0" w:color="auto"/>
              <w:right w:val="single" w:sz="2" w:space="0" w:color="auto"/>
            </w:tcBorders>
            <w:vAlign w:val="center"/>
          </w:tcPr>
          <w:p w14:paraId="75162213" w14:textId="77777777" w:rsidR="00140B7C" w:rsidRPr="00EC4EC4" w:rsidRDefault="00140B7C" w:rsidP="00BC1087">
            <w:pPr>
              <w:widowControl w:val="0"/>
              <w:kinsoku w:val="0"/>
              <w:spacing w:after="0" w:line="240" w:lineRule="auto"/>
              <w:jc w:val="center"/>
              <w:rPr>
                <w:rFonts w:eastAsia="Times New Roman" w:cs="Times New Roman"/>
                <w:sz w:val="18"/>
                <w:szCs w:val="18"/>
                <w:u w:val="single"/>
              </w:rPr>
            </w:pPr>
            <w:r w:rsidRPr="00EC4EC4">
              <w:rPr>
                <w:rFonts w:eastAsia="Times New Roman" w:cs="Times New Roman"/>
                <w:sz w:val="18"/>
                <w:szCs w:val="18"/>
                <w:u w:val="single"/>
              </w:rPr>
              <w:t>—</w:t>
            </w:r>
          </w:p>
        </w:tc>
        <w:tc>
          <w:tcPr>
            <w:tcW w:w="571" w:type="pct"/>
            <w:tcBorders>
              <w:top w:val="single" w:sz="2" w:space="0" w:color="auto"/>
              <w:left w:val="single" w:sz="2" w:space="0" w:color="auto"/>
              <w:bottom w:val="single" w:sz="2" w:space="0" w:color="auto"/>
              <w:right w:val="single" w:sz="2" w:space="0" w:color="auto"/>
            </w:tcBorders>
            <w:vAlign w:val="center"/>
          </w:tcPr>
          <w:p w14:paraId="6D263ABA" w14:textId="77777777" w:rsidR="00140B7C" w:rsidRPr="00EC4EC4" w:rsidRDefault="00140B7C" w:rsidP="00BC1087">
            <w:pPr>
              <w:widowControl w:val="0"/>
              <w:kinsoku w:val="0"/>
              <w:spacing w:after="0" w:line="240" w:lineRule="auto"/>
              <w:jc w:val="center"/>
              <w:rPr>
                <w:rFonts w:eastAsia="Times New Roman" w:cs="Times New Roman"/>
                <w:sz w:val="18"/>
                <w:szCs w:val="18"/>
                <w:u w:val="single"/>
              </w:rPr>
            </w:pPr>
            <w:r w:rsidRPr="00EC4EC4">
              <w:rPr>
                <w:rFonts w:eastAsia="Times New Roman" w:cs="Times New Roman"/>
                <w:sz w:val="18"/>
                <w:szCs w:val="18"/>
                <w:u w:val="single"/>
              </w:rPr>
              <w:t>—</w:t>
            </w:r>
          </w:p>
        </w:tc>
        <w:tc>
          <w:tcPr>
            <w:tcW w:w="703" w:type="pct"/>
            <w:tcBorders>
              <w:top w:val="single" w:sz="2" w:space="0" w:color="auto"/>
              <w:left w:val="single" w:sz="2" w:space="0" w:color="auto"/>
              <w:bottom w:val="single" w:sz="2" w:space="0" w:color="auto"/>
              <w:right w:val="single" w:sz="2" w:space="0" w:color="auto"/>
            </w:tcBorders>
            <w:vAlign w:val="center"/>
          </w:tcPr>
          <w:p w14:paraId="6EA7DF56"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Sec. 6.1.2, 10.8</w:t>
            </w:r>
          </w:p>
        </w:tc>
        <w:tc>
          <w:tcPr>
            <w:tcW w:w="677" w:type="pct"/>
            <w:tcBorders>
              <w:top w:val="single" w:sz="2" w:space="0" w:color="auto"/>
              <w:left w:val="single" w:sz="2" w:space="0" w:color="auto"/>
              <w:bottom w:val="single" w:sz="2" w:space="0" w:color="auto"/>
              <w:right w:val="single" w:sz="2" w:space="0" w:color="auto"/>
            </w:tcBorders>
            <w:vAlign w:val="center"/>
          </w:tcPr>
          <w:p w14:paraId="392FEA7E"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pacing w:val="2"/>
                <w:sz w:val="18"/>
                <w:szCs w:val="18"/>
              </w:rPr>
              <w:t>Art. 2.4, 3.4</w:t>
            </w:r>
          </w:p>
        </w:tc>
      </w:tr>
      <w:tr w:rsidR="00140B7C" w:rsidRPr="00EC4EC4" w14:paraId="29E50834" w14:textId="77777777" w:rsidTr="00BC1087">
        <w:trPr>
          <w:trHeight w:hRule="exact" w:val="506"/>
          <w:jc w:val="center"/>
        </w:trPr>
        <w:tc>
          <w:tcPr>
            <w:tcW w:w="1763" w:type="pct"/>
            <w:tcBorders>
              <w:top w:val="single" w:sz="2" w:space="0" w:color="auto"/>
              <w:left w:val="single" w:sz="2" w:space="0" w:color="auto"/>
              <w:bottom w:val="single" w:sz="2" w:space="0" w:color="auto"/>
              <w:right w:val="single" w:sz="2" w:space="0" w:color="auto"/>
            </w:tcBorders>
            <w:vAlign w:val="center"/>
          </w:tcPr>
          <w:p w14:paraId="057DDC5A" w14:textId="77777777" w:rsidR="00140B7C" w:rsidRPr="00EC4EC4" w:rsidRDefault="00140B7C" w:rsidP="00BC1087">
            <w:pPr>
              <w:widowControl w:val="0"/>
              <w:tabs>
                <w:tab w:val="left" w:pos="-2379"/>
              </w:tabs>
              <w:kinsoku w:val="0"/>
              <w:spacing w:after="0" w:line="240" w:lineRule="auto"/>
              <w:ind w:left="1041" w:right="222" w:hanging="540"/>
              <w:rPr>
                <w:rFonts w:eastAsia="Times New Roman" w:cs="Times New Roman"/>
                <w:spacing w:val="4"/>
                <w:sz w:val="18"/>
                <w:szCs w:val="18"/>
              </w:rPr>
            </w:pPr>
            <w:r w:rsidRPr="00EC4EC4">
              <w:rPr>
                <w:rFonts w:eastAsia="Times New Roman" w:cs="Times New Roman"/>
                <w:spacing w:val="-2"/>
                <w:sz w:val="18"/>
                <w:szCs w:val="18"/>
              </w:rPr>
              <w:t>c.</w:t>
            </w:r>
            <w:r w:rsidRPr="00EC4EC4">
              <w:rPr>
                <w:rFonts w:eastAsia="Times New Roman" w:cs="Times New Roman"/>
                <w:spacing w:val="-2"/>
                <w:sz w:val="18"/>
                <w:szCs w:val="18"/>
              </w:rPr>
              <w:tab/>
              <w:t xml:space="preserve">Placement of masonry units and </w:t>
            </w:r>
            <w:r w:rsidRPr="00EC4EC4">
              <w:rPr>
                <w:rFonts w:eastAsia="Times New Roman" w:cs="Times New Roman"/>
                <w:spacing w:val="4"/>
                <w:sz w:val="18"/>
                <w:szCs w:val="18"/>
              </w:rPr>
              <w:t>construction of mortar joints.</w:t>
            </w:r>
          </w:p>
        </w:tc>
        <w:tc>
          <w:tcPr>
            <w:tcW w:w="670" w:type="pct"/>
            <w:tcBorders>
              <w:top w:val="single" w:sz="2" w:space="0" w:color="auto"/>
              <w:left w:val="single" w:sz="2" w:space="0" w:color="auto"/>
              <w:bottom w:val="single" w:sz="2" w:space="0" w:color="auto"/>
              <w:right w:val="single" w:sz="2" w:space="0" w:color="auto"/>
            </w:tcBorders>
            <w:vAlign w:val="center"/>
          </w:tcPr>
          <w:p w14:paraId="487B20AB"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36A10DE6"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571" w:type="pct"/>
            <w:tcBorders>
              <w:top w:val="single" w:sz="2" w:space="0" w:color="auto"/>
              <w:left w:val="single" w:sz="2" w:space="0" w:color="auto"/>
              <w:bottom w:val="single" w:sz="2" w:space="0" w:color="auto"/>
              <w:right w:val="single" w:sz="2" w:space="0" w:color="auto"/>
            </w:tcBorders>
            <w:vAlign w:val="center"/>
          </w:tcPr>
          <w:p w14:paraId="5B9EF8DC"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7CBDF49F"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1E5E7CC3"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3.3 B</w:t>
            </w:r>
          </w:p>
        </w:tc>
      </w:tr>
      <w:tr w:rsidR="00140B7C" w:rsidRPr="00EC4EC4" w14:paraId="3CD4BEC0" w14:textId="77777777" w:rsidTr="00BC1087">
        <w:trPr>
          <w:trHeight w:hRule="exact" w:val="767"/>
          <w:jc w:val="center"/>
        </w:trPr>
        <w:tc>
          <w:tcPr>
            <w:tcW w:w="1763" w:type="pct"/>
            <w:tcBorders>
              <w:top w:val="single" w:sz="2" w:space="0" w:color="auto"/>
              <w:left w:val="single" w:sz="2" w:space="0" w:color="auto"/>
              <w:bottom w:val="single" w:sz="2" w:space="0" w:color="auto"/>
              <w:right w:val="single" w:sz="2" w:space="0" w:color="auto"/>
            </w:tcBorders>
            <w:vAlign w:val="center"/>
          </w:tcPr>
          <w:p w14:paraId="527871AE" w14:textId="77777777" w:rsidR="00140B7C" w:rsidRPr="00EC4EC4" w:rsidRDefault="00140B7C" w:rsidP="00BC1087">
            <w:pPr>
              <w:widowControl w:val="0"/>
              <w:tabs>
                <w:tab w:val="left" w:pos="-2379"/>
              </w:tabs>
              <w:kinsoku w:val="0"/>
              <w:spacing w:after="0" w:line="240" w:lineRule="auto"/>
              <w:ind w:left="1041" w:right="222" w:hanging="540"/>
              <w:rPr>
                <w:rFonts w:eastAsia="Times New Roman" w:cs="Times New Roman"/>
                <w:spacing w:val="2"/>
                <w:sz w:val="18"/>
                <w:szCs w:val="18"/>
              </w:rPr>
            </w:pPr>
            <w:r w:rsidRPr="00EC4EC4">
              <w:rPr>
                <w:rFonts w:eastAsia="Times New Roman" w:cs="Times New Roman"/>
                <w:sz w:val="18"/>
                <w:szCs w:val="18"/>
              </w:rPr>
              <w:t>d.</w:t>
            </w:r>
            <w:r w:rsidRPr="00EC4EC4">
              <w:rPr>
                <w:rFonts w:eastAsia="Times New Roman" w:cs="Times New Roman"/>
                <w:sz w:val="18"/>
                <w:szCs w:val="18"/>
              </w:rPr>
              <w:tab/>
              <w:t xml:space="preserve">Placement of reinforcement, connectors </w:t>
            </w:r>
            <w:r w:rsidRPr="00EC4EC4">
              <w:rPr>
                <w:rFonts w:eastAsia="Times New Roman" w:cs="Times New Roman"/>
                <w:spacing w:val="7"/>
                <w:sz w:val="18"/>
                <w:szCs w:val="18"/>
              </w:rPr>
              <w:t xml:space="preserve">and prestressing tendons and </w:t>
            </w:r>
            <w:r w:rsidRPr="00EC4EC4">
              <w:rPr>
                <w:rFonts w:eastAsia="Times New Roman" w:cs="Times New Roman"/>
                <w:spacing w:val="2"/>
                <w:sz w:val="18"/>
                <w:szCs w:val="18"/>
              </w:rPr>
              <w:t>anchorages.</w:t>
            </w:r>
          </w:p>
        </w:tc>
        <w:tc>
          <w:tcPr>
            <w:tcW w:w="670" w:type="pct"/>
            <w:tcBorders>
              <w:top w:val="single" w:sz="2" w:space="0" w:color="auto"/>
              <w:left w:val="single" w:sz="2" w:space="0" w:color="auto"/>
              <w:bottom w:val="single" w:sz="2" w:space="0" w:color="auto"/>
              <w:right w:val="single" w:sz="2" w:space="0" w:color="auto"/>
            </w:tcBorders>
            <w:vAlign w:val="center"/>
          </w:tcPr>
          <w:p w14:paraId="71AE024A"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16" w:type="pct"/>
            <w:tcBorders>
              <w:top w:val="single" w:sz="2" w:space="0" w:color="auto"/>
              <w:left w:val="single" w:sz="2" w:space="0" w:color="auto"/>
              <w:bottom w:val="single" w:sz="2" w:space="0" w:color="auto"/>
              <w:right w:val="single" w:sz="2" w:space="0" w:color="auto"/>
            </w:tcBorders>
            <w:vAlign w:val="center"/>
          </w:tcPr>
          <w:p w14:paraId="3B9AC82B"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571" w:type="pct"/>
            <w:tcBorders>
              <w:top w:val="single" w:sz="2" w:space="0" w:color="auto"/>
              <w:left w:val="single" w:sz="2" w:space="0" w:color="auto"/>
              <w:bottom w:val="single" w:sz="2" w:space="0" w:color="auto"/>
              <w:right w:val="single" w:sz="2" w:space="0" w:color="auto"/>
            </w:tcBorders>
            <w:vAlign w:val="center"/>
          </w:tcPr>
          <w:p w14:paraId="3BFDFA0E"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196EBC29"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Sec. 6.1.2, 10.8</w:t>
            </w:r>
          </w:p>
        </w:tc>
        <w:tc>
          <w:tcPr>
            <w:tcW w:w="677" w:type="pct"/>
            <w:tcBorders>
              <w:top w:val="single" w:sz="2" w:space="0" w:color="auto"/>
              <w:left w:val="single" w:sz="2" w:space="0" w:color="auto"/>
              <w:bottom w:val="single" w:sz="2" w:space="0" w:color="auto"/>
              <w:right w:val="single" w:sz="2" w:space="0" w:color="auto"/>
            </w:tcBorders>
            <w:vAlign w:val="center"/>
          </w:tcPr>
          <w:p w14:paraId="483538E7" w14:textId="77777777" w:rsidR="00140B7C" w:rsidRPr="00EC4EC4" w:rsidRDefault="00140B7C" w:rsidP="00BC1087">
            <w:pPr>
              <w:widowControl w:val="0"/>
              <w:kinsoku w:val="0"/>
              <w:spacing w:after="0" w:line="240" w:lineRule="auto"/>
              <w:jc w:val="center"/>
              <w:rPr>
                <w:rFonts w:eastAsia="Times New Roman" w:cs="Times New Roman"/>
                <w:spacing w:val="2"/>
                <w:sz w:val="18"/>
                <w:szCs w:val="18"/>
              </w:rPr>
            </w:pPr>
            <w:r w:rsidRPr="00EC4EC4">
              <w:rPr>
                <w:rFonts w:eastAsia="Times New Roman" w:cs="Times New Roman"/>
                <w:spacing w:val="2"/>
                <w:sz w:val="18"/>
                <w:szCs w:val="18"/>
              </w:rPr>
              <w:t>Art. 3.4, 3.6 A</w:t>
            </w:r>
          </w:p>
        </w:tc>
      </w:tr>
      <w:tr w:rsidR="00140B7C" w:rsidRPr="00EC4EC4" w14:paraId="679BC0C6" w14:textId="77777777" w:rsidTr="00BC1087">
        <w:trPr>
          <w:trHeight w:hRule="exact" w:val="515"/>
          <w:jc w:val="center"/>
        </w:trPr>
        <w:tc>
          <w:tcPr>
            <w:tcW w:w="1763" w:type="pct"/>
            <w:tcBorders>
              <w:top w:val="single" w:sz="2" w:space="0" w:color="auto"/>
              <w:left w:val="single" w:sz="2" w:space="0" w:color="auto"/>
              <w:bottom w:val="single" w:sz="2" w:space="0" w:color="auto"/>
              <w:right w:val="single" w:sz="2" w:space="0" w:color="auto"/>
            </w:tcBorders>
            <w:vAlign w:val="center"/>
          </w:tcPr>
          <w:p w14:paraId="48A69481" w14:textId="77777777" w:rsidR="00140B7C" w:rsidRPr="00EC4EC4" w:rsidRDefault="00140B7C" w:rsidP="00BC1087">
            <w:pPr>
              <w:widowControl w:val="0"/>
              <w:kinsoku w:val="0"/>
              <w:spacing w:after="0" w:line="240" w:lineRule="auto"/>
              <w:ind w:left="1041" w:right="222" w:hanging="540"/>
              <w:rPr>
                <w:rFonts w:eastAsia="Times New Roman" w:cs="Times New Roman"/>
                <w:spacing w:val="10"/>
                <w:sz w:val="18"/>
                <w:szCs w:val="18"/>
              </w:rPr>
            </w:pPr>
            <w:r w:rsidRPr="00EC4EC4">
              <w:rPr>
                <w:rFonts w:eastAsia="Times New Roman" w:cs="Times New Roman"/>
                <w:spacing w:val="10"/>
                <w:sz w:val="18"/>
                <w:szCs w:val="18"/>
              </w:rPr>
              <w:t>e.</w:t>
            </w:r>
            <w:r w:rsidRPr="00EC4EC4">
              <w:rPr>
                <w:rFonts w:eastAsia="Times New Roman" w:cs="Times New Roman"/>
                <w:spacing w:val="10"/>
                <w:sz w:val="18"/>
                <w:szCs w:val="18"/>
              </w:rPr>
              <w:tab/>
              <w:t>Grout space prior to grouting.</w:t>
            </w:r>
          </w:p>
        </w:tc>
        <w:tc>
          <w:tcPr>
            <w:tcW w:w="670" w:type="pct"/>
            <w:tcBorders>
              <w:top w:val="single" w:sz="2" w:space="0" w:color="auto"/>
              <w:left w:val="single" w:sz="2" w:space="0" w:color="auto"/>
              <w:bottom w:val="single" w:sz="2" w:space="0" w:color="auto"/>
              <w:right w:val="single" w:sz="2" w:space="0" w:color="auto"/>
            </w:tcBorders>
            <w:vAlign w:val="center"/>
          </w:tcPr>
          <w:p w14:paraId="399C010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30DFBC5D"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571" w:type="pct"/>
            <w:tcBorders>
              <w:top w:val="single" w:sz="2" w:space="0" w:color="auto"/>
              <w:left w:val="single" w:sz="2" w:space="0" w:color="auto"/>
              <w:bottom w:val="single" w:sz="2" w:space="0" w:color="auto"/>
              <w:right w:val="single" w:sz="2" w:space="0" w:color="auto"/>
            </w:tcBorders>
            <w:vAlign w:val="center"/>
          </w:tcPr>
          <w:p w14:paraId="124A0152"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3C216FD8"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69CC8F20"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3.2 D</w:t>
            </w:r>
          </w:p>
        </w:tc>
      </w:tr>
      <w:tr w:rsidR="00140B7C" w:rsidRPr="00EC4EC4" w14:paraId="6731D0CC" w14:textId="77777777" w:rsidTr="00BC1087">
        <w:trPr>
          <w:trHeight w:hRule="exact" w:val="812"/>
          <w:jc w:val="center"/>
        </w:trPr>
        <w:tc>
          <w:tcPr>
            <w:tcW w:w="1763" w:type="pct"/>
            <w:tcBorders>
              <w:top w:val="single" w:sz="2" w:space="0" w:color="auto"/>
              <w:left w:val="single" w:sz="2" w:space="0" w:color="auto"/>
              <w:bottom w:val="single" w:sz="2" w:space="0" w:color="auto"/>
              <w:right w:val="single" w:sz="2" w:space="0" w:color="auto"/>
            </w:tcBorders>
            <w:vAlign w:val="center"/>
          </w:tcPr>
          <w:p w14:paraId="5D3F5953" w14:textId="77777777" w:rsidR="00140B7C" w:rsidRPr="00EC4EC4" w:rsidRDefault="00140B7C" w:rsidP="00BC1087">
            <w:pPr>
              <w:widowControl w:val="0"/>
              <w:tabs>
                <w:tab w:val="left" w:pos="3201"/>
              </w:tabs>
              <w:kinsoku w:val="0"/>
              <w:spacing w:after="0" w:line="240" w:lineRule="auto"/>
              <w:ind w:left="1041" w:right="222" w:hanging="540"/>
              <w:rPr>
                <w:rFonts w:eastAsia="Times New Roman" w:cs="Times New Roman"/>
                <w:spacing w:val="12"/>
                <w:sz w:val="18"/>
                <w:szCs w:val="18"/>
              </w:rPr>
            </w:pPr>
            <w:r w:rsidRPr="00EC4EC4">
              <w:rPr>
                <w:rFonts w:eastAsia="Times New Roman" w:cs="Times New Roman"/>
                <w:spacing w:val="12"/>
                <w:sz w:val="18"/>
                <w:szCs w:val="18"/>
              </w:rPr>
              <w:t>f.</w:t>
            </w:r>
            <w:r w:rsidRPr="00EC4EC4">
              <w:rPr>
                <w:rFonts w:eastAsia="Times New Roman" w:cs="Times New Roman"/>
                <w:spacing w:val="12"/>
                <w:sz w:val="18"/>
                <w:szCs w:val="18"/>
              </w:rPr>
              <w:tab/>
              <w:t>Placement of grout and prestressing grout for bonded tendons.</w:t>
            </w:r>
          </w:p>
        </w:tc>
        <w:tc>
          <w:tcPr>
            <w:tcW w:w="670" w:type="pct"/>
            <w:tcBorders>
              <w:top w:val="single" w:sz="2" w:space="0" w:color="auto"/>
              <w:left w:val="single" w:sz="2" w:space="0" w:color="auto"/>
              <w:bottom w:val="single" w:sz="2" w:space="0" w:color="auto"/>
              <w:right w:val="single" w:sz="2" w:space="0" w:color="auto"/>
            </w:tcBorders>
            <w:vAlign w:val="center"/>
          </w:tcPr>
          <w:p w14:paraId="6252A67C"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17C9BB0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571" w:type="pct"/>
            <w:tcBorders>
              <w:top w:val="single" w:sz="2" w:space="0" w:color="auto"/>
              <w:left w:val="single" w:sz="2" w:space="0" w:color="auto"/>
              <w:bottom w:val="single" w:sz="2" w:space="0" w:color="auto"/>
              <w:right w:val="single" w:sz="2" w:space="0" w:color="auto"/>
            </w:tcBorders>
            <w:vAlign w:val="center"/>
          </w:tcPr>
          <w:p w14:paraId="3118455F"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0B2A1AD7"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69546EF6"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3.5</w:t>
            </w:r>
          </w:p>
        </w:tc>
      </w:tr>
      <w:tr w:rsidR="00140B7C" w:rsidRPr="00EC4EC4" w14:paraId="030C983B" w14:textId="77777777" w:rsidTr="00BC1087">
        <w:trPr>
          <w:trHeight w:hRule="exact" w:val="497"/>
          <w:jc w:val="center"/>
        </w:trPr>
        <w:tc>
          <w:tcPr>
            <w:tcW w:w="1763" w:type="pct"/>
            <w:tcBorders>
              <w:top w:val="single" w:sz="2" w:space="0" w:color="auto"/>
              <w:left w:val="single" w:sz="2" w:space="0" w:color="auto"/>
              <w:bottom w:val="single" w:sz="2" w:space="0" w:color="auto"/>
              <w:right w:val="single" w:sz="2" w:space="0" w:color="auto"/>
            </w:tcBorders>
            <w:vAlign w:val="center"/>
          </w:tcPr>
          <w:p w14:paraId="7D23FE7E" w14:textId="77777777" w:rsidR="00140B7C" w:rsidRPr="00EC4EC4" w:rsidRDefault="00140B7C" w:rsidP="00BC1087">
            <w:pPr>
              <w:widowControl w:val="0"/>
              <w:kinsoku w:val="0"/>
              <w:spacing w:after="0" w:line="240" w:lineRule="auto"/>
              <w:ind w:left="1041" w:right="222" w:hanging="540"/>
              <w:rPr>
                <w:rFonts w:eastAsia="Times New Roman" w:cs="Times New Roman"/>
                <w:spacing w:val="8"/>
                <w:sz w:val="18"/>
                <w:szCs w:val="18"/>
              </w:rPr>
            </w:pPr>
            <w:r w:rsidRPr="00EC4EC4">
              <w:rPr>
                <w:rFonts w:eastAsia="Times New Roman" w:cs="Times New Roman"/>
                <w:spacing w:val="8"/>
                <w:sz w:val="18"/>
                <w:szCs w:val="18"/>
              </w:rPr>
              <w:t>g.</w:t>
            </w:r>
            <w:r w:rsidRPr="00EC4EC4">
              <w:rPr>
                <w:rFonts w:eastAsia="Times New Roman" w:cs="Times New Roman"/>
                <w:spacing w:val="8"/>
                <w:sz w:val="18"/>
                <w:szCs w:val="18"/>
              </w:rPr>
              <w:tab/>
              <w:t>Placement of prestressing grout.</w:t>
            </w:r>
          </w:p>
        </w:tc>
        <w:tc>
          <w:tcPr>
            <w:tcW w:w="670" w:type="pct"/>
            <w:tcBorders>
              <w:top w:val="single" w:sz="2" w:space="0" w:color="auto"/>
              <w:left w:val="single" w:sz="2" w:space="0" w:color="auto"/>
              <w:bottom w:val="single" w:sz="2" w:space="0" w:color="auto"/>
              <w:right w:val="single" w:sz="2" w:space="0" w:color="auto"/>
            </w:tcBorders>
            <w:vAlign w:val="center"/>
          </w:tcPr>
          <w:p w14:paraId="68E7268D"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06BED5F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571" w:type="pct"/>
            <w:tcBorders>
              <w:top w:val="single" w:sz="2" w:space="0" w:color="auto"/>
              <w:left w:val="single" w:sz="2" w:space="0" w:color="auto"/>
              <w:bottom w:val="single" w:sz="2" w:space="0" w:color="auto"/>
              <w:right w:val="single" w:sz="2" w:space="0" w:color="auto"/>
            </w:tcBorders>
            <w:vAlign w:val="center"/>
          </w:tcPr>
          <w:p w14:paraId="6222A63D"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66505FA1"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34718BCA"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3.6 C</w:t>
            </w:r>
          </w:p>
        </w:tc>
      </w:tr>
      <w:tr w:rsidR="00140B7C" w:rsidRPr="00EC4EC4" w14:paraId="3A48FB84" w14:textId="77777777" w:rsidTr="00BC1087">
        <w:trPr>
          <w:trHeight w:hRule="exact" w:val="533"/>
          <w:jc w:val="center"/>
        </w:trPr>
        <w:tc>
          <w:tcPr>
            <w:tcW w:w="1763" w:type="pct"/>
            <w:tcBorders>
              <w:top w:val="single" w:sz="2" w:space="0" w:color="auto"/>
              <w:left w:val="single" w:sz="2" w:space="0" w:color="auto"/>
              <w:bottom w:val="single" w:sz="2" w:space="0" w:color="auto"/>
              <w:right w:val="single" w:sz="2" w:space="0" w:color="auto"/>
            </w:tcBorders>
            <w:vAlign w:val="center"/>
          </w:tcPr>
          <w:p w14:paraId="1538CCBA" w14:textId="77777777" w:rsidR="00140B7C" w:rsidRPr="00EC4EC4" w:rsidRDefault="00140B7C" w:rsidP="00BC1087">
            <w:pPr>
              <w:widowControl w:val="0"/>
              <w:tabs>
                <w:tab w:val="left" w:pos="-2379"/>
              </w:tabs>
              <w:kinsoku w:val="0"/>
              <w:spacing w:after="0" w:line="240" w:lineRule="auto"/>
              <w:ind w:left="1041" w:right="222" w:hanging="540"/>
              <w:rPr>
                <w:rFonts w:eastAsia="Times New Roman" w:cs="Times New Roman"/>
                <w:spacing w:val="2"/>
                <w:sz w:val="18"/>
                <w:szCs w:val="18"/>
              </w:rPr>
            </w:pPr>
            <w:r w:rsidRPr="00EC4EC4">
              <w:rPr>
                <w:rFonts w:eastAsia="Times New Roman" w:cs="Times New Roman"/>
                <w:spacing w:val="2"/>
                <w:sz w:val="18"/>
                <w:szCs w:val="18"/>
              </w:rPr>
              <w:lastRenderedPageBreak/>
              <w:t>h.</w:t>
            </w:r>
            <w:r w:rsidRPr="00EC4EC4">
              <w:rPr>
                <w:rFonts w:eastAsia="Times New Roman" w:cs="Times New Roman"/>
                <w:spacing w:val="2"/>
                <w:sz w:val="18"/>
                <w:szCs w:val="18"/>
              </w:rPr>
              <w:tab/>
              <w:t>Size and location of structural elements.</w:t>
            </w:r>
          </w:p>
        </w:tc>
        <w:tc>
          <w:tcPr>
            <w:tcW w:w="670" w:type="pct"/>
            <w:tcBorders>
              <w:top w:val="single" w:sz="2" w:space="0" w:color="auto"/>
              <w:left w:val="single" w:sz="2" w:space="0" w:color="auto"/>
              <w:bottom w:val="single" w:sz="2" w:space="0" w:color="auto"/>
              <w:right w:val="single" w:sz="2" w:space="0" w:color="auto"/>
            </w:tcBorders>
            <w:vAlign w:val="center"/>
          </w:tcPr>
          <w:p w14:paraId="3F12C561"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16" w:type="pct"/>
            <w:tcBorders>
              <w:top w:val="single" w:sz="2" w:space="0" w:color="auto"/>
              <w:left w:val="single" w:sz="2" w:space="0" w:color="auto"/>
              <w:bottom w:val="single" w:sz="2" w:space="0" w:color="auto"/>
              <w:right w:val="single" w:sz="2" w:space="0" w:color="auto"/>
            </w:tcBorders>
            <w:vAlign w:val="center"/>
          </w:tcPr>
          <w:p w14:paraId="4E2AE17F"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571" w:type="pct"/>
            <w:tcBorders>
              <w:top w:val="single" w:sz="2" w:space="0" w:color="auto"/>
              <w:left w:val="single" w:sz="2" w:space="0" w:color="auto"/>
              <w:bottom w:val="single" w:sz="2" w:space="0" w:color="auto"/>
              <w:right w:val="single" w:sz="2" w:space="0" w:color="auto"/>
            </w:tcBorders>
            <w:vAlign w:val="center"/>
          </w:tcPr>
          <w:p w14:paraId="5E199502"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16765FB2"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5641EDB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3.3 F</w:t>
            </w:r>
          </w:p>
        </w:tc>
      </w:tr>
      <w:tr w:rsidR="00140B7C" w:rsidRPr="00EC4EC4" w14:paraId="03CFA691" w14:textId="77777777" w:rsidTr="00BC1087">
        <w:trPr>
          <w:trHeight w:hRule="exact" w:val="1091"/>
          <w:jc w:val="center"/>
        </w:trPr>
        <w:tc>
          <w:tcPr>
            <w:tcW w:w="1763" w:type="pct"/>
            <w:tcBorders>
              <w:top w:val="single" w:sz="2" w:space="0" w:color="auto"/>
              <w:left w:val="single" w:sz="2" w:space="0" w:color="auto"/>
              <w:bottom w:val="single" w:sz="2" w:space="0" w:color="auto"/>
              <w:right w:val="single" w:sz="2" w:space="0" w:color="auto"/>
            </w:tcBorders>
            <w:vAlign w:val="center"/>
          </w:tcPr>
          <w:p w14:paraId="1CE5CABA" w14:textId="77777777" w:rsidR="00140B7C" w:rsidRPr="00EC4EC4" w:rsidRDefault="00140B7C" w:rsidP="00BC1087">
            <w:pPr>
              <w:widowControl w:val="0"/>
              <w:tabs>
                <w:tab w:val="left" w:pos="-2379"/>
                <w:tab w:val="left" w:pos="0"/>
                <w:tab w:val="left" w:pos="3201"/>
              </w:tabs>
              <w:kinsoku w:val="0"/>
              <w:spacing w:after="0" w:line="240" w:lineRule="auto"/>
              <w:ind w:left="1041" w:right="222" w:hanging="540"/>
              <w:rPr>
                <w:rFonts w:eastAsia="Times New Roman" w:cs="Times New Roman"/>
                <w:spacing w:val="2"/>
                <w:sz w:val="18"/>
                <w:szCs w:val="18"/>
              </w:rPr>
            </w:pPr>
            <w:r w:rsidRPr="00EC4EC4">
              <w:rPr>
                <w:rFonts w:eastAsia="Times New Roman" w:cs="Times New Roman"/>
                <w:spacing w:val="6"/>
                <w:sz w:val="18"/>
                <w:szCs w:val="18"/>
              </w:rPr>
              <w:t>i.</w:t>
            </w:r>
            <w:r w:rsidRPr="00EC4EC4">
              <w:rPr>
                <w:rFonts w:eastAsia="Times New Roman" w:cs="Times New Roman"/>
                <w:spacing w:val="6"/>
                <w:sz w:val="18"/>
                <w:szCs w:val="18"/>
              </w:rPr>
              <w:tab/>
              <w:t xml:space="preserve">Type, size and location of anchors, </w:t>
            </w:r>
            <w:r w:rsidRPr="00EC4EC4">
              <w:rPr>
                <w:rFonts w:eastAsia="Times New Roman" w:cs="Times New Roman"/>
                <w:spacing w:val="-1"/>
                <w:sz w:val="18"/>
                <w:szCs w:val="18"/>
              </w:rPr>
              <w:t xml:space="preserve">including other details of anchorage of </w:t>
            </w:r>
            <w:r w:rsidRPr="00EC4EC4">
              <w:rPr>
                <w:rFonts w:eastAsia="Times New Roman" w:cs="Times New Roman"/>
                <w:spacing w:val="1"/>
                <w:sz w:val="18"/>
                <w:szCs w:val="18"/>
              </w:rPr>
              <w:t xml:space="preserve">masonry to structural members, frames </w:t>
            </w:r>
            <w:r w:rsidRPr="00EC4EC4">
              <w:rPr>
                <w:rFonts w:eastAsia="Times New Roman" w:cs="Times New Roman"/>
                <w:spacing w:val="2"/>
                <w:sz w:val="18"/>
                <w:szCs w:val="18"/>
              </w:rPr>
              <w:t>or other construction.</w:t>
            </w:r>
          </w:p>
        </w:tc>
        <w:tc>
          <w:tcPr>
            <w:tcW w:w="670" w:type="pct"/>
            <w:tcBorders>
              <w:top w:val="single" w:sz="2" w:space="0" w:color="auto"/>
              <w:left w:val="single" w:sz="2" w:space="0" w:color="auto"/>
              <w:bottom w:val="single" w:sz="2" w:space="0" w:color="auto"/>
              <w:right w:val="single" w:sz="2" w:space="0" w:color="auto"/>
            </w:tcBorders>
            <w:vAlign w:val="center"/>
          </w:tcPr>
          <w:p w14:paraId="369EF7E5"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0B98DA1F"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571" w:type="pct"/>
            <w:tcBorders>
              <w:top w:val="single" w:sz="2" w:space="0" w:color="auto"/>
              <w:left w:val="single" w:sz="2" w:space="0" w:color="auto"/>
              <w:bottom w:val="single" w:sz="2" w:space="0" w:color="auto"/>
              <w:right w:val="single" w:sz="2" w:space="0" w:color="auto"/>
            </w:tcBorders>
            <w:vAlign w:val="center"/>
          </w:tcPr>
          <w:p w14:paraId="01F48725"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1CF14C8B"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Sec. 1.2.1(e), 14.4.3</w:t>
            </w:r>
          </w:p>
        </w:tc>
        <w:tc>
          <w:tcPr>
            <w:tcW w:w="677" w:type="pct"/>
            <w:tcBorders>
              <w:top w:val="single" w:sz="2" w:space="0" w:color="auto"/>
              <w:left w:val="single" w:sz="2" w:space="0" w:color="auto"/>
              <w:bottom w:val="single" w:sz="2" w:space="0" w:color="auto"/>
              <w:right w:val="single" w:sz="2" w:space="0" w:color="auto"/>
            </w:tcBorders>
            <w:vAlign w:val="center"/>
          </w:tcPr>
          <w:p w14:paraId="7012298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r>
      <w:tr w:rsidR="00140B7C" w:rsidRPr="00EC4EC4" w14:paraId="6A1A1412" w14:textId="77777777" w:rsidTr="00BC1087">
        <w:trPr>
          <w:trHeight w:hRule="exact" w:val="704"/>
          <w:jc w:val="center"/>
        </w:trPr>
        <w:tc>
          <w:tcPr>
            <w:tcW w:w="1763" w:type="pct"/>
            <w:tcBorders>
              <w:top w:val="single" w:sz="2" w:space="0" w:color="auto"/>
              <w:left w:val="single" w:sz="2" w:space="0" w:color="auto"/>
              <w:bottom w:val="single" w:sz="2" w:space="0" w:color="auto"/>
              <w:right w:val="single" w:sz="2" w:space="0" w:color="auto"/>
            </w:tcBorders>
            <w:vAlign w:val="center"/>
          </w:tcPr>
          <w:p w14:paraId="5035B4A8" w14:textId="77777777" w:rsidR="00140B7C" w:rsidRPr="00EC4EC4" w:rsidRDefault="00140B7C" w:rsidP="00BC1087">
            <w:pPr>
              <w:widowControl w:val="0"/>
              <w:tabs>
                <w:tab w:val="left" w:pos="0"/>
                <w:tab w:val="num" w:pos="498"/>
                <w:tab w:val="left" w:pos="3201"/>
              </w:tabs>
              <w:kinsoku w:val="0"/>
              <w:spacing w:after="0" w:line="240" w:lineRule="auto"/>
              <w:ind w:left="1041" w:right="222" w:hanging="540"/>
              <w:rPr>
                <w:rFonts w:eastAsia="Times New Roman" w:cs="Times New Roman"/>
                <w:spacing w:val="8"/>
                <w:sz w:val="18"/>
                <w:szCs w:val="18"/>
              </w:rPr>
            </w:pPr>
            <w:r w:rsidRPr="00EC4EC4">
              <w:rPr>
                <w:rFonts w:eastAsia="Times New Roman" w:cs="Times New Roman"/>
                <w:spacing w:val="8"/>
                <w:sz w:val="18"/>
                <w:szCs w:val="18"/>
              </w:rPr>
              <w:t>j.</w:t>
            </w:r>
            <w:r w:rsidRPr="00EC4EC4">
              <w:rPr>
                <w:rFonts w:eastAsia="Times New Roman" w:cs="Times New Roman"/>
                <w:spacing w:val="8"/>
                <w:sz w:val="18"/>
                <w:szCs w:val="18"/>
              </w:rPr>
              <w:tab/>
              <w:t>Welding of reinforcement.</w:t>
            </w:r>
          </w:p>
        </w:tc>
        <w:tc>
          <w:tcPr>
            <w:tcW w:w="670" w:type="pct"/>
            <w:tcBorders>
              <w:top w:val="single" w:sz="2" w:space="0" w:color="auto"/>
              <w:left w:val="single" w:sz="2" w:space="0" w:color="auto"/>
              <w:bottom w:val="single" w:sz="2" w:space="0" w:color="auto"/>
              <w:right w:val="single" w:sz="2" w:space="0" w:color="auto"/>
            </w:tcBorders>
            <w:vAlign w:val="center"/>
          </w:tcPr>
          <w:p w14:paraId="376082C6"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0C85B56F"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571" w:type="pct"/>
            <w:tcBorders>
              <w:top w:val="single" w:sz="2" w:space="0" w:color="auto"/>
              <w:left w:val="single" w:sz="2" w:space="0" w:color="auto"/>
              <w:bottom w:val="single" w:sz="2" w:space="0" w:color="auto"/>
              <w:right w:val="single" w:sz="2" w:space="0" w:color="auto"/>
            </w:tcBorders>
            <w:vAlign w:val="center"/>
          </w:tcPr>
          <w:p w14:paraId="008E0C17"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64727AA3" w14:textId="77777777" w:rsidR="00140B7C" w:rsidRPr="00EC4EC4" w:rsidRDefault="00140B7C" w:rsidP="00BC1087">
            <w:pPr>
              <w:widowControl w:val="0"/>
              <w:kinsoku w:val="0"/>
              <w:spacing w:after="0" w:line="240" w:lineRule="auto"/>
              <w:jc w:val="center"/>
              <w:rPr>
                <w:rFonts w:eastAsia="Times New Roman" w:cs="Times New Roman"/>
                <w:spacing w:val="2"/>
                <w:sz w:val="18"/>
                <w:szCs w:val="18"/>
              </w:rPr>
            </w:pPr>
            <w:r w:rsidRPr="00EC4EC4">
              <w:rPr>
                <w:rFonts w:eastAsia="Times New Roman" w:cs="Times New Roman"/>
                <w:spacing w:val="2"/>
                <w:sz w:val="18"/>
                <w:szCs w:val="18"/>
              </w:rPr>
              <w:t>Sec. 1.2.1(g), 6.1.6.1.2, 6.1.7.3, 13.7</w:t>
            </w:r>
          </w:p>
        </w:tc>
        <w:tc>
          <w:tcPr>
            <w:tcW w:w="677" w:type="pct"/>
            <w:tcBorders>
              <w:top w:val="single" w:sz="2" w:space="0" w:color="auto"/>
              <w:left w:val="single" w:sz="2" w:space="0" w:color="auto"/>
              <w:bottom w:val="single" w:sz="2" w:space="0" w:color="auto"/>
              <w:right w:val="single" w:sz="2" w:space="0" w:color="auto"/>
            </w:tcBorders>
            <w:vAlign w:val="center"/>
          </w:tcPr>
          <w:p w14:paraId="16D7A678"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r>
      <w:tr w:rsidR="00140B7C" w:rsidRPr="00EC4EC4" w14:paraId="01F6F448" w14:textId="77777777" w:rsidTr="00BC1087">
        <w:trPr>
          <w:trHeight w:hRule="exact" w:val="1127"/>
          <w:jc w:val="center"/>
        </w:trPr>
        <w:tc>
          <w:tcPr>
            <w:tcW w:w="1763" w:type="pct"/>
            <w:tcBorders>
              <w:top w:val="single" w:sz="2" w:space="0" w:color="auto"/>
              <w:left w:val="single" w:sz="2" w:space="0" w:color="auto"/>
              <w:bottom w:val="single" w:sz="2" w:space="0" w:color="auto"/>
              <w:right w:val="single" w:sz="2" w:space="0" w:color="auto"/>
            </w:tcBorders>
            <w:vAlign w:val="center"/>
          </w:tcPr>
          <w:p w14:paraId="0580E583" w14:textId="77777777" w:rsidR="00140B7C" w:rsidRPr="00EC4EC4" w:rsidRDefault="00140B7C" w:rsidP="00BC1087">
            <w:pPr>
              <w:widowControl w:val="0"/>
              <w:kinsoku w:val="0"/>
              <w:spacing w:after="0" w:line="240" w:lineRule="auto"/>
              <w:ind w:left="1041" w:right="222" w:hanging="540"/>
              <w:rPr>
                <w:rFonts w:eastAsia="Times New Roman" w:cs="Times New Roman"/>
                <w:spacing w:val="4"/>
                <w:sz w:val="18"/>
                <w:szCs w:val="18"/>
              </w:rPr>
            </w:pPr>
            <w:r w:rsidRPr="00EC4EC4">
              <w:rPr>
                <w:rFonts w:eastAsia="Times New Roman" w:cs="Times New Roman"/>
                <w:spacing w:val="1"/>
                <w:sz w:val="18"/>
                <w:szCs w:val="18"/>
              </w:rPr>
              <w:t>k.</w:t>
            </w:r>
            <w:r w:rsidRPr="00EC4EC4">
              <w:rPr>
                <w:rFonts w:eastAsia="Times New Roman" w:cs="Times New Roman"/>
                <w:spacing w:val="1"/>
                <w:sz w:val="18"/>
                <w:szCs w:val="18"/>
              </w:rPr>
              <w:tab/>
              <w:t xml:space="preserve">Preparation, construction and protection </w:t>
            </w:r>
            <w:r w:rsidRPr="00EC4EC4">
              <w:rPr>
                <w:rFonts w:eastAsia="Times New Roman" w:cs="Times New Roman"/>
                <w:spacing w:val="4"/>
                <w:sz w:val="18"/>
                <w:szCs w:val="18"/>
              </w:rPr>
              <w:t xml:space="preserve">of masonry during cold weather </w:t>
            </w:r>
            <w:r w:rsidRPr="00EC4EC4">
              <w:rPr>
                <w:rFonts w:eastAsia="Times New Roman" w:cs="Times New Roman"/>
                <w:spacing w:val="9"/>
                <w:sz w:val="18"/>
                <w:szCs w:val="18"/>
              </w:rPr>
              <w:t xml:space="preserve">(temperature below 40°F) or hot </w:t>
            </w:r>
            <w:r w:rsidRPr="00EC4EC4">
              <w:rPr>
                <w:rFonts w:eastAsia="Times New Roman" w:cs="Times New Roman"/>
                <w:spacing w:val="4"/>
                <w:sz w:val="18"/>
                <w:szCs w:val="18"/>
              </w:rPr>
              <w:t>weather (temperature above 90°F).</w:t>
            </w:r>
          </w:p>
        </w:tc>
        <w:tc>
          <w:tcPr>
            <w:tcW w:w="670" w:type="pct"/>
            <w:tcBorders>
              <w:top w:val="single" w:sz="2" w:space="0" w:color="auto"/>
              <w:left w:val="single" w:sz="2" w:space="0" w:color="auto"/>
              <w:bottom w:val="single" w:sz="2" w:space="0" w:color="auto"/>
              <w:right w:val="single" w:sz="2" w:space="0" w:color="auto"/>
            </w:tcBorders>
            <w:vAlign w:val="center"/>
          </w:tcPr>
          <w:p w14:paraId="3CF18671"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16" w:type="pct"/>
            <w:tcBorders>
              <w:top w:val="single" w:sz="2" w:space="0" w:color="auto"/>
              <w:left w:val="single" w:sz="2" w:space="0" w:color="auto"/>
              <w:bottom w:val="single" w:sz="2" w:space="0" w:color="auto"/>
              <w:right w:val="single" w:sz="2" w:space="0" w:color="auto"/>
            </w:tcBorders>
            <w:vAlign w:val="center"/>
          </w:tcPr>
          <w:p w14:paraId="18BF6B3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571" w:type="pct"/>
            <w:tcBorders>
              <w:top w:val="single" w:sz="2" w:space="0" w:color="auto"/>
              <w:left w:val="single" w:sz="2" w:space="0" w:color="auto"/>
              <w:bottom w:val="single" w:sz="2" w:space="0" w:color="auto"/>
              <w:right w:val="single" w:sz="2" w:space="0" w:color="auto"/>
            </w:tcBorders>
            <w:vAlign w:val="center"/>
          </w:tcPr>
          <w:p w14:paraId="02806EAE"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pacing w:val="2"/>
                <w:sz w:val="18"/>
                <w:szCs w:val="18"/>
              </w:rPr>
              <w:t>Sec. 2104.2,</w:t>
            </w:r>
            <w:r w:rsidRPr="00EC4EC4">
              <w:rPr>
                <w:rFonts w:eastAsia="Times New Roman" w:cs="Times New Roman"/>
                <w:spacing w:val="2"/>
                <w:sz w:val="18"/>
                <w:szCs w:val="18"/>
              </w:rPr>
              <w:br/>
            </w:r>
            <w:r w:rsidRPr="00EC4EC4">
              <w:rPr>
                <w:rFonts w:eastAsia="Times New Roman" w:cs="Times New Roman"/>
                <w:sz w:val="18"/>
                <w:szCs w:val="18"/>
              </w:rPr>
              <w:t>2104.3</w:t>
            </w:r>
          </w:p>
        </w:tc>
        <w:tc>
          <w:tcPr>
            <w:tcW w:w="703" w:type="pct"/>
            <w:tcBorders>
              <w:top w:val="single" w:sz="2" w:space="0" w:color="auto"/>
              <w:left w:val="single" w:sz="2" w:space="0" w:color="auto"/>
              <w:bottom w:val="single" w:sz="2" w:space="0" w:color="auto"/>
              <w:right w:val="single" w:sz="2" w:space="0" w:color="auto"/>
            </w:tcBorders>
            <w:vAlign w:val="center"/>
          </w:tcPr>
          <w:p w14:paraId="1422B2F3"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1237CE6D" w14:textId="77777777" w:rsidR="00140B7C" w:rsidRPr="00EC4EC4" w:rsidRDefault="00140B7C" w:rsidP="00BC1087">
            <w:pPr>
              <w:widowControl w:val="0"/>
              <w:kinsoku w:val="0"/>
              <w:spacing w:after="0" w:line="240" w:lineRule="auto"/>
              <w:jc w:val="center"/>
              <w:rPr>
                <w:rFonts w:eastAsia="Times New Roman" w:cs="Times New Roman"/>
                <w:spacing w:val="2"/>
                <w:sz w:val="18"/>
                <w:szCs w:val="18"/>
              </w:rPr>
            </w:pPr>
            <w:r w:rsidRPr="00EC4EC4">
              <w:rPr>
                <w:rFonts w:eastAsia="Times New Roman" w:cs="Times New Roman"/>
                <w:spacing w:val="2"/>
                <w:sz w:val="18"/>
                <w:szCs w:val="18"/>
              </w:rPr>
              <w:t>Art. 1.8 C, 1.8 D</w:t>
            </w:r>
          </w:p>
        </w:tc>
      </w:tr>
      <w:tr w:rsidR="00140B7C" w:rsidRPr="00EC4EC4" w14:paraId="3A5E9DDB" w14:textId="77777777" w:rsidTr="00BC1087">
        <w:trPr>
          <w:trHeight w:hRule="exact" w:val="497"/>
          <w:jc w:val="center"/>
        </w:trPr>
        <w:tc>
          <w:tcPr>
            <w:tcW w:w="1763" w:type="pct"/>
            <w:tcBorders>
              <w:top w:val="single" w:sz="2" w:space="0" w:color="auto"/>
              <w:left w:val="single" w:sz="2" w:space="0" w:color="auto"/>
              <w:bottom w:val="single" w:sz="2" w:space="0" w:color="auto"/>
              <w:right w:val="single" w:sz="2" w:space="0" w:color="auto"/>
            </w:tcBorders>
            <w:vAlign w:val="center"/>
          </w:tcPr>
          <w:p w14:paraId="7A0628F9" w14:textId="77777777" w:rsidR="00140B7C" w:rsidRPr="00EC4EC4" w:rsidRDefault="00140B7C" w:rsidP="00BC1087">
            <w:pPr>
              <w:widowControl w:val="0"/>
              <w:tabs>
                <w:tab w:val="left" w:pos="-2379"/>
                <w:tab w:val="left" w:pos="0"/>
              </w:tabs>
              <w:kinsoku w:val="0"/>
              <w:spacing w:after="0" w:line="240" w:lineRule="auto"/>
              <w:ind w:left="1041" w:right="222" w:hanging="540"/>
              <w:rPr>
                <w:rFonts w:eastAsia="Times New Roman" w:cs="Times New Roman"/>
                <w:spacing w:val="2"/>
                <w:sz w:val="18"/>
                <w:szCs w:val="18"/>
              </w:rPr>
            </w:pPr>
            <w:r w:rsidRPr="00EC4EC4">
              <w:rPr>
                <w:rFonts w:eastAsia="Times New Roman" w:cs="Times New Roman"/>
                <w:spacing w:val="-3"/>
                <w:sz w:val="18"/>
                <w:szCs w:val="18"/>
              </w:rPr>
              <w:t>l.</w:t>
            </w:r>
            <w:r w:rsidRPr="00EC4EC4">
              <w:rPr>
                <w:rFonts w:eastAsia="Times New Roman" w:cs="Times New Roman"/>
                <w:spacing w:val="-3"/>
                <w:sz w:val="18"/>
                <w:szCs w:val="18"/>
              </w:rPr>
              <w:tab/>
              <w:t xml:space="preserve">Application and measurement of </w:t>
            </w:r>
            <w:r w:rsidRPr="00EC4EC4">
              <w:rPr>
                <w:rFonts w:eastAsia="Times New Roman" w:cs="Times New Roman"/>
                <w:spacing w:val="2"/>
                <w:sz w:val="18"/>
                <w:szCs w:val="18"/>
              </w:rPr>
              <w:t>prestressing force.</w:t>
            </w:r>
          </w:p>
        </w:tc>
        <w:tc>
          <w:tcPr>
            <w:tcW w:w="670" w:type="pct"/>
            <w:tcBorders>
              <w:top w:val="single" w:sz="2" w:space="0" w:color="auto"/>
              <w:left w:val="single" w:sz="2" w:space="0" w:color="auto"/>
              <w:bottom w:val="single" w:sz="2" w:space="0" w:color="auto"/>
              <w:right w:val="single" w:sz="2" w:space="0" w:color="auto"/>
            </w:tcBorders>
            <w:vAlign w:val="center"/>
          </w:tcPr>
          <w:p w14:paraId="595EC8DA"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244C2F6F"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571" w:type="pct"/>
            <w:tcBorders>
              <w:top w:val="single" w:sz="2" w:space="0" w:color="auto"/>
              <w:left w:val="single" w:sz="2" w:space="0" w:color="auto"/>
              <w:bottom w:val="single" w:sz="2" w:space="0" w:color="auto"/>
              <w:right w:val="single" w:sz="2" w:space="0" w:color="auto"/>
            </w:tcBorders>
            <w:vAlign w:val="center"/>
          </w:tcPr>
          <w:p w14:paraId="19C47FCE"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2267CA72"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02CE2B45"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3.6 B</w:t>
            </w:r>
          </w:p>
        </w:tc>
      </w:tr>
      <w:tr w:rsidR="00140B7C" w:rsidRPr="00EC4EC4" w14:paraId="0A3A13CE" w14:textId="77777777" w:rsidTr="00BC1087">
        <w:trPr>
          <w:trHeight w:hRule="exact" w:val="722"/>
          <w:jc w:val="center"/>
        </w:trPr>
        <w:tc>
          <w:tcPr>
            <w:tcW w:w="1763" w:type="pct"/>
            <w:tcBorders>
              <w:top w:val="single" w:sz="2" w:space="0" w:color="auto"/>
              <w:left w:val="single" w:sz="2" w:space="0" w:color="auto"/>
              <w:bottom w:val="single" w:sz="2" w:space="0" w:color="auto"/>
              <w:right w:val="single" w:sz="2" w:space="0" w:color="auto"/>
            </w:tcBorders>
            <w:vAlign w:val="center"/>
          </w:tcPr>
          <w:p w14:paraId="5ADA9F58" w14:textId="77777777" w:rsidR="00140B7C" w:rsidRPr="00EC4EC4" w:rsidRDefault="00140B7C" w:rsidP="00BC1087">
            <w:pPr>
              <w:widowControl w:val="0"/>
              <w:tabs>
                <w:tab w:val="left" w:pos="-2379"/>
              </w:tabs>
              <w:kinsoku w:val="0"/>
              <w:spacing w:after="0" w:line="240" w:lineRule="auto"/>
              <w:ind w:left="1041" w:right="222" w:hanging="540"/>
              <w:rPr>
                <w:rFonts w:eastAsia="Times New Roman" w:cs="Times New Roman"/>
                <w:spacing w:val="-3"/>
                <w:sz w:val="18"/>
                <w:szCs w:val="18"/>
              </w:rPr>
            </w:pPr>
            <w:r w:rsidRPr="00EC4EC4">
              <w:rPr>
                <w:rFonts w:eastAsia="Times New Roman" w:cs="Times New Roman"/>
                <w:spacing w:val="-3"/>
                <w:sz w:val="18"/>
                <w:szCs w:val="18"/>
              </w:rPr>
              <w:t>m.</w:t>
            </w:r>
            <w:r w:rsidRPr="00EC4EC4">
              <w:rPr>
                <w:rFonts w:eastAsia="Times New Roman" w:cs="Times New Roman"/>
                <w:spacing w:val="-3"/>
                <w:sz w:val="18"/>
                <w:szCs w:val="18"/>
              </w:rPr>
              <w:tab/>
              <w:t>Placement of AAC masonry units and construction of thin-bed mortar joints.</w:t>
            </w:r>
          </w:p>
        </w:tc>
        <w:tc>
          <w:tcPr>
            <w:tcW w:w="670" w:type="pct"/>
            <w:tcBorders>
              <w:top w:val="single" w:sz="2" w:space="0" w:color="auto"/>
              <w:left w:val="single" w:sz="2" w:space="0" w:color="auto"/>
              <w:bottom w:val="single" w:sz="2" w:space="0" w:color="auto"/>
              <w:right w:val="single" w:sz="2" w:space="0" w:color="auto"/>
            </w:tcBorders>
            <w:vAlign w:val="center"/>
          </w:tcPr>
          <w:p w14:paraId="101FDA13"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30FDBBFB"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571" w:type="pct"/>
            <w:tcBorders>
              <w:top w:val="single" w:sz="2" w:space="0" w:color="auto"/>
              <w:left w:val="single" w:sz="2" w:space="0" w:color="auto"/>
              <w:bottom w:val="single" w:sz="2" w:space="0" w:color="auto"/>
              <w:right w:val="single" w:sz="2" w:space="0" w:color="auto"/>
            </w:tcBorders>
            <w:vAlign w:val="center"/>
          </w:tcPr>
          <w:p w14:paraId="1121650D"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492E6788"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1446B502"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3.3 B.9,</w:t>
            </w:r>
          </w:p>
          <w:p w14:paraId="779AD71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3.3 F.1.b</w:t>
            </w:r>
          </w:p>
        </w:tc>
      </w:tr>
      <w:tr w:rsidR="00140B7C" w:rsidRPr="00EC4EC4" w14:paraId="7DD77223" w14:textId="77777777" w:rsidTr="00BC1087">
        <w:trPr>
          <w:trHeight w:hRule="exact" w:val="542"/>
          <w:jc w:val="center"/>
        </w:trPr>
        <w:tc>
          <w:tcPr>
            <w:tcW w:w="1763" w:type="pct"/>
            <w:tcBorders>
              <w:top w:val="single" w:sz="2" w:space="0" w:color="auto"/>
              <w:left w:val="single" w:sz="2" w:space="0" w:color="auto"/>
              <w:bottom w:val="single" w:sz="2" w:space="0" w:color="auto"/>
              <w:right w:val="single" w:sz="2" w:space="0" w:color="auto"/>
            </w:tcBorders>
            <w:vAlign w:val="center"/>
          </w:tcPr>
          <w:p w14:paraId="71166AEC" w14:textId="77777777" w:rsidR="00140B7C" w:rsidRPr="00EC4EC4" w:rsidRDefault="00140B7C" w:rsidP="00BC1087">
            <w:pPr>
              <w:widowControl w:val="0"/>
              <w:tabs>
                <w:tab w:val="left" w:pos="-2379"/>
              </w:tabs>
              <w:kinsoku w:val="0"/>
              <w:spacing w:after="0" w:line="240" w:lineRule="auto"/>
              <w:ind w:left="1041" w:right="222" w:hanging="540"/>
              <w:rPr>
                <w:rFonts w:eastAsia="Times New Roman" w:cs="Times New Roman"/>
                <w:spacing w:val="-3"/>
                <w:sz w:val="18"/>
                <w:szCs w:val="18"/>
              </w:rPr>
            </w:pPr>
            <w:r w:rsidRPr="00EC4EC4">
              <w:rPr>
                <w:rFonts w:eastAsia="Times New Roman" w:cs="Times New Roman"/>
                <w:spacing w:val="-3"/>
                <w:sz w:val="18"/>
                <w:szCs w:val="18"/>
              </w:rPr>
              <w:t>n.</w:t>
            </w:r>
            <w:r w:rsidRPr="00EC4EC4">
              <w:rPr>
                <w:rFonts w:eastAsia="Times New Roman" w:cs="Times New Roman"/>
                <w:spacing w:val="-3"/>
                <w:sz w:val="18"/>
                <w:szCs w:val="18"/>
              </w:rPr>
              <w:tab/>
              <w:t>Properties of thin-bed mortar for AAC masonry.</w:t>
            </w:r>
          </w:p>
        </w:tc>
        <w:tc>
          <w:tcPr>
            <w:tcW w:w="670" w:type="pct"/>
            <w:tcBorders>
              <w:top w:val="single" w:sz="2" w:space="0" w:color="auto"/>
              <w:left w:val="single" w:sz="2" w:space="0" w:color="auto"/>
              <w:bottom w:val="single" w:sz="2" w:space="0" w:color="auto"/>
              <w:right w:val="single" w:sz="2" w:space="0" w:color="auto"/>
            </w:tcBorders>
            <w:vAlign w:val="center"/>
          </w:tcPr>
          <w:p w14:paraId="0410DC92"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15EA71D5"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571" w:type="pct"/>
            <w:tcBorders>
              <w:top w:val="single" w:sz="2" w:space="0" w:color="auto"/>
              <w:left w:val="single" w:sz="2" w:space="0" w:color="auto"/>
              <w:bottom w:val="single" w:sz="2" w:space="0" w:color="auto"/>
              <w:right w:val="single" w:sz="2" w:space="0" w:color="auto"/>
            </w:tcBorders>
            <w:vAlign w:val="center"/>
          </w:tcPr>
          <w:p w14:paraId="5E1DB2F9"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3467D5F2"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677" w:type="pct"/>
            <w:tcBorders>
              <w:top w:val="single" w:sz="2" w:space="0" w:color="auto"/>
              <w:left w:val="single" w:sz="2" w:space="0" w:color="auto"/>
              <w:bottom w:val="single" w:sz="2" w:space="0" w:color="auto"/>
              <w:right w:val="single" w:sz="2" w:space="0" w:color="auto"/>
            </w:tcBorders>
            <w:vAlign w:val="center"/>
          </w:tcPr>
          <w:p w14:paraId="0E877670"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2.1 C.1</w:t>
            </w:r>
          </w:p>
        </w:tc>
      </w:tr>
      <w:tr w:rsidR="00140B7C" w:rsidRPr="00EC4EC4" w14:paraId="431B7FE5" w14:textId="77777777" w:rsidTr="00BC1087">
        <w:trPr>
          <w:trHeight w:hRule="exact" w:val="632"/>
          <w:jc w:val="center"/>
        </w:trPr>
        <w:tc>
          <w:tcPr>
            <w:tcW w:w="1763" w:type="pct"/>
            <w:tcBorders>
              <w:top w:val="single" w:sz="2" w:space="0" w:color="auto"/>
              <w:left w:val="single" w:sz="2" w:space="0" w:color="auto"/>
              <w:bottom w:val="single" w:sz="2" w:space="0" w:color="auto"/>
              <w:right w:val="single" w:sz="2" w:space="0" w:color="auto"/>
            </w:tcBorders>
            <w:vAlign w:val="center"/>
          </w:tcPr>
          <w:p w14:paraId="4D42A58B" w14:textId="77777777" w:rsidR="00140B7C" w:rsidRPr="00EC4EC4" w:rsidRDefault="00140B7C" w:rsidP="00BC1087">
            <w:pPr>
              <w:widowControl w:val="0"/>
              <w:kinsoku w:val="0"/>
              <w:spacing w:after="0" w:line="240" w:lineRule="auto"/>
              <w:ind w:left="501" w:hanging="360"/>
              <w:rPr>
                <w:rFonts w:eastAsia="Times New Roman" w:cs="Times New Roman"/>
                <w:spacing w:val="4"/>
                <w:sz w:val="18"/>
                <w:szCs w:val="18"/>
              </w:rPr>
            </w:pPr>
            <w:r w:rsidRPr="00EC4EC4">
              <w:rPr>
                <w:rFonts w:eastAsia="Times New Roman" w:cs="Times New Roman"/>
                <w:spacing w:val="5"/>
                <w:sz w:val="18"/>
                <w:szCs w:val="18"/>
              </w:rPr>
              <w:t>6.</w:t>
            </w:r>
            <w:r w:rsidRPr="00EC4EC4">
              <w:rPr>
                <w:rFonts w:eastAsia="Times New Roman" w:cs="Times New Roman"/>
                <w:spacing w:val="5"/>
                <w:sz w:val="18"/>
                <w:szCs w:val="18"/>
              </w:rPr>
              <w:tab/>
              <w:t xml:space="preserve">Observe preparation of grout specimens, mortar specimens, </w:t>
            </w:r>
            <w:r w:rsidRPr="00EC4EC4">
              <w:rPr>
                <w:rFonts w:eastAsia="Times New Roman" w:cs="Times New Roman"/>
                <w:spacing w:val="4"/>
                <w:sz w:val="18"/>
                <w:szCs w:val="18"/>
              </w:rPr>
              <w:t>and/or prisms.</w:t>
            </w:r>
          </w:p>
        </w:tc>
        <w:tc>
          <w:tcPr>
            <w:tcW w:w="670" w:type="pct"/>
            <w:tcBorders>
              <w:top w:val="single" w:sz="2" w:space="0" w:color="auto"/>
              <w:left w:val="single" w:sz="2" w:space="0" w:color="auto"/>
              <w:bottom w:val="single" w:sz="2" w:space="0" w:color="auto"/>
              <w:right w:val="single" w:sz="2" w:space="0" w:color="auto"/>
            </w:tcBorders>
            <w:vAlign w:val="center"/>
          </w:tcPr>
          <w:p w14:paraId="10D5B704"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X</w:t>
            </w:r>
          </w:p>
        </w:tc>
        <w:tc>
          <w:tcPr>
            <w:tcW w:w="616" w:type="pct"/>
            <w:tcBorders>
              <w:top w:val="single" w:sz="2" w:space="0" w:color="auto"/>
              <w:left w:val="single" w:sz="2" w:space="0" w:color="auto"/>
              <w:bottom w:val="single" w:sz="2" w:space="0" w:color="auto"/>
              <w:right w:val="single" w:sz="2" w:space="0" w:color="auto"/>
            </w:tcBorders>
            <w:vAlign w:val="center"/>
          </w:tcPr>
          <w:p w14:paraId="71DACF0B"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571" w:type="pct"/>
            <w:tcBorders>
              <w:top w:val="single" w:sz="2" w:space="0" w:color="auto"/>
              <w:left w:val="single" w:sz="2" w:space="0" w:color="auto"/>
              <w:bottom w:val="single" w:sz="2" w:space="0" w:color="auto"/>
              <w:right w:val="single" w:sz="2" w:space="0" w:color="auto"/>
            </w:tcBorders>
            <w:vAlign w:val="center"/>
          </w:tcPr>
          <w:p w14:paraId="7245DAD8"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w:t>
            </w:r>
          </w:p>
        </w:tc>
        <w:tc>
          <w:tcPr>
            <w:tcW w:w="703" w:type="pct"/>
            <w:tcBorders>
              <w:top w:val="single" w:sz="2" w:space="0" w:color="auto"/>
              <w:left w:val="single" w:sz="2" w:space="0" w:color="auto"/>
              <w:bottom w:val="single" w:sz="2" w:space="0" w:color="auto"/>
              <w:right w:val="single" w:sz="2" w:space="0" w:color="auto"/>
            </w:tcBorders>
            <w:vAlign w:val="center"/>
          </w:tcPr>
          <w:p w14:paraId="7CE9886D"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Sec. 3.1.3</w:t>
            </w:r>
          </w:p>
        </w:tc>
        <w:tc>
          <w:tcPr>
            <w:tcW w:w="677" w:type="pct"/>
            <w:tcBorders>
              <w:top w:val="single" w:sz="2" w:space="0" w:color="auto"/>
              <w:left w:val="single" w:sz="2" w:space="0" w:color="auto"/>
              <w:bottom w:val="single" w:sz="2" w:space="0" w:color="auto"/>
              <w:right w:val="single" w:sz="2" w:space="0" w:color="auto"/>
            </w:tcBorders>
            <w:vAlign w:val="center"/>
          </w:tcPr>
          <w:p w14:paraId="2623B675" w14:textId="77777777" w:rsidR="00140B7C" w:rsidRPr="00EC4EC4" w:rsidRDefault="00140B7C" w:rsidP="00BC1087">
            <w:pPr>
              <w:widowControl w:val="0"/>
              <w:kinsoku w:val="0"/>
              <w:spacing w:after="0" w:line="240" w:lineRule="auto"/>
              <w:jc w:val="center"/>
              <w:rPr>
                <w:rFonts w:eastAsia="Times New Roman" w:cs="Times New Roman"/>
                <w:sz w:val="18"/>
                <w:szCs w:val="18"/>
              </w:rPr>
            </w:pPr>
            <w:r w:rsidRPr="00EC4EC4">
              <w:rPr>
                <w:rFonts w:eastAsia="Times New Roman" w:cs="Times New Roman"/>
                <w:sz w:val="18"/>
                <w:szCs w:val="18"/>
              </w:rPr>
              <w:t>Art. 1.4</w:t>
            </w:r>
          </w:p>
        </w:tc>
      </w:tr>
    </w:tbl>
    <w:p w14:paraId="1106426B" w14:textId="77777777" w:rsidR="00140B7C" w:rsidRPr="00EC4EC4" w:rsidRDefault="00140B7C" w:rsidP="00140B7C">
      <w:pPr>
        <w:widowControl w:val="0"/>
        <w:kinsoku w:val="0"/>
        <w:spacing w:after="0" w:line="271" w:lineRule="auto"/>
        <w:rPr>
          <w:rFonts w:eastAsia="Times New Roman" w:cs="Times New Roman"/>
          <w:spacing w:val="5"/>
          <w:sz w:val="16"/>
          <w:szCs w:val="16"/>
        </w:rPr>
      </w:pPr>
      <w:r w:rsidRPr="00EC4EC4">
        <w:rPr>
          <w:rFonts w:eastAsia="Times New Roman" w:cs="Times New Roman"/>
          <w:spacing w:val="5"/>
          <w:sz w:val="16"/>
          <w:szCs w:val="16"/>
        </w:rPr>
        <w:t>For SI: °C = [(°F) - 32]/1.8, 1 square foot = 0.0929 m</w:t>
      </w:r>
      <w:r w:rsidRPr="00EC4EC4">
        <w:rPr>
          <w:rFonts w:eastAsia="Times New Roman" w:cs="Times New Roman"/>
          <w:spacing w:val="5"/>
          <w:w w:val="115"/>
          <w:sz w:val="16"/>
          <w:szCs w:val="16"/>
          <w:vertAlign w:val="superscript"/>
        </w:rPr>
        <w:t>2</w:t>
      </w:r>
      <w:r w:rsidRPr="00EC4EC4">
        <w:rPr>
          <w:rFonts w:eastAsia="Times New Roman" w:cs="Times New Roman"/>
          <w:spacing w:val="5"/>
          <w:sz w:val="16"/>
          <w:szCs w:val="16"/>
        </w:rPr>
        <w:t>.</w:t>
      </w:r>
    </w:p>
    <w:p w14:paraId="382ECEA0" w14:textId="77777777" w:rsidR="00140B7C" w:rsidRPr="00EC4EC4" w:rsidRDefault="00140B7C" w:rsidP="00140B7C">
      <w:pPr>
        <w:widowControl w:val="0"/>
        <w:kinsoku w:val="0"/>
        <w:spacing w:after="0" w:line="240" w:lineRule="auto"/>
        <w:ind w:left="360" w:hanging="360"/>
        <w:rPr>
          <w:rFonts w:eastAsia="Times New Roman" w:cs="Times New Roman"/>
          <w:spacing w:val="4"/>
          <w:sz w:val="16"/>
          <w:szCs w:val="16"/>
        </w:rPr>
      </w:pPr>
      <w:r w:rsidRPr="00EC4EC4">
        <w:rPr>
          <w:rFonts w:eastAsia="Times New Roman" w:cs="Times New Roman"/>
          <w:spacing w:val="4"/>
          <w:sz w:val="16"/>
          <w:szCs w:val="16"/>
        </w:rPr>
        <w:t>a.</w:t>
      </w:r>
      <w:r w:rsidRPr="00EC4EC4">
        <w:rPr>
          <w:rFonts w:eastAsia="Times New Roman" w:cs="Times New Roman"/>
          <w:spacing w:val="4"/>
          <w:sz w:val="16"/>
          <w:szCs w:val="16"/>
        </w:rPr>
        <w:tab/>
        <w:t>The specific standards referenced are those listed in Chapter 35.</w:t>
      </w:r>
    </w:p>
    <w:p w14:paraId="76B99C19" w14:textId="77777777" w:rsidR="00140B7C" w:rsidRPr="00EC4EC4" w:rsidRDefault="00140B7C" w:rsidP="00140B7C">
      <w:pPr>
        <w:widowControl w:val="0"/>
        <w:kinsoku w:val="0"/>
        <w:spacing w:after="0" w:line="240" w:lineRule="auto"/>
        <w:ind w:left="360" w:hanging="360"/>
        <w:rPr>
          <w:rFonts w:eastAsia="Times New Roman" w:cs="Times New Roman"/>
          <w:spacing w:val="4"/>
          <w:sz w:val="16"/>
          <w:szCs w:val="16"/>
        </w:rPr>
      </w:pPr>
    </w:p>
    <w:p w14:paraId="49A67254" w14:textId="50841525" w:rsidR="00140B7C" w:rsidRDefault="00140B7C" w:rsidP="00140B7C">
      <w:pPr>
        <w:kinsoku w:val="0"/>
        <w:spacing w:after="240" w:line="240" w:lineRule="auto"/>
        <w:ind w:firstLine="720"/>
        <w:jc w:val="both"/>
        <w:rPr>
          <w:rFonts w:cs="Times New Roman"/>
          <w:color w:val="000000"/>
          <w:sz w:val="23"/>
          <w:szCs w:val="23"/>
        </w:rPr>
      </w:pPr>
      <w:bookmarkStart w:id="144" w:name="_Hlk115420735"/>
      <w:r w:rsidRPr="00EC4EC4">
        <w:rPr>
          <w:rFonts w:cs="Times New Roman"/>
          <w:color w:val="000000"/>
          <w:sz w:val="23"/>
          <w:szCs w:val="23"/>
        </w:rPr>
        <w:t>§</w:t>
      </w:r>
      <w:r>
        <w:rPr>
          <w:rFonts w:cs="Times New Roman"/>
          <w:color w:val="000000"/>
          <w:sz w:val="23"/>
          <w:szCs w:val="23"/>
        </w:rPr>
        <w:t>1</w:t>
      </w:r>
      <w:r w:rsidR="007F6982">
        <w:rPr>
          <w:rFonts w:cs="Times New Roman"/>
          <w:color w:val="000000"/>
          <w:sz w:val="23"/>
          <w:szCs w:val="23"/>
        </w:rPr>
        <w:t>82</w:t>
      </w:r>
      <w:r w:rsidRPr="00EC4EC4">
        <w:rPr>
          <w:rFonts w:cs="Times New Roman"/>
          <w:color w:val="000000"/>
          <w:sz w:val="23"/>
          <w:szCs w:val="23"/>
        </w:rPr>
        <w:t xml:space="preserve">. Section 1705.5 of  the New York city building code, as </w:t>
      </w:r>
      <w:r>
        <w:rPr>
          <w:rFonts w:cs="Times New Roman"/>
          <w:color w:val="000000"/>
          <w:sz w:val="23"/>
          <w:szCs w:val="23"/>
        </w:rPr>
        <w:t>amended</w:t>
      </w:r>
      <w:r w:rsidRPr="00EC4EC4">
        <w:rPr>
          <w:rFonts w:cs="Times New Roman"/>
          <w:color w:val="000000"/>
          <w:sz w:val="23"/>
          <w:szCs w:val="23"/>
        </w:rPr>
        <w:t xml:space="preserve"> by local law number 126 for the year 2021, is amended to read as follows:</w:t>
      </w:r>
    </w:p>
    <w:p w14:paraId="117CD51D" w14:textId="77777777" w:rsidR="00140B7C" w:rsidRPr="00ED12CE" w:rsidRDefault="00140B7C" w:rsidP="00140B7C">
      <w:pPr>
        <w:pStyle w:val="xmsonormal"/>
        <w:shd w:val="clear" w:color="auto" w:fill="FFFFFF"/>
        <w:spacing w:before="0" w:beforeAutospacing="0" w:after="0" w:afterAutospacing="0"/>
        <w:ind w:left="720"/>
        <w:jc w:val="both"/>
      </w:pPr>
      <w:r w:rsidRPr="00ED12CE">
        <w:rPr>
          <w:b/>
          <w:bCs/>
        </w:rPr>
        <w:t>1705.5  Wood construction.</w:t>
      </w:r>
      <w:r w:rsidRPr="00ED12CE">
        <w:t> Special inspections of site-built assemblies shall be in accordance with Sections 1705.5.1 through 1705.5.4. Special inspections of the fabrication process of prefabricated wood structural</w:t>
      </w:r>
      <w:r>
        <w:t xml:space="preserve"> </w:t>
      </w:r>
      <w:r w:rsidRPr="00ED12CE">
        <w:t>elements and assemblies shall be in accordance with Section </w:t>
      </w:r>
      <w:r w:rsidRPr="00285896">
        <w:rPr>
          <w:bdr w:val="none" w:sz="0" w:space="0" w:color="auto" w:frame="1"/>
        </w:rPr>
        <w:t>[</w:t>
      </w:r>
      <w:r w:rsidRPr="00285896">
        <w:rPr>
          <w:strike/>
          <w:bdr w:val="none" w:sz="0" w:space="0" w:color="auto" w:frame="1"/>
        </w:rPr>
        <w:t>1705.10</w:t>
      </w:r>
      <w:r w:rsidRPr="00285896">
        <w:rPr>
          <w:bdr w:val="none" w:sz="0" w:space="0" w:color="auto" w:frame="1"/>
        </w:rPr>
        <w:t>] </w:t>
      </w:r>
      <w:r w:rsidRPr="00285896">
        <w:rPr>
          <w:u w:val="single"/>
          <w:bdr w:val="none" w:sz="0" w:space="0" w:color="auto" w:frame="1"/>
        </w:rPr>
        <w:t>1704.2</w:t>
      </w:r>
      <w:r w:rsidRPr="00285896">
        <w:rPr>
          <w:bdr w:val="none" w:sz="0" w:space="0" w:color="auto" w:frame="1"/>
        </w:rPr>
        <w:t>.</w:t>
      </w:r>
    </w:p>
    <w:p w14:paraId="7D086FC8" w14:textId="77777777" w:rsidR="00140B7C" w:rsidRDefault="00140B7C" w:rsidP="00140B7C">
      <w:pPr>
        <w:kinsoku w:val="0"/>
        <w:spacing w:after="240" w:line="240" w:lineRule="auto"/>
        <w:ind w:firstLine="720"/>
        <w:jc w:val="both"/>
        <w:rPr>
          <w:rFonts w:cs="Times New Roman"/>
          <w:color w:val="000000"/>
          <w:sz w:val="23"/>
          <w:szCs w:val="23"/>
          <w:highlight w:val="yellow"/>
        </w:rPr>
      </w:pPr>
    </w:p>
    <w:p w14:paraId="47B538FA" w14:textId="77777777" w:rsidR="00140B7C" w:rsidRDefault="00140B7C" w:rsidP="00140B7C">
      <w:pPr>
        <w:kinsoku w:val="0"/>
        <w:spacing w:after="240" w:line="240" w:lineRule="auto"/>
        <w:ind w:firstLine="720"/>
        <w:jc w:val="both"/>
        <w:rPr>
          <w:rFonts w:cs="Times New Roman"/>
          <w:color w:val="000000"/>
          <w:sz w:val="23"/>
          <w:szCs w:val="23"/>
          <w:highlight w:val="yellow"/>
        </w:rPr>
      </w:pPr>
    </w:p>
    <w:p w14:paraId="0E57A943" w14:textId="121CA315" w:rsidR="00140B7C" w:rsidRPr="00285896" w:rsidRDefault="00140B7C" w:rsidP="00140B7C">
      <w:pPr>
        <w:kinsoku w:val="0"/>
        <w:spacing w:after="240" w:line="240" w:lineRule="auto"/>
        <w:ind w:firstLine="720"/>
        <w:jc w:val="both"/>
        <w:rPr>
          <w:color w:val="000000"/>
          <w:sz w:val="23"/>
          <w:szCs w:val="23"/>
        </w:rPr>
      </w:pPr>
      <w:bookmarkStart w:id="145" w:name="_Hlk119514456"/>
      <w:r w:rsidRPr="00EC4EC4">
        <w:rPr>
          <w:rFonts w:cs="Times New Roman"/>
          <w:color w:val="000000"/>
          <w:sz w:val="23"/>
          <w:szCs w:val="23"/>
        </w:rPr>
        <w:lastRenderedPageBreak/>
        <w:t>§</w:t>
      </w:r>
      <w:r>
        <w:rPr>
          <w:rFonts w:cs="Times New Roman"/>
          <w:color w:val="000000"/>
          <w:sz w:val="23"/>
          <w:szCs w:val="23"/>
        </w:rPr>
        <w:t>1</w:t>
      </w:r>
      <w:r w:rsidR="007F6982">
        <w:rPr>
          <w:rFonts w:cs="Times New Roman"/>
          <w:color w:val="000000"/>
          <w:sz w:val="23"/>
          <w:szCs w:val="23"/>
        </w:rPr>
        <w:t>83</w:t>
      </w:r>
      <w:r w:rsidRPr="00EC4EC4">
        <w:rPr>
          <w:rFonts w:cs="Times New Roman"/>
          <w:color w:val="000000"/>
          <w:sz w:val="23"/>
          <w:szCs w:val="23"/>
        </w:rPr>
        <w:t>. Section 1705.5</w:t>
      </w:r>
      <w:r>
        <w:rPr>
          <w:rFonts w:cs="Times New Roman"/>
          <w:color w:val="000000"/>
          <w:sz w:val="23"/>
          <w:szCs w:val="23"/>
        </w:rPr>
        <w:t>.2.1</w:t>
      </w:r>
      <w:r w:rsidRPr="00EC4EC4">
        <w:rPr>
          <w:rFonts w:cs="Times New Roman"/>
          <w:color w:val="000000"/>
          <w:sz w:val="23"/>
          <w:szCs w:val="23"/>
        </w:rPr>
        <w:t xml:space="preserve"> of  the New York city building code, as </w:t>
      </w:r>
      <w:r>
        <w:rPr>
          <w:rFonts w:cs="Times New Roman"/>
          <w:color w:val="000000"/>
          <w:sz w:val="23"/>
          <w:szCs w:val="23"/>
        </w:rPr>
        <w:t>amended</w:t>
      </w:r>
      <w:r w:rsidRPr="00EC4EC4">
        <w:rPr>
          <w:rFonts w:cs="Times New Roman"/>
          <w:color w:val="000000"/>
          <w:sz w:val="23"/>
          <w:szCs w:val="23"/>
        </w:rPr>
        <w:t xml:space="preserve"> by local law number 126 for the year 2021, is amended to read as follows:</w:t>
      </w:r>
    </w:p>
    <w:bookmarkEnd w:id="145"/>
    <w:p w14:paraId="54052C08" w14:textId="77777777" w:rsidR="00140B7C" w:rsidRDefault="00140B7C" w:rsidP="00140B7C">
      <w:pPr>
        <w:pStyle w:val="xmsonormal"/>
        <w:shd w:val="clear" w:color="auto" w:fill="FFFFFF"/>
        <w:spacing w:before="0" w:beforeAutospacing="0" w:after="0" w:afterAutospacing="0"/>
        <w:ind w:left="720"/>
        <w:jc w:val="both"/>
        <w:rPr>
          <w:b/>
        </w:rPr>
      </w:pPr>
    </w:p>
    <w:p w14:paraId="65770DB0" w14:textId="77777777" w:rsidR="00140B7C" w:rsidRPr="00D31A77" w:rsidRDefault="00140B7C" w:rsidP="00140B7C">
      <w:pPr>
        <w:pStyle w:val="xmsonormal"/>
        <w:shd w:val="clear" w:color="auto" w:fill="FFFFFF"/>
        <w:spacing w:before="0" w:beforeAutospacing="0" w:after="0" w:afterAutospacing="0"/>
        <w:ind w:left="720"/>
        <w:jc w:val="both"/>
        <w:rPr>
          <w:spacing w:val="1"/>
        </w:rPr>
      </w:pPr>
      <w:r w:rsidRPr="00D31A77">
        <w:rPr>
          <w:b/>
        </w:rPr>
        <w:t>1705.5.2.1 Erection.</w:t>
      </w:r>
      <w:r w:rsidRPr="00D31A77">
        <w:rPr>
          <w:b/>
          <w:bCs/>
          <w:spacing w:val="3"/>
          <w:w w:val="110"/>
        </w:rPr>
        <w:t xml:space="preserve"> </w:t>
      </w:r>
      <w:r w:rsidRPr="00D31A77">
        <w:rPr>
          <w:spacing w:val="1"/>
        </w:rPr>
        <w:t>The use of all metal-plate-connected wood trusses shall be subject to special inspection for compliance with the approved construction documents, the requirements of Sections 1704.1, and the following:</w:t>
      </w:r>
    </w:p>
    <w:p w14:paraId="23551086" w14:textId="77777777" w:rsidR="00140B7C" w:rsidRPr="00D31A77" w:rsidRDefault="00140B7C" w:rsidP="00140B7C">
      <w:pPr>
        <w:pStyle w:val="xmsonormal"/>
        <w:shd w:val="clear" w:color="auto" w:fill="FFFFFF"/>
        <w:spacing w:before="0" w:beforeAutospacing="0" w:after="0" w:afterAutospacing="0"/>
        <w:ind w:left="720"/>
        <w:jc w:val="both"/>
        <w:rPr>
          <w:b/>
          <w:bCs/>
        </w:rPr>
      </w:pPr>
    </w:p>
    <w:p w14:paraId="1167BAA0" w14:textId="77777777" w:rsidR="00140B7C" w:rsidRPr="00D31A77" w:rsidRDefault="00140B7C" w:rsidP="00226293">
      <w:pPr>
        <w:numPr>
          <w:ilvl w:val="0"/>
          <w:numId w:val="6"/>
        </w:numPr>
        <w:kinsoku w:val="0"/>
        <w:spacing w:after="240" w:line="240" w:lineRule="auto"/>
        <w:ind w:left="1440" w:hanging="360"/>
        <w:jc w:val="both"/>
        <w:rPr>
          <w:rFonts w:eastAsia="Times New Roman" w:cs="Times New Roman"/>
          <w:spacing w:val="1"/>
          <w:szCs w:val="24"/>
        </w:rPr>
      </w:pPr>
      <w:r w:rsidRPr="00D31A77">
        <w:rPr>
          <w:rFonts w:eastAsia="Times New Roman" w:cs="Times New Roman"/>
          <w:spacing w:val="1"/>
          <w:szCs w:val="24"/>
        </w:rPr>
        <w:t>All installed materials shall be clean, straight and otherwise undamaged. Members and parts shall not be stretched, bent, or otherwise distorted unless such forming is in the integral part of the design. The special inspector shall ensure that damaged members are not used for construction.</w:t>
      </w:r>
    </w:p>
    <w:p w14:paraId="536F4CB6" w14:textId="77777777" w:rsidR="00140B7C" w:rsidRPr="00D31A77" w:rsidRDefault="00140B7C" w:rsidP="00226293">
      <w:pPr>
        <w:numPr>
          <w:ilvl w:val="0"/>
          <w:numId w:val="6"/>
        </w:numPr>
        <w:kinsoku w:val="0"/>
        <w:spacing w:after="240" w:line="240" w:lineRule="auto"/>
        <w:ind w:left="1440" w:hanging="360"/>
        <w:jc w:val="both"/>
        <w:rPr>
          <w:rFonts w:eastAsia="Times New Roman" w:cs="Times New Roman"/>
          <w:spacing w:val="1"/>
          <w:szCs w:val="24"/>
        </w:rPr>
      </w:pPr>
      <w:r w:rsidRPr="00D31A77">
        <w:rPr>
          <w:rFonts w:eastAsia="Times New Roman" w:cs="Times New Roman"/>
          <w:spacing w:val="1"/>
          <w:szCs w:val="24"/>
        </w:rPr>
        <w:t>Profiles of members used structurally shall conform to the dimensions specified in the approved construction documents. The installation shall be inspected for compliance with the approved construction documents regarding locations, positions, beam separators, bearing surfaces, fasteners, screws, bolts and bracing, as applicable.</w:t>
      </w:r>
    </w:p>
    <w:p w14:paraId="6FDED1FC" w14:textId="77777777" w:rsidR="00140B7C" w:rsidRPr="00D31A77" w:rsidRDefault="00140B7C" w:rsidP="00226293">
      <w:pPr>
        <w:numPr>
          <w:ilvl w:val="0"/>
          <w:numId w:val="6"/>
        </w:numPr>
        <w:kinsoku w:val="0"/>
        <w:spacing w:after="240" w:line="240" w:lineRule="auto"/>
        <w:ind w:left="1440" w:hanging="360"/>
        <w:jc w:val="both"/>
        <w:rPr>
          <w:rFonts w:eastAsia="Times New Roman" w:cs="Times New Roman"/>
          <w:spacing w:val="1"/>
          <w:szCs w:val="24"/>
        </w:rPr>
      </w:pPr>
      <w:r w:rsidRPr="00D31A77">
        <w:rPr>
          <w:rFonts w:eastAsia="Times New Roman" w:cs="Times New Roman"/>
          <w:spacing w:val="1"/>
          <w:szCs w:val="24"/>
        </w:rPr>
        <w:t>Temporary bracing, shoring, jacks, etc., shall not be removed until the special inspector determines that the construction conforms with the approved construction document.</w:t>
      </w:r>
    </w:p>
    <w:p w14:paraId="522A91A7" w14:textId="77777777" w:rsidR="00140B7C" w:rsidRPr="00285896" w:rsidRDefault="00140B7C" w:rsidP="00226293">
      <w:pPr>
        <w:numPr>
          <w:ilvl w:val="0"/>
          <w:numId w:val="6"/>
        </w:numPr>
        <w:kinsoku w:val="0"/>
        <w:spacing w:after="240" w:line="240" w:lineRule="auto"/>
        <w:ind w:left="1440" w:hanging="360"/>
        <w:jc w:val="both"/>
        <w:rPr>
          <w:rFonts w:eastAsia="Times New Roman" w:cs="Times New Roman"/>
          <w:spacing w:val="1"/>
          <w:szCs w:val="24"/>
        </w:rPr>
      </w:pPr>
      <w:r w:rsidRPr="00D31A77">
        <w:rPr>
          <w:rFonts w:cs="Times New Roman"/>
          <w:szCs w:val="24"/>
        </w:rPr>
        <w:t>Where prefabricated metal-plate-connected wood trusses are utilized, such prefabricated wood structural elements and assemblies shall also comply with Section </w:t>
      </w:r>
      <w:r w:rsidRPr="00285896">
        <w:rPr>
          <w:rFonts w:cs="Times New Roman"/>
          <w:szCs w:val="24"/>
          <w:bdr w:val="none" w:sz="0" w:space="0" w:color="auto" w:frame="1"/>
        </w:rPr>
        <w:t>[</w:t>
      </w:r>
      <w:r w:rsidRPr="00285896">
        <w:rPr>
          <w:rFonts w:cs="Times New Roman"/>
          <w:strike/>
          <w:szCs w:val="24"/>
          <w:bdr w:val="none" w:sz="0" w:space="0" w:color="auto" w:frame="1"/>
        </w:rPr>
        <w:t>1705.10</w:t>
      </w:r>
      <w:r w:rsidRPr="00285896">
        <w:rPr>
          <w:rFonts w:cs="Times New Roman"/>
          <w:szCs w:val="24"/>
          <w:bdr w:val="none" w:sz="0" w:space="0" w:color="auto" w:frame="1"/>
        </w:rPr>
        <w:t>] </w:t>
      </w:r>
      <w:r w:rsidRPr="00285896">
        <w:rPr>
          <w:rFonts w:cs="Times New Roman"/>
          <w:szCs w:val="24"/>
          <w:u w:val="single"/>
          <w:bdr w:val="none" w:sz="0" w:space="0" w:color="auto" w:frame="1"/>
        </w:rPr>
        <w:t>1704.2</w:t>
      </w:r>
      <w:r w:rsidRPr="00285896">
        <w:rPr>
          <w:rFonts w:cs="Times New Roman"/>
          <w:szCs w:val="24"/>
        </w:rPr>
        <w:t>.</w:t>
      </w:r>
      <w:r w:rsidRPr="00D31A77">
        <w:rPr>
          <w:rFonts w:cs="Times New Roman"/>
          <w:szCs w:val="24"/>
        </w:rPr>
        <w:t xml:space="preserve"> Where any metal-plate connectors are utilized in site-built assemblies, such connections and assemblies shall be subject to special inspection for compliance with the requirements of the approved construction documents and manufacturers’ instructions.</w:t>
      </w:r>
    </w:p>
    <w:p w14:paraId="46229D18" w14:textId="5D9FA56B" w:rsidR="00140B7C" w:rsidRPr="00285896" w:rsidRDefault="00140B7C" w:rsidP="00140B7C">
      <w:pPr>
        <w:kinsoku w:val="0"/>
        <w:spacing w:after="240" w:line="240" w:lineRule="auto"/>
        <w:ind w:firstLine="720"/>
        <w:jc w:val="both"/>
        <w:rPr>
          <w:rFonts w:cs="Times New Roman"/>
          <w:color w:val="000000"/>
          <w:sz w:val="23"/>
          <w:szCs w:val="23"/>
        </w:rPr>
      </w:pPr>
      <w:r w:rsidRPr="00EC4EC4">
        <w:rPr>
          <w:rFonts w:cs="Times New Roman"/>
          <w:color w:val="000000"/>
          <w:sz w:val="23"/>
          <w:szCs w:val="23"/>
        </w:rPr>
        <w:t>§</w:t>
      </w:r>
      <w:r>
        <w:rPr>
          <w:rFonts w:cs="Times New Roman"/>
          <w:color w:val="000000"/>
          <w:sz w:val="23"/>
          <w:szCs w:val="23"/>
        </w:rPr>
        <w:t>18</w:t>
      </w:r>
      <w:r w:rsidR="00D70482">
        <w:rPr>
          <w:rFonts w:cs="Times New Roman"/>
          <w:color w:val="000000"/>
          <w:sz w:val="23"/>
          <w:szCs w:val="23"/>
        </w:rPr>
        <w:t>4</w:t>
      </w:r>
      <w:r w:rsidRPr="00EC4EC4">
        <w:rPr>
          <w:rFonts w:cs="Times New Roman"/>
          <w:color w:val="000000"/>
          <w:sz w:val="23"/>
          <w:szCs w:val="23"/>
        </w:rPr>
        <w:t>. Section 1705.</w:t>
      </w:r>
      <w:r>
        <w:rPr>
          <w:rFonts w:cs="Times New Roman"/>
          <w:color w:val="000000"/>
          <w:sz w:val="23"/>
          <w:szCs w:val="23"/>
        </w:rPr>
        <w:t>30</w:t>
      </w:r>
      <w:r w:rsidRPr="00EC4EC4">
        <w:rPr>
          <w:rFonts w:cs="Times New Roman"/>
          <w:color w:val="000000"/>
          <w:sz w:val="23"/>
          <w:szCs w:val="23"/>
        </w:rPr>
        <w:t xml:space="preserve"> of  the New York city building code, as </w:t>
      </w:r>
      <w:r>
        <w:rPr>
          <w:rFonts w:cs="Times New Roman"/>
          <w:color w:val="000000"/>
          <w:sz w:val="23"/>
          <w:szCs w:val="23"/>
        </w:rPr>
        <w:t>amended</w:t>
      </w:r>
      <w:r w:rsidRPr="00EC4EC4">
        <w:rPr>
          <w:rFonts w:cs="Times New Roman"/>
          <w:color w:val="000000"/>
          <w:sz w:val="23"/>
          <w:szCs w:val="23"/>
        </w:rPr>
        <w:t xml:space="preserve"> by local law number 126 for the year 2021, is amended to read as follows:</w:t>
      </w:r>
    </w:p>
    <w:p w14:paraId="38F16B00" w14:textId="77777777" w:rsidR="00140B7C" w:rsidRDefault="00140B7C" w:rsidP="00140B7C">
      <w:pPr>
        <w:pStyle w:val="xmsonormal"/>
        <w:shd w:val="clear" w:color="auto" w:fill="FFFFFF"/>
        <w:spacing w:before="0" w:beforeAutospacing="0" w:after="0" w:afterAutospacing="0"/>
        <w:ind w:left="720"/>
        <w:jc w:val="both"/>
      </w:pPr>
      <w:r w:rsidRPr="00ED12CE">
        <w:rPr>
          <w:b/>
          <w:bCs/>
        </w:rPr>
        <w:t>1705.30</w:t>
      </w:r>
      <w:r w:rsidRPr="00ED12CE">
        <w:t> Standpipe system special inspection. New and altered standpipe systems shall be inspected </w:t>
      </w:r>
      <w:r w:rsidRPr="00285896">
        <w:rPr>
          <w:u w:val="single"/>
          <w:bdr w:val="none" w:sz="0" w:space="0" w:color="auto" w:frame="1"/>
        </w:rPr>
        <w:t>and tested</w:t>
      </w:r>
      <w:r w:rsidRPr="00ED12CE">
        <w:rPr>
          <w:bdr w:val="none" w:sz="0" w:space="0" w:color="auto" w:frame="1"/>
        </w:rPr>
        <w:t> </w:t>
      </w:r>
      <w:r w:rsidRPr="00ED12CE">
        <w:t xml:space="preserve">in accordance with Sections 905 and </w:t>
      </w:r>
      <w:r w:rsidRPr="00DA241F">
        <w:t>1705.30</w:t>
      </w:r>
      <w:r w:rsidRPr="00DA241F">
        <w:rPr>
          <w:bdr w:val="none" w:sz="0" w:space="0" w:color="auto" w:frame="1"/>
        </w:rPr>
        <w:t>[</w:t>
      </w:r>
      <w:r w:rsidRPr="00DA241F">
        <w:rPr>
          <w:strike/>
          <w:bdr w:val="none" w:sz="0" w:space="0" w:color="auto" w:frame="1"/>
        </w:rPr>
        <w:t>.1</w:t>
      </w:r>
      <w:r w:rsidRPr="00DA241F">
        <w:rPr>
          <w:bdr w:val="none" w:sz="0" w:space="0" w:color="auto" w:frame="1"/>
        </w:rPr>
        <w:t>]</w:t>
      </w:r>
      <w:r w:rsidRPr="00DA241F">
        <w:t>.</w:t>
      </w:r>
      <w:r w:rsidRPr="00ED12CE">
        <w:t xml:space="preserve"> Fire pump tests associated with standpipe systems shall be tested in accordance with Section 1705.30.2. The permit holder responsible for the standpipe work shall perform all required acceptance tests, and complete and sign the appropriate contractor’s material and test certifications. The special inspector shall witness all required tests, verify that installation of all materials, fittings, hangers, assemblies and signage are in accordance with the approved construction documents, that painting of the standpipe system required by Section 905.11 has been performed and that the contractor has transmitted required maintenance literature and instruction to the owner. The special inspector shall verify that the material and test certification forms have been transmitted to the Fire Department and the Department of Buildings. Seismic bracing shall be inspected in accordance with Section 1705.12.</w:t>
      </w:r>
    </w:p>
    <w:p w14:paraId="20A2AB34" w14:textId="77777777" w:rsidR="00140B7C" w:rsidRDefault="00140B7C" w:rsidP="00140B7C">
      <w:pPr>
        <w:pStyle w:val="xmsonormal"/>
        <w:shd w:val="clear" w:color="auto" w:fill="FFFFFF"/>
        <w:spacing w:before="0" w:beforeAutospacing="0" w:after="0" w:afterAutospacing="0"/>
        <w:ind w:left="864"/>
        <w:jc w:val="both"/>
      </w:pPr>
    </w:p>
    <w:p w14:paraId="1B8EB951" w14:textId="77777777" w:rsidR="00140B7C" w:rsidRPr="00285896" w:rsidRDefault="00140B7C" w:rsidP="00140B7C">
      <w:pPr>
        <w:pStyle w:val="FlushLeftDouble"/>
        <w:ind w:left="1440"/>
        <w:rPr>
          <w:spacing w:val="1"/>
          <w:szCs w:val="24"/>
        </w:rPr>
      </w:pPr>
      <w:r w:rsidRPr="0051638E">
        <w:rPr>
          <w:b/>
          <w:szCs w:val="24"/>
        </w:rPr>
        <w:t>Exception:</w:t>
      </w:r>
      <w:r w:rsidRPr="0051638E">
        <w:rPr>
          <w:b/>
          <w:bCs/>
          <w:spacing w:val="1"/>
          <w:w w:val="110"/>
          <w:szCs w:val="24"/>
        </w:rPr>
        <w:t xml:space="preserve"> </w:t>
      </w:r>
      <w:r w:rsidRPr="0051638E">
        <w:rPr>
          <w:spacing w:val="1"/>
          <w:szCs w:val="24"/>
        </w:rPr>
        <w:t xml:space="preserve">The special inspection agency need not witness the hydrostatic pressure test </w:t>
      </w:r>
      <w:r>
        <w:rPr>
          <w:spacing w:val="1"/>
          <w:szCs w:val="24"/>
        </w:rPr>
        <w:t>[</w:t>
      </w:r>
      <w:r w:rsidRPr="00285896">
        <w:rPr>
          <w:strike/>
          <w:spacing w:val="1"/>
          <w:szCs w:val="24"/>
        </w:rPr>
        <w:t>hen</w:t>
      </w:r>
      <w:r>
        <w:rPr>
          <w:spacing w:val="1"/>
          <w:szCs w:val="24"/>
        </w:rPr>
        <w:t xml:space="preserve">] </w:t>
      </w:r>
      <w:r>
        <w:rPr>
          <w:spacing w:val="1"/>
          <w:szCs w:val="24"/>
          <w:u w:val="single"/>
        </w:rPr>
        <w:t>when</w:t>
      </w:r>
      <w:r w:rsidRPr="0051638E">
        <w:rPr>
          <w:spacing w:val="1"/>
          <w:szCs w:val="24"/>
        </w:rPr>
        <w:t xml:space="preserve"> such test is witnessed by the department.</w:t>
      </w:r>
    </w:p>
    <w:p w14:paraId="4D682095" w14:textId="77777777" w:rsidR="00140B7C" w:rsidRDefault="00140B7C" w:rsidP="00140B7C">
      <w:pPr>
        <w:kinsoku w:val="0"/>
        <w:spacing w:after="240" w:line="240" w:lineRule="auto"/>
        <w:ind w:firstLine="720"/>
        <w:jc w:val="both"/>
        <w:rPr>
          <w:rFonts w:cs="Times New Roman"/>
          <w:color w:val="000000"/>
          <w:sz w:val="23"/>
          <w:szCs w:val="23"/>
          <w:highlight w:val="yellow"/>
        </w:rPr>
      </w:pPr>
    </w:p>
    <w:p w14:paraId="2EB6CAE6" w14:textId="3A51D78D" w:rsidR="00140B7C" w:rsidRPr="00FA7C14" w:rsidRDefault="00140B7C" w:rsidP="00140B7C">
      <w:pPr>
        <w:kinsoku w:val="0"/>
        <w:spacing w:after="240" w:line="240" w:lineRule="auto"/>
        <w:ind w:firstLine="720"/>
        <w:jc w:val="both"/>
        <w:rPr>
          <w:rFonts w:eastAsia="Times New Roman" w:cs="Times New Roman"/>
          <w:b/>
          <w:bCs/>
          <w:szCs w:val="24"/>
        </w:rPr>
      </w:pPr>
      <w:r w:rsidRPr="00FA7C14">
        <w:rPr>
          <w:rFonts w:cs="Times New Roman"/>
          <w:color w:val="000000"/>
          <w:sz w:val="23"/>
          <w:szCs w:val="23"/>
        </w:rPr>
        <w:t>§18</w:t>
      </w:r>
      <w:r w:rsidR="005F4F59">
        <w:rPr>
          <w:rFonts w:cs="Times New Roman"/>
          <w:color w:val="000000"/>
          <w:sz w:val="23"/>
          <w:szCs w:val="23"/>
        </w:rPr>
        <w:t>5</w:t>
      </w:r>
      <w:r w:rsidRPr="00FA7C14">
        <w:rPr>
          <w:rFonts w:cs="Times New Roman"/>
          <w:color w:val="000000"/>
          <w:sz w:val="23"/>
          <w:szCs w:val="23"/>
        </w:rPr>
        <w:t>. Section 1705.5.3 of  the New York city building code, as added by local law number 126 for the year 2021, is amended to read as follows:</w:t>
      </w:r>
    </w:p>
    <w:bookmarkEnd w:id="144"/>
    <w:p w14:paraId="35929A12" w14:textId="77777777" w:rsidR="00140B7C" w:rsidRPr="00EC4EC4" w:rsidRDefault="00140B7C" w:rsidP="00140B7C">
      <w:pPr>
        <w:pStyle w:val="FlushLeftDouble"/>
        <w:rPr>
          <w:spacing w:val="4"/>
          <w:szCs w:val="24"/>
        </w:rPr>
      </w:pPr>
      <w:r w:rsidRPr="00FA7C14">
        <w:rPr>
          <w:b/>
          <w:szCs w:val="24"/>
        </w:rPr>
        <w:t xml:space="preserve">1705.5.3 Prefabricated wood I-joists </w:t>
      </w:r>
      <w:r w:rsidRPr="00FA7C14">
        <w:rPr>
          <w:b/>
          <w:szCs w:val="24"/>
          <w:u w:val="single"/>
        </w:rPr>
        <w:t>and/or glued prefabricated parallel chord wood trusses.</w:t>
      </w:r>
      <w:r w:rsidRPr="00FA7C14">
        <w:rPr>
          <w:spacing w:val="1"/>
          <w:szCs w:val="24"/>
        </w:rPr>
        <w:t xml:space="preserve"> The fabrication of prefabricated wood I-joists </w:t>
      </w:r>
      <w:r w:rsidRPr="00FA7C14">
        <w:rPr>
          <w:spacing w:val="1"/>
          <w:szCs w:val="24"/>
          <w:u w:val="single"/>
        </w:rPr>
        <w:t>and glued prefabricated parallel chord wood trusses</w:t>
      </w:r>
      <w:r w:rsidRPr="00FA7C14">
        <w:rPr>
          <w:spacing w:val="1"/>
          <w:szCs w:val="24"/>
        </w:rPr>
        <w:t xml:space="preserve"> shall be subject to special inspections in accordance with Section 1704.2 and the requirements of Section 2303.1.2.</w:t>
      </w:r>
    </w:p>
    <w:p w14:paraId="542D6713" w14:textId="2169ACB1" w:rsidR="00140B7C" w:rsidRPr="00EC4EC4" w:rsidRDefault="00140B7C" w:rsidP="00140B7C">
      <w:pPr>
        <w:kinsoku w:val="0"/>
        <w:spacing w:after="240" w:line="240" w:lineRule="auto"/>
        <w:ind w:firstLine="720"/>
        <w:jc w:val="both"/>
        <w:rPr>
          <w:rFonts w:eastAsia="Times New Roman" w:cs="Times New Roman"/>
          <w:b/>
          <w:szCs w:val="24"/>
        </w:rPr>
      </w:pPr>
      <w:r w:rsidRPr="00EC4EC4">
        <w:rPr>
          <w:rFonts w:cs="Times New Roman"/>
          <w:color w:val="000000"/>
          <w:sz w:val="23"/>
          <w:szCs w:val="23"/>
        </w:rPr>
        <w:t>§</w:t>
      </w:r>
      <w:r>
        <w:rPr>
          <w:rFonts w:cs="Times New Roman"/>
          <w:color w:val="000000"/>
          <w:sz w:val="23"/>
          <w:szCs w:val="23"/>
        </w:rPr>
        <w:t>18</w:t>
      </w:r>
      <w:r w:rsidR="005F4F59">
        <w:rPr>
          <w:rFonts w:cs="Times New Roman"/>
          <w:color w:val="000000"/>
          <w:sz w:val="23"/>
          <w:szCs w:val="23"/>
        </w:rPr>
        <w:t>6</w:t>
      </w:r>
      <w:r w:rsidRPr="00EC4EC4">
        <w:rPr>
          <w:rFonts w:cs="Times New Roman"/>
          <w:color w:val="000000"/>
          <w:sz w:val="23"/>
          <w:szCs w:val="23"/>
        </w:rPr>
        <w:t>. Section 1705.5.3.1 of  the New York city building code, as added by local law number 126 for the year 2021, is amended to read as follows:</w:t>
      </w:r>
    </w:p>
    <w:p w14:paraId="6CD82921" w14:textId="77777777" w:rsidR="00140B7C" w:rsidRPr="00EC4EC4" w:rsidRDefault="00140B7C" w:rsidP="00140B7C">
      <w:pPr>
        <w:kinsoku w:val="0"/>
        <w:spacing w:after="240" w:line="240" w:lineRule="auto"/>
        <w:jc w:val="both"/>
        <w:rPr>
          <w:rFonts w:eastAsia="Times New Roman" w:cs="Times New Roman"/>
          <w:spacing w:val="1"/>
          <w:szCs w:val="24"/>
        </w:rPr>
      </w:pPr>
      <w:r w:rsidRPr="00FA7C14">
        <w:rPr>
          <w:rFonts w:eastAsia="Times New Roman" w:cs="Times New Roman"/>
          <w:b/>
          <w:szCs w:val="24"/>
        </w:rPr>
        <w:t>1705.5.3.1 Erection.</w:t>
      </w:r>
      <w:r w:rsidRPr="00FA7C14">
        <w:rPr>
          <w:rFonts w:eastAsia="Times New Roman" w:cs="Times New Roman"/>
          <w:b/>
          <w:bCs/>
          <w:spacing w:val="-2"/>
          <w:w w:val="110"/>
          <w:szCs w:val="24"/>
        </w:rPr>
        <w:t xml:space="preserve"> </w:t>
      </w:r>
      <w:r w:rsidRPr="00FA7C14">
        <w:rPr>
          <w:rFonts w:eastAsia="Times New Roman" w:cs="Times New Roman"/>
          <w:spacing w:val="1"/>
          <w:szCs w:val="24"/>
        </w:rPr>
        <w:t xml:space="preserve">The erection of prefabricated wood I-joists </w:t>
      </w:r>
      <w:r w:rsidRPr="00FA7C14">
        <w:rPr>
          <w:rFonts w:eastAsia="Times New Roman" w:cs="Times New Roman"/>
          <w:spacing w:val="1"/>
          <w:szCs w:val="24"/>
          <w:u w:val="single"/>
        </w:rPr>
        <w:t>and/or glued prefabricated parallel chord wood trusses</w:t>
      </w:r>
      <w:r w:rsidRPr="00FA7C14">
        <w:rPr>
          <w:rFonts w:eastAsia="Times New Roman" w:cs="Times New Roman"/>
          <w:spacing w:val="1"/>
          <w:szCs w:val="24"/>
        </w:rPr>
        <w:t xml:space="preserve"> shall be subject to special inspection for compliance with the approved construction documents, the requirements of Sections 1704.1, and the following:</w:t>
      </w:r>
    </w:p>
    <w:p w14:paraId="3BAEC00A" w14:textId="77777777" w:rsidR="00140B7C" w:rsidRPr="00EC4EC4" w:rsidRDefault="00140B7C" w:rsidP="00226293">
      <w:pPr>
        <w:numPr>
          <w:ilvl w:val="0"/>
          <w:numId w:val="7"/>
        </w:numPr>
        <w:kinsoku w:val="0"/>
        <w:spacing w:after="240" w:line="240" w:lineRule="auto"/>
        <w:ind w:left="1440"/>
        <w:jc w:val="both"/>
        <w:rPr>
          <w:rFonts w:eastAsia="Times New Roman" w:cs="Times New Roman"/>
          <w:spacing w:val="1"/>
          <w:szCs w:val="24"/>
        </w:rPr>
      </w:pPr>
      <w:r w:rsidRPr="00EC4EC4">
        <w:rPr>
          <w:rFonts w:eastAsia="Times New Roman" w:cs="Times New Roman"/>
          <w:spacing w:val="1"/>
          <w:szCs w:val="24"/>
        </w:rPr>
        <w:t>All installed materials shall be clean, straight and otherwise undamaged. Members and parts shall not be stretched, bent, or otherwise distorted unless such forming is in the integral part of the design. The special inspector shall ensure that damaged members are not used for construction.</w:t>
      </w:r>
    </w:p>
    <w:p w14:paraId="3A0A0C96" w14:textId="77777777" w:rsidR="00140B7C" w:rsidRPr="00EC4EC4" w:rsidRDefault="00140B7C" w:rsidP="00226293">
      <w:pPr>
        <w:numPr>
          <w:ilvl w:val="0"/>
          <w:numId w:val="7"/>
        </w:numPr>
        <w:kinsoku w:val="0"/>
        <w:spacing w:after="240" w:line="240" w:lineRule="auto"/>
        <w:ind w:left="1440"/>
        <w:jc w:val="both"/>
        <w:rPr>
          <w:rFonts w:eastAsia="Times New Roman" w:cs="Times New Roman"/>
          <w:spacing w:val="1"/>
          <w:szCs w:val="24"/>
        </w:rPr>
      </w:pPr>
      <w:r w:rsidRPr="00EC4EC4">
        <w:rPr>
          <w:rFonts w:eastAsia="Times New Roman" w:cs="Times New Roman"/>
          <w:spacing w:val="1"/>
          <w:szCs w:val="24"/>
        </w:rPr>
        <w:t>Profiles of members used structurally shall con</w:t>
      </w:r>
      <w:r w:rsidRPr="00EC4EC4">
        <w:rPr>
          <w:rFonts w:eastAsia="Times New Roman" w:cs="Times New Roman"/>
          <w:spacing w:val="1"/>
          <w:szCs w:val="24"/>
        </w:rPr>
        <w:softHyphen/>
        <w:t>form to the dimensions specified in the approved construction documents. The installation shall be inspected for compliance with the approved construction documents regarding locations, positions, beam separators, bearing surfaces, fasteners, screws, bolts and bracing, as applicable.</w:t>
      </w:r>
    </w:p>
    <w:p w14:paraId="2E919EE0" w14:textId="77777777" w:rsidR="00140B7C" w:rsidRPr="00EC4EC4" w:rsidRDefault="00140B7C" w:rsidP="00226293">
      <w:pPr>
        <w:numPr>
          <w:ilvl w:val="0"/>
          <w:numId w:val="7"/>
        </w:numPr>
        <w:kinsoku w:val="0"/>
        <w:spacing w:after="240" w:line="240" w:lineRule="auto"/>
        <w:ind w:left="1440"/>
        <w:jc w:val="both"/>
        <w:rPr>
          <w:rFonts w:eastAsia="Times New Roman" w:cs="Times New Roman"/>
          <w:spacing w:val="1"/>
          <w:szCs w:val="24"/>
        </w:rPr>
      </w:pPr>
      <w:r w:rsidRPr="00EC4EC4">
        <w:rPr>
          <w:rFonts w:eastAsia="Times New Roman" w:cs="Times New Roman"/>
          <w:spacing w:val="1"/>
          <w:szCs w:val="24"/>
        </w:rPr>
        <w:t>The size, location, and number of penetrations shall be inspected for compliance with the approved construction documents and manufac</w:t>
      </w:r>
      <w:r w:rsidRPr="00EC4EC4">
        <w:rPr>
          <w:rFonts w:eastAsia="Times New Roman" w:cs="Times New Roman"/>
          <w:spacing w:val="1"/>
          <w:szCs w:val="24"/>
        </w:rPr>
        <w:softHyphen/>
        <w:t>turers’ instructions.</w:t>
      </w:r>
    </w:p>
    <w:p w14:paraId="2388BCB0" w14:textId="77777777" w:rsidR="00140B7C" w:rsidRPr="00EC4EC4" w:rsidRDefault="00140B7C" w:rsidP="00226293">
      <w:pPr>
        <w:numPr>
          <w:ilvl w:val="0"/>
          <w:numId w:val="7"/>
        </w:numPr>
        <w:kinsoku w:val="0"/>
        <w:spacing w:after="240" w:line="240" w:lineRule="auto"/>
        <w:ind w:left="1440"/>
        <w:jc w:val="both"/>
        <w:rPr>
          <w:rFonts w:eastAsia="Times New Roman" w:cs="Times New Roman"/>
          <w:spacing w:val="1"/>
          <w:szCs w:val="24"/>
        </w:rPr>
      </w:pPr>
      <w:r w:rsidRPr="00EC4EC4">
        <w:rPr>
          <w:rFonts w:eastAsia="Times New Roman" w:cs="Times New Roman"/>
          <w:spacing w:val="1"/>
          <w:szCs w:val="24"/>
        </w:rPr>
        <w:t>Temporary bracing, shoring, jacks, etc., shall not be removed until the special inspector determines that they are no longer needed.</w:t>
      </w:r>
    </w:p>
    <w:p w14:paraId="4FBB6016" w14:textId="444236BA"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18</w:t>
      </w:r>
      <w:r w:rsidR="00CD5EB7">
        <w:rPr>
          <w:rFonts w:cs="Times New Roman"/>
          <w:color w:val="000000"/>
          <w:sz w:val="23"/>
          <w:szCs w:val="23"/>
        </w:rPr>
        <w:t>7</w:t>
      </w:r>
      <w:r w:rsidRPr="00EC4EC4">
        <w:rPr>
          <w:rFonts w:cs="Times New Roman"/>
          <w:color w:val="000000"/>
          <w:sz w:val="23"/>
          <w:szCs w:val="23"/>
        </w:rPr>
        <w:t>. Table 1705.6 of  the New York city building code, as added by local law number 126 for the year 2021, is amended to read as follows: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4237"/>
        <w:gridCol w:w="2709"/>
        <w:gridCol w:w="2494"/>
      </w:tblGrid>
      <w:tr w:rsidR="00140B7C" w:rsidRPr="00EC4EC4" w14:paraId="67F3721D" w14:textId="77777777" w:rsidTr="00BC1087">
        <w:trPr>
          <w:cantSplit/>
          <w:tblHeader/>
          <w:jc w:val="center"/>
        </w:trPr>
        <w:tc>
          <w:tcPr>
            <w:tcW w:w="9440" w:type="dxa"/>
            <w:gridSpan w:val="3"/>
            <w:tcBorders>
              <w:top w:val="nil"/>
              <w:left w:val="nil"/>
              <w:right w:val="nil"/>
            </w:tcBorders>
            <w:vAlign w:val="center"/>
          </w:tcPr>
          <w:p w14:paraId="62621604" w14:textId="77777777" w:rsidR="00140B7C" w:rsidRPr="00EC4EC4" w:rsidRDefault="00140B7C" w:rsidP="00BC1087">
            <w:pPr>
              <w:widowControl w:val="0"/>
              <w:kinsoku w:val="0"/>
              <w:spacing w:before="130" w:after="130" w:line="215" w:lineRule="exact"/>
              <w:jc w:val="center"/>
              <w:rPr>
                <w:rFonts w:eastAsia="Times New Roman" w:cs="Times New Roman"/>
                <w:b/>
                <w:bCs/>
                <w:sz w:val="20"/>
                <w:szCs w:val="20"/>
              </w:rPr>
            </w:pPr>
            <w:r w:rsidRPr="00EC4EC4">
              <w:rPr>
                <w:rFonts w:eastAsia="Times New Roman" w:cs="Times New Roman"/>
                <w:b/>
                <w:bCs/>
                <w:iCs/>
                <w:sz w:val="20"/>
                <w:szCs w:val="20"/>
              </w:rPr>
              <w:t>TABLE 1705.6</w:t>
            </w:r>
            <w:r w:rsidRPr="00EC4EC4">
              <w:rPr>
                <w:rFonts w:eastAsia="Times New Roman" w:cs="Times New Roman"/>
                <w:b/>
                <w:bCs/>
                <w:iCs/>
                <w:sz w:val="20"/>
                <w:szCs w:val="20"/>
              </w:rPr>
              <w:br/>
              <w:t>REQUIRED SPECIAL INSPECTIONS OF SUBSURFACE CONDITIONS</w:t>
            </w:r>
          </w:p>
        </w:tc>
      </w:tr>
      <w:tr w:rsidR="00140B7C" w:rsidRPr="00EC4EC4" w14:paraId="10724674" w14:textId="77777777" w:rsidTr="00BC1087">
        <w:trPr>
          <w:cantSplit/>
          <w:tblHeader/>
          <w:jc w:val="center"/>
        </w:trPr>
        <w:tc>
          <w:tcPr>
            <w:tcW w:w="4237" w:type="dxa"/>
            <w:vAlign w:val="center"/>
          </w:tcPr>
          <w:p w14:paraId="016DBA80" w14:textId="77777777" w:rsidR="00140B7C" w:rsidRPr="00EC4EC4" w:rsidRDefault="00140B7C" w:rsidP="00BC1087">
            <w:pPr>
              <w:widowControl w:val="0"/>
              <w:kinsoku w:val="0"/>
              <w:spacing w:before="130" w:after="130" w:line="215" w:lineRule="exact"/>
              <w:jc w:val="center"/>
              <w:rPr>
                <w:rFonts w:eastAsia="Times New Roman" w:cs="Times New Roman"/>
                <w:b/>
                <w:bCs/>
                <w:sz w:val="18"/>
                <w:szCs w:val="18"/>
              </w:rPr>
            </w:pPr>
            <w:r w:rsidRPr="00EC4EC4">
              <w:rPr>
                <w:rFonts w:eastAsia="Times New Roman" w:cs="Times New Roman"/>
                <w:b/>
                <w:bCs/>
                <w:sz w:val="18"/>
                <w:szCs w:val="18"/>
              </w:rPr>
              <w:t>TYPE</w:t>
            </w:r>
          </w:p>
        </w:tc>
        <w:tc>
          <w:tcPr>
            <w:tcW w:w="2709" w:type="dxa"/>
            <w:vAlign w:val="center"/>
          </w:tcPr>
          <w:p w14:paraId="69986C8E" w14:textId="77777777" w:rsidR="00140B7C" w:rsidRPr="00EC4EC4" w:rsidRDefault="00140B7C" w:rsidP="00BC1087">
            <w:pPr>
              <w:widowControl w:val="0"/>
              <w:kinsoku w:val="0"/>
              <w:spacing w:before="130" w:after="130" w:line="215" w:lineRule="exact"/>
              <w:jc w:val="center"/>
              <w:rPr>
                <w:rFonts w:eastAsia="Times New Roman" w:cs="Times New Roman"/>
                <w:b/>
                <w:bCs/>
                <w:sz w:val="20"/>
                <w:szCs w:val="20"/>
              </w:rPr>
            </w:pPr>
            <w:r w:rsidRPr="00EC4EC4">
              <w:rPr>
                <w:rFonts w:eastAsia="Times New Roman" w:cs="Times New Roman"/>
                <w:b/>
                <w:bCs/>
                <w:sz w:val="20"/>
                <w:szCs w:val="20"/>
              </w:rPr>
              <w:t>CONTINUOUS SPECIAL INSPECTION</w:t>
            </w:r>
          </w:p>
        </w:tc>
        <w:tc>
          <w:tcPr>
            <w:tcW w:w="2494" w:type="dxa"/>
            <w:vAlign w:val="center"/>
          </w:tcPr>
          <w:p w14:paraId="17897C4D" w14:textId="77777777" w:rsidR="00140B7C" w:rsidRPr="00EC4EC4" w:rsidRDefault="00140B7C" w:rsidP="00BC1087">
            <w:pPr>
              <w:widowControl w:val="0"/>
              <w:kinsoku w:val="0"/>
              <w:spacing w:before="130" w:after="130" w:line="215" w:lineRule="exact"/>
              <w:jc w:val="center"/>
              <w:rPr>
                <w:rFonts w:eastAsia="Times New Roman" w:cs="Times New Roman"/>
                <w:b/>
                <w:bCs/>
                <w:sz w:val="20"/>
                <w:szCs w:val="20"/>
              </w:rPr>
            </w:pPr>
            <w:r w:rsidRPr="00EC4EC4">
              <w:rPr>
                <w:rFonts w:eastAsia="Times New Roman" w:cs="Times New Roman"/>
                <w:b/>
                <w:bCs/>
                <w:sz w:val="20"/>
                <w:szCs w:val="20"/>
              </w:rPr>
              <w:t>PERIODIC SPECIAL INSPECTION</w:t>
            </w:r>
          </w:p>
        </w:tc>
      </w:tr>
      <w:tr w:rsidR="00140B7C" w:rsidRPr="00EC4EC4" w14:paraId="6207ABEA" w14:textId="77777777" w:rsidTr="00BC1087">
        <w:trPr>
          <w:jc w:val="center"/>
        </w:trPr>
        <w:tc>
          <w:tcPr>
            <w:tcW w:w="4237" w:type="dxa"/>
            <w:vAlign w:val="center"/>
          </w:tcPr>
          <w:p w14:paraId="0B0597A0" w14:textId="77777777" w:rsidR="00140B7C" w:rsidRPr="00EC4EC4" w:rsidRDefault="00140B7C" w:rsidP="00BC1087">
            <w:pPr>
              <w:widowControl w:val="0"/>
              <w:kinsoku w:val="0"/>
              <w:spacing w:before="130" w:after="130" w:line="215" w:lineRule="exact"/>
              <w:ind w:left="596" w:hanging="450"/>
              <w:rPr>
                <w:rFonts w:eastAsia="Times New Roman" w:cs="Times New Roman"/>
                <w:sz w:val="18"/>
                <w:szCs w:val="18"/>
              </w:rPr>
            </w:pPr>
            <w:r w:rsidRPr="00EC4EC4">
              <w:rPr>
                <w:rFonts w:eastAsia="Times New Roman" w:cs="Times New Roman"/>
                <w:b/>
                <w:bCs/>
                <w:sz w:val="18"/>
                <w:szCs w:val="18"/>
              </w:rPr>
              <w:t>1.</w:t>
            </w:r>
            <w:r w:rsidRPr="00EC4EC4">
              <w:rPr>
                <w:rFonts w:eastAsia="Times New Roman" w:cs="Times New Roman"/>
                <w:sz w:val="18"/>
                <w:szCs w:val="18"/>
              </w:rPr>
              <w:tab/>
            </w:r>
            <w:r w:rsidRPr="00EC4EC4">
              <w:rPr>
                <w:rFonts w:eastAsia="Times New Roman" w:cs="Times New Roman"/>
                <w:b/>
                <w:sz w:val="18"/>
                <w:szCs w:val="18"/>
              </w:rPr>
              <w:t xml:space="preserve">Special inspection of subsurface investigations, borings and test pits. </w:t>
            </w:r>
            <w:r w:rsidRPr="00EC4EC4">
              <w:rPr>
                <w:rFonts w:eastAsia="Times New Roman" w:cs="Times New Roman"/>
                <w:sz w:val="18"/>
                <w:szCs w:val="18"/>
              </w:rPr>
              <w:t>Boring and test pit operations, and alternative investigation methods, shall be subject to continuous special inspection to verify compliance with Section 1803. Soil sample recovery operations for test pits shall be subject to continuous special inspection to verify compliance with Section 1803.</w:t>
            </w:r>
          </w:p>
          <w:p w14:paraId="7096938A" w14:textId="77777777" w:rsidR="00140B7C" w:rsidRPr="00EC4EC4" w:rsidRDefault="00140B7C" w:rsidP="00BC1087">
            <w:pPr>
              <w:widowControl w:val="0"/>
              <w:kinsoku w:val="0"/>
              <w:spacing w:before="130" w:after="130" w:line="215" w:lineRule="exact"/>
              <w:ind w:left="596"/>
              <w:rPr>
                <w:rFonts w:eastAsia="Times New Roman" w:cs="Times New Roman"/>
                <w:b/>
                <w:sz w:val="18"/>
                <w:szCs w:val="18"/>
              </w:rPr>
            </w:pPr>
            <w:r w:rsidRPr="00EC4EC4">
              <w:rPr>
                <w:rFonts w:eastAsia="Times New Roman" w:cs="Times New Roman"/>
                <w:b/>
                <w:sz w:val="18"/>
                <w:szCs w:val="18"/>
              </w:rPr>
              <w:lastRenderedPageBreak/>
              <w:t xml:space="preserve">Exceptions: </w:t>
            </w:r>
          </w:p>
          <w:p w14:paraId="5BA6FABC" w14:textId="77777777" w:rsidR="00140B7C" w:rsidRPr="00EC4EC4" w:rsidRDefault="00140B7C" w:rsidP="00BC1087">
            <w:pPr>
              <w:widowControl w:val="0"/>
              <w:kinsoku w:val="0"/>
              <w:spacing w:before="130" w:after="130" w:line="215" w:lineRule="exact"/>
              <w:ind w:left="1046" w:hanging="326"/>
              <w:rPr>
                <w:rFonts w:eastAsia="Times New Roman" w:cs="Times New Roman"/>
                <w:bCs/>
                <w:sz w:val="18"/>
                <w:szCs w:val="18"/>
              </w:rPr>
            </w:pPr>
            <w:r w:rsidRPr="00EC4EC4">
              <w:rPr>
                <w:rFonts w:eastAsia="Times New Roman" w:cs="Times New Roman"/>
                <w:bCs/>
                <w:sz w:val="18"/>
                <w:szCs w:val="18"/>
              </w:rPr>
              <w:t>1.</w:t>
            </w:r>
            <w:r w:rsidRPr="00EC4EC4">
              <w:rPr>
                <w:rFonts w:eastAsia="Times New Roman" w:cs="Times New Roman"/>
                <w:bCs/>
                <w:sz w:val="18"/>
                <w:szCs w:val="18"/>
              </w:rPr>
              <w:tab/>
              <w:t xml:space="preserve">Cone penetrometer testing used as an alternative investigation method per </w:t>
            </w:r>
            <w:r w:rsidRPr="00EC4EC4">
              <w:rPr>
                <w:rFonts w:eastAsia="Times New Roman" w:cs="Times New Roman"/>
                <w:bCs/>
                <w:sz w:val="18"/>
                <w:szCs w:val="18"/>
                <w:u w:val="single"/>
              </w:rPr>
              <w:t>Section</w:t>
            </w:r>
            <w:r w:rsidRPr="00EC4EC4">
              <w:rPr>
                <w:rFonts w:eastAsia="Times New Roman" w:cs="Times New Roman"/>
                <w:bCs/>
                <w:sz w:val="18"/>
                <w:szCs w:val="18"/>
              </w:rPr>
              <w:t xml:space="preserve"> 1803.5.2 shall be subject to periodic special inspection.</w:t>
            </w:r>
          </w:p>
          <w:p w14:paraId="2FEDE3D3" w14:textId="77777777" w:rsidR="00140B7C" w:rsidRPr="00EC4EC4" w:rsidRDefault="00140B7C" w:rsidP="00BC1087">
            <w:pPr>
              <w:widowControl w:val="0"/>
              <w:kinsoku w:val="0"/>
              <w:spacing w:before="130" w:after="130" w:line="215" w:lineRule="exact"/>
              <w:ind w:left="1046" w:hanging="326"/>
              <w:rPr>
                <w:rFonts w:eastAsia="Times New Roman" w:cs="Times New Roman"/>
                <w:bCs/>
                <w:sz w:val="18"/>
                <w:szCs w:val="18"/>
              </w:rPr>
            </w:pPr>
            <w:r w:rsidRPr="00EC4EC4">
              <w:rPr>
                <w:rFonts w:eastAsia="Times New Roman" w:cs="Times New Roman"/>
                <w:bCs/>
                <w:sz w:val="18"/>
                <w:szCs w:val="18"/>
              </w:rPr>
              <w:t>2.</w:t>
            </w:r>
            <w:r w:rsidRPr="00EC4EC4">
              <w:rPr>
                <w:rFonts w:eastAsia="Times New Roman" w:cs="Times New Roman"/>
                <w:bCs/>
                <w:sz w:val="18"/>
                <w:szCs w:val="18"/>
              </w:rPr>
              <w:tab/>
              <w:t>Existing boring, test pit and alternative investigation records that have been deemed acceptable to the commissioner in accordance with Section 1803.4.2 are not subject to special inspection.</w:t>
            </w:r>
          </w:p>
        </w:tc>
        <w:tc>
          <w:tcPr>
            <w:tcW w:w="2709" w:type="dxa"/>
            <w:vAlign w:val="center"/>
          </w:tcPr>
          <w:p w14:paraId="5449F436" w14:textId="77777777" w:rsidR="00140B7C" w:rsidRPr="00EC4EC4" w:rsidRDefault="00140B7C" w:rsidP="00BC1087">
            <w:pPr>
              <w:widowControl w:val="0"/>
              <w:kinsoku w:val="0"/>
              <w:spacing w:before="130" w:after="130" w:line="215" w:lineRule="exact"/>
              <w:jc w:val="center"/>
              <w:rPr>
                <w:rFonts w:eastAsia="Times New Roman" w:cs="Times New Roman"/>
                <w:sz w:val="18"/>
                <w:szCs w:val="18"/>
              </w:rPr>
            </w:pPr>
            <w:r w:rsidRPr="00EC4EC4">
              <w:rPr>
                <w:rFonts w:eastAsia="Times New Roman" w:cs="Times New Roman"/>
                <w:sz w:val="18"/>
                <w:szCs w:val="18"/>
              </w:rPr>
              <w:lastRenderedPageBreak/>
              <w:t>X</w:t>
            </w:r>
          </w:p>
        </w:tc>
        <w:tc>
          <w:tcPr>
            <w:tcW w:w="2494" w:type="dxa"/>
            <w:vAlign w:val="center"/>
          </w:tcPr>
          <w:p w14:paraId="342A9E4C" w14:textId="77777777" w:rsidR="00140B7C" w:rsidRPr="00EC4EC4" w:rsidRDefault="00140B7C" w:rsidP="00BC1087">
            <w:pPr>
              <w:widowControl w:val="0"/>
              <w:kinsoku w:val="0"/>
              <w:spacing w:before="130" w:after="130" w:line="215" w:lineRule="exact"/>
              <w:jc w:val="center"/>
              <w:rPr>
                <w:rFonts w:eastAsia="Times New Roman" w:cs="Times New Roman"/>
                <w:bCs/>
                <w:sz w:val="18"/>
                <w:szCs w:val="18"/>
              </w:rPr>
            </w:pPr>
            <w:r w:rsidRPr="00EC4EC4">
              <w:rPr>
                <w:rFonts w:eastAsia="Times New Roman" w:cs="Times New Roman"/>
                <w:sz w:val="18"/>
                <w:szCs w:val="18"/>
              </w:rPr>
              <w:t>—</w:t>
            </w:r>
          </w:p>
        </w:tc>
      </w:tr>
      <w:tr w:rsidR="00140B7C" w:rsidRPr="00EC4EC4" w14:paraId="18331549" w14:textId="77777777" w:rsidTr="00BC1087">
        <w:trPr>
          <w:jc w:val="center"/>
        </w:trPr>
        <w:tc>
          <w:tcPr>
            <w:tcW w:w="4237" w:type="dxa"/>
            <w:vAlign w:val="center"/>
          </w:tcPr>
          <w:p w14:paraId="5B5B15D6" w14:textId="77777777" w:rsidR="00140B7C" w:rsidRPr="00EC4EC4" w:rsidRDefault="00140B7C" w:rsidP="00BC1087">
            <w:pPr>
              <w:widowControl w:val="0"/>
              <w:kinsoku w:val="0"/>
              <w:spacing w:before="130" w:after="130" w:line="215" w:lineRule="exact"/>
              <w:ind w:left="596" w:hanging="450"/>
              <w:rPr>
                <w:rFonts w:eastAsia="Times New Roman" w:cs="Times New Roman"/>
                <w:b/>
                <w:sz w:val="18"/>
                <w:szCs w:val="18"/>
              </w:rPr>
            </w:pPr>
            <w:r w:rsidRPr="00EC4EC4">
              <w:rPr>
                <w:rFonts w:eastAsia="Times New Roman" w:cs="Times New Roman"/>
                <w:b/>
                <w:bCs/>
                <w:sz w:val="18"/>
                <w:szCs w:val="18"/>
              </w:rPr>
              <w:t>2.</w:t>
            </w:r>
            <w:r w:rsidRPr="00EC4EC4">
              <w:rPr>
                <w:rFonts w:eastAsia="Times New Roman" w:cs="Times New Roman"/>
                <w:b/>
                <w:sz w:val="18"/>
                <w:szCs w:val="18"/>
              </w:rPr>
              <w:tab/>
              <w:t xml:space="preserve">During fill placement. </w:t>
            </w:r>
            <w:r w:rsidRPr="00EC4EC4">
              <w:rPr>
                <w:rFonts w:eastAsia="Times New Roman" w:cs="Times New Roman"/>
                <w:sz w:val="18"/>
                <w:szCs w:val="18"/>
              </w:rPr>
              <w:t>During placement and compaction of the fill material, the special inspector shall determine that the material being used and the maximum lift thickness comply with the approved geotechnical report, as specified in Section 1804.5.</w:t>
            </w:r>
          </w:p>
        </w:tc>
        <w:tc>
          <w:tcPr>
            <w:tcW w:w="2709" w:type="dxa"/>
            <w:vAlign w:val="center"/>
          </w:tcPr>
          <w:p w14:paraId="506186D0" w14:textId="77777777" w:rsidR="00140B7C" w:rsidRPr="00EC4EC4" w:rsidRDefault="00140B7C" w:rsidP="00BC1087">
            <w:pPr>
              <w:widowControl w:val="0"/>
              <w:kinsoku w:val="0"/>
              <w:spacing w:before="130" w:after="130" w:line="215" w:lineRule="exact"/>
              <w:jc w:val="center"/>
              <w:rPr>
                <w:rFonts w:eastAsia="Times New Roman" w:cs="Times New Roman"/>
                <w:sz w:val="18"/>
                <w:szCs w:val="18"/>
              </w:rPr>
            </w:pPr>
            <w:r w:rsidRPr="00EC4EC4">
              <w:rPr>
                <w:rFonts w:eastAsia="Times New Roman" w:cs="Times New Roman"/>
                <w:sz w:val="18"/>
                <w:szCs w:val="18"/>
              </w:rPr>
              <w:t>X</w:t>
            </w:r>
          </w:p>
        </w:tc>
        <w:tc>
          <w:tcPr>
            <w:tcW w:w="2494" w:type="dxa"/>
            <w:vAlign w:val="center"/>
          </w:tcPr>
          <w:p w14:paraId="487DABC2" w14:textId="77777777" w:rsidR="00140B7C" w:rsidRPr="00EC4EC4" w:rsidRDefault="00140B7C" w:rsidP="00BC1087">
            <w:pPr>
              <w:widowControl w:val="0"/>
              <w:kinsoku w:val="0"/>
              <w:spacing w:before="130" w:after="130" w:line="215" w:lineRule="exact"/>
              <w:jc w:val="center"/>
              <w:rPr>
                <w:rFonts w:eastAsia="Times New Roman" w:cs="Times New Roman"/>
                <w:bCs/>
                <w:sz w:val="18"/>
                <w:szCs w:val="18"/>
              </w:rPr>
            </w:pPr>
            <w:r w:rsidRPr="00EC4EC4">
              <w:rPr>
                <w:rFonts w:eastAsia="Times New Roman" w:cs="Times New Roman"/>
                <w:sz w:val="18"/>
                <w:szCs w:val="18"/>
              </w:rPr>
              <w:t>—</w:t>
            </w:r>
          </w:p>
        </w:tc>
      </w:tr>
      <w:tr w:rsidR="00140B7C" w:rsidRPr="00EC4EC4" w14:paraId="07C3C6A6" w14:textId="77777777" w:rsidTr="00BC1087">
        <w:trPr>
          <w:jc w:val="center"/>
        </w:trPr>
        <w:tc>
          <w:tcPr>
            <w:tcW w:w="4237" w:type="dxa"/>
            <w:vAlign w:val="center"/>
          </w:tcPr>
          <w:p w14:paraId="7AC442E5" w14:textId="77777777" w:rsidR="00140B7C" w:rsidRPr="00EC4EC4" w:rsidRDefault="00140B7C" w:rsidP="00BC1087">
            <w:pPr>
              <w:widowControl w:val="0"/>
              <w:kinsoku w:val="0"/>
              <w:spacing w:before="130" w:after="130" w:line="215" w:lineRule="exact"/>
              <w:ind w:left="596" w:hanging="450"/>
              <w:rPr>
                <w:rFonts w:eastAsia="Times New Roman" w:cs="Times New Roman"/>
                <w:b/>
                <w:sz w:val="18"/>
                <w:szCs w:val="18"/>
              </w:rPr>
            </w:pPr>
            <w:r w:rsidRPr="00EC4EC4">
              <w:rPr>
                <w:rFonts w:eastAsia="Times New Roman" w:cs="Times New Roman"/>
                <w:b/>
                <w:bCs/>
                <w:sz w:val="18"/>
                <w:szCs w:val="18"/>
              </w:rPr>
              <w:t>3.</w:t>
            </w:r>
            <w:r w:rsidRPr="00EC4EC4">
              <w:rPr>
                <w:rFonts w:eastAsia="Times New Roman" w:cs="Times New Roman"/>
                <w:b/>
                <w:sz w:val="18"/>
                <w:szCs w:val="18"/>
              </w:rPr>
              <w:tab/>
              <w:t xml:space="preserve">Evaluation of in-place density. </w:t>
            </w:r>
            <w:r w:rsidRPr="00EC4EC4">
              <w:rPr>
                <w:rFonts w:eastAsia="Times New Roman" w:cs="Times New Roman"/>
                <w:sz w:val="18"/>
                <w:szCs w:val="18"/>
              </w:rPr>
              <w:t>The special inspector shall determine that the in-place dry density of the compacted fill complies with the approved construction documents.</w:t>
            </w:r>
          </w:p>
        </w:tc>
        <w:tc>
          <w:tcPr>
            <w:tcW w:w="2709" w:type="dxa"/>
            <w:vAlign w:val="center"/>
          </w:tcPr>
          <w:p w14:paraId="56473FEE" w14:textId="77777777" w:rsidR="00140B7C" w:rsidRPr="00EC4EC4" w:rsidRDefault="00140B7C" w:rsidP="00BC1087">
            <w:pPr>
              <w:widowControl w:val="0"/>
              <w:kinsoku w:val="0"/>
              <w:spacing w:before="130" w:after="130" w:line="215" w:lineRule="exact"/>
              <w:jc w:val="center"/>
              <w:rPr>
                <w:rFonts w:eastAsia="Times New Roman" w:cs="Times New Roman"/>
                <w:sz w:val="18"/>
                <w:szCs w:val="18"/>
              </w:rPr>
            </w:pPr>
            <w:r w:rsidRPr="00EC4EC4">
              <w:rPr>
                <w:rFonts w:eastAsia="Times New Roman" w:cs="Times New Roman"/>
                <w:sz w:val="18"/>
                <w:szCs w:val="18"/>
              </w:rPr>
              <w:t>X</w:t>
            </w:r>
          </w:p>
        </w:tc>
        <w:tc>
          <w:tcPr>
            <w:tcW w:w="2494" w:type="dxa"/>
            <w:vAlign w:val="center"/>
          </w:tcPr>
          <w:p w14:paraId="066C674E" w14:textId="77777777" w:rsidR="00140B7C" w:rsidRPr="00EC4EC4" w:rsidRDefault="00140B7C" w:rsidP="00BC1087">
            <w:pPr>
              <w:widowControl w:val="0"/>
              <w:kinsoku w:val="0"/>
              <w:spacing w:before="130" w:after="130" w:line="215" w:lineRule="exact"/>
              <w:jc w:val="center"/>
              <w:rPr>
                <w:rFonts w:eastAsia="Times New Roman" w:cs="Times New Roman"/>
                <w:bCs/>
                <w:sz w:val="18"/>
                <w:szCs w:val="18"/>
              </w:rPr>
            </w:pPr>
            <w:r w:rsidRPr="00EC4EC4">
              <w:rPr>
                <w:rFonts w:eastAsia="Times New Roman" w:cs="Times New Roman"/>
                <w:sz w:val="18"/>
                <w:szCs w:val="18"/>
              </w:rPr>
              <w:t>—</w:t>
            </w:r>
          </w:p>
        </w:tc>
      </w:tr>
      <w:tr w:rsidR="00140B7C" w:rsidRPr="00EC4EC4" w14:paraId="2EEA234B" w14:textId="77777777" w:rsidTr="00BC1087">
        <w:trPr>
          <w:jc w:val="center"/>
        </w:trPr>
        <w:tc>
          <w:tcPr>
            <w:tcW w:w="4237" w:type="dxa"/>
            <w:vAlign w:val="center"/>
          </w:tcPr>
          <w:p w14:paraId="7CA88154" w14:textId="77777777" w:rsidR="00140B7C" w:rsidRPr="00EC4EC4" w:rsidRDefault="00140B7C" w:rsidP="00BC1087">
            <w:pPr>
              <w:widowControl w:val="0"/>
              <w:kinsoku w:val="0"/>
              <w:spacing w:before="130" w:after="130" w:line="215" w:lineRule="exact"/>
              <w:ind w:left="596" w:hanging="450"/>
              <w:rPr>
                <w:rFonts w:eastAsia="Times New Roman" w:cs="Times New Roman"/>
                <w:b/>
                <w:sz w:val="18"/>
                <w:szCs w:val="18"/>
              </w:rPr>
            </w:pPr>
            <w:r w:rsidRPr="00EC4EC4">
              <w:rPr>
                <w:rFonts w:eastAsia="Times New Roman" w:cs="Times New Roman"/>
                <w:b/>
                <w:bCs/>
                <w:sz w:val="18"/>
                <w:szCs w:val="18"/>
              </w:rPr>
              <w:t>4.</w:t>
            </w:r>
            <w:r w:rsidRPr="00EC4EC4">
              <w:rPr>
                <w:rFonts w:eastAsia="Times New Roman" w:cs="Times New Roman"/>
                <w:b/>
                <w:sz w:val="18"/>
                <w:szCs w:val="18"/>
              </w:rPr>
              <w:tab/>
              <w:t xml:space="preserve">Subgrade inspection. </w:t>
            </w:r>
            <w:r w:rsidRPr="00EC4EC4">
              <w:rPr>
                <w:rFonts w:eastAsia="Times New Roman" w:cs="Times New Roman"/>
                <w:sz w:val="18"/>
                <w:szCs w:val="18"/>
              </w:rPr>
              <w:t>Immediately prior to placement of each and every footing, foundation, fill or other supporting materials, the special inspector shall determine that the site has been prepared and is in accordance with the approved geotechnical report.</w:t>
            </w:r>
          </w:p>
        </w:tc>
        <w:tc>
          <w:tcPr>
            <w:tcW w:w="2709" w:type="dxa"/>
            <w:vAlign w:val="center"/>
          </w:tcPr>
          <w:p w14:paraId="6776681A" w14:textId="77777777" w:rsidR="00140B7C" w:rsidRPr="00EC4EC4" w:rsidRDefault="00140B7C" w:rsidP="00BC1087">
            <w:pPr>
              <w:widowControl w:val="0"/>
              <w:kinsoku w:val="0"/>
              <w:spacing w:before="130" w:after="130" w:line="215" w:lineRule="exact"/>
              <w:jc w:val="center"/>
              <w:rPr>
                <w:rFonts w:eastAsia="Times New Roman" w:cs="Times New Roman"/>
                <w:sz w:val="18"/>
                <w:szCs w:val="18"/>
              </w:rPr>
            </w:pPr>
            <w:r w:rsidRPr="00EC4EC4">
              <w:rPr>
                <w:rFonts w:eastAsia="Times New Roman" w:cs="Times New Roman"/>
                <w:sz w:val="18"/>
                <w:szCs w:val="18"/>
              </w:rPr>
              <w:t>—</w:t>
            </w:r>
          </w:p>
        </w:tc>
        <w:tc>
          <w:tcPr>
            <w:tcW w:w="2494" w:type="dxa"/>
            <w:vAlign w:val="center"/>
          </w:tcPr>
          <w:p w14:paraId="44849F90" w14:textId="77777777" w:rsidR="00140B7C" w:rsidRPr="00EC4EC4" w:rsidRDefault="00140B7C" w:rsidP="00BC1087">
            <w:pPr>
              <w:widowControl w:val="0"/>
              <w:kinsoku w:val="0"/>
              <w:spacing w:before="130" w:after="130" w:line="215" w:lineRule="exact"/>
              <w:jc w:val="center"/>
              <w:rPr>
                <w:rFonts w:eastAsia="Times New Roman" w:cs="Times New Roman"/>
                <w:bCs/>
                <w:sz w:val="18"/>
                <w:szCs w:val="18"/>
              </w:rPr>
            </w:pPr>
            <w:r w:rsidRPr="00EC4EC4">
              <w:rPr>
                <w:rFonts w:eastAsia="Times New Roman" w:cs="Times New Roman"/>
                <w:sz w:val="18"/>
                <w:szCs w:val="18"/>
              </w:rPr>
              <w:t>X</w:t>
            </w:r>
          </w:p>
        </w:tc>
      </w:tr>
    </w:tbl>
    <w:p w14:paraId="6758AEC3" w14:textId="77777777" w:rsidR="00140B7C" w:rsidRPr="00EC4EC4" w:rsidRDefault="00140B7C" w:rsidP="00140B7C">
      <w:pPr>
        <w:pStyle w:val="FlushLeftDouble"/>
        <w:spacing w:after="0"/>
        <w:rPr>
          <w:b/>
          <w:szCs w:val="24"/>
        </w:rPr>
      </w:pPr>
    </w:p>
    <w:p w14:paraId="503569B9" w14:textId="1E8DE831" w:rsidR="00140B7C" w:rsidRPr="0009616E" w:rsidRDefault="00140B7C" w:rsidP="00140B7C">
      <w:pPr>
        <w:kinsoku w:val="0"/>
        <w:spacing w:after="240" w:line="240" w:lineRule="auto"/>
        <w:ind w:firstLine="720"/>
        <w:jc w:val="both"/>
        <w:rPr>
          <w:rFonts w:eastAsia="Times New Roman" w:cs="Times New Roman"/>
          <w:b/>
          <w:bCs/>
          <w:szCs w:val="24"/>
        </w:rPr>
      </w:pPr>
      <w:r w:rsidRPr="0009616E">
        <w:rPr>
          <w:rFonts w:cs="Times New Roman"/>
          <w:color w:val="000000"/>
          <w:sz w:val="23"/>
          <w:szCs w:val="23"/>
        </w:rPr>
        <w:t>§18</w:t>
      </w:r>
      <w:r w:rsidR="00C23ECB">
        <w:rPr>
          <w:rFonts w:cs="Times New Roman"/>
          <w:color w:val="000000"/>
          <w:sz w:val="23"/>
          <w:szCs w:val="23"/>
        </w:rPr>
        <w:t>8</w:t>
      </w:r>
      <w:r w:rsidRPr="0009616E">
        <w:rPr>
          <w:rFonts w:cs="Times New Roman"/>
          <w:color w:val="000000"/>
          <w:sz w:val="23"/>
          <w:szCs w:val="23"/>
        </w:rPr>
        <w:t>. Section 1705.25.3 of  the New York city building code, as amended by local law number 126 for the year 2021, is amended to read as follows:</w:t>
      </w:r>
    </w:p>
    <w:p w14:paraId="2C25B3DA" w14:textId="77777777" w:rsidR="00140B7C" w:rsidRPr="00EC4EC4" w:rsidRDefault="00140B7C" w:rsidP="00140B7C">
      <w:pPr>
        <w:pStyle w:val="FlushLeftDouble"/>
        <w:ind w:left="0"/>
        <w:rPr>
          <w:b/>
          <w:bCs/>
          <w:szCs w:val="24"/>
        </w:rPr>
      </w:pPr>
      <w:r w:rsidRPr="0009616E">
        <w:rPr>
          <w:b/>
          <w:szCs w:val="24"/>
        </w:rPr>
        <w:t>1</w:t>
      </w:r>
      <w:r w:rsidRPr="0009616E">
        <w:rPr>
          <w:b/>
          <w:bCs/>
          <w:szCs w:val="24"/>
        </w:rPr>
        <w:t xml:space="preserve">705.25.3 </w:t>
      </w:r>
      <w:r w:rsidRPr="0009616E">
        <w:rPr>
          <w:b/>
          <w:szCs w:val="24"/>
        </w:rPr>
        <w:t xml:space="preserve">Excavations. </w:t>
      </w:r>
      <w:r w:rsidRPr="0009616E">
        <w:rPr>
          <w:szCs w:val="24"/>
        </w:rPr>
        <w:t xml:space="preserve">Methods employed to protect the sides of excavations  [meeting the requirements of exception 1 of] </w:t>
      </w:r>
      <w:r w:rsidRPr="0009616E">
        <w:rPr>
          <w:szCs w:val="24"/>
          <w:u w:val="single"/>
        </w:rPr>
        <w:t>that require construction documents in accordance with</w:t>
      </w:r>
      <w:r w:rsidRPr="0009616E">
        <w:rPr>
          <w:szCs w:val="24"/>
        </w:rPr>
        <w:t xml:space="preserve">  Section 3304.4.1, and blasting for the purpose of excavation shall be subject to special inspections in accordance with Sections 1705.25.7  through 1705.25.10.</w:t>
      </w:r>
      <w:r w:rsidRPr="00EC4EC4">
        <w:rPr>
          <w:b/>
          <w:bCs/>
          <w:szCs w:val="24"/>
        </w:rPr>
        <w:t xml:space="preserve"> </w:t>
      </w:r>
    </w:p>
    <w:p w14:paraId="3D717D46" w14:textId="46EAE2F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18</w:t>
      </w:r>
      <w:r w:rsidR="00C23ECB">
        <w:rPr>
          <w:rFonts w:cs="Times New Roman"/>
          <w:color w:val="000000"/>
          <w:sz w:val="23"/>
          <w:szCs w:val="23"/>
        </w:rPr>
        <w:t>9</w:t>
      </w:r>
      <w:r w:rsidRPr="00EC4EC4">
        <w:rPr>
          <w:rFonts w:cs="Times New Roman"/>
          <w:color w:val="000000"/>
          <w:sz w:val="23"/>
          <w:szCs w:val="23"/>
        </w:rPr>
        <w:t>. Section 1704.20.8 of  the New York city building code, as renumbered section 1705.25.9 by local law number 126 for the year 2021, is amended to read as follows:</w:t>
      </w:r>
    </w:p>
    <w:p w14:paraId="45DFC06B" w14:textId="77777777" w:rsidR="00140B7C" w:rsidRPr="00EC4EC4" w:rsidRDefault="00140B7C" w:rsidP="00140B7C">
      <w:pPr>
        <w:pStyle w:val="FlushLeftDouble"/>
        <w:ind w:left="0"/>
        <w:rPr>
          <w:b/>
          <w:szCs w:val="24"/>
        </w:rPr>
      </w:pPr>
      <w:r w:rsidRPr="00EC4EC4">
        <w:rPr>
          <w:b/>
          <w:szCs w:val="24"/>
        </w:rPr>
        <w:t>1705.25.9 Inspection during construction operations.</w:t>
      </w:r>
      <w:r w:rsidRPr="00EC4EC4">
        <w:rPr>
          <w:szCs w:val="24"/>
        </w:rPr>
        <w:t xml:space="preserve"> The special inspector shall visit the jobsite at agreed intervals, assess the ongoing work and verify that operations conform with the design documents. Deficiencies shall be reported as required by Section [</w:t>
      </w:r>
      <w:r w:rsidRPr="00EC4EC4">
        <w:rPr>
          <w:strike/>
          <w:szCs w:val="24"/>
        </w:rPr>
        <w:t>1704.1.2</w:t>
      </w:r>
      <w:r w:rsidRPr="00EC4EC4">
        <w:rPr>
          <w:szCs w:val="24"/>
        </w:rPr>
        <w:t>]</w:t>
      </w:r>
      <w:r w:rsidRPr="00EC4EC4">
        <w:rPr>
          <w:szCs w:val="24"/>
          <w:u w:val="single"/>
        </w:rPr>
        <w:t>1704.1.1.2</w:t>
      </w:r>
      <w:r w:rsidRPr="00EC4EC4">
        <w:rPr>
          <w:szCs w:val="24"/>
        </w:rPr>
        <w:t>. In the event unsafe conditions are discovered, the commissioner and the registered design professional employed by the contractor shall be immediately notified by the special inspector.</w:t>
      </w:r>
    </w:p>
    <w:p w14:paraId="33E5A87B" w14:textId="5F81AE4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lastRenderedPageBreak/>
        <w:t>§</w:t>
      </w:r>
      <w:r>
        <w:rPr>
          <w:rFonts w:cs="Times New Roman"/>
          <w:color w:val="000000"/>
          <w:sz w:val="23"/>
          <w:szCs w:val="23"/>
        </w:rPr>
        <w:t>1</w:t>
      </w:r>
      <w:r w:rsidR="00C23ECB">
        <w:rPr>
          <w:rFonts w:cs="Times New Roman"/>
          <w:color w:val="000000"/>
          <w:sz w:val="23"/>
          <w:szCs w:val="23"/>
        </w:rPr>
        <w:t>90</w:t>
      </w:r>
      <w:r w:rsidRPr="00EC4EC4">
        <w:rPr>
          <w:rFonts w:cs="Times New Roman"/>
          <w:color w:val="000000"/>
          <w:sz w:val="23"/>
          <w:szCs w:val="23"/>
        </w:rPr>
        <w:t>. Section 1704.38.1.1 of  the New York city building code, as added by local law number 126 for the year 2021, is amended to read as follows:</w:t>
      </w:r>
    </w:p>
    <w:p w14:paraId="0C7D47D6" w14:textId="77777777" w:rsidR="00140B7C" w:rsidRPr="00EC4EC4" w:rsidRDefault="00140B7C" w:rsidP="00140B7C">
      <w:pPr>
        <w:spacing w:after="240" w:line="240" w:lineRule="auto"/>
        <w:jc w:val="both"/>
        <w:rPr>
          <w:rFonts w:eastAsia="Calibri" w:cs="Times New Roman"/>
          <w:szCs w:val="24"/>
        </w:rPr>
      </w:pPr>
      <w:r w:rsidRPr="00EC4EC4">
        <w:rPr>
          <w:rFonts w:eastAsia="Calibri" w:cs="Times New Roman"/>
          <w:b/>
          <w:szCs w:val="24"/>
        </w:rPr>
        <w:t>[</w:t>
      </w:r>
      <w:r w:rsidRPr="00EC4EC4">
        <w:rPr>
          <w:rFonts w:eastAsia="Calibri" w:cs="Times New Roman"/>
          <w:b/>
          <w:strike/>
          <w:szCs w:val="24"/>
        </w:rPr>
        <w:t>1704.38.1.1</w:t>
      </w:r>
      <w:r w:rsidRPr="00EC4EC4">
        <w:rPr>
          <w:rFonts w:eastAsia="Calibri" w:cs="Times New Roman"/>
          <w:b/>
          <w:szCs w:val="24"/>
        </w:rPr>
        <w:t xml:space="preserve">] </w:t>
      </w:r>
      <w:r w:rsidRPr="00EC4EC4">
        <w:rPr>
          <w:rFonts w:eastAsia="Calibri" w:cs="Times New Roman"/>
          <w:b/>
          <w:szCs w:val="24"/>
          <w:u w:val="single"/>
        </w:rPr>
        <w:t>1705.38.1.1</w:t>
      </w:r>
      <w:r w:rsidRPr="00EC4EC4">
        <w:rPr>
          <w:rFonts w:eastAsia="Calibri" w:cs="Times New Roman"/>
          <w:b/>
          <w:szCs w:val="24"/>
        </w:rPr>
        <w:t xml:space="preserve"> Water storage tanks.  </w:t>
      </w:r>
      <w:r w:rsidRPr="00EC4EC4">
        <w:rPr>
          <w:rFonts w:eastAsia="Calibri" w:cs="Times New Roman"/>
          <w:szCs w:val="24"/>
        </w:rPr>
        <w:t xml:space="preserve">Water storage tanks shall be tested in accordance with Sections 1302.12.2 and 1303.15.4 of the </w:t>
      </w:r>
      <w:r w:rsidRPr="00EC4EC4">
        <w:rPr>
          <w:rFonts w:eastAsia="Calibri" w:cs="Times New Roman"/>
          <w:i/>
          <w:szCs w:val="24"/>
        </w:rPr>
        <w:t>New York City Plumbing Code</w:t>
      </w:r>
      <w:r w:rsidRPr="00EC4EC4">
        <w:rPr>
          <w:rFonts w:eastAsia="Calibri" w:cs="Times New Roman"/>
          <w:szCs w:val="24"/>
        </w:rPr>
        <w:t>.</w:t>
      </w:r>
    </w:p>
    <w:p w14:paraId="3D39855B" w14:textId="21778000"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1</w:t>
      </w:r>
      <w:r w:rsidR="00C23ECB">
        <w:rPr>
          <w:rFonts w:cs="Times New Roman"/>
          <w:color w:val="000000"/>
          <w:sz w:val="23"/>
          <w:szCs w:val="23"/>
        </w:rPr>
        <w:t>91</w:t>
      </w:r>
      <w:r w:rsidRPr="00EC4EC4">
        <w:rPr>
          <w:rFonts w:cs="Times New Roman"/>
          <w:color w:val="000000"/>
          <w:sz w:val="23"/>
          <w:szCs w:val="23"/>
        </w:rPr>
        <w:t>. Section 180</w:t>
      </w:r>
      <w:r>
        <w:rPr>
          <w:rFonts w:cs="Times New Roman"/>
          <w:color w:val="000000"/>
          <w:sz w:val="23"/>
          <w:szCs w:val="23"/>
        </w:rPr>
        <w:t>3</w:t>
      </w:r>
      <w:r w:rsidRPr="00EC4EC4">
        <w:rPr>
          <w:rFonts w:cs="Times New Roman"/>
          <w:color w:val="000000"/>
          <w:sz w:val="23"/>
          <w:szCs w:val="23"/>
        </w:rPr>
        <w:t>.3 of  the New York city building code, as renumbered and amended by local law number 126 for the year 2021, is amended to read as follows:</w:t>
      </w:r>
    </w:p>
    <w:p w14:paraId="62BDB8C4"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bCs/>
          <w:szCs w:val="24"/>
        </w:rPr>
        <w:t xml:space="preserve">1803.3 Material classification. </w:t>
      </w:r>
      <w:r w:rsidRPr="00EC4EC4">
        <w:rPr>
          <w:rFonts w:eastAsia="Times New Roman" w:cs="Times New Roman"/>
          <w:szCs w:val="24"/>
        </w:rPr>
        <w:t>Soil and rock classification shall be based on materials disclosed by borings, test pits or other subsurface exploration methods. Soil classifications shall be determined in accordance with ASTM D2487 (refer to Table 1803.3) and the supplemental definitions contained herein. Rock classifications shall be determined in accordance with generally accepted engineering practice and the supplemental definitions contained herein.  Laboratory tests shall be conducted to ascertain these classifications where deemed necessary by the engineer responsible for the geotechnical investigation or the commissioner.</w:t>
      </w:r>
    </w:p>
    <w:p w14:paraId="236626B3" w14:textId="77777777" w:rsidR="00140B7C" w:rsidRPr="00EC4EC4" w:rsidRDefault="00140B7C" w:rsidP="00140B7C">
      <w:pPr>
        <w:kinsoku w:val="0"/>
        <w:spacing w:after="240" w:line="240" w:lineRule="auto"/>
        <w:ind w:left="360"/>
        <w:jc w:val="both"/>
        <w:rPr>
          <w:rFonts w:eastAsia="Times New Roman" w:cs="Times New Roman"/>
          <w:b/>
          <w:bCs/>
          <w:szCs w:val="24"/>
        </w:rPr>
      </w:pPr>
      <w:r w:rsidRPr="00EC4EC4">
        <w:rPr>
          <w:rFonts w:eastAsia="Times New Roman" w:cs="Times New Roman"/>
          <w:b/>
          <w:bCs/>
          <w:szCs w:val="24"/>
        </w:rPr>
        <w:t>BEDROCK.</w:t>
      </w:r>
    </w:p>
    <w:p w14:paraId="20E75F4C" w14:textId="77777777" w:rsidR="00140B7C" w:rsidRPr="00EC4EC4" w:rsidRDefault="00140B7C" w:rsidP="00140B7C">
      <w:pPr>
        <w:kinsoku w:val="0"/>
        <w:spacing w:after="240" w:line="240" w:lineRule="auto"/>
        <w:ind w:left="1080" w:hanging="360"/>
        <w:jc w:val="both"/>
        <w:rPr>
          <w:b/>
          <w:bCs/>
          <w:color w:val="FF0000"/>
          <w:szCs w:val="24"/>
        </w:rPr>
      </w:pPr>
      <w:r w:rsidRPr="00EC4EC4">
        <w:rPr>
          <w:rFonts w:eastAsia="Times New Roman" w:cs="Times New Roman"/>
          <w:bCs/>
          <w:szCs w:val="24"/>
        </w:rPr>
        <w:t>1.</w:t>
      </w:r>
      <w:r w:rsidRPr="00EC4EC4">
        <w:rPr>
          <w:rFonts w:eastAsia="Times New Roman" w:cs="Times New Roman"/>
          <w:b/>
          <w:bCs/>
          <w:szCs w:val="24"/>
        </w:rPr>
        <w:tab/>
        <w:t xml:space="preserve">Hard sound rock (Class 1a). </w:t>
      </w:r>
      <w:r w:rsidRPr="00EC4EC4">
        <w:rPr>
          <w:rFonts w:eastAsia="Times New Roman" w:cs="Times New Roman"/>
          <w:szCs w:val="24"/>
        </w:rPr>
        <w:t>Includes crystalline rocks, such as gneiss, granite, diabase and mica schist. Characteristics are as follows: the rock rings when struck with pick or bar; the rock does not disinte</w:t>
      </w:r>
      <w:r w:rsidRPr="00EC4EC4">
        <w:rPr>
          <w:rFonts w:eastAsia="Times New Roman" w:cs="Times New Roman"/>
          <w:szCs w:val="24"/>
        </w:rPr>
        <w:softHyphen/>
        <w:t>grate after exposure to air or water; the rock breaks with sharp fresh fracture; cracks are unweathered, less than ⅛-inch (3.2 mm) wide, and generally no closer than 3 feet (914.4 mm) apart; and the RQD (rock quality designation) with a double tube, NX-size diamond core barrel is generally 85 percent or greater for each 5-foot (1524 mm) run; or core recovery with BX-size core is generally 85 percent or greater for each 5-foot (1524 mm) run.</w:t>
      </w:r>
    </w:p>
    <w:p w14:paraId="673F97E9" w14:textId="77777777" w:rsidR="00140B7C" w:rsidRPr="00EC4EC4" w:rsidRDefault="00140B7C" w:rsidP="00140B7C">
      <w:pPr>
        <w:kinsoku w:val="0"/>
        <w:spacing w:after="240" w:line="240" w:lineRule="auto"/>
        <w:ind w:left="1080" w:hanging="360"/>
        <w:jc w:val="both"/>
        <w:rPr>
          <w:b/>
          <w:bCs/>
          <w:color w:val="FF0000"/>
          <w:szCs w:val="24"/>
        </w:rPr>
      </w:pPr>
      <w:r w:rsidRPr="00EC4EC4">
        <w:rPr>
          <w:rFonts w:eastAsia="Times New Roman" w:cs="Times New Roman"/>
          <w:bCs/>
          <w:szCs w:val="24"/>
        </w:rPr>
        <w:t>2.</w:t>
      </w:r>
      <w:r w:rsidRPr="00EC4EC4">
        <w:rPr>
          <w:rFonts w:eastAsia="Times New Roman" w:cs="Times New Roman"/>
          <w:b/>
          <w:bCs/>
          <w:szCs w:val="24"/>
        </w:rPr>
        <w:tab/>
        <w:t xml:space="preserve">Medium hard rock (Class 1b). </w:t>
      </w:r>
      <w:r w:rsidRPr="00EC4EC4">
        <w:rPr>
          <w:rFonts w:eastAsia="Times New Roman" w:cs="Times New Roman"/>
          <w:szCs w:val="24"/>
        </w:rPr>
        <w:t>Includes crystalline rocks of paragraph [</w:t>
      </w:r>
      <w:r w:rsidRPr="00EC4EC4">
        <w:rPr>
          <w:rFonts w:eastAsia="Times New Roman" w:cs="Times New Roman"/>
          <w:strike/>
          <w:szCs w:val="24"/>
        </w:rPr>
        <w:t>(</w:t>
      </w:r>
      <w:r w:rsidRPr="00EC4EC4">
        <w:rPr>
          <w:rFonts w:eastAsia="Times New Roman" w:cs="Times New Roman"/>
          <w:szCs w:val="24"/>
        </w:rPr>
        <w:t>]1</w:t>
      </w:r>
      <w:r w:rsidRPr="00EC4EC4">
        <w:rPr>
          <w:rFonts w:eastAsia="Times New Roman" w:cs="Times New Roman"/>
          <w:strike/>
          <w:szCs w:val="24"/>
        </w:rPr>
        <w:t>[)</w:t>
      </w:r>
      <w:r w:rsidRPr="00EC4EC4">
        <w:rPr>
          <w:rFonts w:eastAsia="Times New Roman" w:cs="Times New Roman"/>
          <w:szCs w:val="24"/>
        </w:rPr>
        <w:t xml:space="preserve">] of this subdivision, plus marble and serpentinite. Characteristics are as follows: all those listed in paragraph 1 of this subdivision, except that cracks may be ¼-inch (6.4 mm) wide and slightly weathered, generally spaced no closer than 2 feet (609.6 mm) apart; and the RQD with a double tube, NX-size diamond core barrel is generally between 50 and 85 percent for each 5-foot (1524 mm) run; or core recovery with BX-size core is generally 50 to 85 percent for each 5-foot (1524 mm) run. </w:t>
      </w:r>
    </w:p>
    <w:p w14:paraId="0DB3B36B" w14:textId="77777777" w:rsidR="00140B7C" w:rsidRPr="00EC4EC4" w:rsidRDefault="00140B7C" w:rsidP="00140B7C">
      <w:pPr>
        <w:kinsoku w:val="0"/>
        <w:spacing w:after="240" w:line="240" w:lineRule="auto"/>
        <w:ind w:left="1080" w:hanging="360"/>
        <w:jc w:val="both"/>
        <w:rPr>
          <w:b/>
          <w:bCs/>
          <w:color w:val="FF0000"/>
          <w:szCs w:val="24"/>
        </w:rPr>
      </w:pPr>
      <w:r w:rsidRPr="00EC4EC4">
        <w:rPr>
          <w:rFonts w:eastAsia="Times New Roman" w:cs="Times New Roman"/>
          <w:bCs/>
          <w:szCs w:val="24"/>
        </w:rPr>
        <w:t>3.</w:t>
      </w:r>
      <w:r w:rsidRPr="00EC4EC4">
        <w:rPr>
          <w:rFonts w:eastAsia="Times New Roman" w:cs="Times New Roman"/>
          <w:b/>
          <w:bCs/>
          <w:szCs w:val="24"/>
        </w:rPr>
        <w:tab/>
        <w:t xml:space="preserve">Intermediate rock (Class 1c). </w:t>
      </w:r>
      <w:r w:rsidRPr="00EC4EC4">
        <w:rPr>
          <w:rFonts w:eastAsia="Times New Roman" w:cs="Times New Roman"/>
          <w:szCs w:val="24"/>
        </w:rPr>
        <w:t>Includes rocks described in paragraphs 1 and 2 of this subdivi</w:t>
      </w:r>
      <w:r w:rsidRPr="00EC4EC4">
        <w:rPr>
          <w:rFonts w:eastAsia="Times New Roman" w:cs="Times New Roman"/>
          <w:szCs w:val="24"/>
        </w:rPr>
        <w:softHyphen/>
        <w:t>sion, plus cemented shales and sandstone. Characteristics are as follows: the rock gives dull sound when struck with pick or bar; does not disintegrate after exposure to air or water; broken pieces may show moderately weathered surfaces; may contain fracture and moderately weathered zones up to 1 inch (25.4 mm) wide spaced as close as 1 foot (304.8 mm) apart; and the RQD with a double tube, NX-size diamond core barrel is generally 35 to 50 percent for each 5-foot (1524 mm) run; or a core recovery with BX-size core of generally 35 to 50 percent for each 5-foot (1524 mm) run.</w:t>
      </w:r>
    </w:p>
    <w:p w14:paraId="41F6C751" w14:textId="77777777" w:rsidR="00140B7C" w:rsidRPr="00EC4EC4" w:rsidRDefault="00140B7C" w:rsidP="00140B7C">
      <w:pPr>
        <w:kinsoku w:val="0"/>
        <w:spacing w:after="240" w:line="240" w:lineRule="auto"/>
        <w:ind w:left="1080" w:hanging="360"/>
        <w:jc w:val="both"/>
        <w:rPr>
          <w:b/>
          <w:bCs/>
          <w:color w:val="FF0000"/>
          <w:szCs w:val="24"/>
        </w:rPr>
      </w:pPr>
      <w:r w:rsidRPr="00EC4EC4">
        <w:rPr>
          <w:rFonts w:eastAsia="Times New Roman" w:cs="Times New Roman"/>
          <w:bCs/>
          <w:szCs w:val="24"/>
        </w:rPr>
        <w:t>4.</w:t>
      </w:r>
      <w:r w:rsidRPr="00EC4EC4">
        <w:rPr>
          <w:rFonts w:eastAsia="Times New Roman" w:cs="Times New Roman"/>
          <w:b/>
          <w:bCs/>
          <w:szCs w:val="24"/>
        </w:rPr>
        <w:tab/>
        <w:t xml:space="preserve">Soft rock (Class 1d). </w:t>
      </w:r>
      <w:r w:rsidRPr="00EC4EC4">
        <w:rPr>
          <w:rFonts w:eastAsia="Times New Roman" w:cs="Times New Roman"/>
          <w:szCs w:val="24"/>
        </w:rPr>
        <w:t>Includes rocks described in paragraphs 1, 2, and 3 of this subdivision in highly weathered condition, plus talc schist and poorly cemented shales and sandstones. Characteristics are: rock may soften on exposure to air or water; may contain</w:t>
      </w:r>
      <w:r w:rsidRPr="00EC4EC4">
        <w:rPr>
          <w:rFonts w:eastAsia="Times New Roman" w:cs="Times New Roman"/>
          <w:b/>
          <w:szCs w:val="24"/>
        </w:rPr>
        <w:t xml:space="preserve"> </w:t>
      </w:r>
      <w:r w:rsidRPr="00EC4EC4">
        <w:rPr>
          <w:rFonts w:eastAsia="Times New Roman" w:cs="Times New Roman"/>
          <w:szCs w:val="24"/>
        </w:rPr>
        <w:t xml:space="preserve">highly </w:t>
      </w:r>
      <w:r w:rsidRPr="00EC4EC4">
        <w:rPr>
          <w:rFonts w:eastAsia="Times New Roman" w:cs="Times New Roman"/>
          <w:szCs w:val="24"/>
        </w:rPr>
        <w:lastRenderedPageBreak/>
        <w:t>weathered zones up to 3 inches (76.2 mm) wide but filled with stiff soil; and either the RQD with a double tube, NX-size diamond core barrel is less than 35 percent for each 5-foot (1524 mm) run or core recovery with BX-size core of generally less than 35 percent for each 5-foot (1524 mm) run, or a value of N</w:t>
      </w:r>
      <w:r w:rsidRPr="00EC4EC4">
        <w:rPr>
          <w:rFonts w:eastAsia="Times New Roman" w:cs="Times New Roman"/>
          <w:szCs w:val="24"/>
          <w:vertAlign w:val="subscript"/>
        </w:rPr>
        <w:t xml:space="preserve">60 </w:t>
      </w:r>
      <w:r w:rsidRPr="00EC4EC4">
        <w:rPr>
          <w:rFonts w:eastAsia="Times New Roman" w:cs="Times New Roman"/>
          <w:szCs w:val="24"/>
        </w:rPr>
        <w:t>greater than 50 blows per foot (0.3 meters).</w:t>
      </w:r>
    </w:p>
    <w:p w14:paraId="33495827" w14:textId="77777777" w:rsidR="00140B7C" w:rsidRPr="00EC4EC4" w:rsidRDefault="00140B7C" w:rsidP="00140B7C">
      <w:pPr>
        <w:kinsoku w:val="0"/>
        <w:spacing w:after="240" w:line="240" w:lineRule="auto"/>
        <w:ind w:left="360"/>
        <w:jc w:val="both"/>
        <w:rPr>
          <w:rFonts w:eastAsia="Times New Roman" w:cs="Times New Roman"/>
          <w:szCs w:val="24"/>
        </w:rPr>
      </w:pPr>
      <w:r w:rsidRPr="00EC4EC4">
        <w:rPr>
          <w:rFonts w:eastAsia="Times New Roman" w:cs="Times New Roman"/>
          <w:b/>
          <w:bCs/>
          <w:szCs w:val="24"/>
        </w:rPr>
        <w:t xml:space="preserve">SANDY GRAVEL AND GRAVELS. </w:t>
      </w:r>
      <w:r w:rsidRPr="00EC4EC4">
        <w:rPr>
          <w:rFonts w:eastAsia="Times New Roman" w:cs="Times New Roman"/>
          <w:szCs w:val="24"/>
        </w:rPr>
        <w:t>Consists of coarse-grained material with more than half of the coarse fraction larger than the #4 size sieve and contains little or no fines (GW and GP). The density of these materials shall be determined in accordance with the following:</w:t>
      </w:r>
    </w:p>
    <w:p w14:paraId="1FC78EF6"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t xml:space="preserve">Dense (Class 2a). </w:t>
      </w:r>
      <w:r w:rsidRPr="00EC4EC4">
        <w:rPr>
          <w:rFonts w:eastAsia="Times New Roman" w:cs="Times New Roman"/>
          <w:szCs w:val="24"/>
        </w:rPr>
        <w:t>These materials have a value of N</w:t>
      </w:r>
      <w:r w:rsidRPr="00EC4EC4">
        <w:rPr>
          <w:rFonts w:eastAsia="Times New Roman" w:cs="Times New Roman"/>
          <w:szCs w:val="24"/>
          <w:vertAlign w:val="subscript"/>
        </w:rPr>
        <w:t>60</w:t>
      </w:r>
      <w:r w:rsidRPr="00EC4EC4">
        <w:rPr>
          <w:rFonts w:eastAsia="Times New Roman" w:cs="Times New Roman"/>
          <w:szCs w:val="24"/>
        </w:rPr>
        <w:t xml:space="preserve"> greater than 30 blows per 1 foot (0.3 meter).</w:t>
      </w:r>
    </w:p>
    <w:p w14:paraId="45C42F16"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t xml:space="preserve">Medium (Class 2b). </w:t>
      </w:r>
      <w:r w:rsidRPr="00EC4EC4">
        <w:rPr>
          <w:rFonts w:eastAsia="Times New Roman" w:cs="Times New Roman"/>
          <w:szCs w:val="24"/>
        </w:rPr>
        <w:t>These materials have a value of N</w:t>
      </w:r>
      <w:r w:rsidRPr="00EC4EC4">
        <w:rPr>
          <w:rFonts w:eastAsia="Times New Roman" w:cs="Times New Roman"/>
          <w:szCs w:val="24"/>
          <w:vertAlign w:val="subscript"/>
        </w:rPr>
        <w:t>60</w:t>
      </w:r>
      <w:r w:rsidRPr="00EC4EC4">
        <w:rPr>
          <w:rFonts w:eastAsia="Times New Roman" w:cs="Times New Roman"/>
          <w:szCs w:val="24"/>
        </w:rPr>
        <w:t xml:space="preserve"> between 10 and 30 blows per 1 foot (0.3 meter).</w:t>
      </w:r>
    </w:p>
    <w:p w14:paraId="124F2FEB"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t xml:space="preserve">Loose (Class 6). </w:t>
      </w:r>
      <w:r w:rsidRPr="00EC4EC4">
        <w:rPr>
          <w:rFonts w:eastAsia="Times New Roman" w:cs="Times New Roman"/>
          <w:szCs w:val="24"/>
        </w:rPr>
        <w:t>These materials have a value of N</w:t>
      </w:r>
      <w:r w:rsidRPr="00EC4EC4">
        <w:rPr>
          <w:rFonts w:eastAsia="Times New Roman" w:cs="Times New Roman"/>
          <w:szCs w:val="24"/>
          <w:vertAlign w:val="subscript"/>
        </w:rPr>
        <w:t>60</w:t>
      </w:r>
      <w:r w:rsidRPr="00EC4EC4">
        <w:rPr>
          <w:rFonts w:eastAsia="Times New Roman" w:cs="Times New Roman"/>
          <w:szCs w:val="24"/>
        </w:rPr>
        <w:t xml:space="preserve"> less than 10 blows per 1 foot (0.3 meter). These materials shall be considered nominally unsatisfactory bearing materials.</w:t>
      </w:r>
    </w:p>
    <w:p w14:paraId="02EE0472" w14:textId="77777777" w:rsidR="00140B7C" w:rsidRPr="00EC4EC4" w:rsidRDefault="00140B7C" w:rsidP="00140B7C">
      <w:pPr>
        <w:kinsoku w:val="0"/>
        <w:spacing w:after="240" w:line="240" w:lineRule="auto"/>
        <w:ind w:left="360"/>
        <w:jc w:val="both"/>
        <w:rPr>
          <w:rFonts w:eastAsia="Times New Roman" w:cs="Times New Roman"/>
          <w:szCs w:val="24"/>
        </w:rPr>
      </w:pPr>
      <w:r w:rsidRPr="00EC4EC4">
        <w:rPr>
          <w:rFonts w:eastAsia="Times New Roman" w:cs="Times New Roman"/>
          <w:b/>
          <w:bCs/>
          <w:szCs w:val="24"/>
        </w:rPr>
        <w:t xml:space="preserve">GRANULAR SOILS. </w:t>
      </w:r>
      <w:r w:rsidRPr="00EC4EC4">
        <w:rPr>
          <w:rFonts w:eastAsia="Times New Roman" w:cs="Times New Roman"/>
          <w:szCs w:val="24"/>
        </w:rPr>
        <w:t>These materials are coarse-grained soils consisting of gravel and/or sand with appreciable amounts of fines[</w:t>
      </w:r>
      <w:r w:rsidRPr="00EC4EC4">
        <w:rPr>
          <w:rFonts w:eastAsia="Times New Roman" w:cs="Times New Roman"/>
          <w:strike/>
          <w:szCs w:val="24"/>
        </w:rPr>
        <w:t>,</w:t>
      </w:r>
      <w:r w:rsidRPr="00EC4EC4">
        <w:rPr>
          <w:rFonts w:eastAsia="Times New Roman" w:cs="Times New Roman"/>
          <w:szCs w:val="24"/>
        </w:rPr>
        <w:t>] and gravel. Soil types include GM, GC, SW, SP, SM[</w:t>
      </w:r>
      <w:r w:rsidRPr="00EC4EC4">
        <w:rPr>
          <w:rFonts w:eastAsia="Times New Roman" w:cs="Times New Roman"/>
          <w:strike/>
          <w:szCs w:val="24"/>
        </w:rPr>
        <w:t>,</w:t>
      </w:r>
      <w:r w:rsidRPr="00EC4EC4">
        <w:rPr>
          <w:rFonts w:eastAsia="Times New Roman" w:cs="Times New Roman"/>
          <w:szCs w:val="24"/>
        </w:rPr>
        <w:t>] and SC. The density of granular materials shall be determined in accordance with the following:</w:t>
      </w:r>
    </w:p>
    <w:p w14:paraId="002D3421"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t xml:space="preserve">Dense (Class 3a). </w:t>
      </w:r>
      <w:r w:rsidRPr="00EC4EC4">
        <w:rPr>
          <w:rFonts w:eastAsia="Times New Roman" w:cs="Times New Roman"/>
          <w:szCs w:val="24"/>
        </w:rPr>
        <w:t>These materials have a value of N</w:t>
      </w:r>
      <w:r w:rsidRPr="00EC4EC4">
        <w:rPr>
          <w:rFonts w:eastAsia="Times New Roman" w:cs="Times New Roman"/>
          <w:szCs w:val="24"/>
          <w:vertAlign w:val="subscript"/>
        </w:rPr>
        <w:t>60</w:t>
      </w:r>
      <w:r w:rsidRPr="00EC4EC4">
        <w:rPr>
          <w:rFonts w:eastAsia="Times New Roman" w:cs="Times New Roman"/>
          <w:szCs w:val="24"/>
        </w:rPr>
        <w:t xml:space="preserve"> greater than 30 blows per 1 foot (0.3 meter).</w:t>
      </w:r>
    </w:p>
    <w:p w14:paraId="613577A2"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t xml:space="preserve">Medium (Class 3b). </w:t>
      </w:r>
      <w:r w:rsidRPr="00EC4EC4">
        <w:rPr>
          <w:rFonts w:eastAsia="Times New Roman" w:cs="Times New Roman"/>
          <w:szCs w:val="24"/>
        </w:rPr>
        <w:t>These materials have a value of N</w:t>
      </w:r>
      <w:r w:rsidRPr="00EC4EC4">
        <w:rPr>
          <w:rFonts w:eastAsia="Times New Roman" w:cs="Times New Roman"/>
          <w:szCs w:val="24"/>
          <w:vertAlign w:val="subscript"/>
        </w:rPr>
        <w:t>60</w:t>
      </w:r>
      <w:r w:rsidRPr="00EC4EC4">
        <w:rPr>
          <w:rFonts w:eastAsia="Times New Roman" w:cs="Times New Roman"/>
          <w:szCs w:val="24"/>
        </w:rPr>
        <w:t xml:space="preserve"> between 10 and 30 blows per 1 foot (0.3 meter).</w:t>
      </w:r>
    </w:p>
    <w:p w14:paraId="5B3B61AE"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t xml:space="preserve">Loose (Class 6). </w:t>
      </w:r>
      <w:r w:rsidRPr="00EC4EC4">
        <w:rPr>
          <w:rFonts w:eastAsia="Times New Roman" w:cs="Times New Roman"/>
          <w:szCs w:val="24"/>
        </w:rPr>
        <w:t>These materials have a value of N</w:t>
      </w:r>
      <w:r w:rsidRPr="00EC4EC4">
        <w:rPr>
          <w:rFonts w:eastAsia="Times New Roman" w:cs="Times New Roman"/>
          <w:szCs w:val="24"/>
          <w:vertAlign w:val="subscript"/>
        </w:rPr>
        <w:t xml:space="preserve">60 </w:t>
      </w:r>
      <w:r w:rsidRPr="00EC4EC4">
        <w:rPr>
          <w:rFonts w:eastAsia="Times New Roman" w:cs="Times New Roman"/>
          <w:szCs w:val="24"/>
        </w:rPr>
        <w:t>less</w:t>
      </w:r>
      <w:r w:rsidRPr="00EC4EC4">
        <w:rPr>
          <w:rFonts w:eastAsia="Times New Roman" w:cs="Times New Roman"/>
          <w:szCs w:val="24"/>
          <w:vertAlign w:val="subscript"/>
        </w:rPr>
        <w:t xml:space="preserve"> </w:t>
      </w:r>
      <w:r w:rsidRPr="00EC4EC4">
        <w:rPr>
          <w:rFonts w:eastAsia="Times New Roman" w:cs="Times New Roman"/>
          <w:szCs w:val="24"/>
        </w:rPr>
        <w:t>than 10 blows per 1 foot (0.3 meter). These materials shall be considered nominally unsatisfactory bearing materials.</w:t>
      </w:r>
    </w:p>
    <w:p w14:paraId="101F2602" w14:textId="77777777" w:rsidR="00140B7C" w:rsidRPr="00EC4EC4" w:rsidRDefault="00140B7C" w:rsidP="00140B7C">
      <w:pPr>
        <w:kinsoku w:val="0"/>
        <w:autoSpaceDE w:val="0"/>
        <w:autoSpaceDN w:val="0"/>
        <w:adjustRightInd w:val="0"/>
        <w:spacing w:after="240" w:line="240" w:lineRule="auto"/>
        <w:ind w:left="360"/>
        <w:jc w:val="both"/>
        <w:rPr>
          <w:rFonts w:eastAsia="Times New Roman" w:cs="Times New Roman"/>
          <w:szCs w:val="24"/>
        </w:rPr>
      </w:pPr>
      <w:r w:rsidRPr="00EC4EC4">
        <w:rPr>
          <w:rFonts w:eastAsia="Times New Roman" w:cs="Times New Roman"/>
          <w:b/>
          <w:bCs/>
          <w:szCs w:val="24"/>
        </w:rPr>
        <w:t xml:space="preserve">CLAYS. </w:t>
      </w:r>
      <w:r w:rsidRPr="00EC4EC4">
        <w:rPr>
          <w:rFonts w:eastAsia="Times New Roman" w:cs="Times New Roman"/>
          <w:bCs/>
          <w:szCs w:val="24"/>
        </w:rPr>
        <w:t xml:space="preserve">For soil types SC, CL and CH </w:t>
      </w:r>
      <w:r w:rsidRPr="00EC4EC4">
        <w:rPr>
          <w:rFonts w:eastAsia="Times New Roman" w:cs="Times New Roman"/>
          <w:szCs w:val="24"/>
        </w:rPr>
        <w:t xml:space="preserve">in the absence of sufficient laboratory data, the consistency of clay materials shall be determined in accordance with the following: </w:t>
      </w:r>
    </w:p>
    <w:p w14:paraId="1601CD62" w14:textId="77777777" w:rsidR="00140B7C" w:rsidRPr="00EC4EC4" w:rsidRDefault="00140B7C" w:rsidP="00140B7C">
      <w:pPr>
        <w:kinsoku w:val="0"/>
        <w:autoSpaceDE w:val="0"/>
        <w:autoSpaceDN w:val="0"/>
        <w:adjustRightInd w:val="0"/>
        <w:spacing w:after="240" w:line="240" w:lineRule="auto"/>
        <w:ind w:left="720"/>
        <w:jc w:val="both"/>
        <w:rPr>
          <w:rFonts w:eastAsia="Times New Roman" w:cs="Times New Roman"/>
          <w:szCs w:val="24"/>
        </w:rPr>
      </w:pPr>
      <w:r w:rsidRPr="00EC4EC4">
        <w:rPr>
          <w:rFonts w:eastAsia="Times New Roman" w:cs="Times New Roman"/>
          <w:b/>
          <w:bCs/>
          <w:szCs w:val="24"/>
        </w:rPr>
        <w:t xml:space="preserve">Hard (Class 4a). </w:t>
      </w:r>
      <w:r w:rsidRPr="00EC4EC4">
        <w:rPr>
          <w:rFonts w:eastAsia="Times New Roman" w:cs="Times New Roman"/>
          <w:szCs w:val="24"/>
        </w:rPr>
        <w:t>Clay requiring picking for removal, a fresh sample of which cannot be molded by pressure of the fingers; or having an unconfined compressive strength in excess of 4 TSF (383 kPa); or having a value of N</w:t>
      </w:r>
      <w:r w:rsidRPr="00EC4EC4">
        <w:rPr>
          <w:rFonts w:eastAsia="Times New Roman" w:cs="Times New Roman"/>
          <w:szCs w:val="24"/>
          <w:vertAlign w:val="subscript"/>
        </w:rPr>
        <w:t xml:space="preserve">60 </w:t>
      </w:r>
      <w:r w:rsidRPr="00EC4EC4">
        <w:rPr>
          <w:rFonts w:eastAsia="Times New Roman" w:cs="Times New Roman"/>
          <w:szCs w:val="24"/>
        </w:rPr>
        <w:t>greater than 30 blows per 1 foot (0.3 meter).</w:t>
      </w:r>
    </w:p>
    <w:p w14:paraId="5E30D3FC" w14:textId="77777777" w:rsidR="00140B7C" w:rsidRPr="00EC4EC4" w:rsidRDefault="00140B7C" w:rsidP="00140B7C">
      <w:pPr>
        <w:kinsoku w:val="0"/>
        <w:spacing w:after="240" w:line="240" w:lineRule="auto"/>
        <w:ind w:left="720"/>
        <w:jc w:val="both"/>
        <w:rPr>
          <w:b/>
          <w:bCs/>
          <w:color w:val="FF0000"/>
          <w:szCs w:val="24"/>
        </w:rPr>
      </w:pPr>
      <w:r w:rsidRPr="00EC4EC4">
        <w:rPr>
          <w:rFonts w:eastAsia="Times New Roman" w:cs="Times New Roman"/>
          <w:b/>
          <w:bCs/>
          <w:szCs w:val="24"/>
        </w:rPr>
        <w:t xml:space="preserve">Stiff (Class 4b). </w:t>
      </w:r>
      <w:r w:rsidRPr="00EC4EC4">
        <w:rPr>
          <w:rFonts w:eastAsia="Times New Roman" w:cs="Times New Roman"/>
          <w:szCs w:val="24"/>
        </w:rPr>
        <w:t>Clay that can be removed by spading, a fresh sample of which requires substantial pressure of the fingers to create an indentation; or having an unconfined compressive strength of between 1 TSF (95.8 kPa) and 4 TSF (383 kPa); or having a value of N</w:t>
      </w:r>
      <w:r w:rsidRPr="00EC4EC4">
        <w:rPr>
          <w:rFonts w:eastAsia="Times New Roman" w:cs="Times New Roman"/>
          <w:szCs w:val="24"/>
          <w:vertAlign w:val="subscript"/>
        </w:rPr>
        <w:t xml:space="preserve">60 </w:t>
      </w:r>
      <w:r w:rsidRPr="00EC4EC4">
        <w:rPr>
          <w:rFonts w:eastAsia="Times New Roman" w:cs="Times New Roman"/>
          <w:szCs w:val="24"/>
        </w:rPr>
        <w:t xml:space="preserve">between 8 and 30 blows per 1 foot (0.3 meter). </w:t>
      </w:r>
    </w:p>
    <w:p w14:paraId="12414AE8" w14:textId="77777777" w:rsidR="00140B7C" w:rsidRPr="00EC4EC4" w:rsidRDefault="00140B7C" w:rsidP="00140B7C">
      <w:pPr>
        <w:kinsoku w:val="0"/>
        <w:spacing w:after="240" w:line="240" w:lineRule="auto"/>
        <w:ind w:left="720"/>
        <w:jc w:val="both"/>
        <w:rPr>
          <w:b/>
          <w:bCs/>
          <w:color w:val="FF0000"/>
          <w:szCs w:val="24"/>
        </w:rPr>
      </w:pPr>
      <w:r w:rsidRPr="00EC4EC4">
        <w:rPr>
          <w:rFonts w:eastAsia="Times New Roman" w:cs="Times New Roman"/>
          <w:b/>
          <w:bCs/>
          <w:szCs w:val="24"/>
        </w:rPr>
        <w:t xml:space="preserve">Medium (Class 4c). </w:t>
      </w:r>
      <w:r w:rsidRPr="00EC4EC4">
        <w:rPr>
          <w:rFonts w:eastAsia="Times New Roman" w:cs="Times New Roman"/>
          <w:szCs w:val="24"/>
        </w:rPr>
        <w:t>Clay that can be removed by spading, a fresh sample of which can be molded by substantial pressure of the fingers; or having an unconfined compressive strength of between 0.5 TSF (47.9 kPa) and 1 TSF (95.8 kPa); or having a value of N</w:t>
      </w:r>
      <w:r w:rsidRPr="00EC4EC4">
        <w:rPr>
          <w:rFonts w:eastAsia="Times New Roman" w:cs="Times New Roman"/>
          <w:szCs w:val="24"/>
          <w:vertAlign w:val="subscript"/>
        </w:rPr>
        <w:t>60</w:t>
      </w:r>
      <w:r w:rsidRPr="00EC4EC4">
        <w:rPr>
          <w:rFonts w:eastAsia="Times New Roman" w:cs="Times New Roman"/>
          <w:szCs w:val="24"/>
        </w:rPr>
        <w:t xml:space="preserve"> between 4 and 8 blows per 1 foot (0.3 meter).</w:t>
      </w:r>
    </w:p>
    <w:p w14:paraId="6DE37062" w14:textId="77777777" w:rsidR="00140B7C" w:rsidRPr="006F1208"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lastRenderedPageBreak/>
        <w:t xml:space="preserve">Soft (Class 6). </w:t>
      </w:r>
      <w:r w:rsidRPr="00EC4EC4">
        <w:rPr>
          <w:rFonts w:eastAsia="Times New Roman" w:cs="Times New Roman"/>
          <w:szCs w:val="24"/>
        </w:rPr>
        <w:t>Clay, a fresh sample of which can be molded with slight pressure of the fingers; or having an unconfined compressive strength of less than 0.5 TSF (47.9 kPa); or having [</w:t>
      </w:r>
      <w:r w:rsidRPr="00EC4EC4">
        <w:rPr>
          <w:rFonts w:eastAsia="Times New Roman" w:cs="Times New Roman"/>
          <w:strike/>
          <w:szCs w:val="24"/>
        </w:rPr>
        <w:t>a</w:t>
      </w:r>
      <w:r w:rsidRPr="00EC4EC4">
        <w:rPr>
          <w:rFonts w:eastAsia="Times New Roman" w:cs="Times New Roman"/>
          <w:szCs w:val="24"/>
        </w:rPr>
        <w:t>] a value of N</w:t>
      </w:r>
      <w:r w:rsidRPr="00EC4EC4">
        <w:rPr>
          <w:rFonts w:eastAsia="Times New Roman" w:cs="Times New Roman"/>
          <w:szCs w:val="24"/>
          <w:vertAlign w:val="subscript"/>
        </w:rPr>
        <w:t xml:space="preserve">60 </w:t>
      </w:r>
      <w:r w:rsidRPr="00EC4EC4">
        <w:rPr>
          <w:rFonts w:eastAsia="Times New Roman" w:cs="Times New Roman"/>
          <w:szCs w:val="24"/>
        </w:rPr>
        <w:t>less</w:t>
      </w:r>
      <w:r w:rsidRPr="00EC4EC4">
        <w:rPr>
          <w:rFonts w:eastAsia="Times New Roman" w:cs="Times New Roman"/>
          <w:szCs w:val="24"/>
          <w:vertAlign w:val="subscript"/>
        </w:rPr>
        <w:t xml:space="preserve"> </w:t>
      </w:r>
      <w:r w:rsidRPr="00EC4EC4">
        <w:rPr>
          <w:rFonts w:eastAsia="Times New Roman" w:cs="Times New Roman"/>
          <w:szCs w:val="24"/>
        </w:rPr>
        <w:t>than 4 blows per 1 foot (0.3 meter). This material shall be considered nominally unsatisfactory bearing material.</w:t>
      </w:r>
    </w:p>
    <w:p w14:paraId="495B5217" w14:textId="77777777" w:rsidR="00140B7C" w:rsidRPr="00EC4EC4" w:rsidRDefault="00140B7C" w:rsidP="00140B7C">
      <w:pPr>
        <w:kinsoku w:val="0"/>
        <w:spacing w:after="240" w:line="240" w:lineRule="auto"/>
        <w:ind w:left="360"/>
        <w:jc w:val="both"/>
        <w:rPr>
          <w:rFonts w:eastAsia="Times New Roman" w:cs="Times New Roman"/>
          <w:szCs w:val="24"/>
        </w:rPr>
      </w:pPr>
      <w:r w:rsidRPr="00EC4EC4">
        <w:rPr>
          <w:rFonts w:eastAsia="Times New Roman" w:cs="Times New Roman"/>
          <w:b/>
          <w:bCs/>
          <w:szCs w:val="24"/>
        </w:rPr>
        <w:t xml:space="preserve">SILTS AND CLAYEY SILTS. </w:t>
      </w:r>
      <w:r w:rsidRPr="00EC4EC4">
        <w:rPr>
          <w:rFonts w:eastAsia="Times New Roman" w:cs="Times New Roman"/>
          <w:bCs/>
          <w:szCs w:val="24"/>
        </w:rPr>
        <w:t xml:space="preserve">For soil types ML and MH </w:t>
      </w:r>
      <w:r w:rsidRPr="00EC4EC4">
        <w:rPr>
          <w:rFonts w:eastAsia="Times New Roman" w:cs="Times New Roman"/>
          <w:szCs w:val="24"/>
        </w:rPr>
        <w:t xml:space="preserve">in the absence of sufficient laboratory data, the consistency of silt materials shall be determined in accordance with the following: </w:t>
      </w:r>
    </w:p>
    <w:p w14:paraId="4F692B2C"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t xml:space="preserve">Dense (Class 5a). </w:t>
      </w:r>
      <w:r w:rsidRPr="00EC4EC4">
        <w:rPr>
          <w:rFonts w:eastAsia="Times New Roman" w:cs="Times New Roman"/>
          <w:szCs w:val="24"/>
        </w:rPr>
        <w:t>Silt with a standard penetration test where the value of N</w:t>
      </w:r>
      <w:r w:rsidRPr="00EC4EC4">
        <w:rPr>
          <w:rFonts w:eastAsia="Times New Roman" w:cs="Times New Roman"/>
          <w:szCs w:val="24"/>
          <w:vertAlign w:val="subscript"/>
        </w:rPr>
        <w:t>60</w:t>
      </w:r>
      <w:r w:rsidRPr="00EC4EC4">
        <w:rPr>
          <w:rFonts w:eastAsia="Times New Roman" w:cs="Times New Roman"/>
          <w:szCs w:val="24"/>
        </w:rPr>
        <w:t xml:space="preserve"> greater than 30 blows per 1 foot (0.3 meter).</w:t>
      </w:r>
    </w:p>
    <w:p w14:paraId="10AA29A1"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t xml:space="preserve">Medium (Class 5b). </w:t>
      </w:r>
      <w:r w:rsidRPr="00EC4EC4">
        <w:rPr>
          <w:rFonts w:eastAsia="Times New Roman" w:cs="Times New Roman"/>
          <w:szCs w:val="24"/>
        </w:rPr>
        <w:t>Silt with a standard penetration test where the value of N</w:t>
      </w:r>
      <w:r w:rsidRPr="00EC4EC4">
        <w:rPr>
          <w:rFonts w:eastAsia="Times New Roman" w:cs="Times New Roman"/>
          <w:szCs w:val="24"/>
          <w:vertAlign w:val="subscript"/>
        </w:rPr>
        <w:t>60</w:t>
      </w:r>
      <w:r w:rsidRPr="00EC4EC4">
        <w:rPr>
          <w:rFonts w:eastAsia="Times New Roman" w:cs="Times New Roman"/>
          <w:szCs w:val="24"/>
        </w:rPr>
        <w:t xml:space="preserve"> between 10 and 30 blows per 1 foot (0.3 meter).</w:t>
      </w:r>
    </w:p>
    <w:p w14:paraId="6B0BB584"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bCs/>
          <w:szCs w:val="24"/>
        </w:rPr>
        <w:t xml:space="preserve">Loose (Class 6). </w:t>
      </w:r>
      <w:r w:rsidRPr="00EC4EC4">
        <w:rPr>
          <w:rFonts w:eastAsia="Times New Roman" w:cs="Times New Roman"/>
          <w:szCs w:val="24"/>
        </w:rPr>
        <w:t>Silt with a standard penetration test where the value of N</w:t>
      </w:r>
      <w:r w:rsidRPr="00EC4EC4">
        <w:rPr>
          <w:rFonts w:eastAsia="Times New Roman" w:cs="Times New Roman"/>
          <w:szCs w:val="24"/>
          <w:vertAlign w:val="subscript"/>
        </w:rPr>
        <w:t>60</w:t>
      </w:r>
      <w:r w:rsidRPr="00EC4EC4">
        <w:rPr>
          <w:rFonts w:eastAsia="Times New Roman" w:cs="Times New Roman"/>
          <w:szCs w:val="24"/>
        </w:rPr>
        <w:t xml:space="preserve"> fewer than 10 blows per 1 foot (0.3 meters).  This material shall be considered nominally unsatisfactory bearing material.</w:t>
      </w:r>
    </w:p>
    <w:p w14:paraId="3B3F735A" w14:textId="77777777" w:rsidR="00140B7C" w:rsidRPr="00EC4EC4" w:rsidRDefault="00140B7C" w:rsidP="00140B7C">
      <w:pPr>
        <w:widowControl w:val="0"/>
        <w:kinsoku w:val="0"/>
        <w:spacing w:before="120" w:after="120" w:line="240" w:lineRule="auto"/>
        <w:ind w:left="720"/>
        <w:rPr>
          <w:rFonts w:eastAsia="Times New Roman" w:cs="Times New Roman"/>
          <w:b/>
          <w:bCs/>
          <w:sz w:val="20"/>
          <w:szCs w:val="18"/>
        </w:rPr>
        <w:sectPr w:rsidR="00140B7C" w:rsidRPr="00EC4EC4" w:rsidSect="00E57609">
          <w:footerReference w:type="default" r:id="rId7"/>
          <w:footerReference w:type="first" r:id="rId8"/>
          <w:type w:val="continuous"/>
          <w:pgSz w:w="12240" w:h="15840" w:code="1"/>
          <w:pgMar w:top="1440" w:right="1296" w:bottom="1296" w:left="1296" w:header="720" w:footer="720" w:gutter="0"/>
          <w:lnNumType w:countBy="1"/>
          <w:cols w:space="720"/>
          <w:titlePg/>
          <w:docGrid w:linePitch="360"/>
        </w:sectPr>
      </w:pPr>
    </w:p>
    <w:p w14:paraId="0C391AD7" w14:textId="0F5CE526" w:rsidR="00140B7C" w:rsidRPr="00EC4EC4" w:rsidRDefault="00140B7C" w:rsidP="00140B7C">
      <w:pPr>
        <w:kinsoku w:val="0"/>
        <w:spacing w:after="240" w:line="240" w:lineRule="auto"/>
        <w:ind w:firstLine="720"/>
        <w:jc w:val="both"/>
        <w:rPr>
          <w:rFonts w:eastAsia="Times New Roman" w:cs="Times New Roman"/>
          <w:b/>
          <w:bCs/>
          <w:szCs w:val="24"/>
        </w:rPr>
      </w:pPr>
      <w:bookmarkStart w:id="146" w:name="_Hlk110503878"/>
      <w:r w:rsidRPr="00EC4EC4">
        <w:rPr>
          <w:rFonts w:cs="Times New Roman"/>
          <w:color w:val="000000"/>
          <w:szCs w:val="24"/>
        </w:rPr>
        <w:lastRenderedPageBreak/>
        <w:t xml:space="preserve"> </w:t>
      </w:r>
      <w:r w:rsidRPr="00EC4EC4">
        <w:rPr>
          <w:rFonts w:cs="Times New Roman"/>
          <w:color w:val="000000"/>
          <w:sz w:val="23"/>
          <w:szCs w:val="23"/>
        </w:rPr>
        <w:t>§</w:t>
      </w:r>
      <w:r>
        <w:rPr>
          <w:rFonts w:cs="Times New Roman"/>
          <w:color w:val="000000"/>
          <w:sz w:val="23"/>
          <w:szCs w:val="23"/>
        </w:rPr>
        <w:t>1</w:t>
      </w:r>
      <w:r w:rsidR="007009C8">
        <w:rPr>
          <w:rFonts w:cs="Times New Roman"/>
          <w:color w:val="000000"/>
          <w:sz w:val="23"/>
          <w:szCs w:val="23"/>
        </w:rPr>
        <w:t>92</w:t>
      </w:r>
      <w:r w:rsidRPr="00EC4EC4">
        <w:rPr>
          <w:rFonts w:cs="Times New Roman"/>
          <w:color w:val="000000"/>
          <w:sz w:val="23"/>
          <w:szCs w:val="23"/>
        </w:rPr>
        <w:t>. Section 1803.7 of  the New York city building code, as added by local law number 126 for the year 2021, is amended to read as follows:</w:t>
      </w:r>
    </w:p>
    <w:bookmarkEnd w:id="146"/>
    <w:p w14:paraId="05C7671A" w14:textId="77777777" w:rsidR="00140B7C" w:rsidRPr="00EC4EC4" w:rsidRDefault="00140B7C" w:rsidP="00140B7C">
      <w:pPr>
        <w:kinsoku w:val="0"/>
        <w:spacing w:after="240" w:line="240" w:lineRule="auto"/>
        <w:jc w:val="both"/>
        <w:rPr>
          <w:rFonts w:eastAsia="Times New Roman" w:cs="Times New Roman"/>
          <w:bCs/>
          <w:szCs w:val="24"/>
        </w:rPr>
      </w:pPr>
      <w:r w:rsidRPr="00EC4EC4">
        <w:rPr>
          <w:rFonts w:eastAsia="Times New Roman" w:cs="Times New Roman"/>
          <w:b/>
          <w:bCs/>
          <w:szCs w:val="24"/>
        </w:rPr>
        <w:t>1803.7 Construction documents.</w:t>
      </w:r>
      <w:r w:rsidRPr="00EC4EC4">
        <w:rPr>
          <w:rFonts w:eastAsia="Times New Roman" w:cs="Times New Roman"/>
          <w:bCs/>
          <w:szCs w:val="24"/>
        </w:rPr>
        <w:t xml:space="preserve"> Construction documents shall be prepared in accordance with Section [</w:t>
      </w:r>
      <w:r w:rsidRPr="00EC4EC4">
        <w:rPr>
          <w:rFonts w:eastAsia="Times New Roman" w:cs="Times New Roman"/>
          <w:bCs/>
          <w:strike/>
          <w:szCs w:val="24"/>
        </w:rPr>
        <w:t>106.7.1</w:t>
      </w:r>
      <w:r w:rsidRPr="00EC4EC4">
        <w:rPr>
          <w:rFonts w:eastAsia="Times New Roman" w:cs="Times New Roman"/>
          <w:bCs/>
          <w:szCs w:val="24"/>
        </w:rPr>
        <w:t xml:space="preserve">] </w:t>
      </w:r>
      <w:r w:rsidRPr="00EC4EC4">
        <w:rPr>
          <w:rFonts w:eastAsia="Times New Roman" w:cs="Times New Roman"/>
          <w:bCs/>
          <w:szCs w:val="24"/>
          <w:u w:val="single"/>
        </w:rPr>
        <w:t>107.7.1</w:t>
      </w:r>
      <w:r w:rsidRPr="00EC4EC4">
        <w:rPr>
          <w:rFonts w:eastAsia="Times New Roman" w:cs="Times New Roman"/>
          <w:bCs/>
          <w:szCs w:val="24"/>
        </w:rPr>
        <w:t>.</w:t>
      </w:r>
    </w:p>
    <w:p w14:paraId="4DCAFE60" w14:textId="68F92E10"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1</w:t>
      </w:r>
      <w:r w:rsidR="007009C8">
        <w:rPr>
          <w:rFonts w:cs="Times New Roman"/>
          <w:color w:val="000000"/>
          <w:sz w:val="23"/>
          <w:szCs w:val="23"/>
        </w:rPr>
        <w:t>93</w:t>
      </w:r>
      <w:r w:rsidRPr="00EC4EC4">
        <w:rPr>
          <w:rFonts w:cs="Times New Roman"/>
          <w:color w:val="000000"/>
          <w:sz w:val="23"/>
          <w:szCs w:val="23"/>
        </w:rPr>
        <w:t>. Section 18</w:t>
      </w:r>
      <w:r>
        <w:rPr>
          <w:rFonts w:cs="Times New Roman"/>
          <w:color w:val="000000"/>
          <w:sz w:val="23"/>
          <w:szCs w:val="23"/>
        </w:rPr>
        <w:t>11</w:t>
      </w:r>
      <w:r w:rsidRPr="00EC4EC4">
        <w:rPr>
          <w:rFonts w:cs="Times New Roman"/>
          <w:color w:val="000000"/>
          <w:sz w:val="23"/>
          <w:szCs w:val="23"/>
        </w:rPr>
        <w:t>.7.3 of  the New York city building code, as renumbered and amended by local law number 126 for the year 2021, is amended to read as follows:</w:t>
      </w:r>
    </w:p>
    <w:p w14:paraId="7F8D8FF9" w14:textId="77777777" w:rsidR="00140B7C" w:rsidRPr="00EC4EC4" w:rsidRDefault="00140B7C" w:rsidP="00140B7C">
      <w:pPr>
        <w:kinsoku w:val="0"/>
        <w:spacing w:after="240" w:line="240" w:lineRule="auto"/>
        <w:ind w:right="36"/>
        <w:jc w:val="both"/>
        <w:rPr>
          <w:rFonts w:eastAsia="Times New Roman" w:cs="Times New Roman"/>
          <w:szCs w:val="24"/>
        </w:rPr>
      </w:pPr>
      <w:r w:rsidRPr="00EC4EC4">
        <w:rPr>
          <w:rFonts w:eastAsia="Times New Roman" w:cs="Times New Roman"/>
          <w:b/>
          <w:bCs/>
          <w:szCs w:val="24"/>
        </w:rPr>
        <w:t>1811.7.3 Dimensions of [</w:t>
      </w:r>
      <w:r w:rsidRPr="00EC4EC4">
        <w:rPr>
          <w:rFonts w:eastAsia="Times New Roman" w:cs="Times New Roman"/>
          <w:b/>
          <w:bCs/>
          <w:strike/>
          <w:szCs w:val="24"/>
        </w:rPr>
        <w:t>Structural Steel H-piles</w:t>
      </w:r>
      <w:r w:rsidRPr="00EC4EC4">
        <w:rPr>
          <w:rFonts w:eastAsia="Times New Roman" w:cs="Times New Roman"/>
          <w:b/>
          <w:bCs/>
          <w:szCs w:val="24"/>
        </w:rPr>
        <w:t>]</w:t>
      </w:r>
      <w:r w:rsidRPr="00EC4EC4">
        <w:rPr>
          <w:rFonts w:eastAsia="Times New Roman" w:cs="Times New Roman"/>
          <w:b/>
          <w:bCs/>
          <w:szCs w:val="24"/>
          <w:u w:val="single"/>
        </w:rPr>
        <w:t>structural steel H-piles</w:t>
      </w:r>
      <w:r w:rsidRPr="00EC4EC4">
        <w:rPr>
          <w:rFonts w:eastAsia="Times New Roman" w:cs="Times New Roman"/>
          <w:b/>
          <w:bCs/>
          <w:szCs w:val="24"/>
        </w:rPr>
        <w:t xml:space="preserve">. </w:t>
      </w:r>
      <w:r w:rsidRPr="00EC4EC4">
        <w:rPr>
          <w:rFonts w:eastAsia="Times New Roman" w:cs="Times New Roman"/>
          <w:szCs w:val="24"/>
        </w:rPr>
        <w:t>Sections of structural steel H-piles shall comply with the requirements for HP shapes in ASTM A6 or the following:</w:t>
      </w:r>
    </w:p>
    <w:p w14:paraId="74D94142"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The flange projections shall not exceed 14 times the minimum thickness of metal in either the flange or the web and the flange widths shall not be less than 80 percent of the depth of the section.</w:t>
      </w:r>
    </w:p>
    <w:p w14:paraId="4DA98047"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The nominal depth in the direction of the web shall not be less than 8 inches ([</w:t>
      </w:r>
      <w:r w:rsidRPr="00EC4EC4">
        <w:rPr>
          <w:rFonts w:eastAsia="Times New Roman" w:cs="Times New Roman"/>
          <w:strike/>
          <w:szCs w:val="24"/>
        </w:rPr>
        <w:t>203</w:t>
      </w:r>
      <w:r w:rsidRPr="00EC4EC4">
        <w:rPr>
          <w:rFonts w:eastAsia="Times New Roman" w:cs="Times New Roman"/>
          <w:szCs w:val="24"/>
        </w:rPr>
        <w:t>] 203.2 mm).</w:t>
      </w:r>
    </w:p>
    <w:p w14:paraId="7AAB1502" w14:textId="77777777" w:rsidR="00140B7C"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Flanges and web shall have a minimum nominal thickness of ⅜ inch (9.5 mm).</w:t>
      </w:r>
    </w:p>
    <w:p w14:paraId="1051D92D" w14:textId="17E11405" w:rsidR="00140B7C" w:rsidRDefault="00140B7C" w:rsidP="00140B7C">
      <w:pPr>
        <w:kinsoku w:val="0"/>
        <w:spacing w:after="240" w:line="240" w:lineRule="auto"/>
        <w:ind w:firstLine="720"/>
        <w:jc w:val="both"/>
        <w:rPr>
          <w:rFonts w:cs="Times New Roman"/>
          <w:sz w:val="23"/>
          <w:szCs w:val="23"/>
        </w:rPr>
      </w:pPr>
      <w:r>
        <w:rPr>
          <w:rFonts w:cs="Times New Roman"/>
          <w:sz w:val="23"/>
          <w:szCs w:val="23"/>
        </w:rPr>
        <w:t>§19</w:t>
      </w:r>
      <w:r w:rsidR="00426399">
        <w:rPr>
          <w:rFonts w:cs="Times New Roman"/>
          <w:sz w:val="23"/>
          <w:szCs w:val="23"/>
        </w:rPr>
        <w:t>4</w:t>
      </w:r>
      <w:r>
        <w:rPr>
          <w:rFonts w:cs="Times New Roman"/>
          <w:sz w:val="23"/>
          <w:szCs w:val="23"/>
        </w:rPr>
        <w:t>. Section 1812.7.3 of  the New York city building code, as amended by local law number 126 for the year 2021, is amended to read as follows:</w:t>
      </w:r>
    </w:p>
    <w:p w14:paraId="2F05591B" w14:textId="77777777" w:rsidR="00140B7C" w:rsidRDefault="00140B7C" w:rsidP="00140B7C">
      <w:pPr>
        <w:rPr>
          <w:sz w:val="22"/>
        </w:rPr>
      </w:pPr>
      <w:r>
        <w:rPr>
          <w:b/>
          <w:bCs/>
        </w:rPr>
        <w:t>1812.7.3 Rock socket design.</w:t>
      </w:r>
      <w:r>
        <w:t xml:space="preserve"> The depth of the rock socket in Class 1c rock or better shall be sufficient to develop the full load-bearing capacity of the caisson pile based upon the sum of the allowable bearing pressure on the bottom of the socket in accordance with Table 1806.1 plus an allowable bond stress of 200 psi (1379 kPa) on the sides of the socket. The depth of the socket in Class 1c rock or better below the bottom of the pipe shall not be less than 3 feet (914.4 mm) or the outside diameter of the pipe. </w:t>
      </w:r>
    </w:p>
    <w:p w14:paraId="7B383EC4" w14:textId="77777777" w:rsidR="00140B7C" w:rsidRDefault="00140B7C" w:rsidP="00140B7C">
      <w:pPr>
        <w:ind w:left="270"/>
      </w:pPr>
      <w:r>
        <w:rPr>
          <w:b/>
          <w:bCs/>
        </w:rPr>
        <w:t>1812.7.3.1 Increased allowable bond stress.</w:t>
      </w:r>
      <w:r>
        <w:t xml:space="preserve"> Load tests, with instrumentation in the rock socket to demonstrate the transfer of force to the rock, shall be performed to justify the use of bond stresses above 200 psi (1379 kPa).  A minimum factor of safety of 2 shall be applied to the ultimate test load where an increase in allowable bond stress is sought. A report summarizing the methods and results of the load test shall be submitted to the commissioner for approval.</w:t>
      </w:r>
    </w:p>
    <w:p w14:paraId="4941E745" w14:textId="171DDB90" w:rsidR="00140B7C" w:rsidRPr="00426399" w:rsidRDefault="00140B7C" w:rsidP="00426399">
      <w:pPr>
        <w:ind w:left="720"/>
      </w:pPr>
      <w:r w:rsidRPr="00285896">
        <w:rPr>
          <w:b/>
          <w:bCs/>
        </w:rPr>
        <w:t>[</w:t>
      </w:r>
      <w:r w:rsidRPr="00285896">
        <w:rPr>
          <w:b/>
          <w:bCs/>
          <w:strike/>
        </w:rPr>
        <w:t>1812.7.3.2</w:t>
      </w:r>
      <w:r w:rsidRPr="00285896">
        <w:rPr>
          <w:b/>
          <w:bCs/>
        </w:rPr>
        <w:t>]</w:t>
      </w:r>
      <w:r w:rsidRPr="00285896">
        <w:rPr>
          <w:b/>
          <w:bCs/>
          <w:u w:val="single"/>
        </w:rPr>
        <w:t>1812.7.3.1.1</w:t>
      </w:r>
      <w:r>
        <w:rPr>
          <w:b/>
          <w:bCs/>
        </w:rPr>
        <w:t xml:space="preserve"> Minimum number of load tests.</w:t>
      </w:r>
      <w:r>
        <w:t xml:space="preserve"> In each area of the foundation site within which the subsurface soil and rock conditions are “substantially similar” in character, as determined by the engineer, at least one load test shall be performed for the largest caisson pile diameter used on a site occupying a total area of 80,000 square feet (7432.2 m</w:t>
      </w:r>
      <w:r>
        <w:rPr>
          <w:vertAlign w:val="superscript"/>
        </w:rPr>
        <w:t>2</w:t>
      </w:r>
      <w:r>
        <w:t>) or less. For sites greater than 80,000 square feet (7432.2 m</w:t>
      </w:r>
      <w:r>
        <w:rPr>
          <w:vertAlign w:val="superscript"/>
        </w:rPr>
        <w:t>2</w:t>
      </w:r>
      <w:r>
        <w:t>), an additional load test shall be performed for every 80,000 square feet (7432.2 m</w:t>
      </w:r>
      <w:r>
        <w:rPr>
          <w:vertAlign w:val="superscript"/>
        </w:rPr>
        <w:t>2</w:t>
      </w:r>
      <w:r>
        <w:t>) of added footprint area.</w:t>
      </w:r>
    </w:p>
    <w:p w14:paraId="00522BDF" w14:textId="46612038"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19</w:t>
      </w:r>
      <w:r w:rsidR="00426399">
        <w:rPr>
          <w:rFonts w:cs="Times New Roman"/>
          <w:color w:val="000000"/>
          <w:sz w:val="23"/>
          <w:szCs w:val="23"/>
        </w:rPr>
        <w:t>5</w:t>
      </w:r>
      <w:r w:rsidRPr="00EC4EC4">
        <w:rPr>
          <w:rFonts w:cs="Times New Roman"/>
          <w:color w:val="000000"/>
          <w:sz w:val="23"/>
          <w:szCs w:val="23"/>
        </w:rPr>
        <w:t>. Section 1817.3.1 of  the New York city building code, as added by local law number 126 for the year 2021, is amended to read as follows:</w:t>
      </w:r>
    </w:p>
    <w:p w14:paraId="6B69A968"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bCs/>
          <w:szCs w:val="24"/>
        </w:rPr>
        <w:t>1817.3.1</w:t>
      </w:r>
      <w:r w:rsidRPr="00EC4EC4">
        <w:rPr>
          <w:rFonts w:eastAsia="Times New Roman" w:cs="Times New Roman"/>
          <w:b/>
          <w:szCs w:val="24"/>
        </w:rPr>
        <w:t xml:space="preserve"> Assessment of the building and the subsurface conditions[</w:t>
      </w:r>
      <w:r w:rsidRPr="00EC4EC4">
        <w:rPr>
          <w:rFonts w:eastAsia="Times New Roman" w:cs="Times New Roman"/>
          <w:b/>
          <w:strike/>
          <w:szCs w:val="24"/>
        </w:rPr>
        <w:t>:</w:t>
      </w:r>
      <w:r w:rsidRPr="00EC4EC4">
        <w:rPr>
          <w:rFonts w:eastAsia="Times New Roman" w:cs="Times New Roman"/>
          <w:b/>
          <w:szCs w:val="24"/>
        </w:rPr>
        <w:t>]</w:t>
      </w:r>
      <w:r w:rsidRPr="00EC4EC4">
        <w:rPr>
          <w:rFonts w:eastAsia="Times New Roman" w:cs="Times New Roman"/>
          <w:b/>
          <w:szCs w:val="24"/>
          <w:u w:val="single"/>
        </w:rPr>
        <w:t>.</w:t>
      </w:r>
      <w:r w:rsidRPr="00EC4EC4">
        <w:rPr>
          <w:rFonts w:eastAsia="Times New Roman" w:cs="Times New Roman"/>
          <w:b/>
          <w:szCs w:val="24"/>
        </w:rPr>
        <w:t xml:space="preserve"> </w:t>
      </w:r>
      <w:r w:rsidRPr="00EC4EC4">
        <w:rPr>
          <w:rFonts w:eastAsia="Times New Roman" w:cs="Times New Roman"/>
          <w:szCs w:val="24"/>
        </w:rPr>
        <w:t>The engineer shall assess the condition of the existing building, and the subsurface conditions of the construction site and adjacent property, to an extent sufficient for determining acceptable method(s) of support, including underpinning or alternate methods of support. As necessary, the assessment shall be based on visual observations, calculations, review of the geotechnical report prepared for the project in accordance with Section 1803.6 and review of other available documentation.  The investigation shall include, as necessary, but need not be limited to, the following items:</w:t>
      </w:r>
    </w:p>
    <w:p w14:paraId="4F94D8BE"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An evaluation of the vertical load path of the building as it relates to the location of the proposed underpinning or alternate method of support.</w:t>
      </w:r>
    </w:p>
    <w:p w14:paraId="1C4BD0B6"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An evaluation of the lateral load path of the building as it relates to the location of the proposed underpinning or alternate method of support.</w:t>
      </w:r>
    </w:p>
    <w:p w14:paraId="239287DF"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Calculations of the vertical and lateral loads at the foundations to be underpinned or supported by an alternate method of support.</w:t>
      </w:r>
    </w:p>
    <w:p w14:paraId="477340DD"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A determination of the type and condition of the above grade elements to be supported or potentially affected by the work.</w:t>
      </w:r>
    </w:p>
    <w:p w14:paraId="2B8C49BC"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A survey of deviations from plumb or horizontal position of the building.</w:t>
      </w:r>
    </w:p>
    <w:p w14:paraId="3FF576E8"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lastRenderedPageBreak/>
        <w:t>6.</w:t>
      </w:r>
      <w:r w:rsidRPr="00EC4EC4">
        <w:rPr>
          <w:rFonts w:eastAsia="Times New Roman" w:cs="Times New Roman"/>
          <w:szCs w:val="24"/>
        </w:rPr>
        <w:tab/>
        <w:t>Identification of conspicuous structural defects, including but not limited to: bowing, significant cracking, structural degradation or unusual slenderness. A detailed description of such items shall be provided, with photographs and mapping if possible.</w:t>
      </w:r>
    </w:p>
    <w:p w14:paraId="46DF724E"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7.</w:t>
      </w:r>
      <w:r w:rsidRPr="00EC4EC4">
        <w:rPr>
          <w:rFonts w:eastAsia="Times New Roman" w:cs="Times New Roman"/>
          <w:szCs w:val="24"/>
        </w:rPr>
        <w:tab/>
        <w:t>A determination of acceptable thresholds</w:t>
      </w:r>
      <w:r w:rsidRPr="00EC4EC4" w:rsidDel="00446D5A">
        <w:rPr>
          <w:rFonts w:eastAsia="Times New Roman" w:cs="Times New Roman"/>
          <w:szCs w:val="24"/>
        </w:rPr>
        <w:t xml:space="preserve"> </w:t>
      </w:r>
      <w:r w:rsidRPr="00EC4EC4">
        <w:rPr>
          <w:rFonts w:eastAsia="Times New Roman" w:cs="Times New Roman"/>
          <w:szCs w:val="24"/>
        </w:rPr>
        <w:t>for maximum vertical and lateral movement, maximum permissible vibrations, the required monitoring and the protocols for exceedances.</w:t>
      </w:r>
    </w:p>
    <w:p w14:paraId="0530F3E1"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8.</w:t>
      </w:r>
      <w:r w:rsidRPr="00EC4EC4">
        <w:rPr>
          <w:rFonts w:eastAsia="Times New Roman" w:cs="Times New Roman"/>
          <w:szCs w:val="24"/>
        </w:rPr>
        <w:tab/>
        <w:t>A determination of the type and condition of the foundation elements to be supported or potentially affected by the work.</w:t>
      </w:r>
    </w:p>
    <w:p w14:paraId="4208B489"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9.</w:t>
      </w:r>
      <w:r w:rsidRPr="00EC4EC4">
        <w:rPr>
          <w:rFonts w:eastAsia="Times New Roman" w:cs="Times New Roman"/>
          <w:szCs w:val="24"/>
        </w:rPr>
        <w:tab/>
        <w:t xml:space="preserve">A test pit at each substantial change in foundation type or building geometry.  Records of the test pits shall include the following:  </w:t>
      </w:r>
    </w:p>
    <w:p w14:paraId="6302D5A4" w14:textId="77777777" w:rsidR="00140B7C" w:rsidRPr="00EC4EC4" w:rsidRDefault="00140B7C" w:rsidP="00140B7C">
      <w:pPr>
        <w:spacing w:after="240" w:line="240" w:lineRule="auto"/>
        <w:ind w:left="1440" w:hanging="360"/>
        <w:jc w:val="both"/>
        <w:rPr>
          <w:rFonts w:eastAsia="Times New Roman" w:cs="Times New Roman"/>
          <w:szCs w:val="24"/>
        </w:rPr>
      </w:pPr>
      <w:r w:rsidRPr="00EC4EC4">
        <w:rPr>
          <w:rFonts w:eastAsia="Times New Roman" w:cs="Times New Roman"/>
          <w:szCs w:val="24"/>
        </w:rPr>
        <w:t>a.</w:t>
      </w:r>
      <w:r w:rsidRPr="00EC4EC4">
        <w:rPr>
          <w:rFonts w:eastAsia="Times New Roman" w:cs="Times New Roman"/>
          <w:szCs w:val="24"/>
        </w:rPr>
        <w:tab/>
        <w:t>A description of the construction materials and condition of the footing, foundation wall and/or foundation system.</w:t>
      </w:r>
    </w:p>
    <w:p w14:paraId="7ECAE7AA" w14:textId="77777777" w:rsidR="00140B7C" w:rsidRPr="00EC4EC4" w:rsidRDefault="00140B7C" w:rsidP="00140B7C">
      <w:pPr>
        <w:spacing w:after="240" w:line="240" w:lineRule="auto"/>
        <w:ind w:left="1440" w:hanging="360"/>
        <w:jc w:val="both"/>
        <w:rPr>
          <w:rFonts w:eastAsia="Times New Roman" w:cs="Times New Roman"/>
          <w:szCs w:val="24"/>
        </w:rPr>
      </w:pPr>
      <w:r w:rsidRPr="00EC4EC4">
        <w:rPr>
          <w:rFonts w:eastAsia="Times New Roman" w:cs="Times New Roman"/>
          <w:szCs w:val="24"/>
        </w:rPr>
        <w:t>b.</w:t>
      </w:r>
      <w:r w:rsidRPr="00EC4EC4">
        <w:rPr>
          <w:rFonts w:eastAsia="Times New Roman" w:cs="Times New Roman"/>
          <w:szCs w:val="24"/>
        </w:rPr>
        <w:tab/>
        <w:t>The bottom elevation of the wall(s) and/or footing(s).</w:t>
      </w:r>
    </w:p>
    <w:p w14:paraId="492664F6" w14:textId="77777777" w:rsidR="00140B7C" w:rsidRPr="00EC4EC4" w:rsidRDefault="00140B7C" w:rsidP="00140B7C">
      <w:pPr>
        <w:spacing w:after="240" w:line="240" w:lineRule="auto"/>
        <w:ind w:left="1440" w:hanging="360"/>
        <w:jc w:val="both"/>
        <w:rPr>
          <w:rFonts w:eastAsia="Times New Roman" w:cs="Times New Roman"/>
          <w:szCs w:val="24"/>
        </w:rPr>
      </w:pPr>
      <w:r w:rsidRPr="00EC4EC4">
        <w:rPr>
          <w:rFonts w:eastAsia="Times New Roman" w:cs="Times New Roman"/>
          <w:szCs w:val="24"/>
        </w:rPr>
        <w:t>c.</w:t>
      </w:r>
      <w:r w:rsidRPr="00EC4EC4">
        <w:rPr>
          <w:rFonts w:eastAsia="Times New Roman" w:cs="Times New Roman"/>
          <w:szCs w:val="24"/>
        </w:rPr>
        <w:tab/>
        <w:t>The classification of the soil or rock the foundation bears upon.</w:t>
      </w:r>
    </w:p>
    <w:p w14:paraId="60FC031D" w14:textId="77777777" w:rsidR="00140B7C" w:rsidRPr="00EC4EC4" w:rsidRDefault="00140B7C" w:rsidP="00140B7C">
      <w:pPr>
        <w:spacing w:after="240" w:line="240" w:lineRule="auto"/>
        <w:ind w:left="1440" w:hanging="360"/>
        <w:jc w:val="both"/>
        <w:rPr>
          <w:rFonts w:eastAsia="Times New Roman" w:cs="Times New Roman"/>
          <w:szCs w:val="24"/>
        </w:rPr>
      </w:pPr>
      <w:r w:rsidRPr="00EC4EC4">
        <w:rPr>
          <w:rFonts w:eastAsia="Times New Roman" w:cs="Times New Roman"/>
          <w:szCs w:val="24"/>
        </w:rPr>
        <w:t>d.</w:t>
      </w:r>
      <w:r w:rsidRPr="00EC4EC4">
        <w:rPr>
          <w:rFonts w:eastAsia="Times New Roman" w:cs="Times New Roman"/>
          <w:szCs w:val="24"/>
        </w:rPr>
        <w:tab/>
        <w:t>Photographs and sketches of the test pit.</w:t>
      </w:r>
    </w:p>
    <w:p w14:paraId="3F104FE5"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10.</w:t>
      </w:r>
      <w:r w:rsidRPr="00EC4EC4">
        <w:rPr>
          <w:rFonts w:eastAsia="Times New Roman" w:cs="Times New Roman"/>
          <w:szCs w:val="24"/>
        </w:rPr>
        <w:tab/>
        <w:t xml:space="preserve">An assessment of the allowable bearing pressure of the soils supporting the existing foundation(s) per Section 1806. </w:t>
      </w:r>
    </w:p>
    <w:p w14:paraId="6FD5CE4B"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11.</w:t>
      </w:r>
      <w:r w:rsidRPr="00EC4EC4">
        <w:rPr>
          <w:rFonts w:eastAsia="Times New Roman" w:cs="Times New Roman"/>
          <w:szCs w:val="24"/>
        </w:rPr>
        <w:tab/>
        <w:t>An assessment of potential reductions to the allowable bearing pressure due to the proposed excavation.</w:t>
      </w:r>
    </w:p>
    <w:p w14:paraId="785805BC"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12.</w:t>
      </w:r>
      <w:r w:rsidRPr="00EC4EC4">
        <w:rPr>
          <w:rFonts w:eastAsia="Times New Roman" w:cs="Times New Roman"/>
          <w:szCs w:val="24"/>
        </w:rPr>
        <w:tab/>
        <w:t>The lateral earth, surcharge, and water pressures that will be present on the elements of the proposed underpinning or alternate method of support.</w:t>
      </w:r>
    </w:p>
    <w:p w14:paraId="63E0EC1D"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13.</w:t>
      </w:r>
      <w:r w:rsidRPr="00EC4EC4">
        <w:rPr>
          <w:rFonts w:eastAsia="Times New Roman" w:cs="Times New Roman"/>
          <w:szCs w:val="24"/>
        </w:rPr>
        <w:tab/>
        <w:t>An analysis of the subsurface conditions and their potential impacts on the underpinning or alternate method of support work such as, but not limited to: high water table and need for dewatering, loose soils, potentially running soils, presence of boulders, or other factors that could impact the design or construction of the underpinning or alternate method of support.</w:t>
      </w:r>
    </w:p>
    <w:p w14:paraId="46CF0740"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14.</w:t>
      </w:r>
      <w:r w:rsidRPr="00EC4EC4">
        <w:rPr>
          <w:rFonts w:eastAsia="Times New Roman" w:cs="Times New Roman"/>
          <w:szCs w:val="24"/>
        </w:rPr>
        <w:tab/>
        <w:t>An assessment of the allowable bearing pressure of the soils supporting the underpinning or alternate method of support during the installation sequence and in the permanent condition.</w:t>
      </w:r>
    </w:p>
    <w:p w14:paraId="0F55FF9D" w14:textId="77777777" w:rsidR="00140B7C" w:rsidRPr="00EC4EC4" w:rsidRDefault="00140B7C" w:rsidP="00140B7C">
      <w:pPr>
        <w:spacing w:after="240" w:line="240" w:lineRule="auto"/>
        <w:ind w:left="1080" w:hanging="360"/>
        <w:jc w:val="both"/>
        <w:rPr>
          <w:rFonts w:eastAsia="Times New Roman" w:cs="Times New Roman"/>
          <w:szCs w:val="24"/>
        </w:rPr>
      </w:pPr>
      <w:r w:rsidRPr="00EC4EC4">
        <w:rPr>
          <w:rFonts w:eastAsia="Times New Roman" w:cs="Times New Roman"/>
          <w:szCs w:val="24"/>
        </w:rPr>
        <w:t>15.</w:t>
      </w:r>
      <w:r w:rsidRPr="00EC4EC4">
        <w:rPr>
          <w:rFonts w:eastAsia="Times New Roman" w:cs="Times New Roman"/>
          <w:szCs w:val="24"/>
        </w:rPr>
        <w:tab/>
        <w:t>An assessment of the anticipated settlement during the underpinning or alternate method of support, and soil and foundation work.</w:t>
      </w:r>
    </w:p>
    <w:p w14:paraId="713BE9F2" w14:textId="77777777" w:rsidR="00140B7C" w:rsidRPr="00EC4EC4" w:rsidRDefault="00140B7C" w:rsidP="00140B7C">
      <w:pPr>
        <w:spacing w:after="240" w:line="240" w:lineRule="auto"/>
        <w:ind w:left="1080" w:hanging="360"/>
        <w:rPr>
          <w:rFonts w:eastAsia="Times New Roman" w:cs="Times New Roman"/>
          <w:szCs w:val="24"/>
        </w:rPr>
      </w:pPr>
      <w:r w:rsidRPr="00EC4EC4">
        <w:rPr>
          <w:rFonts w:eastAsia="Times New Roman" w:cs="Times New Roman"/>
          <w:szCs w:val="24"/>
        </w:rPr>
        <w:t>16.</w:t>
      </w:r>
      <w:r w:rsidRPr="00EC4EC4">
        <w:rPr>
          <w:rFonts w:eastAsia="Times New Roman" w:cs="Times New Roman"/>
          <w:szCs w:val="24"/>
        </w:rPr>
        <w:tab/>
        <w:t>Any additional information requested by the commissioner.</w:t>
      </w:r>
    </w:p>
    <w:p w14:paraId="228AE6CC" w14:textId="4738C696"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19</w:t>
      </w:r>
      <w:r w:rsidR="009A5563">
        <w:rPr>
          <w:rFonts w:cs="Times New Roman"/>
          <w:color w:val="000000"/>
          <w:sz w:val="23"/>
          <w:szCs w:val="23"/>
        </w:rPr>
        <w:t>6</w:t>
      </w:r>
      <w:r w:rsidRPr="00EC4EC4">
        <w:rPr>
          <w:rFonts w:cs="Times New Roman"/>
          <w:color w:val="000000"/>
          <w:sz w:val="23"/>
          <w:szCs w:val="23"/>
        </w:rPr>
        <w:t>. Section 1817.4 of  the New York city building code, as added by local law number 126 for the year 2021, is amended to read as follows:</w:t>
      </w:r>
    </w:p>
    <w:p w14:paraId="45C4D994"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bCs/>
          <w:szCs w:val="24"/>
        </w:rPr>
        <w:t>1817.4 Suitable [</w:t>
      </w:r>
      <w:r w:rsidRPr="00EC4EC4">
        <w:rPr>
          <w:rFonts w:eastAsia="Times New Roman" w:cs="Times New Roman"/>
          <w:b/>
          <w:strike/>
          <w:szCs w:val="24"/>
        </w:rPr>
        <w:t>Methods of Support</w:t>
      </w:r>
      <w:r w:rsidRPr="00EC4EC4">
        <w:rPr>
          <w:rFonts w:eastAsia="Times New Roman" w:cs="Times New Roman"/>
          <w:b/>
          <w:szCs w:val="24"/>
        </w:rPr>
        <w:t>]</w:t>
      </w:r>
      <w:r w:rsidRPr="00EC4EC4">
        <w:rPr>
          <w:rFonts w:eastAsia="Times New Roman" w:cs="Times New Roman"/>
          <w:b/>
          <w:szCs w:val="24"/>
          <w:u w:val="single"/>
        </w:rPr>
        <w:t>methods of support</w:t>
      </w:r>
      <w:r w:rsidRPr="00EC4EC4">
        <w:rPr>
          <w:rFonts w:eastAsia="Times New Roman" w:cs="Times New Roman"/>
          <w:b/>
          <w:szCs w:val="24"/>
        </w:rPr>
        <w:t xml:space="preserve">. </w:t>
      </w:r>
      <w:r w:rsidRPr="00EC4EC4">
        <w:rPr>
          <w:rFonts w:eastAsia="Times New Roman" w:cs="Times New Roman"/>
          <w:szCs w:val="24"/>
        </w:rPr>
        <w:t>Where a method of support for an existing building is required, such underpinning or alternate method of support shall be designed as a permanent structural element specific to the building using the methods described in Sections 1817.4.1 through 1817.4.3. The underpinning or alternate method of support shall be installed in accordance with provisions of this chapter and Chapter 33 and shall be inspected in accordance with the provisions of Chapter 17.</w:t>
      </w:r>
    </w:p>
    <w:p w14:paraId="2BDBE8D2" w14:textId="4550C6B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19</w:t>
      </w:r>
      <w:r w:rsidR="009A5563">
        <w:rPr>
          <w:rFonts w:cs="Times New Roman"/>
          <w:color w:val="000000"/>
          <w:sz w:val="23"/>
          <w:szCs w:val="23"/>
        </w:rPr>
        <w:t>7</w:t>
      </w:r>
      <w:r w:rsidRPr="00EC4EC4">
        <w:rPr>
          <w:rFonts w:cs="Times New Roman"/>
          <w:color w:val="000000"/>
          <w:sz w:val="23"/>
          <w:szCs w:val="23"/>
        </w:rPr>
        <w:t>. Section 1817.6 of  the New York city building code, as added by local law number 126 for the year 2021, is amended to read as follows:</w:t>
      </w:r>
    </w:p>
    <w:p w14:paraId="2E7F82E7" w14:textId="77777777" w:rsidR="00140B7C" w:rsidRPr="00EC4EC4" w:rsidRDefault="00140B7C" w:rsidP="00140B7C">
      <w:pPr>
        <w:kinsoku w:val="0"/>
        <w:spacing w:after="240" w:line="240" w:lineRule="auto"/>
        <w:jc w:val="both"/>
        <w:rPr>
          <w:rFonts w:eastAsia="Times New Roman" w:cs="Times New Roman"/>
          <w:b/>
          <w:bCs/>
          <w:szCs w:val="24"/>
        </w:rPr>
      </w:pPr>
      <w:r w:rsidRPr="00EC4EC4">
        <w:rPr>
          <w:rFonts w:eastAsia="Times New Roman" w:cs="Times New Roman"/>
          <w:b/>
          <w:bCs/>
          <w:szCs w:val="24"/>
        </w:rPr>
        <w:t>1817.6 Minimum</w:t>
      </w:r>
      <w:r w:rsidRPr="00EC4EC4">
        <w:rPr>
          <w:rFonts w:eastAsia="Times New Roman" w:cs="Times New Roman"/>
          <w:b/>
          <w:szCs w:val="24"/>
        </w:rPr>
        <w:t xml:space="preserve"> requirements for construction documents. </w:t>
      </w:r>
      <w:r w:rsidRPr="00EC4EC4">
        <w:rPr>
          <w:rFonts w:eastAsia="Times New Roman" w:cs="Times New Roman"/>
          <w:szCs w:val="24"/>
        </w:rPr>
        <w:t>Construction documents for methods of support of adjacent buildings shall include the following information:</w:t>
      </w:r>
    </w:p>
    <w:p w14:paraId="6CCD9DC0"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1.</w:t>
      </w:r>
      <w:r w:rsidRPr="00EC4EC4">
        <w:rPr>
          <w:rFonts w:eastAsia="Times New Roman" w:cs="Times New Roman"/>
          <w:szCs w:val="24"/>
        </w:rPr>
        <w:tab/>
        <w:t>Indicate the type of adjacent foundation, including type of material.</w:t>
      </w:r>
    </w:p>
    <w:p w14:paraId="2729B3AE"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2.</w:t>
      </w:r>
      <w:r w:rsidRPr="00EC4EC4">
        <w:rPr>
          <w:rFonts w:eastAsia="Times New Roman" w:cs="Times New Roman"/>
          <w:szCs w:val="24"/>
        </w:rPr>
        <w:tab/>
        <w:t>The bearing elevation(s) of the adjacent building foundation and its soil classification.</w:t>
      </w:r>
    </w:p>
    <w:p w14:paraId="05DEE777"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3.</w:t>
      </w:r>
      <w:r w:rsidRPr="00EC4EC4">
        <w:rPr>
          <w:rFonts w:eastAsia="Times New Roman" w:cs="Times New Roman"/>
          <w:szCs w:val="24"/>
        </w:rPr>
        <w:tab/>
        <w:t>For deep foundations, type and location including top and bottom elevations of deep foundation elements.</w:t>
      </w:r>
    </w:p>
    <w:p w14:paraId="53627E1F"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4.</w:t>
      </w:r>
      <w:r w:rsidRPr="00EC4EC4">
        <w:rPr>
          <w:rFonts w:eastAsia="Times New Roman" w:cs="Times New Roman"/>
          <w:szCs w:val="24"/>
        </w:rPr>
        <w:tab/>
        <w:t>The elevations of all floor levels at grade and below in the adjacent building.</w:t>
      </w:r>
    </w:p>
    <w:p w14:paraId="048D4674"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lastRenderedPageBreak/>
        <w:t>5.</w:t>
      </w:r>
      <w:r w:rsidRPr="00EC4EC4">
        <w:rPr>
          <w:rFonts w:eastAsia="Times New Roman" w:cs="Times New Roman"/>
          <w:szCs w:val="24"/>
        </w:rPr>
        <w:tab/>
        <w:t>Plans, cross-sections, and elevations views as necessary, to illustrate all conditions of the adjacent building relevant to the operation, including the below grade portions and the depth of the proposed excavation.</w:t>
      </w:r>
    </w:p>
    <w:p w14:paraId="3AD485CA"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6.</w:t>
      </w:r>
      <w:r w:rsidRPr="00EC4EC4">
        <w:rPr>
          <w:rFonts w:eastAsia="Times New Roman" w:cs="Times New Roman"/>
          <w:szCs w:val="24"/>
        </w:rPr>
        <w:tab/>
        <w:t>Details and criteria for monitoring the building or wall being supported, including but not limited to criteria and thresholds for movements as specified in Section 1817.9 and Chapters 17 and 33.</w:t>
      </w:r>
    </w:p>
    <w:p w14:paraId="061D7253" w14:textId="77777777" w:rsidR="00140B7C" w:rsidRPr="00EC4EC4" w:rsidRDefault="00140B7C" w:rsidP="00140B7C">
      <w:pPr>
        <w:kinsoku w:val="0"/>
        <w:spacing w:after="240" w:line="240" w:lineRule="auto"/>
        <w:ind w:left="720" w:hanging="360"/>
        <w:jc w:val="both"/>
        <w:rPr>
          <w:rFonts w:eastAsia="Times New Roman" w:cs="Times New Roman"/>
          <w:szCs w:val="24"/>
        </w:rPr>
      </w:pPr>
      <w:r w:rsidRPr="00EC4EC4">
        <w:rPr>
          <w:rFonts w:eastAsia="Times New Roman" w:cs="Times New Roman"/>
          <w:bCs/>
          <w:szCs w:val="24"/>
        </w:rPr>
        <w:t>7.</w:t>
      </w:r>
      <w:r w:rsidRPr="00EC4EC4">
        <w:rPr>
          <w:rFonts w:eastAsia="Times New Roman" w:cs="Times New Roman"/>
          <w:bCs/>
          <w:szCs w:val="24"/>
        </w:rPr>
        <w:tab/>
      </w:r>
      <w:r w:rsidRPr="00EC4EC4">
        <w:rPr>
          <w:rFonts w:eastAsia="Times New Roman" w:cs="Times New Roman"/>
          <w:szCs w:val="24"/>
        </w:rPr>
        <w:t>A fully detailed design of the method of support including any required bracing.</w:t>
      </w:r>
    </w:p>
    <w:p w14:paraId="32B788C2" w14:textId="77777777" w:rsidR="00140B7C" w:rsidRPr="00EC4EC4" w:rsidRDefault="00140B7C" w:rsidP="00140B7C">
      <w:pPr>
        <w:kinsoku w:val="0"/>
        <w:spacing w:after="240" w:line="240" w:lineRule="auto"/>
        <w:ind w:left="1080" w:hanging="360"/>
        <w:jc w:val="both"/>
        <w:rPr>
          <w:rFonts w:eastAsia="Times New Roman" w:cs="Times New Roman"/>
          <w:bCs/>
          <w:szCs w:val="24"/>
        </w:rPr>
      </w:pPr>
      <w:r w:rsidRPr="00EC4EC4">
        <w:rPr>
          <w:rFonts w:eastAsia="Times New Roman" w:cs="Times New Roman"/>
          <w:szCs w:val="24"/>
        </w:rPr>
        <w:t>[</w:t>
      </w:r>
      <w:r w:rsidRPr="00EC4EC4">
        <w:rPr>
          <w:rFonts w:eastAsia="Times New Roman" w:cs="Times New Roman"/>
          <w:strike/>
          <w:szCs w:val="24"/>
        </w:rPr>
        <w:t>a.</w:t>
      </w:r>
      <w:r w:rsidRPr="00EC4EC4">
        <w:rPr>
          <w:rFonts w:eastAsia="Times New Roman" w:cs="Times New Roman"/>
          <w:szCs w:val="24"/>
        </w:rPr>
        <w:t xml:space="preserve">] </w:t>
      </w:r>
      <w:r w:rsidRPr="00EC4EC4">
        <w:rPr>
          <w:rFonts w:eastAsia="Times New Roman" w:cs="Times New Roman"/>
          <w:szCs w:val="24"/>
          <w:u w:val="single"/>
        </w:rPr>
        <w:t>7.1.</w:t>
      </w:r>
      <w:r w:rsidRPr="00EC4EC4">
        <w:rPr>
          <w:rFonts w:eastAsia="Times New Roman" w:cs="Times New Roman"/>
          <w:szCs w:val="24"/>
        </w:rPr>
        <w:t xml:space="preserve"> For pit-pier underpinning, a detailed design for the timber shoring of the pit excavations shall also be provided.</w:t>
      </w:r>
    </w:p>
    <w:p w14:paraId="46065391" w14:textId="77777777" w:rsidR="00140B7C" w:rsidRPr="00EC4EC4" w:rsidRDefault="00140B7C" w:rsidP="00140B7C">
      <w:pPr>
        <w:kinsoku w:val="0"/>
        <w:spacing w:after="240" w:line="240" w:lineRule="auto"/>
        <w:ind w:left="720" w:hanging="360"/>
        <w:jc w:val="both"/>
        <w:rPr>
          <w:rFonts w:eastAsia="Times New Roman" w:cs="Times New Roman"/>
          <w:szCs w:val="24"/>
        </w:rPr>
      </w:pPr>
      <w:r w:rsidRPr="00EC4EC4">
        <w:rPr>
          <w:rFonts w:eastAsia="Times New Roman" w:cs="Times New Roman"/>
          <w:bCs/>
          <w:szCs w:val="24"/>
        </w:rPr>
        <w:t>8.</w:t>
      </w:r>
      <w:r w:rsidRPr="00EC4EC4">
        <w:rPr>
          <w:rFonts w:eastAsia="Times New Roman" w:cs="Times New Roman"/>
          <w:bCs/>
          <w:szCs w:val="24"/>
        </w:rPr>
        <w:tab/>
      </w:r>
      <w:r w:rsidRPr="00EC4EC4">
        <w:rPr>
          <w:rFonts w:eastAsia="Times New Roman" w:cs="Times New Roman"/>
          <w:szCs w:val="24"/>
        </w:rPr>
        <w:t>A step by step procedure describing the installation of the elements of the method of support.</w:t>
      </w:r>
    </w:p>
    <w:p w14:paraId="7BC0BA63" w14:textId="77777777" w:rsidR="00140B7C" w:rsidRPr="00EC4EC4" w:rsidRDefault="00140B7C" w:rsidP="00140B7C">
      <w:pPr>
        <w:kinsoku w:val="0"/>
        <w:spacing w:after="240" w:line="240" w:lineRule="auto"/>
        <w:ind w:left="1260" w:hanging="540"/>
        <w:jc w:val="both"/>
        <w:rPr>
          <w:rFonts w:eastAsia="Times New Roman" w:cs="Times New Roman"/>
          <w:bCs/>
          <w:szCs w:val="24"/>
        </w:rPr>
      </w:pPr>
      <w:r w:rsidRPr="00EC4EC4">
        <w:rPr>
          <w:rFonts w:eastAsia="Times New Roman" w:cs="Times New Roman"/>
          <w:szCs w:val="24"/>
        </w:rPr>
        <w:t>[</w:t>
      </w:r>
      <w:r w:rsidRPr="00EC4EC4">
        <w:rPr>
          <w:rFonts w:eastAsia="Times New Roman" w:cs="Times New Roman"/>
          <w:strike/>
          <w:szCs w:val="24"/>
        </w:rPr>
        <w:t>a.</w:t>
      </w:r>
      <w:r w:rsidRPr="00EC4EC4">
        <w:rPr>
          <w:rFonts w:eastAsia="Times New Roman" w:cs="Times New Roman"/>
          <w:szCs w:val="24"/>
        </w:rPr>
        <w:t>]  8.1. For pit-pier underpinning, the procedure shall include a diagram indicating the sequence of the pit installation and a detailed procedure of the installation of the shoring for the pit excavations.</w:t>
      </w:r>
    </w:p>
    <w:p w14:paraId="2BBB6A91"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9.</w:t>
      </w:r>
      <w:r w:rsidRPr="00EC4EC4">
        <w:rPr>
          <w:rFonts w:eastAsia="Times New Roman" w:cs="Times New Roman"/>
          <w:bCs/>
          <w:szCs w:val="24"/>
        </w:rPr>
        <w:tab/>
      </w:r>
      <w:r w:rsidRPr="00EC4EC4">
        <w:rPr>
          <w:rFonts w:eastAsia="Times New Roman" w:cs="Times New Roman"/>
          <w:szCs w:val="24"/>
        </w:rPr>
        <w:t>The elevation of the water table, need for dewatering as noted in the evaluation report, and the maximum permissible drawdown.</w:t>
      </w:r>
    </w:p>
    <w:p w14:paraId="4FF4073B"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10.</w:t>
      </w:r>
      <w:r w:rsidRPr="00EC4EC4">
        <w:rPr>
          <w:rFonts w:eastAsia="Times New Roman" w:cs="Times New Roman"/>
          <w:bCs/>
          <w:szCs w:val="24"/>
        </w:rPr>
        <w:tab/>
      </w:r>
      <w:r w:rsidRPr="00EC4EC4">
        <w:rPr>
          <w:rFonts w:eastAsia="Times New Roman" w:cs="Times New Roman"/>
          <w:szCs w:val="24"/>
        </w:rPr>
        <w:t>References alerting the contractor and the special inspector to review the evaluation report of the adjacent building prior to the start of work.</w:t>
      </w:r>
    </w:p>
    <w:p w14:paraId="5FC63201"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11.</w:t>
      </w:r>
      <w:r w:rsidRPr="00EC4EC4">
        <w:rPr>
          <w:rFonts w:eastAsia="Times New Roman" w:cs="Times New Roman"/>
          <w:bCs/>
          <w:szCs w:val="24"/>
        </w:rPr>
        <w:tab/>
      </w:r>
      <w:r w:rsidRPr="00EC4EC4">
        <w:rPr>
          <w:rFonts w:eastAsia="Times New Roman" w:cs="Times New Roman"/>
          <w:szCs w:val="24"/>
        </w:rPr>
        <w:t>Plans, sections, and elevation views of all methods of support.</w:t>
      </w:r>
    </w:p>
    <w:p w14:paraId="51794CD2" w14:textId="77777777" w:rsidR="00140B7C" w:rsidRPr="00EC4EC4" w:rsidRDefault="00140B7C" w:rsidP="00140B7C">
      <w:pPr>
        <w:kinsoku w:val="0"/>
        <w:spacing w:after="240" w:line="240" w:lineRule="auto"/>
        <w:ind w:left="720" w:hanging="360"/>
        <w:jc w:val="both"/>
        <w:rPr>
          <w:rFonts w:eastAsia="Times New Roman" w:cs="Times New Roman"/>
          <w:szCs w:val="24"/>
        </w:rPr>
      </w:pPr>
      <w:r w:rsidRPr="00EC4EC4">
        <w:rPr>
          <w:rFonts w:eastAsia="Times New Roman" w:cs="Times New Roman"/>
          <w:bCs/>
          <w:szCs w:val="24"/>
        </w:rPr>
        <w:t>12.</w:t>
      </w:r>
      <w:r w:rsidRPr="00EC4EC4">
        <w:rPr>
          <w:rFonts w:eastAsia="Times New Roman" w:cs="Times New Roman"/>
          <w:bCs/>
          <w:szCs w:val="24"/>
        </w:rPr>
        <w:tab/>
      </w:r>
      <w:r w:rsidRPr="00EC4EC4">
        <w:rPr>
          <w:rFonts w:eastAsia="Times New Roman" w:cs="Times New Roman"/>
          <w:szCs w:val="24"/>
        </w:rPr>
        <w:t>Soil classification of the required bearing stratum for the elements of the method of support.</w:t>
      </w:r>
    </w:p>
    <w:p w14:paraId="3584E2D1" w14:textId="77777777" w:rsidR="00140B7C" w:rsidRPr="00EC4EC4" w:rsidRDefault="00140B7C" w:rsidP="00140B7C">
      <w:pPr>
        <w:kinsoku w:val="0"/>
        <w:spacing w:after="240" w:line="240" w:lineRule="auto"/>
        <w:ind w:left="1260" w:hanging="540"/>
        <w:jc w:val="both"/>
        <w:rPr>
          <w:rFonts w:eastAsia="Times New Roman" w:cs="Times New Roman"/>
          <w:bCs/>
          <w:szCs w:val="24"/>
        </w:rPr>
      </w:pPr>
      <w:r w:rsidRPr="00EC4EC4">
        <w:rPr>
          <w:rFonts w:eastAsia="Times New Roman" w:cs="Times New Roman"/>
          <w:szCs w:val="24"/>
        </w:rPr>
        <w:t>[</w:t>
      </w:r>
      <w:r w:rsidRPr="00EC4EC4">
        <w:rPr>
          <w:rFonts w:eastAsia="Times New Roman" w:cs="Times New Roman"/>
          <w:strike/>
          <w:szCs w:val="24"/>
        </w:rPr>
        <w:t>a.</w:t>
      </w:r>
      <w:r w:rsidRPr="00EC4EC4">
        <w:rPr>
          <w:rFonts w:eastAsia="Times New Roman" w:cs="Times New Roman"/>
          <w:szCs w:val="24"/>
        </w:rPr>
        <w:t xml:space="preserve">]  </w:t>
      </w:r>
      <w:r w:rsidRPr="00EC4EC4">
        <w:rPr>
          <w:rFonts w:eastAsia="Times New Roman" w:cs="Times New Roman"/>
          <w:szCs w:val="24"/>
          <w:u w:val="single"/>
        </w:rPr>
        <w:t>12.1.</w:t>
      </w:r>
      <w:r w:rsidRPr="00EC4EC4">
        <w:rPr>
          <w:rFonts w:eastAsia="Times New Roman" w:cs="Times New Roman"/>
          <w:szCs w:val="24"/>
        </w:rPr>
        <w:t xml:space="preserve"> For pit-pier underpinning, also include the required allowable bearing pressure below the pier.</w:t>
      </w:r>
    </w:p>
    <w:p w14:paraId="45FE2D30"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13.</w:t>
      </w:r>
      <w:r w:rsidRPr="00EC4EC4">
        <w:rPr>
          <w:rFonts w:eastAsia="Times New Roman" w:cs="Times New Roman"/>
          <w:bCs/>
          <w:szCs w:val="24"/>
        </w:rPr>
        <w:tab/>
      </w:r>
      <w:r w:rsidRPr="00EC4EC4">
        <w:rPr>
          <w:rFonts w:eastAsia="Times New Roman" w:cs="Times New Roman"/>
          <w:szCs w:val="24"/>
        </w:rPr>
        <w:t>A load table or diagram shall be provided to indicate the following:</w:t>
      </w:r>
    </w:p>
    <w:p w14:paraId="43186C4B" w14:textId="77777777" w:rsidR="00140B7C" w:rsidRPr="00EC4EC4" w:rsidRDefault="00140B7C" w:rsidP="00140B7C">
      <w:pPr>
        <w:kinsoku w:val="0"/>
        <w:spacing w:after="240" w:line="240" w:lineRule="auto"/>
        <w:ind w:left="1080" w:hanging="360"/>
        <w:jc w:val="both"/>
        <w:rPr>
          <w:rFonts w:eastAsia="Times New Roman" w:cs="Times New Roman"/>
          <w:bCs/>
          <w:szCs w:val="24"/>
        </w:rPr>
      </w:pPr>
      <w:r w:rsidRPr="00EC4EC4">
        <w:rPr>
          <w:rFonts w:eastAsia="Times New Roman" w:cs="Times New Roman"/>
          <w:bCs/>
          <w:szCs w:val="24"/>
        </w:rPr>
        <w:t>[</w:t>
      </w:r>
      <w:r w:rsidRPr="00EC4EC4">
        <w:rPr>
          <w:rFonts w:eastAsia="Times New Roman" w:cs="Times New Roman"/>
          <w:bCs/>
          <w:strike/>
          <w:szCs w:val="24"/>
        </w:rPr>
        <w:t>a.</w:t>
      </w:r>
      <w:r w:rsidRPr="00EC4EC4">
        <w:rPr>
          <w:rFonts w:eastAsia="Times New Roman" w:cs="Times New Roman"/>
          <w:bCs/>
          <w:szCs w:val="24"/>
        </w:rPr>
        <w:t xml:space="preserve">]   </w:t>
      </w:r>
      <w:r w:rsidRPr="00EC4EC4">
        <w:rPr>
          <w:rFonts w:eastAsia="Times New Roman" w:cs="Times New Roman"/>
          <w:bCs/>
          <w:szCs w:val="24"/>
          <w:u w:val="single"/>
        </w:rPr>
        <w:t>13.1.</w:t>
      </w:r>
      <w:r w:rsidRPr="00EC4EC4">
        <w:rPr>
          <w:rFonts w:eastAsia="Times New Roman" w:cs="Times New Roman"/>
          <w:bCs/>
          <w:szCs w:val="24"/>
        </w:rPr>
        <w:t xml:space="preserve">   </w:t>
      </w:r>
      <w:r w:rsidRPr="00EC4EC4">
        <w:rPr>
          <w:rFonts w:eastAsia="Times New Roman" w:cs="Times New Roman"/>
          <w:szCs w:val="24"/>
        </w:rPr>
        <w:t>Total gravity load in underpinning pier or alternate method of support.</w:t>
      </w:r>
    </w:p>
    <w:p w14:paraId="1AFF5BA1" w14:textId="77777777" w:rsidR="00140B7C" w:rsidRPr="00EC4EC4" w:rsidRDefault="00140B7C" w:rsidP="00140B7C">
      <w:pPr>
        <w:kinsoku w:val="0"/>
        <w:spacing w:after="240" w:line="240" w:lineRule="auto"/>
        <w:ind w:left="1080" w:hanging="360"/>
        <w:jc w:val="both"/>
        <w:rPr>
          <w:rFonts w:eastAsia="Times New Roman" w:cs="Times New Roman"/>
          <w:bCs/>
          <w:szCs w:val="24"/>
        </w:rPr>
      </w:pPr>
      <w:r w:rsidRPr="00EC4EC4">
        <w:rPr>
          <w:rFonts w:eastAsia="Times New Roman" w:cs="Times New Roman"/>
          <w:bCs/>
          <w:szCs w:val="24"/>
        </w:rPr>
        <w:t>[</w:t>
      </w:r>
      <w:r w:rsidRPr="00EC4EC4">
        <w:rPr>
          <w:rFonts w:eastAsia="Times New Roman" w:cs="Times New Roman"/>
          <w:bCs/>
          <w:strike/>
          <w:szCs w:val="24"/>
        </w:rPr>
        <w:t>b.</w:t>
      </w:r>
      <w:r w:rsidRPr="00EC4EC4">
        <w:rPr>
          <w:rFonts w:eastAsia="Times New Roman" w:cs="Times New Roman"/>
          <w:bCs/>
          <w:szCs w:val="24"/>
        </w:rPr>
        <w:t xml:space="preserve">]   </w:t>
      </w:r>
      <w:r w:rsidRPr="00EC4EC4">
        <w:rPr>
          <w:rFonts w:eastAsia="Times New Roman" w:cs="Times New Roman"/>
          <w:bCs/>
          <w:szCs w:val="24"/>
          <w:u w:val="single"/>
        </w:rPr>
        <w:t>13.2.</w:t>
      </w:r>
      <w:r w:rsidRPr="00EC4EC4">
        <w:rPr>
          <w:rFonts w:eastAsia="Times New Roman" w:cs="Times New Roman"/>
          <w:bCs/>
          <w:szCs w:val="24"/>
        </w:rPr>
        <w:t xml:space="preserve">   </w:t>
      </w:r>
      <w:r w:rsidRPr="00EC4EC4">
        <w:rPr>
          <w:rFonts w:eastAsia="Times New Roman" w:cs="Times New Roman"/>
          <w:szCs w:val="24"/>
        </w:rPr>
        <w:t>Total lateral load in underpinning piers or alternate method of support.</w:t>
      </w:r>
    </w:p>
    <w:p w14:paraId="516AF5EC" w14:textId="3129AF03"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19</w:t>
      </w:r>
      <w:r w:rsidR="00D9168A">
        <w:rPr>
          <w:rFonts w:cs="Times New Roman"/>
          <w:color w:val="000000"/>
          <w:sz w:val="23"/>
          <w:szCs w:val="23"/>
        </w:rPr>
        <w:t>8</w:t>
      </w:r>
      <w:r w:rsidRPr="00EC4EC4">
        <w:rPr>
          <w:rFonts w:cs="Times New Roman"/>
          <w:color w:val="000000"/>
          <w:sz w:val="23"/>
          <w:szCs w:val="23"/>
        </w:rPr>
        <w:t>. Section 1817.7 of  the New York city building code, as added by local law number 126 for the year 2021, is amended to read as follows:</w:t>
      </w:r>
    </w:p>
    <w:p w14:paraId="0F692EB0"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bCs/>
          <w:szCs w:val="24"/>
        </w:rPr>
        <w:t>1817.7 Additional</w:t>
      </w:r>
      <w:r w:rsidRPr="00EC4EC4">
        <w:rPr>
          <w:rFonts w:eastAsia="Times New Roman" w:cs="Times New Roman"/>
          <w:b/>
          <w:szCs w:val="24"/>
        </w:rPr>
        <w:t xml:space="preserve"> requirements for pit-pier underpinning.</w:t>
      </w:r>
      <w:r w:rsidRPr="00EC4EC4">
        <w:rPr>
          <w:rFonts w:eastAsia="Times New Roman" w:cs="Times New Roman"/>
          <w:szCs w:val="24"/>
        </w:rPr>
        <w:t xml:space="preserve"> When the method of support selected is pit-pier underpinning, the design shall meet the following minimum criteria:</w:t>
      </w:r>
    </w:p>
    <w:p w14:paraId="5130C225" w14:textId="77777777" w:rsidR="00140B7C" w:rsidRPr="00EC4EC4" w:rsidRDefault="00140B7C" w:rsidP="00140B7C">
      <w:pPr>
        <w:kinsoku w:val="0"/>
        <w:spacing w:after="240" w:line="240" w:lineRule="auto"/>
        <w:ind w:left="720" w:hanging="360"/>
        <w:jc w:val="both"/>
        <w:rPr>
          <w:rFonts w:eastAsia="Times New Roman" w:cs="Times New Roman"/>
          <w:szCs w:val="24"/>
        </w:rPr>
      </w:pPr>
      <w:r w:rsidRPr="00EC4EC4">
        <w:rPr>
          <w:rFonts w:eastAsia="Times New Roman" w:cs="Times New Roman"/>
          <w:bCs/>
          <w:szCs w:val="24"/>
        </w:rPr>
        <w:t>1.</w:t>
      </w:r>
      <w:r w:rsidRPr="00EC4EC4">
        <w:rPr>
          <w:rFonts w:eastAsia="Times New Roman" w:cs="Times New Roman"/>
          <w:bCs/>
          <w:szCs w:val="24"/>
        </w:rPr>
        <w:tab/>
      </w:r>
      <w:r w:rsidRPr="00EC4EC4">
        <w:rPr>
          <w:rFonts w:eastAsia="Times New Roman" w:cs="Times New Roman"/>
          <w:szCs w:val="24"/>
        </w:rPr>
        <w:t xml:space="preserve">After installation of each pit-pier, the approach pit shall be back filled. </w:t>
      </w:r>
    </w:p>
    <w:p w14:paraId="5694E5B9"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szCs w:val="24"/>
        </w:rPr>
        <w:t>2.</w:t>
      </w:r>
      <w:r w:rsidRPr="00EC4EC4">
        <w:rPr>
          <w:rFonts w:eastAsia="Times New Roman" w:cs="Times New Roman"/>
          <w:szCs w:val="24"/>
        </w:rPr>
        <w:tab/>
        <w:t>In no case shall the general site excavation expose more than one third of the total height of a pit-pier, unless:</w:t>
      </w:r>
    </w:p>
    <w:p w14:paraId="293DD3B5" w14:textId="77777777" w:rsidR="00140B7C" w:rsidRPr="00EC4EC4" w:rsidRDefault="00140B7C" w:rsidP="00140B7C">
      <w:pPr>
        <w:kinsoku w:val="0"/>
        <w:spacing w:after="240" w:line="240" w:lineRule="auto"/>
        <w:ind w:left="1260" w:hanging="540"/>
        <w:jc w:val="both"/>
        <w:rPr>
          <w:rFonts w:eastAsia="Times New Roman" w:cs="Times New Roman"/>
          <w:bCs/>
          <w:szCs w:val="24"/>
        </w:rPr>
      </w:pPr>
      <w:r w:rsidRPr="00EC4EC4">
        <w:rPr>
          <w:rFonts w:eastAsia="Times New Roman" w:cs="Times New Roman"/>
          <w:bCs/>
          <w:szCs w:val="24"/>
        </w:rPr>
        <w:t>2.1.</w:t>
      </w:r>
      <w:r w:rsidRPr="00EC4EC4">
        <w:rPr>
          <w:rFonts w:eastAsia="Times New Roman" w:cs="Times New Roman"/>
          <w:bCs/>
          <w:szCs w:val="24"/>
        </w:rPr>
        <w:tab/>
      </w:r>
      <w:r w:rsidRPr="00EC4EC4">
        <w:rPr>
          <w:rFonts w:eastAsia="Times New Roman" w:cs="Times New Roman"/>
          <w:szCs w:val="24"/>
        </w:rPr>
        <w:t>A pit-pier bracing system designed by the engineer is installed or;</w:t>
      </w:r>
    </w:p>
    <w:p w14:paraId="43EF9701" w14:textId="77777777" w:rsidR="00140B7C" w:rsidRPr="00EC4EC4" w:rsidRDefault="00140B7C" w:rsidP="00140B7C">
      <w:pPr>
        <w:kinsoku w:val="0"/>
        <w:spacing w:after="240" w:line="240" w:lineRule="auto"/>
        <w:ind w:left="1260" w:hanging="540"/>
        <w:jc w:val="both"/>
        <w:rPr>
          <w:rFonts w:eastAsia="Times New Roman" w:cs="Times New Roman"/>
          <w:bCs/>
          <w:szCs w:val="24"/>
        </w:rPr>
      </w:pPr>
      <w:r w:rsidRPr="00EC4EC4">
        <w:rPr>
          <w:rFonts w:eastAsia="Times New Roman" w:cs="Times New Roman"/>
          <w:bCs/>
          <w:szCs w:val="24"/>
        </w:rPr>
        <w:t>2.2.</w:t>
      </w:r>
      <w:r w:rsidRPr="00EC4EC4">
        <w:rPr>
          <w:rFonts w:eastAsia="Times New Roman" w:cs="Times New Roman"/>
          <w:bCs/>
          <w:szCs w:val="24"/>
        </w:rPr>
        <w:tab/>
      </w:r>
      <w:r w:rsidRPr="00EC4EC4">
        <w:rPr>
          <w:rFonts w:eastAsia="Times New Roman" w:cs="Times New Roman"/>
          <w:szCs w:val="24"/>
        </w:rPr>
        <w:t>The calculated capacity of the individual pit-pier to resist lateral loading at a greater depth is identified on the drawings.</w:t>
      </w:r>
    </w:p>
    <w:p w14:paraId="5980C971"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3.</w:t>
      </w:r>
      <w:r w:rsidRPr="00EC4EC4">
        <w:rPr>
          <w:rFonts w:eastAsia="Times New Roman" w:cs="Times New Roman"/>
          <w:bCs/>
          <w:szCs w:val="24"/>
        </w:rPr>
        <w:tab/>
        <w:t>Pit</w:t>
      </w:r>
      <w:r w:rsidRPr="00EC4EC4">
        <w:rPr>
          <w:rFonts w:eastAsia="Times New Roman" w:cs="Times New Roman"/>
          <w:szCs w:val="24"/>
        </w:rPr>
        <w:t>-piers shall be preloaded by wedging, use of permanent jacks, or by other means designed by the engineer.</w:t>
      </w:r>
    </w:p>
    <w:p w14:paraId="3CBCEA37"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4.</w:t>
      </w:r>
      <w:r w:rsidRPr="00EC4EC4">
        <w:rPr>
          <w:rFonts w:eastAsia="Times New Roman" w:cs="Times New Roman"/>
          <w:szCs w:val="24"/>
        </w:rPr>
        <w:tab/>
        <w:t xml:space="preserve">Any voids between the bottom of the foundation and the top of the pit-pier shall be filled with dry-pack or equivalent. Dry-pack shall be composed of nonshrink material and be no more than 3 inches </w:t>
      </w:r>
      <w:r w:rsidRPr="00EC4EC4">
        <w:rPr>
          <w:rFonts w:eastAsia="Times New Roman" w:cs="Times New Roman"/>
          <w:szCs w:val="24"/>
          <w:u w:val="single"/>
        </w:rPr>
        <w:t>(76 mm)</w:t>
      </w:r>
      <w:r w:rsidRPr="00EC4EC4">
        <w:rPr>
          <w:rFonts w:eastAsia="Times New Roman" w:cs="Times New Roman"/>
          <w:szCs w:val="24"/>
        </w:rPr>
        <w:t xml:space="preserve"> in thickness.</w:t>
      </w:r>
    </w:p>
    <w:p w14:paraId="3672049E"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5.</w:t>
      </w:r>
      <w:r w:rsidRPr="00EC4EC4">
        <w:rPr>
          <w:rFonts w:eastAsia="Times New Roman" w:cs="Times New Roman"/>
          <w:bCs/>
          <w:szCs w:val="24"/>
        </w:rPr>
        <w:tab/>
      </w:r>
      <w:r w:rsidRPr="00EC4EC4">
        <w:rPr>
          <w:rFonts w:eastAsia="Times New Roman" w:cs="Times New Roman"/>
          <w:szCs w:val="24"/>
        </w:rPr>
        <w:t>The need for jacking and all associated jacking requirements shall be determined by the engineer responsible for the underpinning design.</w:t>
      </w:r>
    </w:p>
    <w:p w14:paraId="4F27E38F"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6.</w:t>
      </w:r>
      <w:r w:rsidRPr="00EC4EC4">
        <w:rPr>
          <w:rFonts w:eastAsia="Times New Roman" w:cs="Times New Roman"/>
          <w:bCs/>
          <w:szCs w:val="24"/>
        </w:rPr>
        <w:tab/>
      </w:r>
      <w:r w:rsidRPr="00EC4EC4">
        <w:rPr>
          <w:rFonts w:eastAsia="Times New Roman" w:cs="Times New Roman"/>
          <w:szCs w:val="24"/>
        </w:rPr>
        <w:t xml:space="preserve">The width of pit-piers shall not exceed 4 feet </w:t>
      </w:r>
      <w:r w:rsidRPr="00EC4EC4">
        <w:rPr>
          <w:rFonts w:eastAsia="Times New Roman" w:cs="Times New Roman"/>
          <w:szCs w:val="24"/>
          <w:u w:val="single"/>
        </w:rPr>
        <w:t>(1219 mm)</w:t>
      </w:r>
      <w:r w:rsidRPr="00EC4EC4">
        <w:rPr>
          <w:rFonts w:eastAsia="Times New Roman" w:cs="Times New Roman"/>
          <w:szCs w:val="24"/>
        </w:rPr>
        <w:t xml:space="preserve"> unless the calculations determine that a wider pit-pier is acceptable.</w:t>
      </w:r>
    </w:p>
    <w:p w14:paraId="4851CDB3" w14:textId="77777777" w:rsidR="00140B7C" w:rsidRPr="00EC4EC4" w:rsidRDefault="00140B7C" w:rsidP="00140B7C">
      <w:pPr>
        <w:kinsoku w:val="0"/>
        <w:spacing w:after="240" w:line="240" w:lineRule="auto"/>
        <w:ind w:left="720" w:hanging="360"/>
        <w:jc w:val="both"/>
        <w:rPr>
          <w:rFonts w:eastAsia="Times New Roman" w:cs="Times New Roman"/>
          <w:bCs/>
          <w:szCs w:val="24"/>
        </w:rPr>
      </w:pPr>
      <w:r w:rsidRPr="00EC4EC4">
        <w:rPr>
          <w:rFonts w:eastAsia="Times New Roman" w:cs="Times New Roman"/>
          <w:bCs/>
          <w:szCs w:val="24"/>
        </w:rPr>
        <w:t>7.</w:t>
      </w:r>
      <w:r w:rsidRPr="00EC4EC4">
        <w:rPr>
          <w:rFonts w:eastAsia="Times New Roman" w:cs="Times New Roman"/>
          <w:bCs/>
          <w:szCs w:val="24"/>
        </w:rPr>
        <w:tab/>
      </w:r>
      <w:r w:rsidRPr="00EC4EC4">
        <w:rPr>
          <w:rFonts w:eastAsia="Times New Roman" w:cs="Times New Roman"/>
          <w:szCs w:val="24"/>
        </w:rPr>
        <w:t>Shear transfer shall be designed and installed between adjacent pit-piers.</w:t>
      </w:r>
    </w:p>
    <w:p w14:paraId="054D2353" w14:textId="77777777" w:rsidR="00140B7C" w:rsidRPr="00EC4EC4" w:rsidRDefault="00140B7C" w:rsidP="00140B7C">
      <w:pPr>
        <w:kinsoku w:val="0"/>
        <w:spacing w:after="240" w:line="240" w:lineRule="auto"/>
        <w:ind w:left="720" w:hanging="360"/>
        <w:jc w:val="both"/>
        <w:rPr>
          <w:rFonts w:eastAsia="Times New Roman" w:cs="Times New Roman"/>
          <w:szCs w:val="24"/>
        </w:rPr>
      </w:pPr>
      <w:r w:rsidRPr="00EC4EC4">
        <w:rPr>
          <w:rFonts w:eastAsia="Times New Roman" w:cs="Times New Roman"/>
          <w:bCs/>
          <w:szCs w:val="24"/>
        </w:rPr>
        <w:t>8.</w:t>
      </w:r>
      <w:r w:rsidRPr="00EC4EC4">
        <w:rPr>
          <w:rFonts w:eastAsia="Times New Roman" w:cs="Times New Roman"/>
          <w:bCs/>
          <w:szCs w:val="24"/>
        </w:rPr>
        <w:tab/>
      </w:r>
      <w:r w:rsidRPr="00EC4EC4">
        <w:rPr>
          <w:rFonts w:eastAsia="Times New Roman" w:cs="Times New Roman"/>
          <w:szCs w:val="24"/>
        </w:rPr>
        <w:t>The bottom of pit-pier elevation shall be a minimum of one foot below the bottom of the future adjacent excavation.</w:t>
      </w:r>
    </w:p>
    <w:p w14:paraId="7B50CBB7" w14:textId="57D04F6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lastRenderedPageBreak/>
        <w:t>§</w:t>
      </w:r>
      <w:r>
        <w:rPr>
          <w:rFonts w:cs="Times New Roman"/>
          <w:color w:val="000000"/>
          <w:sz w:val="23"/>
          <w:szCs w:val="23"/>
        </w:rPr>
        <w:t>19</w:t>
      </w:r>
      <w:r w:rsidR="00D9168A">
        <w:rPr>
          <w:rFonts w:cs="Times New Roman"/>
          <w:color w:val="000000"/>
          <w:sz w:val="23"/>
          <w:szCs w:val="23"/>
        </w:rPr>
        <w:t>9</w:t>
      </w:r>
      <w:r w:rsidRPr="00EC4EC4">
        <w:rPr>
          <w:rFonts w:cs="Times New Roman"/>
          <w:color w:val="000000"/>
          <w:sz w:val="23"/>
          <w:szCs w:val="23"/>
        </w:rPr>
        <w:t>. Section 1817.7.1.1 of  the New York city building code, as added by local law number 126 for the year 2021, is amended to read as follows:</w:t>
      </w:r>
    </w:p>
    <w:p w14:paraId="65A41DE5" w14:textId="77777777" w:rsidR="00140B7C" w:rsidRPr="00EC4EC4" w:rsidRDefault="00140B7C" w:rsidP="00140B7C">
      <w:pPr>
        <w:kinsoku w:val="0"/>
        <w:spacing w:after="240" w:line="240" w:lineRule="auto"/>
        <w:jc w:val="both"/>
        <w:rPr>
          <w:rFonts w:eastAsia="Times New Roman" w:cs="Times New Roman"/>
          <w:bCs/>
          <w:szCs w:val="24"/>
        </w:rPr>
      </w:pPr>
      <w:r w:rsidRPr="00EC4EC4">
        <w:rPr>
          <w:rFonts w:eastAsia="Times New Roman" w:cs="Times New Roman"/>
          <w:b/>
          <w:bCs/>
          <w:szCs w:val="24"/>
        </w:rPr>
        <w:t>1817.7.1.1</w:t>
      </w:r>
      <w:r w:rsidRPr="00EC4EC4">
        <w:rPr>
          <w:rFonts w:eastAsia="Times New Roman" w:cs="Times New Roman"/>
          <w:b/>
          <w:szCs w:val="24"/>
        </w:rPr>
        <w:t xml:space="preserve"> Excavation [</w:t>
      </w:r>
      <w:r w:rsidRPr="00EC4EC4">
        <w:rPr>
          <w:rFonts w:eastAsia="Times New Roman" w:cs="Times New Roman"/>
          <w:b/>
          <w:strike/>
          <w:szCs w:val="24"/>
        </w:rPr>
        <w:t>Methods</w:t>
      </w:r>
      <w:r w:rsidRPr="00EC4EC4">
        <w:rPr>
          <w:rFonts w:eastAsia="Times New Roman" w:cs="Times New Roman"/>
          <w:b/>
          <w:szCs w:val="24"/>
        </w:rPr>
        <w:t>]</w:t>
      </w:r>
      <w:r w:rsidRPr="00EC4EC4">
        <w:rPr>
          <w:rFonts w:eastAsia="Times New Roman" w:cs="Times New Roman"/>
          <w:b/>
          <w:szCs w:val="24"/>
          <w:u w:val="single"/>
        </w:rPr>
        <w:t>methods</w:t>
      </w:r>
      <w:r w:rsidRPr="00EC4EC4">
        <w:rPr>
          <w:rFonts w:eastAsia="Times New Roman" w:cs="Times New Roman"/>
          <w:b/>
          <w:szCs w:val="24"/>
        </w:rPr>
        <w:t xml:space="preserve">. </w:t>
      </w:r>
      <w:r w:rsidRPr="00EC4EC4">
        <w:rPr>
          <w:rFonts w:eastAsia="Times New Roman" w:cs="Times New Roman"/>
          <w:szCs w:val="24"/>
        </w:rPr>
        <w:t xml:space="preserve"> Pit-pier excavations shall be performed using hand held tools.  Excavation using backhoes or other mechanical means to excavate the pit-piers is prohibited.</w:t>
      </w:r>
    </w:p>
    <w:p w14:paraId="641BC21D" w14:textId="32CBEBEA" w:rsidR="00140B7C" w:rsidRPr="00EC4EC4" w:rsidRDefault="00140B7C" w:rsidP="00140B7C">
      <w:pPr>
        <w:kinsoku w:val="0"/>
        <w:spacing w:after="240" w:line="240" w:lineRule="auto"/>
        <w:ind w:firstLine="720"/>
        <w:jc w:val="both"/>
        <w:rPr>
          <w:rFonts w:cs="Times New Roman"/>
          <w:color w:val="000000"/>
          <w:sz w:val="23"/>
          <w:szCs w:val="23"/>
        </w:rPr>
      </w:pPr>
      <w:r w:rsidRPr="00EC4EC4">
        <w:rPr>
          <w:rFonts w:cs="Times New Roman"/>
          <w:color w:val="000000"/>
          <w:sz w:val="23"/>
          <w:szCs w:val="23"/>
        </w:rPr>
        <w:t>§</w:t>
      </w:r>
      <w:r w:rsidR="00D9168A">
        <w:rPr>
          <w:rFonts w:cs="Times New Roman"/>
          <w:color w:val="000000"/>
          <w:sz w:val="23"/>
          <w:szCs w:val="23"/>
        </w:rPr>
        <w:t>200</w:t>
      </w:r>
      <w:r w:rsidRPr="00EC4EC4">
        <w:rPr>
          <w:rFonts w:cs="Times New Roman"/>
          <w:color w:val="000000"/>
          <w:sz w:val="23"/>
          <w:szCs w:val="23"/>
        </w:rPr>
        <w:t>. Section 1817.7.1.3 of  the New York city building code, as added by local law number 126 for the year 2021, is amended to read as follows:</w:t>
      </w:r>
    </w:p>
    <w:p w14:paraId="17F2D045" w14:textId="77777777" w:rsidR="00140B7C" w:rsidRPr="00EC4EC4" w:rsidRDefault="00140B7C" w:rsidP="00140B7C">
      <w:pPr>
        <w:kinsoku w:val="0"/>
        <w:spacing w:after="240" w:line="240" w:lineRule="auto"/>
        <w:jc w:val="both"/>
        <w:rPr>
          <w:rFonts w:eastAsia="Times New Roman" w:cs="Times New Roman"/>
          <w:bCs/>
          <w:szCs w:val="24"/>
        </w:rPr>
      </w:pPr>
      <w:r w:rsidRPr="00EC4EC4">
        <w:rPr>
          <w:rFonts w:eastAsia="Times New Roman" w:cs="Times New Roman"/>
          <w:b/>
          <w:bCs/>
          <w:szCs w:val="24"/>
        </w:rPr>
        <w:t>1817.7.1.3</w:t>
      </w:r>
      <w:r w:rsidRPr="00EC4EC4">
        <w:rPr>
          <w:rFonts w:eastAsia="Times New Roman" w:cs="Times New Roman"/>
          <w:b/>
          <w:szCs w:val="24"/>
        </w:rPr>
        <w:t xml:space="preserve"> Pit [</w:t>
      </w:r>
      <w:r w:rsidRPr="00EC4EC4">
        <w:rPr>
          <w:rFonts w:eastAsia="Times New Roman" w:cs="Times New Roman"/>
          <w:b/>
          <w:strike/>
          <w:szCs w:val="24"/>
        </w:rPr>
        <w:t>Excavation</w:t>
      </w:r>
      <w:r w:rsidRPr="00EC4EC4">
        <w:rPr>
          <w:rFonts w:eastAsia="Times New Roman" w:cs="Times New Roman"/>
          <w:b/>
          <w:szCs w:val="24"/>
        </w:rPr>
        <w:t>]</w:t>
      </w:r>
      <w:r w:rsidRPr="00EC4EC4">
        <w:rPr>
          <w:rFonts w:eastAsia="Times New Roman" w:cs="Times New Roman"/>
          <w:b/>
          <w:szCs w:val="24"/>
          <w:u w:val="single"/>
        </w:rPr>
        <w:t>excavation</w:t>
      </w:r>
      <w:r w:rsidRPr="00EC4EC4">
        <w:rPr>
          <w:rFonts w:eastAsia="Times New Roman" w:cs="Times New Roman"/>
          <w:b/>
          <w:szCs w:val="24"/>
        </w:rPr>
        <w:t xml:space="preserve"> below the lowest installed lagging board.</w:t>
      </w:r>
      <w:r w:rsidRPr="00EC4EC4">
        <w:rPr>
          <w:rFonts w:eastAsia="Times New Roman" w:cs="Times New Roman"/>
          <w:szCs w:val="24"/>
        </w:rPr>
        <w:t xml:space="preserve"> Lagging boards shall be installed as the excavation proceeds to limit soil loss.  In no case shall excavation proceed more than 2 feet (609.6 mm) below the lowest installed lagging board.  At completion of pit excavation, the pit shall be fully lagged.</w:t>
      </w:r>
    </w:p>
    <w:p w14:paraId="592C9299" w14:textId="5180C038"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sidR="00D9168A">
        <w:rPr>
          <w:rFonts w:cs="Times New Roman"/>
          <w:color w:val="000000"/>
          <w:sz w:val="23"/>
          <w:szCs w:val="23"/>
        </w:rPr>
        <w:t>201</w:t>
      </w:r>
      <w:r w:rsidRPr="00EC4EC4">
        <w:rPr>
          <w:rFonts w:cs="Times New Roman"/>
          <w:color w:val="000000"/>
          <w:sz w:val="23"/>
          <w:szCs w:val="23"/>
        </w:rPr>
        <w:t>. Section 1817.10 of  the New York city building code, as added by local law number 126 for the year 2021, is amended to read as follows:</w:t>
      </w:r>
    </w:p>
    <w:p w14:paraId="1E00E5E1"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szCs w:val="24"/>
        </w:rPr>
        <w:t>1817.10 Special [</w:t>
      </w:r>
      <w:r w:rsidRPr="00EC4EC4">
        <w:rPr>
          <w:rFonts w:eastAsia="Times New Roman" w:cs="Times New Roman"/>
          <w:b/>
          <w:strike/>
          <w:szCs w:val="24"/>
        </w:rPr>
        <w:t>Inspection</w:t>
      </w:r>
      <w:r w:rsidRPr="00EC4EC4">
        <w:rPr>
          <w:rFonts w:eastAsia="Times New Roman" w:cs="Times New Roman"/>
          <w:b/>
          <w:szCs w:val="24"/>
        </w:rPr>
        <w:t>]</w:t>
      </w:r>
      <w:r w:rsidRPr="00EC4EC4">
        <w:rPr>
          <w:rFonts w:eastAsia="Times New Roman" w:cs="Times New Roman"/>
          <w:b/>
          <w:szCs w:val="24"/>
          <w:u w:val="single"/>
        </w:rPr>
        <w:t>inspection</w:t>
      </w:r>
      <w:r w:rsidRPr="00EC4EC4">
        <w:rPr>
          <w:rFonts w:eastAsia="Times New Roman" w:cs="Times New Roman"/>
          <w:b/>
          <w:szCs w:val="24"/>
        </w:rPr>
        <w:t xml:space="preserve">. </w:t>
      </w:r>
      <w:r w:rsidRPr="00EC4EC4">
        <w:rPr>
          <w:rFonts w:eastAsia="Times New Roman" w:cs="Times New Roman"/>
          <w:szCs w:val="24"/>
        </w:rPr>
        <w:t>Special inspection shall be conducted in accordance with Chapter 17.</w:t>
      </w:r>
    </w:p>
    <w:p w14:paraId="237FAA9A" w14:textId="0E096C95"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sidR="00D9168A">
        <w:rPr>
          <w:rFonts w:cs="Times New Roman"/>
          <w:color w:val="000000"/>
          <w:sz w:val="23"/>
          <w:szCs w:val="23"/>
        </w:rPr>
        <w:t>202</w:t>
      </w:r>
      <w:r w:rsidRPr="00EC4EC4">
        <w:rPr>
          <w:rFonts w:cs="Times New Roman"/>
          <w:color w:val="000000"/>
          <w:sz w:val="23"/>
          <w:szCs w:val="23"/>
        </w:rPr>
        <w:t>. Section 1818.3 of  the New York city building code, as added by local law number 126 for the year 2021, is amended to read as follows:</w:t>
      </w:r>
    </w:p>
    <w:p w14:paraId="73C0A2D2" w14:textId="77777777" w:rsidR="00140B7C" w:rsidRPr="00EC4EC4" w:rsidRDefault="00140B7C" w:rsidP="00140B7C">
      <w:pPr>
        <w:kinsoku w:val="0"/>
        <w:spacing w:after="240" w:line="240" w:lineRule="auto"/>
        <w:jc w:val="both"/>
        <w:rPr>
          <w:rFonts w:eastAsia="Times New Roman" w:cs="Times New Roman"/>
          <w:spacing w:val="1"/>
          <w:szCs w:val="24"/>
        </w:rPr>
      </w:pPr>
      <w:r w:rsidRPr="00EC4EC4">
        <w:rPr>
          <w:rFonts w:eastAsia="Times New Roman" w:cs="Times New Roman"/>
          <w:b/>
          <w:szCs w:val="24"/>
        </w:rPr>
        <w:t>1818.3 Geotechnical peer review qualifications[</w:t>
      </w:r>
      <w:r w:rsidRPr="00EC4EC4">
        <w:rPr>
          <w:rFonts w:eastAsia="Times New Roman" w:cs="Times New Roman"/>
          <w:b/>
          <w:strike/>
          <w:szCs w:val="24"/>
        </w:rPr>
        <w:t>:</w:t>
      </w:r>
      <w:r w:rsidRPr="00EC4EC4">
        <w:rPr>
          <w:rFonts w:eastAsia="Times New Roman" w:cs="Times New Roman"/>
          <w:b/>
          <w:szCs w:val="24"/>
        </w:rPr>
        <w:t>]</w:t>
      </w:r>
      <w:r w:rsidRPr="00EC4EC4">
        <w:rPr>
          <w:rFonts w:eastAsia="Times New Roman" w:cs="Times New Roman"/>
          <w:b/>
          <w:szCs w:val="24"/>
          <w:u w:val="single"/>
        </w:rPr>
        <w:t>.</w:t>
      </w:r>
      <w:r w:rsidRPr="00EC4EC4">
        <w:rPr>
          <w:rFonts w:eastAsia="Times New Roman" w:cs="Times New Roman"/>
          <w:b/>
          <w:szCs w:val="24"/>
        </w:rPr>
        <w:t xml:space="preserve">  </w:t>
      </w:r>
      <w:r w:rsidRPr="00EC4EC4">
        <w:rPr>
          <w:rFonts w:eastAsia="Times New Roman" w:cs="Times New Roman"/>
          <w:spacing w:val="1"/>
          <w:szCs w:val="24"/>
        </w:rPr>
        <w:t>The geotechnical peer review shall be performed by a qualified independent geotechnical engineer who has been retained by or on behalf of the owner. A geotechnical peer reviewer shall meet the requirements of the rules of the department.</w:t>
      </w:r>
    </w:p>
    <w:p w14:paraId="40333A11" w14:textId="27505473"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sidR="00030ED7">
        <w:rPr>
          <w:rFonts w:cs="Times New Roman"/>
          <w:color w:val="000000"/>
          <w:sz w:val="23"/>
          <w:szCs w:val="23"/>
        </w:rPr>
        <w:t>203</w:t>
      </w:r>
      <w:r w:rsidRPr="00EC4EC4">
        <w:rPr>
          <w:rFonts w:cs="Times New Roman"/>
          <w:color w:val="000000"/>
          <w:sz w:val="23"/>
          <w:szCs w:val="23"/>
        </w:rPr>
        <w:t>. Section 1818.4 of  the New York city building code, as added by local law number 126 for the year 2021, is amended to read as follows:</w:t>
      </w:r>
    </w:p>
    <w:p w14:paraId="084767AF"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szCs w:val="24"/>
        </w:rPr>
        <w:t>1818.4 Extent of [</w:t>
      </w:r>
      <w:r w:rsidRPr="00EC4EC4">
        <w:rPr>
          <w:rFonts w:eastAsia="Times New Roman" w:cs="Times New Roman"/>
          <w:b/>
          <w:strike/>
          <w:szCs w:val="24"/>
        </w:rPr>
        <w:t>Geotechnical Peer Review</w:t>
      </w:r>
      <w:r w:rsidRPr="00EC4EC4">
        <w:rPr>
          <w:rFonts w:eastAsia="Times New Roman" w:cs="Times New Roman"/>
          <w:b/>
          <w:szCs w:val="24"/>
        </w:rPr>
        <w:t>]</w:t>
      </w:r>
      <w:r w:rsidRPr="00EC4EC4">
        <w:rPr>
          <w:rFonts w:eastAsia="Times New Roman" w:cs="Times New Roman"/>
          <w:b/>
          <w:szCs w:val="24"/>
          <w:u w:val="single"/>
        </w:rPr>
        <w:t>geotechnical peer review</w:t>
      </w:r>
      <w:r w:rsidRPr="00EC4EC4">
        <w:rPr>
          <w:rFonts w:eastAsia="Times New Roman" w:cs="Times New Roman"/>
          <w:b/>
          <w:szCs w:val="24"/>
        </w:rPr>
        <w:t xml:space="preserve">. </w:t>
      </w:r>
      <w:r w:rsidRPr="00EC4EC4">
        <w:rPr>
          <w:rFonts w:eastAsia="Times New Roman" w:cs="Times New Roman"/>
          <w:szCs w:val="24"/>
        </w:rPr>
        <w:t xml:space="preserve"> The extent of the geotechnical peer review shall be performed in accordance with Section 1818.4.1.</w:t>
      </w:r>
    </w:p>
    <w:p w14:paraId="36615F52" w14:textId="401BA40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20</w:t>
      </w:r>
      <w:r w:rsidR="00030ED7">
        <w:rPr>
          <w:rFonts w:cs="Times New Roman"/>
          <w:color w:val="000000"/>
          <w:sz w:val="23"/>
          <w:szCs w:val="23"/>
        </w:rPr>
        <w:t>4</w:t>
      </w:r>
      <w:r w:rsidRPr="00EC4EC4">
        <w:rPr>
          <w:rFonts w:cs="Times New Roman"/>
          <w:color w:val="000000"/>
          <w:sz w:val="23"/>
          <w:szCs w:val="23"/>
        </w:rPr>
        <w:t>. Section 1818.4.1 of  the New York city building code, as added by local law number 126 for the year 2021, is amended to read as follows:</w:t>
      </w:r>
    </w:p>
    <w:p w14:paraId="50928FD9" w14:textId="77777777" w:rsidR="00140B7C" w:rsidRPr="00EC4EC4" w:rsidRDefault="00140B7C" w:rsidP="00140B7C">
      <w:pPr>
        <w:kinsoku w:val="0"/>
        <w:spacing w:after="240" w:line="240" w:lineRule="auto"/>
        <w:jc w:val="both"/>
        <w:rPr>
          <w:rFonts w:eastAsia="Times New Roman" w:cs="Times New Roman"/>
          <w:spacing w:val="3"/>
          <w:szCs w:val="24"/>
        </w:rPr>
      </w:pPr>
      <w:r w:rsidRPr="00EC4EC4">
        <w:rPr>
          <w:rFonts w:eastAsia="Times New Roman" w:cs="Times New Roman"/>
          <w:b/>
          <w:szCs w:val="24"/>
        </w:rPr>
        <w:t>1818.4.1 Scope.</w:t>
      </w:r>
      <w:r w:rsidRPr="00EC4EC4">
        <w:rPr>
          <w:rFonts w:eastAsia="Times New Roman" w:cs="Times New Roman"/>
          <w:b/>
          <w:bCs/>
          <w:w w:val="110"/>
          <w:szCs w:val="24"/>
        </w:rPr>
        <w:t xml:space="preserve"> </w:t>
      </w:r>
      <w:r w:rsidRPr="00EC4EC4">
        <w:rPr>
          <w:rFonts w:eastAsia="Times New Roman" w:cs="Times New Roman"/>
          <w:spacing w:val="1"/>
          <w:szCs w:val="24"/>
        </w:rPr>
        <w:t>The geotechnical peer reviewer shall review the plans and specifications submitted with the permit application for general compliance with the foundation design provisions of this code. The reviewing engineer shall perform the following tasks at a minimum</w:t>
      </w:r>
      <w:r w:rsidRPr="00EC4EC4">
        <w:rPr>
          <w:rFonts w:eastAsia="Times New Roman" w:cs="Times New Roman"/>
          <w:spacing w:val="3"/>
          <w:szCs w:val="24"/>
        </w:rPr>
        <w:t>:</w:t>
      </w:r>
    </w:p>
    <w:p w14:paraId="21A5677A" w14:textId="77777777" w:rsidR="00140B7C" w:rsidRPr="00EC4EC4" w:rsidRDefault="00140B7C" w:rsidP="00140B7C">
      <w:pPr>
        <w:tabs>
          <w:tab w:val="left" w:pos="-3150"/>
        </w:tabs>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Confirm that the subsurface investigation meets the requirements of this code</w:t>
      </w:r>
      <w:r w:rsidRPr="00EC4EC4">
        <w:rPr>
          <w:rFonts w:eastAsia="Times New Roman" w:cs="Times New Roman"/>
          <w:szCs w:val="24"/>
          <w:u w:val="single"/>
        </w:rPr>
        <w:t>.</w:t>
      </w:r>
    </w:p>
    <w:p w14:paraId="617F7F85" w14:textId="77777777" w:rsidR="00140B7C" w:rsidRPr="00EC4EC4" w:rsidRDefault="00140B7C" w:rsidP="00140B7C">
      <w:pPr>
        <w:tabs>
          <w:tab w:val="left" w:pos="-3150"/>
        </w:tabs>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Confirm that the geotechnical report and supplemental reports, including foundation recommendations and testing, meet the requirements of this code.</w:t>
      </w:r>
    </w:p>
    <w:p w14:paraId="734C071A" w14:textId="77777777" w:rsidR="00140B7C" w:rsidRPr="00EC4EC4" w:rsidRDefault="00140B7C" w:rsidP="00140B7C">
      <w:pPr>
        <w:tabs>
          <w:tab w:val="left" w:pos="-3150"/>
        </w:tabs>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Provide independent check on foundation capacities. This check must include the structural and geotechnical capacity of the foundation element, if not covered by the structural peer review.</w:t>
      </w:r>
    </w:p>
    <w:p w14:paraId="46B95EF7" w14:textId="77777777" w:rsidR="00140B7C" w:rsidRPr="00EC4EC4" w:rsidRDefault="00140B7C" w:rsidP="00140B7C">
      <w:pPr>
        <w:tabs>
          <w:tab w:val="left" w:pos="-3150"/>
        </w:tabs>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Where uplift resistance is required, provide independent check on prestressed anchor or pile design.</w:t>
      </w:r>
    </w:p>
    <w:p w14:paraId="507D0092" w14:textId="77777777" w:rsidR="00140B7C" w:rsidRPr="00EC4EC4" w:rsidRDefault="00140B7C" w:rsidP="00140B7C">
      <w:pPr>
        <w:tabs>
          <w:tab w:val="left" w:pos="-3150"/>
        </w:tabs>
        <w:spacing w:after="240" w:line="240" w:lineRule="auto"/>
        <w:ind w:left="108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Perform independent settlement calculations.</w:t>
      </w:r>
    </w:p>
    <w:p w14:paraId="668BCEE2" w14:textId="77777777" w:rsidR="00140B7C" w:rsidRPr="00EC4EC4" w:rsidRDefault="00140B7C" w:rsidP="00140B7C">
      <w:pPr>
        <w:tabs>
          <w:tab w:val="left" w:pos="-3150"/>
        </w:tabs>
        <w:spacing w:after="240" w:line="240" w:lineRule="auto"/>
        <w:ind w:left="1080"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Confirm the design assumptions made by the geotechnical and structural engineers pertaining to the soil-foundation structure interaction are coordinated and consistent.</w:t>
      </w:r>
    </w:p>
    <w:p w14:paraId="1C8C98E2" w14:textId="77777777" w:rsidR="00140B7C" w:rsidRPr="00EC4EC4" w:rsidRDefault="00140B7C" w:rsidP="00140B7C">
      <w:pPr>
        <w:tabs>
          <w:tab w:val="left" w:pos="-3150"/>
        </w:tabs>
        <w:spacing w:after="240" w:line="240" w:lineRule="auto"/>
        <w:ind w:left="1080" w:hanging="360"/>
        <w:jc w:val="both"/>
        <w:rPr>
          <w:rFonts w:eastAsia="Times New Roman" w:cs="Times New Roman"/>
          <w:szCs w:val="24"/>
        </w:rPr>
      </w:pPr>
      <w:r w:rsidRPr="00EC4EC4">
        <w:rPr>
          <w:rFonts w:eastAsia="Times New Roman" w:cs="Times New Roman"/>
          <w:szCs w:val="24"/>
        </w:rPr>
        <w:t>7.</w:t>
      </w:r>
      <w:r w:rsidRPr="00EC4EC4">
        <w:rPr>
          <w:rFonts w:eastAsia="Times New Roman" w:cs="Times New Roman"/>
          <w:szCs w:val="24"/>
        </w:rPr>
        <w:tab/>
        <w:t>Confirm that potential impacts on adjacent structures due to foundation construction have been addressed in accordance with this code.</w:t>
      </w:r>
    </w:p>
    <w:p w14:paraId="58D1D557" w14:textId="77777777" w:rsidR="00140B7C" w:rsidRPr="00EC4EC4" w:rsidRDefault="00140B7C" w:rsidP="00140B7C">
      <w:pPr>
        <w:tabs>
          <w:tab w:val="left" w:pos="-3150"/>
        </w:tabs>
        <w:spacing w:after="240" w:line="240" w:lineRule="auto"/>
        <w:ind w:left="1080" w:hanging="360"/>
        <w:jc w:val="both"/>
        <w:rPr>
          <w:rFonts w:eastAsia="Times New Roman" w:cs="Times New Roman"/>
          <w:szCs w:val="24"/>
        </w:rPr>
      </w:pPr>
      <w:r w:rsidRPr="00EC4EC4">
        <w:rPr>
          <w:rFonts w:eastAsia="Times New Roman" w:cs="Times New Roman"/>
          <w:szCs w:val="24"/>
        </w:rPr>
        <w:t>8.</w:t>
      </w:r>
      <w:r w:rsidRPr="00EC4EC4">
        <w:rPr>
          <w:rFonts w:eastAsia="Times New Roman" w:cs="Times New Roman"/>
          <w:szCs w:val="24"/>
        </w:rPr>
        <w:tab/>
        <w:t>Review seismic analysis including any site-specific analysis, associated mitigation methods, and analyses pertaining to liquefaction for conformance with codes.</w:t>
      </w:r>
    </w:p>
    <w:p w14:paraId="04F25023" w14:textId="33CB5F4E"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20</w:t>
      </w:r>
      <w:r w:rsidR="008E3636">
        <w:rPr>
          <w:rFonts w:cs="Times New Roman"/>
          <w:color w:val="000000"/>
          <w:sz w:val="23"/>
          <w:szCs w:val="23"/>
        </w:rPr>
        <w:t>5</w:t>
      </w:r>
      <w:r w:rsidRPr="00EC4EC4">
        <w:rPr>
          <w:rFonts w:cs="Times New Roman"/>
          <w:color w:val="000000"/>
          <w:sz w:val="23"/>
          <w:szCs w:val="23"/>
        </w:rPr>
        <w:t>. Section 1905.3.1 of  the New York city building code, as amended by local law number 126 for the year 2021, is amended to read as follows:</w:t>
      </w:r>
    </w:p>
    <w:p w14:paraId="5EF906E9" w14:textId="77777777" w:rsidR="00140B7C" w:rsidRPr="00EC4EC4" w:rsidRDefault="00140B7C" w:rsidP="00140B7C">
      <w:pPr>
        <w:autoSpaceDE w:val="0"/>
        <w:autoSpaceDN w:val="0"/>
        <w:adjustRightInd w:val="0"/>
        <w:spacing w:after="240" w:line="240" w:lineRule="auto"/>
        <w:jc w:val="both"/>
        <w:rPr>
          <w:rFonts w:eastAsia="Times New Roman" w:cs="Times New Roman"/>
          <w:color w:val="000000"/>
          <w:spacing w:val="1"/>
          <w:szCs w:val="24"/>
        </w:rPr>
      </w:pPr>
      <w:r w:rsidRPr="00EC4EC4">
        <w:rPr>
          <w:rFonts w:eastAsia="Times New Roman" w:cs="Times New Roman"/>
          <w:b/>
          <w:bCs/>
          <w:color w:val="000000"/>
          <w:szCs w:val="24"/>
        </w:rPr>
        <w:t>1905.3.1 Required [</w:t>
      </w:r>
      <w:r w:rsidRPr="00EC4EC4">
        <w:rPr>
          <w:rFonts w:eastAsia="Times New Roman" w:cs="Times New Roman"/>
          <w:b/>
          <w:bCs/>
          <w:strike/>
          <w:color w:val="000000"/>
          <w:szCs w:val="24"/>
        </w:rPr>
        <w:t>Strength</w:t>
      </w:r>
      <w:r w:rsidRPr="00EC4EC4">
        <w:rPr>
          <w:rFonts w:eastAsia="Times New Roman" w:cs="Times New Roman"/>
          <w:b/>
          <w:bCs/>
          <w:color w:val="000000"/>
          <w:szCs w:val="24"/>
        </w:rPr>
        <w:t>]</w:t>
      </w:r>
      <w:r w:rsidRPr="00EC4EC4">
        <w:rPr>
          <w:rFonts w:eastAsia="Times New Roman" w:cs="Times New Roman"/>
          <w:b/>
          <w:bCs/>
          <w:color w:val="000000"/>
          <w:szCs w:val="24"/>
          <w:u w:val="single"/>
        </w:rPr>
        <w:t>strength</w:t>
      </w:r>
      <w:r w:rsidRPr="00EC4EC4">
        <w:rPr>
          <w:rFonts w:eastAsia="Times New Roman" w:cs="Times New Roman"/>
          <w:b/>
          <w:bCs/>
          <w:color w:val="000000"/>
          <w:szCs w:val="24"/>
        </w:rPr>
        <w:t xml:space="preserve">. </w:t>
      </w:r>
      <w:r w:rsidRPr="00EC4EC4">
        <w:rPr>
          <w:rFonts w:eastAsia="Times New Roman" w:cs="Times New Roman"/>
          <w:color w:val="000000"/>
          <w:spacing w:val="1"/>
          <w:szCs w:val="24"/>
        </w:rPr>
        <w:t>If the required</w:t>
      </w:r>
      <w:r w:rsidRPr="00EC4EC4">
        <w:rPr>
          <w:rFonts w:eastAsia="Times New Roman" w:cs="Times New Roman"/>
          <w:color w:val="000000"/>
          <w:spacing w:val="2"/>
          <w:szCs w:val="24"/>
        </w:rPr>
        <w:t xml:space="preserve">  </w:t>
      </w:r>
      <w:r w:rsidRPr="00EC4EC4">
        <w:rPr>
          <w:rFonts w:eastAsia="Times New Roman" w:cs="Times New Roman"/>
          <w:i/>
          <w:iCs/>
          <w:color w:val="000000"/>
          <w:spacing w:val="2"/>
          <w:szCs w:val="24"/>
        </w:rPr>
        <w:t>f’</w:t>
      </w:r>
      <w:r w:rsidRPr="00EC4EC4">
        <w:rPr>
          <w:rFonts w:eastAsia="Times New Roman" w:cs="Times New Roman"/>
          <w:i/>
          <w:iCs/>
          <w:color w:val="000000"/>
          <w:spacing w:val="2"/>
          <w:w w:val="105"/>
          <w:szCs w:val="24"/>
          <w:vertAlign w:val="subscript"/>
        </w:rPr>
        <w:t>cr</w:t>
      </w:r>
      <w:r w:rsidRPr="00EC4EC4">
        <w:rPr>
          <w:rFonts w:eastAsia="Times New Roman" w:cs="Times New Roman"/>
          <w:color w:val="000000"/>
          <w:spacing w:val="2"/>
          <w:szCs w:val="24"/>
        </w:rPr>
        <w:t xml:space="preserve"> </w:t>
      </w:r>
      <w:r w:rsidRPr="00EC4EC4">
        <w:rPr>
          <w:rFonts w:eastAsia="Times New Roman" w:cs="Times New Roman"/>
          <w:color w:val="000000"/>
          <w:spacing w:val="1"/>
          <w:szCs w:val="24"/>
        </w:rPr>
        <w:t>is obtained for trial batch mixes prior to the date specified, the trial mix design may be approved by the registered design professional of record for the structural design.</w:t>
      </w:r>
    </w:p>
    <w:p w14:paraId="128AFB54" w14:textId="6C8A117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lastRenderedPageBreak/>
        <w:t>§</w:t>
      </w:r>
      <w:r>
        <w:rPr>
          <w:rFonts w:cs="Times New Roman"/>
          <w:color w:val="000000"/>
          <w:sz w:val="23"/>
          <w:szCs w:val="23"/>
        </w:rPr>
        <w:t>2</w:t>
      </w:r>
      <w:r w:rsidR="00260EE7">
        <w:rPr>
          <w:rFonts w:cs="Times New Roman"/>
          <w:color w:val="000000"/>
          <w:sz w:val="23"/>
          <w:szCs w:val="23"/>
        </w:rPr>
        <w:t>06</w:t>
      </w:r>
      <w:r w:rsidRPr="00EC4EC4">
        <w:rPr>
          <w:rFonts w:cs="Times New Roman"/>
          <w:color w:val="000000"/>
          <w:sz w:val="23"/>
          <w:szCs w:val="23"/>
        </w:rPr>
        <w:t>. Section 1905.6.3.1 of  the New York city building code, as amended by local law number 126 for the year 2021, is amended to read as follows:</w:t>
      </w:r>
    </w:p>
    <w:p w14:paraId="78D88175" w14:textId="77777777" w:rsidR="00140B7C" w:rsidRPr="00EC4EC4" w:rsidRDefault="00140B7C" w:rsidP="00140B7C">
      <w:pPr>
        <w:tabs>
          <w:tab w:val="left" w:pos="-3420"/>
        </w:tabs>
        <w:autoSpaceDE w:val="0"/>
        <w:autoSpaceDN w:val="0"/>
        <w:adjustRightInd w:val="0"/>
        <w:spacing w:after="240" w:line="240" w:lineRule="auto"/>
        <w:jc w:val="both"/>
        <w:rPr>
          <w:rFonts w:eastAsia="Times New Roman" w:cs="Times New Roman"/>
          <w:color w:val="000000"/>
          <w:spacing w:val="3"/>
          <w:szCs w:val="24"/>
        </w:rPr>
      </w:pPr>
      <w:r w:rsidRPr="00EC4EC4">
        <w:rPr>
          <w:rFonts w:eastAsia="Times New Roman" w:cs="Times New Roman"/>
          <w:b/>
          <w:bCs/>
          <w:color w:val="000000"/>
          <w:szCs w:val="24"/>
        </w:rPr>
        <w:t>1905.6.3.1 Mix [</w:t>
      </w:r>
      <w:r w:rsidRPr="00EC4EC4">
        <w:rPr>
          <w:rFonts w:eastAsia="Times New Roman" w:cs="Times New Roman"/>
          <w:b/>
          <w:bCs/>
          <w:strike/>
          <w:color w:val="000000"/>
          <w:szCs w:val="24"/>
        </w:rPr>
        <w:t>Design</w:t>
      </w:r>
      <w:r w:rsidRPr="00EC4EC4">
        <w:rPr>
          <w:rFonts w:eastAsia="Times New Roman" w:cs="Times New Roman"/>
          <w:b/>
          <w:bCs/>
          <w:color w:val="000000"/>
          <w:szCs w:val="24"/>
        </w:rPr>
        <w:t>]</w:t>
      </w:r>
      <w:r w:rsidRPr="00EC4EC4">
        <w:rPr>
          <w:rFonts w:eastAsia="Times New Roman" w:cs="Times New Roman"/>
          <w:b/>
          <w:bCs/>
          <w:color w:val="000000"/>
          <w:szCs w:val="24"/>
          <w:u w:val="single"/>
        </w:rPr>
        <w:t>design</w:t>
      </w:r>
      <w:r w:rsidRPr="00EC4EC4">
        <w:rPr>
          <w:rFonts w:eastAsia="Times New Roman" w:cs="Times New Roman"/>
          <w:b/>
          <w:bCs/>
          <w:color w:val="000000"/>
          <w:szCs w:val="24"/>
        </w:rPr>
        <w:t xml:space="preserve">. </w:t>
      </w:r>
      <w:r w:rsidRPr="00EC4EC4">
        <w:rPr>
          <w:rFonts w:eastAsia="Times New Roman" w:cs="Times New Roman"/>
          <w:color w:val="000000"/>
          <w:szCs w:val="24"/>
        </w:rPr>
        <w:t>The special inspector shall verify that the proportions indicated on the batch ticket for the concrete delivered to the construction site are as per the approved concrete mix design prior to concrete placement (see Table 1705.3 of this code). Concrete that does not meet the requirements of the approved concrete mix design shall be rejected.</w:t>
      </w:r>
    </w:p>
    <w:p w14:paraId="24EB4B55" w14:textId="7D0C12B3" w:rsidR="00140B7C" w:rsidRPr="00EC4EC4" w:rsidRDefault="00140B7C" w:rsidP="00140B7C">
      <w:pPr>
        <w:kinsoku w:val="0"/>
        <w:spacing w:after="240" w:line="240" w:lineRule="auto"/>
        <w:ind w:firstLine="720"/>
        <w:jc w:val="both"/>
        <w:rPr>
          <w:rFonts w:eastAsia="Times New Roman" w:cs="Times New Roman"/>
          <w:b/>
          <w:bCs/>
          <w:szCs w:val="24"/>
        </w:rPr>
      </w:pPr>
      <w:bookmarkStart w:id="147" w:name="_Toc389737679"/>
      <w:bookmarkStart w:id="148" w:name="_Toc389746241"/>
      <w:r w:rsidRPr="00EC4EC4">
        <w:rPr>
          <w:rFonts w:cs="Times New Roman"/>
          <w:color w:val="000000"/>
          <w:sz w:val="23"/>
          <w:szCs w:val="23"/>
        </w:rPr>
        <w:t>§</w:t>
      </w:r>
      <w:r>
        <w:rPr>
          <w:rFonts w:cs="Times New Roman"/>
          <w:color w:val="000000"/>
          <w:sz w:val="23"/>
          <w:szCs w:val="23"/>
        </w:rPr>
        <w:t>20</w:t>
      </w:r>
      <w:r w:rsidR="00260EE7">
        <w:rPr>
          <w:rFonts w:cs="Times New Roman"/>
          <w:color w:val="000000"/>
          <w:sz w:val="23"/>
          <w:szCs w:val="23"/>
        </w:rPr>
        <w:t>7</w:t>
      </w:r>
      <w:r w:rsidRPr="00EC4EC4">
        <w:rPr>
          <w:rFonts w:cs="Times New Roman"/>
          <w:color w:val="000000"/>
          <w:sz w:val="23"/>
          <w:szCs w:val="23"/>
        </w:rPr>
        <w:t>. Section 2110.1.1 of  the New York city building code, as amended by local law number 126 for the year 2021, is amended to read as follows:</w:t>
      </w:r>
    </w:p>
    <w:p w14:paraId="71B5D005" w14:textId="77777777" w:rsidR="00140B7C" w:rsidRPr="00EC4EC4" w:rsidRDefault="00140B7C" w:rsidP="00140B7C">
      <w:pPr>
        <w:autoSpaceDE w:val="0"/>
        <w:autoSpaceDN w:val="0"/>
        <w:adjustRightInd w:val="0"/>
        <w:spacing w:after="240" w:line="240" w:lineRule="auto"/>
        <w:jc w:val="both"/>
        <w:rPr>
          <w:rFonts w:cs="Times New Roman"/>
          <w:szCs w:val="24"/>
        </w:rPr>
      </w:pPr>
      <w:r w:rsidRPr="00EC4EC4">
        <w:rPr>
          <w:rFonts w:cs="Times New Roman"/>
          <w:b/>
          <w:bCs/>
          <w:szCs w:val="24"/>
        </w:rPr>
        <w:t>2110.1.1 Limitations.</w:t>
      </w:r>
      <w:bookmarkEnd w:id="147"/>
      <w:bookmarkEnd w:id="148"/>
      <w:r w:rsidRPr="00EC4EC4">
        <w:rPr>
          <w:rFonts w:cs="Times New Roman"/>
          <w:b/>
          <w:bCs/>
          <w:szCs w:val="24"/>
        </w:rPr>
        <w:t xml:space="preserve"> </w:t>
      </w:r>
      <w:r w:rsidRPr="00EC4EC4">
        <w:rPr>
          <w:rFonts w:cs="Times New Roman"/>
          <w:szCs w:val="24"/>
        </w:rPr>
        <w:t>Solid or hollow approved glass block shall not be used in</w:t>
      </w:r>
      <w:r w:rsidRPr="00EC4EC4">
        <w:rPr>
          <w:rFonts w:cs="Times New Roman"/>
          <w:bCs/>
          <w:szCs w:val="24"/>
        </w:rPr>
        <w:t xml:space="preserve"> fire walls</w:t>
      </w:r>
      <w:r w:rsidRPr="00EC4EC4">
        <w:rPr>
          <w:rFonts w:cs="Times New Roman"/>
          <w:szCs w:val="24"/>
        </w:rPr>
        <w:t xml:space="preserve">, party walls, fire barriers, fire partitions, </w:t>
      </w:r>
      <w:r w:rsidRPr="00EC4EC4">
        <w:rPr>
          <w:rFonts w:eastAsia="Times New Roman" w:cs="Times New Roman"/>
          <w:color w:val="000000"/>
          <w:szCs w:val="24"/>
        </w:rPr>
        <w:t xml:space="preserve">smoke barriers, </w:t>
      </w:r>
      <w:r w:rsidRPr="00EC4EC4">
        <w:rPr>
          <w:rFonts w:cs="Times New Roman"/>
          <w:szCs w:val="24"/>
        </w:rPr>
        <w:t>or for load-bearing construction. Such blocks shall be erected with mortar and reinforcement in metal channel-type frames, structural frames, masonry or concrete recesses, embedded panel anchors as provided for both exterior and interior walls or other approved joint materials. Wood strip framing shall not be used in walls required to have a fire-resistance rating by other provisions of this code.</w:t>
      </w:r>
    </w:p>
    <w:p w14:paraId="66FA4F58"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b/>
          <w:bCs/>
          <w:color w:val="000000"/>
          <w:szCs w:val="24"/>
        </w:rPr>
      </w:pPr>
      <w:r w:rsidRPr="00EC4EC4">
        <w:rPr>
          <w:rFonts w:eastAsia="Times New Roman" w:cs="Times New Roman"/>
          <w:b/>
          <w:bCs/>
          <w:color w:val="000000"/>
          <w:szCs w:val="24"/>
        </w:rPr>
        <w:t>Exceptions:</w:t>
      </w:r>
    </w:p>
    <w:p w14:paraId="2BC2C2CE" w14:textId="77777777" w:rsidR="00140B7C" w:rsidRPr="00EC4EC4" w:rsidRDefault="00140B7C" w:rsidP="00140B7C">
      <w:pPr>
        <w:tabs>
          <w:tab w:val="left" w:pos="1440"/>
        </w:tabs>
        <w:autoSpaceDE w:val="0"/>
        <w:autoSpaceDN w:val="0"/>
        <w:adjustRightInd w:val="0"/>
        <w:spacing w:after="240" w:line="240" w:lineRule="auto"/>
        <w:ind w:left="1440" w:hanging="360"/>
        <w:jc w:val="both"/>
        <w:rPr>
          <w:rFonts w:eastAsia="Times New Roman" w:cs="Times New Roman"/>
          <w:color w:val="000000"/>
          <w:szCs w:val="24"/>
        </w:rPr>
      </w:pPr>
      <w:r w:rsidRPr="00EC4EC4">
        <w:rPr>
          <w:rFonts w:eastAsia="Times New Roman" w:cs="Times New Roman"/>
          <w:color w:val="000000"/>
          <w:szCs w:val="24"/>
        </w:rPr>
        <w:t>1.</w:t>
      </w:r>
      <w:r w:rsidRPr="00EC4EC4">
        <w:rPr>
          <w:rFonts w:eastAsia="Times New Roman" w:cs="Times New Roman"/>
          <w:color w:val="000000"/>
          <w:szCs w:val="24"/>
        </w:rPr>
        <w:tab/>
        <w:t xml:space="preserve">Glass-block assemblies having a fire protection rating of not less than ¾ hour shall be permitted as opening protectives in accordance with Section </w:t>
      </w:r>
      <w:r w:rsidRPr="00EC4EC4">
        <w:rPr>
          <w:rFonts w:eastAsia="Times New Roman" w:cs="Times New Roman"/>
          <w:spacing w:val="1"/>
          <w:szCs w:val="24"/>
        </w:rPr>
        <w:t>7</w:t>
      </w:r>
      <w:r w:rsidRPr="00EC4EC4">
        <w:rPr>
          <w:rFonts w:eastAsia="Times New Roman" w:cs="Times New Roman"/>
          <w:color w:val="000000"/>
          <w:szCs w:val="24"/>
        </w:rPr>
        <w:t>16 in fire barriers, fire partitions and smoke barriers that have a required fire-resistance rating of 1 hour and do not enclose exit stairways or exit passageways.</w:t>
      </w:r>
    </w:p>
    <w:p w14:paraId="69B81886" w14:textId="77777777" w:rsidR="00140B7C" w:rsidRPr="00EC4EC4" w:rsidRDefault="00140B7C" w:rsidP="00140B7C">
      <w:pPr>
        <w:tabs>
          <w:tab w:val="left" w:pos="1440"/>
        </w:tabs>
        <w:autoSpaceDE w:val="0"/>
        <w:autoSpaceDN w:val="0"/>
        <w:adjustRightInd w:val="0"/>
        <w:spacing w:after="240" w:line="240" w:lineRule="auto"/>
        <w:ind w:left="1440" w:hanging="360"/>
        <w:jc w:val="both"/>
        <w:rPr>
          <w:rFonts w:eastAsia="Times New Roman" w:cs="Times New Roman"/>
          <w:color w:val="000000"/>
          <w:szCs w:val="24"/>
        </w:rPr>
      </w:pPr>
      <w:r w:rsidRPr="00EC4EC4">
        <w:rPr>
          <w:rFonts w:eastAsia="Times New Roman" w:cs="Times New Roman"/>
          <w:color w:val="000000"/>
          <w:szCs w:val="24"/>
        </w:rPr>
        <w:t>2.</w:t>
      </w:r>
      <w:r w:rsidRPr="00EC4EC4">
        <w:rPr>
          <w:rFonts w:eastAsia="Times New Roman" w:cs="Times New Roman"/>
          <w:color w:val="000000"/>
          <w:szCs w:val="24"/>
        </w:rPr>
        <w:tab/>
        <w:t xml:space="preserve">Glass-block assemblies as permitted in Section 404.6, Exception </w:t>
      </w:r>
      <w:r w:rsidRPr="00EC4EC4">
        <w:rPr>
          <w:rFonts w:eastAsia="Times New Roman" w:cs="Times New Roman"/>
          <w:color w:val="000000"/>
          <w:szCs w:val="24"/>
          <w:u w:val="single"/>
        </w:rPr>
        <w:t>1</w:t>
      </w:r>
      <w:r w:rsidRPr="00EC4EC4">
        <w:rPr>
          <w:rFonts w:eastAsia="Times New Roman" w:cs="Times New Roman"/>
          <w:color w:val="000000"/>
          <w:szCs w:val="24"/>
        </w:rPr>
        <w:t>.</w:t>
      </w:r>
    </w:p>
    <w:p w14:paraId="5691B5A7" w14:textId="6589EA4A" w:rsidR="00140B7C" w:rsidRPr="00EC4EC4" w:rsidRDefault="00140B7C" w:rsidP="00140B7C">
      <w:pPr>
        <w:kinsoku w:val="0"/>
        <w:spacing w:after="240" w:line="240" w:lineRule="auto"/>
        <w:ind w:firstLine="720"/>
        <w:jc w:val="both"/>
        <w:rPr>
          <w:rFonts w:eastAsia="Times New Roman" w:cs="Times New Roman"/>
          <w:b/>
          <w:bCs/>
          <w:szCs w:val="24"/>
        </w:rPr>
      </w:pPr>
      <w:bookmarkStart w:id="149" w:name="_Toc389737715"/>
      <w:bookmarkStart w:id="150" w:name="_Toc389746277"/>
      <w:r w:rsidRPr="00EC4EC4">
        <w:rPr>
          <w:rFonts w:cs="Times New Roman"/>
          <w:color w:val="000000"/>
          <w:sz w:val="23"/>
          <w:szCs w:val="23"/>
        </w:rPr>
        <w:t>§</w:t>
      </w:r>
      <w:r>
        <w:rPr>
          <w:rFonts w:cs="Times New Roman"/>
          <w:color w:val="000000"/>
          <w:sz w:val="23"/>
          <w:szCs w:val="23"/>
        </w:rPr>
        <w:t>20</w:t>
      </w:r>
      <w:r w:rsidR="00260EE7">
        <w:rPr>
          <w:rFonts w:cs="Times New Roman"/>
          <w:color w:val="000000"/>
          <w:sz w:val="23"/>
          <w:szCs w:val="23"/>
        </w:rPr>
        <w:t>8</w:t>
      </w:r>
      <w:r w:rsidRPr="00EC4EC4">
        <w:rPr>
          <w:rFonts w:cs="Times New Roman"/>
          <w:color w:val="000000"/>
          <w:sz w:val="23"/>
          <w:szCs w:val="23"/>
        </w:rPr>
        <w:t>. Section 2112.5 of  the New York city building code, as amended by local law number 126 for the year 2021, is amended to read as follows:</w:t>
      </w:r>
    </w:p>
    <w:p w14:paraId="2EF2B3DE"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r w:rsidRPr="00EC4EC4">
        <w:rPr>
          <w:rFonts w:eastAsia="Times New Roman" w:cs="Times New Roman"/>
          <w:b/>
          <w:bCs/>
          <w:szCs w:val="24"/>
        </w:rPr>
        <w:t>2112.5 Masonry heater clearance.</w:t>
      </w:r>
      <w:bookmarkEnd w:id="149"/>
      <w:bookmarkEnd w:id="150"/>
      <w:r w:rsidRPr="00EC4EC4">
        <w:rPr>
          <w:rFonts w:eastAsia="Times New Roman" w:cs="Times New Roman"/>
          <w:b/>
          <w:bCs/>
          <w:szCs w:val="24"/>
        </w:rPr>
        <w:t xml:space="preserve">  </w:t>
      </w:r>
      <w:r w:rsidRPr="00EC4EC4">
        <w:rPr>
          <w:rFonts w:eastAsia="Times New Roman" w:cs="Times New Roman"/>
          <w:szCs w:val="24"/>
        </w:rPr>
        <w:t xml:space="preserve">Combustible materials shall not be placed within 36 inches (914 mm) </w:t>
      </w:r>
      <w:r w:rsidRPr="00EC4EC4">
        <w:rPr>
          <w:rFonts w:eastAsia="Times New Roman" w:cs="Times New Roman"/>
          <w:bCs/>
          <w:szCs w:val="24"/>
        </w:rPr>
        <w:t>or the distance of the allowed reduction method from</w:t>
      </w:r>
      <w:r w:rsidRPr="00EC4EC4">
        <w:rPr>
          <w:rFonts w:eastAsia="Times New Roman" w:cs="Times New Roman"/>
          <w:szCs w:val="24"/>
        </w:rPr>
        <w:t xml:space="preserve"> the outside surface of a masonry heater in accordance with NFPA 211, Section</w:t>
      </w:r>
      <w:r w:rsidRPr="00EC4EC4">
        <w:rPr>
          <w:rFonts w:eastAsia="Times New Roman" w:cs="Times New Roman"/>
          <w:spacing w:val="3"/>
          <w:szCs w:val="24"/>
        </w:rPr>
        <w:t xml:space="preserve"> [</w:t>
      </w:r>
      <w:r w:rsidRPr="00EC4EC4">
        <w:rPr>
          <w:rFonts w:eastAsia="Times New Roman" w:cs="Times New Roman"/>
          <w:strike/>
          <w:spacing w:val="3"/>
          <w:szCs w:val="24"/>
        </w:rPr>
        <w:t>2.6</w:t>
      </w:r>
      <w:r w:rsidRPr="00EC4EC4">
        <w:rPr>
          <w:rFonts w:eastAsia="Times New Roman" w:cs="Times New Roman"/>
          <w:spacing w:val="3"/>
          <w:szCs w:val="24"/>
        </w:rPr>
        <w:t>]</w:t>
      </w:r>
      <w:r w:rsidRPr="00EC4EC4">
        <w:rPr>
          <w:rFonts w:eastAsia="Times New Roman" w:cs="Times New Roman"/>
          <w:spacing w:val="3"/>
          <w:szCs w:val="24"/>
          <w:u w:val="single"/>
        </w:rPr>
        <w:t>1</w:t>
      </w:r>
      <w:r w:rsidRPr="00EC4EC4">
        <w:rPr>
          <w:rFonts w:eastAsia="Times New Roman" w:cs="Times New Roman"/>
          <w:bCs/>
          <w:szCs w:val="24"/>
          <w:u w:val="single"/>
        </w:rPr>
        <w:t>2.6</w:t>
      </w:r>
      <w:r w:rsidRPr="00EC4EC4">
        <w:rPr>
          <w:rFonts w:eastAsia="Times New Roman" w:cs="Times New Roman"/>
          <w:bCs/>
          <w:szCs w:val="24"/>
        </w:rPr>
        <w:t>,</w:t>
      </w:r>
      <w:r w:rsidRPr="00EC4EC4">
        <w:rPr>
          <w:rFonts w:eastAsia="Times New Roman" w:cs="Times New Roman"/>
          <w:szCs w:val="24"/>
        </w:rPr>
        <w:t xml:space="preserve"> and the required space between the heater and combustible material shall be fully vented to permit the free flow of air around all heater surfaces.</w:t>
      </w:r>
    </w:p>
    <w:p w14:paraId="2FEB0A37" w14:textId="77777777" w:rsidR="00140B7C" w:rsidRPr="00EC4EC4" w:rsidRDefault="00140B7C" w:rsidP="00140B7C">
      <w:pPr>
        <w:autoSpaceDE w:val="0"/>
        <w:autoSpaceDN w:val="0"/>
        <w:adjustRightInd w:val="0"/>
        <w:spacing w:after="240" w:line="240" w:lineRule="auto"/>
        <w:ind w:left="360"/>
        <w:jc w:val="both"/>
        <w:rPr>
          <w:rFonts w:eastAsia="Times New Roman" w:cs="Times New Roman"/>
          <w:b/>
          <w:color w:val="000000"/>
          <w:szCs w:val="24"/>
        </w:rPr>
      </w:pPr>
      <w:r w:rsidRPr="00EC4EC4">
        <w:rPr>
          <w:rFonts w:eastAsia="Times New Roman" w:cs="Times New Roman"/>
          <w:b/>
          <w:color w:val="000000"/>
          <w:szCs w:val="24"/>
        </w:rPr>
        <w:t>Exceptions:</w:t>
      </w:r>
    </w:p>
    <w:p w14:paraId="66F3AD28"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color w:val="000000"/>
          <w:szCs w:val="24"/>
        </w:rPr>
      </w:pPr>
      <w:r w:rsidRPr="00EC4EC4">
        <w:rPr>
          <w:rFonts w:eastAsia="Times New Roman" w:cs="Times New Roman"/>
          <w:color w:val="000000"/>
          <w:szCs w:val="24"/>
        </w:rPr>
        <w:t>1.Where the masonry heater wall thickness is at least 8 inches (203 mm) of solid masonry and the wall thickness of the heat exchange channels is not less than 5 inches (127 mm) of solid masonry, combustible materials shall not be placed within 4 inches (102 mm) of the outside surface of a masonry heater. A clearance of</w:t>
      </w:r>
      <w:r w:rsidRPr="00EC4EC4">
        <w:rPr>
          <w:rFonts w:eastAsia="Times New Roman" w:cs="Times New Roman"/>
          <w:color w:val="000000"/>
          <w:spacing w:val="3"/>
          <w:szCs w:val="24"/>
        </w:rPr>
        <w:t xml:space="preserve"> </w:t>
      </w:r>
      <w:r w:rsidRPr="00EC4EC4">
        <w:rPr>
          <w:rFonts w:eastAsia="Times New Roman" w:cs="Times New Roman"/>
          <w:color w:val="000000"/>
          <w:szCs w:val="24"/>
        </w:rPr>
        <w:t>not less than 8 inches (203 mm) shall be provided between the gas-tight capping slab of the heater and a combustible ceiling.</w:t>
      </w:r>
    </w:p>
    <w:p w14:paraId="2D46B4D2"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color w:val="000000"/>
          <w:szCs w:val="24"/>
        </w:rPr>
      </w:pPr>
      <w:r w:rsidRPr="00EC4EC4">
        <w:rPr>
          <w:rFonts w:eastAsia="Times New Roman" w:cs="Times New Roman"/>
          <w:color w:val="000000"/>
          <w:szCs w:val="24"/>
        </w:rPr>
        <w:t>2.</w:t>
      </w:r>
      <w:r w:rsidRPr="00EC4EC4">
        <w:rPr>
          <w:rFonts w:eastAsia="Times New Roman" w:cs="Times New Roman"/>
          <w:color w:val="000000"/>
          <w:szCs w:val="24"/>
        </w:rPr>
        <w:tab/>
        <w:t>Masonry heaters listed and labeled in accordance with UL 1482 or EN 15250 and installed in accordance with the manufacturer’s instructions.</w:t>
      </w:r>
    </w:p>
    <w:p w14:paraId="0C93953D" w14:textId="2394A9FB"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20</w:t>
      </w:r>
      <w:r w:rsidR="005A646E">
        <w:rPr>
          <w:rFonts w:cs="Times New Roman"/>
          <w:color w:val="000000"/>
          <w:sz w:val="23"/>
          <w:szCs w:val="23"/>
        </w:rPr>
        <w:t>9</w:t>
      </w:r>
      <w:r w:rsidRPr="00EC4EC4">
        <w:rPr>
          <w:rFonts w:cs="Times New Roman"/>
          <w:color w:val="000000"/>
          <w:sz w:val="23"/>
          <w:szCs w:val="23"/>
        </w:rPr>
        <w:t>. Section 2204.2 of  the New York city building code, as amended by local law number 126 for the year 2021, is amended to read as follows:</w:t>
      </w:r>
    </w:p>
    <w:p w14:paraId="14D0FA70"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bookmarkStart w:id="151" w:name="_Toc389737783"/>
      <w:bookmarkStart w:id="152" w:name="_Toc389746345"/>
      <w:r w:rsidRPr="00EC4EC4">
        <w:rPr>
          <w:rFonts w:eastAsia="Times New Roman" w:cs="Times New Roman"/>
          <w:b/>
          <w:bCs/>
          <w:szCs w:val="24"/>
        </w:rPr>
        <w:t>2204.2 Bolting.</w:t>
      </w:r>
      <w:bookmarkEnd w:id="151"/>
      <w:bookmarkEnd w:id="152"/>
      <w:r w:rsidRPr="00EC4EC4">
        <w:rPr>
          <w:rFonts w:eastAsia="Times New Roman" w:cs="Times New Roman"/>
          <w:bCs/>
          <w:szCs w:val="24"/>
        </w:rPr>
        <w:t xml:space="preserve"> </w:t>
      </w:r>
      <w:r w:rsidRPr="00EC4EC4">
        <w:rPr>
          <w:rFonts w:eastAsia="Times New Roman" w:cs="Times New Roman"/>
          <w:szCs w:val="24"/>
        </w:rPr>
        <w:t>The design, installation and inspection of bolts shall be in accordance with the requirements of Sections 2205, 2206,</w:t>
      </w:r>
      <w:r w:rsidRPr="00EC4EC4">
        <w:rPr>
          <w:rFonts w:eastAsia="Times New Roman" w:cs="Times New Roman"/>
          <w:spacing w:val="1"/>
          <w:szCs w:val="24"/>
        </w:rPr>
        <w:t xml:space="preserve"> 2</w:t>
      </w:r>
      <w:r w:rsidRPr="00EC4EC4">
        <w:rPr>
          <w:rFonts w:eastAsia="Times New Roman" w:cs="Times New Roman"/>
          <w:bCs/>
          <w:szCs w:val="24"/>
        </w:rPr>
        <w:t>207, 2210</w:t>
      </w:r>
      <w:r w:rsidRPr="00EC4EC4">
        <w:rPr>
          <w:rFonts w:eastAsia="Times New Roman" w:cs="Times New Roman"/>
          <w:szCs w:val="24"/>
        </w:rPr>
        <w:t xml:space="preserve"> and</w:t>
      </w:r>
      <w:r w:rsidRPr="00EC4EC4">
        <w:rPr>
          <w:rFonts w:eastAsia="Times New Roman" w:cs="Times New Roman"/>
          <w:spacing w:val="1"/>
          <w:szCs w:val="24"/>
        </w:rPr>
        <w:t xml:space="preserve"> 2211. [</w:t>
      </w:r>
      <w:r w:rsidRPr="00EC4EC4">
        <w:rPr>
          <w:rFonts w:eastAsia="Times New Roman" w:cs="Times New Roman"/>
          <w:strike/>
          <w:spacing w:val="1"/>
          <w:szCs w:val="24"/>
        </w:rPr>
        <w:t>Special</w:t>
      </w:r>
      <w:r w:rsidRPr="00EC4EC4">
        <w:rPr>
          <w:rFonts w:eastAsia="Times New Roman" w:cs="Times New Roman"/>
          <w:spacing w:val="1"/>
          <w:szCs w:val="24"/>
        </w:rPr>
        <w:t xml:space="preserve">] </w:t>
      </w:r>
      <w:r w:rsidRPr="00EC4EC4">
        <w:rPr>
          <w:rFonts w:eastAsia="Times New Roman" w:cs="Times New Roman"/>
          <w:bCs/>
          <w:szCs w:val="24"/>
        </w:rPr>
        <w:t xml:space="preserve">For </w:t>
      </w:r>
      <w:r w:rsidRPr="00EC4EC4">
        <w:rPr>
          <w:rFonts w:eastAsia="Times New Roman" w:cs="Times New Roman"/>
          <w:bCs/>
          <w:iCs/>
          <w:szCs w:val="24"/>
        </w:rPr>
        <w:t>special</w:t>
      </w:r>
      <w:r w:rsidRPr="00EC4EC4">
        <w:rPr>
          <w:rFonts w:eastAsia="Times New Roman" w:cs="Times New Roman"/>
          <w:szCs w:val="24"/>
        </w:rPr>
        <w:t xml:space="preserve"> inspection of the installation of high-strength bolts</w:t>
      </w:r>
      <w:r w:rsidRPr="00EC4EC4">
        <w:rPr>
          <w:rFonts w:eastAsia="Times New Roman" w:cs="Times New Roman"/>
          <w:bCs/>
          <w:szCs w:val="24"/>
        </w:rPr>
        <w:t>, see</w:t>
      </w:r>
      <w:r w:rsidRPr="00EC4EC4">
        <w:rPr>
          <w:rFonts w:eastAsia="Times New Roman" w:cs="Times New Roman"/>
          <w:szCs w:val="24"/>
        </w:rPr>
        <w:t xml:space="preserve"> Section </w:t>
      </w:r>
      <w:r w:rsidRPr="00EC4EC4">
        <w:rPr>
          <w:rFonts w:eastAsia="Times New Roman" w:cs="Times New Roman"/>
          <w:spacing w:val="1"/>
          <w:szCs w:val="24"/>
        </w:rPr>
        <w:t>1</w:t>
      </w:r>
      <w:r w:rsidRPr="00EC4EC4">
        <w:rPr>
          <w:rFonts w:eastAsia="Times New Roman" w:cs="Times New Roman"/>
          <w:bCs/>
          <w:szCs w:val="24"/>
        </w:rPr>
        <w:t>705.2</w:t>
      </w:r>
      <w:r w:rsidRPr="00EC4EC4">
        <w:rPr>
          <w:rFonts w:eastAsia="Times New Roman" w:cs="Times New Roman"/>
          <w:szCs w:val="24"/>
        </w:rPr>
        <w:t>.</w:t>
      </w:r>
    </w:p>
    <w:p w14:paraId="302453C9" w14:textId="2307CFFA" w:rsidR="00140B7C" w:rsidRPr="00EC4EC4" w:rsidRDefault="00140B7C" w:rsidP="00140B7C">
      <w:pPr>
        <w:kinsoku w:val="0"/>
        <w:spacing w:after="240" w:line="240" w:lineRule="auto"/>
        <w:ind w:firstLine="720"/>
        <w:jc w:val="both"/>
        <w:rPr>
          <w:rFonts w:eastAsia="Times New Roman" w:cs="Times New Roman"/>
          <w:b/>
          <w:bCs/>
          <w:szCs w:val="24"/>
        </w:rPr>
      </w:pPr>
      <w:bookmarkStart w:id="153" w:name="_Hlk113360786"/>
      <w:r w:rsidRPr="00EC4EC4">
        <w:rPr>
          <w:rFonts w:cs="Times New Roman"/>
          <w:color w:val="000000"/>
          <w:sz w:val="23"/>
          <w:szCs w:val="23"/>
        </w:rPr>
        <w:t>§</w:t>
      </w:r>
      <w:r>
        <w:rPr>
          <w:rFonts w:cs="Times New Roman"/>
          <w:color w:val="000000"/>
          <w:sz w:val="23"/>
          <w:szCs w:val="23"/>
        </w:rPr>
        <w:t>2</w:t>
      </w:r>
      <w:r w:rsidR="005A646E">
        <w:rPr>
          <w:rFonts w:cs="Times New Roman"/>
          <w:color w:val="000000"/>
          <w:sz w:val="23"/>
          <w:szCs w:val="23"/>
        </w:rPr>
        <w:t>10</w:t>
      </w:r>
      <w:r w:rsidRPr="00EC4EC4">
        <w:rPr>
          <w:rFonts w:cs="Times New Roman"/>
          <w:color w:val="000000"/>
          <w:sz w:val="23"/>
          <w:szCs w:val="23"/>
        </w:rPr>
        <w:t>. Section 2207.5 of  the New York city building code, as amended by local law number 126 for the year 2021, is amended to read as follows:</w:t>
      </w:r>
    </w:p>
    <w:p w14:paraId="7CAF093A" w14:textId="77777777" w:rsidR="00140B7C" w:rsidRPr="00EC4EC4" w:rsidRDefault="00140B7C" w:rsidP="00140B7C">
      <w:pPr>
        <w:autoSpaceDE w:val="0"/>
        <w:autoSpaceDN w:val="0"/>
        <w:adjustRightInd w:val="0"/>
        <w:spacing w:after="240" w:line="240" w:lineRule="auto"/>
        <w:jc w:val="both"/>
        <w:rPr>
          <w:rFonts w:eastAsia="Times New Roman" w:cs="Times New Roman"/>
          <w:color w:val="000000"/>
          <w:szCs w:val="24"/>
        </w:rPr>
      </w:pPr>
      <w:bookmarkStart w:id="154" w:name="_Toc389737802"/>
      <w:bookmarkStart w:id="155" w:name="_Toc389746364"/>
      <w:bookmarkEnd w:id="153"/>
      <w:r w:rsidRPr="00EC4EC4">
        <w:rPr>
          <w:rFonts w:eastAsia="Times New Roman" w:cs="Times New Roman"/>
          <w:b/>
          <w:bCs/>
          <w:color w:val="000000"/>
          <w:szCs w:val="24"/>
        </w:rPr>
        <w:t>2207.5 Certification.</w:t>
      </w:r>
      <w:bookmarkEnd w:id="154"/>
      <w:bookmarkEnd w:id="155"/>
      <w:r w:rsidRPr="00EC4EC4">
        <w:rPr>
          <w:rFonts w:eastAsia="Times New Roman" w:cs="Times New Roman"/>
          <w:b/>
          <w:bCs/>
          <w:color w:val="000000"/>
          <w:szCs w:val="24"/>
        </w:rPr>
        <w:t xml:space="preserve"> [</w:t>
      </w:r>
      <w:r w:rsidRPr="00EC4EC4">
        <w:rPr>
          <w:rFonts w:eastAsia="Times New Roman" w:cs="Times New Roman"/>
          <w:strike/>
          <w:color w:val="000000"/>
          <w:szCs w:val="24"/>
        </w:rPr>
        <w:t>At completion of manufacture, the steel joist manufacturer shall submit a certificate of compliance in accordance with Section 1704.2.2 stating that work was performed in accordance with approved construction documents and with SJI specifications listed in Section 2207.1</w:t>
      </w:r>
      <w:r w:rsidRPr="00EC4EC4">
        <w:rPr>
          <w:rFonts w:eastAsia="Times New Roman" w:cs="Times New Roman"/>
          <w:color w:val="000000"/>
          <w:szCs w:val="24"/>
        </w:rPr>
        <w:t xml:space="preserve">] </w:t>
      </w:r>
      <w:r w:rsidRPr="00EC4EC4">
        <w:rPr>
          <w:rFonts w:eastAsia="Times New Roman" w:cs="Times New Roman"/>
          <w:color w:val="000000"/>
          <w:szCs w:val="24"/>
          <w:u w:val="single"/>
        </w:rPr>
        <w:t>Open web steel joists shall comply with Section 1704.2 for special inspection requirements or Section 1704.2.2 when an approved fabricator is used in lieu of special inspections</w:t>
      </w:r>
      <w:r w:rsidRPr="00EC4EC4">
        <w:rPr>
          <w:rFonts w:eastAsia="Times New Roman" w:cs="Times New Roman"/>
          <w:color w:val="000000"/>
          <w:szCs w:val="24"/>
        </w:rPr>
        <w:t>.</w:t>
      </w:r>
    </w:p>
    <w:p w14:paraId="6201F3A6" w14:textId="7CC9A2F9" w:rsidR="00140B7C" w:rsidRPr="00EC4EC4" w:rsidRDefault="00140B7C" w:rsidP="00140B7C">
      <w:pPr>
        <w:kinsoku w:val="0"/>
        <w:spacing w:after="240" w:line="240" w:lineRule="auto"/>
        <w:ind w:firstLine="720"/>
        <w:jc w:val="both"/>
        <w:rPr>
          <w:rFonts w:eastAsia="Times New Roman" w:cs="Times New Roman"/>
          <w:b/>
          <w:bCs/>
          <w:szCs w:val="24"/>
        </w:rPr>
      </w:pPr>
      <w:bookmarkStart w:id="156" w:name="_Toc389737912"/>
      <w:bookmarkStart w:id="157" w:name="_Toc389746474"/>
      <w:r w:rsidRPr="00EC4EC4">
        <w:rPr>
          <w:rFonts w:cs="Times New Roman"/>
          <w:color w:val="000000"/>
          <w:sz w:val="23"/>
          <w:szCs w:val="23"/>
        </w:rPr>
        <w:t>§</w:t>
      </w:r>
      <w:r>
        <w:rPr>
          <w:rFonts w:cs="Times New Roman"/>
          <w:color w:val="000000"/>
          <w:sz w:val="23"/>
          <w:szCs w:val="23"/>
        </w:rPr>
        <w:t>2</w:t>
      </w:r>
      <w:r w:rsidR="00114DB8">
        <w:rPr>
          <w:rFonts w:cs="Times New Roman"/>
          <w:color w:val="000000"/>
          <w:sz w:val="23"/>
          <w:szCs w:val="23"/>
        </w:rPr>
        <w:t>11</w:t>
      </w:r>
      <w:r w:rsidRPr="00EC4EC4">
        <w:rPr>
          <w:rFonts w:cs="Times New Roman"/>
          <w:color w:val="000000"/>
          <w:sz w:val="23"/>
          <w:szCs w:val="23"/>
        </w:rPr>
        <w:t>. Section 2303.4.1.1 of  the New York city building code, as amended by local law number 126 for the year 2021, is amended to read as follows:</w:t>
      </w:r>
    </w:p>
    <w:p w14:paraId="7FED11A0" w14:textId="77777777" w:rsidR="00140B7C" w:rsidRPr="00EC4EC4" w:rsidRDefault="00140B7C" w:rsidP="00140B7C">
      <w:pPr>
        <w:spacing w:after="240" w:line="240" w:lineRule="auto"/>
        <w:jc w:val="both"/>
        <w:rPr>
          <w:rFonts w:eastAsia="Calibri" w:cs="Times New Roman"/>
          <w:szCs w:val="24"/>
        </w:rPr>
      </w:pPr>
      <w:r w:rsidRPr="00EC4EC4">
        <w:rPr>
          <w:rFonts w:eastAsia="Calibri" w:cs="Times New Roman"/>
          <w:b/>
          <w:bCs/>
          <w:iCs/>
          <w:caps/>
          <w:szCs w:val="24"/>
        </w:rPr>
        <w:t xml:space="preserve">2303.4.1.1 </w:t>
      </w:r>
      <w:r w:rsidRPr="00EC4EC4">
        <w:rPr>
          <w:rFonts w:eastAsia="Calibri" w:cs="Times New Roman"/>
          <w:b/>
          <w:bCs/>
          <w:iCs/>
          <w:szCs w:val="24"/>
        </w:rPr>
        <w:t>Truss design drawings.</w:t>
      </w:r>
      <w:bookmarkEnd w:id="156"/>
      <w:bookmarkEnd w:id="157"/>
      <w:r w:rsidRPr="00EC4EC4">
        <w:rPr>
          <w:rFonts w:eastAsia="Calibri" w:cs="Times New Roman"/>
          <w:b/>
          <w:spacing w:val="-6"/>
          <w:w w:val="110"/>
          <w:szCs w:val="24"/>
        </w:rPr>
        <w:t xml:space="preserve"> </w:t>
      </w:r>
      <w:r w:rsidRPr="00EC4EC4">
        <w:rPr>
          <w:rFonts w:eastAsia="Calibri" w:cs="Times New Roman"/>
          <w:spacing w:val="-7"/>
          <w:szCs w:val="24"/>
        </w:rPr>
        <w:t>Truss construction docu</w:t>
      </w:r>
      <w:r w:rsidRPr="00EC4EC4">
        <w:rPr>
          <w:rFonts w:eastAsia="Calibri" w:cs="Times New Roman"/>
          <w:spacing w:val="2"/>
          <w:szCs w:val="24"/>
        </w:rPr>
        <w:t xml:space="preserve">ments shall be prepared by a registered design professional </w:t>
      </w:r>
      <w:r w:rsidRPr="00EC4EC4">
        <w:rPr>
          <w:rFonts w:eastAsia="Calibri" w:cs="Times New Roman"/>
          <w:spacing w:val="4"/>
          <w:szCs w:val="24"/>
        </w:rPr>
        <w:t xml:space="preserve">and </w:t>
      </w:r>
      <w:r w:rsidRPr="00EC4EC4">
        <w:rPr>
          <w:rFonts w:eastAsia="Calibri" w:cs="Times New Roman"/>
          <w:spacing w:val="-6"/>
          <w:szCs w:val="24"/>
        </w:rPr>
        <w:t>the</w:t>
      </w:r>
      <w:r w:rsidRPr="00EC4EC4">
        <w:rPr>
          <w:rFonts w:eastAsia="Calibri" w:cs="Times New Roman"/>
          <w:szCs w:val="24"/>
        </w:rPr>
        <w:t xml:space="preserve"> written, graphic and pictorial depiction of each individual truss shall be provided to the </w:t>
      </w:r>
      <w:r w:rsidRPr="00EC4EC4">
        <w:rPr>
          <w:rFonts w:eastAsia="Calibri" w:cs="Times New Roman"/>
          <w:spacing w:val="4"/>
          <w:szCs w:val="24"/>
        </w:rPr>
        <w:lastRenderedPageBreak/>
        <w:t>commissioner and approved</w:t>
      </w:r>
      <w:r w:rsidRPr="00EC4EC4">
        <w:rPr>
          <w:rFonts w:eastAsia="Calibri" w:cs="Times New Roman"/>
          <w:szCs w:val="24"/>
        </w:rPr>
        <w:t xml:space="preserve"> prior to installation. Truss design drawings shall also be provided with the shipment of trusses delivered to the job site. Truss design drawings shall include, at a minimum, the information specified below:</w:t>
      </w:r>
    </w:p>
    <w:p w14:paraId="44CA1DA9" w14:textId="77777777" w:rsidR="00140B7C" w:rsidRPr="00EC4EC4" w:rsidRDefault="00140B7C" w:rsidP="00140B7C">
      <w:pPr>
        <w:spacing w:after="240" w:line="240" w:lineRule="auto"/>
        <w:ind w:left="1080"/>
        <w:jc w:val="both"/>
        <w:rPr>
          <w:rFonts w:eastAsia="Calibri" w:cs="Times New Roman"/>
          <w:szCs w:val="24"/>
        </w:rPr>
      </w:pPr>
      <w:r w:rsidRPr="00EC4EC4">
        <w:rPr>
          <w:rFonts w:eastAsia="Calibri" w:cs="Times New Roman"/>
          <w:szCs w:val="24"/>
        </w:rPr>
        <w:t>1.</w:t>
      </w:r>
      <w:r w:rsidRPr="00EC4EC4">
        <w:rPr>
          <w:rFonts w:eastAsia="Calibri" w:cs="Times New Roman"/>
          <w:szCs w:val="24"/>
        </w:rPr>
        <w:tab/>
        <w:t>Slope or depth, span and spacing;</w:t>
      </w:r>
    </w:p>
    <w:p w14:paraId="18E0C406" w14:textId="77777777" w:rsidR="00140B7C" w:rsidRPr="00EC4EC4" w:rsidRDefault="00140B7C" w:rsidP="00140B7C">
      <w:pPr>
        <w:spacing w:after="240" w:line="240" w:lineRule="auto"/>
        <w:ind w:left="1080"/>
        <w:jc w:val="both"/>
        <w:rPr>
          <w:rFonts w:eastAsia="Calibri" w:cs="Times New Roman"/>
          <w:szCs w:val="24"/>
        </w:rPr>
      </w:pPr>
      <w:r w:rsidRPr="00EC4EC4">
        <w:rPr>
          <w:rFonts w:eastAsia="Calibri" w:cs="Times New Roman"/>
          <w:szCs w:val="24"/>
        </w:rPr>
        <w:t>2.</w:t>
      </w:r>
      <w:r w:rsidRPr="00EC4EC4">
        <w:rPr>
          <w:rFonts w:eastAsia="Calibri" w:cs="Times New Roman"/>
          <w:szCs w:val="24"/>
        </w:rPr>
        <w:tab/>
        <w:t>Location of all joints and support locations;</w:t>
      </w:r>
    </w:p>
    <w:p w14:paraId="01CCD5AD" w14:textId="77777777" w:rsidR="00140B7C" w:rsidRPr="00EC4EC4" w:rsidRDefault="00140B7C" w:rsidP="00140B7C">
      <w:pPr>
        <w:spacing w:after="240" w:line="240" w:lineRule="auto"/>
        <w:ind w:left="1080"/>
        <w:jc w:val="both"/>
        <w:rPr>
          <w:rFonts w:eastAsia="Calibri" w:cs="Times New Roman"/>
          <w:szCs w:val="24"/>
        </w:rPr>
      </w:pPr>
      <w:r w:rsidRPr="00EC4EC4">
        <w:rPr>
          <w:rFonts w:eastAsia="Calibri" w:cs="Times New Roman"/>
          <w:szCs w:val="24"/>
        </w:rPr>
        <w:t>3.</w:t>
      </w:r>
      <w:r w:rsidRPr="00EC4EC4">
        <w:rPr>
          <w:rFonts w:eastAsia="Calibri" w:cs="Times New Roman"/>
          <w:szCs w:val="24"/>
        </w:rPr>
        <w:tab/>
        <w:t>Number of plies</w:t>
      </w:r>
      <w:r w:rsidRPr="00EC4EC4">
        <w:rPr>
          <w:rFonts w:eastAsia="Calibri" w:cs="Times New Roman"/>
          <w:spacing w:val="9"/>
          <w:szCs w:val="24"/>
        </w:rPr>
        <w:t>, if greater than one;</w:t>
      </w:r>
    </w:p>
    <w:p w14:paraId="2A2E09DE" w14:textId="77777777" w:rsidR="00140B7C" w:rsidRPr="00EC4EC4" w:rsidRDefault="00140B7C" w:rsidP="00140B7C">
      <w:pPr>
        <w:spacing w:after="240" w:line="240" w:lineRule="auto"/>
        <w:ind w:left="1080"/>
        <w:jc w:val="both"/>
        <w:rPr>
          <w:rFonts w:eastAsia="Calibri" w:cs="Times New Roman"/>
          <w:szCs w:val="24"/>
        </w:rPr>
      </w:pPr>
      <w:r w:rsidRPr="00EC4EC4">
        <w:rPr>
          <w:rFonts w:eastAsia="Calibri" w:cs="Times New Roman"/>
          <w:szCs w:val="24"/>
        </w:rPr>
        <w:t>4.</w:t>
      </w:r>
      <w:r w:rsidRPr="00EC4EC4">
        <w:rPr>
          <w:rFonts w:eastAsia="Calibri" w:cs="Times New Roman"/>
          <w:szCs w:val="24"/>
        </w:rPr>
        <w:tab/>
        <w:t>Required bearing widths;</w:t>
      </w:r>
    </w:p>
    <w:p w14:paraId="433D5015" w14:textId="77777777" w:rsidR="00140B7C" w:rsidRPr="00EC4EC4" w:rsidRDefault="00140B7C" w:rsidP="00140B7C">
      <w:pPr>
        <w:spacing w:after="240" w:line="240" w:lineRule="auto"/>
        <w:ind w:left="1080"/>
        <w:jc w:val="both"/>
        <w:rPr>
          <w:rFonts w:eastAsia="Calibri" w:cs="Times New Roman"/>
          <w:spacing w:val="9"/>
          <w:szCs w:val="24"/>
        </w:rPr>
      </w:pPr>
      <w:r w:rsidRPr="00EC4EC4">
        <w:rPr>
          <w:rFonts w:eastAsia="Calibri" w:cs="Times New Roman"/>
          <w:szCs w:val="24"/>
        </w:rPr>
        <w:t>5.</w:t>
      </w:r>
      <w:r w:rsidRPr="00EC4EC4">
        <w:rPr>
          <w:rFonts w:eastAsia="Calibri" w:cs="Times New Roman"/>
          <w:szCs w:val="24"/>
        </w:rPr>
        <w:tab/>
        <w:t>Design loads as applicable, including</w:t>
      </w:r>
      <w:r w:rsidRPr="00EC4EC4">
        <w:rPr>
          <w:rFonts w:eastAsia="Calibri" w:cs="Times New Roman"/>
          <w:spacing w:val="9"/>
          <w:szCs w:val="24"/>
        </w:rPr>
        <w:t xml:space="preserve">: </w:t>
      </w:r>
    </w:p>
    <w:p w14:paraId="22361C95" w14:textId="77777777" w:rsidR="00140B7C" w:rsidRPr="00EC4EC4" w:rsidRDefault="00140B7C" w:rsidP="00140B7C">
      <w:pPr>
        <w:spacing w:after="240" w:line="240" w:lineRule="auto"/>
        <w:ind w:left="1980" w:hanging="540"/>
        <w:jc w:val="both"/>
        <w:rPr>
          <w:rFonts w:eastAsia="Calibri" w:cs="Times New Roman"/>
          <w:szCs w:val="24"/>
        </w:rPr>
      </w:pPr>
      <w:r w:rsidRPr="00EC4EC4">
        <w:rPr>
          <w:rFonts w:eastAsia="Calibri" w:cs="Times New Roman"/>
          <w:szCs w:val="24"/>
        </w:rPr>
        <w:t>5.1.</w:t>
      </w:r>
      <w:r w:rsidRPr="00EC4EC4">
        <w:rPr>
          <w:rFonts w:eastAsia="Calibri" w:cs="Times New Roman"/>
          <w:szCs w:val="24"/>
        </w:rPr>
        <w:tab/>
        <w:t>Top chord live load;</w:t>
      </w:r>
    </w:p>
    <w:p w14:paraId="10F349A3" w14:textId="77777777" w:rsidR="00140B7C" w:rsidRPr="00EC4EC4" w:rsidRDefault="00140B7C" w:rsidP="00140B7C">
      <w:pPr>
        <w:spacing w:after="240" w:line="240" w:lineRule="auto"/>
        <w:ind w:left="1980" w:hanging="540"/>
        <w:jc w:val="both"/>
        <w:rPr>
          <w:rFonts w:eastAsia="Calibri" w:cs="Times New Roman"/>
          <w:szCs w:val="24"/>
        </w:rPr>
      </w:pPr>
      <w:r w:rsidRPr="00EC4EC4">
        <w:rPr>
          <w:rFonts w:eastAsia="Calibri" w:cs="Times New Roman"/>
          <w:szCs w:val="24"/>
        </w:rPr>
        <w:t>5.2.</w:t>
      </w:r>
      <w:r w:rsidRPr="00EC4EC4">
        <w:rPr>
          <w:rFonts w:eastAsia="Calibri" w:cs="Times New Roman"/>
          <w:szCs w:val="24"/>
        </w:rPr>
        <w:tab/>
        <w:t>Top chord dead load;</w:t>
      </w:r>
    </w:p>
    <w:p w14:paraId="605CACF5" w14:textId="77777777" w:rsidR="00140B7C" w:rsidRPr="00EC4EC4" w:rsidRDefault="00140B7C" w:rsidP="00140B7C">
      <w:pPr>
        <w:spacing w:after="240" w:line="240" w:lineRule="auto"/>
        <w:ind w:left="1980" w:hanging="540"/>
        <w:jc w:val="both"/>
        <w:rPr>
          <w:rFonts w:eastAsia="Calibri" w:cs="Times New Roman"/>
          <w:szCs w:val="24"/>
        </w:rPr>
      </w:pPr>
      <w:r w:rsidRPr="00EC4EC4">
        <w:rPr>
          <w:rFonts w:eastAsia="Calibri" w:cs="Times New Roman"/>
          <w:szCs w:val="24"/>
        </w:rPr>
        <w:t>5.3.</w:t>
      </w:r>
      <w:r w:rsidRPr="00EC4EC4">
        <w:rPr>
          <w:rFonts w:eastAsia="Calibri" w:cs="Times New Roman"/>
          <w:szCs w:val="24"/>
        </w:rPr>
        <w:tab/>
        <w:t>Bottom chord live load;</w:t>
      </w:r>
    </w:p>
    <w:p w14:paraId="5E641C6D" w14:textId="77777777" w:rsidR="00140B7C" w:rsidRPr="00EC4EC4" w:rsidRDefault="00140B7C" w:rsidP="00140B7C">
      <w:pPr>
        <w:spacing w:after="240" w:line="240" w:lineRule="auto"/>
        <w:ind w:left="1980" w:hanging="540"/>
        <w:jc w:val="both"/>
        <w:rPr>
          <w:rFonts w:eastAsia="Calibri" w:cs="Times New Roman"/>
          <w:szCs w:val="24"/>
        </w:rPr>
      </w:pPr>
      <w:r w:rsidRPr="00EC4EC4">
        <w:rPr>
          <w:rFonts w:eastAsia="Calibri" w:cs="Times New Roman"/>
          <w:szCs w:val="24"/>
        </w:rPr>
        <w:t>5.4.</w:t>
      </w:r>
      <w:r w:rsidRPr="00EC4EC4">
        <w:rPr>
          <w:rFonts w:eastAsia="Calibri" w:cs="Times New Roman"/>
          <w:szCs w:val="24"/>
        </w:rPr>
        <w:tab/>
        <w:t>Bottom chord dead load;</w:t>
      </w:r>
    </w:p>
    <w:p w14:paraId="41A3713E" w14:textId="77777777" w:rsidR="00140B7C" w:rsidRPr="00EC4EC4" w:rsidRDefault="00140B7C" w:rsidP="00140B7C">
      <w:pPr>
        <w:spacing w:after="240" w:line="240" w:lineRule="auto"/>
        <w:ind w:left="1980" w:hanging="540"/>
        <w:jc w:val="both"/>
        <w:rPr>
          <w:rFonts w:eastAsia="Calibri" w:cs="Times New Roman"/>
          <w:szCs w:val="24"/>
        </w:rPr>
      </w:pPr>
      <w:r w:rsidRPr="00EC4EC4">
        <w:rPr>
          <w:rFonts w:eastAsia="Calibri" w:cs="Times New Roman"/>
          <w:szCs w:val="24"/>
        </w:rPr>
        <w:t>5.5.</w:t>
      </w:r>
      <w:r w:rsidRPr="00EC4EC4">
        <w:rPr>
          <w:rFonts w:eastAsia="Calibri" w:cs="Times New Roman"/>
          <w:szCs w:val="24"/>
        </w:rPr>
        <w:tab/>
        <w:t>Additional loads and locations; and</w:t>
      </w:r>
    </w:p>
    <w:p w14:paraId="363C23BA" w14:textId="77777777" w:rsidR="00140B7C" w:rsidRPr="00EC4EC4" w:rsidRDefault="00140B7C" w:rsidP="00140B7C">
      <w:pPr>
        <w:spacing w:after="240" w:line="240" w:lineRule="auto"/>
        <w:ind w:left="1980" w:hanging="540"/>
        <w:jc w:val="both"/>
        <w:rPr>
          <w:rFonts w:eastAsia="Calibri" w:cs="Times New Roman"/>
          <w:szCs w:val="24"/>
        </w:rPr>
      </w:pPr>
      <w:r w:rsidRPr="00EC4EC4">
        <w:rPr>
          <w:rFonts w:eastAsia="Calibri" w:cs="Times New Roman"/>
          <w:szCs w:val="24"/>
        </w:rPr>
        <w:t>5.6.</w:t>
      </w:r>
      <w:r w:rsidRPr="00EC4EC4">
        <w:rPr>
          <w:rFonts w:eastAsia="Calibri" w:cs="Times New Roman"/>
          <w:szCs w:val="24"/>
        </w:rPr>
        <w:tab/>
        <w:t>Environmental design criteria and loads (wind, rain, snow, seismic, etc.).</w:t>
      </w:r>
    </w:p>
    <w:p w14:paraId="3C3365FF" w14:textId="77777777" w:rsidR="00140B7C" w:rsidRPr="00EC4EC4" w:rsidRDefault="00140B7C" w:rsidP="00140B7C">
      <w:pPr>
        <w:spacing w:after="240" w:line="240" w:lineRule="auto"/>
        <w:ind w:left="1080"/>
        <w:jc w:val="both"/>
        <w:rPr>
          <w:rFonts w:eastAsia="Calibri" w:cs="Times New Roman"/>
          <w:szCs w:val="24"/>
        </w:rPr>
      </w:pPr>
      <w:r w:rsidRPr="00EC4EC4">
        <w:rPr>
          <w:rFonts w:eastAsia="Calibri" w:cs="Times New Roman"/>
          <w:szCs w:val="24"/>
        </w:rPr>
        <w:t>6.</w:t>
      </w:r>
      <w:r w:rsidRPr="00EC4EC4">
        <w:rPr>
          <w:rFonts w:eastAsia="Calibri" w:cs="Times New Roman"/>
          <w:szCs w:val="24"/>
        </w:rPr>
        <w:tab/>
        <w:t>Other lateral loads, including drag strut loads;</w:t>
      </w:r>
    </w:p>
    <w:p w14:paraId="1ADCAFCC" w14:textId="77777777" w:rsidR="00140B7C" w:rsidRPr="00EC4EC4" w:rsidRDefault="00140B7C" w:rsidP="00140B7C">
      <w:pPr>
        <w:spacing w:after="240" w:line="240" w:lineRule="auto"/>
        <w:ind w:left="1440" w:hanging="360"/>
        <w:jc w:val="both"/>
        <w:rPr>
          <w:rFonts w:eastAsia="Calibri" w:cs="Times New Roman"/>
          <w:szCs w:val="24"/>
        </w:rPr>
      </w:pPr>
      <w:r w:rsidRPr="00EC4EC4">
        <w:rPr>
          <w:rFonts w:eastAsia="Calibri" w:cs="Times New Roman"/>
          <w:szCs w:val="24"/>
        </w:rPr>
        <w:t>7.</w:t>
      </w:r>
      <w:r w:rsidRPr="00EC4EC4">
        <w:rPr>
          <w:rFonts w:eastAsia="Calibri" w:cs="Times New Roman"/>
          <w:szCs w:val="24"/>
        </w:rPr>
        <w:tab/>
        <w:t>Adjustments to wood member and metal connector plate design value for conditions of use;</w:t>
      </w:r>
    </w:p>
    <w:p w14:paraId="1F50D584" w14:textId="77777777" w:rsidR="00140B7C" w:rsidRPr="00EC4EC4" w:rsidRDefault="00140B7C" w:rsidP="00140B7C">
      <w:pPr>
        <w:spacing w:after="240" w:line="240" w:lineRule="auto"/>
        <w:ind w:left="1440" w:hanging="360"/>
        <w:jc w:val="both"/>
        <w:rPr>
          <w:rFonts w:eastAsia="Calibri" w:cs="Times New Roman"/>
          <w:szCs w:val="24"/>
        </w:rPr>
      </w:pPr>
      <w:r w:rsidRPr="00EC4EC4">
        <w:rPr>
          <w:rFonts w:eastAsia="Calibri" w:cs="Times New Roman"/>
          <w:szCs w:val="24"/>
        </w:rPr>
        <w:t>8.</w:t>
      </w:r>
      <w:r w:rsidRPr="00EC4EC4">
        <w:rPr>
          <w:rFonts w:eastAsia="Calibri" w:cs="Times New Roman"/>
          <w:szCs w:val="24"/>
        </w:rPr>
        <w:tab/>
        <w:t xml:space="preserve">Maximum reaction force and direction, including maximum uplift reaction forces where applicable; </w:t>
      </w:r>
    </w:p>
    <w:p w14:paraId="7B1BE977" w14:textId="77777777" w:rsidR="00140B7C" w:rsidRPr="00EC4EC4" w:rsidRDefault="00140B7C" w:rsidP="00140B7C">
      <w:pPr>
        <w:spacing w:after="240" w:line="240" w:lineRule="auto"/>
        <w:ind w:left="1440" w:hanging="360"/>
        <w:jc w:val="both"/>
        <w:rPr>
          <w:rFonts w:eastAsia="Calibri" w:cs="Times New Roman"/>
          <w:szCs w:val="24"/>
        </w:rPr>
      </w:pPr>
      <w:r w:rsidRPr="00EC4EC4">
        <w:rPr>
          <w:rFonts w:eastAsia="Calibri" w:cs="Times New Roman"/>
          <w:szCs w:val="24"/>
        </w:rPr>
        <w:t>9.</w:t>
      </w:r>
      <w:r w:rsidRPr="00EC4EC4">
        <w:rPr>
          <w:rFonts w:eastAsia="Calibri" w:cs="Times New Roman"/>
          <w:szCs w:val="24"/>
        </w:rPr>
        <w:tab/>
        <w:t>Joint connection type and description, such as size and thickness or gage, and the dimensioned location of each joint connector except where symmetrically located relative to the joint interface;</w:t>
      </w:r>
    </w:p>
    <w:p w14:paraId="78D86320" w14:textId="77777777" w:rsidR="00140B7C" w:rsidRPr="00EC4EC4" w:rsidRDefault="00140B7C" w:rsidP="00140B7C">
      <w:pPr>
        <w:spacing w:after="240" w:line="240" w:lineRule="auto"/>
        <w:ind w:left="1440" w:hanging="360"/>
        <w:jc w:val="both"/>
        <w:rPr>
          <w:rFonts w:eastAsia="Calibri" w:cs="Times New Roman"/>
          <w:szCs w:val="24"/>
        </w:rPr>
      </w:pPr>
      <w:r w:rsidRPr="00EC4EC4">
        <w:rPr>
          <w:rFonts w:eastAsia="Calibri" w:cs="Times New Roman"/>
          <w:szCs w:val="24"/>
        </w:rPr>
        <w:t>10.</w:t>
      </w:r>
      <w:r w:rsidRPr="00EC4EC4">
        <w:rPr>
          <w:rFonts w:eastAsia="Calibri" w:cs="Times New Roman"/>
          <w:szCs w:val="24"/>
        </w:rPr>
        <w:tab/>
        <w:t>Size, species and grade for each wood member;</w:t>
      </w:r>
    </w:p>
    <w:p w14:paraId="205FCE38" w14:textId="77777777" w:rsidR="00140B7C" w:rsidRPr="00EC4EC4" w:rsidRDefault="00140B7C" w:rsidP="00140B7C">
      <w:pPr>
        <w:spacing w:after="240" w:line="240" w:lineRule="auto"/>
        <w:ind w:left="1440" w:hanging="360"/>
        <w:jc w:val="both"/>
        <w:rPr>
          <w:rFonts w:eastAsia="Calibri" w:cs="Times New Roman"/>
          <w:szCs w:val="24"/>
        </w:rPr>
      </w:pPr>
      <w:r w:rsidRPr="00EC4EC4">
        <w:rPr>
          <w:rFonts w:eastAsia="Calibri" w:cs="Times New Roman"/>
          <w:szCs w:val="24"/>
        </w:rPr>
        <w:t>11.</w:t>
      </w:r>
      <w:r w:rsidRPr="00EC4EC4">
        <w:rPr>
          <w:rFonts w:eastAsia="Calibri" w:cs="Times New Roman"/>
          <w:szCs w:val="24"/>
        </w:rPr>
        <w:tab/>
        <w:t>Truss-to-truss connections and truss field assembly requirements;</w:t>
      </w:r>
    </w:p>
    <w:p w14:paraId="1676FD1C" w14:textId="77777777" w:rsidR="00140B7C" w:rsidRPr="00EC4EC4" w:rsidRDefault="00140B7C" w:rsidP="00140B7C">
      <w:pPr>
        <w:spacing w:after="240" w:line="240" w:lineRule="auto"/>
        <w:ind w:left="1440" w:hanging="360"/>
        <w:jc w:val="both"/>
        <w:rPr>
          <w:rFonts w:eastAsia="Calibri" w:cs="Times New Roman"/>
          <w:szCs w:val="24"/>
        </w:rPr>
      </w:pPr>
      <w:r w:rsidRPr="00EC4EC4">
        <w:rPr>
          <w:rFonts w:eastAsia="Calibri" w:cs="Times New Roman"/>
          <w:szCs w:val="24"/>
        </w:rPr>
        <w:t>12.</w:t>
      </w:r>
      <w:r w:rsidRPr="00EC4EC4">
        <w:rPr>
          <w:rFonts w:eastAsia="Calibri" w:cs="Times New Roman"/>
          <w:szCs w:val="24"/>
        </w:rPr>
        <w:tab/>
        <w:t>Calculated span-to-deflection ratio and maximum vertical and horizontal deflection for live and total load as applicable;</w:t>
      </w:r>
    </w:p>
    <w:p w14:paraId="6DD8C893" w14:textId="77777777" w:rsidR="00140B7C" w:rsidRPr="00EC4EC4" w:rsidRDefault="00140B7C" w:rsidP="00140B7C">
      <w:pPr>
        <w:spacing w:after="240" w:line="240" w:lineRule="auto"/>
        <w:ind w:left="1440" w:hanging="360"/>
        <w:jc w:val="both"/>
        <w:rPr>
          <w:rFonts w:eastAsia="Calibri" w:cs="Times New Roman"/>
          <w:szCs w:val="24"/>
        </w:rPr>
      </w:pPr>
      <w:r w:rsidRPr="00EC4EC4">
        <w:rPr>
          <w:rFonts w:eastAsia="Calibri" w:cs="Times New Roman"/>
          <w:szCs w:val="24"/>
        </w:rPr>
        <w:t>13.</w:t>
      </w:r>
      <w:r w:rsidRPr="00EC4EC4">
        <w:rPr>
          <w:rFonts w:eastAsia="Calibri" w:cs="Times New Roman"/>
          <w:szCs w:val="24"/>
        </w:rPr>
        <w:tab/>
        <w:t>Maximum axial tension and compression forces in the truss members;</w:t>
      </w:r>
      <w:r w:rsidRPr="00EC4EC4">
        <w:rPr>
          <w:rFonts w:eastAsia="Calibri" w:cs="Times New Roman"/>
          <w:spacing w:val="9"/>
          <w:szCs w:val="24"/>
        </w:rPr>
        <w:t xml:space="preserve"> </w:t>
      </w:r>
    </w:p>
    <w:p w14:paraId="3093B274" w14:textId="77777777" w:rsidR="00140B7C" w:rsidRPr="00EC4EC4" w:rsidRDefault="00140B7C" w:rsidP="00140B7C">
      <w:pPr>
        <w:spacing w:after="240" w:line="240" w:lineRule="auto"/>
        <w:ind w:left="1440" w:hanging="360"/>
        <w:jc w:val="both"/>
        <w:rPr>
          <w:rFonts w:eastAsia="Calibri" w:cs="Times New Roman"/>
          <w:szCs w:val="24"/>
        </w:rPr>
      </w:pPr>
      <w:r w:rsidRPr="00EC4EC4">
        <w:rPr>
          <w:rFonts w:eastAsia="Calibri" w:cs="Times New Roman"/>
          <w:spacing w:val="9"/>
          <w:szCs w:val="24"/>
        </w:rPr>
        <w:t>14.</w:t>
      </w:r>
      <w:r w:rsidRPr="00EC4EC4">
        <w:rPr>
          <w:rFonts w:eastAsia="Calibri" w:cs="Times New Roman"/>
          <w:spacing w:val="9"/>
          <w:szCs w:val="24"/>
        </w:rPr>
        <w:tab/>
        <w:t xml:space="preserve">Required permanent individual truss member restraint location and the method and details of restraint/bracing to be used in accordance with Section 2303.4.1.2; </w:t>
      </w:r>
      <w:r w:rsidRPr="00EC4EC4">
        <w:rPr>
          <w:rFonts w:eastAsia="Calibri" w:cs="Times New Roman"/>
          <w:spacing w:val="9"/>
          <w:szCs w:val="24"/>
          <w:u w:val="single"/>
        </w:rPr>
        <w:t>and</w:t>
      </w:r>
    </w:p>
    <w:p w14:paraId="2D31DA24" w14:textId="77777777" w:rsidR="00140B7C" w:rsidRPr="00EC4EC4" w:rsidRDefault="00140B7C" w:rsidP="00140B7C">
      <w:pPr>
        <w:spacing w:after="240" w:line="240" w:lineRule="auto"/>
        <w:ind w:left="1440" w:hanging="360"/>
        <w:jc w:val="both"/>
        <w:rPr>
          <w:rFonts w:eastAsia="Calibri" w:cs="Times New Roman"/>
          <w:spacing w:val="2"/>
          <w:szCs w:val="24"/>
        </w:rPr>
      </w:pPr>
      <w:r w:rsidRPr="00EC4EC4">
        <w:rPr>
          <w:rFonts w:eastAsia="Calibri" w:cs="Times New Roman"/>
          <w:spacing w:val="2"/>
          <w:szCs w:val="24"/>
        </w:rPr>
        <w:t>15.</w:t>
      </w:r>
      <w:r w:rsidRPr="00EC4EC4">
        <w:rPr>
          <w:rFonts w:eastAsia="Calibri" w:cs="Times New Roman"/>
          <w:spacing w:val="2"/>
          <w:szCs w:val="24"/>
        </w:rPr>
        <w:tab/>
        <w:t>Required temporary individual and system truss member restraint/bracing requirements for safe handling and field assembly.</w:t>
      </w:r>
    </w:p>
    <w:p w14:paraId="6C8A7449" w14:textId="7D9B0DBC"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565A2D">
        <w:rPr>
          <w:rFonts w:cs="Times New Roman"/>
          <w:color w:val="000000"/>
          <w:sz w:val="23"/>
          <w:szCs w:val="23"/>
        </w:rPr>
        <w:t>12</w:t>
      </w:r>
      <w:r w:rsidRPr="00EC4EC4">
        <w:rPr>
          <w:rFonts w:cs="Times New Roman"/>
          <w:color w:val="000000"/>
          <w:sz w:val="23"/>
          <w:szCs w:val="23"/>
        </w:rPr>
        <w:t>. Section 2303.4.7 of  the New York city building code, as amended by local law number 126 for the year 2021, is amended to read as follows:</w:t>
      </w:r>
    </w:p>
    <w:p w14:paraId="169C133A" w14:textId="77777777" w:rsidR="00140B7C" w:rsidRDefault="00140B7C" w:rsidP="00140B7C">
      <w:pPr>
        <w:spacing w:after="240" w:line="240" w:lineRule="auto"/>
        <w:jc w:val="both"/>
        <w:rPr>
          <w:rFonts w:eastAsia="Calibri" w:cs="Times New Roman"/>
          <w:szCs w:val="24"/>
        </w:rPr>
      </w:pPr>
      <w:r w:rsidRPr="008147E4">
        <w:rPr>
          <w:rFonts w:eastAsia="Calibri" w:cs="Times New Roman"/>
          <w:b/>
          <w:szCs w:val="24"/>
        </w:rPr>
        <w:t>2303.4.7 Glued prefabricated parallel chord wood trusses.</w:t>
      </w:r>
      <w:r w:rsidRPr="008147E4">
        <w:rPr>
          <w:rFonts w:eastAsia="Calibri" w:cs="Times New Roman"/>
          <w:szCs w:val="24"/>
        </w:rPr>
        <w:t xml:space="preserve"> In addition to Sections 2303.4.1 through 2303.4.5, the design, manufacture and quality assurance of glued prefabricated parallel chord wood trusses shall be in accordance with [</w:t>
      </w:r>
      <w:r w:rsidRPr="008147E4">
        <w:rPr>
          <w:rFonts w:eastAsia="Calibri" w:cs="Times New Roman"/>
          <w:strike/>
          <w:szCs w:val="24"/>
        </w:rPr>
        <w:t>the rules of the department</w:t>
      </w:r>
      <w:r w:rsidRPr="008147E4">
        <w:rPr>
          <w:rFonts w:eastAsia="Calibri" w:cs="Times New Roman"/>
          <w:szCs w:val="24"/>
        </w:rPr>
        <w:t xml:space="preserve">] </w:t>
      </w:r>
      <w:r w:rsidRPr="008147E4">
        <w:rPr>
          <w:rFonts w:eastAsia="Calibri" w:cs="Times New Roman"/>
          <w:szCs w:val="24"/>
          <w:u w:val="single"/>
        </w:rPr>
        <w:t>acceptable to the commissioner</w:t>
      </w:r>
      <w:r w:rsidRPr="008147E4">
        <w:rPr>
          <w:rFonts w:eastAsia="Calibri" w:cs="Times New Roman"/>
          <w:szCs w:val="24"/>
        </w:rPr>
        <w:t xml:space="preserve">.  Job-site inspections shall be in compliance with Sections [1704.6.2] </w:t>
      </w:r>
      <w:r w:rsidRPr="008147E4">
        <w:rPr>
          <w:rFonts w:eastAsia="Calibri" w:cs="Times New Roman"/>
          <w:szCs w:val="24"/>
          <w:u w:val="single"/>
        </w:rPr>
        <w:t>1705.5.2</w:t>
      </w:r>
      <w:r w:rsidRPr="008147E4">
        <w:rPr>
          <w:rFonts w:eastAsia="Calibri" w:cs="Times New Roman"/>
          <w:szCs w:val="24"/>
        </w:rPr>
        <w:t xml:space="preserve"> and [</w:t>
      </w:r>
      <w:r w:rsidRPr="008147E4">
        <w:rPr>
          <w:rFonts w:eastAsia="Calibri" w:cs="Times New Roman"/>
          <w:strike/>
          <w:szCs w:val="24"/>
        </w:rPr>
        <w:t>1704.6.3</w:t>
      </w:r>
      <w:r w:rsidRPr="008147E4">
        <w:rPr>
          <w:rFonts w:eastAsia="Calibri" w:cs="Times New Roman"/>
          <w:szCs w:val="24"/>
        </w:rPr>
        <w:t>]</w:t>
      </w:r>
      <w:r w:rsidRPr="008147E4">
        <w:rPr>
          <w:rFonts w:eastAsia="Calibri" w:cs="Times New Roman"/>
          <w:szCs w:val="24"/>
          <w:u w:val="single"/>
        </w:rPr>
        <w:t>1705.5.3</w:t>
      </w:r>
      <w:r w:rsidRPr="008147E4">
        <w:rPr>
          <w:rFonts w:eastAsia="Calibri" w:cs="Times New Roman"/>
          <w:szCs w:val="24"/>
        </w:rPr>
        <w:t>, as applicable.3301.9</w:t>
      </w:r>
    </w:p>
    <w:p w14:paraId="7C9A5189" w14:textId="77777777" w:rsidR="00140B7C" w:rsidRPr="00EC4EC4" w:rsidRDefault="00140B7C" w:rsidP="00140B7C">
      <w:pPr>
        <w:spacing w:after="240" w:line="240" w:lineRule="auto"/>
        <w:jc w:val="both"/>
        <w:rPr>
          <w:rFonts w:eastAsia="Calibri" w:cs="Times New Roman"/>
          <w:szCs w:val="24"/>
        </w:rPr>
      </w:pPr>
    </w:p>
    <w:p w14:paraId="4737012F" w14:textId="0FEF567D" w:rsidR="00140B7C" w:rsidRPr="00EC4EC4" w:rsidRDefault="00140B7C" w:rsidP="00140B7C">
      <w:pPr>
        <w:kinsoku w:val="0"/>
        <w:spacing w:after="240" w:line="240" w:lineRule="auto"/>
        <w:ind w:firstLine="720"/>
        <w:jc w:val="both"/>
        <w:rPr>
          <w:rFonts w:eastAsia="Times New Roman" w:cs="Times New Roman"/>
          <w:b/>
          <w:bCs/>
          <w:szCs w:val="24"/>
        </w:rPr>
      </w:pPr>
      <w:bookmarkStart w:id="158" w:name="_Toc389737922"/>
      <w:bookmarkStart w:id="159" w:name="_Toc389746484"/>
      <w:r w:rsidRPr="00306BDC">
        <w:rPr>
          <w:rFonts w:cs="Times New Roman"/>
          <w:color w:val="000000"/>
          <w:sz w:val="23"/>
          <w:szCs w:val="23"/>
        </w:rPr>
        <w:t>§</w:t>
      </w:r>
      <w:r>
        <w:rPr>
          <w:rFonts w:cs="Times New Roman"/>
          <w:color w:val="000000"/>
          <w:sz w:val="23"/>
          <w:szCs w:val="23"/>
        </w:rPr>
        <w:t>2</w:t>
      </w:r>
      <w:r w:rsidR="00565A2D">
        <w:rPr>
          <w:rFonts w:cs="Times New Roman"/>
          <w:color w:val="000000"/>
          <w:sz w:val="23"/>
          <w:szCs w:val="23"/>
        </w:rPr>
        <w:t>13</w:t>
      </w:r>
      <w:r w:rsidRPr="00306BDC">
        <w:rPr>
          <w:rFonts w:cs="Times New Roman"/>
          <w:color w:val="000000"/>
          <w:sz w:val="23"/>
          <w:szCs w:val="23"/>
        </w:rPr>
        <w:t>. Table 2304.10.1 of  the New York city building code, as added by local law number 126 for the year 2021, is amended to read as follows:</w:t>
      </w:r>
    </w:p>
    <w:bookmarkEnd w:id="158"/>
    <w:bookmarkEnd w:id="159"/>
    <w:p w14:paraId="24355133" w14:textId="77777777" w:rsidR="00140B7C" w:rsidRPr="00EC4EC4" w:rsidRDefault="00140B7C" w:rsidP="00140B7C">
      <w:pPr>
        <w:widowControl w:val="0"/>
        <w:autoSpaceDE w:val="0"/>
        <w:autoSpaceDN w:val="0"/>
        <w:adjustRightInd w:val="0"/>
        <w:spacing w:after="0" w:line="240" w:lineRule="auto"/>
        <w:ind w:left="360" w:hanging="360"/>
        <w:jc w:val="both"/>
        <w:rPr>
          <w:rFonts w:eastAsia="Times New Roman" w:cs="Times New Roman"/>
          <w:noProof/>
          <w:color w:val="000000"/>
          <w:sz w:val="14"/>
          <w:szCs w:val="1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220"/>
        <w:gridCol w:w="3143"/>
        <w:gridCol w:w="983"/>
        <w:gridCol w:w="9"/>
        <w:gridCol w:w="2445"/>
      </w:tblGrid>
      <w:tr w:rsidR="00140B7C" w:rsidRPr="00EC4EC4" w14:paraId="3501714C" w14:textId="77777777" w:rsidTr="00BC1087">
        <w:trPr>
          <w:cantSplit/>
          <w:tblHeader/>
          <w:jc w:val="center"/>
        </w:trPr>
        <w:tc>
          <w:tcPr>
            <w:tcW w:w="5000" w:type="pct"/>
            <w:gridSpan w:val="5"/>
            <w:tcBorders>
              <w:top w:val="nil"/>
              <w:left w:val="nil"/>
              <w:bottom w:val="nil"/>
              <w:right w:val="nil"/>
            </w:tcBorders>
            <w:vAlign w:val="center"/>
          </w:tcPr>
          <w:p w14:paraId="2C78E54C" w14:textId="77777777" w:rsidR="00140B7C" w:rsidRPr="00EC4EC4" w:rsidRDefault="00140B7C" w:rsidP="00BC1087">
            <w:pPr>
              <w:widowControl w:val="0"/>
              <w:spacing w:after="0" w:line="240" w:lineRule="auto"/>
              <w:jc w:val="center"/>
              <w:outlineLvl w:val="4"/>
              <w:rPr>
                <w:rFonts w:eastAsia="Times New Roman" w:cs="Arial"/>
                <w:b/>
                <w:caps/>
                <w:sz w:val="16"/>
                <w:szCs w:val="16"/>
              </w:rPr>
            </w:pPr>
            <w:r w:rsidRPr="00EC4EC4">
              <w:rPr>
                <w:rFonts w:eastAsia="Times New Roman" w:cs="Arial"/>
                <w:b/>
                <w:caps/>
                <w:sz w:val="16"/>
                <w:szCs w:val="16"/>
              </w:rPr>
              <w:t>TABLE 2304.10.1</w:t>
            </w:r>
            <w:r w:rsidRPr="00EC4EC4">
              <w:rPr>
                <w:rFonts w:eastAsia="Times New Roman" w:cs="Arial"/>
                <w:b/>
                <w:caps/>
                <w:sz w:val="16"/>
                <w:szCs w:val="16"/>
              </w:rPr>
              <w:br/>
              <w:t>FASTENING SCHEDULE</w:t>
            </w:r>
          </w:p>
        </w:tc>
      </w:tr>
      <w:tr w:rsidR="00140B7C" w:rsidRPr="00EC4EC4" w14:paraId="45AFB79B" w14:textId="77777777" w:rsidTr="00BC1087">
        <w:trPr>
          <w:cantSplit/>
          <w:tblHeader/>
          <w:jc w:val="center"/>
        </w:trPr>
        <w:tc>
          <w:tcPr>
            <w:tcW w:w="1954" w:type="pct"/>
            <w:tcBorders>
              <w:top w:val="single" w:sz="4" w:space="0" w:color="auto"/>
            </w:tcBorders>
            <w:vAlign w:val="center"/>
          </w:tcPr>
          <w:p w14:paraId="13643E8A"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b/>
                <w:bCs/>
                <w:sz w:val="16"/>
                <w:szCs w:val="16"/>
              </w:rPr>
            </w:pPr>
            <w:r w:rsidRPr="00EC4EC4">
              <w:rPr>
                <w:rFonts w:eastAsia="Times New Roman" w:cs="Arial"/>
                <w:b/>
                <w:bCs/>
                <w:sz w:val="16"/>
                <w:szCs w:val="16"/>
              </w:rPr>
              <w:t>DESCRIPTION OF BUILDING ELEMENTS</w:t>
            </w:r>
          </w:p>
        </w:tc>
        <w:tc>
          <w:tcPr>
            <w:tcW w:w="1910" w:type="pct"/>
            <w:gridSpan w:val="2"/>
            <w:tcBorders>
              <w:top w:val="single" w:sz="4" w:space="0" w:color="auto"/>
            </w:tcBorders>
            <w:vAlign w:val="center"/>
          </w:tcPr>
          <w:p w14:paraId="07BFE404"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b/>
                <w:bCs/>
                <w:sz w:val="16"/>
                <w:szCs w:val="16"/>
              </w:rPr>
            </w:pPr>
            <w:r w:rsidRPr="00EC4EC4">
              <w:rPr>
                <w:rFonts w:eastAsia="Times New Roman" w:cs="Arial"/>
                <w:b/>
                <w:bCs/>
                <w:sz w:val="16"/>
                <w:szCs w:val="16"/>
              </w:rPr>
              <w:t>NUMBER AND TYPE OF FASTENER</w:t>
            </w:r>
          </w:p>
        </w:tc>
        <w:tc>
          <w:tcPr>
            <w:tcW w:w="1136" w:type="pct"/>
            <w:gridSpan w:val="2"/>
            <w:tcBorders>
              <w:top w:val="single" w:sz="4" w:space="0" w:color="auto"/>
            </w:tcBorders>
            <w:vAlign w:val="center"/>
          </w:tcPr>
          <w:p w14:paraId="679B238D" w14:textId="77777777" w:rsidR="00140B7C" w:rsidRPr="00EC4EC4" w:rsidRDefault="00140B7C" w:rsidP="00BC1087">
            <w:pPr>
              <w:autoSpaceDE w:val="0"/>
              <w:autoSpaceDN w:val="0"/>
              <w:adjustRightInd w:val="0"/>
              <w:spacing w:after="0" w:line="240" w:lineRule="auto"/>
              <w:jc w:val="center"/>
              <w:rPr>
                <w:rFonts w:eastAsia="Times New Roman" w:cs="Arial"/>
                <w:b/>
                <w:bCs/>
                <w:sz w:val="16"/>
                <w:szCs w:val="16"/>
              </w:rPr>
            </w:pPr>
            <w:r w:rsidRPr="00EC4EC4">
              <w:rPr>
                <w:rFonts w:eastAsia="Times New Roman" w:cs="Arial"/>
                <w:b/>
                <w:bCs/>
                <w:sz w:val="16"/>
                <w:szCs w:val="16"/>
              </w:rPr>
              <w:t>SPACING AND LOCATION</w:t>
            </w:r>
          </w:p>
        </w:tc>
      </w:tr>
      <w:tr w:rsidR="00140B7C" w:rsidRPr="00EC4EC4" w14:paraId="4D87C758" w14:textId="77777777" w:rsidTr="00BC1087">
        <w:trPr>
          <w:jc w:val="center"/>
        </w:trPr>
        <w:tc>
          <w:tcPr>
            <w:tcW w:w="5000" w:type="pct"/>
            <w:gridSpan w:val="5"/>
            <w:vAlign w:val="center"/>
          </w:tcPr>
          <w:p w14:paraId="012397EB"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b/>
                <w:bCs/>
                <w:sz w:val="16"/>
                <w:szCs w:val="16"/>
              </w:rPr>
              <w:t>Roof</w:t>
            </w:r>
          </w:p>
        </w:tc>
      </w:tr>
      <w:tr w:rsidR="00140B7C" w:rsidRPr="00EC4EC4" w14:paraId="7913003F" w14:textId="77777777" w:rsidTr="00BC1087">
        <w:trPr>
          <w:jc w:val="center"/>
        </w:trPr>
        <w:tc>
          <w:tcPr>
            <w:tcW w:w="1954" w:type="pct"/>
            <w:vAlign w:val="center"/>
          </w:tcPr>
          <w:p w14:paraId="6CF764EB" w14:textId="77777777" w:rsidR="00140B7C" w:rsidRPr="00EC4EC4" w:rsidRDefault="00140B7C" w:rsidP="00BC1087">
            <w:pPr>
              <w:tabs>
                <w:tab w:val="left" w:pos="-3780"/>
              </w:tabs>
              <w:autoSpaceDE w:val="0"/>
              <w:autoSpaceDN w:val="0"/>
              <w:adjustRightInd w:val="0"/>
              <w:spacing w:after="0" w:line="240" w:lineRule="auto"/>
              <w:ind w:left="540" w:hanging="540"/>
              <w:rPr>
                <w:rFonts w:ascii="Arial" w:eastAsia="Times New Roman" w:hAnsi="Arial" w:cs="Arial"/>
                <w:sz w:val="16"/>
                <w:szCs w:val="16"/>
              </w:rPr>
            </w:pPr>
            <w:r w:rsidRPr="00EC4EC4">
              <w:rPr>
                <w:rFonts w:eastAsia="Times New Roman" w:cs="Arial"/>
                <w:sz w:val="16"/>
                <w:szCs w:val="16"/>
              </w:rPr>
              <w:lastRenderedPageBreak/>
              <w:t>1.</w:t>
            </w:r>
            <w:r w:rsidRPr="00EC4EC4">
              <w:rPr>
                <w:rFonts w:eastAsia="Times New Roman" w:cs="Arial"/>
                <w:sz w:val="16"/>
                <w:szCs w:val="16"/>
              </w:rPr>
              <w:tab/>
              <w:t>Blocking between ceiling joists, rafters or trusses to top plate or other framing below</w:t>
            </w:r>
          </w:p>
        </w:tc>
        <w:tc>
          <w:tcPr>
            <w:tcW w:w="1910" w:type="pct"/>
            <w:gridSpan w:val="2"/>
            <w:vAlign w:val="center"/>
          </w:tcPr>
          <w:p w14:paraId="69E76A87"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ascii="Symbol" w:eastAsia="Times New Roman" w:hAnsi="Symbol" w:cs="Symbol"/>
                <w:sz w:val="16"/>
                <w:szCs w:val="16"/>
              </w:rPr>
              <w:t></w:t>
            </w:r>
            <w:r w:rsidRPr="00EC4EC4">
              <w:rPr>
                <w:rFonts w:eastAsia="Times New Roman" w:cs="Arial"/>
                <w:sz w:val="16"/>
                <w:szCs w:val="16"/>
              </w:rPr>
              <w:t xml:space="preserve">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vAlign w:val="center"/>
          </w:tcPr>
          <w:p w14:paraId="6DEEB141"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Each end, toenail</w:t>
            </w:r>
          </w:p>
        </w:tc>
      </w:tr>
      <w:tr w:rsidR="00140B7C" w:rsidRPr="00EC4EC4" w14:paraId="4B22A598" w14:textId="77777777" w:rsidTr="00BC1087">
        <w:trPr>
          <w:cantSplit/>
          <w:jc w:val="center"/>
        </w:trPr>
        <w:tc>
          <w:tcPr>
            <w:tcW w:w="1954" w:type="pct"/>
            <w:vMerge w:val="restart"/>
            <w:vAlign w:val="center"/>
          </w:tcPr>
          <w:p w14:paraId="68FD77FB" w14:textId="77777777" w:rsidR="00140B7C" w:rsidRPr="00EC4EC4" w:rsidRDefault="00140B7C" w:rsidP="00BC1087">
            <w:pPr>
              <w:autoSpaceDE w:val="0"/>
              <w:autoSpaceDN w:val="0"/>
              <w:adjustRightInd w:val="0"/>
              <w:spacing w:after="0" w:line="240" w:lineRule="auto"/>
              <w:ind w:left="720"/>
              <w:rPr>
                <w:rFonts w:ascii="Arial" w:eastAsia="Times New Roman" w:hAnsi="Arial" w:cs="Arial"/>
                <w:sz w:val="16"/>
                <w:szCs w:val="16"/>
              </w:rPr>
            </w:pPr>
            <w:r w:rsidRPr="00EC4EC4">
              <w:rPr>
                <w:rFonts w:eastAsia="Times New Roman" w:cs="Arial"/>
                <w:sz w:val="16"/>
                <w:szCs w:val="16"/>
              </w:rPr>
              <w:t>Blocking between rafters or truss not at the wall top plate, to rafter or truss</w:t>
            </w:r>
          </w:p>
        </w:tc>
        <w:tc>
          <w:tcPr>
            <w:tcW w:w="1910" w:type="pct"/>
            <w:gridSpan w:val="2"/>
            <w:vAlign w:val="center"/>
          </w:tcPr>
          <w:p w14:paraId="5EF0C534"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w:t>
            </w:r>
            <w:r w:rsidRPr="00EC4EC4">
              <w:rPr>
                <w:rFonts w:eastAsia="Times New Roman" w:cs="Arial"/>
                <w:sz w:val="16"/>
                <w:szCs w:val="16"/>
              </w:rPr>
              <w:br/>
              <w:t>2-3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w:t>
            </w:r>
            <w:r w:rsidRPr="00EC4EC4">
              <w:rPr>
                <w:rFonts w:eastAsia="Times New Roman" w:cs="Arial"/>
                <w:sz w:val="16"/>
                <w:szCs w:val="16"/>
              </w:rPr>
              <w:br/>
              <w:t>2-3</w:t>
            </w:r>
            <w:r w:rsidRPr="00EC4EC4">
              <w:rPr>
                <w:rFonts w:ascii="Symbol" w:eastAsia="Times New Roman" w:hAnsi="Symbol" w:cs="Symbol"/>
                <w:sz w:val="16"/>
                <w:szCs w:val="16"/>
              </w:rPr>
              <w:t></w:t>
            </w:r>
            <w:r w:rsidRPr="00EC4EC4">
              <w:rPr>
                <w:rFonts w:eastAsia="Times New Roman" w:cs="Arial"/>
                <w:sz w:val="16"/>
                <w:szCs w:val="16"/>
              </w:rPr>
              <w:t xml:space="preserve"> 14 gage staples</w:t>
            </w:r>
          </w:p>
        </w:tc>
        <w:tc>
          <w:tcPr>
            <w:tcW w:w="1136" w:type="pct"/>
            <w:gridSpan w:val="2"/>
            <w:vAlign w:val="center"/>
          </w:tcPr>
          <w:p w14:paraId="55CA40BE"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Each end, toenail</w:t>
            </w:r>
          </w:p>
        </w:tc>
      </w:tr>
      <w:tr w:rsidR="00140B7C" w:rsidRPr="00EC4EC4" w14:paraId="5BD77285" w14:textId="77777777" w:rsidTr="00BC1087">
        <w:trPr>
          <w:cantSplit/>
          <w:jc w:val="center"/>
        </w:trPr>
        <w:tc>
          <w:tcPr>
            <w:tcW w:w="1954" w:type="pct"/>
            <w:vMerge/>
            <w:vAlign w:val="center"/>
          </w:tcPr>
          <w:p w14:paraId="0B3799A1" w14:textId="77777777" w:rsidR="00140B7C" w:rsidRPr="00EC4EC4" w:rsidRDefault="00140B7C" w:rsidP="00BC1087">
            <w:pPr>
              <w:autoSpaceDE w:val="0"/>
              <w:autoSpaceDN w:val="0"/>
              <w:adjustRightInd w:val="0"/>
              <w:spacing w:after="0" w:line="240" w:lineRule="auto"/>
              <w:ind w:left="720"/>
              <w:rPr>
                <w:rFonts w:ascii="Arial" w:eastAsia="Times New Roman" w:hAnsi="Arial" w:cs="Arial"/>
                <w:sz w:val="16"/>
                <w:szCs w:val="16"/>
              </w:rPr>
            </w:pPr>
          </w:p>
        </w:tc>
        <w:tc>
          <w:tcPr>
            <w:tcW w:w="1910" w:type="pct"/>
            <w:gridSpan w:val="2"/>
            <w:vAlign w:val="center"/>
          </w:tcPr>
          <w:p w14:paraId="6F0D6E0E"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2-16 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14 gage staples</w:t>
            </w:r>
          </w:p>
        </w:tc>
        <w:tc>
          <w:tcPr>
            <w:tcW w:w="1136" w:type="pct"/>
            <w:gridSpan w:val="2"/>
            <w:vAlign w:val="center"/>
          </w:tcPr>
          <w:p w14:paraId="7144149B"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End nail</w:t>
            </w:r>
          </w:p>
        </w:tc>
      </w:tr>
      <w:tr w:rsidR="00140B7C" w:rsidRPr="00EC4EC4" w14:paraId="07D4C18E" w14:textId="77777777" w:rsidTr="00BC1087">
        <w:trPr>
          <w:cantSplit/>
          <w:trHeight w:val="633"/>
          <w:jc w:val="center"/>
        </w:trPr>
        <w:tc>
          <w:tcPr>
            <w:tcW w:w="1954" w:type="pct"/>
            <w:vAlign w:val="center"/>
          </w:tcPr>
          <w:p w14:paraId="73514E07" w14:textId="77777777" w:rsidR="00140B7C" w:rsidRPr="00EC4EC4" w:rsidRDefault="00140B7C" w:rsidP="00BC1087">
            <w:pPr>
              <w:autoSpaceDE w:val="0"/>
              <w:autoSpaceDN w:val="0"/>
              <w:adjustRightInd w:val="0"/>
              <w:spacing w:after="0" w:line="240" w:lineRule="auto"/>
              <w:ind w:left="720"/>
              <w:rPr>
                <w:rFonts w:ascii="Arial" w:eastAsia="Times New Roman" w:hAnsi="Arial" w:cs="Arial"/>
                <w:sz w:val="16"/>
                <w:szCs w:val="16"/>
              </w:rPr>
            </w:pPr>
            <w:r w:rsidRPr="00EC4EC4">
              <w:rPr>
                <w:rFonts w:eastAsia="Times New Roman" w:cs="Arial"/>
                <w:sz w:val="16"/>
                <w:szCs w:val="16"/>
              </w:rPr>
              <w:t>Flat blocking to truss and web filler</w:t>
            </w:r>
          </w:p>
        </w:tc>
        <w:tc>
          <w:tcPr>
            <w:tcW w:w="1910" w:type="pct"/>
            <w:gridSpan w:val="2"/>
            <w:vAlign w:val="center"/>
          </w:tcPr>
          <w:p w14:paraId="112B4A19"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 6</w:t>
            </w:r>
            <w:r w:rsidRPr="00EC4EC4">
              <w:rPr>
                <w:rFonts w:ascii="Symbol" w:eastAsia="Times New Roman" w:hAnsi="Symbol" w:cs="Symbol"/>
                <w:sz w:val="16"/>
                <w:szCs w:val="16"/>
              </w:rPr>
              <w:t></w:t>
            </w:r>
            <w:r w:rsidRPr="00EC4EC4">
              <w:rPr>
                <w:rFonts w:eastAsia="Times New Roman" w:cs="Arial"/>
                <w:sz w:val="16"/>
                <w:szCs w:val="16"/>
              </w:rPr>
              <w:t xml:space="preserve"> o.c.</w:t>
            </w:r>
            <w:r w:rsidRPr="00EC4EC4">
              <w:rPr>
                <w:rFonts w:eastAsia="Times New Roman" w:cs="Arial"/>
                <w:sz w:val="16"/>
                <w:szCs w:val="16"/>
              </w:rPr>
              <w:br/>
              <w:t>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 6</w:t>
            </w:r>
            <w:r w:rsidRPr="00EC4EC4">
              <w:rPr>
                <w:rFonts w:ascii="Symbol" w:eastAsia="Times New Roman" w:hAnsi="Symbol" w:cs="Symbol"/>
                <w:sz w:val="16"/>
                <w:szCs w:val="16"/>
              </w:rPr>
              <w:t></w:t>
            </w:r>
            <w:r w:rsidRPr="00EC4EC4">
              <w:rPr>
                <w:rFonts w:eastAsia="Times New Roman" w:cs="Arial"/>
                <w:sz w:val="16"/>
                <w:szCs w:val="16"/>
              </w:rPr>
              <w:t xml:space="preserve"> o.c.</w:t>
            </w:r>
            <w:r w:rsidRPr="00EC4EC4">
              <w:rPr>
                <w:rFonts w:eastAsia="Times New Roman" w:cs="Arial"/>
                <w:sz w:val="16"/>
                <w:szCs w:val="16"/>
              </w:rPr>
              <w:br/>
              <w:t>3</w:t>
            </w:r>
            <w:r w:rsidRPr="00EC4EC4">
              <w:rPr>
                <w:rFonts w:ascii="Symbol" w:eastAsia="Times New Roman" w:hAnsi="Symbol" w:cs="Symbol"/>
                <w:sz w:val="16"/>
                <w:szCs w:val="16"/>
              </w:rPr>
              <w:t></w:t>
            </w:r>
            <w:r w:rsidRPr="00EC4EC4">
              <w:rPr>
                <w:rFonts w:eastAsia="Times New Roman" w:cs="Arial"/>
                <w:sz w:val="16"/>
                <w:szCs w:val="16"/>
              </w:rPr>
              <w:t xml:space="preserve"> × 14 gage staples @ 6</w:t>
            </w:r>
            <w:r w:rsidRPr="00EC4EC4">
              <w:rPr>
                <w:rFonts w:ascii="Symbol" w:eastAsia="Times New Roman" w:hAnsi="Symbol" w:cs="Symbol"/>
                <w:sz w:val="16"/>
                <w:szCs w:val="16"/>
              </w:rPr>
              <w:t></w:t>
            </w:r>
            <w:r w:rsidRPr="00EC4EC4">
              <w:rPr>
                <w:rFonts w:eastAsia="Times New Roman" w:cs="Arial"/>
                <w:sz w:val="16"/>
                <w:szCs w:val="16"/>
              </w:rPr>
              <w:t xml:space="preserve"> o.c</w:t>
            </w:r>
          </w:p>
        </w:tc>
        <w:tc>
          <w:tcPr>
            <w:tcW w:w="1136" w:type="pct"/>
            <w:gridSpan w:val="2"/>
            <w:vAlign w:val="center"/>
          </w:tcPr>
          <w:p w14:paraId="44C655C2"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Face nail</w:t>
            </w:r>
          </w:p>
        </w:tc>
      </w:tr>
      <w:tr w:rsidR="00140B7C" w:rsidRPr="00EC4EC4" w14:paraId="7DA76FE4" w14:textId="77777777" w:rsidTr="00BC1087">
        <w:trPr>
          <w:cantSplit/>
          <w:jc w:val="center"/>
        </w:trPr>
        <w:tc>
          <w:tcPr>
            <w:tcW w:w="1954" w:type="pct"/>
            <w:vAlign w:val="center"/>
          </w:tcPr>
          <w:p w14:paraId="08122268" w14:textId="77777777" w:rsidR="00140B7C" w:rsidRPr="00EC4EC4" w:rsidRDefault="00140B7C" w:rsidP="00BC1087">
            <w:pPr>
              <w:tabs>
                <w:tab w:val="left" w:pos="-3690"/>
              </w:tabs>
              <w:autoSpaceDE w:val="0"/>
              <w:autoSpaceDN w:val="0"/>
              <w:adjustRightInd w:val="0"/>
              <w:spacing w:after="0" w:line="240" w:lineRule="auto"/>
              <w:ind w:left="540" w:hanging="540"/>
              <w:rPr>
                <w:rFonts w:ascii="Arial" w:eastAsia="Times New Roman" w:hAnsi="Arial" w:cs="Arial"/>
                <w:sz w:val="16"/>
                <w:szCs w:val="16"/>
              </w:rPr>
            </w:pPr>
            <w:r w:rsidRPr="00EC4EC4">
              <w:rPr>
                <w:rFonts w:eastAsia="Times New Roman" w:cs="Arial"/>
                <w:sz w:val="16"/>
                <w:szCs w:val="16"/>
              </w:rPr>
              <w:t>2.</w:t>
            </w:r>
            <w:r w:rsidRPr="00EC4EC4">
              <w:rPr>
                <w:rFonts w:eastAsia="Times New Roman" w:cs="Arial"/>
                <w:sz w:val="16"/>
                <w:szCs w:val="16"/>
              </w:rPr>
              <w:tab/>
              <w:t>Ceiling joists to top plate</w:t>
            </w:r>
          </w:p>
        </w:tc>
        <w:tc>
          <w:tcPr>
            <w:tcW w:w="1910" w:type="pct"/>
            <w:gridSpan w:val="2"/>
            <w:vAlign w:val="center"/>
          </w:tcPr>
          <w:p w14:paraId="3ABE9DA3"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vAlign w:val="center"/>
          </w:tcPr>
          <w:p w14:paraId="3DB25659"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Each joist, toenail</w:t>
            </w:r>
          </w:p>
        </w:tc>
      </w:tr>
      <w:tr w:rsidR="00140B7C" w:rsidRPr="00EC4EC4" w14:paraId="1592B800" w14:textId="77777777" w:rsidTr="00BC1087">
        <w:trPr>
          <w:cantSplit/>
          <w:jc w:val="center"/>
        </w:trPr>
        <w:tc>
          <w:tcPr>
            <w:tcW w:w="1954" w:type="pct"/>
            <w:vAlign w:val="center"/>
          </w:tcPr>
          <w:p w14:paraId="1B7C7CAF" w14:textId="77777777" w:rsidR="00140B7C" w:rsidRPr="00EC4EC4" w:rsidRDefault="00140B7C" w:rsidP="00BC1087">
            <w:pPr>
              <w:tabs>
                <w:tab w:val="left" w:pos="-3690"/>
              </w:tabs>
              <w:autoSpaceDE w:val="0"/>
              <w:autoSpaceDN w:val="0"/>
              <w:adjustRightInd w:val="0"/>
              <w:spacing w:after="0" w:line="240" w:lineRule="auto"/>
              <w:ind w:left="540" w:hanging="540"/>
              <w:rPr>
                <w:rFonts w:ascii="Arial" w:eastAsia="Times New Roman" w:hAnsi="Arial" w:cs="Arial"/>
                <w:sz w:val="16"/>
                <w:szCs w:val="16"/>
              </w:rPr>
            </w:pPr>
            <w:r w:rsidRPr="00EC4EC4">
              <w:rPr>
                <w:rFonts w:eastAsia="Times New Roman" w:cs="Arial"/>
                <w:sz w:val="16"/>
                <w:szCs w:val="16"/>
              </w:rPr>
              <w:t>3.</w:t>
            </w:r>
            <w:r w:rsidRPr="00EC4EC4">
              <w:rPr>
                <w:rFonts w:eastAsia="Times New Roman" w:cs="Arial"/>
                <w:sz w:val="16"/>
                <w:szCs w:val="16"/>
              </w:rPr>
              <w:tab/>
              <w:t>Ceiling joist not attached to parallel rafter, laps over partitions (no thrust) (see Section 2308.7.3.1, Table 2308.7.3.1)</w:t>
            </w:r>
          </w:p>
        </w:tc>
        <w:tc>
          <w:tcPr>
            <w:tcW w:w="1910" w:type="pct"/>
            <w:gridSpan w:val="2"/>
            <w:vAlign w:val="center"/>
          </w:tcPr>
          <w:p w14:paraId="11C80CFC"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vAlign w:val="center"/>
          </w:tcPr>
          <w:p w14:paraId="42A6D6FE"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Face nail</w:t>
            </w:r>
          </w:p>
        </w:tc>
      </w:tr>
      <w:tr w:rsidR="00140B7C" w:rsidRPr="00EC4EC4" w14:paraId="0605939B" w14:textId="77777777" w:rsidTr="00BC1087">
        <w:trPr>
          <w:cantSplit/>
          <w:jc w:val="center"/>
        </w:trPr>
        <w:tc>
          <w:tcPr>
            <w:tcW w:w="1954" w:type="pct"/>
            <w:vAlign w:val="center"/>
          </w:tcPr>
          <w:p w14:paraId="38A996CA" w14:textId="77777777" w:rsidR="00140B7C" w:rsidRPr="00EC4EC4" w:rsidRDefault="00140B7C" w:rsidP="00BC1087">
            <w:pPr>
              <w:tabs>
                <w:tab w:val="left" w:pos="-3690"/>
              </w:tabs>
              <w:autoSpaceDE w:val="0"/>
              <w:autoSpaceDN w:val="0"/>
              <w:adjustRightInd w:val="0"/>
              <w:spacing w:after="0" w:line="240" w:lineRule="auto"/>
              <w:ind w:left="540" w:hanging="540"/>
              <w:rPr>
                <w:rFonts w:ascii="Arial" w:eastAsia="Times New Roman" w:hAnsi="Arial" w:cs="Arial"/>
                <w:sz w:val="16"/>
                <w:szCs w:val="16"/>
              </w:rPr>
            </w:pPr>
            <w:r w:rsidRPr="00EC4EC4">
              <w:rPr>
                <w:rFonts w:eastAsia="Times New Roman" w:cs="Arial"/>
                <w:sz w:val="16"/>
                <w:szCs w:val="16"/>
              </w:rPr>
              <w:t>4.</w:t>
            </w:r>
            <w:r w:rsidRPr="00EC4EC4">
              <w:rPr>
                <w:rFonts w:eastAsia="Times New Roman" w:cs="Arial"/>
                <w:sz w:val="16"/>
                <w:szCs w:val="16"/>
              </w:rPr>
              <w:tab/>
              <w:t>Ceiling joist attached to parallel rafter (heel joint) (see Section 2308.7.3.1, Table 2308.7.3.1)</w:t>
            </w:r>
          </w:p>
        </w:tc>
        <w:tc>
          <w:tcPr>
            <w:tcW w:w="1910" w:type="pct"/>
            <w:gridSpan w:val="2"/>
            <w:vAlign w:val="center"/>
          </w:tcPr>
          <w:p w14:paraId="5D0AA576"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 xml:space="preserve">Per Table 2308.7.3.1 </w:t>
            </w:r>
          </w:p>
        </w:tc>
        <w:tc>
          <w:tcPr>
            <w:tcW w:w="1136" w:type="pct"/>
            <w:gridSpan w:val="2"/>
            <w:vAlign w:val="center"/>
          </w:tcPr>
          <w:p w14:paraId="7C7A9726"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Face nail</w:t>
            </w:r>
          </w:p>
        </w:tc>
      </w:tr>
      <w:tr w:rsidR="00140B7C" w:rsidRPr="00EC4EC4" w14:paraId="626E9401" w14:textId="77777777" w:rsidTr="00BC1087">
        <w:trPr>
          <w:cantSplit/>
          <w:jc w:val="center"/>
        </w:trPr>
        <w:tc>
          <w:tcPr>
            <w:tcW w:w="1954" w:type="pct"/>
            <w:vAlign w:val="center"/>
          </w:tcPr>
          <w:p w14:paraId="1EFC4C18" w14:textId="77777777" w:rsidR="00140B7C" w:rsidRPr="00EC4EC4" w:rsidRDefault="00140B7C" w:rsidP="00BC1087">
            <w:pPr>
              <w:tabs>
                <w:tab w:val="left" w:pos="-3690"/>
              </w:tabs>
              <w:autoSpaceDE w:val="0"/>
              <w:autoSpaceDN w:val="0"/>
              <w:adjustRightInd w:val="0"/>
              <w:spacing w:after="0" w:line="240" w:lineRule="auto"/>
              <w:ind w:left="540" w:hanging="540"/>
              <w:rPr>
                <w:rFonts w:ascii="Arial" w:eastAsia="Times New Roman" w:hAnsi="Arial" w:cs="Arial"/>
                <w:sz w:val="16"/>
                <w:szCs w:val="16"/>
              </w:rPr>
            </w:pPr>
            <w:r w:rsidRPr="00EC4EC4">
              <w:rPr>
                <w:rFonts w:eastAsia="Times New Roman" w:cs="Arial"/>
                <w:sz w:val="16"/>
                <w:szCs w:val="16"/>
              </w:rPr>
              <w:t>5.</w:t>
            </w:r>
            <w:r w:rsidRPr="00EC4EC4">
              <w:rPr>
                <w:rFonts w:eastAsia="Times New Roman" w:cs="Arial"/>
                <w:sz w:val="16"/>
                <w:szCs w:val="16"/>
              </w:rPr>
              <w:tab/>
              <w:t>Collar tie to rafter</w:t>
            </w:r>
          </w:p>
        </w:tc>
        <w:tc>
          <w:tcPr>
            <w:tcW w:w="1910" w:type="pct"/>
            <w:gridSpan w:val="2"/>
            <w:vAlign w:val="center"/>
          </w:tcPr>
          <w:p w14:paraId="500003B1"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3-10d common (3</w:t>
            </w:r>
            <w:r w:rsidRPr="00EC4EC4">
              <w:rPr>
                <w:rFonts w:ascii="Symbol" w:eastAsia="Times New Roman" w:hAnsi="Symbol" w:cs="Symbol"/>
                <w:sz w:val="16"/>
                <w:szCs w:val="16"/>
              </w:rPr>
              <w:t></w:t>
            </w:r>
            <w:r w:rsidRPr="00EC4EC4">
              <w:rPr>
                <w:rFonts w:eastAsia="Times New Roman" w:cs="Arial"/>
                <w:sz w:val="16"/>
                <w:szCs w:val="16"/>
              </w:rPr>
              <w:t xml:space="preserve"> × 0.148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vAlign w:val="center"/>
          </w:tcPr>
          <w:p w14:paraId="2B9A8860"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Face nail</w:t>
            </w:r>
          </w:p>
        </w:tc>
      </w:tr>
      <w:tr w:rsidR="00140B7C" w:rsidRPr="00EC4EC4" w14:paraId="5532CDD0" w14:textId="77777777" w:rsidTr="00BC1087">
        <w:trPr>
          <w:cantSplit/>
          <w:trHeight w:val="1065"/>
          <w:jc w:val="center"/>
        </w:trPr>
        <w:tc>
          <w:tcPr>
            <w:tcW w:w="1954" w:type="pct"/>
            <w:vAlign w:val="center"/>
          </w:tcPr>
          <w:p w14:paraId="4730CEFE" w14:textId="77777777" w:rsidR="00140B7C" w:rsidRPr="00EC4EC4" w:rsidRDefault="00140B7C" w:rsidP="00BC1087">
            <w:pPr>
              <w:tabs>
                <w:tab w:val="left" w:pos="-3690"/>
              </w:tabs>
              <w:autoSpaceDE w:val="0"/>
              <w:autoSpaceDN w:val="0"/>
              <w:adjustRightInd w:val="0"/>
              <w:spacing w:after="0" w:line="240" w:lineRule="auto"/>
              <w:ind w:left="540" w:hanging="540"/>
              <w:rPr>
                <w:rFonts w:ascii="Arial" w:eastAsia="Times New Roman" w:hAnsi="Arial" w:cs="Arial"/>
                <w:sz w:val="16"/>
                <w:szCs w:val="16"/>
              </w:rPr>
            </w:pPr>
            <w:r w:rsidRPr="00EC4EC4">
              <w:rPr>
                <w:rFonts w:eastAsia="Times New Roman" w:cs="Arial"/>
                <w:sz w:val="16"/>
                <w:szCs w:val="16"/>
              </w:rPr>
              <w:t>6.</w:t>
            </w:r>
            <w:r w:rsidRPr="00EC4EC4">
              <w:rPr>
                <w:rFonts w:eastAsia="Times New Roman" w:cs="Arial"/>
                <w:sz w:val="16"/>
                <w:szCs w:val="16"/>
              </w:rPr>
              <w:tab/>
              <w:t>Rafter or roof truss to top plate (See Section 2308.7.5, Table 2308.7.5)</w:t>
            </w:r>
          </w:p>
        </w:tc>
        <w:tc>
          <w:tcPr>
            <w:tcW w:w="1910" w:type="pct"/>
            <w:gridSpan w:val="2"/>
            <w:vAlign w:val="center"/>
          </w:tcPr>
          <w:p w14:paraId="3681BDF1"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3-10 common (3</w:t>
            </w:r>
            <w:r w:rsidRPr="00EC4EC4">
              <w:rPr>
                <w:rFonts w:ascii="Symbol" w:eastAsia="Times New Roman" w:hAnsi="Symbol" w:cs="Symbol"/>
                <w:sz w:val="16"/>
                <w:szCs w:val="16"/>
              </w:rPr>
              <w:t></w:t>
            </w:r>
            <w:r w:rsidRPr="00EC4EC4">
              <w:rPr>
                <w:rFonts w:eastAsia="Times New Roman" w:cs="Arial"/>
                <w:sz w:val="16"/>
                <w:szCs w:val="16"/>
              </w:rPr>
              <w:t xml:space="preserve"> × 0.148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3-16d box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0.135</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 0.131 nails;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vAlign w:val="center"/>
          </w:tcPr>
          <w:p w14:paraId="2A608DF6"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Toenail</w:t>
            </w:r>
            <w:r w:rsidRPr="00EC4EC4">
              <w:rPr>
                <w:rFonts w:eastAsia="Times New Roman" w:cs="Arial"/>
                <w:sz w:val="16"/>
                <w:szCs w:val="16"/>
                <w:vertAlign w:val="superscript"/>
              </w:rPr>
              <w:t>c</w:t>
            </w:r>
          </w:p>
        </w:tc>
      </w:tr>
      <w:tr w:rsidR="00140B7C" w:rsidRPr="00EC4EC4" w14:paraId="644D9699" w14:textId="77777777" w:rsidTr="00BC1087">
        <w:trPr>
          <w:cantSplit/>
          <w:jc w:val="center"/>
        </w:trPr>
        <w:tc>
          <w:tcPr>
            <w:tcW w:w="1954" w:type="pct"/>
            <w:vMerge w:val="restart"/>
            <w:vAlign w:val="center"/>
          </w:tcPr>
          <w:p w14:paraId="190E8E4A" w14:textId="77777777" w:rsidR="00140B7C" w:rsidRPr="00EC4EC4" w:rsidRDefault="00140B7C" w:rsidP="00BC1087">
            <w:pPr>
              <w:tabs>
                <w:tab w:val="left" w:pos="-3690"/>
              </w:tabs>
              <w:autoSpaceDE w:val="0"/>
              <w:autoSpaceDN w:val="0"/>
              <w:adjustRightInd w:val="0"/>
              <w:spacing w:after="0" w:line="240" w:lineRule="auto"/>
              <w:ind w:left="540" w:hanging="540"/>
              <w:rPr>
                <w:rFonts w:ascii="Arial" w:eastAsia="Times New Roman" w:hAnsi="Arial" w:cs="Arial"/>
                <w:sz w:val="16"/>
                <w:szCs w:val="16"/>
              </w:rPr>
            </w:pPr>
            <w:r w:rsidRPr="00EC4EC4">
              <w:rPr>
                <w:rFonts w:eastAsia="Times New Roman" w:cs="Arial"/>
                <w:sz w:val="16"/>
                <w:szCs w:val="16"/>
              </w:rPr>
              <w:t>7.</w:t>
            </w:r>
            <w:r w:rsidRPr="00EC4EC4">
              <w:rPr>
                <w:rFonts w:eastAsia="Times New Roman" w:cs="Arial"/>
                <w:sz w:val="16"/>
                <w:szCs w:val="16"/>
              </w:rPr>
              <w:tab/>
              <w:t>Roof rafters to ridge valley or hip rafters; or roof rafter to 2-inch ridge beam</w:t>
            </w:r>
          </w:p>
        </w:tc>
        <w:tc>
          <w:tcPr>
            <w:tcW w:w="1910" w:type="pct"/>
            <w:gridSpan w:val="2"/>
            <w:vAlign w:val="center"/>
          </w:tcPr>
          <w:p w14:paraId="5E756BAC"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 or </w:t>
            </w:r>
          </w:p>
        </w:tc>
        <w:tc>
          <w:tcPr>
            <w:tcW w:w="1136" w:type="pct"/>
            <w:gridSpan w:val="2"/>
            <w:vAlign w:val="center"/>
          </w:tcPr>
          <w:p w14:paraId="59B08790"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End nail</w:t>
            </w:r>
          </w:p>
        </w:tc>
      </w:tr>
      <w:tr w:rsidR="00140B7C" w:rsidRPr="00EC4EC4" w14:paraId="3C9D888E" w14:textId="77777777" w:rsidTr="00BC1087">
        <w:trPr>
          <w:cantSplit/>
          <w:jc w:val="center"/>
        </w:trPr>
        <w:tc>
          <w:tcPr>
            <w:tcW w:w="1954" w:type="pct"/>
            <w:vMerge/>
            <w:vAlign w:val="center"/>
          </w:tcPr>
          <w:p w14:paraId="0F974C05"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p>
        </w:tc>
        <w:tc>
          <w:tcPr>
            <w:tcW w:w="1910" w:type="pct"/>
            <w:gridSpan w:val="2"/>
            <w:vAlign w:val="center"/>
          </w:tcPr>
          <w:p w14:paraId="3A4C0687"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3-10d common (3</w:t>
            </w:r>
            <w:r w:rsidRPr="00EC4EC4">
              <w:rPr>
                <w:rFonts w:ascii="Symbol" w:eastAsia="Times New Roman" w:hAnsi="Symbol" w:cs="Symbol"/>
                <w:sz w:val="16"/>
                <w:szCs w:val="16"/>
              </w:rPr>
              <w:t></w:t>
            </w:r>
            <w:r w:rsidRPr="00EC4EC4">
              <w:rPr>
                <w:rFonts w:eastAsia="Times New Roman" w:cs="Arial"/>
                <w:sz w:val="16"/>
                <w:szCs w:val="16"/>
              </w:rPr>
              <w:t xml:space="preserve"> × 0.148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4-16d box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0.135</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vAlign w:val="center"/>
          </w:tcPr>
          <w:p w14:paraId="11A3310D"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Toenail</w:t>
            </w:r>
          </w:p>
        </w:tc>
      </w:tr>
      <w:tr w:rsidR="00140B7C" w:rsidRPr="00EC4EC4" w14:paraId="61F189C1"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028C7858"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b/>
                <w:bCs/>
                <w:sz w:val="16"/>
                <w:szCs w:val="16"/>
              </w:rPr>
              <w:t>Wall</w:t>
            </w:r>
          </w:p>
        </w:tc>
      </w:tr>
      <w:tr w:rsidR="00140B7C" w:rsidRPr="00EC4EC4" w14:paraId="46D6A0AE"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val="restart"/>
            <w:tcBorders>
              <w:top w:val="single" w:sz="4" w:space="0" w:color="000000"/>
              <w:left w:val="single" w:sz="4" w:space="0" w:color="000000"/>
              <w:bottom w:val="single" w:sz="4" w:space="0" w:color="000000"/>
              <w:right w:val="single" w:sz="4" w:space="0" w:color="000000"/>
            </w:tcBorders>
            <w:vAlign w:val="center"/>
          </w:tcPr>
          <w:p w14:paraId="0A3E9D64"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8.</w:t>
            </w:r>
            <w:r w:rsidRPr="00EC4EC4">
              <w:rPr>
                <w:rFonts w:eastAsia="Times New Roman" w:cs="Arial"/>
                <w:sz w:val="16"/>
                <w:szCs w:val="16"/>
              </w:rPr>
              <w:tab/>
              <w:t>Stud to stud (not at braced wall panels)</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1F28BB81"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xml:space="preserve">); </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78AE03D9"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24</w:t>
            </w:r>
            <w:r w:rsidRPr="00EC4EC4">
              <w:rPr>
                <w:rFonts w:ascii="Symbol" w:eastAsia="Times New Roman" w:hAnsi="Symbol" w:cs="Symbol"/>
                <w:sz w:val="16"/>
                <w:szCs w:val="16"/>
              </w:rPr>
              <w:t></w:t>
            </w:r>
            <w:r w:rsidRPr="00EC4EC4">
              <w:rPr>
                <w:rFonts w:eastAsia="Times New Roman" w:cs="Arial"/>
                <w:sz w:val="16"/>
                <w:szCs w:val="16"/>
              </w:rPr>
              <w:t xml:space="preserve"> o.c. face nail</w:t>
            </w:r>
          </w:p>
        </w:tc>
      </w:tr>
      <w:tr w:rsidR="00140B7C" w:rsidRPr="00EC4EC4" w14:paraId="4A31CA20"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32DF0F00" w14:textId="77777777" w:rsidR="00140B7C" w:rsidRPr="00EC4EC4" w:rsidRDefault="00140B7C" w:rsidP="00BC1087">
            <w:pPr>
              <w:autoSpaceDE w:val="0"/>
              <w:autoSpaceDN w:val="0"/>
              <w:adjustRightInd w:val="0"/>
              <w:spacing w:after="0" w:line="240" w:lineRule="auto"/>
              <w:ind w:left="513" w:hanging="513"/>
              <w:rPr>
                <w:rFonts w:ascii="Arial" w:eastAsia="Times New Roman" w:hAnsi="Arial" w:cs="Arial"/>
                <w:sz w:val="16"/>
                <w:szCs w:val="16"/>
              </w:rPr>
            </w:pP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324F3A08"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2472263D"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16</w:t>
            </w:r>
            <w:r w:rsidRPr="00EC4EC4">
              <w:rPr>
                <w:rFonts w:ascii="Symbol" w:eastAsia="Times New Roman" w:hAnsi="Symbol" w:cs="Symbol"/>
                <w:sz w:val="16"/>
                <w:szCs w:val="16"/>
              </w:rPr>
              <w:t></w:t>
            </w:r>
            <w:r w:rsidRPr="00EC4EC4">
              <w:rPr>
                <w:rFonts w:eastAsia="Times New Roman" w:cs="Arial"/>
                <w:sz w:val="16"/>
                <w:szCs w:val="16"/>
              </w:rPr>
              <w:t xml:space="preserve"> o.c. face nail</w:t>
            </w:r>
          </w:p>
        </w:tc>
      </w:tr>
      <w:tr w:rsidR="00140B7C" w:rsidRPr="00EC4EC4" w14:paraId="165AD27A"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val="restart"/>
            <w:tcBorders>
              <w:top w:val="single" w:sz="4" w:space="0" w:color="000000"/>
              <w:left w:val="single" w:sz="4" w:space="0" w:color="000000"/>
              <w:bottom w:val="single" w:sz="4" w:space="0" w:color="000000"/>
              <w:right w:val="single" w:sz="4" w:space="0" w:color="000000"/>
            </w:tcBorders>
            <w:vAlign w:val="center"/>
          </w:tcPr>
          <w:p w14:paraId="732410E7"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9.</w:t>
            </w:r>
            <w:r w:rsidRPr="00EC4EC4">
              <w:rPr>
                <w:rFonts w:eastAsia="Times New Roman" w:cs="Arial"/>
                <w:sz w:val="16"/>
                <w:szCs w:val="16"/>
              </w:rPr>
              <w:tab/>
              <w:t>Stud to stud and abutting studs at intersecting wall corners (at braced wall panels)</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49A9619B"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xml:space="preserve">); or </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02126289"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16</w:t>
            </w:r>
            <w:r w:rsidRPr="00EC4EC4">
              <w:rPr>
                <w:rFonts w:ascii="Symbol" w:eastAsia="Times New Roman" w:hAnsi="Symbol" w:cs="Symbol"/>
                <w:sz w:val="16"/>
                <w:szCs w:val="16"/>
              </w:rPr>
              <w:t></w:t>
            </w:r>
            <w:r w:rsidRPr="00EC4EC4">
              <w:rPr>
                <w:rFonts w:eastAsia="Times New Roman" w:cs="Arial"/>
                <w:sz w:val="16"/>
                <w:szCs w:val="16"/>
              </w:rPr>
              <w:t xml:space="preserve"> o.c. face nail</w:t>
            </w:r>
          </w:p>
        </w:tc>
      </w:tr>
      <w:tr w:rsidR="00140B7C" w:rsidRPr="00EC4EC4" w14:paraId="64DA9BE9"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35494859"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57694763"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16d box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0.135</w:t>
            </w:r>
            <w:r w:rsidRPr="00EC4EC4">
              <w:rPr>
                <w:rFonts w:ascii="Symbol" w:eastAsia="Times New Roman" w:hAnsi="Symbol" w:cs="Symbol"/>
                <w:sz w:val="16"/>
                <w:szCs w:val="16"/>
              </w:rPr>
              <w:t></w:t>
            </w:r>
            <w:r w:rsidRPr="00EC4EC4">
              <w:rPr>
                <w:rFonts w:eastAsia="Times New Roman" w:cs="Arial"/>
                <w:sz w:val="16"/>
                <w:szCs w:val="16"/>
              </w:rPr>
              <w:t>); or</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7CE47E9F"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12</w:t>
            </w:r>
            <w:r w:rsidRPr="00EC4EC4">
              <w:rPr>
                <w:rFonts w:ascii="Symbol" w:eastAsia="Times New Roman" w:hAnsi="Symbol" w:cs="Symbol"/>
                <w:sz w:val="16"/>
                <w:szCs w:val="16"/>
              </w:rPr>
              <w:t></w:t>
            </w:r>
            <w:r w:rsidRPr="00EC4EC4">
              <w:rPr>
                <w:rFonts w:eastAsia="Times New Roman" w:cs="Arial"/>
                <w:sz w:val="16"/>
                <w:szCs w:val="16"/>
              </w:rPr>
              <w:t xml:space="preserve"> o.c. face nail</w:t>
            </w:r>
          </w:p>
        </w:tc>
      </w:tr>
      <w:tr w:rsidR="00140B7C" w:rsidRPr="00EC4EC4" w14:paraId="7CC09225"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319C271E"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4E956BD6"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5556C496"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12</w:t>
            </w:r>
            <w:r w:rsidRPr="00EC4EC4">
              <w:rPr>
                <w:rFonts w:ascii="Symbol" w:eastAsia="Times New Roman" w:hAnsi="Symbol" w:cs="Symbol"/>
                <w:sz w:val="16"/>
                <w:szCs w:val="16"/>
              </w:rPr>
              <w:t></w:t>
            </w:r>
            <w:r w:rsidRPr="00EC4EC4">
              <w:rPr>
                <w:rFonts w:eastAsia="Times New Roman" w:cs="Arial"/>
                <w:sz w:val="16"/>
                <w:szCs w:val="16"/>
              </w:rPr>
              <w:t xml:space="preserve"> o.c. face nail</w:t>
            </w:r>
          </w:p>
        </w:tc>
      </w:tr>
      <w:tr w:rsidR="00140B7C" w:rsidRPr="00EC4EC4" w14:paraId="70128552"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val="restart"/>
            <w:tcBorders>
              <w:top w:val="single" w:sz="4" w:space="0" w:color="000000"/>
              <w:left w:val="single" w:sz="4" w:space="0" w:color="000000"/>
              <w:bottom w:val="single" w:sz="4" w:space="0" w:color="000000"/>
              <w:right w:val="single" w:sz="4" w:space="0" w:color="000000"/>
            </w:tcBorders>
            <w:vAlign w:val="center"/>
          </w:tcPr>
          <w:p w14:paraId="02B3859D" w14:textId="77777777" w:rsidR="00140B7C" w:rsidRPr="00EC4EC4" w:rsidRDefault="00140B7C" w:rsidP="00BC1087">
            <w:pPr>
              <w:tabs>
                <w:tab w:val="left" w:pos="-3537"/>
                <w:tab w:val="left" w:pos="450"/>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10.</w:t>
            </w:r>
            <w:r w:rsidRPr="00EC4EC4">
              <w:rPr>
                <w:rFonts w:eastAsia="Times New Roman" w:cs="Arial"/>
                <w:sz w:val="16"/>
                <w:szCs w:val="16"/>
              </w:rPr>
              <w:tab/>
              <w:t>Built-up header (2</w:t>
            </w:r>
            <w:r w:rsidRPr="00EC4EC4">
              <w:rPr>
                <w:rFonts w:ascii="Symbol" w:eastAsia="Times New Roman" w:hAnsi="Symbol" w:cs="Symbol"/>
                <w:sz w:val="16"/>
                <w:szCs w:val="16"/>
              </w:rPr>
              <w:t></w:t>
            </w:r>
            <w:r w:rsidRPr="00EC4EC4">
              <w:rPr>
                <w:rFonts w:eastAsia="Times New Roman" w:cs="Arial"/>
                <w:sz w:val="16"/>
                <w:szCs w:val="16"/>
              </w:rPr>
              <w:t xml:space="preserve"> to 2</w:t>
            </w:r>
            <w:r w:rsidRPr="00EC4EC4">
              <w:rPr>
                <w:rFonts w:ascii="Symbol" w:eastAsia="Times New Roman" w:hAnsi="Symbol" w:cs="Symbol"/>
                <w:sz w:val="16"/>
                <w:szCs w:val="16"/>
              </w:rPr>
              <w:t></w:t>
            </w:r>
            <w:r w:rsidRPr="00EC4EC4">
              <w:rPr>
                <w:rFonts w:eastAsia="Times New Roman" w:cs="Arial"/>
                <w:sz w:val="16"/>
                <w:szCs w:val="16"/>
              </w:rPr>
              <w:t xml:space="preserve"> header)</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3C19885D"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or</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3A9137B2"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16</w:t>
            </w:r>
            <w:r w:rsidRPr="00EC4EC4">
              <w:rPr>
                <w:rFonts w:ascii="Symbol" w:eastAsia="Times New Roman" w:hAnsi="Symbol" w:cs="Symbol"/>
                <w:sz w:val="16"/>
                <w:szCs w:val="16"/>
              </w:rPr>
              <w:t></w:t>
            </w:r>
            <w:r w:rsidRPr="00EC4EC4">
              <w:rPr>
                <w:rFonts w:eastAsia="Times New Roman" w:cs="Arial"/>
                <w:sz w:val="16"/>
                <w:szCs w:val="16"/>
              </w:rPr>
              <w:t xml:space="preserve"> o.c. each edge, face nail</w:t>
            </w:r>
          </w:p>
        </w:tc>
      </w:tr>
      <w:tr w:rsidR="00140B7C" w:rsidRPr="00EC4EC4" w14:paraId="5A7C41B9"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11919CF1"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1A3E90A9"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16d box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0.135</w:t>
            </w:r>
            <w:r w:rsidRPr="00EC4EC4">
              <w:rPr>
                <w:rFonts w:ascii="Symbol" w:eastAsia="Times New Roman" w:hAnsi="Symbol" w:cs="Symbol"/>
                <w:sz w:val="16"/>
                <w:szCs w:val="16"/>
              </w:rPr>
              <w:t></w:t>
            </w:r>
            <w:r w:rsidRPr="00EC4EC4">
              <w:rPr>
                <w:rFonts w:eastAsia="Times New Roman" w:cs="Arial"/>
                <w:sz w:val="16"/>
                <w:szCs w:val="16"/>
              </w:rPr>
              <w:t>)</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6D406554"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12</w:t>
            </w:r>
            <w:r w:rsidRPr="00EC4EC4">
              <w:rPr>
                <w:rFonts w:ascii="Symbol" w:eastAsia="Times New Roman" w:hAnsi="Symbol" w:cs="Symbol"/>
                <w:sz w:val="16"/>
                <w:szCs w:val="16"/>
              </w:rPr>
              <w:t></w:t>
            </w:r>
            <w:r w:rsidRPr="00EC4EC4">
              <w:rPr>
                <w:rFonts w:eastAsia="Times New Roman" w:cs="Arial"/>
                <w:sz w:val="16"/>
                <w:szCs w:val="16"/>
              </w:rPr>
              <w:t xml:space="preserve"> o.c. each edge, face nail</w:t>
            </w:r>
          </w:p>
        </w:tc>
      </w:tr>
      <w:tr w:rsidR="00140B7C" w:rsidRPr="00EC4EC4" w14:paraId="04B4A658"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6BF239EF" w14:textId="77777777" w:rsidR="00140B7C" w:rsidRPr="00EC4EC4" w:rsidRDefault="00140B7C" w:rsidP="00BC1087">
            <w:pPr>
              <w:tabs>
                <w:tab w:val="left" w:pos="-3537"/>
                <w:tab w:val="left" w:pos="450"/>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11.</w:t>
            </w:r>
            <w:r w:rsidRPr="00EC4EC4">
              <w:rPr>
                <w:rFonts w:eastAsia="Times New Roman" w:cs="Arial"/>
                <w:sz w:val="16"/>
                <w:szCs w:val="16"/>
              </w:rPr>
              <w:tab/>
              <w:t>Continuous header to stud</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46A57CF6"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4-8d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55B7BC03"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Toenail</w:t>
            </w:r>
          </w:p>
        </w:tc>
      </w:tr>
      <w:tr w:rsidR="00140B7C" w:rsidRPr="00EC4EC4" w14:paraId="2883820E"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val="restart"/>
            <w:tcBorders>
              <w:top w:val="single" w:sz="4" w:space="0" w:color="000000"/>
              <w:left w:val="single" w:sz="4" w:space="0" w:color="000000"/>
              <w:bottom w:val="single" w:sz="4" w:space="0" w:color="000000"/>
              <w:right w:val="single" w:sz="4" w:space="0" w:color="000000"/>
            </w:tcBorders>
            <w:vAlign w:val="center"/>
          </w:tcPr>
          <w:p w14:paraId="215E3CFC" w14:textId="77777777" w:rsidR="00140B7C" w:rsidRPr="00EC4EC4" w:rsidRDefault="00140B7C" w:rsidP="00BC1087">
            <w:pPr>
              <w:tabs>
                <w:tab w:val="left" w:pos="-3537"/>
                <w:tab w:val="left" w:pos="450"/>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12.</w:t>
            </w:r>
            <w:r w:rsidRPr="00EC4EC4">
              <w:rPr>
                <w:rFonts w:eastAsia="Times New Roman" w:cs="Arial"/>
                <w:sz w:val="16"/>
                <w:szCs w:val="16"/>
              </w:rPr>
              <w:tab/>
              <w:t>Top plate to top plate</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3756602C"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or</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07B43C8C"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16</w:t>
            </w:r>
            <w:r w:rsidRPr="00EC4EC4">
              <w:rPr>
                <w:rFonts w:ascii="Symbol" w:eastAsia="Times New Roman" w:hAnsi="Symbol" w:cs="Symbol"/>
                <w:sz w:val="16"/>
                <w:szCs w:val="16"/>
              </w:rPr>
              <w:t></w:t>
            </w:r>
            <w:r w:rsidRPr="00EC4EC4">
              <w:rPr>
                <w:rFonts w:eastAsia="Times New Roman" w:cs="Arial"/>
                <w:sz w:val="16"/>
                <w:szCs w:val="16"/>
              </w:rPr>
              <w:t xml:space="preserve"> o.c. face nail</w:t>
            </w:r>
          </w:p>
        </w:tc>
      </w:tr>
      <w:tr w:rsidR="00140B7C" w:rsidRPr="00EC4EC4" w14:paraId="4A5A6FEA"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58211998"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08DFB324"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08E8142B"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12</w:t>
            </w:r>
            <w:r w:rsidRPr="00EC4EC4">
              <w:rPr>
                <w:rFonts w:ascii="Symbol" w:eastAsia="Times New Roman" w:hAnsi="Symbol" w:cs="Symbol"/>
                <w:sz w:val="16"/>
                <w:szCs w:val="16"/>
              </w:rPr>
              <w:t></w:t>
            </w:r>
            <w:r w:rsidRPr="00EC4EC4">
              <w:rPr>
                <w:rFonts w:eastAsia="Times New Roman" w:cs="Arial"/>
                <w:sz w:val="16"/>
                <w:szCs w:val="16"/>
              </w:rPr>
              <w:t xml:space="preserve"> o.c. face nail</w:t>
            </w:r>
          </w:p>
        </w:tc>
      </w:tr>
      <w:tr w:rsidR="00140B7C" w:rsidRPr="00EC4EC4" w14:paraId="1739B9B0"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0A8449FD" w14:textId="77777777" w:rsidR="00140B7C" w:rsidRPr="00EC4EC4" w:rsidRDefault="00140B7C" w:rsidP="00BC1087">
            <w:pPr>
              <w:tabs>
                <w:tab w:val="left" w:pos="-3537"/>
                <w:tab w:val="left" w:pos="450"/>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13.</w:t>
            </w:r>
            <w:r w:rsidRPr="00EC4EC4">
              <w:rPr>
                <w:rFonts w:eastAsia="Times New Roman" w:cs="Arial"/>
                <w:sz w:val="16"/>
                <w:szCs w:val="16"/>
              </w:rPr>
              <w:tab/>
              <w:t>Top plate to top plate, at end joints</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10172A8E"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8-16d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12-10d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12-3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12-3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63C8538A"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Each side of end joint, face nail (minimum 24" lap splice length each side of end joint)</w:t>
            </w:r>
          </w:p>
        </w:tc>
      </w:tr>
      <w:tr w:rsidR="00140B7C" w:rsidRPr="00EC4EC4" w14:paraId="334AA4C0"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val="restart"/>
            <w:tcBorders>
              <w:top w:val="single" w:sz="4" w:space="0" w:color="000000"/>
              <w:left w:val="single" w:sz="4" w:space="0" w:color="000000"/>
              <w:bottom w:val="single" w:sz="4" w:space="0" w:color="000000"/>
              <w:right w:val="single" w:sz="4" w:space="0" w:color="000000"/>
            </w:tcBorders>
            <w:vAlign w:val="center"/>
          </w:tcPr>
          <w:p w14:paraId="1C9565A3" w14:textId="77777777" w:rsidR="00140B7C" w:rsidRPr="00EC4EC4" w:rsidRDefault="00140B7C" w:rsidP="00BC1087">
            <w:pPr>
              <w:tabs>
                <w:tab w:val="left" w:pos="-3537"/>
                <w:tab w:val="left" w:pos="450"/>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14.</w:t>
            </w:r>
            <w:r w:rsidRPr="00EC4EC4">
              <w:rPr>
                <w:rFonts w:eastAsia="Times New Roman" w:cs="Arial"/>
                <w:sz w:val="16"/>
                <w:szCs w:val="16"/>
              </w:rPr>
              <w:tab/>
              <w:t>Bottom plate to joist, rim joist, band joist or blocking (not at braced wall panels)</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2A68E9BF"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xml:space="preserve">); or </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15DBFB76"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16" o.c. face nail</w:t>
            </w:r>
          </w:p>
        </w:tc>
      </w:tr>
      <w:tr w:rsidR="00140B7C" w:rsidRPr="00EC4EC4" w14:paraId="4C69441C"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519F2D25"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6293C4A6"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16d box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0.135</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59EBF6D6"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12" o.c. face nail</w:t>
            </w:r>
          </w:p>
        </w:tc>
      </w:tr>
      <w:tr w:rsidR="00140B7C" w:rsidRPr="00EC4EC4" w14:paraId="7026EA7A"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7D66D43D" w14:textId="77777777" w:rsidR="00140B7C" w:rsidRPr="00EC4EC4" w:rsidRDefault="00140B7C" w:rsidP="00BC1087">
            <w:pPr>
              <w:tabs>
                <w:tab w:val="left" w:pos="-3537"/>
                <w:tab w:val="left" w:pos="450"/>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15.</w:t>
            </w:r>
            <w:r w:rsidRPr="00EC4EC4">
              <w:rPr>
                <w:rFonts w:eastAsia="Times New Roman" w:cs="Arial"/>
                <w:sz w:val="16"/>
                <w:szCs w:val="16"/>
              </w:rPr>
              <w:tab/>
              <w:t>Bottom plate to joist, rim joist, band joist or blocking at braced wall panels</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6CE921D7"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3-16d box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0.135</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46C434B5"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16" o.c. face nail</w:t>
            </w:r>
          </w:p>
        </w:tc>
      </w:tr>
      <w:tr w:rsidR="00140B7C" w:rsidRPr="00EC4EC4" w14:paraId="62D4E730"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val="restart"/>
            <w:tcBorders>
              <w:top w:val="single" w:sz="4" w:space="0" w:color="000000"/>
              <w:left w:val="single" w:sz="4" w:space="0" w:color="000000"/>
              <w:bottom w:val="single" w:sz="4" w:space="0" w:color="000000"/>
              <w:right w:val="single" w:sz="4" w:space="0" w:color="000000"/>
            </w:tcBorders>
            <w:vAlign w:val="center"/>
          </w:tcPr>
          <w:p w14:paraId="1FFE4BA6"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16.</w:t>
            </w:r>
            <w:r w:rsidRPr="00EC4EC4">
              <w:rPr>
                <w:rFonts w:eastAsia="Times New Roman" w:cs="Arial"/>
                <w:sz w:val="16"/>
                <w:szCs w:val="16"/>
              </w:rPr>
              <w:tab/>
              <w:t>Stud to top or bottom plate</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79A8E68F"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4-8d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 or</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5FA1F22F"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Toenail</w:t>
            </w:r>
          </w:p>
        </w:tc>
      </w:tr>
      <w:tr w:rsidR="00140B7C" w:rsidRPr="00EC4EC4" w14:paraId="1521F54B"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1CB60EC8"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0F61C92E"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356F97DE"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End nail</w:t>
            </w:r>
          </w:p>
        </w:tc>
      </w:tr>
      <w:tr w:rsidR="00140B7C" w:rsidRPr="00EC4EC4" w14:paraId="3F632C16"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52CC0953" w14:textId="77777777" w:rsidR="00140B7C" w:rsidRPr="00EC4EC4" w:rsidRDefault="00140B7C" w:rsidP="00BC1087">
            <w:pPr>
              <w:tabs>
                <w:tab w:val="left" w:pos="-3537"/>
              </w:tabs>
              <w:autoSpaceDE w:val="0"/>
              <w:autoSpaceDN w:val="0"/>
              <w:adjustRightInd w:val="0"/>
              <w:spacing w:after="0" w:line="240" w:lineRule="auto"/>
              <w:ind w:left="513" w:hanging="513"/>
              <w:rPr>
                <w:rFonts w:ascii="Arial" w:eastAsia="Times New Roman" w:hAnsi="Arial" w:cs="Arial"/>
                <w:sz w:val="16"/>
                <w:szCs w:val="16"/>
              </w:rPr>
            </w:pPr>
            <w:r w:rsidRPr="00EC4EC4">
              <w:rPr>
                <w:rFonts w:eastAsia="Times New Roman" w:cs="Arial"/>
                <w:sz w:val="16"/>
                <w:szCs w:val="16"/>
              </w:rPr>
              <w:t>17.</w:t>
            </w:r>
            <w:r w:rsidRPr="00EC4EC4">
              <w:rPr>
                <w:rFonts w:eastAsia="Times New Roman" w:cs="Arial"/>
                <w:sz w:val="16"/>
                <w:szCs w:val="16"/>
              </w:rPr>
              <w:tab/>
              <w:t>Top plates, laps at corners and intersections</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788E8F23"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101637B1"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Face nail</w:t>
            </w:r>
          </w:p>
        </w:tc>
      </w:tr>
      <w:tr w:rsidR="00140B7C" w:rsidRPr="00EC4EC4" w14:paraId="6E0CDF5B"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5A9F16F7" w14:textId="77777777" w:rsidR="00140B7C" w:rsidRPr="00EC4EC4" w:rsidRDefault="00140B7C" w:rsidP="00BC1087">
            <w:pPr>
              <w:tabs>
                <w:tab w:val="left" w:pos="-353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18.</w:t>
            </w:r>
            <w:r w:rsidRPr="00EC4EC4">
              <w:rPr>
                <w:rFonts w:eastAsia="Times New Roman" w:cs="Arial"/>
                <w:sz w:val="16"/>
                <w:szCs w:val="16"/>
              </w:rPr>
              <w:tab/>
              <w:t>1" brace to each stud and plate</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2440ECCE"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eastAsia="Times New Roman" w:cs="Arial"/>
                <w:sz w:val="16"/>
                <w:szCs w:val="16"/>
              </w:rPr>
              <w:t>" × 0.131"); or</w:t>
            </w:r>
            <w:r w:rsidRPr="00EC4EC4">
              <w:rPr>
                <w:rFonts w:eastAsia="Times New Roman" w:cs="Arial"/>
                <w:sz w:val="16"/>
                <w:szCs w:val="16"/>
              </w:rPr>
              <w:br/>
              <w:t>2-10d box (3" × 0.128"); or</w:t>
            </w:r>
            <w:r w:rsidRPr="00EC4EC4">
              <w:rPr>
                <w:rFonts w:eastAsia="Times New Roman" w:cs="Arial"/>
                <w:sz w:val="16"/>
                <w:szCs w:val="16"/>
              </w:rPr>
              <w:br/>
            </w:r>
            <w:r w:rsidRPr="00EC4EC4">
              <w:rPr>
                <w:rFonts w:eastAsia="Times New Roman" w:cs="Arial"/>
                <w:sz w:val="16"/>
                <w:szCs w:val="16"/>
              </w:rPr>
              <w:lastRenderedPageBreak/>
              <w:t>2-3" × 0.131" nails; or</w:t>
            </w:r>
            <w:r w:rsidRPr="00EC4EC4">
              <w:rPr>
                <w:rFonts w:eastAsia="Times New Roman" w:cs="Arial"/>
                <w:sz w:val="16"/>
                <w:szCs w:val="16"/>
              </w:rPr>
              <w:br/>
              <w:t xml:space="preserve">2-3"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eastAsia="Times New Roman" w:cs="Arial"/>
                <w:sz w:val="16"/>
                <w:szCs w:val="16"/>
              </w:rPr>
              <w:t>"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69C963F7"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lastRenderedPageBreak/>
              <w:t>Face nail</w:t>
            </w:r>
          </w:p>
        </w:tc>
      </w:tr>
      <w:tr w:rsidR="00140B7C" w:rsidRPr="00EC4EC4" w14:paraId="449D70AE"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7EE1A416" w14:textId="77777777" w:rsidR="00140B7C" w:rsidRPr="00EC4EC4" w:rsidRDefault="00140B7C" w:rsidP="00BC1087">
            <w:pPr>
              <w:tabs>
                <w:tab w:val="left" w:pos="-353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19.</w:t>
            </w:r>
            <w:r w:rsidRPr="00EC4EC4">
              <w:rPr>
                <w:rFonts w:eastAsia="Times New Roman" w:cs="Arial"/>
                <w:sz w:val="16"/>
                <w:szCs w:val="16"/>
              </w:rPr>
              <w:tab/>
              <w:t>1" × 6" sheathing to each bearing</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3160CDEA"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eastAsia="Times New Roman" w:cs="Arial"/>
                <w:sz w:val="16"/>
                <w:szCs w:val="16"/>
              </w:rPr>
              <w:t>" × 0.131"); or</w:t>
            </w:r>
            <w:r w:rsidRPr="00EC4EC4">
              <w:rPr>
                <w:rFonts w:eastAsia="Times New Roman" w:cs="Arial"/>
                <w:sz w:val="16"/>
                <w:szCs w:val="16"/>
              </w:rPr>
              <w:br/>
              <w:t>2-10d box (3" × 0.128")</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69C84F77"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Face nail</w:t>
            </w:r>
          </w:p>
        </w:tc>
      </w:tr>
      <w:tr w:rsidR="00140B7C" w:rsidRPr="00EC4EC4" w14:paraId="7F0AAA6B"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66F8A4FE" w14:textId="77777777" w:rsidR="00140B7C" w:rsidRPr="00EC4EC4" w:rsidRDefault="00140B7C" w:rsidP="00BC1087">
            <w:pPr>
              <w:tabs>
                <w:tab w:val="left" w:pos="-353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20.</w:t>
            </w:r>
            <w:r w:rsidRPr="00EC4EC4">
              <w:rPr>
                <w:rFonts w:eastAsia="Times New Roman" w:cs="Arial"/>
                <w:sz w:val="16"/>
                <w:szCs w:val="16"/>
              </w:rPr>
              <w:tab/>
              <w:t>1" × 8" and wider sheathing to each bearing</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6BDE7FAF"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eastAsia="Times New Roman" w:cs="Arial"/>
                <w:sz w:val="16"/>
                <w:szCs w:val="16"/>
              </w:rPr>
              <w:t>" × 0.131"); or</w:t>
            </w:r>
            <w:r w:rsidRPr="00EC4EC4">
              <w:rPr>
                <w:rFonts w:eastAsia="Times New Roman" w:cs="Arial"/>
                <w:sz w:val="16"/>
                <w:szCs w:val="16"/>
              </w:rPr>
              <w:br/>
              <w:t>3-10d box (3" × 0.128")</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51D54D7E"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Face nail</w:t>
            </w:r>
          </w:p>
        </w:tc>
      </w:tr>
      <w:tr w:rsidR="00140B7C" w:rsidRPr="00EC4EC4" w14:paraId="394F042A"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738CE4B"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b/>
                <w:bCs/>
                <w:sz w:val="16"/>
                <w:szCs w:val="16"/>
              </w:rPr>
              <w:t>Floor</w:t>
            </w:r>
          </w:p>
        </w:tc>
      </w:tr>
      <w:tr w:rsidR="00140B7C" w:rsidRPr="00EC4EC4" w14:paraId="626AD54F"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275F8ED5" w14:textId="77777777" w:rsidR="00140B7C" w:rsidRPr="00EC4EC4" w:rsidRDefault="00140B7C" w:rsidP="00BC1087">
            <w:pPr>
              <w:tabs>
                <w:tab w:val="left" w:pos="-362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21.</w:t>
            </w:r>
            <w:r w:rsidRPr="00EC4EC4">
              <w:rPr>
                <w:rFonts w:eastAsia="Times New Roman" w:cs="Arial"/>
                <w:sz w:val="16"/>
                <w:szCs w:val="16"/>
              </w:rPr>
              <w:tab/>
              <w:t>Joist to sill, top plate, or girder</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17F75779"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eastAsia="Times New Roman" w:cs="Arial"/>
                <w:sz w:val="16"/>
                <w:szCs w:val="16"/>
              </w:rPr>
              <w:t>" × 0.131"); or [</w:t>
            </w:r>
            <w:r w:rsidRPr="00EC4EC4">
              <w:rPr>
                <w:rFonts w:eastAsia="Times New Roman" w:cs="Arial"/>
                <w:strike/>
                <w:sz w:val="16"/>
                <w:szCs w:val="16"/>
              </w:rPr>
              <w:t>floor</w:t>
            </w:r>
            <w:r w:rsidRPr="00EC4EC4">
              <w:rPr>
                <w:rFonts w:eastAsia="Times New Roman" w:cs="Arial"/>
                <w:sz w:val="16"/>
                <w:szCs w:val="16"/>
              </w:rPr>
              <w:t>]</w:t>
            </w:r>
            <w:r w:rsidRPr="00EC4EC4">
              <w:rPr>
                <w:rFonts w:eastAsia="Times New Roman" w:cs="Arial"/>
                <w:sz w:val="16"/>
                <w:szCs w:val="16"/>
              </w:rPr>
              <w:br/>
              <w:t>3-10d box (3" × 0.128"); or</w:t>
            </w:r>
            <w:r w:rsidRPr="00EC4EC4">
              <w:rPr>
                <w:rFonts w:eastAsia="Times New Roman" w:cs="Arial"/>
                <w:sz w:val="16"/>
                <w:szCs w:val="16"/>
              </w:rPr>
              <w:br/>
              <w:t>3-3" × 0.131" nails; or</w:t>
            </w:r>
            <w:r w:rsidRPr="00EC4EC4">
              <w:rPr>
                <w:rFonts w:eastAsia="Times New Roman" w:cs="Arial"/>
                <w:sz w:val="16"/>
                <w:szCs w:val="16"/>
              </w:rPr>
              <w:br/>
              <w:t xml:space="preserve">3-3"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eastAsia="Times New Roman" w:cs="Arial"/>
                <w:sz w:val="16"/>
                <w:szCs w:val="16"/>
              </w:rPr>
              <w:t>"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06E38B7C"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Toenail</w:t>
            </w:r>
          </w:p>
        </w:tc>
      </w:tr>
      <w:tr w:rsidR="00140B7C" w:rsidRPr="00EC4EC4" w14:paraId="7722E8FD"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3786198E" w14:textId="77777777" w:rsidR="00140B7C" w:rsidRPr="00EC4EC4" w:rsidRDefault="00140B7C" w:rsidP="00BC1087">
            <w:pPr>
              <w:tabs>
                <w:tab w:val="left" w:pos="-362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22.</w:t>
            </w:r>
            <w:r w:rsidRPr="00EC4EC4">
              <w:rPr>
                <w:rFonts w:eastAsia="Times New Roman" w:cs="Arial"/>
                <w:sz w:val="16"/>
                <w:szCs w:val="16"/>
              </w:rPr>
              <w:tab/>
              <w:t>Rim joist, band joist, or blocking to top plate, sill or other framing below</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2E8F3EF8"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eastAsia="Times New Roman" w:cs="Arial"/>
                <w:sz w:val="16"/>
                <w:szCs w:val="16"/>
              </w:rPr>
              <w:t xml:space="preserve">" × 0.131"); or </w:t>
            </w:r>
            <w:r w:rsidRPr="00EC4EC4">
              <w:rPr>
                <w:rFonts w:eastAsia="Times New Roman" w:cs="Arial"/>
                <w:sz w:val="16"/>
                <w:szCs w:val="16"/>
              </w:rPr>
              <w:br/>
              <w:t>10d box (3" × 0.128"); or</w:t>
            </w:r>
            <w:r w:rsidRPr="00EC4EC4">
              <w:rPr>
                <w:rFonts w:eastAsia="Times New Roman" w:cs="Arial"/>
                <w:sz w:val="16"/>
                <w:szCs w:val="16"/>
              </w:rPr>
              <w:br/>
              <w:t>3" × 0.131" nails; or</w:t>
            </w:r>
            <w:r w:rsidRPr="00EC4EC4">
              <w:rPr>
                <w:rFonts w:eastAsia="Times New Roman" w:cs="Arial"/>
                <w:sz w:val="16"/>
                <w:szCs w:val="16"/>
              </w:rPr>
              <w:br/>
              <w:t xml:space="preserve">3"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eastAsia="Times New Roman" w:cs="Arial"/>
                <w:sz w:val="16"/>
                <w:szCs w:val="16"/>
              </w:rPr>
              <w:t>"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486F7687"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6" o.c., toenail</w:t>
            </w:r>
          </w:p>
        </w:tc>
      </w:tr>
      <w:tr w:rsidR="00140B7C" w:rsidRPr="00EC4EC4" w14:paraId="62734E6D"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11512AD9" w14:textId="77777777" w:rsidR="00140B7C" w:rsidRPr="00EC4EC4" w:rsidRDefault="00140B7C" w:rsidP="00BC1087">
            <w:pPr>
              <w:tabs>
                <w:tab w:val="left" w:pos="-362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23.</w:t>
            </w:r>
            <w:r w:rsidRPr="00EC4EC4">
              <w:rPr>
                <w:rFonts w:eastAsia="Times New Roman" w:cs="Arial"/>
                <w:sz w:val="16"/>
                <w:szCs w:val="16"/>
              </w:rPr>
              <w:tab/>
              <w:t>1" × 6" subfloor or less to each joist</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71E580E6"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eastAsia="Times New Roman" w:cs="Arial"/>
                <w:sz w:val="16"/>
                <w:szCs w:val="16"/>
              </w:rPr>
              <w:t xml:space="preserve">" × 0.131"); or </w:t>
            </w:r>
            <w:r w:rsidRPr="00EC4EC4">
              <w:rPr>
                <w:rFonts w:eastAsia="Times New Roman" w:cs="Arial"/>
                <w:sz w:val="16"/>
                <w:szCs w:val="16"/>
              </w:rPr>
              <w:br/>
              <w:t>2-10d box (3" × 0.128")</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0C8EEEFE"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Face nail</w:t>
            </w:r>
          </w:p>
        </w:tc>
      </w:tr>
      <w:tr w:rsidR="00140B7C" w:rsidRPr="00EC4EC4" w14:paraId="1A0DC63D"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7C94A8B9" w14:textId="77777777" w:rsidR="00140B7C" w:rsidRPr="00EC4EC4" w:rsidRDefault="00140B7C" w:rsidP="00BC1087">
            <w:pPr>
              <w:tabs>
                <w:tab w:val="left" w:pos="-362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24.</w:t>
            </w:r>
            <w:r w:rsidRPr="00EC4EC4">
              <w:rPr>
                <w:rFonts w:eastAsia="Times New Roman" w:cs="Arial"/>
                <w:sz w:val="16"/>
                <w:szCs w:val="16"/>
              </w:rPr>
              <w:tab/>
              <w:t>2" subfloor to joist or girder</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6E19CE72"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eastAsia="Times New Roman" w:cs="Arial"/>
                <w:sz w:val="16"/>
                <w:szCs w:val="16"/>
              </w:rPr>
              <w:t>" × 0.162")</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6F11D463"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Face nail</w:t>
            </w:r>
          </w:p>
        </w:tc>
      </w:tr>
      <w:tr w:rsidR="00140B7C" w:rsidRPr="00EC4EC4" w14:paraId="7B7740DA"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1D7AD7C5" w14:textId="77777777" w:rsidR="00140B7C" w:rsidRPr="00EC4EC4" w:rsidRDefault="00140B7C" w:rsidP="00BC1087">
            <w:pPr>
              <w:tabs>
                <w:tab w:val="left" w:pos="-362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25.</w:t>
            </w:r>
            <w:r w:rsidRPr="00EC4EC4">
              <w:rPr>
                <w:rFonts w:eastAsia="Times New Roman" w:cs="Arial"/>
                <w:sz w:val="16"/>
                <w:szCs w:val="16"/>
              </w:rPr>
              <w:tab/>
              <w:t>2" planks (plank &amp; beam – floor &amp; roof)</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0CB47098"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eastAsia="Times New Roman" w:cs="Arial"/>
                <w:sz w:val="16"/>
                <w:szCs w:val="16"/>
              </w:rPr>
              <w:t>" × 0.162")</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01502A66"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Each bearing, face nail</w:t>
            </w:r>
          </w:p>
        </w:tc>
      </w:tr>
      <w:tr w:rsidR="00140B7C" w:rsidRPr="00EC4EC4" w14:paraId="4DF3455F"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val="restart"/>
            <w:tcBorders>
              <w:top w:val="single" w:sz="4" w:space="0" w:color="000000"/>
              <w:left w:val="single" w:sz="4" w:space="0" w:color="000000"/>
              <w:bottom w:val="single" w:sz="4" w:space="0" w:color="000000"/>
              <w:right w:val="single" w:sz="4" w:space="0" w:color="000000"/>
            </w:tcBorders>
            <w:vAlign w:val="center"/>
          </w:tcPr>
          <w:p w14:paraId="28FFD512" w14:textId="77777777" w:rsidR="00140B7C" w:rsidRPr="00EC4EC4" w:rsidRDefault="00140B7C" w:rsidP="00BC1087">
            <w:pPr>
              <w:tabs>
                <w:tab w:val="left" w:pos="-362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26.</w:t>
            </w:r>
            <w:r w:rsidRPr="00EC4EC4">
              <w:rPr>
                <w:rFonts w:eastAsia="Times New Roman" w:cs="Arial"/>
                <w:sz w:val="16"/>
                <w:szCs w:val="16"/>
              </w:rPr>
              <w:tab/>
              <w:t>Built-up girders and beams, 2" lumber layers</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799DEBE0"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 xml:space="preserve">20d common (4" × 0.192") </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3A6EF67F"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32" o.c., face nail at top and bottom staggered on opposite sides</w:t>
            </w:r>
          </w:p>
        </w:tc>
      </w:tr>
      <w:tr w:rsidR="00140B7C" w:rsidRPr="00EC4EC4" w14:paraId="6C25B25D"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08B9222F"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4161224A"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466D5A15"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24" o.c. face nail at top and bottom staggered on opposite sides</w:t>
            </w:r>
          </w:p>
        </w:tc>
      </w:tr>
      <w:tr w:rsidR="00140B7C" w:rsidRPr="00EC4EC4" w14:paraId="6C9B45D2"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7D3898B6"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7F4772ED"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And:</w:t>
            </w:r>
            <w:r w:rsidRPr="00EC4EC4">
              <w:rPr>
                <w:rFonts w:eastAsia="Times New Roman" w:cs="Arial"/>
                <w:sz w:val="16"/>
                <w:szCs w:val="16"/>
              </w:rPr>
              <w:br/>
              <w:t>2-20d common (4</w:t>
            </w:r>
            <w:r w:rsidRPr="00EC4EC4">
              <w:rPr>
                <w:rFonts w:ascii="Symbol" w:eastAsia="Times New Roman" w:hAnsi="Symbol" w:cs="Symbol"/>
                <w:sz w:val="16"/>
                <w:szCs w:val="16"/>
              </w:rPr>
              <w:t></w:t>
            </w:r>
            <w:r w:rsidRPr="00EC4EC4">
              <w:rPr>
                <w:rFonts w:eastAsia="Times New Roman" w:cs="Arial"/>
                <w:sz w:val="16"/>
                <w:szCs w:val="16"/>
              </w:rPr>
              <w:t xml:space="preserve"> × 0.192</w:t>
            </w:r>
            <w:r w:rsidRPr="00EC4EC4">
              <w:rPr>
                <w:rFonts w:ascii="Symbol" w:eastAsia="Times New Roman" w:hAnsi="Symbol" w:cs="Symbol"/>
                <w:sz w:val="16"/>
                <w:szCs w:val="16"/>
              </w:rPr>
              <w:t></w:t>
            </w:r>
            <w:r w:rsidRPr="00EC4EC4">
              <w:rPr>
                <w:rFonts w:eastAsia="Times New Roman" w:cs="Arial"/>
                <w:sz w:val="16"/>
                <w:szCs w:val="16"/>
              </w:rPr>
              <w:t xml:space="preserve">); or </w:t>
            </w:r>
            <w:r w:rsidRPr="00EC4EC4">
              <w:rPr>
                <w:rFonts w:eastAsia="Times New Roman" w:cs="Arial"/>
                <w:sz w:val="16"/>
                <w:szCs w:val="16"/>
              </w:rPr>
              <w:br/>
              <w:t>3-10d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xml:space="preserve">); or </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3-3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7310F531"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Ends and at each splice, face nail</w:t>
            </w:r>
          </w:p>
        </w:tc>
      </w:tr>
      <w:tr w:rsidR="00140B7C" w:rsidRPr="00EC4EC4" w14:paraId="5552BB4B"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1BD26E38" w14:textId="77777777" w:rsidR="00140B7C" w:rsidRPr="00EC4EC4" w:rsidRDefault="00140B7C" w:rsidP="00BC1087">
            <w:pPr>
              <w:tabs>
                <w:tab w:val="left" w:pos="-353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27.</w:t>
            </w:r>
            <w:r w:rsidRPr="00EC4EC4">
              <w:rPr>
                <w:rFonts w:eastAsia="Times New Roman" w:cs="Arial"/>
                <w:sz w:val="16"/>
                <w:szCs w:val="16"/>
              </w:rPr>
              <w:tab/>
              <w:t>Ledger strip supporting joists or rafters</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72DB2798"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5C8AD679"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Each joist or rafter, face nail</w:t>
            </w:r>
          </w:p>
        </w:tc>
      </w:tr>
      <w:tr w:rsidR="00140B7C" w:rsidRPr="00EC4EC4" w14:paraId="55AFE5A0"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61E81631" w14:textId="77777777" w:rsidR="00140B7C" w:rsidRPr="00EC4EC4" w:rsidRDefault="00140B7C" w:rsidP="00BC1087">
            <w:pPr>
              <w:tabs>
                <w:tab w:val="left" w:pos="-353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28.</w:t>
            </w:r>
            <w:r w:rsidRPr="00EC4EC4">
              <w:rPr>
                <w:rFonts w:eastAsia="Times New Roman" w:cs="Arial"/>
                <w:sz w:val="16"/>
                <w:szCs w:val="16"/>
              </w:rPr>
              <w:tab/>
              <w:t>Joist to band joist or rim joist</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1FA84FDC"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3-16d common (3</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0.162</w:t>
            </w:r>
            <w:r w:rsidRPr="00EC4EC4">
              <w:rPr>
                <w:rFonts w:ascii="Symbol" w:eastAsia="Times New Roman" w:hAnsi="Symbol" w:cs="Symbol"/>
                <w:sz w:val="16"/>
                <w:szCs w:val="16"/>
              </w:rPr>
              <w:t></w:t>
            </w:r>
            <w:r w:rsidRPr="00EC4EC4">
              <w:rPr>
                <w:rFonts w:eastAsia="Times New Roman" w:cs="Arial"/>
                <w:sz w:val="16"/>
                <w:szCs w:val="16"/>
              </w:rPr>
              <w:t xml:space="preserve">); or </w:t>
            </w:r>
            <w:r w:rsidRPr="00EC4EC4">
              <w:rPr>
                <w:rFonts w:eastAsia="Times New Roman" w:cs="Arial"/>
                <w:sz w:val="16"/>
                <w:szCs w:val="16"/>
              </w:rPr>
              <w:br/>
              <w:t>4-10d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4-3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170C80A5"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End nail</w:t>
            </w:r>
          </w:p>
        </w:tc>
      </w:tr>
      <w:tr w:rsidR="00140B7C" w:rsidRPr="00EC4EC4" w14:paraId="1703B1AE"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580900FE" w14:textId="77777777" w:rsidR="00140B7C" w:rsidRPr="00EC4EC4" w:rsidRDefault="00140B7C" w:rsidP="00BC1087">
            <w:pPr>
              <w:tabs>
                <w:tab w:val="left" w:pos="-3532"/>
              </w:tabs>
              <w:autoSpaceDE w:val="0"/>
              <w:autoSpaceDN w:val="0"/>
              <w:adjustRightInd w:val="0"/>
              <w:spacing w:after="0" w:line="240" w:lineRule="auto"/>
              <w:ind w:left="518" w:hanging="518"/>
              <w:rPr>
                <w:rFonts w:ascii="Arial" w:eastAsia="Times New Roman" w:hAnsi="Arial" w:cs="Arial"/>
                <w:sz w:val="16"/>
                <w:szCs w:val="16"/>
              </w:rPr>
            </w:pPr>
            <w:r w:rsidRPr="00EC4EC4">
              <w:rPr>
                <w:rFonts w:eastAsia="Times New Roman" w:cs="Arial"/>
                <w:sz w:val="16"/>
                <w:szCs w:val="16"/>
              </w:rPr>
              <w:t>29.</w:t>
            </w:r>
            <w:r w:rsidRPr="00EC4EC4">
              <w:rPr>
                <w:rFonts w:eastAsia="Times New Roman" w:cs="Arial"/>
                <w:sz w:val="16"/>
                <w:szCs w:val="16"/>
              </w:rPr>
              <w:tab/>
              <w:t>Bridging or blocking to joist, rafter or truss</w:t>
            </w:r>
          </w:p>
        </w:tc>
        <w:tc>
          <w:tcPr>
            <w:tcW w:w="1910" w:type="pct"/>
            <w:gridSpan w:val="2"/>
            <w:tcBorders>
              <w:top w:val="single" w:sz="4" w:space="0" w:color="000000"/>
              <w:left w:val="single" w:sz="4" w:space="0" w:color="000000"/>
              <w:bottom w:val="single" w:sz="4" w:space="0" w:color="000000"/>
              <w:right w:val="single" w:sz="4" w:space="0" w:color="000000"/>
            </w:tcBorders>
            <w:vAlign w:val="center"/>
          </w:tcPr>
          <w:p w14:paraId="6C77F041"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or </w:t>
            </w:r>
            <w:r w:rsidRPr="00EC4EC4">
              <w:rPr>
                <w:rFonts w:eastAsia="Times New Roman" w:cs="Arial"/>
                <w:sz w:val="16"/>
                <w:szCs w:val="16"/>
              </w:rPr>
              <w:br/>
              <w:t>2-10d box (3</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2-3</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nails; or</w:t>
            </w:r>
            <w:r w:rsidRPr="00EC4EC4">
              <w:rPr>
                <w:rFonts w:eastAsia="Times New Roman" w:cs="Arial"/>
                <w:sz w:val="16"/>
                <w:szCs w:val="16"/>
              </w:rPr>
              <w:br/>
              <w:t>2-3</w:t>
            </w:r>
            <w:r w:rsidRPr="00EC4EC4">
              <w:rPr>
                <w:rFonts w:ascii="Symbol" w:eastAsia="Times New Roman" w:hAnsi="Symbol" w:cs="Symbol"/>
                <w:sz w:val="16"/>
                <w:szCs w:val="16"/>
              </w:rPr>
              <w:t></w:t>
            </w:r>
            <w:r w:rsidRPr="00EC4EC4">
              <w:rPr>
                <w:rFonts w:eastAsia="Times New Roman" w:cs="Arial"/>
                <w:sz w:val="16"/>
                <w:szCs w:val="16"/>
              </w:rPr>
              <w:t xml:space="preserve"> 14 gage staples,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5048E19A" w14:textId="77777777" w:rsidR="00140B7C" w:rsidRPr="00EC4EC4" w:rsidRDefault="00140B7C" w:rsidP="00BC1087">
            <w:pPr>
              <w:autoSpaceDE w:val="0"/>
              <w:autoSpaceDN w:val="0"/>
              <w:adjustRightInd w:val="0"/>
              <w:spacing w:after="0" w:line="240" w:lineRule="auto"/>
              <w:rPr>
                <w:rFonts w:eastAsia="Times New Roman" w:cs="Arial"/>
                <w:sz w:val="16"/>
                <w:szCs w:val="16"/>
              </w:rPr>
            </w:pPr>
            <w:r w:rsidRPr="00EC4EC4">
              <w:rPr>
                <w:rFonts w:eastAsia="Times New Roman" w:cs="Arial"/>
                <w:sz w:val="16"/>
                <w:szCs w:val="16"/>
              </w:rPr>
              <w:t>Each end, toenail</w:t>
            </w:r>
          </w:p>
        </w:tc>
      </w:tr>
      <w:tr w:rsidR="00140B7C" w:rsidRPr="00EC4EC4" w14:paraId="171117A2"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03C426CC" w14:textId="77777777" w:rsidR="00140B7C" w:rsidRPr="00EC4EC4" w:rsidRDefault="00140B7C" w:rsidP="00BC1087">
            <w:pPr>
              <w:autoSpaceDE w:val="0"/>
              <w:autoSpaceDN w:val="0"/>
              <w:adjustRightInd w:val="0"/>
              <w:spacing w:after="0" w:line="240" w:lineRule="auto"/>
              <w:jc w:val="center"/>
              <w:rPr>
                <w:rFonts w:eastAsia="Times New Roman" w:cs="Arial"/>
                <w:b/>
                <w:bCs/>
                <w:sz w:val="16"/>
                <w:szCs w:val="16"/>
              </w:rPr>
            </w:pPr>
            <w:r w:rsidRPr="00EC4EC4">
              <w:rPr>
                <w:rFonts w:eastAsia="Times New Roman" w:cs="Arial"/>
                <w:b/>
                <w:bCs/>
                <w:sz w:val="16"/>
                <w:szCs w:val="16"/>
              </w:rPr>
              <w:t>Wood structural panels (WSP), subfloor, roof and interior wall sheathing to framing and particleboard wall sheathing to framing</w:t>
            </w:r>
            <w:r w:rsidRPr="00EC4EC4">
              <w:rPr>
                <w:rFonts w:eastAsia="Times New Roman" w:cs="Arial"/>
                <w:b/>
                <w:bCs/>
                <w:sz w:val="16"/>
                <w:szCs w:val="16"/>
                <w:vertAlign w:val="superscript"/>
              </w:rPr>
              <w:t>a</w:t>
            </w:r>
          </w:p>
        </w:tc>
      </w:tr>
      <w:tr w:rsidR="00140B7C" w:rsidRPr="00EC4EC4" w14:paraId="07D41417"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409" w:type="pct"/>
            <w:gridSpan w:val="2"/>
            <w:tcBorders>
              <w:top w:val="single" w:sz="4" w:space="0" w:color="000000"/>
              <w:left w:val="single" w:sz="4" w:space="0" w:color="000000"/>
              <w:bottom w:val="single" w:sz="4" w:space="0" w:color="000000"/>
              <w:right w:val="single" w:sz="4" w:space="0" w:color="000000"/>
            </w:tcBorders>
            <w:vAlign w:val="center"/>
          </w:tcPr>
          <w:p w14:paraId="05C46C2F"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b/>
                <w:bCs/>
                <w:sz w:val="16"/>
                <w:szCs w:val="16"/>
              </w:rPr>
            </w:pPr>
          </w:p>
        </w:tc>
        <w:tc>
          <w:tcPr>
            <w:tcW w:w="455" w:type="pct"/>
            <w:tcBorders>
              <w:top w:val="single" w:sz="4" w:space="0" w:color="000000"/>
              <w:left w:val="single" w:sz="4" w:space="0" w:color="000000"/>
              <w:bottom w:val="single" w:sz="4" w:space="0" w:color="000000"/>
              <w:right w:val="single" w:sz="4" w:space="0" w:color="000000"/>
            </w:tcBorders>
            <w:vAlign w:val="center"/>
          </w:tcPr>
          <w:p w14:paraId="5B7701BE"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b/>
                <w:bCs/>
                <w:sz w:val="16"/>
                <w:szCs w:val="16"/>
              </w:rPr>
            </w:pPr>
            <w:r w:rsidRPr="00EC4EC4">
              <w:rPr>
                <w:rFonts w:eastAsia="Times New Roman" w:cs="Arial"/>
                <w:b/>
                <w:bCs/>
                <w:sz w:val="16"/>
                <w:szCs w:val="16"/>
              </w:rPr>
              <w:t>Edges</w:t>
            </w:r>
            <w:r w:rsidRPr="00EC4EC4">
              <w:rPr>
                <w:rFonts w:eastAsia="Times New Roman" w:cs="Arial"/>
                <w:b/>
                <w:bCs/>
                <w:sz w:val="16"/>
                <w:szCs w:val="16"/>
              </w:rPr>
              <w:br/>
              <w:t>(inches)</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7F8AB87A" w14:textId="77777777" w:rsidR="00140B7C" w:rsidRPr="00EC4EC4" w:rsidRDefault="00140B7C" w:rsidP="00BC1087">
            <w:pPr>
              <w:autoSpaceDE w:val="0"/>
              <w:autoSpaceDN w:val="0"/>
              <w:adjustRightInd w:val="0"/>
              <w:spacing w:after="0" w:line="240" w:lineRule="auto"/>
              <w:jc w:val="center"/>
              <w:rPr>
                <w:rFonts w:eastAsia="Times New Roman" w:cs="Arial"/>
                <w:b/>
                <w:bCs/>
                <w:sz w:val="16"/>
                <w:szCs w:val="16"/>
              </w:rPr>
            </w:pPr>
            <w:r w:rsidRPr="00EC4EC4">
              <w:rPr>
                <w:rFonts w:eastAsia="Times New Roman" w:cs="Arial"/>
                <w:b/>
                <w:bCs/>
                <w:sz w:val="16"/>
                <w:szCs w:val="16"/>
              </w:rPr>
              <w:t>Intermediate supports</w:t>
            </w:r>
            <w:r w:rsidRPr="00EC4EC4">
              <w:rPr>
                <w:rFonts w:eastAsia="Times New Roman" w:cs="Arial"/>
                <w:b/>
                <w:bCs/>
                <w:sz w:val="16"/>
                <w:szCs w:val="16"/>
              </w:rPr>
              <w:br/>
              <w:t>(inches)</w:t>
            </w:r>
          </w:p>
        </w:tc>
      </w:tr>
      <w:tr w:rsidR="00140B7C" w:rsidRPr="00EC4EC4" w14:paraId="1A08CDD5"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val="restart"/>
            <w:tcBorders>
              <w:top w:val="single" w:sz="4" w:space="0" w:color="000000"/>
              <w:left w:val="single" w:sz="4" w:space="0" w:color="000000"/>
              <w:bottom w:val="single" w:sz="4" w:space="0" w:color="000000"/>
              <w:right w:val="single" w:sz="4" w:space="0" w:color="000000"/>
            </w:tcBorders>
            <w:vAlign w:val="center"/>
          </w:tcPr>
          <w:p w14:paraId="6E135BE4"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r w:rsidRPr="00EC4EC4">
              <w:rPr>
                <w:rFonts w:eastAsia="Times New Roman" w:cs="Arial"/>
                <w:sz w:val="16"/>
                <w:szCs w:val="16"/>
              </w:rPr>
              <w:t>30.</w:t>
            </w:r>
            <w:r w:rsidRPr="00EC4EC4">
              <w:rPr>
                <w:rFonts w:eastAsia="Times New Roman" w:cs="Arial"/>
                <w:sz w:val="16"/>
                <w:szCs w:val="16"/>
              </w:rPr>
              <w:tab/>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r w:rsidRPr="00EC4EC4">
              <w:rPr>
                <w:rFonts w:eastAsia="Times New Roman" w:cs="Arial"/>
                <w:sz w:val="16"/>
                <w:szCs w:val="16"/>
              </w:rPr>
              <w:t xml:space="preserve"> – </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p>
        </w:tc>
        <w:tc>
          <w:tcPr>
            <w:tcW w:w="1455" w:type="pct"/>
            <w:tcBorders>
              <w:top w:val="single" w:sz="4" w:space="0" w:color="000000"/>
              <w:left w:val="single" w:sz="4" w:space="0" w:color="000000"/>
              <w:bottom w:val="single" w:sz="4" w:space="0" w:color="000000"/>
              <w:right w:val="single" w:sz="4" w:space="0" w:color="000000"/>
            </w:tcBorders>
            <w:vAlign w:val="center"/>
          </w:tcPr>
          <w:p w14:paraId="77B93A1A"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6d common or deformed (2</w:t>
            </w:r>
            <w:r w:rsidRPr="00EC4EC4">
              <w:rPr>
                <w:rFonts w:ascii="Symbol" w:eastAsia="Times New Roman" w:hAnsi="Symbol" w:cs="Symbol"/>
                <w:sz w:val="16"/>
                <w:szCs w:val="16"/>
              </w:rPr>
              <w:t></w:t>
            </w:r>
            <w:r w:rsidRPr="00EC4EC4">
              <w:rPr>
                <w:rFonts w:eastAsia="Times New Roman" w:cs="Arial"/>
                <w:sz w:val="16"/>
                <w:szCs w:val="16"/>
              </w:rPr>
              <w:t xml:space="preserve"> × 0.113</w:t>
            </w:r>
            <w:r w:rsidRPr="00EC4EC4">
              <w:rPr>
                <w:rFonts w:ascii="Symbol" w:eastAsia="Times New Roman" w:hAnsi="Symbol" w:cs="Symbol"/>
                <w:sz w:val="16"/>
                <w:szCs w:val="16"/>
              </w:rPr>
              <w:t></w:t>
            </w:r>
            <w:r w:rsidRPr="00EC4EC4">
              <w:rPr>
                <w:rFonts w:eastAsia="Times New Roman" w:cs="Arial"/>
                <w:sz w:val="16"/>
                <w:szCs w:val="16"/>
              </w:rPr>
              <w:t>) (subfloor and wall)</w:t>
            </w:r>
          </w:p>
        </w:tc>
        <w:tc>
          <w:tcPr>
            <w:tcW w:w="455" w:type="pct"/>
            <w:tcBorders>
              <w:top w:val="single" w:sz="4" w:space="0" w:color="000000"/>
              <w:left w:val="single" w:sz="4" w:space="0" w:color="000000"/>
              <w:bottom w:val="single" w:sz="4" w:space="0" w:color="000000"/>
              <w:right w:val="single" w:sz="4" w:space="0" w:color="000000"/>
            </w:tcBorders>
            <w:vAlign w:val="center"/>
          </w:tcPr>
          <w:p w14:paraId="17F6F674"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78596F1E"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47FD3804"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5ECD28A3"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p>
        </w:tc>
        <w:tc>
          <w:tcPr>
            <w:tcW w:w="1455" w:type="pct"/>
            <w:tcBorders>
              <w:top w:val="single" w:sz="4" w:space="0" w:color="000000"/>
              <w:left w:val="single" w:sz="4" w:space="0" w:color="000000"/>
              <w:bottom w:val="single" w:sz="4" w:space="0" w:color="000000"/>
              <w:right w:val="single" w:sz="4" w:space="0" w:color="000000"/>
            </w:tcBorders>
            <w:vAlign w:val="center"/>
          </w:tcPr>
          <w:p w14:paraId="7F9CE142"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8d common or deformed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0.113</w:t>
            </w:r>
            <w:r w:rsidRPr="00EC4EC4">
              <w:rPr>
                <w:rFonts w:ascii="Symbol" w:eastAsia="Times New Roman" w:hAnsi="Symbol" w:cs="Symbol"/>
                <w:sz w:val="16"/>
                <w:szCs w:val="16"/>
              </w:rPr>
              <w:t></w:t>
            </w:r>
            <w:r w:rsidRPr="00EC4EC4">
              <w:rPr>
                <w:rFonts w:eastAsia="Times New Roman" w:cs="Arial"/>
                <w:sz w:val="16"/>
                <w:szCs w:val="16"/>
              </w:rPr>
              <w:t>) (roof) or RSRS-01 (23/8” x 0.113”) nail (roof)</w:t>
            </w:r>
            <w:r w:rsidRPr="00EC4EC4">
              <w:rPr>
                <w:rFonts w:eastAsia="Times New Roman" w:cs="Arial"/>
                <w:sz w:val="16"/>
                <w:szCs w:val="16"/>
                <w:vertAlign w:val="superscript"/>
              </w:rPr>
              <w:t>d</w:t>
            </w:r>
          </w:p>
        </w:tc>
        <w:tc>
          <w:tcPr>
            <w:tcW w:w="455" w:type="pct"/>
            <w:tcBorders>
              <w:top w:val="single" w:sz="4" w:space="0" w:color="000000"/>
              <w:left w:val="single" w:sz="4" w:space="0" w:color="000000"/>
              <w:bottom w:val="single" w:sz="4" w:space="0" w:color="000000"/>
              <w:right w:val="single" w:sz="4" w:space="0" w:color="000000"/>
            </w:tcBorders>
            <w:vAlign w:val="center"/>
          </w:tcPr>
          <w:p w14:paraId="407A9E55"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3B18F85F"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477DAD41"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585AD3AF"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p>
        </w:tc>
        <w:tc>
          <w:tcPr>
            <w:tcW w:w="1455" w:type="pct"/>
            <w:tcBorders>
              <w:top w:val="single" w:sz="4" w:space="0" w:color="000000"/>
              <w:left w:val="single" w:sz="4" w:space="0" w:color="000000"/>
              <w:bottom w:val="single" w:sz="4" w:space="0" w:color="000000"/>
              <w:right w:val="single" w:sz="4" w:space="0" w:color="000000"/>
            </w:tcBorders>
            <w:vAlign w:val="center"/>
          </w:tcPr>
          <w:p w14:paraId="2F77BF6F"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w:t>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r w:rsidRPr="00EC4EC4">
              <w:rPr>
                <w:rFonts w:eastAsia="Times New Roman" w:cs="Arial"/>
                <w:sz w:val="16"/>
                <w:szCs w:val="16"/>
              </w:rPr>
              <w:t xml:space="preserve"> × 0.113</w:t>
            </w:r>
            <w:r w:rsidRPr="00EC4EC4">
              <w:rPr>
                <w:rFonts w:ascii="Symbol" w:eastAsia="Times New Roman" w:hAnsi="Symbol" w:cs="Symbol"/>
                <w:sz w:val="16"/>
                <w:szCs w:val="16"/>
              </w:rPr>
              <w:t></w:t>
            </w:r>
            <w:r w:rsidRPr="00EC4EC4">
              <w:rPr>
                <w:rFonts w:eastAsia="Times New Roman" w:cs="Arial"/>
                <w:sz w:val="16"/>
                <w:szCs w:val="16"/>
              </w:rPr>
              <w:t xml:space="preserve"> nail (subfloor and wall) </w:t>
            </w:r>
          </w:p>
        </w:tc>
        <w:tc>
          <w:tcPr>
            <w:tcW w:w="455" w:type="pct"/>
            <w:tcBorders>
              <w:top w:val="single" w:sz="4" w:space="0" w:color="000000"/>
              <w:left w:val="single" w:sz="4" w:space="0" w:color="000000"/>
              <w:bottom w:val="single" w:sz="4" w:space="0" w:color="000000"/>
              <w:right w:val="single" w:sz="4" w:space="0" w:color="000000"/>
            </w:tcBorders>
            <w:vAlign w:val="center"/>
          </w:tcPr>
          <w:p w14:paraId="1FF7DD84"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02F9E2C7"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474EC3CB"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3B6C82F6"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p>
        </w:tc>
        <w:tc>
          <w:tcPr>
            <w:tcW w:w="1455" w:type="pct"/>
            <w:tcBorders>
              <w:top w:val="single" w:sz="4" w:space="0" w:color="000000"/>
              <w:left w:val="single" w:sz="4" w:space="0" w:color="000000"/>
              <w:bottom w:val="single" w:sz="4" w:space="0" w:color="000000"/>
              <w:right w:val="single" w:sz="4" w:space="0" w:color="000000"/>
            </w:tcBorders>
            <w:vAlign w:val="center"/>
          </w:tcPr>
          <w:p w14:paraId="4CE8FADF"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w:t>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4</w:t>
            </w:r>
            <w:r w:rsidRPr="00EC4EC4">
              <w:rPr>
                <w:rFonts w:ascii="Symbol" w:eastAsia="Times New Roman" w:hAnsi="Symbol" w:cs="Symbol"/>
                <w:sz w:val="16"/>
                <w:szCs w:val="16"/>
              </w:rPr>
              <w:t></w:t>
            </w:r>
            <w:r w:rsidRPr="00EC4EC4">
              <w:rPr>
                <w:rFonts w:eastAsia="Times New Roman" w:cs="Arial"/>
                <w:sz w:val="16"/>
                <w:szCs w:val="16"/>
              </w:rPr>
              <w:t xml:space="preserve"> 16 gage staple,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r w:rsidRPr="00EC4EC4">
              <w:rPr>
                <w:rFonts w:eastAsia="Times New Roman" w:cs="Arial"/>
                <w:sz w:val="16"/>
                <w:szCs w:val="16"/>
              </w:rPr>
              <w:br/>
              <w:t>(subfloor and wall)</w:t>
            </w:r>
          </w:p>
        </w:tc>
        <w:tc>
          <w:tcPr>
            <w:tcW w:w="455" w:type="pct"/>
            <w:tcBorders>
              <w:top w:val="single" w:sz="4" w:space="0" w:color="000000"/>
              <w:left w:val="single" w:sz="4" w:space="0" w:color="000000"/>
              <w:bottom w:val="single" w:sz="4" w:space="0" w:color="000000"/>
              <w:right w:val="single" w:sz="4" w:space="0" w:color="000000"/>
            </w:tcBorders>
            <w:vAlign w:val="center"/>
          </w:tcPr>
          <w:p w14:paraId="20ED1F3F"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4</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43D46C62"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8</w:t>
            </w:r>
          </w:p>
        </w:tc>
      </w:tr>
      <w:tr w:rsidR="00140B7C" w:rsidRPr="00EC4EC4" w14:paraId="654BFAAD"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33BA1492"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p>
        </w:tc>
        <w:tc>
          <w:tcPr>
            <w:tcW w:w="1455" w:type="pct"/>
            <w:tcBorders>
              <w:top w:val="single" w:sz="4" w:space="0" w:color="000000"/>
              <w:left w:val="single" w:sz="4" w:space="0" w:color="000000"/>
              <w:bottom w:val="single" w:sz="4" w:space="0" w:color="000000"/>
              <w:right w:val="single" w:sz="4" w:space="0" w:color="000000"/>
            </w:tcBorders>
            <w:vAlign w:val="center"/>
          </w:tcPr>
          <w:p w14:paraId="04B3E601"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w:t>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r w:rsidRPr="00EC4EC4">
              <w:rPr>
                <w:rFonts w:eastAsia="Times New Roman" w:cs="Arial"/>
                <w:sz w:val="16"/>
                <w:szCs w:val="16"/>
              </w:rPr>
              <w:t xml:space="preserve"> × 0.113</w:t>
            </w:r>
            <w:r w:rsidRPr="00EC4EC4">
              <w:rPr>
                <w:rFonts w:ascii="Symbol" w:eastAsia="Times New Roman" w:hAnsi="Symbol" w:cs="Symbol"/>
                <w:sz w:val="16"/>
                <w:szCs w:val="16"/>
              </w:rPr>
              <w:t></w:t>
            </w:r>
            <w:r w:rsidRPr="00EC4EC4">
              <w:rPr>
                <w:rFonts w:eastAsia="Times New Roman" w:cs="Arial"/>
                <w:sz w:val="16"/>
                <w:szCs w:val="16"/>
              </w:rPr>
              <w:t xml:space="preserve"> nail (roof)</w:t>
            </w:r>
          </w:p>
        </w:tc>
        <w:tc>
          <w:tcPr>
            <w:tcW w:w="455" w:type="pct"/>
            <w:tcBorders>
              <w:top w:val="single" w:sz="4" w:space="0" w:color="000000"/>
              <w:left w:val="single" w:sz="4" w:space="0" w:color="000000"/>
              <w:bottom w:val="single" w:sz="4" w:space="0" w:color="000000"/>
              <w:right w:val="single" w:sz="4" w:space="0" w:color="000000"/>
            </w:tcBorders>
            <w:vAlign w:val="center"/>
          </w:tcPr>
          <w:p w14:paraId="048B7A5A"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4</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75E174D5"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8</w:t>
            </w:r>
          </w:p>
        </w:tc>
      </w:tr>
      <w:tr w:rsidR="00140B7C" w:rsidRPr="00EC4EC4" w14:paraId="050AE30E"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2EDC9CE2"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p>
        </w:tc>
        <w:tc>
          <w:tcPr>
            <w:tcW w:w="1455" w:type="pct"/>
            <w:tcBorders>
              <w:top w:val="single" w:sz="4" w:space="0" w:color="000000"/>
              <w:left w:val="single" w:sz="4" w:space="0" w:color="000000"/>
              <w:bottom w:val="single" w:sz="4" w:space="0" w:color="000000"/>
              <w:right w:val="single" w:sz="4" w:space="0" w:color="000000"/>
            </w:tcBorders>
            <w:vAlign w:val="center"/>
          </w:tcPr>
          <w:p w14:paraId="607B625E"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w:t>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4</w:t>
            </w:r>
            <w:r w:rsidRPr="00EC4EC4">
              <w:rPr>
                <w:rFonts w:ascii="Symbol" w:eastAsia="Times New Roman" w:hAnsi="Symbol" w:cs="Symbol"/>
                <w:sz w:val="16"/>
                <w:szCs w:val="16"/>
              </w:rPr>
              <w:t></w:t>
            </w:r>
            <w:r w:rsidRPr="00EC4EC4">
              <w:rPr>
                <w:rFonts w:eastAsia="Times New Roman" w:cs="Arial"/>
                <w:sz w:val="16"/>
                <w:szCs w:val="16"/>
              </w:rPr>
              <w:t xml:space="preserve"> 16 gage staple,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 (roof)</w:t>
            </w:r>
          </w:p>
        </w:tc>
        <w:tc>
          <w:tcPr>
            <w:tcW w:w="455" w:type="pct"/>
            <w:tcBorders>
              <w:top w:val="single" w:sz="4" w:space="0" w:color="000000"/>
              <w:left w:val="single" w:sz="4" w:space="0" w:color="000000"/>
              <w:bottom w:val="single" w:sz="4" w:space="0" w:color="000000"/>
              <w:right w:val="single" w:sz="4" w:space="0" w:color="000000"/>
            </w:tcBorders>
            <w:vAlign w:val="center"/>
          </w:tcPr>
          <w:p w14:paraId="787988EF"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3</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69874264"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6</w:t>
            </w:r>
          </w:p>
        </w:tc>
      </w:tr>
      <w:tr w:rsidR="00140B7C" w:rsidRPr="00EC4EC4" w14:paraId="26221D3D"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val="restart"/>
            <w:tcBorders>
              <w:top w:val="single" w:sz="4" w:space="0" w:color="000000"/>
              <w:left w:val="single" w:sz="4" w:space="0" w:color="000000"/>
              <w:bottom w:val="single" w:sz="4" w:space="0" w:color="000000"/>
              <w:right w:val="single" w:sz="4" w:space="0" w:color="000000"/>
            </w:tcBorders>
            <w:vAlign w:val="center"/>
          </w:tcPr>
          <w:p w14:paraId="0DB532B5"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r w:rsidRPr="00EC4EC4">
              <w:rPr>
                <w:rFonts w:eastAsia="Times New Roman" w:cs="Arial"/>
                <w:sz w:val="16"/>
                <w:szCs w:val="16"/>
              </w:rPr>
              <w:t>31.</w:t>
            </w:r>
            <w:r w:rsidRPr="00EC4EC4">
              <w:rPr>
                <w:rFonts w:eastAsia="Times New Roman" w:cs="Arial"/>
                <w:sz w:val="16"/>
                <w:szCs w:val="16"/>
              </w:rPr>
              <w:tab/>
            </w:r>
            <w:r w:rsidRPr="00EC4EC4">
              <w:rPr>
                <w:rFonts w:eastAsia="Times New Roman" w:cs="Arial"/>
                <w:sz w:val="16"/>
                <w:szCs w:val="16"/>
                <w:vertAlign w:val="superscript"/>
              </w:rPr>
              <w:t>19</w:t>
            </w:r>
            <w:r w:rsidRPr="00EC4EC4">
              <w:rPr>
                <w:rFonts w:eastAsia="Times New Roman" w:cs="Arial"/>
                <w:sz w:val="16"/>
                <w:szCs w:val="16"/>
              </w:rPr>
              <w:t>/</w:t>
            </w:r>
            <w:r w:rsidRPr="00EC4EC4">
              <w:rPr>
                <w:rFonts w:eastAsia="Times New Roman" w:cs="Arial"/>
                <w:sz w:val="16"/>
                <w:szCs w:val="16"/>
                <w:vertAlign w:val="subscript"/>
              </w:rPr>
              <w:t>32</w:t>
            </w:r>
            <w:r w:rsidRPr="00EC4EC4">
              <w:rPr>
                <w:rFonts w:ascii="Symbol" w:eastAsia="Times New Roman" w:hAnsi="Symbol" w:cs="Symbol"/>
                <w:sz w:val="16"/>
                <w:szCs w:val="16"/>
              </w:rPr>
              <w:t></w:t>
            </w:r>
            <w:r w:rsidRPr="00EC4EC4">
              <w:rPr>
                <w:rFonts w:eastAsia="Times New Roman" w:cs="Arial"/>
                <w:sz w:val="16"/>
                <w:szCs w:val="16"/>
              </w:rPr>
              <w:t xml:space="preserve"> – </w:t>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4</w:t>
            </w:r>
            <w:r w:rsidRPr="00EC4EC4">
              <w:rPr>
                <w:rFonts w:ascii="Symbol" w:eastAsia="Times New Roman" w:hAnsi="Symbol" w:cs="Symbol"/>
                <w:sz w:val="16"/>
                <w:szCs w:val="16"/>
              </w:rPr>
              <w:t></w:t>
            </w:r>
          </w:p>
        </w:tc>
        <w:tc>
          <w:tcPr>
            <w:tcW w:w="1455" w:type="pct"/>
            <w:tcBorders>
              <w:top w:val="single" w:sz="4" w:space="0" w:color="000000"/>
              <w:left w:val="single" w:sz="4" w:space="0" w:color="000000"/>
              <w:bottom w:val="single" w:sz="4" w:space="0" w:color="000000"/>
              <w:right w:val="single" w:sz="4" w:space="0" w:color="000000"/>
            </w:tcBorders>
            <w:vAlign w:val="center"/>
          </w:tcPr>
          <w:p w14:paraId="7B66FA14"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6d deformed (2</w:t>
            </w:r>
            <w:r w:rsidRPr="00EC4EC4">
              <w:rPr>
                <w:rFonts w:ascii="Symbol" w:eastAsia="Times New Roman" w:hAnsi="Symbol" w:cs="Symbol"/>
                <w:sz w:val="16"/>
                <w:szCs w:val="16"/>
              </w:rPr>
              <w:t></w:t>
            </w:r>
            <w:r w:rsidRPr="00EC4EC4">
              <w:rPr>
                <w:rFonts w:eastAsia="Times New Roman" w:cs="Arial"/>
                <w:sz w:val="16"/>
                <w:szCs w:val="16"/>
              </w:rPr>
              <w:t xml:space="preserve"> × 0.113</w:t>
            </w:r>
            <w:r w:rsidRPr="00EC4EC4">
              <w:rPr>
                <w:rFonts w:ascii="Symbol" w:eastAsia="Times New Roman" w:hAnsi="Symbol" w:cs="Symbol"/>
                <w:sz w:val="16"/>
                <w:szCs w:val="16"/>
              </w:rPr>
              <w:t></w:t>
            </w:r>
            <w:r w:rsidRPr="00EC4EC4">
              <w:rPr>
                <w:rFonts w:eastAsia="Times New Roman" w:cs="Arial"/>
                <w:sz w:val="16"/>
                <w:szCs w:val="16"/>
              </w:rPr>
              <w:t>) (subfloor and wall)</w:t>
            </w:r>
          </w:p>
        </w:tc>
        <w:tc>
          <w:tcPr>
            <w:tcW w:w="455" w:type="pct"/>
            <w:tcBorders>
              <w:top w:val="single" w:sz="4" w:space="0" w:color="000000"/>
              <w:left w:val="single" w:sz="4" w:space="0" w:color="000000"/>
              <w:bottom w:val="single" w:sz="4" w:space="0" w:color="000000"/>
              <w:right w:val="single" w:sz="4" w:space="0" w:color="000000"/>
            </w:tcBorders>
            <w:vAlign w:val="center"/>
          </w:tcPr>
          <w:p w14:paraId="3894D78A"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411D8FCA"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1EC1FAE5"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05C8735F"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p>
        </w:tc>
        <w:tc>
          <w:tcPr>
            <w:tcW w:w="1455" w:type="pct"/>
            <w:tcBorders>
              <w:top w:val="single" w:sz="4" w:space="0" w:color="000000"/>
              <w:left w:val="single" w:sz="4" w:space="0" w:color="000000"/>
              <w:bottom w:val="single" w:sz="4" w:space="0" w:color="000000"/>
              <w:right w:val="single" w:sz="4" w:space="0" w:color="000000"/>
            </w:tcBorders>
            <w:vAlign w:val="center"/>
          </w:tcPr>
          <w:p w14:paraId="75FEBE8D" w14:textId="77777777" w:rsidR="00140B7C" w:rsidRPr="00EC4EC4" w:rsidRDefault="00140B7C" w:rsidP="00BC1087">
            <w:pPr>
              <w:widowControl w:val="0"/>
              <w:autoSpaceDE w:val="0"/>
              <w:autoSpaceDN w:val="0"/>
              <w:adjustRightInd w:val="0"/>
              <w:spacing w:after="0"/>
              <w:rPr>
                <w:rFonts w:cs="Arial"/>
                <w:color w:val="000000"/>
                <w:sz w:val="16"/>
                <w:szCs w:val="16"/>
              </w:rPr>
            </w:pPr>
            <w:r w:rsidRPr="00EC4EC4">
              <w:rPr>
                <w:rFonts w:eastAsia="Times New Roman" w:cs="Arial"/>
                <w:sz w:val="16"/>
                <w:szCs w:val="16"/>
              </w:rPr>
              <w:t xml:space="preserve">8d common or deformed </w:t>
            </w:r>
            <w:r w:rsidRPr="00EC4EC4">
              <w:rPr>
                <w:rFonts w:eastAsia="Times New Roman" w:cs="Arial"/>
                <w:color w:val="000000"/>
                <w:sz w:val="16"/>
                <w:szCs w:val="16"/>
              </w:rPr>
              <w:t>(2</w:t>
            </w:r>
            <w:r w:rsidRPr="00EC4EC4">
              <w:rPr>
                <w:rFonts w:eastAsia="Times New Roman" w:cs="Arial"/>
                <w:color w:val="000000"/>
                <w:sz w:val="16"/>
                <w:szCs w:val="16"/>
                <w:vertAlign w:val="superscript"/>
              </w:rPr>
              <w:t>1</w:t>
            </w:r>
            <w:r w:rsidRPr="00EC4EC4">
              <w:rPr>
                <w:rFonts w:eastAsia="Times New Roman" w:cs="Arial"/>
                <w:color w:val="000000"/>
                <w:sz w:val="16"/>
                <w:szCs w:val="16"/>
              </w:rPr>
              <w:t>/</w:t>
            </w:r>
            <w:r w:rsidRPr="00EC4EC4">
              <w:rPr>
                <w:rFonts w:eastAsia="Times New Roman" w:cs="Arial"/>
                <w:color w:val="000000"/>
                <w:sz w:val="16"/>
                <w:szCs w:val="16"/>
                <w:vertAlign w:val="subscript"/>
              </w:rPr>
              <w:t>2</w:t>
            </w:r>
            <w:r w:rsidRPr="00EC4EC4">
              <w:rPr>
                <w:rFonts w:ascii="Symbol" w:eastAsia="Times New Roman" w:hAnsi="Symbol" w:cs="Symbol"/>
                <w:sz w:val="16"/>
                <w:szCs w:val="16"/>
              </w:rPr>
              <w:t></w:t>
            </w:r>
            <w:r w:rsidRPr="00EC4EC4">
              <w:rPr>
                <w:rFonts w:eastAsia="Times New Roman" w:cs="Arial"/>
                <w:color w:val="000000"/>
                <w:sz w:val="16"/>
                <w:szCs w:val="16"/>
              </w:rPr>
              <w:t xml:space="preserve"> × 0.131</w:t>
            </w:r>
            <w:r w:rsidRPr="00EC4EC4">
              <w:rPr>
                <w:rFonts w:ascii="Symbol" w:eastAsia="Times New Roman" w:hAnsi="Symbol" w:cs="Symbol"/>
                <w:sz w:val="16"/>
                <w:szCs w:val="16"/>
              </w:rPr>
              <w:t></w:t>
            </w:r>
            <w:r w:rsidRPr="00EC4EC4">
              <w:rPr>
                <w:rFonts w:eastAsia="Times New Roman" w:cs="Arial"/>
                <w:color w:val="000000"/>
                <w:sz w:val="16"/>
                <w:szCs w:val="16"/>
              </w:rPr>
              <w:t xml:space="preserve">) </w:t>
            </w:r>
            <w:r w:rsidRPr="00EC4EC4">
              <w:rPr>
                <w:rFonts w:eastAsia="Times New Roman" w:cs="Arial"/>
                <w:sz w:val="16"/>
                <w:szCs w:val="16"/>
              </w:rPr>
              <w:t>or</w:t>
            </w:r>
            <w:r w:rsidRPr="00EC4EC4">
              <w:rPr>
                <w:rFonts w:eastAsia="Times New Roman" w:cs="Arial"/>
                <w:color w:val="000000"/>
                <w:sz w:val="16"/>
                <w:szCs w:val="16"/>
              </w:rPr>
              <w:t xml:space="preserve"> RSRS-01 (2</w:t>
            </w:r>
            <w:r w:rsidRPr="00EC4EC4">
              <w:rPr>
                <w:rFonts w:eastAsia="Times New Roman" w:cs="Arial"/>
                <w:color w:val="000000"/>
                <w:sz w:val="16"/>
                <w:szCs w:val="16"/>
                <w:vertAlign w:val="superscript"/>
              </w:rPr>
              <w:t>3</w:t>
            </w:r>
            <w:r w:rsidRPr="00EC4EC4">
              <w:rPr>
                <w:rFonts w:eastAsia="Times New Roman" w:cs="Arial"/>
                <w:color w:val="000000"/>
                <w:sz w:val="16"/>
                <w:szCs w:val="16"/>
              </w:rPr>
              <w:t>/</w:t>
            </w:r>
            <w:r w:rsidRPr="00EC4EC4">
              <w:rPr>
                <w:rFonts w:eastAsia="Times New Roman" w:cs="Arial"/>
                <w:color w:val="000000"/>
                <w:sz w:val="16"/>
                <w:szCs w:val="16"/>
                <w:vertAlign w:val="subscript"/>
              </w:rPr>
              <w:t>8</w:t>
            </w:r>
            <w:r w:rsidRPr="00EC4EC4">
              <w:rPr>
                <w:rFonts w:ascii="Symbol" w:eastAsia="Times New Roman" w:hAnsi="Symbol" w:cs="Symbol"/>
                <w:sz w:val="16"/>
                <w:szCs w:val="16"/>
              </w:rPr>
              <w:t></w:t>
            </w:r>
            <w:r w:rsidRPr="00EC4EC4">
              <w:rPr>
                <w:rFonts w:eastAsia="Times New Roman" w:cs="Arial"/>
                <w:color w:val="000000"/>
                <w:sz w:val="16"/>
                <w:szCs w:val="16"/>
              </w:rPr>
              <w:t xml:space="preserve"> × 0.113</w:t>
            </w:r>
            <w:r w:rsidRPr="00EC4EC4">
              <w:rPr>
                <w:rFonts w:ascii="Symbol" w:eastAsia="Times New Roman" w:hAnsi="Symbol" w:cs="Symbol"/>
                <w:sz w:val="16"/>
                <w:szCs w:val="16"/>
              </w:rPr>
              <w:t></w:t>
            </w:r>
            <w:r w:rsidRPr="00EC4EC4">
              <w:rPr>
                <w:rFonts w:ascii="Symbol" w:eastAsia="Times New Roman" w:hAnsi="Symbol" w:cs="Symbol"/>
                <w:sz w:val="16"/>
                <w:szCs w:val="16"/>
              </w:rPr>
              <w:t></w:t>
            </w:r>
            <w:r w:rsidRPr="00EC4EC4">
              <w:rPr>
                <w:rFonts w:eastAsia="Times New Roman" w:cs="Arial"/>
                <w:color w:val="000000"/>
                <w:sz w:val="16"/>
                <w:szCs w:val="16"/>
              </w:rPr>
              <w:t xml:space="preserve"> </w:t>
            </w:r>
            <w:r w:rsidRPr="00EC4EC4">
              <w:rPr>
                <w:rFonts w:eastAsia="Times New Roman" w:cs="Arial"/>
                <w:sz w:val="16"/>
                <w:szCs w:val="16"/>
              </w:rPr>
              <w:t>nail (roof</w:t>
            </w:r>
            <w:r w:rsidRPr="00EC4EC4">
              <w:rPr>
                <w:rFonts w:eastAsia="Times New Roman" w:cs="Arial"/>
                <w:color w:val="000000"/>
                <w:sz w:val="16"/>
                <w:szCs w:val="16"/>
              </w:rPr>
              <w:t>)</w:t>
            </w:r>
            <w:r w:rsidRPr="00EC4EC4">
              <w:rPr>
                <w:rFonts w:eastAsia="Times New Roman" w:cs="Arial"/>
                <w:color w:val="000000"/>
                <w:sz w:val="16"/>
                <w:szCs w:val="16"/>
                <w:vertAlign w:val="superscript"/>
              </w:rPr>
              <w:t>d</w:t>
            </w:r>
          </w:p>
        </w:tc>
        <w:tc>
          <w:tcPr>
            <w:tcW w:w="455" w:type="pct"/>
            <w:tcBorders>
              <w:top w:val="single" w:sz="4" w:space="0" w:color="000000"/>
              <w:left w:val="single" w:sz="4" w:space="0" w:color="000000"/>
              <w:bottom w:val="single" w:sz="4" w:space="0" w:color="000000"/>
              <w:right w:val="single" w:sz="4" w:space="0" w:color="000000"/>
            </w:tcBorders>
            <w:vAlign w:val="center"/>
          </w:tcPr>
          <w:p w14:paraId="48E12C85"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0175C98E"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20954256"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vMerge/>
            <w:tcBorders>
              <w:top w:val="single" w:sz="4" w:space="0" w:color="000000"/>
              <w:left w:val="single" w:sz="4" w:space="0" w:color="000000"/>
              <w:bottom w:val="single" w:sz="4" w:space="0" w:color="000000"/>
              <w:right w:val="single" w:sz="4" w:space="0" w:color="000000"/>
            </w:tcBorders>
            <w:vAlign w:val="center"/>
          </w:tcPr>
          <w:p w14:paraId="12C2E069"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p>
        </w:tc>
        <w:tc>
          <w:tcPr>
            <w:tcW w:w="1455" w:type="pct"/>
            <w:tcBorders>
              <w:top w:val="single" w:sz="4" w:space="0" w:color="000000"/>
              <w:left w:val="single" w:sz="4" w:space="0" w:color="000000"/>
              <w:bottom w:val="single" w:sz="4" w:space="0" w:color="000000"/>
              <w:right w:val="single" w:sz="4" w:space="0" w:color="000000"/>
            </w:tcBorders>
            <w:vAlign w:val="center"/>
          </w:tcPr>
          <w:p w14:paraId="5927EA7B"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2</w:t>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r w:rsidRPr="00EC4EC4">
              <w:rPr>
                <w:rFonts w:eastAsia="Times New Roman" w:cs="Arial"/>
                <w:sz w:val="16"/>
                <w:szCs w:val="16"/>
              </w:rPr>
              <w:t xml:space="preserve"> × 0.113</w:t>
            </w:r>
            <w:r w:rsidRPr="00EC4EC4">
              <w:rPr>
                <w:rFonts w:ascii="Symbol" w:eastAsia="Times New Roman" w:hAnsi="Symbol" w:cs="Symbol"/>
                <w:sz w:val="16"/>
                <w:szCs w:val="16"/>
              </w:rPr>
              <w:t></w:t>
            </w:r>
            <w:r w:rsidRPr="00EC4EC4">
              <w:rPr>
                <w:rFonts w:eastAsia="Times New Roman" w:cs="Arial"/>
                <w:sz w:val="16"/>
                <w:szCs w:val="16"/>
              </w:rPr>
              <w:t xml:space="preserve"> nail; or</w:t>
            </w:r>
            <w:r w:rsidRPr="00EC4EC4">
              <w:rPr>
                <w:rFonts w:eastAsia="Times New Roman" w:cs="Arial"/>
                <w:sz w:val="16"/>
                <w:szCs w:val="16"/>
              </w:rPr>
              <w:br/>
              <w:t>2</w:t>
            </w:r>
            <w:r w:rsidRPr="00EC4EC4">
              <w:rPr>
                <w:rFonts w:ascii="Symbol" w:eastAsia="Times New Roman" w:hAnsi="Symbol" w:cs="Symbol"/>
                <w:sz w:val="16"/>
                <w:szCs w:val="16"/>
              </w:rPr>
              <w:t></w:t>
            </w:r>
            <w:r w:rsidRPr="00EC4EC4">
              <w:rPr>
                <w:rFonts w:eastAsia="Times New Roman" w:cs="Arial"/>
                <w:sz w:val="16"/>
                <w:szCs w:val="16"/>
              </w:rPr>
              <w:t xml:space="preserve"> 16 gage staple,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455" w:type="pct"/>
            <w:tcBorders>
              <w:top w:val="single" w:sz="4" w:space="0" w:color="000000"/>
              <w:left w:val="single" w:sz="4" w:space="0" w:color="000000"/>
              <w:bottom w:val="single" w:sz="4" w:space="0" w:color="000000"/>
              <w:right w:val="single" w:sz="4" w:space="0" w:color="000000"/>
            </w:tcBorders>
            <w:vAlign w:val="center"/>
          </w:tcPr>
          <w:p w14:paraId="6B5B5A11"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4</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2A9B3D8E"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8</w:t>
            </w:r>
          </w:p>
        </w:tc>
      </w:tr>
      <w:tr w:rsidR="00140B7C" w:rsidRPr="00EC4EC4" w14:paraId="622BAE04"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191E973D"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r w:rsidRPr="00EC4EC4">
              <w:rPr>
                <w:rFonts w:eastAsia="Times New Roman" w:cs="Arial"/>
                <w:sz w:val="16"/>
                <w:szCs w:val="16"/>
              </w:rPr>
              <w:t>32.</w:t>
            </w:r>
            <w:r w:rsidRPr="00EC4EC4">
              <w:rPr>
                <w:rFonts w:eastAsia="Times New Roman" w:cs="Arial"/>
                <w:sz w:val="16"/>
                <w:szCs w:val="16"/>
              </w:rPr>
              <w:tab/>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r w:rsidRPr="00EC4EC4">
              <w:rPr>
                <w:rFonts w:eastAsia="Times New Roman" w:cs="Arial"/>
                <w:sz w:val="16"/>
                <w:szCs w:val="16"/>
              </w:rPr>
              <w:t xml:space="preserve"> – 1</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4</w:t>
            </w:r>
            <w:r w:rsidRPr="00EC4EC4">
              <w:rPr>
                <w:rFonts w:ascii="Symbol" w:eastAsia="Times New Roman" w:hAnsi="Symbol" w:cs="Symbol"/>
                <w:sz w:val="16"/>
                <w:szCs w:val="16"/>
              </w:rPr>
              <w:t></w:t>
            </w:r>
          </w:p>
        </w:tc>
        <w:tc>
          <w:tcPr>
            <w:tcW w:w="1455" w:type="pct"/>
            <w:tcBorders>
              <w:top w:val="single" w:sz="4" w:space="0" w:color="000000"/>
              <w:left w:val="single" w:sz="4" w:space="0" w:color="000000"/>
              <w:bottom w:val="single" w:sz="4" w:space="0" w:color="000000"/>
              <w:right w:val="single" w:sz="4" w:space="0" w:color="000000"/>
            </w:tcBorders>
            <w:vAlign w:val="center"/>
          </w:tcPr>
          <w:p w14:paraId="459CC944"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10d common (3</w:t>
            </w:r>
            <w:r w:rsidRPr="00EC4EC4">
              <w:rPr>
                <w:rFonts w:ascii="Symbol" w:eastAsia="Times New Roman" w:hAnsi="Symbol" w:cs="Symbol"/>
                <w:sz w:val="16"/>
                <w:szCs w:val="16"/>
              </w:rPr>
              <w:t></w:t>
            </w:r>
            <w:r w:rsidRPr="00EC4EC4">
              <w:rPr>
                <w:rFonts w:eastAsia="Times New Roman" w:cs="Arial"/>
                <w:sz w:val="16"/>
                <w:szCs w:val="16"/>
              </w:rPr>
              <w:t xml:space="preserve"> × 0.148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8d deformed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w:t>
            </w:r>
          </w:p>
        </w:tc>
        <w:tc>
          <w:tcPr>
            <w:tcW w:w="455" w:type="pct"/>
            <w:tcBorders>
              <w:top w:val="single" w:sz="4" w:space="0" w:color="000000"/>
              <w:left w:val="single" w:sz="4" w:space="0" w:color="000000"/>
              <w:bottom w:val="single" w:sz="4" w:space="0" w:color="000000"/>
              <w:right w:val="single" w:sz="4" w:space="0" w:color="000000"/>
            </w:tcBorders>
            <w:vAlign w:val="center"/>
          </w:tcPr>
          <w:p w14:paraId="2AE201D5"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3B6D10D6"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1909F7A8"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40BFCC36"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b/>
                <w:bCs/>
                <w:sz w:val="16"/>
                <w:szCs w:val="16"/>
              </w:rPr>
              <w:t>Other exterior wall sheathing</w:t>
            </w:r>
          </w:p>
        </w:tc>
      </w:tr>
      <w:tr w:rsidR="00140B7C" w:rsidRPr="00EC4EC4" w14:paraId="7BD4488B"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2E6E98D0"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r w:rsidRPr="00EC4EC4">
              <w:rPr>
                <w:rFonts w:eastAsia="Times New Roman" w:cs="Arial"/>
                <w:sz w:val="16"/>
                <w:szCs w:val="16"/>
              </w:rPr>
              <w:t>33.</w:t>
            </w:r>
            <w:r w:rsidRPr="00EC4EC4">
              <w:rPr>
                <w:rFonts w:eastAsia="Times New Roman" w:cs="Arial"/>
                <w:sz w:val="16"/>
                <w:szCs w:val="16"/>
              </w:rPr>
              <w:tab/>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fiberboard sheathing</w:t>
            </w:r>
            <w:r w:rsidRPr="00EC4EC4">
              <w:rPr>
                <w:rFonts w:eastAsia="Times New Roman" w:cs="Arial"/>
                <w:sz w:val="16"/>
                <w:szCs w:val="16"/>
                <w:vertAlign w:val="superscript"/>
              </w:rPr>
              <w:t>b</w:t>
            </w:r>
          </w:p>
        </w:tc>
        <w:tc>
          <w:tcPr>
            <w:tcW w:w="1455" w:type="pct"/>
            <w:tcBorders>
              <w:top w:val="single" w:sz="4" w:space="0" w:color="000000"/>
              <w:left w:val="single" w:sz="4" w:space="0" w:color="000000"/>
              <w:bottom w:val="single" w:sz="4" w:space="0" w:color="000000"/>
              <w:right w:val="single" w:sz="4" w:space="0" w:color="000000"/>
            </w:tcBorders>
            <w:vAlign w:val="center"/>
          </w:tcPr>
          <w:p w14:paraId="63E9208D"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galvanized roofing nail</w:t>
            </w:r>
            <w:r w:rsidRPr="00EC4EC4">
              <w:rPr>
                <w:rFonts w:eastAsia="Times New Roman" w:cs="Arial"/>
                <w:sz w:val="16"/>
                <w:szCs w:val="16"/>
              </w:rPr>
              <w:br/>
              <w:t>(</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head diameter); or</w:t>
            </w:r>
            <w:r w:rsidRPr="00EC4EC4">
              <w:rPr>
                <w:rFonts w:eastAsia="Times New Roman" w:cs="Arial"/>
                <w:sz w:val="16"/>
                <w:szCs w:val="16"/>
              </w:rPr>
              <w:br/>
              <w:t>1</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4</w:t>
            </w:r>
            <w:r w:rsidRPr="00EC4EC4">
              <w:rPr>
                <w:rFonts w:ascii="Symbol" w:eastAsia="Times New Roman" w:hAnsi="Symbol" w:cs="Symbol"/>
                <w:sz w:val="16"/>
                <w:szCs w:val="16"/>
              </w:rPr>
              <w:t></w:t>
            </w:r>
            <w:r w:rsidRPr="00EC4EC4">
              <w:rPr>
                <w:rFonts w:eastAsia="Times New Roman" w:cs="Arial"/>
                <w:sz w:val="16"/>
                <w:szCs w:val="16"/>
              </w:rPr>
              <w:t xml:space="preserve"> 16 gage staple with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or 1</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455" w:type="pct"/>
            <w:tcBorders>
              <w:top w:val="single" w:sz="4" w:space="0" w:color="000000"/>
              <w:left w:val="single" w:sz="4" w:space="0" w:color="000000"/>
              <w:bottom w:val="single" w:sz="4" w:space="0" w:color="000000"/>
              <w:right w:val="single" w:sz="4" w:space="0" w:color="000000"/>
            </w:tcBorders>
            <w:vAlign w:val="center"/>
          </w:tcPr>
          <w:p w14:paraId="0192BBE2"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3</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753E8DD6"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6</w:t>
            </w:r>
          </w:p>
        </w:tc>
      </w:tr>
      <w:tr w:rsidR="00140B7C" w:rsidRPr="00EC4EC4" w14:paraId="4451686F"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19F00757" w14:textId="77777777" w:rsidR="00140B7C" w:rsidRPr="00EC4EC4" w:rsidRDefault="00140B7C" w:rsidP="00BC1087">
            <w:pPr>
              <w:tabs>
                <w:tab w:val="left" w:pos="-3530"/>
              </w:tabs>
              <w:autoSpaceDE w:val="0"/>
              <w:autoSpaceDN w:val="0"/>
              <w:adjustRightInd w:val="0"/>
              <w:spacing w:after="0" w:line="240" w:lineRule="auto"/>
              <w:ind w:left="520" w:hanging="520"/>
              <w:rPr>
                <w:rFonts w:ascii="Arial" w:eastAsia="Times New Roman" w:hAnsi="Arial" w:cs="Arial"/>
                <w:sz w:val="16"/>
                <w:szCs w:val="16"/>
              </w:rPr>
            </w:pPr>
            <w:r w:rsidRPr="00EC4EC4">
              <w:rPr>
                <w:rFonts w:eastAsia="Times New Roman" w:cs="Arial"/>
                <w:sz w:val="16"/>
                <w:szCs w:val="16"/>
              </w:rPr>
              <w:t>34.</w:t>
            </w:r>
            <w:r w:rsidRPr="00EC4EC4">
              <w:rPr>
                <w:rFonts w:eastAsia="Times New Roman" w:cs="Arial"/>
                <w:sz w:val="16"/>
                <w:szCs w:val="16"/>
              </w:rPr>
              <w:tab/>
            </w:r>
            <w:r w:rsidRPr="00EC4EC4">
              <w:rPr>
                <w:rFonts w:eastAsia="Times New Roman" w:cs="Arial"/>
                <w:sz w:val="16"/>
                <w:szCs w:val="16"/>
                <w:vertAlign w:val="superscript"/>
              </w:rPr>
              <w:t>25</w:t>
            </w:r>
            <w:r w:rsidRPr="00EC4EC4">
              <w:rPr>
                <w:rFonts w:eastAsia="Times New Roman" w:cs="Arial"/>
                <w:sz w:val="16"/>
                <w:szCs w:val="16"/>
              </w:rPr>
              <w:t>/</w:t>
            </w:r>
            <w:r w:rsidRPr="00EC4EC4">
              <w:rPr>
                <w:rFonts w:eastAsia="Times New Roman" w:cs="Arial"/>
                <w:sz w:val="16"/>
                <w:szCs w:val="16"/>
                <w:vertAlign w:val="subscript"/>
              </w:rPr>
              <w:t>32</w:t>
            </w:r>
            <w:r w:rsidRPr="00EC4EC4">
              <w:rPr>
                <w:rFonts w:ascii="Symbol" w:eastAsia="Times New Roman" w:hAnsi="Symbol" w:cs="Symbol"/>
                <w:sz w:val="16"/>
                <w:szCs w:val="16"/>
              </w:rPr>
              <w:t></w:t>
            </w:r>
            <w:r w:rsidRPr="00EC4EC4">
              <w:rPr>
                <w:rFonts w:eastAsia="Times New Roman" w:cs="Arial"/>
                <w:sz w:val="16"/>
                <w:szCs w:val="16"/>
              </w:rPr>
              <w:t xml:space="preserve"> fiberboard sheathing</w:t>
            </w:r>
            <w:r w:rsidRPr="00EC4EC4">
              <w:rPr>
                <w:rFonts w:eastAsia="Times New Roman" w:cs="Arial"/>
                <w:sz w:val="16"/>
                <w:szCs w:val="16"/>
                <w:vertAlign w:val="superscript"/>
              </w:rPr>
              <w:t>b</w:t>
            </w:r>
          </w:p>
        </w:tc>
        <w:tc>
          <w:tcPr>
            <w:tcW w:w="1455" w:type="pct"/>
            <w:tcBorders>
              <w:top w:val="single" w:sz="4" w:space="0" w:color="000000"/>
              <w:left w:val="single" w:sz="4" w:space="0" w:color="000000"/>
              <w:bottom w:val="single" w:sz="4" w:space="0" w:color="000000"/>
              <w:right w:val="single" w:sz="4" w:space="0" w:color="000000"/>
            </w:tcBorders>
            <w:vAlign w:val="center"/>
          </w:tcPr>
          <w:p w14:paraId="28565E69"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w:t>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4</w:t>
            </w:r>
            <w:r w:rsidRPr="00EC4EC4">
              <w:rPr>
                <w:rFonts w:ascii="Symbol" w:eastAsia="Times New Roman" w:hAnsi="Symbol" w:cs="Symbol"/>
                <w:sz w:val="16"/>
                <w:szCs w:val="16"/>
              </w:rPr>
              <w:t></w:t>
            </w:r>
            <w:r w:rsidRPr="00EC4EC4">
              <w:rPr>
                <w:rFonts w:eastAsia="Times New Roman" w:cs="Arial"/>
                <w:sz w:val="16"/>
                <w:szCs w:val="16"/>
              </w:rPr>
              <w:t xml:space="preserve"> galvanized roofing nail</w:t>
            </w:r>
            <w:r w:rsidRPr="00EC4EC4">
              <w:rPr>
                <w:rFonts w:eastAsia="Times New Roman" w:cs="Arial"/>
                <w:sz w:val="16"/>
                <w:szCs w:val="16"/>
              </w:rPr>
              <w:br/>
              <w:t>(</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diameter head); or</w:t>
            </w:r>
            <w:r w:rsidRPr="00EC4EC4">
              <w:rPr>
                <w:rFonts w:eastAsia="Times New Roman" w:cs="Arial"/>
                <w:sz w:val="16"/>
                <w:szCs w:val="16"/>
              </w:rPr>
              <w:br/>
              <w:t>1</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16 gage staple with </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16</w:t>
            </w:r>
            <w:r w:rsidRPr="00EC4EC4">
              <w:rPr>
                <w:rFonts w:ascii="Symbol" w:eastAsia="Times New Roman" w:hAnsi="Symbol" w:cs="Symbol"/>
                <w:sz w:val="16"/>
                <w:szCs w:val="16"/>
              </w:rPr>
              <w:t></w:t>
            </w:r>
            <w:r w:rsidRPr="00EC4EC4">
              <w:rPr>
                <w:rFonts w:eastAsia="Times New Roman" w:cs="Arial"/>
                <w:sz w:val="16"/>
                <w:szCs w:val="16"/>
              </w:rPr>
              <w:t xml:space="preserve"> or 1</w:t>
            </w:r>
            <w:r w:rsidRPr="00EC4EC4">
              <w:rPr>
                <w:rFonts w:ascii="Symbol" w:eastAsia="Times New Roman" w:hAnsi="Symbol" w:cs="Symbol"/>
                <w:sz w:val="16"/>
                <w:szCs w:val="16"/>
              </w:rPr>
              <w:t></w:t>
            </w:r>
            <w:r w:rsidRPr="00EC4EC4">
              <w:rPr>
                <w:rFonts w:eastAsia="Times New Roman" w:cs="Arial"/>
                <w:sz w:val="16"/>
                <w:szCs w:val="16"/>
              </w:rPr>
              <w:t xml:space="preserve"> crown</w:t>
            </w:r>
          </w:p>
        </w:tc>
        <w:tc>
          <w:tcPr>
            <w:tcW w:w="455" w:type="pct"/>
            <w:tcBorders>
              <w:top w:val="single" w:sz="4" w:space="0" w:color="000000"/>
              <w:left w:val="single" w:sz="4" w:space="0" w:color="000000"/>
              <w:bottom w:val="single" w:sz="4" w:space="0" w:color="000000"/>
              <w:right w:val="single" w:sz="4" w:space="0" w:color="000000"/>
            </w:tcBorders>
            <w:vAlign w:val="center"/>
          </w:tcPr>
          <w:p w14:paraId="1470B8C4"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3</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436CE9C8"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6</w:t>
            </w:r>
          </w:p>
        </w:tc>
      </w:tr>
      <w:tr w:rsidR="00140B7C" w:rsidRPr="00EC4EC4" w14:paraId="2C7BFE91"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02204ECF"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b/>
                <w:bCs/>
                <w:sz w:val="16"/>
                <w:szCs w:val="16"/>
              </w:rPr>
              <w:t>Wood structural panels, combination subfloor underlayment to framing</w:t>
            </w:r>
          </w:p>
        </w:tc>
      </w:tr>
      <w:tr w:rsidR="00140B7C" w:rsidRPr="00EC4EC4" w14:paraId="34349488"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2BE1D054" w14:textId="77777777" w:rsidR="00140B7C" w:rsidRPr="00EC4EC4" w:rsidRDefault="00140B7C" w:rsidP="00BC1087">
            <w:pPr>
              <w:autoSpaceDE w:val="0"/>
              <w:autoSpaceDN w:val="0"/>
              <w:adjustRightInd w:val="0"/>
              <w:spacing w:after="0" w:line="240" w:lineRule="auto"/>
              <w:ind w:left="521" w:hanging="521"/>
              <w:rPr>
                <w:rFonts w:ascii="Arial" w:eastAsia="Times New Roman" w:hAnsi="Arial" w:cs="Arial"/>
                <w:sz w:val="16"/>
                <w:szCs w:val="16"/>
              </w:rPr>
            </w:pPr>
            <w:r w:rsidRPr="00EC4EC4">
              <w:rPr>
                <w:rFonts w:eastAsia="Times New Roman" w:cs="Arial"/>
                <w:sz w:val="16"/>
                <w:szCs w:val="16"/>
              </w:rPr>
              <w:t>35.</w:t>
            </w:r>
            <w:r w:rsidRPr="00EC4EC4">
              <w:rPr>
                <w:rFonts w:eastAsia="Times New Roman" w:cs="Arial"/>
                <w:sz w:val="16"/>
                <w:szCs w:val="16"/>
              </w:rPr>
              <w:tab/>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4</w:t>
            </w:r>
            <w:r w:rsidRPr="00EC4EC4">
              <w:rPr>
                <w:rFonts w:ascii="Symbol" w:eastAsia="Times New Roman" w:hAnsi="Symbol" w:cs="Symbol"/>
                <w:sz w:val="16"/>
                <w:szCs w:val="16"/>
              </w:rPr>
              <w:t></w:t>
            </w:r>
            <w:r w:rsidRPr="00EC4EC4">
              <w:rPr>
                <w:rFonts w:eastAsia="Times New Roman" w:cs="Arial"/>
                <w:sz w:val="16"/>
                <w:szCs w:val="16"/>
              </w:rPr>
              <w:t xml:space="preserve"> and less</w:t>
            </w:r>
          </w:p>
        </w:tc>
        <w:tc>
          <w:tcPr>
            <w:tcW w:w="1455" w:type="pct"/>
            <w:tcBorders>
              <w:top w:val="single" w:sz="4" w:space="0" w:color="000000"/>
              <w:left w:val="single" w:sz="4" w:space="0" w:color="000000"/>
              <w:bottom w:val="single" w:sz="4" w:space="0" w:color="000000"/>
              <w:right w:val="single" w:sz="4" w:space="0" w:color="000000"/>
            </w:tcBorders>
            <w:vAlign w:val="center"/>
          </w:tcPr>
          <w:p w14:paraId="1101F438"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6d deformed (2</w:t>
            </w:r>
            <w:r w:rsidRPr="00EC4EC4">
              <w:rPr>
                <w:rFonts w:ascii="Symbol" w:eastAsia="Times New Roman" w:hAnsi="Symbol" w:cs="Symbol"/>
                <w:sz w:val="16"/>
                <w:szCs w:val="16"/>
              </w:rPr>
              <w:t></w:t>
            </w:r>
            <w:r w:rsidRPr="00EC4EC4">
              <w:rPr>
                <w:rFonts w:eastAsia="Times New Roman" w:cs="Arial"/>
                <w:sz w:val="16"/>
                <w:szCs w:val="16"/>
              </w:rPr>
              <w:t xml:space="preserve"> × 0.113</w:t>
            </w:r>
            <w:r w:rsidRPr="00EC4EC4">
              <w:rPr>
                <w:rFonts w:ascii="Symbol" w:eastAsia="Times New Roman" w:hAnsi="Symbol" w:cs="Symbol"/>
                <w:sz w:val="16"/>
                <w:szCs w:val="16"/>
              </w:rPr>
              <w:t></w:t>
            </w:r>
            <w:r w:rsidRPr="00EC4EC4">
              <w:rPr>
                <w:rFonts w:eastAsia="Times New Roman" w:cs="Arial"/>
                <w:sz w:val="16"/>
                <w:szCs w:val="16"/>
              </w:rPr>
              <w:t>)</w:t>
            </w:r>
          </w:p>
        </w:tc>
        <w:tc>
          <w:tcPr>
            <w:tcW w:w="455" w:type="pct"/>
            <w:tcBorders>
              <w:top w:val="single" w:sz="4" w:space="0" w:color="000000"/>
              <w:left w:val="single" w:sz="4" w:space="0" w:color="000000"/>
              <w:bottom w:val="single" w:sz="4" w:space="0" w:color="000000"/>
              <w:right w:val="single" w:sz="4" w:space="0" w:color="000000"/>
            </w:tcBorders>
            <w:vAlign w:val="center"/>
          </w:tcPr>
          <w:p w14:paraId="1302C9AF"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6D000108"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17B50926"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6032EC5D" w14:textId="77777777" w:rsidR="00140B7C" w:rsidRPr="00EC4EC4" w:rsidRDefault="00140B7C" w:rsidP="00BC1087">
            <w:pPr>
              <w:autoSpaceDE w:val="0"/>
              <w:autoSpaceDN w:val="0"/>
              <w:adjustRightInd w:val="0"/>
              <w:spacing w:after="0" w:line="240" w:lineRule="auto"/>
              <w:ind w:left="521" w:hanging="521"/>
              <w:rPr>
                <w:rFonts w:ascii="Arial" w:eastAsia="Times New Roman" w:hAnsi="Arial" w:cs="Arial"/>
                <w:sz w:val="16"/>
                <w:szCs w:val="16"/>
              </w:rPr>
            </w:pPr>
            <w:r w:rsidRPr="00EC4EC4">
              <w:rPr>
                <w:rFonts w:eastAsia="Times New Roman" w:cs="Arial"/>
                <w:sz w:val="16"/>
                <w:szCs w:val="16"/>
              </w:rPr>
              <w:t>36.</w:t>
            </w:r>
            <w:r w:rsidRPr="00EC4EC4">
              <w:rPr>
                <w:rFonts w:eastAsia="Times New Roman" w:cs="Arial"/>
                <w:sz w:val="16"/>
                <w:szCs w:val="16"/>
              </w:rPr>
              <w:tab/>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r w:rsidRPr="00EC4EC4">
              <w:rPr>
                <w:rFonts w:eastAsia="Times New Roman" w:cs="Arial"/>
                <w:sz w:val="16"/>
                <w:szCs w:val="16"/>
              </w:rPr>
              <w:t xml:space="preserve"> – 1</w:t>
            </w:r>
            <w:r w:rsidRPr="00EC4EC4">
              <w:rPr>
                <w:rFonts w:ascii="Symbol" w:eastAsia="Times New Roman" w:hAnsi="Symbol" w:cs="Symbol"/>
                <w:sz w:val="16"/>
                <w:szCs w:val="16"/>
              </w:rPr>
              <w:t></w:t>
            </w:r>
          </w:p>
        </w:tc>
        <w:tc>
          <w:tcPr>
            <w:tcW w:w="1455" w:type="pct"/>
            <w:tcBorders>
              <w:top w:val="single" w:sz="4" w:space="0" w:color="000000"/>
              <w:left w:val="single" w:sz="4" w:space="0" w:color="000000"/>
              <w:bottom w:val="single" w:sz="4" w:space="0" w:color="000000"/>
              <w:right w:val="single" w:sz="4" w:space="0" w:color="000000"/>
            </w:tcBorders>
            <w:vAlign w:val="center"/>
          </w:tcPr>
          <w:p w14:paraId="1CA28627"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8d common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 xml:space="preserve">); or </w:t>
            </w:r>
            <w:r w:rsidRPr="00EC4EC4">
              <w:rPr>
                <w:rFonts w:eastAsia="Times New Roman" w:cs="Arial"/>
                <w:sz w:val="16"/>
                <w:szCs w:val="16"/>
              </w:rPr>
              <w:br/>
              <w:t>8d deformed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w:t>
            </w:r>
          </w:p>
        </w:tc>
        <w:tc>
          <w:tcPr>
            <w:tcW w:w="455" w:type="pct"/>
            <w:tcBorders>
              <w:top w:val="single" w:sz="4" w:space="0" w:color="000000"/>
              <w:left w:val="single" w:sz="4" w:space="0" w:color="000000"/>
              <w:bottom w:val="single" w:sz="4" w:space="0" w:color="000000"/>
              <w:right w:val="single" w:sz="4" w:space="0" w:color="000000"/>
            </w:tcBorders>
            <w:vAlign w:val="center"/>
          </w:tcPr>
          <w:p w14:paraId="22013BE5"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24637CBC"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102A16A3"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172CA9E9" w14:textId="77777777" w:rsidR="00140B7C" w:rsidRPr="00EC4EC4" w:rsidRDefault="00140B7C" w:rsidP="00BC1087">
            <w:pPr>
              <w:autoSpaceDE w:val="0"/>
              <w:autoSpaceDN w:val="0"/>
              <w:adjustRightInd w:val="0"/>
              <w:spacing w:after="0" w:line="240" w:lineRule="auto"/>
              <w:ind w:left="521" w:hanging="521"/>
              <w:rPr>
                <w:rFonts w:ascii="Arial" w:eastAsia="Times New Roman" w:hAnsi="Arial" w:cs="Arial"/>
                <w:sz w:val="16"/>
                <w:szCs w:val="16"/>
              </w:rPr>
            </w:pPr>
            <w:r w:rsidRPr="00EC4EC4">
              <w:rPr>
                <w:rFonts w:eastAsia="Times New Roman" w:cs="Arial"/>
                <w:sz w:val="16"/>
                <w:szCs w:val="16"/>
              </w:rPr>
              <w:t>37.</w:t>
            </w:r>
            <w:r w:rsidRPr="00EC4EC4">
              <w:rPr>
                <w:rFonts w:eastAsia="Times New Roman" w:cs="Arial"/>
                <w:sz w:val="16"/>
                <w:szCs w:val="16"/>
              </w:rPr>
              <w:tab/>
              <w:t>1</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r w:rsidRPr="00EC4EC4">
              <w:rPr>
                <w:rFonts w:eastAsia="Times New Roman" w:cs="Arial"/>
                <w:sz w:val="16"/>
                <w:szCs w:val="16"/>
              </w:rPr>
              <w:t xml:space="preserve"> – 1</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4</w:t>
            </w:r>
            <w:r w:rsidRPr="00EC4EC4">
              <w:rPr>
                <w:rFonts w:ascii="Symbol" w:eastAsia="Times New Roman" w:hAnsi="Symbol" w:cs="Symbol"/>
                <w:sz w:val="16"/>
                <w:szCs w:val="16"/>
              </w:rPr>
              <w:t></w:t>
            </w:r>
          </w:p>
        </w:tc>
        <w:tc>
          <w:tcPr>
            <w:tcW w:w="1455" w:type="pct"/>
            <w:tcBorders>
              <w:top w:val="single" w:sz="4" w:space="0" w:color="000000"/>
              <w:left w:val="single" w:sz="4" w:space="0" w:color="000000"/>
              <w:bottom w:val="single" w:sz="4" w:space="0" w:color="000000"/>
              <w:right w:val="single" w:sz="4" w:space="0" w:color="000000"/>
            </w:tcBorders>
            <w:vAlign w:val="center"/>
          </w:tcPr>
          <w:p w14:paraId="277EFE7A"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10d common (3</w:t>
            </w:r>
            <w:r w:rsidRPr="00EC4EC4">
              <w:rPr>
                <w:rFonts w:ascii="Symbol" w:eastAsia="Times New Roman" w:hAnsi="Symbol" w:cs="Symbol"/>
                <w:sz w:val="16"/>
                <w:szCs w:val="16"/>
              </w:rPr>
              <w:t></w:t>
            </w:r>
            <w:r w:rsidRPr="00EC4EC4">
              <w:rPr>
                <w:rFonts w:eastAsia="Times New Roman" w:cs="Arial"/>
                <w:sz w:val="16"/>
                <w:szCs w:val="16"/>
              </w:rPr>
              <w:t xml:space="preserve"> × 0.148</w:t>
            </w:r>
            <w:r w:rsidRPr="00EC4EC4">
              <w:rPr>
                <w:rFonts w:ascii="Symbol" w:eastAsia="Times New Roman" w:hAnsi="Symbol" w:cs="Symbol"/>
                <w:sz w:val="16"/>
                <w:szCs w:val="16"/>
              </w:rPr>
              <w:t></w:t>
            </w:r>
            <w:r w:rsidRPr="00EC4EC4">
              <w:rPr>
                <w:rFonts w:eastAsia="Times New Roman" w:cs="Arial"/>
                <w:sz w:val="16"/>
                <w:szCs w:val="16"/>
              </w:rPr>
              <w:t xml:space="preserve">); or </w:t>
            </w:r>
            <w:r w:rsidRPr="00EC4EC4">
              <w:rPr>
                <w:rFonts w:eastAsia="Times New Roman" w:cs="Arial"/>
                <w:sz w:val="16"/>
                <w:szCs w:val="16"/>
              </w:rPr>
              <w:br/>
              <w:t>8d deformed (2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0.131</w:t>
            </w:r>
            <w:r w:rsidRPr="00EC4EC4">
              <w:rPr>
                <w:rFonts w:ascii="Symbol" w:eastAsia="Times New Roman" w:hAnsi="Symbol" w:cs="Symbol"/>
                <w:sz w:val="16"/>
                <w:szCs w:val="16"/>
              </w:rPr>
              <w:t></w:t>
            </w:r>
            <w:r w:rsidRPr="00EC4EC4">
              <w:rPr>
                <w:rFonts w:eastAsia="Times New Roman" w:cs="Arial"/>
                <w:sz w:val="16"/>
                <w:szCs w:val="16"/>
              </w:rPr>
              <w:t>)</w:t>
            </w:r>
          </w:p>
        </w:tc>
        <w:tc>
          <w:tcPr>
            <w:tcW w:w="455" w:type="pct"/>
            <w:tcBorders>
              <w:top w:val="single" w:sz="4" w:space="0" w:color="000000"/>
              <w:left w:val="single" w:sz="4" w:space="0" w:color="000000"/>
              <w:bottom w:val="single" w:sz="4" w:space="0" w:color="000000"/>
              <w:right w:val="single" w:sz="4" w:space="0" w:color="000000"/>
            </w:tcBorders>
            <w:vAlign w:val="center"/>
          </w:tcPr>
          <w:p w14:paraId="4DF555F4"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57EF3DFE"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298A6882"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39B32B21"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b/>
                <w:bCs/>
                <w:sz w:val="16"/>
                <w:szCs w:val="16"/>
              </w:rPr>
              <w:t>Panel siding to framing</w:t>
            </w:r>
          </w:p>
        </w:tc>
      </w:tr>
      <w:tr w:rsidR="00140B7C" w:rsidRPr="00EC4EC4" w14:paraId="24AA712C"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3DD7FCB2" w14:textId="77777777" w:rsidR="00140B7C" w:rsidRPr="00EC4EC4" w:rsidRDefault="00140B7C" w:rsidP="00BC1087">
            <w:pPr>
              <w:tabs>
                <w:tab w:val="left" w:pos="-3529"/>
              </w:tabs>
              <w:autoSpaceDE w:val="0"/>
              <w:autoSpaceDN w:val="0"/>
              <w:adjustRightInd w:val="0"/>
              <w:spacing w:after="0" w:line="240" w:lineRule="auto"/>
              <w:ind w:left="521" w:hanging="521"/>
              <w:rPr>
                <w:rFonts w:ascii="Arial" w:eastAsia="Times New Roman" w:hAnsi="Arial" w:cs="Arial"/>
                <w:sz w:val="16"/>
                <w:szCs w:val="16"/>
              </w:rPr>
            </w:pPr>
            <w:r w:rsidRPr="00EC4EC4">
              <w:rPr>
                <w:rFonts w:eastAsia="Times New Roman" w:cs="Arial"/>
                <w:sz w:val="16"/>
                <w:szCs w:val="16"/>
              </w:rPr>
              <w:t>38.</w:t>
            </w:r>
            <w:r w:rsidRPr="00EC4EC4">
              <w:rPr>
                <w:rFonts w:eastAsia="Times New Roman" w:cs="Arial"/>
                <w:sz w:val="16"/>
                <w:szCs w:val="16"/>
              </w:rPr>
              <w:tab/>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or less</w:t>
            </w:r>
          </w:p>
        </w:tc>
        <w:tc>
          <w:tcPr>
            <w:tcW w:w="1455" w:type="pct"/>
            <w:tcBorders>
              <w:top w:val="single" w:sz="4" w:space="0" w:color="000000"/>
              <w:left w:val="single" w:sz="4" w:space="0" w:color="000000"/>
              <w:bottom w:val="single" w:sz="4" w:space="0" w:color="000000"/>
              <w:right w:val="single" w:sz="4" w:space="0" w:color="000000"/>
            </w:tcBorders>
            <w:vAlign w:val="center"/>
          </w:tcPr>
          <w:p w14:paraId="22061EB8"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 xml:space="preserve">6d corrosion-resistant siding </w:t>
            </w:r>
            <w:r w:rsidRPr="00EC4EC4">
              <w:rPr>
                <w:rFonts w:eastAsia="Times New Roman" w:cs="Arial"/>
                <w:sz w:val="16"/>
                <w:szCs w:val="16"/>
              </w:rPr>
              <w:br/>
              <w:t>(1</w:t>
            </w:r>
            <w:r w:rsidRPr="00EC4EC4">
              <w:rPr>
                <w:rFonts w:eastAsia="Times New Roman" w:cs="Arial"/>
                <w:sz w:val="16"/>
                <w:szCs w:val="16"/>
                <w:vertAlign w:val="superscript"/>
              </w:rPr>
              <w:t>7</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r w:rsidRPr="00EC4EC4">
              <w:rPr>
                <w:rFonts w:eastAsia="Times New Roman" w:cs="Arial"/>
                <w:sz w:val="16"/>
                <w:szCs w:val="16"/>
              </w:rPr>
              <w:t xml:space="preserve"> × 0.106</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6d corrosion-resistant casing (2</w:t>
            </w:r>
            <w:r w:rsidRPr="00EC4EC4">
              <w:rPr>
                <w:rFonts w:ascii="Symbol" w:eastAsia="Times New Roman" w:hAnsi="Symbol" w:cs="Symbol"/>
                <w:sz w:val="16"/>
                <w:szCs w:val="16"/>
              </w:rPr>
              <w:t></w:t>
            </w:r>
            <w:r w:rsidRPr="00EC4EC4">
              <w:rPr>
                <w:rFonts w:eastAsia="Times New Roman" w:cs="Arial"/>
                <w:sz w:val="16"/>
                <w:szCs w:val="16"/>
              </w:rPr>
              <w:t xml:space="preserve"> × 0.099</w:t>
            </w:r>
            <w:r w:rsidRPr="00EC4EC4">
              <w:rPr>
                <w:rFonts w:ascii="Symbol" w:eastAsia="Times New Roman" w:hAnsi="Symbol" w:cs="Symbol"/>
                <w:sz w:val="16"/>
                <w:szCs w:val="16"/>
              </w:rPr>
              <w:t></w:t>
            </w:r>
            <w:r w:rsidRPr="00EC4EC4">
              <w:rPr>
                <w:rFonts w:eastAsia="Times New Roman" w:cs="Arial"/>
                <w:sz w:val="16"/>
                <w:szCs w:val="16"/>
              </w:rPr>
              <w:t>)</w:t>
            </w:r>
          </w:p>
        </w:tc>
        <w:tc>
          <w:tcPr>
            <w:tcW w:w="455" w:type="pct"/>
            <w:tcBorders>
              <w:top w:val="single" w:sz="4" w:space="0" w:color="000000"/>
              <w:left w:val="single" w:sz="4" w:space="0" w:color="000000"/>
              <w:bottom w:val="single" w:sz="4" w:space="0" w:color="000000"/>
              <w:right w:val="single" w:sz="4" w:space="0" w:color="000000"/>
            </w:tcBorders>
            <w:vAlign w:val="center"/>
          </w:tcPr>
          <w:p w14:paraId="5FD53B74"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1256BD57"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0478909A"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39C47229" w14:textId="77777777" w:rsidR="00140B7C" w:rsidRPr="00EC4EC4" w:rsidRDefault="00140B7C" w:rsidP="00BC1087">
            <w:pPr>
              <w:tabs>
                <w:tab w:val="left" w:pos="-3529"/>
              </w:tabs>
              <w:autoSpaceDE w:val="0"/>
              <w:autoSpaceDN w:val="0"/>
              <w:adjustRightInd w:val="0"/>
              <w:spacing w:after="0" w:line="240" w:lineRule="auto"/>
              <w:ind w:left="521" w:hanging="521"/>
              <w:rPr>
                <w:rFonts w:ascii="Arial" w:eastAsia="Times New Roman" w:hAnsi="Arial" w:cs="Arial"/>
                <w:sz w:val="16"/>
                <w:szCs w:val="16"/>
              </w:rPr>
            </w:pPr>
            <w:r w:rsidRPr="00EC4EC4">
              <w:rPr>
                <w:rFonts w:eastAsia="Times New Roman" w:cs="Arial"/>
                <w:sz w:val="16"/>
                <w:szCs w:val="16"/>
              </w:rPr>
              <w:t>39.</w:t>
            </w:r>
            <w:r w:rsidRPr="00EC4EC4">
              <w:rPr>
                <w:rFonts w:eastAsia="Times New Roman" w:cs="Arial"/>
                <w:sz w:val="16"/>
                <w:szCs w:val="16"/>
              </w:rPr>
              <w:tab/>
            </w:r>
            <w:r w:rsidRPr="00EC4EC4">
              <w:rPr>
                <w:rFonts w:eastAsia="Times New Roman" w:cs="Arial"/>
                <w:sz w:val="16"/>
                <w:szCs w:val="16"/>
                <w:vertAlign w:val="superscript"/>
              </w:rPr>
              <w:t>5</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p>
        </w:tc>
        <w:tc>
          <w:tcPr>
            <w:tcW w:w="1455" w:type="pct"/>
            <w:tcBorders>
              <w:top w:val="single" w:sz="4" w:space="0" w:color="000000"/>
              <w:left w:val="single" w:sz="4" w:space="0" w:color="000000"/>
              <w:bottom w:val="single" w:sz="4" w:space="0" w:color="000000"/>
              <w:right w:val="single" w:sz="4" w:space="0" w:color="000000"/>
            </w:tcBorders>
            <w:vAlign w:val="center"/>
          </w:tcPr>
          <w:p w14:paraId="405C6C2E"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 xml:space="preserve">8d corrosion-resistant siding </w:t>
            </w:r>
            <w:r w:rsidRPr="00EC4EC4">
              <w:rPr>
                <w:rFonts w:eastAsia="Times New Roman" w:cs="Arial"/>
                <w:sz w:val="16"/>
                <w:szCs w:val="16"/>
              </w:rPr>
              <w:br/>
              <w:t>(2</w:t>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r w:rsidRPr="00EC4EC4">
              <w:rPr>
                <w:rFonts w:eastAsia="Times New Roman" w:cs="Arial"/>
                <w:sz w:val="16"/>
                <w:szCs w:val="16"/>
              </w:rPr>
              <w:t xml:space="preserve"> × 0.128</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 xml:space="preserve">8d corrosion-resistant casing </w:t>
            </w:r>
            <w:r w:rsidRPr="00EC4EC4">
              <w:rPr>
                <w:rFonts w:eastAsia="Times New Roman" w:cs="Arial"/>
                <w:sz w:val="16"/>
                <w:szCs w:val="16"/>
              </w:rPr>
              <w:br/>
              <w:t>(2</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0.113</w:t>
            </w:r>
            <w:r w:rsidRPr="00EC4EC4">
              <w:rPr>
                <w:rFonts w:ascii="Symbol" w:eastAsia="Times New Roman" w:hAnsi="Symbol" w:cs="Symbol"/>
                <w:sz w:val="16"/>
                <w:szCs w:val="16"/>
              </w:rPr>
              <w:t></w:t>
            </w:r>
            <w:r w:rsidRPr="00EC4EC4">
              <w:rPr>
                <w:rFonts w:eastAsia="Times New Roman" w:cs="Arial"/>
                <w:sz w:val="16"/>
                <w:szCs w:val="16"/>
              </w:rPr>
              <w:t>)</w:t>
            </w:r>
          </w:p>
        </w:tc>
        <w:tc>
          <w:tcPr>
            <w:tcW w:w="455" w:type="pct"/>
            <w:tcBorders>
              <w:top w:val="single" w:sz="4" w:space="0" w:color="000000"/>
              <w:left w:val="single" w:sz="4" w:space="0" w:color="000000"/>
              <w:bottom w:val="single" w:sz="4" w:space="0" w:color="000000"/>
              <w:right w:val="single" w:sz="4" w:space="0" w:color="000000"/>
            </w:tcBorders>
            <w:vAlign w:val="center"/>
          </w:tcPr>
          <w:p w14:paraId="34AF0005"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6" w:type="pct"/>
            <w:gridSpan w:val="2"/>
            <w:tcBorders>
              <w:top w:val="single" w:sz="4" w:space="0" w:color="000000"/>
              <w:left w:val="single" w:sz="4" w:space="0" w:color="000000"/>
              <w:bottom w:val="single" w:sz="4" w:space="0" w:color="000000"/>
              <w:right w:val="single" w:sz="4" w:space="0" w:color="000000"/>
            </w:tcBorders>
            <w:vAlign w:val="center"/>
          </w:tcPr>
          <w:p w14:paraId="38A09B74"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3DFB00C0"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20502729"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b/>
                <w:bCs/>
                <w:sz w:val="16"/>
                <w:szCs w:val="16"/>
              </w:rPr>
              <w:t>Interior paneling</w:t>
            </w:r>
          </w:p>
        </w:tc>
      </w:tr>
      <w:tr w:rsidR="00140B7C" w:rsidRPr="00EC4EC4" w14:paraId="18CEB23B"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615889B5" w14:textId="77777777" w:rsidR="00140B7C" w:rsidRPr="00EC4EC4" w:rsidRDefault="00140B7C" w:rsidP="00BC1087">
            <w:pPr>
              <w:tabs>
                <w:tab w:val="left" w:pos="-3690"/>
              </w:tabs>
              <w:autoSpaceDE w:val="0"/>
              <w:autoSpaceDN w:val="0"/>
              <w:adjustRightInd w:val="0"/>
              <w:spacing w:after="0" w:line="240" w:lineRule="auto"/>
              <w:ind w:left="521" w:hanging="521"/>
              <w:rPr>
                <w:rFonts w:ascii="Arial" w:eastAsia="Times New Roman" w:hAnsi="Arial" w:cs="Arial"/>
                <w:sz w:val="16"/>
                <w:szCs w:val="16"/>
              </w:rPr>
            </w:pPr>
            <w:r w:rsidRPr="00EC4EC4">
              <w:rPr>
                <w:rFonts w:eastAsia="Times New Roman" w:cs="Arial"/>
                <w:sz w:val="16"/>
                <w:szCs w:val="16"/>
              </w:rPr>
              <w:lastRenderedPageBreak/>
              <w:t>40.</w:t>
            </w:r>
            <w:r w:rsidRPr="00EC4EC4">
              <w:rPr>
                <w:rFonts w:eastAsia="Times New Roman" w:cs="Arial"/>
                <w:sz w:val="16"/>
                <w:szCs w:val="16"/>
              </w:rPr>
              <w:tab/>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4</w:t>
            </w:r>
            <w:r w:rsidRPr="00EC4EC4">
              <w:rPr>
                <w:rFonts w:ascii="Symbol" w:eastAsia="Times New Roman" w:hAnsi="Symbol" w:cs="Symbol"/>
                <w:sz w:val="16"/>
                <w:szCs w:val="16"/>
              </w:rPr>
              <w:t></w:t>
            </w:r>
          </w:p>
        </w:tc>
        <w:tc>
          <w:tcPr>
            <w:tcW w:w="1455" w:type="pct"/>
            <w:tcBorders>
              <w:top w:val="single" w:sz="4" w:space="0" w:color="000000"/>
              <w:left w:val="single" w:sz="4" w:space="0" w:color="000000"/>
              <w:bottom w:val="single" w:sz="4" w:space="0" w:color="000000"/>
              <w:right w:val="single" w:sz="4" w:space="0" w:color="000000"/>
            </w:tcBorders>
            <w:vAlign w:val="center"/>
          </w:tcPr>
          <w:p w14:paraId="1CA7DB4B"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4d casing (1</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0.080</w:t>
            </w:r>
            <w:r w:rsidRPr="00EC4EC4">
              <w:rPr>
                <w:rFonts w:ascii="Symbol" w:eastAsia="Times New Roman" w:hAnsi="Symbol" w:cs="Symbol"/>
                <w:sz w:val="16"/>
                <w:szCs w:val="16"/>
              </w:rPr>
              <w:t></w:t>
            </w:r>
            <w:r w:rsidRPr="00EC4EC4">
              <w:rPr>
                <w:rFonts w:eastAsia="Times New Roman" w:cs="Arial"/>
                <w:sz w:val="16"/>
                <w:szCs w:val="16"/>
              </w:rPr>
              <w:t>); or</w:t>
            </w:r>
            <w:r w:rsidRPr="00EC4EC4">
              <w:rPr>
                <w:rFonts w:eastAsia="Times New Roman" w:cs="Arial"/>
                <w:sz w:val="16"/>
                <w:szCs w:val="16"/>
              </w:rPr>
              <w:br/>
              <w:t>4d finish (1</w:t>
            </w:r>
            <w:r w:rsidRPr="00EC4EC4">
              <w:rPr>
                <w:rFonts w:eastAsia="Times New Roman" w:cs="Arial"/>
                <w:sz w:val="16"/>
                <w:szCs w:val="16"/>
                <w:vertAlign w:val="superscript"/>
              </w:rPr>
              <w:t>1</w:t>
            </w:r>
            <w:r w:rsidRPr="00EC4EC4">
              <w:rPr>
                <w:rFonts w:eastAsia="Times New Roman" w:cs="Arial"/>
                <w:sz w:val="16"/>
                <w:szCs w:val="16"/>
              </w:rPr>
              <w:t>/</w:t>
            </w:r>
            <w:r w:rsidRPr="00EC4EC4">
              <w:rPr>
                <w:rFonts w:eastAsia="Times New Roman" w:cs="Arial"/>
                <w:sz w:val="16"/>
                <w:szCs w:val="16"/>
                <w:vertAlign w:val="subscript"/>
              </w:rPr>
              <w:t>2</w:t>
            </w:r>
            <w:r w:rsidRPr="00EC4EC4">
              <w:rPr>
                <w:rFonts w:ascii="Symbol" w:eastAsia="Times New Roman" w:hAnsi="Symbol" w:cs="Symbol"/>
                <w:sz w:val="16"/>
                <w:szCs w:val="16"/>
              </w:rPr>
              <w:t></w:t>
            </w:r>
            <w:r w:rsidRPr="00EC4EC4">
              <w:rPr>
                <w:rFonts w:eastAsia="Times New Roman" w:cs="Arial"/>
                <w:sz w:val="16"/>
                <w:szCs w:val="16"/>
              </w:rPr>
              <w:t xml:space="preserve"> × 0.072</w:t>
            </w:r>
            <w:r w:rsidRPr="00EC4EC4">
              <w:rPr>
                <w:rFonts w:ascii="Symbol" w:eastAsia="Times New Roman" w:hAnsi="Symbol" w:cs="Symbol"/>
                <w:sz w:val="16"/>
                <w:szCs w:val="16"/>
              </w:rPr>
              <w:t></w:t>
            </w:r>
            <w:r w:rsidRPr="00EC4EC4">
              <w:rPr>
                <w:rFonts w:eastAsia="Times New Roman" w:cs="Arial"/>
                <w:sz w:val="16"/>
                <w:szCs w:val="16"/>
              </w:rPr>
              <w:t>)</w:t>
            </w:r>
          </w:p>
        </w:tc>
        <w:tc>
          <w:tcPr>
            <w:tcW w:w="459" w:type="pct"/>
            <w:gridSpan w:val="2"/>
            <w:tcBorders>
              <w:top w:val="single" w:sz="4" w:space="0" w:color="000000"/>
              <w:left w:val="single" w:sz="4" w:space="0" w:color="000000"/>
              <w:bottom w:val="single" w:sz="4" w:space="0" w:color="000000"/>
              <w:right w:val="single" w:sz="4" w:space="0" w:color="000000"/>
            </w:tcBorders>
            <w:vAlign w:val="center"/>
          </w:tcPr>
          <w:p w14:paraId="6E948D5B"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2" w:type="pct"/>
            <w:tcBorders>
              <w:top w:val="single" w:sz="4" w:space="0" w:color="000000"/>
              <w:left w:val="single" w:sz="4" w:space="0" w:color="000000"/>
              <w:bottom w:val="single" w:sz="4" w:space="0" w:color="000000"/>
              <w:right w:val="single" w:sz="4" w:space="0" w:color="000000"/>
            </w:tcBorders>
            <w:vAlign w:val="center"/>
          </w:tcPr>
          <w:p w14:paraId="53FFD657"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r w:rsidR="00140B7C" w:rsidRPr="00EC4EC4" w14:paraId="1A2DAE97"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954" w:type="pct"/>
            <w:tcBorders>
              <w:top w:val="single" w:sz="4" w:space="0" w:color="000000"/>
              <w:left w:val="single" w:sz="4" w:space="0" w:color="000000"/>
              <w:bottom w:val="single" w:sz="4" w:space="0" w:color="000000"/>
              <w:right w:val="single" w:sz="4" w:space="0" w:color="000000"/>
            </w:tcBorders>
            <w:vAlign w:val="center"/>
          </w:tcPr>
          <w:p w14:paraId="4C98471E" w14:textId="77777777" w:rsidR="00140B7C" w:rsidRPr="00EC4EC4" w:rsidRDefault="00140B7C" w:rsidP="00BC1087">
            <w:pPr>
              <w:tabs>
                <w:tab w:val="left" w:pos="-3690"/>
              </w:tabs>
              <w:autoSpaceDE w:val="0"/>
              <w:autoSpaceDN w:val="0"/>
              <w:adjustRightInd w:val="0"/>
              <w:spacing w:after="0" w:line="240" w:lineRule="auto"/>
              <w:ind w:left="521" w:hanging="521"/>
              <w:rPr>
                <w:rFonts w:ascii="Arial" w:eastAsia="Times New Roman" w:hAnsi="Arial" w:cs="Arial"/>
                <w:sz w:val="16"/>
                <w:szCs w:val="16"/>
              </w:rPr>
            </w:pPr>
            <w:r w:rsidRPr="00EC4EC4">
              <w:rPr>
                <w:rFonts w:eastAsia="Times New Roman" w:cs="Arial"/>
                <w:sz w:val="16"/>
                <w:szCs w:val="16"/>
              </w:rPr>
              <w:t>41.</w:t>
            </w:r>
            <w:r w:rsidRPr="00EC4EC4">
              <w:rPr>
                <w:rFonts w:eastAsia="Times New Roman" w:cs="Arial"/>
                <w:sz w:val="16"/>
                <w:szCs w:val="16"/>
              </w:rPr>
              <w:tab/>
            </w:r>
            <w:r w:rsidRPr="00EC4EC4">
              <w:rPr>
                <w:rFonts w:eastAsia="Times New Roman" w:cs="Arial"/>
                <w:sz w:val="16"/>
                <w:szCs w:val="16"/>
                <w:vertAlign w:val="superscript"/>
              </w:rPr>
              <w:t>3</w:t>
            </w:r>
            <w:r w:rsidRPr="00EC4EC4">
              <w:rPr>
                <w:rFonts w:eastAsia="Times New Roman" w:cs="Arial"/>
                <w:sz w:val="16"/>
                <w:szCs w:val="16"/>
              </w:rPr>
              <w:t>/</w:t>
            </w:r>
            <w:r w:rsidRPr="00EC4EC4">
              <w:rPr>
                <w:rFonts w:eastAsia="Times New Roman" w:cs="Arial"/>
                <w:sz w:val="16"/>
                <w:szCs w:val="16"/>
                <w:vertAlign w:val="subscript"/>
              </w:rPr>
              <w:t>8</w:t>
            </w:r>
            <w:r w:rsidRPr="00EC4EC4">
              <w:rPr>
                <w:rFonts w:ascii="Symbol" w:eastAsia="Times New Roman" w:hAnsi="Symbol" w:cs="Symbol"/>
                <w:sz w:val="16"/>
                <w:szCs w:val="16"/>
              </w:rPr>
              <w:t></w:t>
            </w:r>
          </w:p>
        </w:tc>
        <w:tc>
          <w:tcPr>
            <w:tcW w:w="1455" w:type="pct"/>
            <w:tcBorders>
              <w:top w:val="single" w:sz="4" w:space="0" w:color="000000"/>
              <w:left w:val="single" w:sz="4" w:space="0" w:color="000000"/>
              <w:bottom w:val="single" w:sz="4" w:space="0" w:color="000000"/>
              <w:right w:val="single" w:sz="4" w:space="0" w:color="000000"/>
            </w:tcBorders>
            <w:vAlign w:val="center"/>
          </w:tcPr>
          <w:p w14:paraId="08ED20E5" w14:textId="77777777" w:rsidR="00140B7C" w:rsidRPr="00EC4EC4" w:rsidRDefault="00140B7C" w:rsidP="00BC1087">
            <w:pPr>
              <w:autoSpaceDE w:val="0"/>
              <w:autoSpaceDN w:val="0"/>
              <w:adjustRightInd w:val="0"/>
              <w:spacing w:after="0" w:line="240" w:lineRule="auto"/>
              <w:rPr>
                <w:rFonts w:ascii="Arial" w:eastAsia="Times New Roman" w:hAnsi="Arial" w:cs="Arial"/>
                <w:sz w:val="16"/>
                <w:szCs w:val="16"/>
              </w:rPr>
            </w:pPr>
            <w:r w:rsidRPr="00EC4EC4">
              <w:rPr>
                <w:rFonts w:eastAsia="Times New Roman" w:cs="Arial"/>
                <w:sz w:val="16"/>
                <w:szCs w:val="16"/>
              </w:rPr>
              <w:t>6d casing (2</w:t>
            </w:r>
            <w:r w:rsidRPr="00EC4EC4">
              <w:rPr>
                <w:rFonts w:ascii="Symbol" w:eastAsia="Times New Roman" w:hAnsi="Symbol" w:cs="Symbol"/>
                <w:sz w:val="16"/>
                <w:szCs w:val="16"/>
              </w:rPr>
              <w:t></w:t>
            </w:r>
            <w:r w:rsidRPr="00EC4EC4">
              <w:rPr>
                <w:rFonts w:eastAsia="Times New Roman" w:cs="Arial"/>
                <w:sz w:val="16"/>
                <w:szCs w:val="16"/>
              </w:rPr>
              <w:t xml:space="preserve"> × 0.099</w:t>
            </w:r>
            <w:r w:rsidRPr="00EC4EC4">
              <w:rPr>
                <w:rFonts w:ascii="Symbol" w:eastAsia="Times New Roman" w:hAnsi="Symbol" w:cs="Symbol"/>
                <w:sz w:val="16"/>
                <w:szCs w:val="16"/>
              </w:rPr>
              <w:t></w:t>
            </w:r>
            <w:r w:rsidRPr="00EC4EC4">
              <w:rPr>
                <w:rFonts w:eastAsia="Times New Roman" w:cs="Arial"/>
                <w:sz w:val="16"/>
                <w:szCs w:val="16"/>
              </w:rPr>
              <w:t xml:space="preserve">); or </w:t>
            </w:r>
            <w:r w:rsidRPr="00EC4EC4">
              <w:rPr>
                <w:rFonts w:eastAsia="Times New Roman" w:cs="Arial"/>
                <w:sz w:val="16"/>
                <w:szCs w:val="16"/>
              </w:rPr>
              <w:br/>
              <w:t>6d finish (Panel supports at 24 inches)</w:t>
            </w:r>
          </w:p>
        </w:tc>
        <w:tc>
          <w:tcPr>
            <w:tcW w:w="459" w:type="pct"/>
            <w:gridSpan w:val="2"/>
            <w:tcBorders>
              <w:top w:val="single" w:sz="4" w:space="0" w:color="000000"/>
              <w:left w:val="single" w:sz="4" w:space="0" w:color="000000"/>
              <w:bottom w:val="single" w:sz="4" w:space="0" w:color="000000"/>
              <w:right w:val="single" w:sz="4" w:space="0" w:color="000000"/>
            </w:tcBorders>
            <w:vAlign w:val="center"/>
          </w:tcPr>
          <w:p w14:paraId="0C13A040" w14:textId="77777777" w:rsidR="00140B7C" w:rsidRPr="00EC4EC4" w:rsidRDefault="00140B7C" w:rsidP="00BC1087">
            <w:pPr>
              <w:autoSpaceDE w:val="0"/>
              <w:autoSpaceDN w:val="0"/>
              <w:adjustRightInd w:val="0"/>
              <w:spacing w:after="0" w:line="240" w:lineRule="auto"/>
              <w:jc w:val="center"/>
              <w:rPr>
                <w:rFonts w:ascii="Arial" w:eastAsia="Times New Roman" w:hAnsi="Arial" w:cs="Arial"/>
                <w:sz w:val="16"/>
                <w:szCs w:val="16"/>
              </w:rPr>
            </w:pPr>
            <w:r w:rsidRPr="00EC4EC4">
              <w:rPr>
                <w:rFonts w:eastAsia="Times New Roman" w:cs="Arial"/>
                <w:sz w:val="16"/>
                <w:szCs w:val="16"/>
              </w:rPr>
              <w:t>6</w:t>
            </w:r>
          </w:p>
        </w:tc>
        <w:tc>
          <w:tcPr>
            <w:tcW w:w="1132" w:type="pct"/>
            <w:tcBorders>
              <w:top w:val="single" w:sz="4" w:space="0" w:color="000000"/>
              <w:left w:val="single" w:sz="4" w:space="0" w:color="000000"/>
              <w:bottom w:val="single" w:sz="4" w:space="0" w:color="000000"/>
              <w:right w:val="single" w:sz="4" w:space="0" w:color="000000"/>
            </w:tcBorders>
            <w:vAlign w:val="center"/>
          </w:tcPr>
          <w:p w14:paraId="67F76D6C" w14:textId="77777777" w:rsidR="00140B7C" w:rsidRPr="00EC4EC4" w:rsidRDefault="00140B7C" w:rsidP="00BC1087">
            <w:pPr>
              <w:autoSpaceDE w:val="0"/>
              <w:autoSpaceDN w:val="0"/>
              <w:adjustRightInd w:val="0"/>
              <w:spacing w:after="0" w:line="240" w:lineRule="auto"/>
              <w:jc w:val="center"/>
              <w:rPr>
                <w:rFonts w:eastAsia="Times New Roman" w:cs="Arial"/>
                <w:sz w:val="16"/>
                <w:szCs w:val="16"/>
              </w:rPr>
            </w:pPr>
            <w:r w:rsidRPr="00EC4EC4">
              <w:rPr>
                <w:rFonts w:eastAsia="Times New Roman" w:cs="Arial"/>
                <w:sz w:val="16"/>
                <w:szCs w:val="16"/>
              </w:rPr>
              <w:t>12</w:t>
            </w:r>
          </w:p>
        </w:tc>
      </w:tr>
    </w:tbl>
    <w:p w14:paraId="658F8EFA"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Arial"/>
          <w:sz w:val="14"/>
          <w:szCs w:val="14"/>
        </w:rPr>
      </w:pPr>
      <w:r w:rsidRPr="00EC4EC4">
        <w:rPr>
          <w:rFonts w:eastAsia="Times New Roman" w:cs="Arial"/>
          <w:sz w:val="14"/>
          <w:szCs w:val="14"/>
        </w:rPr>
        <w:t>For SI:</w:t>
      </w:r>
      <w:r w:rsidRPr="00EC4EC4">
        <w:rPr>
          <w:rFonts w:eastAsia="Times New Roman" w:cs="Arial"/>
          <w:sz w:val="14"/>
          <w:szCs w:val="14"/>
        </w:rPr>
        <w:tab/>
        <w:t>1 inch = 25.4 mm.</w:t>
      </w:r>
    </w:p>
    <w:p w14:paraId="4F6CE888"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Arial"/>
          <w:sz w:val="14"/>
          <w:szCs w:val="14"/>
        </w:rPr>
      </w:pPr>
      <w:r w:rsidRPr="00EC4EC4">
        <w:rPr>
          <w:rFonts w:eastAsia="Times New Roman" w:cs="Arial"/>
          <w:sz w:val="14"/>
          <w:szCs w:val="14"/>
        </w:rPr>
        <w:t xml:space="preserve">a. </w:t>
      </w:r>
      <w:r w:rsidRPr="00EC4EC4">
        <w:rPr>
          <w:rFonts w:eastAsia="Times New Roman" w:cs="Arial"/>
          <w:sz w:val="14"/>
          <w:szCs w:val="14"/>
        </w:rPr>
        <w:tab/>
        <w:t>Nails spaced at 6 inches at intermediate supports where spans are 48 inches or more. For nailing of wood structural panel and particleboard diaphragms and shear walls, refer to Section 2305. Nails for wall sheathing are permitted to be common, box or casing.</w:t>
      </w:r>
    </w:p>
    <w:p w14:paraId="20218FD6"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Arial"/>
          <w:sz w:val="14"/>
          <w:szCs w:val="14"/>
        </w:rPr>
      </w:pPr>
      <w:r w:rsidRPr="00EC4EC4">
        <w:rPr>
          <w:rFonts w:eastAsia="Times New Roman" w:cs="Arial"/>
          <w:sz w:val="14"/>
          <w:szCs w:val="14"/>
        </w:rPr>
        <w:t xml:space="preserve">b. </w:t>
      </w:r>
      <w:r w:rsidRPr="00EC4EC4">
        <w:rPr>
          <w:rFonts w:eastAsia="Times New Roman" w:cs="Arial"/>
          <w:sz w:val="14"/>
          <w:szCs w:val="14"/>
        </w:rPr>
        <w:tab/>
        <w:t>Spacing shall be 6 inches on center on the edges and 12 inches on center at intermediate supports for nonstructural applications. Panel supports at 16 inches (20 inches if strength axis in the long direction of the panel, unless otherwise marked).</w:t>
      </w:r>
    </w:p>
    <w:p w14:paraId="4297C3D5"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Arial"/>
          <w:sz w:val="14"/>
          <w:szCs w:val="14"/>
        </w:rPr>
      </w:pPr>
      <w:r w:rsidRPr="00EC4EC4">
        <w:rPr>
          <w:rFonts w:eastAsia="Times New Roman" w:cs="Arial"/>
          <w:sz w:val="14"/>
          <w:szCs w:val="14"/>
        </w:rPr>
        <w:t xml:space="preserve">c. </w:t>
      </w:r>
      <w:r w:rsidRPr="00EC4EC4">
        <w:rPr>
          <w:rFonts w:eastAsia="Times New Roman" w:cs="Arial"/>
          <w:sz w:val="14"/>
          <w:szCs w:val="14"/>
        </w:rPr>
        <w:tab/>
        <w:t>Where a rafter is fastened to an adjacent parallel ceiling joist in accordance with this schedule and the ceiling joist is fastened to the top plate in accordance with this schedule, the number of toenails in the rafter shall be permitted to be reduced by one nail.</w:t>
      </w:r>
    </w:p>
    <w:p w14:paraId="534099F8"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Arial"/>
          <w:sz w:val="14"/>
          <w:szCs w:val="14"/>
        </w:rPr>
      </w:pPr>
      <w:r w:rsidRPr="00EC4EC4">
        <w:rPr>
          <w:rFonts w:eastAsia="Times New Roman" w:cs="Arial"/>
          <w:sz w:val="14"/>
          <w:szCs w:val="14"/>
        </w:rPr>
        <w:t>d.</w:t>
      </w:r>
      <w:r w:rsidRPr="00EC4EC4">
        <w:rPr>
          <w:rFonts w:eastAsia="Times New Roman" w:cs="Arial"/>
          <w:sz w:val="14"/>
          <w:szCs w:val="14"/>
        </w:rPr>
        <w:tab/>
        <w:t>RSRS-01 is a Roof Sheathing Ring Shank nail meeting the specifications of ATSM F1667.</w:t>
      </w:r>
    </w:p>
    <w:p w14:paraId="705FA5E5" w14:textId="77777777" w:rsidR="00140B7C" w:rsidRPr="00EC4EC4" w:rsidRDefault="00140B7C" w:rsidP="00140B7C">
      <w:pPr>
        <w:tabs>
          <w:tab w:val="left" w:pos="360"/>
        </w:tabs>
        <w:autoSpaceDE w:val="0"/>
        <w:autoSpaceDN w:val="0"/>
        <w:adjustRightInd w:val="0"/>
        <w:spacing w:after="0" w:line="240" w:lineRule="auto"/>
        <w:ind w:left="360" w:hanging="360"/>
        <w:jc w:val="both"/>
        <w:rPr>
          <w:rFonts w:eastAsia="Times New Roman" w:cs="Arial"/>
          <w:sz w:val="14"/>
          <w:szCs w:val="14"/>
        </w:rPr>
      </w:pPr>
    </w:p>
    <w:p w14:paraId="206C2420" w14:textId="57D9D0DB" w:rsidR="00140B7C" w:rsidRPr="00EC4EC4" w:rsidRDefault="00140B7C" w:rsidP="00140B7C">
      <w:pPr>
        <w:kinsoku w:val="0"/>
        <w:spacing w:after="240" w:line="240" w:lineRule="auto"/>
        <w:ind w:firstLine="720"/>
        <w:jc w:val="both"/>
        <w:rPr>
          <w:rFonts w:eastAsia="Times New Roman" w:cs="Times New Roman"/>
          <w:b/>
          <w:bCs/>
          <w:szCs w:val="24"/>
        </w:rPr>
      </w:pPr>
      <w:bookmarkStart w:id="160" w:name="_Toc389738019"/>
      <w:bookmarkStart w:id="161" w:name="_Toc389746581"/>
      <w:r w:rsidRPr="00EC4EC4">
        <w:rPr>
          <w:rFonts w:cs="Times New Roman"/>
          <w:color w:val="000000"/>
          <w:sz w:val="23"/>
          <w:szCs w:val="23"/>
        </w:rPr>
        <w:t>§</w:t>
      </w:r>
      <w:r>
        <w:rPr>
          <w:rFonts w:cs="Times New Roman"/>
          <w:color w:val="000000"/>
          <w:sz w:val="23"/>
          <w:szCs w:val="23"/>
        </w:rPr>
        <w:t>21</w:t>
      </w:r>
      <w:r w:rsidR="0083145D">
        <w:rPr>
          <w:rFonts w:cs="Times New Roman"/>
          <w:color w:val="000000"/>
          <w:sz w:val="23"/>
          <w:szCs w:val="23"/>
        </w:rPr>
        <w:t>4</w:t>
      </w:r>
      <w:r w:rsidRPr="00EC4EC4">
        <w:rPr>
          <w:rFonts w:cs="Times New Roman"/>
          <w:color w:val="000000"/>
          <w:sz w:val="23"/>
          <w:szCs w:val="23"/>
        </w:rPr>
        <w:t>. Section 2306.1 of  the New York city building code, as amended by local law number 126 for the year 2021, is amended to read as follows:</w:t>
      </w:r>
    </w:p>
    <w:p w14:paraId="6FB2A2AF" w14:textId="77777777" w:rsidR="00140B7C" w:rsidRPr="00EC4EC4" w:rsidRDefault="00140B7C" w:rsidP="00140B7C">
      <w:pPr>
        <w:spacing w:before="120" w:after="120" w:line="240" w:lineRule="auto"/>
        <w:jc w:val="both"/>
        <w:rPr>
          <w:rFonts w:eastAsia="Calibri" w:cs="Times New Roman"/>
          <w:szCs w:val="24"/>
        </w:rPr>
      </w:pPr>
      <w:r w:rsidRPr="00EC4EC4">
        <w:rPr>
          <w:rFonts w:eastAsia="Calibri" w:cs="Times New Roman"/>
          <w:b/>
          <w:bCs/>
          <w:szCs w:val="24"/>
        </w:rPr>
        <w:t>2306.1 Allowable stress design.</w:t>
      </w:r>
      <w:bookmarkEnd w:id="160"/>
      <w:bookmarkEnd w:id="161"/>
      <w:r w:rsidRPr="00EC4EC4">
        <w:rPr>
          <w:rFonts w:eastAsia="Calibri" w:cs="Times New Roman"/>
          <w:szCs w:val="24"/>
        </w:rPr>
        <w:t xml:space="preserve"> The </w:t>
      </w:r>
      <w:r w:rsidRPr="00EC4EC4">
        <w:rPr>
          <w:rFonts w:eastAsia="Calibri" w:cs="Times New Roman"/>
          <w:bCs/>
          <w:szCs w:val="24"/>
        </w:rPr>
        <w:t>design</w:t>
      </w:r>
      <w:r w:rsidRPr="00EC4EC4">
        <w:rPr>
          <w:rFonts w:eastAsia="Calibri" w:cs="Times New Roman"/>
          <w:szCs w:val="24"/>
        </w:rPr>
        <w:t xml:space="preserve"> and construction of wood elements in structures using allowable stress design shall be in accordance with the following applicable standards:</w:t>
      </w:r>
    </w:p>
    <w:p w14:paraId="33180338" w14:textId="77777777" w:rsidR="00140B7C" w:rsidRPr="00EC4EC4" w:rsidRDefault="00140B7C" w:rsidP="00140B7C">
      <w:pPr>
        <w:spacing w:before="120" w:after="120" w:line="240" w:lineRule="auto"/>
        <w:jc w:val="both"/>
        <w:rPr>
          <w:rFonts w:eastAsia="Calibri" w:cs="Times New Roman"/>
          <w:b/>
          <w:bCs/>
          <w:spacing w:val="-9"/>
          <w:w w:val="110"/>
          <w:szCs w:val="24"/>
        </w:rPr>
      </w:pPr>
      <w:r w:rsidRPr="00EC4EC4">
        <w:rPr>
          <w:rFonts w:eastAsia="Calibri" w:cs="Times New Roman"/>
          <w:b/>
          <w:bCs/>
          <w:spacing w:val="-9"/>
          <w:w w:val="110"/>
          <w:szCs w:val="24"/>
        </w:rPr>
        <w:t>American Wood Council.</w:t>
      </w:r>
    </w:p>
    <w:p w14:paraId="3B4047B2" w14:textId="77777777" w:rsidR="00140B7C" w:rsidRPr="00EC4EC4" w:rsidRDefault="00140B7C" w:rsidP="00140B7C">
      <w:pPr>
        <w:spacing w:before="120" w:after="120" w:line="240" w:lineRule="auto"/>
        <w:jc w:val="both"/>
        <w:rPr>
          <w:rFonts w:eastAsia="Calibri" w:cs="Times New Roman"/>
          <w:spacing w:val="5"/>
          <w:szCs w:val="24"/>
        </w:rPr>
      </w:pPr>
      <w:r w:rsidRPr="00EC4EC4">
        <w:rPr>
          <w:rFonts w:eastAsia="Calibri" w:cs="Times New Roman"/>
          <w:spacing w:val="5"/>
          <w:szCs w:val="24"/>
        </w:rPr>
        <w:t>ANSI/AWC NDS</w:t>
      </w:r>
      <w:r w:rsidRPr="00EC4EC4">
        <w:rPr>
          <w:rFonts w:eastAsia="Calibri" w:cs="Times New Roman"/>
          <w:spacing w:val="5"/>
          <w:szCs w:val="24"/>
        </w:rPr>
        <w:tab/>
        <w:t xml:space="preserve">National Design Specification for Wood Construction </w:t>
      </w:r>
    </w:p>
    <w:p w14:paraId="2C0B5507" w14:textId="77777777" w:rsidR="00140B7C" w:rsidRPr="00EC4EC4" w:rsidRDefault="00140B7C" w:rsidP="00140B7C">
      <w:pPr>
        <w:spacing w:before="120" w:after="120" w:line="240" w:lineRule="auto"/>
        <w:jc w:val="both"/>
        <w:rPr>
          <w:rFonts w:eastAsia="Calibri" w:cs="Times New Roman"/>
          <w:spacing w:val="4"/>
          <w:szCs w:val="24"/>
        </w:rPr>
      </w:pPr>
      <w:r w:rsidRPr="00EC4EC4">
        <w:rPr>
          <w:rFonts w:eastAsia="Calibri" w:cs="Times New Roman"/>
          <w:spacing w:val="4"/>
          <w:szCs w:val="24"/>
        </w:rPr>
        <w:t>ANSI/AWC SDPWS</w:t>
      </w:r>
      <w:r w:rsidRPr="00EC4EC4">
        <w:rPr>
          <w:rFonts w:eastAsia="Calibri" w:cs="Times New Roman"/>
          <w:spacing w:val="4"/>
          <w:szCs w:val="24"/>
        </w:rPr>
        <w:tab/>
      </w:r>
      <w:r w:rsidRPr="00EC4EC4">
        <w:rPr>
          <w:rFonts w:eastAsia="Calibri" w:cs="Times New Roman"/>
          <w:spacing w:val="4"/>
          <w:szCs w:val="24"/>
        </w:rPr>
        <w:tab/>
      </w:r>
      <w:r w:rsidRPr="00EC4EC4">
        <w:rPr>
          <w:rFonts w:eastAsia="Calibri" w:cs="Times New Roman"/>
          <w:spacing w:val="5"/>
          <w:szCs w:val="24"/>
        </w:rPr>
        <w:t>Special</w:t>
      </w:r>
      <w:r w:rsidRPr="00EC4EC4">
        <w:rPr>
          <w:rFonts w:eastAsia="Calibri" w:cs="Times New Roman"/>
          <w:spacing w:val="4"/>
          <w:szCs w:val="24"/>
        </w:rPr>
        <w:t xml:space="preserve"> Design Provisions for Wind and Seismic</w:t>
      </w:r>
    </w:p>
    <w:p w14:paraId="49C9AD75" w14:textId="77777777" w:rsidR="00140B7C" w:rsidRPr="00EC4EC4" w:rsidRDefault="00140B7C" w:rsidP="00140B7C">
      <w:pPr>
        <w:spacing w:before="120" w:after="120" w:line="240" w:lineRule="auto"/>
        <w:jc w:val="both"/>
        <w:rPr>
          <w:rFonts w:eastAsia="Calibri" w:cs="Times New Roman"/>
          <w:b/>
          <w:spacing w:val="-8"/>
          <w:szCs w:val="24"/>
        </w:rPr>
      </w:pPr>
      <w:r w:rsidRPr="00EC4EC4">
        <w:rPr>
          <w:rFonts w:eastAsia="Calibri" w:cs="Times New Roman"/>
          <w:b/>
          <w:bCs/>
          <w:spacing w:val="-8"/>
          <w:w w:val="110"/>
          <w:szCs w:val="24"/>
        </w:rPr>
        <w:t>American Society of Agricultural and Biological Engineers.</w:t>
      </w:r>
    </w:p>
    <w:p w14:paraId="59103905" w14:textId="77777777" w:rsidR="00140B7C" w:rsidRPr="00EC4EC4" w:rsidRDefault="00140B7C" w:rsidP="00140B7C">
      <w:pPr>
        <w:spacing w:before="120" w:after="120" w:line="240" w:lineRule="auto"/>
        <w:jc w:val="both"/>
        <w:rPr>
          <w:rFonts w:eastAsia="Calibri" w:cs="Times New Roman"/>
          <w:spacing w:val="4"/>
          <w:szCs w:val="24"/>
        </w:rPr>
      </w:pPr>
      <w:r w:rsidRPr="00EC4EC4">
        <w:rPr>
          <w:rFonts w:eastAsia="Calibri" w:cs="Times New Roman"/>
          <w:spacing w:val="10"/>
          <w:szCs w:val="24"/>
        </w:rPr>
        <w:t xml:space="preserve">ASABE EP </w:t>
      </w:r>
      <w:r w:rsidRPr="00EC4EC4">
        <w:rPr>
          <w:rFonts w:eastAsia="Calibri" w:cs="Times New Roman"/>
          <w:spacing w:val="10"/>
          <w:szCs w:val="24"/>
          <w:u w:val="single"/>
        </w:rPr>
        <w:t>484.3</w:t>
      </w:r>
      <w:r w:rsidRPr="00EC4EC4">
        <w:rPr>
          <w:rFonts w:eastAsia="Calibri" w:cs="Times New Roman"/>
          <w:spacing w:val="10"/>
          <w:szCs w:val="24"/>
        </w:rPr>
        <w:tab/>
        <w:t>Diaphragm Design of Metal-clad,</w:t>
      </w:r>
      <w:r w:rsidRPr="00EC4EC4">
        <w:rPr>
          <w:rFonts w:eastAsia="Calibri" w:cs="Times New Roman"/>
          <w:spacing w:val="4"/>
          <w:szCs w:val="24"/>
        </w:rPr>
        <w:t xml:space="preserve"> Wood-frame Rectangular Buildings</w:t>
      </w:r>
    </w:p>
    <w:p w14:paraId="5E6854A6" w14:textId="77777777" w:rsidR="00140B7C" w:rsidRPr="00EC4EC4" w:rsidRDefault="00140B7C" w:rsidP="00140B7C">
      <w:pPr>
        <w:spacing w:before="120" w:after="120" w:line="240" w:lineRule="auto"/>
        <w:jc w:val="both"/>
        <w:rPr>
          <w:rFonts w:eastAsia="Calibri" w:cs="Times New Roman"/>
          <w:spacing w:val="4"/>
          <w:szCs w:val="24"/>
        </w:rPr>
      </w:pPr>
      <w:r w:rsidRPr="00EC4EC4">
        <w:rPr>
          <w:rFonts w:eastAsia="Calibri" w:cs="Times New Roman"/>
          <w:spacing w:val="4"/>
          <w:szCs w:val="24"/>
        </w:rPr>
        <w:t>ASABE EP 486.2</w:t>
      </w:r>
      <w:r w:rsidRPr="00EC4EC4">
        <w:rPr>
          <w:rFonts w:eastAsia="Calibri" w:cs="Times New Roman"/>
          <w:spacing w:val="4"/>
          <w:szCs w:val="24"/>
        </w:rPr>
        <w:tab/>
        <w:t>Shallow Post Foundation Design</w:t>
      </w:r>
    </w:p>
    <w:p w14:paraId="63844A5B"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zCs w:val="24"/>
        </w:rPr>
        <w:t>ASABE EP 559.1</w:t>
      </w:r>
      <w:r w:rsidRPr="00EC4EC4">
        <w:rPr>
          <w:rFonts w:eastAsia="Calibri" w:cs="Times New Roman"/>
          <w:szCs w:val="24"/>
        </w:rPr>
        <w:tab/>
      </w:r>
      <w:r w:rsidRPr="00EC4EC4">
        <w:rPr>
          <w:rFonts w:eastAsia="Calibri" w:cs="Times New Roman"/>
          <w:spacing w:val="3"/>
          <w:szCs w:val="24"/>
        </w:rPr>
        <w:t>Design Requirements and Bending Properties</w:t>
      </w:r>
      <w:r w:rsidRPr="00EC4EC4">
        <w:rPr>
          <w:rFonts w:eastAsia="Calibri" w:cs="Times New Roman"/>
          <w:spacing w:val="4"/>
          <w:szCs w:val="24"/>
        </w:rPr>
        <w:t xml:space="preserve"> for Mechanically Laminated  Wood Assemblies</w:t>
      </w:r>
    </w:p>
    <w:p w14:paraId="65256E08" w14:textId="77777777" w:rsidR="00140B7C" w:rsidRPr="00EC4EC4" w:rsidRDefault="00140B7C" w:rsidP="00140B7C">
      <w:pPr>
        <w:spacing w:before="120" w:after="120" w:line="240" w:lineRule="auto"/>
        <w:jc w:val="both"/>
        <w:rPr>
          <w:rFonts w:eastAsia="Calibri" w:cs="Times New Roman"/>
          <w:b/>
          <w:bCs/>
          <w:spacing w:val="-10"/>
          <w:w w:val="110"/>
          <w:szCs w:val="24"/>
        </w:rPr>
      </w:pPr>
      <w:r w:rsidRPr="00EC4EC4">
        <w:rPr>
          <w:rFonts w:eastAsia="Calibri" w:cs="Times New Roman"/>
          <w:b/>
          <w:bCs/>
          <w:spacing w:val="-10"/>
          <w:w w:val="110"/>
          <w:szCs w:val="24"/>
        </w:rPr>
        <w:t>APA—The Engineered Wood Association.</w:t>
      </w:r>
    </w:p>
    <w:p w14:paraId="67FB151A"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pacing w:val="4"/>
          <w:szCs w:val="24"/>
        </w:rPr>
        <w:t xml:space="preserve">ANSI 117 </w:t>
      </w:r>
      <w:r w:rsidRPr="00EC4EC4">
        <w:rPr>
          <w:rFonts w:eastAsia="Calibri" w:cs="Times New Roman"/>
          <w:spacing w:val="4"/>
          <w:szCs w:val="24"/>
        </w:rPr>
        <w:tab/>
        <w:t>Standard Specifications for Structural Glued Laminated Timber of Softwood Species</w:t>
      </w:r>
    </w:p>
    <w:p w14:paraId="26656B60"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pacing w:val="4"/>
          <w:szCs w:val="24"/>
        </w:rPr>
        <w:t>ANSI A190.1</w:t>
      </w:r>
      <w:r w:rsidRPr="00EC4EC4">
        <w:rPr>
          <w:rFonts w:eastAsia="Calibri" w:cs="Times New Roman"/>
          <w:spacing w:val="4"/>
          <w:szCs w:val="24"/>
        </w:rPr>
        <w:tab/>
        <w:t>Structural Glued Laminated Timber</w:t>
      </w:r>
    </w:p>
    <w:p w14:paraId="1BD50F0E"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pacing w:val="4"/>
          <w:szCs w:val="24"/>
        </w:rPr>
        <w:t>Panel Design Specification</w:t>
      </w:r>
    </w:p>
    <w:p w14:paraId="57AF4302" w14:textId="77777777" w:rsidR="00140B7C" w:rsidRPr="00EC4EC4" w:rsidRDefault="00140B7C" w:rsidP="00140B7C">
      <w:pPr>
        <w:spacing w:before="120" w:after="120" w:line="240" w:lineRule="auto"/>
        <w:ind w:left="2160"/>
        <w:jc w:val="both"/>
        <w:rPr>
          <w:rFonts w:eastAsia="Calibri" w:cs="Times New Roman"/>
          <w:spacing w:val="4"/>
          <w:szCs w:val="24"/>
        </w:rPr>
      </w:pPr>
      <w:r w:rsidRPr="00EC4EC4">
        <w:rPr>
          <w:rFonts w:eastAsia="Calibri" w:cs="Times New Roman"/>
          <w:spacing w:val="4"/>
          <w:szCs w:val="24"/>
        </w:rPr>
        <w:t>Plywood Design Specification Supplement 1 - Design &amp; Fabrication of Plywood Curved Panel</w:t>
      </w:r>
    </w:p>
    <w:p w14:paraId="79AA8308" w14:textId="77777777" w:rsidR="00140B7C" w:rsidRPr="00EC4EC4" w:rsidRDefault="00140B7C" w:rsidP="00140B7C">
      <w:pPr>
        <w:spacing w:before="120" w:after="120" w:line="240" w:lineRule="auto"/>
        <w:ind w:left="2160"/>
        <w:jc w:val="both"/>
        <w:rPr>
          <w:rFonts w:eastAsia="Calibri" w:cs="Times New Roman"/>
          <w:spacing w:val="4"/>
          <w:szCs w:val="24"/>
        </w:rPr>
      </w:pPr>
      <w:r w:rsidRPr="00EC4EC4">
        <w:rPr>
          <w:rFonts w:eastAsia="Calibri" w:cs="Times New Roman"/>
          <w:spacing w:val="4"/>
          <w:szCs w:val="24"/>
        </w:rPr>
        <w:t>Plywood Design Specification Supplement 2 - Design &amp; Fabrication of Glued Plywood-lumber Beams</w:t>
      </w:r>
    </w:p>
    <w:p w14:paraId="1D71CBE9" w14:textId="77777777" w:rsidR="00140B7C" w:rsidRPr="00EC4EC4" w:rsidRDefault="00140B7C" w:rsidP="00140B7C">
      <w:pPr>
        <w:spacing w:before="120" w:after="120" w:line="240" w:lineRule="auto"/>
        <w:ind w:left="2160"/>
        <w:jc w:val="both"/>
        <w:rPr>
          <w:rFonts w:eastAsia="Calibri" w:cs="Times New Roman"/>
          <w:spacing w:val="4"/>
          <w:szCs w:val="24"/>
        </w:rPr>
      </w:pPr>
      <w:r w:rsidRPr="00EC4EC4">
        <w:rPr>
          <w:rFonts w:eastAsia="Calibri" w:cs="Times New Roman"/>
          <w:spacing w:val="4"/>
          <w:szCs w:val="24"/>
        </w:rPr>
        <w:t>Plywood Design Specification Supplement 3 - Design &amp; Fabrication of Plywood Stressed-skin Panels</w:t>
      </w:r>
    </w:p>
    <w:p w14:paraId="31A862D1" w14:textId="77777777" w:rsidR="00140B7C" w:rsidRPr="00EC4EC4" w:rsidRDefault="00140B7C" w:rsidP="00140B7C">
      <w:pPr>
        <w:spacing w:before="120" w:after="120" w:line="240" w:lineRule="auto"/>
        <w:ind w:left="2160"/>
        <w:jc w:val="both"/>
        <w:rPr>
          <w:rFonts w:eastAsia="Calibri" w:cs="Times New Roman"/>
          <w:spacing w:val="4"/>
          <w:szCs w:val="24"/>
        </w:rPr>
      </w:pPr>
      <w:r w:rsidRPr="00EC4EC4">
        <w:rPr>
          <w:rFonts w:eastAsia="Calibri" w:cs="Times New Roman"/>
          <w:spacing w:val="4"/>
          <w:szCs w:val="24"/>
        </w:rPr>
        <w:t>Plywood Design Specification Supplement 4 - Design &amp; Fabrication of Plywood Sandwich Panels</w:t>
      </w:r>
    </w:p>
    <w:p w14:paraId="23E3B61B" w14:textId="77777777" w:rsidR="00140B7C" w:rsidRPr="00EC4EC4" w:rsidRDefault="00140B7C" w:rsidP="00140B7C">
      <w:pPr>
        <w:spacing w:before="120" w:after="120" w:line="240" w:lineRule="auto"/>
        <w:ind w:left="2160"/>
        <w:jc w:val="both"/>
        <w:rPr>
          <w:rFonts w:eastAsia="Calibri" w:cs="Times New Roman"/>
          <w:spacing w:val="4"/>
          <w:szCs w:val="24"/>
        </w:rPr>
      </w:pPr>
      <w:r w:rsidRPr="00EC4EC4">
        <w:rPr>
          <w:rFonts w:eastAsia="Calibri" w:cs="Times New Roman"/>
          <w:spacing w:val="4"/>
          <w:szCs w:val="24"/>
        </w:rPr>
        <w:t>Plywood Design Specification Supplement 5 - Design &amp; Fabrication of All-plywood Beams</w:t>
      </w:r>
    </w:p>
    <w:p w14:paraId="71CDFCE7" w14:textId="77777777" w:rsidR="00140B7C" w:rsidRPr="00EC4EC4" w:rsidRDefault="00140B7C" w:rsidP="00140B7C">
      <w:pPr>
        <w:spacing w:before="120" w:after="120" w:line="240" w:lineRule="auto"/>
        <w:jc w:val="both"/>
        <w:rPr>
          <w:rFonts w:eastAsia="Calibri" w:cs="Times New Roman"/>
          <w:spacing w:val="12"/>
          <w:szCs w:val="24"/>
        </w:rPr>
      </w:pPr>
      <w:r w:rsidRPr="00EC4EC4">
        <w:rPr>
          <w:rFonts w:eastAsia="Calibri" w:cs="Times New Roman"/>
          <w:spacing w:val="12"/>
          <w:szCs w:val="24"/>
        </w:rPr>
        <w:t>APA T300</w:t>
      </w:r>
      <w:r w:rsidRPr="00EC4EC4">
        <w:rPr>
          <w:rFonts w:eastAsia="Calibri" w:cs="Times New Roman"/>
          <w:spacing w:val="12"/>
          <w:szCs w:val="24"/>
        </w:rPr>
        <w:tab/>
      </w:r>
      <w:r w:rsidRPr="00EC4EC4">
        <w:rPr>
          <w:rFonts w:eastAsia="Calibri" w:cs="Times New Roman"/>
          <w:spacing w:val="12"/>
          <w:szCs w:val="24"/>
        </w:rPr>
        <w:tab/>
        <w:t>Glulam Connection Details</w:t>
      </w:r>
    </w:p>
    <w:p w14:paraId="066C149F" w14:textId="77777777" w:rsidR="00140B7C" w:rsidRPr="00EC4EC4" w:rsidRDefault="00140B7C" w:rsidP="00140B7C">
      <w:pPr>
        <w:spacing w:before="120" w:after="120" w:line="240" w:lineRule="auto"/>
        <w:jc w:val="both"/>
        <w:rPr>
          <w:rFonts w:eastAsia="Calibri" w:cs="Times New Roman"/>
          <w:spacing w:val="4"/>
          <w:szCs w:val="24"/>
        </w:rPr>
      </w:pPr>
      <w:r w:rsidRPr="00EC4EC4">
        <w:rPr>
          <w:rFonts w:eastAsia="Calibri" w:cs="Times New Roman"/>
          <w:spacing w:val="12"/>
          <w:szCs w:val="24"/>
        </w:rPr>
        <w:t>APA S560</w:t>
      </w:r>
      <w:r w:rsidRPr="00EC4EC4">
        <w:rPr>
          <w:rFonts w:eastAsia="Calibri" w:cs="Times New Roman"/>
          <w:spacing w:val="12"/>
          <w:szCs w:val="24"/>
        </w:rPr>
        <w:tab/>
      </w:r>
      <w:r w:rsidRPr="00EC4EC4">
        <w:rPr>
          <w:rFonts w:eastAsia="Calibri" w:cs="Times New Roman"/>
          <w:spacing w:val="12"/>
          <w:szCs w:val="24"/>
        </w:rPr>
        <w:tab/>
        <w:t>Field Notching and Drilling of Glued Lami</w:t>
      </w:r>
      <w:r w:rsidRPr="00EC4EC4">
        <w:rPr>
          <w:rFonts w:eastAsia="Calibri" w:cs="Times New Roman"/>
          <w:spacing w:val="4"/>
          <w:szCs w:val="24"/>
        </w:rPr>
        <w:t>nated Timber Beams</w:t>
      </w:r>
    </w:p>
    <w:p w14:paraId="7B5FBE0C" w14:textId="77777777" w:rsidR="00140B7C" w:rsidRPr="00EC4EC4" w:rsidRDefault="00140B7C" w:rsidP="00140B7C">
      <w:pPr>
        <w:spacing w:before="120" w:after="120" w:line="240" w:lineRule="auto"/>
        <w:jc w:val="both"/>
        <w:rPr>
          <w:rFonts w:eastAsia="Calibri" w:cs="Times New Roman"/>
          <w:spacing w:val="10"/>
          <w:szCs w:val="24"/>
        </w:rPr>
      </w:pPr>
      <w:r w:rsidRPr="00EC4EC4">
        <w:rPr>
          <w:rFonts w:eastAsia="Calibri" w:cs="Times New Roman"/>
          <w:spacing w:val="12"/>
          <w:szCs w:val="24"/>
        </w:rPr>
        <w:t>APA</w:t>
      </w:r>
      <w:r w:rsidRPr="00EC4EC4">
        <w:rPr>
          <w:rFonts w:eastAsia="Calibri" w:cs="Times New Roman"/>
          <w:spacing w:val="10"/>
          <w:szCs w:val="24"/>
        </w:rPr>
        <w:t xml:space="preserve"> S475</w:t>
      </w:r>
      <w:r w:rsidRPr="00EC4EC4">
        <w:rPr>
          <w:rFonts w:eastAsia="Calibri" w:cs="Times New Roman"/>
          <w:spacing w:val="10"/>
          <w:szCs w:val="24"/>
        </w:rPr>
        <w:tab/>
      </w:r>
      <w:r w:rsidRPr="00EC4EC4">
        <w:rPr>
          <w:rFonts w:eastAsia="Calibri" w:cs="Times New Roman"/>
          <w:spacing w:val="10"/>
          <w:szCs w:val="24"/>
        </w:rPr>
        <w:tab/>
        <w:t>Glued Laminated Beam Design Tables</w:t>
      </w:r>
    </w:p>
    <w:p w14:paraId="230ACB98" w14:textId="77777777" w:rsidR="00140B7C" w:rsidRPr="00EC4EC4" w:rsidRDefault="00140B7C" w:rsidP="00140B7C">
      <w:pPr>
        <w:spacing w:before="120" w:after="120" w:line="240" w:lineRule="auto"/>
        <w:jc w:val="both"/>
        <w:rPr>
          <w:rFonts w:eastAsia="Calibri" w:cs="Times New Roman"/>
          <w:spacing w:val="9"/>
          <w:szCs w:val="24"/>
        </w:rPr>
      </w:pPr>
      <w:r w:rsidRPr="00EC4EC4">
        <w:rPr>
          <w:rFonts w:eastAsia="Calibri" w:cs="Times New Roman"/>
          <w:spacing w:val="12"/>
          <w:szCs w:val="24"/>
        </w:rPr>
        <w:t>APA</w:t>
      </w:r>
      <w:r w:rsidRPr="00EC4EC4">
        <w:rPr>
          <w:rFonts w:eastAsia="Calibri" w:cs="Times New Roman"/>
          <w:spacing w:val="9"/>
          <w:szCs w:val="24"/>
        </w:rPr>
        <w:t xml:space="preserve"> X440</w:t>
      </w:r>
      <w:r w:rsidRPr="00EC4EC4">
        <w:rPr>
          <w:rFonts w:eastAsia="Calibri" w:cs="Times New Roman"/>
          <w:spacing w:val="9"/>
          <w:szCs w:val="24"/>
        </w:rPr>
        <w:tab/>
      </w:r>
      <w:r w:rsidRPr="00EC4EC4">
        <w:rPr>
          <w:rFonts w:eastAsia="Calibri" w:cs="Times New Roman"/>
          <w:spacing w:val="9"/>
          <w:szCs w:val="24"/>
        </w:rPr>
        <w:tab/>
        <w:t>Product and Application Guide: Glulam</w:t>
      </w:r>
    </w:p>
    <w:p w14:paraId="70315C29" w14:textId="77777777" w:rsidR="00140B7C" w:rsidRPr="00EC4EC4" w:rsidRDefault="00140B7C" w:rsidP="00140B7C">
      <w:pPr>
        <w:spacing w:before="120" w:after="120" w:line="240" w:lineRule="auto"/>
        <w:jc w:val="both"/>
        <w:rPr>
          <w:rFonts w:eastAsia="Calibri" w:cs="Times New Roman"/>
          <w:szCs w:val="24"/>
        </w:rPr>
      </w:pPr>
      <w:r w:rsidRPr="00EC4EC4">
        <w:rPr>
          <w:rFonts w:eastAsia="Calibri" w:cs="Times New Roman"/>
          <w:spacing w:val="12"/>
          <w:szCs w:val="24"/>
        </w:rPr>
        <w:t>APA</w:t>
      </w:r>
      <w:r w:rsidRPr="00EC4EC4">
        <w:rPr>
          <w:rFonts w:eastAsia="Calibri" w:cs="Times New Roman"/>
          <w:spacing w:val="7"/>
          <w:szCs w:val="24"/>
        </w:rPr>
        <w:t xml:space="preserve"> R540</w:t>
      </w:r>
      <w:r w:rsidRPr="00EC4EC4">
        <w:rPr>
          <w:rFonts w:eastAsia="Calibri" w:cs="Times New Roman"/>
          <w:spacing w:val="7"/>
          <w:szCs w:val="24"/>
        </w:rPr>
        <w:tab/>
      </w:r>
      <w:r w:rsidRPr="00EC4EC4">
        <w:rPr>
          <w:rFonts w:eastAsia="Calibri" w:cs="Times New Roman"/>
          <w:spacing w:val="7"/>
          <w:szCs w:val="24"/>
        </w:rPr>
        <w:tab/>
        <w:t xml:space="preserve">Builders Tips: Proper Storage and Handling of </w:t>
      </w:r>
      <w:r w:rsidRPr="00EC4EC4">
        <w:rPr>
          <w:rFonts w:eastAsia="Calibri" w:cs="Times New Roman"/>
          <w:szCs w:val="24"/>
        </w:rPr>
        <w:t xml:space="preserve">Glulam Beams </w:t>
      </w:r>
    </w:p>
    <w:p w14:paraId="30A977D9" w14:textId="77777777" w:rsidR="00140B7C" w:rsidRPr="00EC4EC4" w:rsidRDefault="00140B7C" w:rsidP="00140B7C">
      <w:pPr>
        <w:spacing w:before="120" w:after="120" w:line="240" w:lineRule="auto"/>
        <w:jc w:val="both"/>
        <w:rPr>
          <w:rFonts w:eastAsia="Calibri" w:cs="Times New Roman"/>
          <w:b/>
          <w:spacing w:val="-8"/>
          <w:szCs w:val="24"/>
        </w:rPr>
      </w:pPr>
      <w:r w:rsidRPr="00EC4EC4">
        <w:rPr>
          <w:rFonts w:eastAsia="Calibri" w:cs="Times New Roman"/>
          <w:b/>
          <w:bCs/>
          <w:spacing w:val="-8"/>
          <w:w w:val="110"/>
          <w:szCs w:val="24"/>
        </w:rPr>
        <w:t>Truss Plate Institute, Inc.</w:t>
      </w:r>
    </w:p>
    <w:p w14:paraId="7067897C"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pacing w:val="6"/>
          <w:szCs w:val="24"/>
        </w:rPr>
        <w:t>TPI 1</w:t>
      </w:r>
      <w:r w:rsidRPr="00EC4EC4">
        <w:rPr>
          <w:rFonts w:eastAsia="Calibri" w:cs="Times New Roman"/>
          <w:spacing w:val="6"/>
          <w:szCs w:val="24"/>
        </w:rPr>
        <w:tab/>
        <w:t xml:space="preserve">National Design Standard for Metal Plate Connected </w:t>
      </w:r>
      <w:r w:rsidRPr="00EC4EC4">
        <w:rPr>
          <w:rFonts w:eastAsia="Calibri" w:cs="Times New Roman"/>
          <w:spacing w:val="4"/>
          <w:szCs w:val="24"/>
        </w:rPr>
        <w:t>Wood Truss Construction</w:t>
      </w:r>
    </w:p>
    <w:p w14:paraId="4F124917" w14:textId="77777777" w:rsidR="00140B7C" w:rsidRPr="00EC4EC4" w:rsidRDefault="00140B7C" w:rsidP="00140B7C">
      <w:pPr>
        <w:spacing w:before="120" w:after="120" w:line="240" w:lineRule="auto"/>
        <w:ind w:left="2160" w:hanging="2160"/>
        <w:jc w:val="both"/>
        <w:rPr>
          <w:rFonts w:eastAsia="Calibri" w:cs="Times New Roman"/>
          <w:b/>
          <w:spacing w:val="4"/>
          <w:szCs w:val="24"/>
        </w:rPr>
      </w:pPr>
      <w:r w:rsidRPr="00EC4EC4">
        <w:rPr>
          <w:rFonts w:eastAsia="Calibri" w:cs="Times New Roman"/>
          <w:b/>
          <w:spacing w:val="4"/>
          <w:szCs w:val="24"/>
        </w:rPr>
        <w:t>West Coast Lumber Inspection Bureau</w:t>
      </w:r>
    </w:p>
    <w:p w14:paraId="0B8AD8B1"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pacing w:val="4"/>
          <w:szCs w:val="24"/>
        </w:rPr>
        <w:t>AITC 104</w:t>
      </w:r>
      <w:r w:rsidRPr="00EC4EC4">
        <w:rPr>
          <w:rFonts w:eastAsia="Calibri" w:cs="Times New Roman"/>
          <w:spacing w:val="4"/>
          <w:szCs w:val="24"/>
        </w:rPr>
        <w:tab/>
        <w:t>Typical Construction Details</w:t>
      </w:r>
    </w:p>
    <w:p w14:paraId="68A7AFE7"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pacing w:val="4"/>
          <w:szCs w:val="24"/>
        </w:rPr>
        <w:t>AITC 110</w:t>
      </w:r>
      <w:r w:rsidRPr="00EC4EC4">
        <w:rPr>
          <w:rFonts w:eastAsia="Calibri" w:cs="Times New Roman"/>
          <w:spacing w:val="4"/>
          <w:szCs w:val="24"/>
        </w:rPr>
        <w:tab/>
        <w:t>Standard Appearance Grades for Structural Glued Laminated Timber</w:t>
      </w:r>
    </w:p>
    <w:p w14:paraId="04141434"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pacing w:val="4"/>
          <w:szCs w:val="24"/>
        </w:rPr>
        <w:t>AITC 113</w:t>
      </w:r>
      <w:r w:rsidRPr="00EC4EC4">
        <w:rPr>
          <w:rFonts w:eastAsia="Calibri" w:cs="Times New Roman"/>
          <w:spacing w:val="4"/>
          <w:szCs w:val="24"/>
        </w:rPr>
        <w:tab/>
        <w:t>Standard for Dimensions of Structural Glued Laminated Timber</w:t>
      </w:r>
    </w:p>
    <w:p w14:paraId="1157B5DB"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pacing w:val="4"/>
          <w:szCs w:val="24"/>
        </w:rPr>
        <w:t>AITC 119</w:t>
      </w:r>
      <w:r w:rsidRPr="00EC4EC4">
        <w:rPr>
          <w:rFonts w:eastAsia="Calibri" w:cs="Times New Roman"/>
          <w:spacing w:val="4"/>
          <w:szCs w:val="24"/>
        </w:rPr>
        <w:tab/>
        <w:t>Standard Specifications for Structural Glued Laminated Timber of Hardwood Species</w:t>
      </w:r>
    </w:p>
    <w:p w14:paraId="6CE8576A" w14:textId="77777777" w:rsidR="00140B7C" w:rsidRPr="00EC4EC4" w:rsidRDefault="00140B7C" w:rsidP="00140B7C">
      <w:pPr>
        <w:spacing w:before="120" w:after="120" w:line="240" w:lineRule="auto"/>
        <w:ind w:left="2160" w:hanging="2160"/>
        <w:jc w:val="both"/>
        <w:rPr>
          <w:rFonts w:eastAsia="Calibri" w:cs="Times New Roman"/>
          <w:spacing w:val="4"/>
          <w:szCs w:val="24"/>
        </w:rPr>
      </w:pPr>
      <w:r w:rsidRPr="00EC4EC4">
        <w:rPr>
          <w:rFonts w:eastAsia="Calibri" w:cs="Times New Roman"/>
          <w:spacing w:val="4"/>
          <w:szCs w:val="24"/>
        </w:rPr>
        <w:t>AITC 200</w:t>
      </w:r>
      <w:r w:rsidRPr="00EC4EC4">
        <w:rPr>
          <w:rFonts w:eastAsia="Calibri" w:cs="Times New Roman"/>
          <w:spacing w:val="4"/>
          <w:szCs w:val="24"/>
        </w:rPr>
        <w:tab/>
        <w:t>Inspection Manual</w:t>
      </w:r>
    </w:p>
    <w:p w14:paraId="286E7AF1" w14:textId="77777777" w:rsidR="00140B7C" w:rsidRPr="00EC4EC4" w:rsidRDefault="00140B7C" w:rsidP="00140B7C">
      <w:pPr>
        <w:kinsoku w:val="0"/>
        <w:spacing w:after="240" w:line="240" w:lineRule="auto"/>
        <w:ind w:firstLine="720"/>
        <w:jc w:val="both"/>
        <w:rPr>
          <w:rFonts w:cs="Times New Roman"/>
          <w:color w:val="000000"/>
          <w:sz w:val="23"/>
          <w:szCs w:val="23"/>
        </w:rPr>
      </w:pPr>
    </w:p>
    <w:p w14:paraId="316F25BA" w14:textId="77777777" w:rsidR="00140B7C" w:rsidRPr="00EC4EC4" w:rsidRDefault="00140B7C" w:rsidP="00140B7C">
      <w:pPr>
        <w:kinsoku w:val="0"/>
        <w:spacing w:after="240" w:line="240" w:lineRule="auto"/>
        <w:ind w:firstLine="720"/>
        <w:jc w:val="both"/>
        <w:rPr>
          <w:rFonts w:cs="Times New Roman"/>
          <w:color w:val="000000"/>
          <w:sz w:val="23"/>
          <w:szCs w:val="23"/>
        </w:rPr>
      </w:pPr>
    </w:p>
    <w:p w14:paraId="3DFD1B8D" w14:textId="3E416058" w:rsidR="00140B7C" w:rsidRPr="00EC4EC4" w:rsidRDefault="00140B7C" w:rsidP="00140B7C">
      <w:pPr>
        <w:kinsoku w:val="0"/>
        <w:spacing w:after="240" w:line="240" w:lineRule="auto"/>
        <w:ind w:firstLine="720"/>
        <w:jc w:val="both"/>
        <w:rPr>
          <w:rFonts w:cs="Times New Roman"/>
          <w:color w:val="000000"/>
          <w:sz w:val="23"/>
          <w:szCs w:val="23"/>
        </w:rPr>
      </w:pPr>
      <w:r w:rsidRPr="00EC4EC4">
        <w:rPr>
          <w:rFonts w:cs="Times New Roman"/>
          <w:color w:val="000000"/>
          <w:sz w:val="23"/>
          <w:szCs w:val="23"/>
        </w:rPr>
        <w:t>§</w:t>
      </w:r>
      <w:r>
        <w:rPr>
          <w:rFonts w:cs="Times New Roman"/>
          <w:color w:val="000000"/>
          <w:sz w:val="23"/>
          <w:szCs w:val="23"/>
        </w:rPr>
        <w:t>21</w:t>
      </w:r>
      <w:r w:rsidR="0083145D">
        <w:rPr>
          <w:rFonts w:cs="Times New Roman"/>
          <w:color w:val="000000"/>
          <w:sz w:val="23"/>
          <w:szCs w:val="23"/>
        </w:rPr>
        <w:t>5</w:t>
      </w:r>
      <w:r w:rsidRPr="00EC4EC4">
        <w:rPr>
          <w:rFonts w:cs="Times New Roman"/>
          <w:color w:val="000000"/>
          <w:sz w:val="23"/>
          <w:szCs w:val="23"/>
        </w:rPr>
        <w:t>. Table 2306.2(1) of  the New York city building code, as amended by local law number 126 for the year 2021, is amended by deleting Figures for Cases 1 to 6 as follows:</w:t>
      </w:r>
    </w:p>
    <w:p w14:paraId="3216D082" w14:textId="77777777" w:rsidR="00140B7C" w:rsidRPr="00EC4EC4" w:rsidRDefault="00140B7C" w:rsidP="00140B7C">
      <w:pPr>
        <w:kinsoku w:val="0"/>
        <w:spacing w:after="240" w:line="240" w:lineRule="auto"/>
        <w:jc w:val="both"/>
        <w:rPr>
          <w:rFonts w:eastAsia="Times New Roman" w:cs="Times New Roman"/>
          <w:b/>
          <w:bCs/>
          <w:strike/>
          <w:szCs w:val="24"/>
        </w:rPr>
      </w:pPr>
      <w:r w:rsidRPr="00EC4EC4">
        <w:rPr>
          <w:rFonts w:cs="Times New Roman"/>
          <w:color w:val="000000"/>
          <w:sz w:val="23"/>
          <w:szCs w:val="23"/>
        </w:rPr>
        <w:t>[</w:t>
      </w:r>
    </w:p>
    <w:p w14:paraId="3049CE5D" w14:textId="77777777" w:rsidR="00140B7C" w:rsidRPr="00EC4EC4" w:rsidRDefault="00140B7C" w:rsidP="00140B7C">
      <w:pPr>
        <w:autoSpaceDE w:val="0"/>
        <w:autoSpaceDN w:val="0"/>
        <w:adjustRightInd w:val="0"/>
        <w:spacing w:after="0" w:line="240" w:lineRule="auto"/>
        <w:jc w:val="both"/>
        <w:rPr>
          <w:rFonts w:eastAsia="Calibri" w:cs="Times New Roman"/>
          <w:strike/>
        </w:rPr>
      </w:pPr>
      <w:r w:rsidRPr="00EC4EC4">
        <w:rPr>
          <w:rFonts w:eastAsia="Calibri" w:cs="Times New Roman"/>
          <w:strike/>
          <w:noProof/>
        </w:rPr>
        <w:drawing>
          <wp:inline distT="0" distB="0" distL="0" distR="0" wp14:anchorId="03FF9F23" wp14:editId="0088A8D5">
            <wp:extent cx="5694045" cy="253619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4045" cy="2536190"/>
                    </a:xfrm>
                    <a:prstGeom prst="rect">
                      <a:avLst/>
                    </a:prstGeom>
                    <a:noFill/>
                    <a:ln>
                      <a:noFill/>
                    </a:ln>
                  </pic:spPr>
                </pic:pic>
              </a:graphicData>
            </a:graphic>
          </wp:inline>
        </w:drawing>
      </w:r>
    </w:p>
    <w:p w14:paraId="1A7E9609" w14:textId="77777777" w:rsidR="00140B7C" w:rsidRPr="00EC4EC4" w:rsidRDefault="00140B7C" w:rsidP="00140B7C">
      <w:pPr>
        <w:autoSpaceDE w:val="0"/>
        <w:autoSpaceDN w:val="0"/>
        <w:adjustRightInd w:val="0"/>
        <w:spacing w:after="0" w:line="240" w:lineRule="auto"/>
        <w:ind w:left="8640" w:firstLine="720"/>
        <w:jc w:val="both"/>
        <w:rPr>
          <w:rFonts w:eastAsia="Calibri" w:cs="Times New Roman"/>
          <w:strike/>
        </w:rPr>
      </w:pPr>
    </w:p>
    <w:p w14:paraId="054E9F5B" w14:textId="77777777" w:rsidR="00140B7C" w:rsidRPr="00EC4EC4" w:rsidRDefault="00140B7C" w:rsidP="00140B7C">
      <w:pPr>
        <w:autoSpaceDE w:val="0"/>
        <w:autoSpaceDN w:val="0"/>
        <w:adjustRightInd w:val="0"/>
        <w:spacing w:after="0" w:line="240" w:lineRule="auto"/>
        <w:ind w:left="8640" w:firstLine="720"/>
        <w:jc w:val="both"/>
        <w:rPr>
          <w:rFonts w:eastAsia="Calibri" w:cs="Times New Roman"/>
        </w:rPr>
      </w:pPr>
      <w:r w:rsidRPr="00EC4EC4">
        <w:rPr>
          <w:rFonts w:eastAsia="Calibri" w:cs="Times New Roman"/>
        </w:rPr>
        <w:t>]</w:t>
      </w:r>
    </w:p>
    <w:p w14:paraId="34440F7F" w14:textId="77777777" w:rsidR="00140B7C" w:rsidRPr="00EC4EC4" w:rsidRDefault="00140B7C" w:rsidP="00140B7C">
      <w:pPr>
        <w:kinsoku w:val="0"/>
        <w:spacing w:after="0" w:line="240" w:lineRule="auto"/>
        <w:ind w:firstLine="720"/>
        <w:jc w:val="both"/>
        <w:rPr>
          <w:rFonts w:cs="Times New Roman"/>
          <w:color w:val="000000"/>
          <w:sz w:val="23"/>
          <w:szCs w:val="23"/>
        </w:rPr>
      </w:pPr>
    </w:p>
    <w:p w14:paraId="32133FC6" w14:textId="0AAE24BA"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21</w:t>
      </w:r>
      <w:r w:rsidR="000F59EB">
        <w:rPr>
          <w:rFonts w:cs="Times New Roman"/>
          <w:color w:val="000000"/>
          <w:sz w:val="23"/>
          <w:szCs w:val="23"/>
        </w:rPr>
        <w:t>6</w:t>
      </w:r>
      <w:r w:rsidRPr="00EC4EC4">
        <w:rPr>
          <w:rFonts w:cs="Times New Roman"/>
          <w:color w:val="000000"/>
          <w:sz w:val="23"/>
          <w:szCs w:val="23"/>
        </w:rPr>
        <w:t>. Section 2308.2 of  the New York city building code, as amended by local law number 126 for the year 2021, is amended to read as follows:</w:t>
      </w:r>
    </w:p>
    <w:p w14:paraId="27825118" w14:textId="77777777" w:rsidR="00140B7C" w:rsidRPr="00EC4EC4" w:rsidRDefault="00140B7C" w:rsidP="00140B7C">
      <w:pPr>
        <w:spacing w:after="240" w:line="240" w:lineRule="auto"/>
        <w:jc w:val="both"/>
        <w:rPr>
          <w:rFonts w:eastAsia="Calibri" w:cs="Times New Roman"/>
          <w:bCs/>
          <w:szCs w:val="24"/>
        </w:rPr>
      </w:pPr>
      <w:bookmarkStart w:id="162" w:name="_Toc389738041"/>
      <w:bookmarkStart w:id="163" w:name="_Toc389746603"/>
      <w:r w:rsidRPr="00EC4EC4">
        <w:rPr>
          <w:rFonts w:eastAsia="Calibri" w:cs="Times New Roman"/>
          <w:b/>
          <w:bCs/>
          <w:szCs w:val="24"/>
        </w:rPr>
        <w:t>2308.2 Limitations.</w:t>
      </w:r>
      <w:bookmarkEnd w:id="162"/>
      <w:bookmarkEnd w:id="163"/>
      <w:r w:rsidRPr="00EC4EC4">
        <w:rPr>
          <w:rFonts w:eastAsia="Calibri" w:cs="Times New Roman"/>
          <w:b/>
          <w:spacing w:val="-1"/>
          <w:w w:val="110"/>
          <w:szCs w:val="24"/>
        </w:rPr>
        <w:t xml:space="preserve"> </w:t>
      </w:r>
      <w:r w:rsidRPr="00EC4EC4">
        <w:rPr>
          <w:rFonts w:eastAsia="Calibri" w:cs="Times New Roman"/>
          <w:szCs w:val="24"/>
        </w:rPr>
        <w:t xml:space="preserve">Buildings are permitted to be constructed in accordance with the provisions of </w:t>
      </w:r>
      <w:r w:rsidRPr="00EC4EC4">
        <w:rPr>
          <w:rFonts w:eastAsia="Calibri" w:cs="Times New Roman"/>
          <w:spacing w:val="2"/>
          <w:szCs w:val="24"/>
        </w:rPr>
        <w:t xml:space="preserve"> </w:t>
      </w:r>
      <w:r w:rsidRPr="00EC4EC4">
        <w:rPr>
          <w:rFonts w:eastAsia="Calibri" w:cs="Times New Roman"/>
          <w:szCs w:val="24"/>
        </w:rPr>
        <w:t>conventional light-frame construction, subject to the</w:t>
      </w:r>
      <w:r w:rsidRPr="00EC4EC4">
        <w:rPr>
          <w:rFonts w:eastAsia="Calibri" w:cs="Times New Roman"/>
          <w:spacing w:val="3"/>
          <w:szCs w:val="24"/>
        </w:rPr>
        <w:t xml:space="preserve"> </w:t>
      </w:r>
      <w:r w:rsidRPr="00EC4EC4">
        <w:rPr>
          <w:rFonts w:eastAsia="Calibri" w:cs="Times New Roman"/>
          <w:szCs w:val="24"/>
        </w:rPr>
        <w:t>limitations</w:t>
      </w:r>
      <w:r w:rsidRPr="00EC4EC4">
        <w:rPr>
          <w:rFonts w:eastAsia="Calibri" w:cs="Times New Roman"/>
          <w:bCs/>
          <w:szCs w:val="24"/>
        </w:rPr>
        <w:t xml:space="preserve"> in </w:t>
      </w:r>
      <w:r w:rsidRPr="00EC4EC4">
        <w:rPr>
          <w:rFonts w:eastAsia="Calibri" w:cs="Times New Roman"/>
          <w:szCs w:val="24"/>
        </w:rPr>
        <w:t>Sections</w:t>
      </w:r>
      <w:r w:rsidRPr="00EC4EC4">
        <w:rPr>
          <w:rFonts w:eastAsia="Calibri" w:cs="Times New Roman"/>
          <w:spacing w:val="3"/>
          <w:szCs w:val="24"/>
        </w:rPr>
        <w:t xml:space="preserve"> [</w:t>
      </w:r>
      <w:r w:rsidRPr="00EC4EC4">
        <w:rPr>
          <w:rFonts w:eastAsia="Calibri" w:cs="Times New Roman"/>
          <w:strike/>
          <w:spacing w:val="3"/>
          <w:szCs w:val="24"/>
        </w:rPr>
        <w:t>308.2.1</w:t>
      </w:r>
      <w:r w:rsidRPr="00EC4EC4">
        <w:rPr>
          <w:rFonts w:eastAsia="Calibri" w:cs="Times New Roman"/>
          <w:spacing w:val="3"/>
          <w:szCs w:val="24"/>
        </w:rPr>
        <w:t>]</w:t>
      </w:r>
      <w:r w:rsidRPr="00EC4EC4">
        <w:rPr>
          <w:rFonts w:eastAsia="Calibri" w:cs="Times New Roman"/>
          <w:spacing w:val="3"/>
          <w:szCs w:val="24"/>
          <w:u w:val="single"/>
        </w:rPr>
        <w:t>2308.2.1</w:t>
      </w:r>
      <w:r w:rsidRPr="00EC4EC4">
        <w:rPr>
          <w:rFonts w:eastAsia="Calibri" w:cs="Times New Roman"/>
          <w:spacing w:val="3"/>
          <w:szCs w:val="24"/>
        </w:rPr>
        <w:t xml:space="preserve"> </w:t>
      </w:r>
      <w:r w:rsidRPr="00EC4EC4">
        <w:rPr>
          <w:rFonts w:eastAsia="Calibri" w:cs="Times New Roman"/>
          <w:bCs/>
          <w:szCs w:val="24"/>
        </w:rPr>
        <w:t xml:space="preserve">through </w:t>
      </w:r>
      <w:r w:rsidRPr="00EC4EC4">
        <w:rPr>
          <w:rFonts w:eastAsia="Calibri" w:cs="Times New Roman"/>
          <w:spacing w:val="3"/>
          <w:szCs w:val="24"/>
        </w:rPr>
        <w:t>2308.2.6</w:t>
      </w:r>
      <w:r w:rsidRPr="00EC4EC4">
        <w:rPr>
          <w:rFonts w:eastAsia="Calibri" w:cs="Times New Roman"/>
          <w:bCs/>
          <w:szCs w:val="24"/>
        </w:rPr>
        <w:t>.</w:t>
      </w:r>
    </w:p>
    <w:p w14:paraId="4D6DC81B" w14:textId="4E25C672" w:rsidR="00140B7C" w:rsidRPr="00EC4EC4" w:rsidRDefault="00140B7C" w:rsidP="00140B7C">
      <w:pPr>
        <w:kinsoku w:val="0"/>
        <w:spacing w:after="240" w:line="240" w:lineRule="auto"/>
        <w:ind w:firstLine="720"/>
        <w:jc w:val="both"/>
        <w:rPr>
          <w:rFonts w:eastAsia="Times New Roman" w:cs="Times New Roman"/>
          <w:b/>
          <w:bCs/>
          <w:szCs w:val="24"/>
        </w:rPr>
      </w:pPr>
      <w:bookmarkStart w:id="164" w:name="_Toc389738042"/>
      <w:bookmarkStart w:id="165" w:name="_Toc389746604"/>
      <w:r w:rsidRPr="00EC4EC4">
        <w:rPr>
          <w:rFonts w:cs="Times New Roman"/>
          <w:color w:val="000000"/>
          <w:sz w:val="23"/>
          <w:szCs w:val="23"/>
        </w:rPr>
        <w:t>§</w:t>
      </w:r>
      <w:r>
        <w:rPr>
          <w:rFonts w:cs="Times New Roman"/>
          <w:color w:val="000000"/>
          <w:sz w:val="23"/>
          <w:szCs w:val="23"/>
        </w:rPr>
        <w:t>21</w:t>
      </w:r>
      <w:r w:rsidR="000F59EB">
        <w:rPr>
          <w:rFonts w:cs="Times New Roman"/>
          <w:color w:val="000000"/>
          <w:sz w:val="23"/>
          <w:szCs w:val="23"/>
        </w:rPr>
        <w:t>7</w:t>
      </w:r>
      <w:r w:rsidRPr="00EC4EC4">
        <w:rPr>
          <w:rFonts w:cs="Times New Roman"/>
          <w:color w:val="000000"/>
          <w:sz w:val="23"/>
          <w:szCs w:val="23"/>
        </w:rPr>
        <w:t>. Section 2308.5.4 of  the New York city building code, as amended by local law number 126 for the year 2021, is amended to read as follows:</w:t>
      </w:r>
    </w:p>
    <w:p w14:paraId="07A28B1B" w14:textId="77777777" w:rsidR="00140B7C" w:rsidRPr="00EC4EC4" w:rsidRDefault="00140B7C" w:rsidP="00140B7C">
      <w:pPr>
        <w:spacing w:after="240" w:line="240" w:lineRule="auto"/>
        <w:jc w:val="both"/>
        <w:rPr>
          <w:rFonts w:eastAsia="Calibri" w:cs="Times New Roman"/>
          <w:szCs w:val="24"/>
        </w:rPr>
      </w:pPr>
      <w:bookmarkStart w:id="166" w:name="_Toc389738087"/>
      <w:bookmarkStart w:id="167" w:name="_Toc389746649"/>
      <w:bookmarkEnd w:id="164"/>
      <w:bookmarkEnd w:id="165"/>
      <w:r w:rsidRPr="00EC4EC4">
        <w:rPr>
          <w:rFonts w:cs="Times New Roman"/>
          <w:b/>
          <w:bCs/>
          <w:szCs w:val="32"/>
        </w:rPr>
        <w:t>2308.5.4</w:t>
      </w:r>
      <w:r w:rsidRPr="00EC4EC4">
        <w:rPr>
          <w:rFonts w:eastAsia="Calibri" w:cs="Times New Roman"/>
          <w:b/>
          <w:bCs/>
          <w:szCs w:val="32"/>
        </w:rPr>
        <w:t xml:space="preserve"> </w:t>
      </w:r>
      <w:r w:rsidRPr="00EC4EC4">
        <w:rPr>
          <w:rFonts w:cs="Times New Roman"/>
          <w:b/>
          <w:bCs/>
          <w:szCs w:val="32"/>
        </w:rPr>
        <w:t>Nonload-bearing walls and partitions.</w:t>
      </w:r>
      <w:bookmarkEnd w:id="166"/>
      <w:bookmarkEnd w:id="167"/>
      <w:r w:rsidRPr="00EC4EC4">
        <w:rPr>
          <w:rFonts w:cs="Times New Roman"/>
          <w:b/>
          <w:bCs/>
          <w:szCs w:val="24"/>
        </w:rPr>
        <w:t xml:space="preserve"> </w:t>
      </w:r>
      <w:r w:rsidRPr="00EC4EC4">
        <w:rPr>
          <w:rFonts w:eastAsia="Calibri" w:cs="Times New Roman"/>
          <w:szCs w:val="24"/>
        </w:rPr>
        <w:t xml:space="preserve">In </w:t>
      </w:r>
      <w:r w:rsidRPr="00EC4EC4">
        <w:rPr>
          <w:rFonts w:eastAsia="Calibri" w:cs="Times New Roman"/>
          <w:bCs/>
          <w:szCs w:val="24"/>
        </w:rPr>
        <w:t>nonload-bearing</w:t>
      </w:r>
      <w:r w:rsidRPr="00EC4EC4">
        <w:rPr>
          <w:rFonts w:eastAsia="Calibri" w:cs="Times New Roman"/>
          <w:szCs w:val="24"/>
        </w:rPr>
        <w:t xml:space="preserve"> walls and partitions </w:t>
      </w:r>
      <w:r w:rsidRPr="00EC4EC4">
        <w:rPr>
          <w:rFonts w:eastAsia="Calibri" w:cs="Times New Roman"/>
          <w:bCs/>
          <w:szCs w:val="24"/>
        </w:rPr>
        <w:t xml:space="preserve">that are not part of a braced wall panel, </w:t>
      </w:r>
      <w:r w:rsidRPr="00EC4EC4">
        <w:rPr>
          <w:rFonts w:eastAsia="Calibri" w:cs="Times New Roman"/>
          <w:szCs w:val="24"/>
        </w:rPr>
        <w:t>studs shall be spaced not more than [</w:t>
      </w:r>
      <w:r w:rsidRPr="00EC4EC4">
        <w:rPr>
          <w:rFonts w:eastAsia="Calibri" w:cs="Times New Roman"/>
          <w:strike/>
          <w:szCs w:val="24"/>
        </w:rPr>
        <w:t>4</w:t>
      </w:r>
      <w:r w:rsidRPr="00EC4EC4">
        <w:rPr>
          <w:rFonts w:eastAsia="Calibri" w:cs="Times New Roman"/>
          <w:szCs w:val="24"/>
        </w:rPr>
        <w:t>]</w:t>
      </w:r>
      <w:r w:rsidRPr="00EC4EC4">
        <w:rPr>
          <w:rFonts w:eastAsia="Calibri" w:cs="Times New Roman"/>
          <w:spacing w:val="2"/>
          <w:szCs w:val="24"/>
          <w:u w:val="single"/>
        </w:rPr>
        <w:t>2</w:t>
      </w:r>
      <w:r w:rsidRPr="00EC4EC4">
        <w:rPr>
          <w:rFonts w:eastAsia="Calibri" w:cs="Times New Roman"/>
          <w:bCs/>
          <w:szCs w:val="24"/>
          <w:u w:val="single"/>
        </w:rPr>
        <w:t>4</w:t>
      </w:r>
      <w:r w:rsidRPr="00EC4EC4">
        <w:rPr>
          <w:rFonts w:eastAsia="Calibri" w:cs="Times New Roman"/>
          <w:szCs w:val="24"/>
        </w:rPr>
        <w:t xml:space="preserve"> inches (610 mm) </w:t>
      </w:r>
      <w:r w:rsidRPr="00EC4EC4">
        <w:rPr>
          <w:rFonts w:eastAsia="Calibri" w:cs="Times New Roman"/>
          <w:bCs/>
          <w:szCs w:val="24"/>
        </w:rPr>
        <w:t>on center. In interior nonload-bearing walls and partitions, studs</w:t>
      </w:r>
      <w:r w:rsidRPr="00EC4EC4">
        <w:rPr>
          <w:rFonts w:eastAsia="Calibri" w:cs="Times New Roman"/>
          <w:szCs w:val="24"/>
        </w:rPr>
        <w:t xml:space="preserve"> are permitted to be set with the long dimension parallel to the wall. </w:t>
      </w:r>
      <w:r w:rsidRPr="00EC4EC4">
        <w:rPr>
          <w:rFonts w:eastAsia="Calibri" w:cs="Times New Roman"/>
          <w:bCs/>
          <w:szCs w:val="24"/>
        </w:rPr>
        <w:t xml:space="preserve">Where studs are set with the long dimensions parallel to the wall, use of utility grade lumber or studs exceeding 10 feet (3048 mm) is not permitted. </w:t>
      </w:r>
      <w:r w:rsidRPr="00EC4EC4">
        <w:rPr>
          <w:rFonts w:eastAsia="Calibri" w:cs="Times New Roman"/>
          <w:szCs w:val="24"/>
        </w:rPr>
        <w:t xml:space="preserve">Interior </w:t>
      </w:r>
      <w:r w:rsidRPr="00EC4EC4">
        <w:rPr>
          <w:rFonts w:eastAsia="Calibri" w:cs="Times New Roman"/>
          <w:bCs/>
          <w:szCs w:val="24"/>
        </w:rPr>
        <w:t>nonload-bearing</w:t>
      </w:r>
      <w:r w:rsidRPr="00EC4EC4">
        <w:rPr>
          <w:rFonts w:eastAsia="Calibri" w:cs="Times New Roman"/>
          <w:szCs w:val="24"/>
        </w:rPr>
        <w:t xml:space="preserve"> partitions shall be capped with [</w:t>
      </w:r>
      <w:r w:rsidRPr="00EC4EC4">
        <w:rPr>
          <w:rFonts w:eastAsia="Calibri" w:cs="Times New Roman"/>
          <w:strike/>
          <w:spacing w:val="3"/>
          <w:szCs w:val="24"/>
        </w:rPr>
        <w:t>no</w:t>
      </w:r>
      <w:r w:rsidRPr="00EC4EC4">
        <w:rPr>
          <w:rFonts w:eastAsia="Calibri" w:cs="Times New Roman"/>
          <w:spacing w:val="3"/>
          <w:szCs w:val="24"/>
        </w:rPr>
        <w:t xml:space="preserve">] </w:t>
      </w:r>
      <w:r w:rsidRPr="00EC4EC4">
        <w:rPr>
          <w:rFonts w:eastAsia="Calibri" w:cs="Times New Roman"/>
          <w:bCs/>
          <w:szCs w:val="24"/>
        </w:rPr>
        <w:t>not</w:t>
      </w:r>
      <w:r w:rsidRPr="00EC4EC4">
        <w:rPr>
          <w:rFonts w:eastAsia="Calibri" w:cs="Times New Roman"/>
          <w:szCs w:val="24"/>
        </w:rPr>
        <w:t xml:space="preserve"> less than a single top plate installed to provide </w:t>
      </w:r>
      <w:r w:rsidRPr="00EC4EC4">
        <w:rPr>
          <w:rFonts w:eastAsia="Calibri" w:cs="Times New Roman"/>
          <w:bCs/>
          <w:szCs w:val="24"/>
        </w:rPr>
        <w:t>overlapping</w:t>
      </w:r>
      <w:r w:rsidRPr="00EC4EC4">
        <w:rPr>
          <w:rFonts w:eastAsia="Calibri" w:cs="Times New Roman"/>
          <w:szCs w:val="24"/>
        </w:rPr>
        <w:t xml:space="preserve"> at corners and at intersections with other walls and partitions. The plate shall be continuously tied at joints by solid blocking </w:t>
      </w:r>
      <w:r w:rsidRPr="00EC4EC4">
        <w:rPr>
          <w:rFonts w:eastAsia="Calibri" w:cs="Times New Roman"/>
          <w:bCs/>
          <w:szCs w:val="24"/>
        </w:rPr>
        <w:t>not less than</w:t>
      </w:r>
      <w:r w:rsidRPr="00EC4EC4">
        <w:rPr>
          <w:rFonts w:eastAsia="Calibri" w:cs="Times New Roman"/>
          <w:szCs w:val="24"/>
        </w:rPr>
        <w:t xml:space="preserve"> 16 inches (406 mm) in length and equal in size to the plate or by ½-inch by 1½-inch (12.7 mm by 38 mm) metal ties with spliced sections </w:t>
      </w:r>
      <w:r w:rsidRPr="00EC4EC4">
        <w:rPr>
          <w:rFonts w:eastAsia="Calibri" w:cs="Times New Roman"/>
          <w:bCs/>
          <w:szCs w:val="24"/>
        </w:rPr>
        <w:t>fastened</w:t>
      </w:r>
      <w:r w:rsidRPr="00EC4EC4">
        <w:rPr>
          <w:rFonts w:eastAsia="Calibri" w:cs="Times New Roman"/>
          <w:szCs w:val="24"/>
        </w:rPr>
        <w:t xml:space="preserve"> with two 16d nails on each side of the joint.</w:t>
      </w:r>
      <w:bookmarkStart w:id="168" w:name="_Toc389738089"/>
      <w:bookmarkStart w:id="169" w:name="_Toc389746651"/>
    </w:p>
    <w:p w14:paraId="01BF2F61" w14:textId="5E5B22E3"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21</w:t>
      </w:r>
      <w:r w:rsidR="000F59EB">
        <w:rPr>
          <w:rFonts w:cs="Times New Roman"/>
          <w:color w:val="000000"/>
          <w:sz w:val="23"/>
          <w:szCs w:val="23"/>
        </w:rPr>
        <w:t>8</w:t>
      </w:r>
      <w:r w:rsidRPr="00EC4EC4">
        <w:rPr>
          <w:rFonts w:cs="Times New Roman"/>
          <w:color w:val="000000"/>
          <w:sz w:val="23"/>
          <w:szCs w:val="23"/>
        </w:rPr>
        <w:t>. Section 2308.5.5.1 of  the New York city building code, as added by local law number 126 for the year 2021, is amended to read as follows:</w:t>
      </w:r>
    </w:p>
    <w:p w14:paraId="1E8941EE" w14:textId="77777777" w:rsidR="00140B7C" w:rsidRPr="00EC4EC4" w:rsidRDefault="00140B7C" w:rsidP="00140B7C">
      <w:pPr>
        <w:spacing w:after="240" w:line="240" w:lineRule="auto"/>
        <w:jc w:val="both"/>
        <w:rPr>
          <w:rFonts w:eastAsia="Calibri" w:cs="Times New Roman"/>
          <w:szCs w:val="24"/>
        </w:rPr>
      </w:pPr>
      <w:r w:rsidRPr="00EC4EC4">
        <w:rPr>
          <w:rFonts w:eastAsia="Calibri" w:cs="Times New Roman"/>
          <w:b/>
          <w:caps/>
          <w:szCs w:val="24"/>
        </w:rPr>
        <w:t>2308.5.5.1</w:t>
      </w:r>
      <w:r w:rsidRPr="00EC4EC4">
        <w:rPr>
          <w:rFonts w:eastAsia="Calibri" w:cs="Times New Roman"/>
          <w:b/>
          <w:szCs w:val="24"/>
        </w:rPr>
        <w:t xml:space="preserve"> Openings in exterior bearing walls</w:t>
      </w:r>
      <w:r w:rsidRPr="00EC4EC4">
        <w:rPr>
          <w:rFonts w:eastAsia="Calibri" w:cs="Times New Roman"/>
          <w:b/>
          <w:caps/>
          <w:szCs w:val="24"/>
        </w:rPr>
        <w:t>.</w:t>
      </w:r>
      <w:bookmarkEnd w:id="168"/>
      <w:bookmarkEnd w:id="169"/>
      <w:r w:rsidRPr="00EC4EC4">
        <w:rPr>
          <w:rFonts w:eastAsia="Calibri" w:cs="Times New Roman"/>
          <w:b/>
          <w:caps/>
          <w:szCs w:val="24"/>
        </w:rPr>
        <w:t xml:space="preserve"> </w:t>
      </w:r>
      <w:r w:rsidRPr="00EC4EC4">
        <w:rPr>
          <w:rFonts w:eastAsia="Calibri" w:cs="Times New Roman"/>
          <w:szCs w:val="24"/>
        </w:rPr>
        <w:t>Headers shall be provided over each opening in exterior bearing walls. The size and spans in Table 2308.4.1.1(1) are permitted to be used for one- and two-family dwellings. Headers for other buildings shall be designed in accordance with Section 2301.2, Item 1 or 2. Headers shall be of two pieces of nominal 2-inch (51 mm) framing lumber set on edge as permitted by Table 2308.4.1.1(1) and nailed together in accordance with Table 2304.10.1 or of solid lumber of equivalent size.</w:t>
      </w:r>
    </w:p>
    <w:p w14:paraId="12B308F4" w14:textId="77777777" w:rsidR="00140B7C" w:rsidRPr="00EC4EC4" w:rsidRDefault="00140B7C" w:rsidP="00140B7C">
      <w:pPr>
        <w:spacing w:after="240" w:line="240" w:lineRule="auto"/>
        <w:ind w:firstLine="360"/>
        <w:jc w:val="both"/>
        <w:rPr>
          <w:rFonts w:eastAsia="Calibri" w:cs="Times New Roman"/>
          <w:szCs w:val="24"/>
        </w:rPr>
      </w:pPr>
      <w:r w:rsidRPr="00EC4EC4">
        <w:rPr>
          <w:rFonts w:eastAsia="Calibri" w:cs="Times New Roman"/>
          <w:szCs w:val="24"/>
        </w:rPr>
        <w:t>Wall studs shall support the ends of the header in accordance with Table 2308.4.1.1(1). Each end of a lintel or header shall have a bearing length of not less [</w:t>
      </w:r>
      <w:r w:rsidRPr="00EC4EC4">
        <w:rPr>
          <w:rFonts w:eastAsia="Calibri" w:cs="Times New Roman"/>
          <w:strike/>
          <w:szCs w:val="24"/>
        </w:rPr>
        <w:t>that</w:t>
      </w:r>
      <w:r w:rsidRPr="00EC4EC4">
        <w:rPr>
          <w:rFonts w:eastAsia="Calibri" w:cs="Times New Roman"/>
          <w:szCs w:val="24"/>
        </w:rPr>
        <w:t>]</w:t>
      </w:r>
      <w:r w:rsidRPr="00EC4EC4">
        <w:rPr>
          <w:rFonts w:eastAsia="Calibri" w:cs="Times New Roman"/>
          <w:szCs w:val="24"/>
          <w:u w:val="single"/>
        </w:rPr>
        <w:t>than</w:t>
      </w:r>
      <w:r w:rsidRPr="00EC4EC4">
        <w:rPr>
          <w:rFonts w:eastAsia="Calibri" w:cs="Times New Roman"/>
          <w:szCs w:val="24"/>
        </w:rPr>
        <w:t xml:space="preserve"> 1½ inches (38 mm) for the full width of the lintel.</w:t>
      </w:r>
    </w:p>
    <w:p w14:paraId="796B39AD" w14:textId="304FA53E"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21</w:t>
      </w:r>
      <w:r w:rsidR="000F59EB">
        <w:rPr>
          <w:rFonts w:cs="Times New Roman"/>
          <w:color w:val="000000"/>
          <w:sz w:val="23"/>
          <w:szCs w:val="23"/>
        </w:rPr>
        <w:t>9</w:t>
      </w:r>
      <w:r w:rsidRPr="00EC4EC4">
        <w:rPr>
          <w:rFonts w:cs="Times New Roman"/>
          <w:color w:val="000000"/>
          <w:sz w:val="23"/>
          <w:szCs w:val="23"/>
        </w:rPr>
        <w:t xml:space="preserve">. </w:t>
      </w:r>
      <w:r>
        <w:rPr>
          <w:rFonts w:cs="Times New Roman"/>
          <w:color w:val="000000"/>
          <w:sz w:val="23"/>
          <w:szCs w:val="23"/>
        </w:rPr>
        <w:t>The footnotes to t</w:t>
      </w:r>
      <w:r w:rsidRPr="00EC4EC4">
        <w:rPr>
          <w:rFonts w:cs="Times New Roman"/>
          <w:color w:val="000000"/>
          <w:sz w:val="23"/>
          <w:szCs w:val="23"/>
        </w:rPr>
        <w:t xml:space="preserve">able 2308.7.2(2) of the New York city building code, as amended by local law number 126 for the year 2021, </w:t>
      </w:r>
      <w:r>
        <w:rPr>
          <w:rFonts w:cs="Times New Roman"/>
          <w:color w:val="000000"/>
          <w:sz w:val="23"/>
          <w:szCs w:val="23"/>
        </w:rPr>
        <w:t>are</w:t>
      </w:r>
      <w:r w:rsidRPr="00EC4EC4">
        <w:rPr>
          <w:rFonts w:cs="Times New Roman"/>
          <w:color w:val="000000"/>
          <w:sz w:val="23"/>
          <w:szCs w:val="23"/>
        </w:rPr>
        <w:t xml:space="preserve"> amended to read as follows:</w:t>
      </w:r>
    </w:p>
    <w:p w14:paraId="2190952A"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Check sources for availability of lumber in lengths greater than 20 feet.</w:t>
      </w:r>
    </w:p>
    <w:p w14:paraId="42B734B7"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p>
    <w:p w14:paraId="096E1CC3"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For SI: 1 inch = 25.4 mm, 1 foot = [</w:t>
      </w:r>
      <w:r w:rsidRPr="00EC4EC4">
        <w:rPr>
          <w:rFonts w:eastAsia="Times New Roman" w:cs="Times New Roman"/>
          <w:strike/>
          <w:color w:val="000000"/>
          <w:sz w:val="14"/>
          <w:szCs w:val="14"/>
        </w:rPr>
        <w:t>04.8</w:t>
      </w:r>
      <w:r w:rsidRPr="00EC4EC4">
        <w:rPr>
          <w:rFonts w:eastAsia="Times New Roman" w:cs="Times New Roman"/>
          <w:color w:val="000000"/>
          <w:sz w:val="14"/>
          <w:szCs w:val="14"/>
        </w:rPr>
        <w:t>]</w:t>
      </w:r>
      <w:r w:rsidRPr="00EC4EC4">
        <w:rPr>
          <w:rFonts w:eastAsia="Times New Roman" w:cs="Times New Roman"/>
          <w:color w:val="000000"/>
          <w:sz w:val="14"/>
          <w:szCs w:val="14"/>
          <w:u w:val="single"/>
        </w:rPr>
        <w:t>304.8</w:t>
      </w:r>
      <w:r w:rsidRPr="00EC4EC4">
        <w:rPr>
          <w:rFonts w:eastAsia="Times New Roman" w:cs="Times New Roman"/>
          <w:color w:val="000000"/>
          <w:sz w:val="14"/>
          <w:szCs w:val="14"/>
        </w:rPr>
        <w:t xml:space="preserve"> mm, 1 pound per square foot =[</w:t>
      </w:r>
      <w:r w:rsidRPr="00EC4EC4">
        <w:rPr>
          <w:rFonts w:eastAsia="Times New Roman" w:cs="Times New Roman"/>
          <w:strike/>
          <w:color w:val="000000"/>
          <w:sz w:val="14"/>
          <w:szCs w:val="14"/>
        </w:rPr>
        <w:t>.0479</w:t>
      </w:r>
      <w:r w:rsidRPr="00EC4EC4">
        <w:rPr>
          <w:rFonts w:eastAsia="Times New Roman" w:cs="Times New Roman"/>
          <w:color w:val="000000"/>
          <w:sz w:val="14"/>
          <w:szCs w:val="14"/>
        </w:rPr>
        <w:t>]</w:t>
      </w:r>
      <w:r w:rsidRPr="00EC4EC4">
        <w:rPr>
          <w:rFonts w:eastAsia="Times New Roman" w:cs="Times New Roman"/>
          <w:color w:val="000000"/>
          <w:sz w:val="14"/>
          <w:szCs w:val="14"/>
          <w:u w:val="single"/>
        </w:rPr>
        <w:t>0.0479</w:t>
      </w:r>
      <w:r w:rsidRPr="00EC4EC4">
        <w:rPr>
          <w:rFonts w:eastAsia="Times New Roman" w:cs="Times New Roman"/>
          <w:color w:val="000000"/>
          <w:sz w:val="14"/>
          <w:szCs w:val="14"/>
        </w:rPr>
        <w:t xml:space="preserve"> kPa.</w:t>
      </w:r>
    </w:p>
    <w:p w14:paraId="605214DE" w14:textId="77777777" w:rsidR="00140B7C" w:rsidRPr="00EC4EC4" w:rsidRDefault="00140B7C" w:rsidP="00140B7C">
      <w:pPr>
        <w:widowControl w:val="0"/>
        <w:autoSpaceDE w:val="0"/>
        <w:autoSpaceDN w:val="0"/>
        <w:adjustRightInd w:val="0"/>
        <w:spacing w:after="24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a.</w:t>
      </w:r>
      <w:r w:rsidRPr="00EC4EC4">
        <w:rPr>
          <w:rFonts w:eastAsia="Times New Roman" w:cs="Times New Roman"/>
          <w:color w:val="000000"/>
          <w:sz w:val="14"/>
          <w:szCs w:val="14"/>
        </w:rPr>
        <w:tab/>
        <w:t>The tabulated rafter spans assume that ceiling joists are located at the bottom of the attic space or that some other method of resisting the outward push of the rafters on the bearing walls, such as rafter ties, is provided at that location. Where ceiling joists or rafter ties are located higher in the attic space, the rafter spans shall be multiplied by the following factors:</w:t>
      </w:r>
    </w:p>
    <w:tbl>
      <w:tblPr>
        <w:tblStyle w:val="TableGrid6"/>
        <w:tblW w:w="0" w:type="auto"/>
        <w:tblInd w:w="108" w:type="dxa"/>
        <w:tblLook w:val="04A0" w:firstRow="1" w:lastRow="0" w:firstColumn="1" w:lastColumn="0" w:noHBand="0" w:noVBand="1"/>
      </w:tblPr>
      <w:tblGrid>
        <w:gridCol w:w="2448"/>
        <w:gridCol w:w="3330"/>
      </w:tblGrid>
      <w:tr w:rsidR="00140B7C" w:rsidRPr="00EC4EC4" w14:paraId="19D393DC" w14:textId="77777777" w:rsidTr="00BC1087">
        <w:tc>
          <w:tcPr>
            <w:tcW w:w="2448" w:type="dxa"/>
          </w:tcPr>
          <w:p w14:paraId="47F7730C" w14:textId="77777777" w:rsidR="00140B7C" w:rsidRPr="00EC4EC4" w:rsidRDefault="00140B7C" w:rsidP="00BC1087">
            <w:pPr>
              <w:widowControl w:val="0"/>
              <w:autoSpaceDE w:val="0"/>
              <w:autoSpaceDN w:val="0"/>
              <w:adjustRightInd w:val="0"/>
              <w:jc w:val="center"/>
              <w:rPr>
                <w:b/>
                <w:i/>
                <w:color w:val="000000"/>
                <w:sz w:val="14"/>
                <w:szCs w:val="14"/>
              </w:rPr>
            </w:pPr>
            <w:r w:rsidRPr="00EC4EC4">
              <w:rPr>
                <w:b/>
                <w:i/>
                <w:color w:val="000000"/>
                <w:sz w:val="14"/>
                <w:szCs w:val="14"/>
              </w:rPr>
              <w:t>H</w:t>
            </w:r>
            <w:r w:rsidRPr="00EC4EC4">
              <w:rPr>
                <w:b/>
                <w:i/>
                <w:color w:val="000000"/>
                <w:sz w:val="14"/>
                <w:szCs w:val="14"/>
                <w:vertAlign w:val="subscript"/>
              </w:rPr>
              <w:t>c</w:t>
            </w:r>
            <w:r w:rsidRPr="00EC4EC4">
              <w:rPr>
                <w:b/>
                <w:i/>
                <w:color w:val="000000"/>
                <w:sz w:val="14"/>
                <w:szCs w:val="14"/>
              </w:rPr>
              <w:t>/H</w:t>
            </w:r>
            <w:r w:rsidRPr="00EC4EC4">
              <w:rPr>
                <w:b/>
                <w:i/>
                <w:color w:val="000000"/>
                <w:sz w:val="14"/>
                <w:szCs w:val="14"/>
                <w:vertAlign w:val="subscript"/>
              </w:rPr>
              <w:t>R</w:t>
            </w:r>
          </w:p>
        </w:tc>
        <w:tc>
          <w:tcPr>
            <w:tcW w:w="3330" w:type="dxa"/>
          </w:tcPr>
          <w:p w14:paraId="7B056A7F" w14:textId="77777777" w:rsidR="00140B7C" w:rsidRPr="00EC4EC4" w:rsidRDefault="00140B7C" w:rsidP="00BC1087">
            <w:pPr>
              <w:widowControl w:val="0"/>
              <w:autoSpaceDE w:val="0"/>
              <w:autoSpaceDN w:val="0"/>
              <w:adjustRightInd w:val="0"/>
              <w:jc w:val="center"/>
              <w:rPr>
                <w:b/>
                <w:color w:val="000000"/>
                <w:sz w:val="14"/>
                <w:szCs w:val="14"/>
              </w:rPr>
            </w:pPr>
            <w:r w:rsidRPr="00EC4EC4">
              <w:rPr>
                <w:b/>
                <w:color w:val="000000"/>
                <w:sz w:val="14"/>
                <w:szCs w:val="14"/>
              </w:rPr>
              <w:t>Rafter Span Adjustment Factor</w:t>
            </w:r>
          </w:p>
        </w:tc>
      </w:tr>
      <w:tr w:rsidR="00140B7C" w:rsidRPr="00EC4EC4" w14:paraId="348084D5" w14:textId="77777777" w:rsidTr="00BC1087">
        <w:tc>
          <w:tcPr>
            <w:tcW w:w="2448" w:type="dxa"/>
          </w:tcPr>
          <w:p w14:paraId="64DC0D00"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lastRenderedPageBreak/>
              <w:t>1/3</w:t>
            </w:r>
          </w:p>
        </w:tc>
        <w:tc>
          <w:tcPr>
            <w:tcW w:w="3330" w:type="dxa"/>
          </w:tcPr>
          <w:p w14:paraId="68EBAE09"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0.67</w:t>
            </w:r>
          </w:p>
        </w:tc>
      </w:tr>
      <w:tr w:rsidR="00140B7C" w:rsidRPr="00EC4EC4" w14:paraId="652D142B" w14:textId="77777777" w:rsidTr="00BC1087">
        <w:tc>
          <w:tcPr>
            <w:tcW w:w="2448" w:type="dxa"/>
          </w:tcPr>
          <w:p w14:paraId="4174B8FE"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¼</w:t>
            </w:r>
          </w:p>
        </w:tc>
        <w:tc>
          <w:tcPr>
            <w:tcW w:w="3330" w:type="dxa"/>
          </w:tcPr>
          <w:p w14:paraId="35E9CB68"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0.76</w:t>
            </w:r>
          </w:p>
        </w:tc>
      </w:tr>
      <w:tr w:rsidR="00140B7C" w:rsidRPr="00EC4EC4" w14:paraId="714DC520" w14:textId="77777777" w:rsidTr="00BC1087">
        <w:tc>
          <w:tcPr>
            <w:tcW w:w="2448" w:type="dxa"/>
          </w:tcPr>
          <w:p w14:paraId="0D6BA917"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1/5</w:t>
            </w:r>
          </w:p>
        </w:tc>
        <w:tc>
          <w:tcPr>
            <w:tcW w:w="3330" w:type="dxa"/>
          </w:tcPr>
          <w:p w14:paraId="7642874E"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0.83</w:t>
            </w:r>
          </w:p>
        </w:tc>
      </w:tr>
      <w:tr w:rsidR="00140B7C" w:rsidRPr="00EC4EC4" w14:paraId="66651902" w14:textId="77777777" w:rsidTr="00BC1087">
        <w:tc>
          <w:tcPr>
            <w:tcW w:w="2448" w:type="dxa"/>
          </w:tcPr>
          <w:p w14:paraId="4F905E53"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1/6</w:t>
            </w:r>
          </w:p>
        </w:tc>
        <w:tc>
          <w:tcPr>
            <w:tcW w:w="3330" w:type="dxa"/>
          </w:tcPr>
          <w:p w14:paraId="707F802C"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0.90</w:t>
            </w:r>
          </w:p>
        </w:tc>
      </w:tr>
      <w:tr w:rsidR="00140B7C" w:rsidRPr="00EC4EC4" w14:paraId="01707A8E" w14:textId="77777777" w:rsidTr="00BC1087">
        <w:tc>
          <w:tcPr>
            <w:tcW w:w="2448" w:type="dxa"/>
          </w:tcPr>
          <w:p w14:paraId="4F7D59D6"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1/7.5 or less</w:t>
            </w:r>
          </w:p>
        </w:tc>
        <w:tc>
          <w:tcPr>
            <w:tcW w:w="3330" w:type="dxa"/>
          </w:tcPr>
          <w:p w14:paraId="16EC471A"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1.00</w:t>
            </w:r>
          </w:p>
        </w:tc>
      </w:tr>
    </w:tbl>
    <w:p w14:paraId="531A3F59" w14:textId="77777777" w:rsidR="00140B7C" w:rsidRPr="00EC4EC4" w:rsidRDefault="00140B7C" w:rsidP="00140B7C">
      <w:pPr>
        <w:widowControl w:val="0"/>
        <w:autoSpaceDE w:val="0"/>
        <w:autoSpaceDN w:val="0"/>
        <w:adjustRightInd w:val="0"/>
        <w:spacing w:after="0" w:line="240" w:lineRule="auto"/>
        <w:ind w:left="-180" w:firstLine="180"/>
        <w:rPr>
          <w:rFonts w:eastAsia="Times New Roman" w:cs="Times New Roman"/>
          <w:color w:val="000000"/>
          <w:sz w:val="14"/>
          <w:szCs w:val="14"/>
        </w:rPr>
      </w:pPr>
      <w:r w:rsidRPr="00EC4EC4">
        <w:rPr>
          <w:rFonts w:eastAsia="Times New Roman" w:cs="Times New Roman"/>
          <w:color w:val="000000"/>
          <w:sz w:val="14"/>
          <w:szCs w:val="14"/>
        </w:rPr>
        <w:t>where:</w:t>
      </w:r>
    </w:p>
    <w:p w14:paraId="30FD2827" w14:textId="77777777" w:rsidR="00140B7C" w:rsidRPr="00EC4EC4" w:rsidRDefault="00140B7C" w:rsidP="00140B7C">
      <w:pPr>
        <w:widowControl w:val="0"/>
        <w:autoSpaceDE w:val="0"/>
        <w:autoSpaceDN w:val="0"/>
        <w:adjustRightInd w:val="0"/>
        <w:spacing w:after="0" w:line="240" w:lineRule="auto"/>
        <w:ind w:left="-180" w:firstLine="180"/>
        <w:rPr>
          <w:rFonts w:eastAsia="Times New Roman" w:cs="Times New Roman"/>
          <w:color w:val="000000"/>
          <w:sz w:val="14"/>
          <w:szCs w:val="14"/>
        </w:rPr>
      </w:pPr>
      <w:r w:rsidRPr="00EC4EC4">
        <w:rPr>
          <w:rFonts w:eastAsia="Times New Roman" w:cs="Times New Roman"/>
          <w:color w:val="000000"/>
          <w:sz w:val="14"/>
          <w:szCs w:val="14"/>
        </w:rPr>
        <w:t>H</w:t>
      </w:r>
      <w:r w:rsidRPr="00EC4EC4">
        <w:rPr>
          <w:rFonts w:eastAsia="Times New Roman" w:cs="Times New Roman"/>
          <w:color w:val="000000"/>
          <w:sz w:val="14"/>
          <w:szCs w:val="14"/>
          <w:vertAlign w:val="subscript"/>
        </w:rPr>
        <w:t>c</w:t>
      </w:r>
      <w:r w:rsidRPr="00EC4EC4">
        <w:rPr>
          <w:rFonts w:eastAsia="Times New Roman" w:cs="Times New Roman"/>
          <w:color w:val="000000"/>
          <w:sz w:val="14"/>
          <w:szCs w:val="14"/>
        </w:rPr>
        <w:t xml:space="preserve"> = Height of ceiling joists or rafter ties measured vertically above the top of the rafter support walls.</w:t>
      </w:r>
    </w:p>
    <w:p w14:paraId="7AFA37E8" w14:textId="77777777" w:rsidR="00140B7C" w:rsidRPr="00EC4EC4" w:rsidRDefault="00140B7C" w:rsidP="00140B7C">
      <w:pPr>
        <w:widowControl w:val="0"/>
        <w:autoSpaceDE w:val="0"/>
        <w:autoSpaceDN w:val="0"/>
        <w:adjustRightInd w:val="0"/>
        <w:spacing w:after="0" w:line="240" w:lineRule="auto"/>
        <w:ind w:left="-180" w:firstLine="180"/>
        <w:rPr>
          <w:rFonts w:eastAsia="Times New Roman" w:cs="Times New Roman"/>
          <w:color w:val="000000"/>
          <w:sz w:val="14"/>
          <w:szCs w:val="14"/>
        </w:rPr>
      </w:pPr>
      <w:r w:rsidRPr="00EC4EC4">
        <w:rPr>
          <w:rFonts w:eastAsia="Times New Roman" w:cs="Times New Roman"/>
          <w:color w:val="000000"/>
          <w:sz w:val="14"/>
          <w:szCs w:val="14"/>
        </w:rPr>
        <w:t>H</w:t>
      </w:r>
      <w:r w:rsidRPr="00EC4EC4">
        <w:rPr>
          <w:rFonts w:eastAsia="Times New Roman" w:cs="Times New Roman"/>
          <w:color w:val="000000"/>
          <w:sz w:val="14"/>
          <w:szCs w:val="14"/>
          <w:vertAlign w:val="subscript"/>
        </w:rPr>
        <w:t>R</w:t>
      </w:r>
      <w:r w:rsidRPr="00EC4EC4">
        <w:rPr>
          <w:rFonts w:eastAsia="Times New Roman" w:cs="Times New Roman"/>
          <w:color w:val="000000"/>
          <w:sz w:val="14"/>
          <w:szCs w:val="14"/>
        </w:rPr>
        <w:t xml:space="preserve"> = Height of roof ridge measured vertically above the top of the rafter support walls.</w:t>
      </w:r>
    </w:p>
    <w:p w14:paraId="6C3FB404" w14:textId="77777777" w:rsidR="00140B7C" w:rsidRPr="00EC4EC4" w:rsidRDefault="00140B7C" w:rsidP="00140B7C">
      <w:pPr>
        <w:widowControl w:val="0"/>
        <w:autoSpaceDE w:val="0"/>
        <w:autoSpaceDN w:val="0"/>
        <w:adjustRightInd w:val="0"/>
        <w:spacing w:after="24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b.</w:t>
      </w:r>
      <w:r w:rsidRPr="00EC4EC4">
        <w:rPr>
          <w:rFonts w:eastAsia="Times New Roman" w:cs="Times New Roman"/>
          <w:color w:val="000000"/>
          <w:sz w:val="14"/>
          <w:szCs w:val="14"/>
        </w:rPr>
        <w:tab/>
        <w:t>Span exceeds 26 feet in length. Check sources for availability of lumber in lengths greater than 20 feet.</w:t>
      </w:r>
    </w:p>
    <w:p w14:paraId="62E9FDA7" w14:textId="2985FF0C"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0F59EB">
        <w:rPr>
          <w:rFonts w:cs="Times New Roman"/>
          <w:color w:val="000000"/>
          <w:sz w:val="23"/>
          <w:szCs w:val="23"/>
        </w:rPr>
        <w:t>20</w:t>
      </w:r>
      <w:r w:rsidRPr="00EC4EC4">
        <w:rPr>
          <w:rFonts w:cs="Times New Roman"/>
          <w:color w:val="000000"/>
          <w:sz w:val="23"/>
          <w:szCs w:val="23"/>
        </w:rPr>
        <w:t xml:space="preserve">. </w:t>
      </w:r>
      <w:r>
        <w:rPr>
          <w:rFonts w:cs="Times New Roman"/>
          <w:color w:val="000000"/>
          <w:sz w:val="23"/>
          <w:szCs w:val="23"/>
        </w:rPr>
        <w:t>The footnotes to t</w:t>
      </w:r>
      <w:r w:rsidRPr="00EC4EC4">
        <w:rPr>
          <w:rFonts w:cs="Times New Roman"/>
          <w:color w:val="000000"/>
          <w:sz w:val="23"/>
          <w:szCs w:val="23"/>
        </w:rPr>
        <w:t xml:space="preserve">able 2308.7.2(3) of  the New York city building code, as amended by local law number 126 for the year 2021, </w:t>
      </w:r>
      <w:r>
        <w:rPr>
          <w:rFonts w:cs="Times New Roman"/>
          <w:color w:val="000000"/>
          <w:sz w:val="23"/>
          <w:szCs w:val="23"/>
        </w:rPr>
        <w:t>are</w:t>
      </w:r>
      <w:r w:rsidRPr="00EC4EC4">
        <w:rPr>
          <w:rFonts w:cs="Times New Roman"/>
          <w:color w:val="000000"/>
          <w:sz w:val="23"/>
          <w:szCs w:val="23"/>
        </w:rPr>
        <w:t xml:space="preserve"> amended to read as follows:</w:t>
      </w:r>
    </w:p>
    <w:p w14:paraId="45B4E7C7"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p>
    <w:p w14:paraId="482C9DA7"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Check sources for availability of lumber in lengths greater than 20 feet.</w:t>
      </w:r>
    </w:p>
    <w:p w14:paraId="72A8D9C5" w14:textId="77777777" w:rsidR="00140B7C" w:rsidRPr="00EC4EC4" w:rsidRDefault="00140B7C" w:rsidP="00140B7C">
      <w:pPr>
        <w:widowControl w:val="0"/>
        <w:autoSpaceDE w:val="0"/>
        <w:autoSpaceDN w:val="0"/>
        <w:adjustRightInd w:val="0"/>
        <w:spacing w:after="0" w:line="240" w:lineRule="auto"/>
        <w:rPr>
          <w:rFonts w:eastAsia="Times New Roman" w:cs="Times New Roman"/>
          <w:color w:val="000000"/>
          <w:sz w:val="14"/>
          <w:szCs w:val="14"/>
        </w:rPr>
      </w:pPr>
    </w:p>
    <w:p w14:paraId="52B74D0E" w14:textId="77777777" w:rsidR="00140B7C" w:rsidRPr="00EC4EC4" w:rsidRDefault="00140B7C" w:rsidP="00140B7C">
      <w:pPr>
        <w:widowControl w:val="0"/>
        <w:autoSpaceDE w:val="0"/>
        <w:autoSpaceDN w:val="0"/>
        <w:adjustRightInd w:val="0"/>
        <w:spacing w:after="0" w:line="240" w:lineRule="auto"/>
        <w:rPr>
          <w:rFonts w:eastAsia="Times New Roman" w:cs="Times New Roman"/>
          <w:color w:val="000000"/>
          <w:sz w:val="14"/>
          <w:szCs w:val="14"/>
        </w:rPr>
      </w:pPr>
      <w:r w:rsidRPr="00EC4EC4">
        <w:rPr>
          <w:rFonts w:eastAsia="Times New Roman" w:cs="Times New Roman"/>
          <w:color w:val="000000"/>
          <w:sz w:val="14"/>
          <w:szCs w:val="14"/>
        </w:rPr>
        <w:t>For SI: 1 inch = 25.4 mm, 1 foot =[</w:t>
      </w:r>
      <w:r w:rsidRPr="00EC4EC4">
        <w:rPr>
          <w:rFonts w:eastAsia="Times New Roman" w:cs="Times New Roman"/>
          <w:strike/>
          <w:color w:val="000000"/>
          <w:sz w:val="14"/>
          <w:szCs w:val="14"/>
        </w:rPr>
        <w:t>04.8</w:t>
      </w:r>
      <w:r w:rsidRPr="00EC4EC4">
        <w:rPr>
          <w:rFonts w:eastAsia="Times New Roman" w:cs="Times New Roman"/>
          <w:color w:val="000000"/>
          <w:sz w:val="14"/>
          <w:szCs w:val="14"/>
        </w:rPr>
        <w:t>]</w:t>
      </w:r>
      <w:r w:rsidRPr="00EC4EC4">
        <w:rPr>
          <w:rFonts w:eastAsia="Times New Roman" w:cs="Times New Roman"/>
          <w:color w:val="000000"/>
          <w:sz w:val="14"/>
          <w:szCs w:val="14"/>
          <w:u w:val="single"/>
        </w:rPr>
        <w:t>304.8</w:t>
      </w:r>
      <w:r w:rsidRPr="00EC4EC4">
        <w:rPr>
          <w:rFonts w:eastAsia="Times New Roman" w:cs="Times New Roman"/>
          <w:color w:val="000000"/>
          <w:sz w:val="14"/>
          <w:szCs w:val="14"/>
        </w:rPr>
        <w:t xml:space="preserve"> mm, 1 pound per square foot =[</w:t>
      </w:r>
      <w:r w:rsidRPr="00EC4EC4">
        <w:rPr>
          <w:rFonts w:eastAsia="Times New Roman" w:cs="Times New Roman"/>
          <w:strike/>
          <w:color w:val="000000"/>
          <w:sz w:val="14"/>
          <w:szCs w:val="14"/>
        </w:rPr>
        <w:t>.0479</w:t>
      </w:r>
      <w:r w:rsidRPr="00EC4EC4">
        <w:rPr>
          <w:rFonts w:eastAsia="Times New Roman" w:cs="Times New Roman"/>
          <w:color w:val="000000"/>
          <w:sz w:val="14"/>
          <w:szCs w:val="14"/>
        </w:rPr>
        <w:t>]</w:t>
      </w:r>
      <w:r w:rsidRPr="00EC4EC4">
        <w:rPr>
          <w:rFonts w:eastAsia="Times New Roman" w:cs="Times New Roman"/>
          <w:color w:val="000000"/>
          <w:sz w:val="14"/>
          <w:szCs w:val="14"/>
          <w:u w:val="single"/>
        </w:rPr>
        <w:t>0.0479</w:t>
      </w:r>
      <w:r w:rsidRPr="00EC4EC4">
        <w:rPr>
          <w:rFonts w:eastAsia="Times New Roman" w:cs="Times New Roman"/>
          <w:color w:val="000000"/>
          <w:sz w:val="14"/>
          <w:szCs w:val="14"/>
        </w:rPr>
        <w:t xml:space="preserve"> kPa.</w:t>
      </w:r>
    </w:p>
    <w:p w14:paraId="5D1400E7" w14:textId="77777777" w:rsidR="00140B7C" w:rsidRPr="00EC4EC4" w:rsidRDefault="00140B7C" w:rsidP="00140B7C">
      <w:pPr>
        <w:widowControl w:val="0"/>
        <w:autoSpaceDE w:val="0"/>
        <w:autoSpaceDN w:val="0"/>
        <w:adjustRightInd w:val="0"/>
        <w:spacing w:after="24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a.</w:t>
      </w:r>
      <w:r w:rsidRPr="00EC4EC4">
        <w:rPr>
          <w:rFonts w:eastAsia="Times New Roman" w:cs="Times New Roman"/>
          <w:color w:val="000000"/>
          <w:sz w:val="14"/>
          <w:szCs w:val="14"/>
        </w:rPr>
        <w:tab/>
        <w:t>The tabulated rafter spans assume that ceiling joists are located at the bottom of the attic space or that some other method of resisting the outward push of the rafters on the bearing walls, such as rafter ties, is provided at that location. Where ceiling joists or rafter ties are located higher in the attic space, the rafter spans shall be multiplied by the following factors:</w:t>
      </w:r>
    </w:p>
    <w:tbl>
      <w:tblPr>
        <w:tblStyle w:val="TableGrid6"/>
        <w:tblW w:w="0" w:type="auto"/>
        <w:tblInd w:w="108" w:type="dxa"/>
        <w:tblLook w:val="04A0" w:firstRow="1" w:lastRow="0" w:firstColumn="1" w:lastColumn="0" w:noHBand="0" w:noVBand="1"/>
      </w:tblPr>
      <w:tblGrid>
        <w:gridCol w:w="2448"/>
        <w:gridCol w:w="3330"/>
      </w:tblGrid>
      <w:tr w:rsidR="00140B7C" w:rsidRPr="00EC4EC4" w14:paraId="63B0B800" w14:textId="77777777" w:rsidTr="00BC1087">
        <w:tc>
          <w:tcPr>
            <w:tcW w:w="2448" w:type="dxa"/>
          </w:tcPr>
          <w:p w14:paraId="6373908E" w14:textId="77777777" w:rsidR="00140B7C" w:rsidRPr="00EC4EC4" w:rsidRDefault="00140B7C" w:rsidP="00BC1087">
            <w:pPr>
              <w:widowControl w:val="0"/>
              <w:autoSpaceDE w:val="0"/>
              <w:autoSpaceDN w:val="0"/>
              <w:adjustRightInd w:val="0"/>
              <w:ind w:left="360" w:hanging="360"/>
              <w:jc w:val="center"/>
              <w:rPr>
                <w:b/>
                <w:i/>
                <w:color w:val="000000"/>
                <w:sz w:val="14"/>
                <w:szCs w:val="14"/>
              </w:rPr>
            </w:pPr>
            <w:r w:rsidRPr="00EC4EC4">
              <w:rPr>
                <w:b/>
                <w:i/>
                <w:color w:val="000000"/>
                <w:sz w:val="14"/>
                <w:szCs w:val="14"/>
              </w:rPr>
              <w:t>H</w:t>
            </w:r>
            <w:r w:rsidRPr="00EC4EC4">
              <w:rPr>
                <w:b/>
                <w:i/>
                <w:color w:val="000000"/>
                <w:sz w:val="14"/>
                <w:szCs w:val="14"/>
                <w:vertAlign w:val="subscript"/>
              </w:rPr>
              <w:t>c</w:t>
            </w:r>
            <w:r w:rsidRPr="00EC4EC4">
              <w:rPr>
                <w:b/>
                <w:i/>
                <w:color w:val="000000"/>
                <w:sz w:val="14"/>
                <w:szCs w:val="14"/>
              </w:rPr>
              <w:t>/H</w:t>
            </w:r>
            <w:r w:rsidRPr="00EC4EC4">
              <w:rPr>
                <w:b/>
                <w:i/>
                <w:color w:val="000000"/>
                <w:sz w:val="14"/>
                <w:szCs w:val="14"/>
                <w:vertAlign w:val="subscript"/>
              </w:rPr>
              <w:t>R</w:t>
            </w:r>
          </w:p>
        </w:tc>
        <w:tc>
          <w:tcPr>
            <w:tcW w:w="3330" w:type="dxa"/>
          </w:tcPr>
          <w:p w14:paraId="637D9457" w14:textId="77777777" w:rsidR="00140B7C" w:rsidRPr="00EC4EC4" w:rsidRDefault="00140B7C" w:rsidP="00BC1087">
            <w:pPr>
              <w:widowControl w:val="0"/>
              <w:autoSpaceDE w:val="0"/>
              <w:autoSpaceDN w:val="0"/>
              <w:adjustRightInd w:val="0"/>
              <w:ind w:left="360" w:hanging="360"/>
              <w:jc w:val="center"/>
              <w:rPr>
                <w:b/>
                <w:color w:val="000000"/>
                <w:sz w:val="14"/>
                <w:szCs w:val="14"/>
              </w:rPr>
            </w:pPr>
            <w:r w:rsidRPr="00EC4EC4">
              <w:rPr>
                <w:b/>
                <w:color w:val="000000"/>
                <w:sz w:val="14"/>
                <w:szCs w:val="14"/>
              </w:rPr>
              <w:t>Rafter Span Adjustment Factor</w:t>
            </w:r>
          </w:p>
        </w:tc>
      </w:tr>
      <w:tr w:rsidR="00140B7C" w:rsidRPr="00EC4EC4" w14:paraId="7F48CDA2" w14:textId="77777777" w:rsidTr="00BC1087">
        <w:tc>
          <w:tcPr>
            <w:tcW w:w="2448" w:type="dxa"/>
          </w:tcPr>
          <w:p w14:paraId="0D8FD582"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1/3</w:t>
            </w:r>
          </w:p>
        </w:tc>
        <w:tc>
          <w:tcPr>
            <w:tcW w:w="3330" w:type="dxa"/>
          </w:tcPr>
          <w:p w14:paraId="61FE9937"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0.67</w:t>
            </w:r>
          </w:p>
        </w:tc>
      </w:tr>
      <w:tr w:rsidR="00140B7C" w:rsidRPr="00EC4EC4" w14:paraId="0743E484" w14:textId="77777777" w:rsidTr="00BC1087">
        <w:tc>
          <w:tcPr>
            <w:tcW w:w="2448" w:type="dxa"/>
          </w:tcPr>
          <w:p w14:paraId="2705CD51"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¼</w:t>
            </w:r>
          </w:p>
        </w:tc>
        <w:tc>
          <w:tcPr>
            <w:tcW w:w="3330" w:type="dxa"/>
          </w:tcPr>
          <w:p w14:paraId="24A273DE"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0.76</w:t>
            </w:r>
          </w:p>
        </w:tc>
      </w:tr>
      <w:tr w:rsidR="00140B7C" w:rsidRPr="00EC4EC4" w14:paraId="5CF14C67" w14:textId="77777777" w:rsidTr="00BC1087">
        <w:tc>
          <w:tcPr>
            <w:tcW w:w="2448" w:type="dxa"/>
          </w:tcPr>
          <w:p w14:paraId="52A25FC3"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1/5</w:t>
            </w:r>
          </w:p>
        </w:tc>
        <w:tc>
          <w:tcPr>
            <w:tcW w:w="3330" w:type="dxa"/>
          </w:tcPr>
          <w:p w14:paraId="3A40A471"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0.83</w:t>
            </w:r>
          </w:p>
        </w:tc>
      </w:tr>
      <w:tr w:rsidR="00140B7C" w:rsidRPr="00EC4EC4" w14:paraId="21CD3F72" w14:textId="77777777" w:rsidTr="00BC1087">
        <w:tc>
          <w:tcPr>
            <w:tcW w:w="2448" w:type="dxa"/>
          </w:tcPr>
          <w:p w14:paraId="300D04F4"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1/6</w:t>
            </w:r>
          </w:p>
        </w:tc>
        <w:tc>
          <w:tcPr>
            <w:tcW w:w="3330" w:type="dxa"/>
          </w:tcPr>
          <w:p w14:paraId="7E83CFF1"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0.90</w:t>
            </w:r>
          </w:p>
        </w:tc>
      </w:tr>
      <w:tr w:rsidR="00140B7C" w:rsidRPr="00EC4EC4" w14:paraId="077D3889" w14:textId="77777777" w:rsidTr="00BC1087">
        <w:tc>
          <w:tcPr>
            <w:tcW w:w="2448" w:type="dxa"/>
          </w:tcPr>
          <w:p w14:paraId="5A07CBA8"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1/7.5 or less</w:t>
            </w:r>
          </w:p>
        </w:tc>
        <w:tc>
          <w:tcPr>
            <w:tcW w:w="3330" w:type="dxa"/>
          </w:tcPr>
          <w:p w14:paraId="781CE4AA" w14:textId="77777777" w:rsidR="00140B7C" w:rsidRPr="00EC4EC4" w:rsidRDefault="00140B7C" w:rsidP="00BC1087">
            <w:pPr>
              <w:widowControl w:val="0"/>
              <w:autoSpaceDE w:val="0"/>
              <w:autoSpaceDN w:val="0"/>
              <w:adjustRightInd w:val="0"/>
              <w:ind w:left="360" w:hanging="360"/>
              <w:jc w:val="center"/>
              <w:rPr>
                <w:color w:val="000000"/>
                <w:sz w:val="14"/>
                <w:szCs w:val="14"/>
              </w:rPr>
            </w:pPr>
            <w:r w:rsidRPr="00EC4EC4">
              <w:rPr>
                <w:color w:val="000000"/>
                <w:sz w:val="14"/>
                <w:szCs w:val="14"/>
              </w:rPr>
              <w:t>1.00</w:t>
            </w:r>
          </w:p>
        </w:tc>
      </w:tr>
    </w:tbl>
    <w:p w14:paraId="69EE8D19"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where:</w:t>
      </w:r>
    </w:p>
    <w:p w14:paraId="7FA7F429"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H</w:t>
      </w:r>
      <w:r w:rsidRPr="00EC4EC4">
        <w:rPr>
          <w:rFonts w:eastAsia="Times New Roman" w:cs="Times New Roman"/>
          <w:color w:val="000000"/>
          <w:sz w:val="14"/>
          <w:szCs w:val="14"/>
          <w:vertAlign w:val="subscript"/>
        </w:rPr>
        <w:t>c</w:t>
      </w:r>
      <w:r w:rsidRPr="00EC4EC4">
        <w:rPr>
          <w:rFonts w:eastAsia="Times New Roman" w:cs="Times New Roman"/>
          <w:color w:val="000000"/>
          <w:sz w:val="14"/>
          <w:szCs w:val="14"/>
        </w:rPr>
        <w:t xml:space="preserve"> = Height of ceiling joists or rafter ties measured vertically above the top of the rafter support walls.</w:t>
      </w:r>
    </w:p>
    <w:p w14:paraId="694EC14D"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H</w:t>
      </w:r>
      <w:r w:rsidRPr="00EC4EC4">
        <w:rPr>
          <w:rFonts w:eastAsia="Times New Roman" w:cs="Times New Roman"/>
          <w:color w:val="000000"/>
          <w:sz w:val="14"/>
          <w:szCs w:val="14"/>
          <w:vertAlign w:val="subscript"/>
        </w:rPr>
        <w:t>R</w:t>
      </w:r>
      <w:r w:rsidRPr="00EC4EC4">
        <w:rPr>
          <w:rFonts w:eastAsia="Times New Roman" w:cs="Times New Roman"/>
          <w:color w:val="000000"/>
          <w:sz w:val="14"/>
          <w:szCs w:val="14"/>
        </w:rPr>
        <w:t xml:space="preserve"> = Height of roof ridge measured vertically above the top of the rafter support walls.</w:t>
      </w:r>
    </w:p>
    <w:p w14:paraId="0D5AA348"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b.</w:t>
      </w:r>
      <w:r w:rsidRPr="00EC4EC4">
        <w:rPr>
          <w:rFonts w:eastAsia="Times New Roman" w:cs="Times New Roman"/>
          <w:color w:val="000000"/>
          <w:sz w:val="14"/>
          <w:szCs w:val="14"/>
        </w:rPr>
        <w:tab/>
        <w:t xml:space="preserve">Span exceeds 26 feet in length. </w:t>
      </w:r>
    </w:p>
    <w:p w14:paraId="6936C1BE" w14:textId="77777777" w:rsidR="00140B7C" w:rsidRPr="00EC4EC4" w:rsidRDefault="00140B7C" w:rsidP="00140B7C">
      <w:pPr>
        <w:kinsoku w:val="0"/>
        <w:spacing w:after="0" w:line="240" w:lineRule="auto"/>
        <w:ind w:firstLine="720"/>
        <w:jc w:val="both"/>
        <w:rPr>
          <w:rFonts w:cs="Times New Roman"/>
          <w:color w:val="000000"/>
          <w:sz w:val="23"/>
          <w:szCs w:val="23"/>
        </w:rPr>
      </w:pPr>
    </w:p>
    <w:p w14:paraId="74B385E3" w14:textId="78CE04BA"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0F59EB">
        <w:rPr>
          <w:rFonts w:cs="Times New Roman"/>
          <w:color w:val="000000"/>
          <w:sz w:val="23"/>
          <w:szCs w:val="23"/>
        </w:rPr>
        <w:t>21</w:t>
      </w:r>
      <w:r w:rsidRPr="00EC4EC4">
        <w:rPr>
          <w:rFonts w:cs="Times New Roman"/>
          <w:color w:val="000000"/>
          <w:sz w:val="23"/>
          <w:szCs w:val="23"/>
        </w:rPr>
        <w:t xml:space="preserve">. </w:t>
      </w:r>
      <w:r>
        <w:rPr>
          <w:rFonts w:cs="Times New Roman"/>
          <w:color w:val="000000"/>
          <w:sz w:val="23"/>
          <w:szCs w:val="23"/>
        </w:rPr>
        <w:t>The footnotes to t</w:t>
      </w:r>
      <w:r w:rsidRPr="00EC4EC4">
        <w:rPr>
          <w:rFonts w:cs="Times New Roman"/>
          <w:color w:val="000000"/>
          <w:sz w:val="23"/>
          <w:szCs w:val="23"/>
        </w:rPr>
        <w:t xml:space="preserve">able 2308.7.2(4) of  the New York city building code, as amended by local law number 126 for the year 2021, </w:t>
      </w:r>
      <w:r>
        <w:rPr>
          <w:rFonts w:cs="Times New Roman"/>
          <w:color w:val="000000"/>
          <w:sz w:val="23"/>
          <w:szCs w:val="23"/>
        </w:rPr>
        <w:t>are</w:t>
      </w:r>
      <w:r w:rsidRPr="00EC4EC4">
        <w:rPr>
          <w:rFonts w:cs="Times New Roman"/>
          <w:color w:val="000000"/>
          <w:sz w:val="23"/>
          <w:szCs w:val="23"/>
        </w:rPr>
        <w:t xml:space="preserve"> amended to read as follows:</w:t>
      </w:r>
    </w:p>
    <w:p w14:paraId="26245CF0" w14:textId="77777777" w:rsidR="00140B7C" w:rsidRPr="00EC4EC4" w:rsidRDefault="00140B7C" w:rsidP="00140B7C">
      <w:pPr>
        <w:widowControl w:val="0"/>
        <w:autoSpaceDE w:val="0"/>
        <w:autoSpaceDN w:val="0"/>
        <w:adjustRightInd w:val="0"/>
        <w:spacing w:after="0" w:line="240" w:lineRule="auto"/>
        <w:rPr>
          <w:rFonts w:eastAsia="Times New Roman" w:cs="Times New Roman"/>
          <w:color w:val="000000"/>
          <w:sz w:val="14"/>
          <w:szCs w:val="14"/>
          <w:u w:val="single"/>
        </w:rPr>
      </w:pPr>
    </w:p>
    <w:p w14:paraId="5C0E263F" w14:textId="77777777" w:rsidR="00140B7C" w:rsidRPr="00EC4EC4" w:rsidRDefault="00140B7C" w:rsidP="00140B7C">
      <w:pPr>
        <w:widowControl w:val="0"/>
        <w:autoSpaceDE w:val="0"/>
        <w:autoSpaceDN w:val="0"/>
        <w:adjustRightInd w:val="0"/>
        <w:spacing w:after="0" w:line="240" w:lineRule="auto"/>
        <w:rPr>
          <w:rFonts w:eastAsia="Times New Roman" w:cs="Times New Roman"/>
          <w:color w:val="000000"/>
          <w:sz w:val="14"/>
          <w:szCs w:val="14"/>
        </w:rPr>
      </w:pPr>
      <w:r w:rsidRPr="00EC4EC4">
        <w:rPr>
          <w:rFonts w:eastAsia="Times New Roman" w:cs="Times New Roman"/>
          <w:color w:val="000000"/>
          <w:sz w:val="14"/>
          <w:szCs w:val="14"/>
        </w:rPr>
        <w:t>Check sources for availability of lumber in lengths greater than 20 feet.</w:t>
      </w:r>
    </w:p>
    <w:p w14:paraId="25DE2E88"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p>
    <w:p w14:paraId="57ABE39B"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For SI: 1 inch = 25.4 mm, 1 foot = [</w:t>
      </w:r>
      <w:r w:rsidRPr="00EC4EC4">
        <w:rPr>
          <w:rFonts w:eastAsia="Times New Roman" w:cs="Times New Roman"/>
          <w:strike/>
          <w:color w:val="000000"/>
          <w:sz w:val="14"/>
          <w:szCs w:val="14"/>
        </w:rPr>
        <w:t>04.8</w:t>
      </w:r>
      <w:r w:rsidRPr="00EC4EC4">
        <w:rPr>
          <w:rFonts w:eastAsia="Times New Roman" w:cs="Times New Roman"/>
          <w:color w:val="000000"/>
          <w:sz w:val="14"/>
          <w:szCs w:val="14"/>
        </w:rPr>
        <w:t>]</w:t>
      </w:r>
      <w:r w:rsidRPr="00EC4EC4">
        <w:rPr>
          <w:rFonts w:eastAsia="Times New Roman" w:cs="Times New Roman"/>
          <w:color w:val="000000"/>
          <w:sz w:val="14"/>
          <w:szCs w:val="14"/>
          <w:u w:val="single"/>
        </w:rPr>
        <w:t>304.8</w:t>
      </w:r>
      <w:r w:rsidRPr="00EC4EC4">
        <w:rPr>
          <w:rFonts w:eastAsia="Times New Roman" w:cs="Times New Roman"/>
          <w:color w:val="000000"/>
          <w:sz w:val="14"/>
          <w:szCs w:val="14"/>
        </w:rPr>
        <w:t xml:space="preserve"> mm, 1 pound per square foot = [</w:t>
      </w:r>
      <w:r w:rsidRPr="00EC4EC4">
        <w:rPr>
          <w:rFonts w:eastAsia="Times New Roman" w:cs="Times New Roman"/>
          <w:strike/>
          <w:color w:val="000000"/>
          <w:sz w:val="14"/>
          <w:szCs w:val="14"/>
        </w:rPr>
        <w:t>.0479</w:t>
      </w:r>
      <w:r w:rsidRPr="00EC4EC4">
        <w:rPr>
          <w:rFonts w:eastAsia="Times New Roman" w:cs="Times New Roman"/>
          <w:color w:val="000000"/>
          <w:sz w:val="14"/>
          <w:szCs w:val="14"/>
        </w:rPr>
        <w:t>]</w:t>
      </w:r>
      <w:r w:rsidRPr="00EC4EC4">
        <w:rPr>
          <w:rFonts w:eastAsia="Times New Roman" w:cs="Times New Roman"/>
          <w:color w:val="000000"/>
          <w:sz w:val="14"/>
          <w:szCs w:val="14"/>
          <w:u w:val="single"/>
        </w:rPr>
        <w:t>0.0479</w:t>
      </w:r>
      <w:r w:rsidRPr="00EC4EC4">
        <w:rPr>
          <w:rFonts w:eastAsia="Times New Roman" w:cs="Times New Roman"/>
          <w:color w:val="000000"/>
          <w:sz w:val="14"/>
          <w:szCs w:val="14"/>
        </w:rPr>
        <w:t xml:space="preserve"> kPa.</w:t>
      </w:r>
    </w:p>
    <w:p w14:paraId="7847A718" w14:textId="77777777" w:rsidR="00140B7C" w:rsidRPr="00EC4EC4" w:rsidRDefault="00140B7C" w:rsidP="00140B7C">
      <w:pPr>
        <w:widowControl w:val="0"/>
        <w:autoSpaceDE w:val="0"/>
        <w:autoSpaceDN w:val="0"/>
        <w:adjustRightInd w:val="0"/>
        <w:spacing w:after="24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a.</w:t>
      </w:r>
      <w:r w:rsidRPr="00EC4EC4">
        <w:rPr>
          <w:rFonts w:eastAsia="Times New Roman" w:cs="Times New Roman"/>
          <w:color w:val="000000"/>
          <w:sz w:val="14"/>
          <w:szCs w:val="14"/>
        </w:rPr>
        <w:tab/>
        <w:t>The tabulated rafter spans assume that ceiling joists are located at the bottom of the attic space or that some other method of resisting the outward push of the rafters on the bearing walls, such as rafter ties, is provided at that location. Where ceiling joists or rafter ties are located higher in the attic space, the rafter spans shall be multiplied by the following factors:</w:t>
      </w:r>
    </w:p>
    <w:tbl>
      <w:tblPr>
        <w:tblStyle w:val="TableGrid6"/>
        <w:tblW w:w="0" w:type="auto"/>
        <w:tblInd w:w="108" w:type="dxa"/>
        <w:tblLook w:val="04A0" w:firstRow="1" w:lastRow="0" w:firstColumn="1" w:lastColumn="0" w:noHBand="0" w:noVBand="1"/>
      </w:tblPr>
      <w:tblGrid>
        <w:gridCol w:w="2448"/>
        <w:gridCol w:w="3330"/>
      </w:tblGrid>
      <w:tr w:rsidR="00140B7C" w:rsidRPr="00EC4EC4" w14:paraId="5ACE5EEB" w14:textId="77777777" w:rsidTr="00BC1087">
        <w:tc>
          <w:tcPr>
            <w:tcW w:w="2448" w:type="dxa"/>
          </w:tcPr>
          <w:p w14:paraId="6FE2323C" w14:textId="77777777" w:rsidR="00140B7C" w:rsidRPr="00EC4EC4" w:rsidRDefault="00140B7C" w:rsidP="00BC1087">
            <w:pPr>
              <w:widowControl w:val="0"/>
              <w:autoSpaceDE w:val="0"/>
              <w:autoSpaceDN w:val="0"/>
              <w:adjustRightInd w:val="0"/>
              <w:jc w:val="center"/>
              <w:rPr>
                <w:b/>
                <w:i/>
                <w:color w:val="000000"/>
                <w:sz w:val="14"/>
                <w:szCs w:val="14"/>
              </w:rPr>
            </w:pPr>
            <w:r w:rsidRPr="00EC4EC4">
              <w:rPr>
                <w:b/>
                <w:i/>
                <w:color w:val="000000"/>
                <w:sz w:val="14"/>
                <w:szCs w:val="14"/>
              </w:rPr>
              <w:t>H</w:t>
            </w:r>
            <w:r w:rsidRPr="00EC4EC4">
              <w:rPr>
                <w:b/>
                <w:i/>
                <w:color w:val="000000"/>
                <w:sz w:val="14"/>
                <w:szCs w:val="14"/>
                <w:vertAlign w:val="subscript"/>
              </w:rPr>
              <w:t>c</w:t>
            </w:r>
            <w:r w:rsidRPr="00EC4EC4">
              <w:rPr>
                <w:b/>
                <w:i/>
                <w:color w:val="000000"/>
                <w:sz w:val="14"/>
                <w:szCs w:val="14"/>
              </w:rPr>
              <w:t>/H</w:t>
            </w:r>
            <w:r w:rsidRPr="00EC4EC4">
              <w:rPr>
                <w:b/>
                <w:i/>
                <w:color w:val="000000"/>
                <w:sz w:val="14"/>
                <w:szCs w:val="14"/>
                <w:vertAlign w:val="subscript"/>
              </w:rPr>
              <w:t>R</w:t>
            </w:r>
          </w:p>
        </w:tc>
        <w:tc>
          <w:tcPr>
            <w:tcW w:w="3330" w:type="dxa"/>
          </w:tcPr>
          <w:p w14:paraId="53AE2500" w14:textId="77777777" w:rsidR="00140B7C" w:rsidRPr="00EC4EC4" w:rsidRDefault="00140B7C" w:rsidP="00BC1087">
            <w:pPr>
              <w:widowControl w:val="0"/>
              <w:autoSpaceDE w:val="0"/>
              <w:autoSpaceDN w:val="0"/>
              <w:adjustRightInd w:val="0"/>
              <w:jc w:val="center"/>
              <w:rPr>
                <w:b/>
                <w:color w:val="000000"/>
                <w:sz w:val="14"/>
                <w:szCs w:val="14"/>
              </w:rPr>
            </w:pPr>
            <w:r w:rsidRPr="00EC4EC4">
              <w:rPr>
                <w:b/>
                <w:color w:val="000000"/>
                <w:sz w:val="14"/>
                <w:szCs w:val="14"/>
              </w:rPr>
              <w:t>Rafter Span Adjustment Factor</w:t>
            </w:r>
          </w:p>
        </w:tc>
      </w:tr>
      <w:tr w:rsidR="00140B7C" w:rsidRPr="00EC4EC4" w14:paraId="7DC5A023" w14:textId="77777777" w:rsidTr="00BC1087">
        <w:tc>
          <w:tcPr>
            <w:tcW w:w="2448" w:type="dxa"/>
          </w:tcPr>
          <w:p w14:paraId="3A1C491E"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1/3</w:t>
            </w:r>
          </w:p>
        </w:tc>
        <w:tc>
          <w:tcPr>
            <w:tcW w:w="3330" w:type="dxa"/>
          </w:tcPr>
          <w:p w14:paraId="6A2DE561"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0.67</w:t>
            </w:r>
          </w:p>
        </w:tc>
      </w:tr>
      <w:tr w:rsidR="00140B7C" w:rsidRPr="00EC4EC4" w14:paraId="36361082" w14:textId="77777777" w:rsidTr="00BC1087">
        <w:tc>
          <w:tcPr>
            <w:tcW w:w="2448" w:type="dxa"/>
          </w:tcPr>
          <w:p w14:paraId="219D601E"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¼</w:t>
            </w:r>
          </w:p>
        </w:tc>
        <w:tc>
          <w:tcPr>
            <w:tcW w:w="3330" w:type="dxa"/>
          </w:tcPr>
          <w:p w14:paraId="2D7D2D0D"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0.76</w:t>
            </w:r>
          </w:p>
        </w:tc>
      </w:tr>
      <w:tr w:rsidR="00140B7C" w:rsidRPr="00EC4EC4" w14:paraId="49806E6F" w14:textId="77777777" w:rsidTr="00BC1087">
        <w:tc>
          <w:tcPr>
            <w:tcW w:w="2448" w:type="dxa"/>
          </w:tcPr>
          <w:p w14:paraId="53241B53"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1/5</w:t>
            </w:r>
          </w:p>
        </w:tc>
        <w:tc>
          <w:tcPr>
            <w:tcW w:w="3330" w:type="dxa"/>
          </w:tcPr>
          <w:p w14:paraId="2B391FA9"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0.83</w:t>
            </w:r>
          </w:p>
        </w:tc>
      </w:tr>
      <w:tr w:rsidR="00140B7C" w:rsidRPr="00EC4EC4" w14:paraId="1FAAC7E8" w14:textId="77777777" w:rsidTr="00BC1087">
        <w:tc>
          <w:tcPr>
            <w:tcW w:w="2448" w:type="dxa"/>
          </w:tcPr>
          <w:p w14:paraId="5F198292"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1/6</w:t>
            </w:r>
          </w:p>
        </w:tc>
        <w:tc>
          <w:tcPr>
            <w:tcW w:w="3330" w:type="dxa"/>
          </w:tcPr>
          <w:p w14:paraId="70B30A9B"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0.90</w:t>
            </w:r>
          </w:p>
        </w:tc>
      </w:tr>
      <w:tr w:rsidR="00140B7C" w:rsidRPr="00EC4EC4" w14:paraId="49C8BA8C" w14:textId="77777777" w:rsidTr="00BC1087">
        <w:tc>
          <w:tcPr>
            <w:tcW w:w="2448" w:type="dxa"/>
          </w:tcPr>
          <w:p w14:paraId="75C3E2D3"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1/7.5 or less</w:t>
            </w:r>
          </w:p>
        </w:tc>
        <w:tc>
          <w:tcPr>
            <w:tcW w:w="3330" w:type="dxa"/>
          </w:tcPr>
          <w:p w14:paraId="76E1A6CB" w14:textId="77777777" w:rsidR="00140B7C" w:rsidRPr="00EC4EC4" w:rsidRDefault="00140B7C" w:rsidP="00BC1087">
            <w:pPr>
              <w:widowControl w:val="0"/>
              <w:autoSpaceDE w:val="0"/>
              <w:autoSpaceDN w:val="0"/>
              <w:adjustRightInd w:val="0"/>
              <w:jc w:val="center"/>
              <w:rPr>
                <w:color w:val="000000"/>
                <w:sz w:val="14"/>
                <w:szCs w:val="14"/>
              </w:rPr>
            </w:pPr>
            <w:r w:rsidRPr="00EC4EC4">
              <w:rPr>
                <w:color w:val="000000"/>
                <w:sz w:val="14"/>
                <w:szCs w:val="14"/>
              </w:rPr>
              <w:t>1.00</w:t>
            </w:r>
          </w:p>
        </w:tc>
      </w:tr>
    </w:tbl>
    <w:p w14:paraId="34A96FFE"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where:</w:t>
      </w:r>
    </w:p>
    <w:p w14:paraId="633A22A9"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H</w:t>
      </w:r>
      <w:r w:rsidRPr="00EC4EC4">
        <w:rPr>
          <w:rFonts w:eastAsia="Times New Roman" w:cs="Times New Roman"/>
          <w:color w:val="000000"/>
          <w:sz w:val="14"/>
          <w:szCs w:val="14"/>
          <w:vertAlign w:val="subscript"/>
        </w:rPr>
        <w:t>c</w:t>
      </w:r>
      <w:r w:rsidRPr="00EC4EC4">
        <w:rPr>
          <w:rFonts w:eastAsia="Times New Roman" w:cs="Times New Roman"/>
          <w:color w:val="000000"/>
          <w:sz w:val="14"/>
          <w:szCs w:val="14"/>
        </w:rPr>
        <w:t xml:space="preserve"> = Height of ceiling joists or rafter ties measured vertically above the top of the rafter support walls.</w:t>
      </w:r>
    </w:p>
    <w:p w14:paraId="4850A0DC"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H</w:t>
      </w:r>
      <w:r w:rsidRPr="00EC4EC4">
        <w:rPr>
          <w:rFonts w:eastAsia="Times New Roman" w:cs="Times New Roman"/>
          <w:color w:val="000000"/>
          <w:sz w:val="14"/>
          <w:szCs w:val="14"/>
          <w:vertAlign w:val="subscript"/>
        </w:rPr>
        <w:t>R</w:t>
      </w:r>
      <w:r w:rsidRPr="00EC4EC4">
        <w:rPr>
          <w:rFonts w:eastAsia="Times New Roman" w:cs="Times New Roman"/>
          <w:color w:val="000000"/>
          <w:sz w:val="14"/>
          <w:szCs w:val="14"/>
        </w:rPr>
        <w:t xml:space="preserve"> = Height of roof ridge measured vertically above the top of the rafter support walls.</w:t>
      </w:r>
    </w:p>
    <w:p w14:paraId="5837EE3D" w14:textId="77777777" w:rsidR="00140B7C" w:rsidRPr="00EC4EC4" w:rsidRDefault="00140B7C" w:rsidP="00140B7C">
      <w:pPr>
        <w:widowControl w:val="0"/>
        <w:autoSpaceDE w:val="0"/>
        <w:autoSpaceDN w:val="0"/>
        <w:adjustRightInd w:val="0"/>
        <w:spacing w:after="240" w:line="240" w:lineRule="auto"/>
        <w:ind w:left="360" w:hanging="360"/>
        <w:rPr>
          <w:rFonts w:eastAsia="Times New Roman" w:cs="Times New Roman"/>
          <w:color w:val="000000"/>
          <w:sz w:val="14"/>
          <w:szCs w:val="14"/>
        </w:rPr>
      </w:pPr>
      <w:r w:rsidRPr="00EC4EC4">
        <w:rPr>
          <w:rFonts w:eastAsia="Times New Roman" w:cs="Times New Roman"/>
          <w:color w:val="000000"/>
          <w:sz w:val="14"/>
          <w:szCs w:val="14"/>
        </w:rPr>
        <w:t>b.</w:t>
      </w:r>
      <w:r w:rsidRPr="00EC4EC4">
        <w:rPr>
          <w:rFonts w:eastAsia="Times New Roman" w:cs="Times New Roman"/>
          <w:color w:val="000000"/>
          <w:sz w:val="14"/>
          <w:szCs w:val="14"/>
        </w:rPr>
        <w:tab/>
        <w:t xml:space="preserve">Span exceeds 26 feet in length. </w:t>
      </w:r>
    </w:p>
    <w:p w14:paraId="74BB7D96" w14:textId="07825830"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225FAA">
        <w:rPr>
          <w:rFonts w:cs="Times New Roman"/>
          <w:color w:val="000000"/>
          <w:sz w:val="23"/>
          <w:szCs w:val="23"/>
        </w:rPr>
        <w:t>22</w:t>
      </w:r>
      <w:r w:rsidRPr="00EC4EC4">
        <w:rPr>
          <w:rFonts w:cs="Times New Roman"/>
          <w:color w:val="000000"/>
          <w:sz w:val="23"/>
          <w:szCs w:val="23"/>
        </w:rPr>
        <w:t>. Section 308.</w:t>
      </w:r>
      <w:r>
        <w:rPr>
          <w:rFonts w:cs="Times New Roman"/>
          <w:color w:val="000000"/>
          <w:sz w:val="23"/>
          <w:szCs w:val="23"/>
        </w:rPr>
        <w:t>7</w:t>
      </w:r>
      <w:r w:rsidRPr="00EC4EC4">
        <w:rPr>
          <w:rFonts w:cs="Times New Roman"/>
          <w:color w:val="000000"/>
          <w:sz w:val="23"/>
          <w:szCs w:val="23"/>
        </w:rPr>
        <w:t>.</w:t>
      </w:r>
      <w:r>
        <w:rPr>
          <w:rFonts w:cs="Times New Roman"/>
          <w:color w:val="000000"/>
          <w:sz w:val="23"/>
          <w:szCs w:val="23"/>
        </w:rPr>
        <w:t>10</w:t>
      </w:r>
      <w:r w:rsidRPr="00EC4EC4">
        <w:rPr>
          <w:rFonts w:cs="Times New Roman"/>
          <w:color w:val="000000"/>
          <w:sz w:val="23"/>
          <w:szCs w:val="23"/>
        </w:rPr>
        <w:t xml:space="preserve"> of  the New York city building code, as renumbered and amended by local law number 126 for the year 2021, is amended to read as follows:</w:t>
      </w:r>
    </w:p>
    <w:p w14:paraId="57CDE51E" w14:textId="77777777" w:rsidR="00140B7C" w:rsidRPr="00EC4EC4" w:rsidRDefault="00140B7C" w:rsidP="00140B7C">
      <w:pPr>
        <w:autoSpaceDE w:val="0"/>
        <w:autoSpaceDN w:val="0"/>
        <w:adjustRightInd w:val="0"/>
        <w:spacing w:after="240" w:line="240" w:lineRule="auto"/>
        <w:jc w:val="both"/>
        <w:rPr>
          <w:rFonts w:cs="Times New Roman"/>
          <w:szCs w:val="24"/>
        </w:rPr>
      </w:pPr>
      <w:bookmarkStart w:id="170" w:name="_Toc389738168"/>
      <w:bookmarkStart w:id="171" w:name="_Toc389746730"/>
      <w:r w:rsidRPr="00EC4EC4">
        <w:rPr>
          <w:rFonts w:cs="Times New Roman"/>
          <w:b/>
          <w:bCs/>
          <w:szCs w:val="24"/>
        </w:rPr>
        <w:t>[</w:t>
      </w:r>
      <w:r w:rsidRPr="00EC4EC4">
        <w:rPr>
          <w:rFonts w:cs="Times New Roman"/>
          <w:b/>
          <w:bCs/>
          <w:strike/>
          <w:szCs w:val="24"/>
        </w:rPr>
        <w:t>308.7.10</w:t>
      </w:r>
      <w:r w:rsidRPr="00EC4EC4">
        <w:rPr>
          <w:rFonts w:cs="Times New Roman"/>
          <w:b/>
          <w:bCs/>
          <w:szCs w:val="24"/>
        </w:rPr>
        <w:t>]</w:t>
      </w:r>
      <w:r w:rsidRPr="00EC4EC4">
        <w:rPr>
          <w:rFonts w:cs="Times New Roman"/>
          <w:b/>
          <w:bCs/>
          <w:szCs w:val="24"/>
          <w:u w:val="single"/>
        </w:rPr>
        <w:t>2308.7.10</w:t>
      </w:r>
      <w:r w:rsidRPr="00EC4EC4">
        <w:rPr>
          <w:rFonts w:cs="Times New Roman"/>
          <w:b/>
          <w:bCs/>
          <w:szCs w:val="24"/>
        </w:rPr>
        <w:t xml:space="preserve"> Roof sheathing.</w:t>
      </w:r>
      <w:bookmarkEnd w:id="170"/>
      <w:bookmarkEnd w:id="171"/>
      <w:r w:rsidRPr="00EC4EC4">
        <w:rPr>
          <w:rFonts w:cs="Times New Roman"/>
          <w:b/>
          <w:bCs/>
          <w:szCs w:val="24"/>
        </w:rPr>
        <w:t xml:space="preserve"> </w:t>
      </w:r>
      <w:r w:rsidRPr="00EC4EC4">
        <w:rPr>
          <w:rFonts w:cs="Times New Roman"/>
          <w:szCs w:val="24"/>
        </w:rPr>
        <w:t>Roof sheathing shall be in accordance with Tables [</w:t>
      </w:r>
      <w:r w:rsidRPr="00EC4EC4">
        <w:rPr>
          <w:rFonts w:cs="Times New Roman"/>
          <w:strike/>
          <w:szCs w:val="24"/>
        </w:rPr>
        <w:t>304.8(3)</w:t>
      </w:r>
      <w:r w:rsidRPr="00EC4EC4">
        <w:rPr>
          <w:rFonts w:cs="Times New Roman"/>
          <w:szCs w:val="24"/>
        </w:rPr>
        <w:t>]</w:t>
      </w:r>
      <w:r w:rsidRPr="00EC4EC4">
        <w:rPr>
          <w:rFonts w:cs="Times New Roman"/>
          <w:szCs w:val="24"/>
          <w:u w:val="single"/>
        </w:rPr>
        <w:t>2304.8(3</w:t>
      </w:r>
      <w:r w:rsidRPr="00EC4EC4">
        <w:rPr>
          <w:rFonts w:cs="Times New Roman"/>
          <w:szCs w:val="24"/>
        </w:rPr>
        <w:t>) and [</w:t>
      </w:r>
      <w:r w:rsidRPr="00EC4EC4">
        <w:rPr>
          <w:rFonts w:cs="Times New Roman"/>
          <w:strike/>
          <w:szCs w:val="24"/>
        </w:rPr>
        <w:t>304.8(5)</w:t>
      </w:r>
      <w:r w:rsidRPr="00EC4EC4">
        <w:rPr>
          <w:rFonts w:cs="Times New Roman"/>
          <w:szCs w:val="24"/>
        </w:rPr>
        <w:t>]</w:t>
      </w:r>
      <w:r w:rsidRPr="00EC4EC4">
        <w:rPr>
          <w:rFonts w:cs="Times New Roman"/>
          <w:szCs w:val="24"/>
          <w:u w:val="single"/>
        </w:rPr>
        <w:t>2304.8(5)</w:t>
      </w:r>
      <w:r w:rsidRPr="00EC4EC4">
        <w:rPr>
          <w:rFonts w:cs="Times New Roman"/>
          <w:szCs w:val="24"/>
        </w:rPr>
        <w:t xml:space="preserve"> for wood structural panels, and Tables [</w:t>
      </w:r>
      <w:r w:rsidRPr="00EC4EC4">
        <w:rPr>
          <w:rFonts w:cs="Times New Roman"/>
          <w:strike/>
          <w:szCs w:val="24"/>
        </w:rPr>
        <w:t>304.8(1)</w:t>
      </w:r>
      <w:r w:rsidRPr="00EC4EC4">
        <w:rPr>
          <w:rFonts w:cs="Times New Roman"/>
          <w:szCs w:val="24"/>
        </w:rPr>
        <w:t>]</w:t>
      </w:r>
      <w:r w:rsidRPr="00EC4EC4">
        <w:rPr>
          <w:rFonts w:cs="Times New Roman"/>
          <w:szCs w:val="24"/>
          <w:u w:val="single"/>
        </w:rPr>
        <w:t>2304.8(1)</w:t>
      </w:r>
      <w:r w:rsidRPr="00EC4EC4">
        <w:rPr>
          <w:rFonts w:cs="Times New Roman"/>
          <w:szCs w:val="24"/>
        </w:rPr>
        <w:t xml:space="preserve"> and [</w:t>
      </w:r>
      <w:r w:rsidRPr="00EC4EC4">
        <w:rPr>
          <w:rFonts w:cs="Times New Roman"/>
          <w:strike/>
          <w:szCs w:val="24"/>
        </w:rPr>
        <w:t>304.8(2)</w:t>
      </w:r>
      <w:r w:rsidRPr="00EC4EC4">
        <w:rPr>
          <w:rFonts w:cs="Times New Roman"/>
          <w:szCs w:val="24"/>
        </w:rPr>
        <w:t>]</w:t>
      </w:r>
      <w:r w:rsidRPr="00EC4EC4">
        <w:rPr>
          <w:rFonts w:cs="Times New Roman"/>
          <w:szCs w:val="24"/>
          <w:u w:val="single"/>
        </w:rPr>
        <w:t>2304.8(2)</w:t>
      </w:r>
      <w:r w:rsidRPr="00EC4EC4">
        <w:rPr>
          <w:rFonts w:cs="Times New Roman"/>
          <w:szCs w:val="24"/>
        </w:rPr>
        <w:t xml:space="preserve"> for lumber and shall comply with Section [</w:t>
      </w:r>
      <w:r w:rsidRPr="00EC4EC4">
        <w:rPr>
          <w:rFonts w:cs="Times New Roman"/>
          <w:strike/>
          <w:szCs w:val="24"/>
        </w:rPr>
        <w:t>304.8.2</w:t>
      </w:r>
      <w:r w:rsidRPr="00EC4EC4">
        <w:rPr>
          <w:rFonts w:cs="Times New Roman"/>
          <w:szCs w:val="24"/>
        </w:rPr>
        <w:t>]</w:t>
      </w:r>
      <w:r w:rsidRPr="00EC4EC4">
        <w:rPr>
          <w:rFonts w:cs="Times New Roman"/>
          <w:szCs w:val="24"/>
          <w:u w:val="single"/>
        </w:rPr>
        <w:t>2304.8.2</w:t>
      </w:r>
      <w:r w:rsidRPr="00EC4EC4">
        <w:rPr>
          <w:rFonts w:cs="Times New Roman"/>
          <w:szCs w:val="24"/>
        </w:rPr>
        <w:t>.</w:t>
      </w:r>
    </w:p>
    <w:p w14:paraId="10DB9308" w14:textId="5EC15005"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225FAA">
        <w:rPr>
          <w:rFonts w:cs="Times New Roman"/>
          <w:color w:val="000000"/>
          <w:sz w:val="23"/>
          <w:szCs w:val="23"/>
        </w:rPr>
        <w:t>23</w:t>
      </w:r>
      <w:r w:rsidRPr="00EC4EC4">
        <w:rPr>
          <w:rFonts w:cs="Times New Roman"/>
          <w:color w:val="000000"/>
          <w:sz w:val="23"/>
          <w:szCs w:val="23"/>
        </w:rPr>
        <w:t>. Section 308.</w:t>
      </w:r>
      <w:r>
        <w:rPr>
          <w:rFonts w:cs="Times New Roman"/>
          <w:color w:val="000000"/>
          <w:sz w:val="23"/>
          <w:szCs w:val="23"/>
        </w:rPr>
        <w:t>7.11</w:t>
      </w:r>
      <w:r w:rsidRPr="00EC4EC4">
        <w:rPr>
          <w:rFonts w:cs="Times New Roman"/>
          <w:color w:val="000000"/>
          <w:sz w:val="23"/>
          <w:szCs w:val="23"/>
        </w:rPr>
        <w:t xml:space="preserve"> of  the New York city building code, as renumbered </w:t>
      </w:r>
      <w:r>
        <w:rPr>
          <w:rFonts w:cs="Times New Roman"/>
          <w:color w:val="000000"/>
          <w:sz w:val="23"/>
          <w:szCs w:val="23"/>
        </w:rPr>
        <w:t xml:space="preserve">and amended </w:t>
      </w:r>
      <w:r w:rsidRPr="00EC4EC4">
        <w:rPr>
          <w:rFonts w:cs="Times New Roman"/>
          <w:color w:val="000000"/>
          <w:sz w:val="23"/>
          <w:szCs w:val="23"/>
        </w:rPr>
        <w:t>by local law number 126 for the year 2021, is amended to read as follows:</w:t>
      </w:r>
    </w:p>
    <w:p w14:paraId="52A4594B" w14:textId="77777777" w:rsidR="00140B7C" w:rsidRPr="00EC4EC4" w:rsidRDefault="00140B7C" w:rsidP="00140B7C">
      <w:pPr>
        <w:autoSpaceDE w:val="0"/>
        <w:autoSpaceDN w:val="0"/>
        <w:adjustRightInd w:val="0"/>
        <w:spacing w:after="240" w:line="240" w:lineRule="auto"/>
        <w:jc w:val="both"/>
        <w:rPr>
          <w:rFonts w:cs="Times New Roman"/>
          <w:szCs w:val="24"/>
        </w:rPr>
      </w:pPr>
      <w:bookmarkStart w:id="172" w:name="_Toc389738169"/>
      <w:bookmarkStart w:id="173" w:name="_Toc389746731"/>
      <w:r w:rsidRPr="00EC4EC4">
        <w:rPr>
          <w:rFonts w:cs="Times New Roman"/>
          <w:b/>
          <w:bCs/>
          <w:szCs w:val="24"/>
        </w:rPr>
        <w:t>[</w:t>
      </w:r>
      <w:r w:rsidRPr="00EC4EC4">
        <w:rPr>
          <w:rFonts w:cs="Times New Roman"/>
          <w:b/>
          <w:bCs/>
          <w:strike/>
          <w:szCs w:val="24"/>
        </w:rPr>
        <w:t>308.7.11</w:t>
      </w:r>
      <w:r w:rsidRPr="00EC4EC4">
        <w:rPr>
          <w:rFonts w:cs="Times New Roman"/>
          <w:b/>
          <w:bCs/>
          <w:szCs w:val="24"/>
        </w:rPr>
        <w:t>]</w:t>
      </w:r>
      <w:r w:rsidRPr="00EC4EC4">
        <w:rPr>
          <w:rFonts w:cs="Times New Roman"/>
          <w:b/>
          <w:bCs/>
          <w:szCs w:val="24"/>
          <w:u w:val="single"/>
        </w:rPr>
        <w:t>2308.7.11</w:t>
      </w:r>
      <w:r w:rsidRPr="00EC4EC4">
        <w:rPr>
          <w:rFonts w:cs="Times New Roman"/>
          <w:b/>
          <w:bCs/>
          <w:szCs w:val="24"/>
        </w:rPr>
        <w:t xml:space="preserve"> Joints.</w:t>
      </w:r>
      <w:bookmarkEnd w:id="172"/>
      <w:bookmarkEnd w:id="173"/>
      <w:r w:rsidRPr="00EC4EC4">
        <w:rPr>
          <w:rFonts w:cs="Times New Roman"/>
          <w:b/>
          <w:bCs/>
          <w:szCs w:val="24"/>
        </w:rPr>
        <w:t xml:space="preserve"> </w:t>
      </w:r>
      <w:r w:rsidRPr="00EC4EC4">
        <w:rPr>
          <w:rFonts w:cs="Times New Roman"/>
          <w:szCs w:val="24"/>
        </w:rPr>
        <w:t xml:space="preserve">Joints in lumber sheathing shall occur over supports unless approved end-matched </w:t>
      </w:r>
      <w:r w:rsidRPr="00EC4EC4">
        <w:rPr>
          <w:rFonts w:cs="Times New Roman"/>
          <w:bCs/>
          <w:szCs w:val="24"/>
        </w:rPr>
        <w:t>lumber</w:t>
      </w:r>
      <w:r w:rsidRPr="00EC4EC4">
        <w:rPr>
          <w:rFonts w:cs="Times New Roman"/>
          <w:szCs w:val="24"/>
        </w:rPr>
        <w:t xml:space="preserve"> is used, in which case each piece shall bear on at least two supports.</w:t>
      </w:r>
    </w:p>
    <w:p w14:paraId="060285B7" w14:textId="46C048DC"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22</w:t>
      </w:r>
      <w:r w:rsidR="00225FAA">
        <w:rPr>
          <w:rFonts w:cs="Times New Roman"/>
          <w:color w:val="000000"/>
          <w:sz w:val="23"/>
          <w:szCs w:val="23"/>
        </w:rPr>
        <w:t>4</w:t>
      </w:r>
      <w:r w:rsidRPr="00EC4EC4">
        <w:rPr>
          <w:rFonts w:cs="Times New Roman"/>
          <w:color w:val="000000"/>
          <w:sz w:val="23"/>
          <w:szCs w:val="23"/>
        </w:rPr>
        <w:t>. Section 308.</w:t>
      </w:r>
      <w:r>
        <w:rPr>
          <w:rFonts w:cs="Times New Roman"/>
          <w:color w:val="000000"/>
          <w:sz w:val="23"/>
          <w:szCs w:val="23"/>
        </w:rPr>
        <w:t>7</w:t>
      </w:r>
      <w:r w:rsidRPr="00EC4EC4">
        <w:rPr>
          <w:rFonts w:cs="Times New Roman"/>
          <w:color w:val="000000"/>
          <w:sz w:val="23"/>
          <w:szCs w:val="23"/>
        </w:rPr>
        <w:t>.</w:t>
      </w:r>
      <w:r>
        <w:rPr>
          <w:rFonts w:cs="Times New Roman"/>
          <w:color w:val="000000"/>
          <w:sz w:val="23"/>
          <w:szCs w:val="23"/>
        </w:rPr>
        <w:t>12</w:t>
      </w:r>
      <w:r w:rsidRPr="00EC4EC4">
        <w:rPr>
          <w:rFonts w:cs="Times New Roman"/>
          <w:color w:val="000000"/>
          <w:sz w:val="23"/>
          <w:szCs w:val="23"/>
        </w:rPr>
        <w:t xml:space="preserve"> of  the New York city building code, as renumbered and amended by local law number 126 for the year 2021, is amended to read as follows:</w:t>
      </w:r>
    </w:p>
    <w:p w14:paraId="29D06D70" w14:textId="77777777" w:rsidR="00140B7C" w:rsidRPr="00EC4EC4" w:rsidRDefault="00140B7C" w:rsidP="00140B7C">
      <w:pPr>
        <w:autoSpaceDE w:val="0"/>
        <w:autoSpaceDN w:val="0"/>
        <w:adjustRightInd w:val="0"/>
        <w:spacing w:after="240" w:line="240" w:lineRule="auto"/>
        <w:jc w:val="both"/>
        <w:rPr>
          <w:rFonts w:cs="Times New Roman"/>
          <w:szCs w:val="24"/>
        </w:rPr>
      </w:pPr>
      <w:bookmarkStart w:id="174" w:name="_Toc389738170"/>
      <w:bookmarkStart w:id="175" w:name="_Toc389746732"/>
      <w:r w:rsidRPr="00EC4EC4">
        <w:rPr>
          <w:rFonts w:cs="Times New Roman"/>
          <w:b/>
          <w:spacing w:val="1"/>
          <w:w w:val="110"/>
          <w:szCs w:val="24"/>
        </w:rPr>
        <w:t>[</w:t>
      </w:r>
      <w:r w:rsidRPr="00EC4EC4">
        <w:rPr>
          <w:rFonts w:cs="Times New Roman"/>
          <w:b/>
          <w:strike/>
          <w:spacing w:val="1"/>
          <w:w w:val="110"/>
          <w:szCs w:val="24"/>
        </w:rPr>
        <w:t>308.7.12</w:t>
      </w:r>
      <w:r w:rsidRPr="00EC4EC4">
        <w:rPr>
          <w:rFonts w:cs="Times New Roman"/>
          <w:b/>
          <w:spacing w:val="1"/>
          <w:w w:val="110"/>
          <w:szCs w:val="24"/>
        </w:rPr>
        <w:t>]</w:t>
      </w:r>
      <w:r w:rsidRPr="00EC4EC4">
        <w:rPr>
          <w:rFonts w:cs="Times New Roman"/>
          <w:b/>
          <w:spacing w:val="1"/>
          <w:w w:val="110"/>
          <w:szCs w:val="24"/>
          <w:u w:val="single"/>
        </w:rPr>
        <w:t>2</w:t>
      </w:r>
      <w:r w:rsidRPr="00EC4EC4">
        <w:rPr>
          <w:rFonts w:cs="Times New Roman"/>
          <w:b/>
          <w:bCs/>
          <w:szCs w:val="24"/>
          <w:u w:val="single"/>
        </w:rPr>
        <w:t>308.7.12</w:t>
      </w:r>
      <w:r w:rsidRPr="00EC4EC4">
        <w:rPr>
          <w:rFonts w:cs="Times New Roman"/>
          <w:b/>
          <w:bCs/>
          <w:szCs w:val="24"/>
        </w:rPr>
        <w:t xml:space="preserve"> Roof planking.</w:t>
      </w:r>
      <w:bookmarkEnd w:id="174"/>
      <w:bookmarkEnd w:id="175"/>
      <w:r w:rsidRPr="00EC4EC4">
        <w:rPr>
          <w:rFonts w:cs="Times New Roman"/>
          <w:b/>
          <w:bCs/>
          <w:szCs w:val="24"/>
        </w:rPr>
        <w:t xml:space="preserve"> </w:t>
      </w:r>
      <w:r w:rsidRPr="00EC4EC4">
        <w:rPr>
          <w:rFonts w:cs="Times New Roman"/>
          <w:szCs w:val="24"/>
        </w:rPr>
        <w:t>Planking shall be designed in accordance with the general provisions of this code.</w:t>
      </w:r>
    </w:p>
    <w:p w14:paraId="3C031EC1" w14:textId="77777777" w:rsidR="00140B7C" w:rsidRPr="00EC4EC4" w:rsidRDefault="00140B7C" w:rsidP="00140B7C">
      <w:pPr>
        <w:autoSpaceDE w:val="0"/>
        <w:autoSpaceDN w:val="0"/>
        <w:adjustRightInd w:val="0"/>
        <w:spacing w:after="240" w:line="240" w:lineRule="auto"/>
        <w:ind w:firstLine="360"/>
        <w:jc w:val="both"/>
        <w:rPr>
          <w:rFonts w:eastAsia="Times New Roman" w:cs="Times New Roman"/>
          <w:szCs w:val="24"/>
        </w:rPr>
      </w:pPr>
      <w:r w:rsidRPr="00EC4EC4">
        <w:rPr>
          <w:rFonts w:eastAsia="Times New Roman" w:cs="Times New Roman"/>
          <w:szCs w:val="24"/>
        </w:rPr>
        <w:lastRenderedPageBreak/>
        <w:t xml:space="preserve">In lieu of such design, 2-inch (51 mm) tongue-and-groove planking is permitted in accordance with Table </w:t>
      </w:r>
      <w:r w:rsidRPr="00EC4EC4">
        <w:rPr>
          <w:rFonts w:eastAsia="Times New Roman" w:cs="Times New Roman"/>
          <w:spacing w:val="2"/>
          <w:szCs w:val="24"/>
        </w:rPr>
        <w:t>2308.</w:t>
      </w:r>
      <w:r w:rsidRPr="00EC4EC4">
        <w:rPr>
          <w:rFonts w:eastAsia="Times New Roman" w:cs="Times New Roman"/>
          <w:szCs w:val="24"/>
        </w:rPr>
        <w:t>7.12. Joints in such planking are permitted to be randomly spaced, provided the system is applied to not less than three continuous spans, planks are center matched and end matched or splined, each plank bears on at least one support, and joints are separated by [</w:t>
      </w:r>
      <w:r w:rsidRPr="00EC4EC4">
        <w:rPr>
          <w:rFonts w:eastAsia="Times New Roman" w:cs="Times New Roman"/>
          <w:strike/>
          <w:spacing w:val="1"/>
          <w:szCs w:val="24"/>
        </w:rPr>
        <w:t>at least</w:t>
      </w:r>
      <w:r w:rsidRPr="00EC4EC4">
        <w:rPr>
          <w:rFonts w:eastAsia="Times New Roman" w:cs="Times New Roman"/>
          <w:spacing w:val="1"/>
          <w:szCs w:val="24"/>
        </w:rPr>
        <w:t xml:space="preserve">] </w:t>
      </w:r>
      <w:r w:rsidRPr="00EC4EC4">
        <w:rPr>
          <w:rFonts w:eastAsia="Times New Roman" w:cs="Times New Roman"/>
          <w:szCs w:val="24"/>
        </w:rPr>
        <w:t>not less than 24 inches (610 mm) in adjacent pieces.</w:t>
      </w:r>
    </w:p>
    <w:p w14:paraId="5EBFAD60" w14:textId="4716EC19"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22</w:t>
      </w:r>
      <w:r w:rsidR="00F7098D">
        <w:rPr>
          <w:rFonts w:cs="Times New Roman"/>
          <w:color w:val="000000"/>
          <w:sz w:val="23"/>
          <w:szCs w:val="23"/>
        </w:rPr>
        <w:t>5</w:t>
      </w:r>
      <w:r w:rsidRPr="00EC4EC4">
        <w:rPr>
          <w:rFonts w:cs="Times New Roman"/>
          <w:color w:val="000000"/>
          <w:sz w:val="23"/>
          <w:szCs w:val="23"/>
        </w:rPr>
        <w:t>. Table 308.</w:t>
      </w:r>
      <w:r>
        <w:rPr>
          <w:rFonts w:cs="Times New Roman"/>
          <w:color w:val="000000"/>
          <w:sz w:val="23"/>
          <w:szCs w:val="23"/>
        </w:rPr>
        <w:t>7</w:t>
      </w:r>
      <w:r w:rsidRPr="00EC4EC4">
        <w:rPr>
          <w:rFonts w:cs="Times New Roman"/>
          <w:color w:val="000000"/>
          <w:sz w:val="23"/>
          <w:szCs w:val="23"/>
        </w:rPr>
        <w:t>.</w:t>
      </w:r>
      <w:r>
        <w:rPr>
          <w:rFonts w:cs="Times New Roman"/>
          <w:color w:val="000000"/>
          <w:sz w:val="23"/>
          <w:szCs w:val="23"/>
        </w:rPr>
        <w:t>12</w:t>
      </w:r>
      <w:r w:rsidRPr="00EC4EC4">
        <w:rPr>
          <w:rFonts w:cs="Times New Roman"/>
          <w:color w:val="000000"/>
          <w:sz w:val="23"/>
          <w:szCs w:val="23"/>
        </w:rPr>
        <w:t xml:space="preserve"> of  the New York city building code, as renumbered and amended by local law number 126 for the year 2021, is amended to read as follows:</w:t>
      </w:r>
    </w:p>
    <w:tbl>
      <w:tblPr>
        <w:tblStyle w:val="TableGrid6"/>
        <w:tblW w:w="0" w:type="auto"/>
        <w:tblLook w:val="04A0" w:firstRow="1" w:lastRow="0" w:firstColumn="1" w:lastColumn="0" w:noHBand="0" w:noVBand="1"/>
      </w:tblPr>
      <w:tblGrid>
        <w:gridCol w:w="1915"/>
        <w:gridCol w:w="1915"/>
        <w:gridCol w:w="1915"/>
        <w:gridCol w:w="1915"/>
        <w:gridCol w:w="1916"/>
      </w:tblGrid>
      <w:tr w:rsidR="00140B7C" w:rsidRPr="00EC4EC4" w14:paraId="7A8B8F5F" w14:textId="77777777" w:rsidTr="00BC1087">
        <w:trPr>
          <w:cantSplit/>
          <w:tblHeader/>
        </w:trPr>
        <w:tc>
          <w:tcPr>
            <w:tcW w:w="9576" w:type="dxa"/>
            <w:gridSpan w:val="5"/>
            <w:tcBorders>
              <w:top w:val="nil"/>
              <w:left w:val="nil"/>
              <w:right w:val="nil"/>
            </w:tcBorders>
            <w:vAlign w:val="center"/>
          </w:tcPr>
          <w:p w14:paraId="7A6B1EDA" w14:textId="77777777" w:rsidR="00140B7C" w:rsidRPr="00EC4EC4" w:rsidRDefault="00140B7C" w:rsidP="00BC1087">
            <w:pPr>
              <w:widowControl w:val="0"/>
              <w:autoSpaceDE w:val="0"/>
              <w:autoSpaceDN w:val="0"/>
              <w:adjustRightInd w:val="0"/>
              <w:jc w:val="center"/>
              <w:rPr>
                <w:b/>
                <w:sz w:val="16"/>
                <w:szCs w:val="16"/>
              </w:rPr>
            </w:pPr>
            <w:r w:rsidRPr="00EC4EC4">
              <w:rPr>
                <w:b/>
                <w:sz w:val="20"/>
                <w:szCs w:val="14"/>
              </w:rPr>
              <w:t>TABLE [</w:t>
            </w:r>
            <w:r w:rsidRPr="00EC4EC4">
              <w:rPr>
                <w:b/>
                <w:strike/>
                <w:sz w:val="20"/>
                <w:szCs w:val="14"/>
              </w:rPr>
              <w:t>308.7.12</w:t>
            </w:r>
            <w:r w:rsidRPr="00EC4EC4">
              <w:rPr>
                <w:b/>
                <w:sz w:val="20"/>
                <w:szCs w:val="14"/>
              </w:rPr>
              <w:t>]</w:t>
            </w:r>
            <w:r w:rsidRPr="00EC4EC4">
              <w:rPr>
                <w:b/>
                <w:sz w:val="20"/>
                <w:szCs w:val="14"/>
                <w:u w:val="single"/>
              </w:rPr>
              <w:t>2308.7.12</w:t>
            </w:r>
            <w:r w:rsidRPr="00EC4EC4">
              <w:rPr>
                <w:b/>
                <w:sz w:val="20"/>
                <w:szCs w:val="14"/>
              </w:rPr>
              <w:br/>
              <w:t>ALLOWABLE SPANS FOR 2-INCH TONGUE-AND-GROOVE DECKING</w:t>
            </w:r>
          </w:p>
        </w:tc>
      </w:tr>
      <w:tr w:rsidR="00140B7C" w:rsidRPr="00EC4EC4" w14:paraId="43928256" w14:textId="77777777" w:rsidTr="00BC1087">
        <w:trPr>
          <w:cantSplit/>
          <w:tblHeader/>
        </w:trPr>
        <w:tc>
          <w:tcPr>
            <w:tcW w:w="1915" w:type="dxa"/>
            <w:vAlign w:val="center"/>
          </w:tcPr>
          <w:p w14:paraId="57082B38" w14:textId="77777777" w:rsidR="00140B7C" w:rsidRPr="00EC4EC4" w:rsidRDefault="00140B7C" w:rsidP="00BC1087">
            <w:pPr>
              <w:widowControl w:val="0"/>
              <w:autoSpaceDE w:val="0"/>
              <w:autoSpaceDN w:val="0"/>
              <w:adjustRightInd w:val="0"/>
              <w:jc w:val="center"/>
              <w:rPr>
                <w:b/>
                <w:sz w:val="16"/>
                <w:szCs w:val="16"/>
              </w:rPr>
            </w:pPr>
            <w:r w:rsidRPr="00EC4EC4">
              <w:rPr>
                <w:b/>
                <w:sz w:val="16"/>
                <w:szCs w:val="16"/>
              </w:rPr>
              <w:t>SPAN</w:t>
            </w:r>
            <w:r w:rsidRPr="00EC4EC4">
              <w:rPr>
                <w:b/>
                <w:sz w:val="16"/>
                <w:szCs w:val="16"/>
                <w:vertAlign w:val="superscript"/>
              </w:rPr>
              <w:t>a</w:t>
            </w:r>
            <w:r w:rsidRPr="00EC4EC4">
              <w:rPr>
                <w:b/>
                <w:sz w:val="16"/>
                <w:szCs w:val="16"/>
              </w:rPr>
              <w:br/>
              <w:t>(feet)</w:t>
            </w:r>
          </w:p>
        </w:tc>
        <w:tc>
          <w:tcPr>
            <w:tcW w:w="1915" w:type="dxa"/>
            <w:vAlign w:val="center"/>
          </w:tcPr>
          <w:p w14:paraId="6F6ED8FC" w14:textId="77777777" w:rsidR="00140B7C" w:rsidRPr="00EC4EC4" w:rsidRDefault="00140B7C" w:rsidP="00BC1087">
            <w:pPr>
              <w:widowControl w:val="0"/>
              <w:autoSpaceDE w:val="0"/>
              <w:autoSpaceDN w:val="0"/>
              <w:adjustRightInd w:val="0"/>
              <w:jc w:val="center"/>
              <w:rPr>
                <w:b/>
                <w:sz w:val="16"/>
                <w:szCs w:val="16"/>
              </w:rPr>
            </w:pPr>
            <w:r w:rsidRPr="00EC4EC4">
              <w:rPr>
                <w:b/>
                <w:sz w:val="16"/>
                <w:szCs w:val="16"/>
              </w:rPr>
              <w:t>LIVE LOAD</w:t>
            </w:r>
            <w:r w:rsidRPr="00EC4EC4">
              <w:rPr>
                <w:b/>
                <w:sz w:val="16"/>
                <w:szCs w:val="16"/>
              </w:rPr>
              <w:br/>
              <w:t>([</w:t>
            </w:r>
            <w:r w:rsidRPr="00EC4EC4">
              <w:rPr>
                <w:b/>
                <w:strike/>
                <w:sz w:val="16"/>
                <w:szCs w:val="16"/>
              </w:rPr>
              <w:t>pound</w:t>
            </w:r>
            <w:r w:rsidRPr="00EC4EC4">
              <w:rPr>
                <w:b/>
                <w:sz w:val="16"/>
                <w:szCs w:val="16"/>
              </w:rPr>
              <w:t>]pounds per square foot)</w:t>
            </w:r>
          </w:p>
        </w:tc>
        <w:tc>
          <w:tcPr>
            <w:tcW w:w="1915" w:type="dxa"/>
            <w:vAlign w:val="center"/>
          </w:tcPr>
          <w:p w14:paraId="0A872CFE" w14:textId="77777777" w:rsidR="00140B7C" w:rsidRPr="00EC4EC4" w:rsidRDefault="00140B7C" w:rsidP="00BC1087">
            <w:pPr>
              <w:widowControl w:val="0"/>
              <w:autoSpaceDE w:val="0"/>
              <w:autoSpaceDN w:val="0"/>
              <w:adjustRightInd w:val="0"/>
              <w:jc w:val="center"/>
              <w:rPr>
                <w:b/>
                <w:sz w:val="16"/>
                <w:szCs w:val="16"/>
              </w:rPr>
            </w:pPr>
            <w:r w:rsidRPr="00EC4EC4">
              <w:rPr>
                <w:b/>
                <w:sz w:val="16"/>
                <w:szCs w:val="16"/>
              </w:rPr>
              <w:t>DEFLECTION LIMIT</w:t>
            </w:r>
          </w:p>
        </w:tc>
        <w:tc>
          <w:tcPr>
            <w:tcW w:w="1915" w:type="dxa"/>
            <w:vAlign w:val="center"/>
          </w:tcPr>
          <w:p w14:paraId="7ED5C00C" w14:textId="77777777" w:rsidR="00140B7C" w:rsidRPr="00EC4EC4" w:rsidRDefault="00140B7C" w:rsidP="00BC1087">
            <w:pPr>
              <w:widowControl w:val="0"/>
              <w:autoSpaceDE w:val="0"/>
              <w:autoSpaceDN w:val="0"/>
              <w:adjustRightInd w:val="0"/>
              <w:jc w:val="center"/>
              <w:rPr>
                <w:b/>
                <w:sz w:val="16"/>
                <w:szCs w:val="16"/>
              </w:rPr>
            </w:pPr>
            <w:r w:rsidRPr="00EC4EC4">
              <w:rPr>
                <w:b/>
                <w:sz w:val="16"/>
                <w:szCs w:val="16"/>
              </w:rPr>
              <w:t>BENDING STRESS (</w:t>
            </w:r>
            <w:r w:rsidRPr="00EC4EC4">
              <w:rPr>
                <w:b/>
                <w:i/>
                <w:sz w:val="16"/>
                <w:szCs w:val="16"/>
              </w:rPr>
              <w:t>f</w:t>
            </w:r>
            <w:r w:rsidRPr="00EC4EC4">
              <w:rPr>
                <w:b/>
                <w:sz w:val="16"/>
                <w:szCs w:val="16"/>
              </w:rPr>
              <w:t>)</w:t>
            </w:r>
            <w:r w:rsidRPr="00EC4EC4">
              <w:rPr>
                <w:b/>
                <w:sz w:val="16"/>
                <w:szCs w:val="16"/>
              </w:rPr>
              <w:br/>
              <w:t>(pounds per square inch)</w:t>
            </w:r>
          </w:p>
        </w:tc>
        <w:tc>
          <w:tcPr>
            <w:tcW w:w="1916" w:type="dxa"/>
            <w:vAlign w:val="center"/>
          </w:tcPr>
          <w:p w14:paraId="693579E7" w14:textId="77777777" w:rsidR="00140B7C" w:rsidRPr="00EC4EC4" w:rsidRDefault="00140B7C" w:rsidP="00BC1087">
            <w:pPr>
              <w:widowControl w:val="0"/>
              <w:autoSpaceDE w:val="0"/>
              <w:autoSpaceDN w:val="0"/>
              <w:adjustRightInd w:val="0"/>
              <w:jc w:val="center"/>
              <w:rPr>
                <w:b/>
                <w:sz w:val="16"/>
                <w:szCs w:val="16"/>
              </w:rPr>
            </w:pPr>
            <w:r w:rsidRPr="00EC4EC4">
              <w:rPr>
                <w:b/>
                <w:sz w:val="16"/>
                <w:szCs w:val="16"/>
              </w:rPr>
              <w:t>MODULUS OF ELASTICITY (</w:t>
            </w:r>
            <w:r w:rsidRPr="00EC4EC4">
              <w:rPr>
                <w:b/>
                <w:i/>
                <w:sz w:val="16"/>
                <w:szCs w:val="16"/>
              </w:rPr>
              <w:t>E</w:t>
            </w:r>
            <w:r w:rsidRPr="00EC4EC4">
              <w:rPr>
                <w:b/>
                <w:sz w:val="16"/>
                <w:szCs w:val="16"/>
              </w:rPr>
              <w:t>)</w:t>
            </w:r>
            <w:r w:rsidRPr="00EC4EC4">
              <w:rPr>
                <w:b/>
                <w:sz w:val="16"/>
                <w:szCs w:val="16"/>
              </w:rPr>
              <w:br/>
              <w:t>(pounds per square inch)</w:t>
            </w:r>
          </w:p>
        </w:tc>
      </w:tr>
      <w:tr w:rsidR="00140B7C" w:rsidRPr="00EC4EC4" w14:paraId="7C0C4BB4" w14:textId="77777777" w:rsidTr="00BC1087">
        <w:tc>
          <w:tcPr>
            <w:tcW w:w="9576" w:type="dxa"/>
            <w:gridSpan w:val="5"/>
          </w:tcPr>
          <w:p w14:paraId="669EFAE7" w14:textId="77777777" w:rsidR="00140B7C" w:rsidRPr="00EC4EC4" w:rsidRDefault="00140B7C" w:rsidP="00BC1087">
            <w:pPr>
              <w:widowControl w:val="0"/>
              <w:autoSpaceDE w:val="0"/>
              <w:autoSpaceDN w:val="0"/>
              <w:adjustRightInd w:val="0"/>
              <w:jc w:val="center"/>
              <w:rPr>
                <w:b/>
                <w:sz w:val="16"/>
                <w:szCs w:val="16"/>
              </w:rPr>
            </w:pPr>
            <w:r w:rsidRPr="00EC4EC4">
              <w:rPr>
                <w:b/>
                <w:sz w:val="16"/>
                <w:szCs w:val="16"/>
              </w:rPr>
              <w:t>Roofs</w:t>
            </w:r>
          </w:p>
        </w:tc>
      </w:tr>
      <w:tr w:rsidR="00140B7C" w:rsidRPr="00EC4EC4" w14:paraId="3225B069" w14:textId="77777777" w:rsidTr="00BC1087">
        <w:tc>
          <w:tcPr>
            <w:tcW w:w="1915" w:type="dxa"/>
            <w:vMerge w:val="restart"/>
            <w:vAlign w:val="center"/>
          </w:tcPr>
          <w:p w14:paraId="7EC125C8"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w:t>
            </w:r>
          </w:p>
        </w:tc>
        <w:tc>
          <w:tcPr>
            <w:tcW w:w="1915" w:type="dxa"/>
            <w:vAlign w:val="center"/>
          </w:tcPr>
          <w:p w14:paraId="52D3715A"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w:t>
            </w:r>
          </w:p>
        </w:tc>
        <w:tc>
          <w:tcPr>
            <w:tcW w:w="1915" w:type="dxa"/>
            <w:vAlign w:val="center"/>
          </w:tcPr>
          <w:p w14:paraId="14B061BD"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4DA2538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160</w:t>
            </w:r>
          </w:p>
        </w:tc>
        <w:tc>
          <w:tcPr>
            <w:tcW w:w="1916" w:type="dxa"/>
            <w:vAlign w:val="center"/>
          </w:tcPr>
          <w:p w14:paraId="676BEB1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170,000</w:t>
            </w:r>
            <w:r w:rsidRPr="00EC4EC4">
              <w:rPr>
                <w:sz w:val="16"/>
                <w:szCs w:val="16"/>
              </w:rPr>
              <w:br/>
              <w:t>256,000</w:t>
            </w:r>
          </w:p>
        </w:tc>
      </w:tr>
      <w:tr w:rsidR="00140B7C" w:rsidRPr="00EC4EC4" w14:paraId="1BF8BB92" w14:textId="77777777" w:rsidTr="00BC1087">
        <w:tc>
          <w:tcPr>
            <w:tcW w:w="1915" w:type="dxa"/>
            <w:vMerge/>
            <w:vAlign w:val="center"/>
          </w:tcPr>
          <w:p w14:paraId="6AED7FB0"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34487115"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w:t>
            </w:r>
          </w:p>
        </w:tc>
        <w:tc>
          <w:tcPr>
            <w:tcW w:w="1915" w:type="dxa"/>
            <w:vAlign w:val="center"/>
          </w:tcPr>
          <w:p w14:paraId="5A270D1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272D283C"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210</w:t>
            </w:r>
          </w:p>
        </w:tc>
        <w:tc>
          <w:tcPr>
            <w:tcW w:w="1916" w:type="dxa"/>
            <w:vAlign w:val="center"/>
          </w:tcPr>
          <w:p w14:paraId="0A6D3E39"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256,000</w:t>
            </w:r>
            <w:r w:rsidRPr="00EC4EC4">
              <w:rPr>
                <w:sz w:val="16"/>
                <w:szCs w:val="16"/>
              </w:rPr>
              <w:br/>
              <w:t>384,000</w:t>
            </w:r>
          </w:p>
        </w:tc>
      </w:tr>
      <w:tr w:rsidR="00140B7C" w:rsidRPr="00EC4EC4" w14:paraId="1C9D0F13" w14:textId="77777777" w:rsidTr="00BC1087">
        <w:tc>
          <w:tcPr>
            <w:tcW w:w="1915" w:type="dxa"/>
            <w:vMerge/>
            <w:vAlign w:val="center"/>
          </w:tcPr>
          <w:p w14:paraId="30407F9F"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356CB75A"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w:t>
            </w:r>
          </w:p>
        </w:tc>
        <w:tc>
          <w:tcPr>
            <w:tcW w:w="1915" w:type="dxa"/>
            <w:vAlign w:val="center"/>
          </w:tcPr>
          <w:p w14:paraId="26C2C134"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187AA2A3"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270</w:t>
            </w:r>
          </w:p>
        </w:tc>
        <w:tc>
          <w:tcPr>
            <w:tcW w:w="1916" w:type="dxa"/>
            <w:vAlign w:val="center"/>
          </w:tcPr>
          <w:p w14:paraId="33BE0A47"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340,000</w:t>
            </w:r>
            <w:r w:rsidRPr="00EC4EC4">
              <w:rPr>
                <w:sz w:val="16"/>
                <w:szCs w:val="16"/>
              </w:rPr>
              <w:br/>
              <w:t>512,000</w:t>
            </w:r>
          </w:p>
        </w:tc>
      </w:tr>
      <w:tr w:rsidR="00140B7C" w:rsidRPr="00EC4EC4" w14:paraId="67249CBF" w14:textId="77777777" w:rsidTr="00BC1087">
        <w:tc>
          <w:tcPr>
            <w:tcW w:w="1915" w:type="dxa"/>
            <w:vMerge w:val="restart"/>
            <w:vAlign w:val="center"/>
          </w:tcPr>
          <w:p w14:paraId="5058181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4.5</w:t>
            </w:r>
          </w:p>
        </w:tc>
        <w:tc>
          <w:tcPr>
            <w:tcW w:w="1915" w:type="dxa"/>
            <w:vAlign w:val="center"/>
          </w:tcPr>
          <w:p w14:paraId="5EA1933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w:t>
            </w:r>
          </w:p>
        </w:tc>
        <w:tc>
          <w:tcPr>
            <w:tcW w:w="1915" w:type="dxa"/>
            <w:vAlign w:val="center"/>
          </w:tcPr>
          <w:p w14:paraId="779A2CF3"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70BB6368"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200</w:t>
            </w:r>
          </w:p>
        </w:tc>
        <w:tc>
          <w:tcPr>
            <w:tcW w:w="1916" w:type="dxa"/>
            <w:vAlign w:val="center"/>
          </w:tcPr>
          <w:p w14:paraId="5FE173CE"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242,000</w:t>
            </w:r>
            <w:r w:rsidRPr="00EC4EC4">
              <w:rPr>
                <w:sz w:val="16"/>
                <w:szCs w:val="16"/>
              </w:rPr>
              <w:br/>
              <w:t>305,000</w:t>
            </w:r>
          </w:p>
        </w:tc>
      </w:tr>
      <w:tr w:rsidR="00140B7C" w:rsidRPr="00EC4EC4" w14:paraId="531CD740" w14:textId="77777777" w:rsidTr="00BC1087">
        <w:tc>
          <w:tcPr>
            <w:tcW w:w="1915" w:type="dxa"/>
            <w:vMerge/>
            <w:vAlign w:val="center"/>
          </w:tcPr>
          <w:p w14:paraId="029E2F58"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098B0249"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w:t>
            </w:r>
          </w:p>
        </w:tc>
        <w:tc>
          <w:tcPr>
            <w:tcW w:w="1915" w:type="dxa"/>
            <w:vAlign w:val="center"/>
          </w:tcPr>
          <w:p w14:paraId="34E370A8"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1465A81A"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270</w:t>
            </w:r>
          </w:p>
        </w:tc>
        <w:tc>
          <w:tcPr>
            <w:tcW w:w="1916" w:type="dxa"/>
            <w:vAlign w:val="center"/>
          </w:tcPr>
          <w:p w14:paraId="1AEEB83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363,000</w:t>
            </w:r>
            <w:r w:rsidRPr="00EC4EC4">
              <w:rPr>
                <w:sz w:val="16"/>
                <w:szCs w:val="16"/>
              </w:rPr>
              <w:br/>
              <w:t>405,000</w:t>
            </w:r>
          </w:p>
        </w:tc>
      </w:tr>
      <w:tr w:rsidR="00140B7C" w:rsidRPr="00EC4EC4" w14:paraId="3C5F05C8" w14:textId="77777777" w:rsidTr="00BC1087">
        <w:tc>
          <w:tcPr>
            <w:tcW w:w="1915" w:type="dxa"/>
            <w:vMerge/>
            <w:vAlign w:val="center"/>
          </w:tcPr>
          <w:p w14:paraId="147A9139"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3D220722"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w:t>
            </w:r>
          </w:p>
        </w:tc>
        <w:tc>
          <w:tcPr>
            <w:tcW w:w="1915" w:type="dxa"/>
            <w:vAlign w:val="center"/>
          </w:tcPr>
          <w:p w14:paraId="5D786B82"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6FC130FE"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350</w:t>
            </w:r>
          </w:p>
        </w:tc>
        <w:tc>
          <w:tcPr>
            <w:tcW w:w="1916" w:type="dxa"/>
            <w:vAlign w:val="center"/>
          </w:tcPr>
          <w:p w14:paraId="61816726"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484,000</w:t>
            </w:r>
            <w:r w:rsidRPr="00EC4EC4">
              <w:rPr>
                <w:sz w:val="16"/>
                <w:szCs w:val="16"/>
              </w:rPr>
              <w:br/>
              <w:t>725,000</w:t>
            </w:r>
          </w:p>
        </w:tc>
      </w:tr>
      <w:tr w:rsidR="00140B7C" w:rsidRPr="00EC4EC4" w14:paraId="7797CD8E" w14:textId="77777777" w:rsidTr="00BC1087">
        <w:tc>
          <w:tcPr>
            <w:tcW w:w="1915" w:type="dxa"/>
            <w:vMerge w:val="restart"/>
            <w:vAlign w:val="center"/>
          </w:tcPr>
          <w:p w14:paraId="246D8F7E"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5.0</w:t>
            </w:r>
          </w:p>
        </w:tc>
        <w:tc>
          <w:tcPr>
            <w:tcW w:w="1915" w:type="dxa"/>
            <w:vAlign w:val="center"/>
          </w:tcPr>
          <w:p w14:paraId="1A269357"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w:t>
            </w:r>
          </w:p>
        </w:tc>
        <w:tc>
          <w:tcPr>
            <w:tcW w:w="1915" w:type="dxa"/>
            <w:vAlign w:val="center"/>
          </w:tcPr>
          <w:p w14:paraId="54EF3DC8"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7921FEF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250</w:t>
            </w:r>
          </w:p>
        </w:tc>
        <w:tc>
          <w:tcPr>
            <w:tcW w:w="1916" w:type="dxa"/>
            <w:vAlign w:val="center"/>
          </w:tcPr>
          <w:p w14:paraId="283E42DD"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332,000</w:t>
            </w:r>
            <w:r w:rsidRPr="00EC4EC4">
              <w:rPr>
                <w:sz w:val="16"/>
                <w:szCs w:val="16"/>
              </w:rPr>
              <w:br/>
              <w:t>500,000</w:t>
            </w:r>
          </w:p>
        </w:tc>
      </w:tr>
      <w:tr w:rsidR="00140B7C" w:rsidRPr="00EC4EC4" w14:paraId="6343E4AA" w14:textId="77777777" w:rsidTr="00BC1087">
        <w:tc>
          <w:tcPr>
            <w:tcW w:w="1915" w:type="dxa"/>
            <w:vMerge/>
          </w:tcPr>
          <w:p w14:paraId="15B5C669"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79896D8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w:t>
            </w:r>
          </w:p>
        </w:tc>
        <w:tc>
          <w:tcPr>
            <w:tcW w:w="1915" w:type="dxa"/>
            <w:vAlign w:val="center"/>
          </w:tcPr>
          <w:p w14:paraId="283AD305"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73BE22AE"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330</w:t>
            </w:r>
          </w:p>
        </w:tc>
        <w:tc>
          <w:tcPr>
            <w:tcW w:w="1916" w:type="dxa"/>
            <w:vAlign w:val="center"/>
          </w:tcPr>
          <w:p w14:paraId="6045726F"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495,000</w:t>
            </w:r>
            <w:r w:rsidRPr="00EC4EC4">
              <w:rPr>
                <w:sz w:val="16"/>
                <w:szCs w:val="16"/>
              </w:rPr>
              <w:br/>
              <w:t>742,000</w:t>
            </w:r>
          </w:p>
        </w:tc>
      </w:tr>
      <w:tr w:rsidR="00140B7C" w:rsidRPr="00EC4EC4" w14:paraId="76A99F41" w14:textId="77777777" w:rsidTr="00BC1087">
        <w:tc>
          <w:tcPr>
            <w:tcW w:w="1915" w:type="dxa"/>
            <w:vMerge/>
          </w:tcPr>
          <w:p w14:paraId="3EA82D84"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54E70009"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w:t>
            </w:r>
          </w:p>
        </w:tc>
        <w:tc>
          <w:tcPr>
            <w:tcW w:w="1915" w:type="dxa"/>
            <w:vAlign w:val="center"/>
          </w:tcPr>
          <w:p w14:paraId="3CF9465E"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420D499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420</w:t>
            </w:r>
          </w:p>
        </w:tc>
        <w:tc>
          <w:tcPr>
            <w:tcW w:w="1916" w:type="dxa"/>
            <w:vAlign w:val="center"/>
          </w:tcPr>
          <w:p w14:paraId="12CDA7C3"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660,000</w:t>
            </w:r>
            <w:r w:rsidRPr="00EC4EC4">
              <w:rPr>
                <w:sz w:val="16"/>
                <w:szCs w:val="16"/>
              </w:rPr>
              <w:br/>
              <w:t>1,000,000</w:t>
            </w:r>
          </w:p>
        </w:tc>
      </w:tr>
      <w:tr w:rsidR="00140B7C" w:rsidRPr="00EC4EC4" w14:paraId="2D012F88" w14:textId="77777777" w:rsidTr="00BC1087">
        <w:tc>
          <w:tcPr>
            <w:tcW w:w="1915" w:type="dxa"/>
            <w:vMerge w:val="restart"/>
            <w:vAlign w:val="center"/>
          </w:tcPr>
          <w:p w14:paraId="644F8263"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5.5</w:t>
            </w:r>
          </w:p>
        </w:tc>
        <w:tc>
          <w:tcPr>
            <w:tcW w:w="1915" w:type="dxa"/>
            <w:vAlign w:val="center"/>
          </w:tcPr>
          <w:p w14:paraId="594A00E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w:t>
            </w:r>
          </w:p>
        </w:tc>
        <w:tc>
          <w:tcPr>
            <w:tcW w:w="1915" w:type="dxa"/>
            <w:vAlign w:val="center"/>
          </w:tcPr>
          <w:p w14:paraId="0710ADAE"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25E39BF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300</w:t>
            </w:r>
          </w:p>
        </w:tc>
        <w:tc>
          <w:tcPr>
            <w:tcW w:w="1916" w:type="dxa"/>
            <w:vAlign w:val="center"/>
          </w:tcPr>
          <w:p w14:paraId="27E23B14"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442,000</w:t>
            </w:r>
            <w:r w:rsidRPr="00EC4EC4">
              <w:rPr>
                <w:sz w:val="16"/>
                <w:szCs w:val="16"/>
              </w:rPr>
              <w:br/>
              <w:t>660,000</w:t>
            </w:r>
          </w:p>
        </w:tc>
      </w:tr>
      <w:tr w:rsidR="00140B7C" w:rsidRPr="00EC4EC4" w14:paraId="62F9D05E" w14:textId="77777777" w:rsidTr="00BC1087">
        <w:tc>
          <w:tcPr>
            <w:tcW w:w="1915" w:type="dxa"/>
            <w:vMerge/>
            <w:vAlign w:val="center"/>
          </w:tcPr>
          <w:p w14:paraId="21892FE7"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26FF6CF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w:t>
            </w:r>
          </w:p>
        </w:tc>
        <w:tc>
          <w:tcPr>
            <w:tcW w:w="1915" w:type="dxa"/>
            <w:vAlign w:val="center"/>
          </w:tcPr>
          <w:p w14:paraId="3002F99F"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7D2F18B5"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400</w:t>
            </w:r>
          </w:p>
        </w:tc>
        <w:tc>
          <w:tcPr>
            <w:tcW w:w="1916" w:type="dxa"/>
            <w:vAlign w:val="center"/>
          </w:tcPr>
          <w:p w14:paraId="12D3D0B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662,000</w:t>
            </w:r>
            <w:r w:rsidRPr="00EC4EC4">
              <w:rPr>
                <w:sz w:val="16"/>
                <w:szCs w:val="16"/>
              </w:rPr>
              <w:br/>
              <w:t>998,000</w:t>
            </w:r>
          </w:p>
        </w:tc>
      </w:tr>
      <w:tr w:rsidR="00140B7C" w:rsidRPr="00EC4EC4" w14:paraId="01AE7A6D" w14:textId="77777777" w:rsidTr="00BC1087">
        <w:tc>
          <w:tcPr>
            <w:tcW w:w="1915" w:type="dxa"/>
            <w:vMerge/>
            <w:vAlign w:val="center"/>
          </w:tcPr>
          <w:p w14:paraId="24BB9D96"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4C994B7F"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w:t>
            </w:r>
          </w:p>
        </w:tc>
        <w:tc>
          <w:tcPr>
            <w:tcW w:w="1915" w:type="dxa"/>
            <w:vAlign w:val="center"/>
          </w:tcPr>
          <w:p w14:paraId="2FF23655"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7A1B23A2"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500</w:t>
            </w:r>
          </w:p>
        </w:tc>
        <w:tc>
          <w:tcPr>
            <w:tcW w:w="1916" w:type="dxa"/>
            <w:vAlign w:val="center"/>
          </w:tcPr>
          <w:p w14:paraId="7E32E60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884,000</w:t>
            </w:r>
            <w:r w:rsidRPr="00EC4EC4">
              <w:rPr>
                <w:sz w:val="16"/>
                <w:szCs w:val="16"/>
              </w:rPr>
              <w:br/>
              <w:t>1,330,000</w:t>
            </w:r>
          </w:p>
        </w:tc>
      </w:tr>
      <w:tr w:rsidR="00140B7C" w:rsidRPr="00EC4EC4" w14:paraId="49F173B4" w14:textId="77777777" w:rsidTr="00BC1087">
        <w:tc>
          <w:tcPr>
            <w:tcW w:w="1915" w:type="dxa"/>
            <w:vMerge w:val="restart"/>
            <w:vAlign w:val="center"/>
          </w:tcPr>
          <w:p w14:paraId="1D9B54C8"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6.0</w:t>
            </w:r>
          </w:p>
        </w:tc>
        <w:tc>
          <w:tcPr>
            <w:tcW w:w="1915" w:type="dxa"/>
            <w:vAlign w:val="center"/>
          </w:tcPr>
          <w:p w14:paraId="6B10447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w:t>
            </w:r>
          </w:p>
        </w:tc>
        <w:tc>
          <w:tcPr>
            <w:tcW w:w="1915" w:type="dxa"/>
            <w:vAlign w:val="center"/>
          </w:tcPr>
          <w:p w14:paraId="6A1E6DFA"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2C6E023D"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360</w:t>
            </w:r>
          </w:p>
        </w:tc>
        <w:tc>
          <w:tcPr>
            <w:tcW w:w="1916" w:type="dxa"/>
            <w:vAlign w:val="center"/>
          </w:tcPr>
          <w:p w14:paraId="13589FA7"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575,000</w:t>
            </w:r>
            <w:r w:rsidRPr="00EC4EC4">
              <w:rPr>
                <w:sz w:val="16"/>
                <w:szCs w:val="16"/>
              </w:rPr>
              <w:br/>
              <w:t>862,000</w:t>
            </w:r>
          </w:p>
        </w:tc>
      </w:tr>
      <w:tr w:rsidR="00140B7C" w:rsidRPr="00EC4EC4" w14:paraId="62A5912D" w14:textId="77777777" w:rsidTr="00BC1087">
        <w:tc>
          <w:tcPr>
            <w:tcW w:w="1915" w:type="dxa"/>
            <w:vMerge/>
            <w:vAlign w:val="center"/>
          </w:tcPr>
          <w:p w14:paraId="4EF09668"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7EC701B3"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w:t>
            </w:r>
          </w:p>
        </w:tc>
        <w:tc>
          <w:tcPr>
            <w:tcW w:w="1915" w:type="dxa"/>
            <w:vAlign w:val="center"/>
          </w:tcPr>
          <w:p w14:paraId="33991BC6"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13CB5C9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480</w:t>
            </w:r>
          </w:p>
        </w:tc>
        <w:tc>
          <w:tcPr>
            <w:tcW w:w="1916" w:type="dxa"/>
            <w:vAlign w:val="center"/>
          </w:tcPr>
          <w:p w14:paraId="7BAACDC9"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862,000</w:t>
            </w:r>
            <w:r w:rsidRPr="00EC4EC4">
              <w:rPr>
                <w:sz w:val="16"/>
                <w:szCs w:val="16"/>
              </w:rPr>
              <w:br/>
              <w:t>1,295,000</w:t>
            </w:r>
          </w:p>
        </w:tc>
      </w:tr>
      <w:tr w:rsidR="00140B7C" w:rsidRPr="00EC4EC4" w14:paraId="7217A9F0" w14:textId="77777777" w:rsidTr="00BC1087">
        <w:tc>
          <w:tcPr>
            <w:tcW w:w="1915" w:type="dxa"/>
            <w:vMerge/>
            <w:vAlign w:val="center"/>
          </w:tcPr>
          <w:p w14:paraId="04BF609D"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3CEA24C7"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w:t>
            </w:r>
          </w:p>
        </w:tc>
        <w:tc>
          <w:tcPr>
            <w:tcW w:w="1915" w:type="dxa"/>
            <w:vAlign w:val="center"/>
          </w:tcPr>
          <w:p w14:paraId="7D91B38A"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59A1BFC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600</w:t>
            </w:r>
          </w:p>
        </w:tc>
        <w:tc>
          <w:tcPr>
            <w:tcW w:w="1916" w:type="dxa"/>
            <w:vAlign w:val="center"/>
          </w:tcPr>
          <w:p w14:paraId="2D460417"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1,150,000</w:t>
            </w:r>
            <w:r w:rsidRPr="00EC4EC4">
              <w:rPr>
                <w:sz w:val="16"/>
                <w:szCs w:val="16"/>
              </w:rPr>
              <w:br/>
              <w:t>1,730,000</w:t>
            </w:r>
          </w:p>
        </w:tc>
      </w:tr>
      <w:tr w:rsidR="00140B7C" w:rsidRPr="00EC4EC4" w14:paraId="09D556A1" w14:textId="77777777" w:rsidTr="00BC1087">
        <w:tc>
          <w:tcPr>
            <w:tcW w:w="1915" w:type="dxa"/>
            <w:vMerge w:val="restart"/>
            <w:vAlign w:val="center"/>
          </w:tcPr>
          <w:p w14:paraId="10DF564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6.5</w:t>
            </w:r>
          </w:p>
        </w:tc>
        <w:tc>
          <w:tcPr>
            <w:tcW w:w="1915" w:type="dxa"/>
            <w:vAlign w:val="center"/>
          </w:tcPr>
          <w:p w14:paraId="62FC84AE"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w:t>
            </w:r>
          </w:p>
        </w:tc>
        <w:tc>
          <w:tcPr>
            <w:tcW w:w="1915" w:type="dxa"/>
            <w:vAlign w:val="center"/>
          </w:tcPr>
          <w:p w14:paraId="0C7AE03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60F8E2D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420</w:t>
            </w:r>
          </w:p>
        </w:tc>
        <w:tc>
          <w:tcPr>
            <w:tcW w:w="1916" w:type="dxa"/>
            <w:vAlign w:val="center"/>
          </w:tcPr>
          <w:p w14:paraId="47224C49"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595,000</w:t>
            </w:r>
            <w:r w:rsidRPr="00EC4EC4">
              <w:rPr>
                <w:sz w:val="16"/>
                <w:szCs w:val="16"/>
              </w:rPr>
              <w:br/>
              <w:t>892,000</w:t>
            </w:r>
          </w:p>
        </w:tc>
      </w:tr>
      <w:tr w:rsidR="00140B7C" w:rsidRPr="00EC4EC4" w14:paraId="0B9B26CC" w14:textId="77777777" w:rsidTr="00BC1087">
        <w:tc>
          <w:tcPr>
            <w:tcW w:w="1915" w:type="dxa"/>
            <w:vMerge/>
          </w:tcPr>
          <w:p w14:paraId="58690440"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4FD4FA1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w:t>
            </w:r>
          </w:p>
        </w:tc>
        <w:tc>
          <w:tcPr>
            <w:tcW w:w="1915" w:type="dxa"/>
            <w:vAlign w:val="center"/>
          </w:tcPr>
          <w:p w14:paraId="388A50D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2D4B3852"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560</w:t>
            </w:r>
          </w:p>
        </w:tc>
        <w:tc>
          <w:tcPr>
            <w:tcW w:w="1916" w:type="dxa"/>
            <w:vAlign w:val="center"/>
          </w:tcPr>
          <w:p w14:paraId="39BC65D3"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892,000</w:t>
            </w:r>
            <w:r w:rsidRPr="00EC4EC4">
              <w:rPr>
                <w:sz w:val="16"/>
                <w:szCs w:val="16"/>
              </w:rPr>
              <w:br/>
              <w:t>1,340,000</w:t>
            </w:r>
          </w:p>
        </w:tc>
      </w:tr>
      <w:tr w:rsidR="00140B7C" w:rsidRPr="00EC4EC4" w14:paraId="073E4FDD" w14:textId="77777777" w:rsidTr="00BC1087">
        <w:tc>
          <w:tcPr>
            <w:tcW w:w="1915" w:type="dxa"/>
            <w:vMerge/>
          </w:tcPr>
          <w:p w14:paraId="5A2C1D1A"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696542BD"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w:t>
            </w:r>
          </w:p>
        </w:tc>
        <w:tc>
          <w:tcPr>
            <w:tcW w:w="1915" w:type="dxa"/>
            <w:vAlign w:val="center"/>
          </w:tcPr>
          <w:p w14:paraId="6CBE33C2"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57D49748"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700</w:t>
            </w:r>
          </w:p>
        </w:tc>
        <w:tc>
          <w:tcPr>
            <w:tcW w:w="1916" w:type="dxa"/>
            <w:vAlign w:val="center"/>
          </w:tcPr>
          <w:p w14:paraId="11BC7E19"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1,190,000</w:t>
            </w:r>
            <w:r w:rsidRPr="00EC4EC4">
              <w:rPr>
                <w:sz w:val="16"/>
                <w:szCs w:val="16"/>
              </w:rPr>
              <w:br/>
              <w:t>1,730,000</w:t>
            </w:r>
          </w:p>
        </w:tc>
      </w:tr>
      <w:tr w:rsidR="00140B7C" w:rsidRPr="00EC4EC4" w14:paraId="4B5B2E3F" w14:textId="77777777" w:rsidTr="00BC1087">
        <w:tc>
          <w:tcPr>
            <w:tcW w:w="1915" w:type="dxa"/>
            <w:vMerge w:val="restart"/>
            <w:vAlign w:val="center"/>
          </w:tcPr>
          <w:p w14:paraId="7C8A8F66"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7.0</w:t>
            </w:r>
          </w:p>
        </w:tc>
        <w:tc>
          <w:tcPr>
            <w:tcW w:w="1915" w:type="dxa"/>
            <w:vAlign w:val="center"/>
          </w:tcPr>
          <w:p w14:paraId="6AAC2C25"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w:t>
            </w:r>
          </w:p>
        </w:tc>
        <w:tc>
          <w:tcPr>
            <w:tcW w:w="1915" w:type="dxa"/>
          </w:tcPr>
          <w:p w14:paraId="6A267D74"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61A7A833"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490</w:t>
            </w:r>
          </w:p>
        </w:tc>
        <w:tc>
          <w:tcPr>
            <w:tcW w:w="1916" w:type="dxa"/>
            <w:vAlign w:val="center"/>
          </w:tcPr>
          <w:p w14:paraId="77EC9D4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910,000</w:t>
            </w:r>
            <w:r w:rsidRPr="00EC4EC4">
              <w:rPr>
                <w:sz w:val="16"/>
                <w:szCs w:val="16"/>
              </w:rPr>
              <w:br/>
              <w:t>1,360,000</w:t>
            </w:r>
          </w:p>
        </w:tc>
      </w:tr>
      <w:tr w:rsidR="00140B7C" w:rsidRPr="00EC4EC4" w14:paraId="238AE797" w14:textId="77777777" w:rsidTr="00BC1087">
        <w:tc>
          <w:tcPr>
            <w:tcW w:w="1915" w:type="dxa"/>
            <w:vMerge/>
            <w:vAlign w:val="center"/>
          </w:tcPr>
          <w:p w14:paraId="040A053A"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0F77297C"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w:t>
            </w:r>
          </w:p>
        </w:tc>
        <w:tc>
          <w:tcPr>
            <w:tcW w:w="1915" w:type="dxa"/>
          </w:tcPr>
          <w:p w14:paraId="697F425A"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52215B66"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650</w:t>
            </w:r>
          </w:p>
        </w:tc>
        <w:tc>
          <w:tcPr>
            <w:tcW w:w="1916" w:type="dxa"/>
            <w:vAlign w:val="center"/>
          </w:tcPr>
          <w:p w14:paraId="64BC36B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1,370,000</w:t>
            </w:r>
            <w:r w:rsidRPr="00EC4EC4">
              <w:rPr>
                <w:sz w:val="16"/>
                <w:szCs w:val="16"/>
              </w:rPr>
              <w:br/>
              <w:t>2,000,000</w:t>
            </w:r>
          </w:p>
        </w:tc>
      </w:tr>
      <w:tr w:rsidR="00140B7C" w:rsidRPr="00EC4EC4" w14:paraId="14312B59" w14:textId="77777777" w:rsidTr="00BC1087">
        <w:tc>
          <w:tcPr>
            <w:tcW w:w="1915" w:type="dxa"/>
            <w:vMerge/>
            <w:vAlign w:val="center"/>
          </w:tcPr>
          <w:p w14:paraId="22E343AE"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03A82A0E"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w:t>
            </w:r>
          </w:p>
        </w:tc>
        <w:tc>
          <w:tcPr>
            <w:tcW w:w="1915" w:type="dxa"/>
          </w:tcPr>
          <w:p w14:paraId="65620545"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7C710C04"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810</w:t>
            </w:r>
          </w:p>
        </w:tc>
        <w:tc>
          <w:tcPr>
            <w:tcW w:w="1916" w:type="dxa"/>
            <w:vAlign w:val="center"/>
          </w:tcPr>
          <w:p w14:paraId="17E7017F"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1,820,000</w:t>
            </w:r>
            <w:r w:rsidRPr="00EC4EC4">
              <w:rPr>
                <w:sz w:val="16"/>
                <w:szCs w:val="16"/>
              </w:rPr>
              <w:br/>
              <w:t>2,725,000</w:t>
            </w:r>
          </w:p>
        </w:tc>
      </w:tr>
      <w:tr w:rsidR="00140B7C" w:rsidRPr="00EC4EC4" w14:paraId="20758624" w14:textId="77777777" w:rsidTr="00BC1087">
        <w:tc>
          <w:tcPr>
            <w:tcW w:w="1915" w:type="dxa"/>
            <w:vMerge w:val="restart"/>
            <w:vAlign w:val="center"/>
          </w:tcPr>
          <w:p w14:paraId="3D58B06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lastRenderedPageBreak/>
              <w:t>7.5</w:t>
            </w:r>
          </w:p>
        </w:tc>
        <w:tc>
          <w:tcPr>
            <w:tcW w:w="1915" w:type="dxa"/>
            <w:vAlign w:val="center"/>
          </w:tcPr>
          <w:p w14:paraId="0E7331D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w:t>
            </w:r>
          </w:p>
        </w:tc>
        <w:tc>
          <w:tcPr>
            <w:tcW w:w="1915" w:type="dxa"/>
          </w:tcPr>
          <w:p w14:paraId="744AB15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7082E41F"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560</w:t>
            </w:r>
          </w:p>
        </w:tc>
        <w:tc>
          <w:tcPr>
            <w:tcW w:w="1916" w:type="dxa"/>
            <w:vAlign w:val="center"/>
          </w:tcPr>
          <w:p w14:paraId="68766109"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1,125,000</w:t>
            </w:r>
            <w:r w:rsidRPr="00EC4EC4">
              <w:rPr>
                <w:sz w:val="16"/>
                <w:szCs w:val="16"/>
              </w:rPr>
              <w:br/>
              <w:t>1,685,000</w:t>
            </w:r>
          </w:p>
        </w:tc>
      </w:tr>
      <w:tr w:rsidR="00140B7C" w:rsidRPr="00EC4EC4" w14:paraId="2AC26864" w14:textId="77777777" w:rsidTr="00BC1087">
        <w:tc>
          <w:tcPr>
            <w:tcW w:w="1915" w:type="dxa"/>
            <w:vMerge/>
            <w:vAlign w:val="center"/>
          </w:tcPr>
          <w:p w14:paraId="57A7CDD2"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5B8FDAB6"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w:t>
            </w:r>
          </w:p>
        </w:tc>
        <w:tc>
          <w:tcPr>
            <w:tcW w:w="1915" w:type="dxa"/>
          </w:tcPr>
          <w:p w14:paraId="38C667C3"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2E87700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750</w:t>
            </w:r>
          </w:p>
        </w:tc>
        <w:tc>
          <w:tcPr>
            <w:tcW w:w="1916" w:type="dxa"/>
            <w:vAlign w:val="center"/>
          </w:tcPr>
          <w:p w14:paraId="1CE2256C"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1,685,000</w:t>
            </w:r>
            <w:r w:rsidRPr="00EC4EC4">
              <w:rPr>
                <w:sz w:val="16"/>
                <w:szCs w:val="16"/>
              </w:rPr>
              <w:br/>
              <w:t>2,530,000</w:t>
            </w:r>
          </w:p>
        </w:tc>
      </w:tr>
      <w:tr w:rsidR="00140B7C" w:rsidRPr="00EC4EC4" w14:paraId="780A8FD9" w14:textId="77777777" w:rsidTr="00BC1087">
        <w:tc>
          <w:tcPr>
            <w:tcW w:w="1915" w:type="dxa"/>
            <w:vMerge/>
            <w:vAlign w:val="center"/>
          </w:tcPr>
          <w:p w14:paraId="7F2B9B17"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46E9CE98"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w:t>
            </w:r>
          </w:p>
        </w:tc>
        <w:tc>
          <w:tcPr>
            <w:tcW w:w="1915" w:type="dxa"/>
          </w:tcPr>
          <w:p w14:paraId="12A78632"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3FD3F1FF"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930</w:t>
            </w:r>
          </w:p>
        </w:tc>
        <w:tc>
          <w:tcPr>
            <w:tcW w:w="1916" w:type="dxa"/>
            <w:vAlign w:val="center"/>
          </w:tcPr>
          <w:p w14:paraId="40F7A89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2,250,000</w:t>
            </w:r>
            <w:r w:rsidRPr="00EC4EC4">
              <w:rPr>
                <w:sz w:val="16"/>
                <w:szCs w:val="16"/>
              </w:rPr>
              <w:br/>
              <w:t>3,380,000</w:t>
            </w:r>
          </w:p>
        </w:tc>
      </w:tr>
      <w:tr w:rsidR="00140B7C" w:rsidRPr="00EC4EC4" w14:paraId="4A8C6E46" w14:textId="77777777" w:rsidTr="00BC1087">
        <w:tc>
          <w:tcPr>
            <w:tcW w:w="1915" w:type="dxa"/>
            <w:vMerge w:val="restart"/>
            <w:vAlign w:val="center"/>
          </w:tcPr>
          <w:p w14:paraId="483D7B7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8.0</w:t>
            </w:r>
          </w:p>
        </w:tc>
        <w:tc>
          <w:tcPr>
            <w:tcW w:w="1915" w:type="dxa"/>
            <w:vAlign w:val="center"/>
          </w:tcPr>
          <w:p w14:paraId="79B6FD10"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w:t>
            </w:r>
          </w:p>
        </w:tc>
        <w:tc>
          <w:tcPr>
            <w:tcW w:w="1915" w:type="dxa"/>
          </w:tcPr>
          <w:p w14:paraId="7C1757C7"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268F6EFF"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640</w:t>
            </w:r>
          </w:p>
        </w:tc>
        <w:tc>
          <w:tcPr>
            <w:tcW w:w="1916" w:type="dxa"/>
            <w:vAlign w:val="center"/>
          </w:tcPr>
          <w:p w14:paraId="67A1F04B"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1,360,000</w:t>
            </w:r>
            <w:r w:rsidRPr="00EC4EC4">
              <w:rPr>
                <w:sz w:val="16"/>
                <w:szCs w:val="16"/>
              </w:rPr>
              <w:br/>
              <w:t>2,040,000</w:t>
            </w:r>
          </w:p>
        </w:tc>
      </w:tr>
      <w:tr w:rsidR="00140B7C" w:rsidRPr="00EC4EC4" w14:paraId="571A6A40" w14:textId="77777777" w:rsidTr="00BC1087">
        <w:tc>
          <w:tcPr>
            <w:tcW w:w="1915" w:type="dxa"/>
            <w:vMerge/>
            <w:vAlign w:val="center"/>
          </w:tcPr>
          <w:p w14:paraId="086F4508" w14:textId="77777777" w:rsidR="00140B7C" w:rsidRPr="00EC4EC4" w:rsidRDefault="00140B7C" w:rsidP="00BC1087">
            <w:pPr>
              <w:widowControl w:val="0"/>
              <w:autoSpaceDE w:val="0"/>
              <w:autoSpaceDN w:val="0"/>
              <w:adjustRightInd w:val="0"/>
              <w:jc w:val="center"/>
              <w:rPr>
                <w:sz w:val="16"/>
                <w:szCs w:val="16"/>
              </w:rPr>
            </w:pPr>
          </w:p>
        </w:tc>
        <w:tc>
          <w:tcPr>
            <w:tcW w:w="1915" w:type="dxa"/>
            <w:vAlign w:val="center"/>
          </w:tcPr>
          <w:p w14:paraId="2FB7EFF7"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30</w:t>
            </w:r>
          </w:p>
        </w:tc>
        <w:tc>
          <w:tcPr>
            <w:tcW w:w="1915" w:type="dxa"/>
          </w:tcPr>
          <w:p w14:paraId="3E7DA914"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1/240</w:t>
            </w:r>
            <w:r w:rsidRPr="00EC4EC4">
              <w:rPr>
                <w:sz w:val="16"/>
                <w:szCs w:val="16"/>
              </w:rPr>
              <w:br/>
              <w:t>1/360</w:t>
            </w:r>
          </w:p>
        </w:tc>
        <w:tc>
          <w:tcPr>
            <w:tcW w:w="1915" w:type="dxa"/>
            <w:vAlign w:val="center"/>
          </w:tcPr>
          <w:p w14:paraId="75CC2FA4"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850</w:t>
            </w:r>
          </w:p>
        </w:tc>
        <w:tc>
          <w:tcPr>
            <w:tcW w:w="1916" w:type="dxa"/>
            <w:vAlign w:val="center"/>
          </w:tcPr>
          <w:p w14:paraId="354C9C7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2,040,000</w:t>
            </w:r>
            <w:r w:rsidRPr="00EC4EC4">
              <w:rPr>
                <w:sz w:val="16"/>
                <w:szCs w:val="16"/>
              </w:rPr>
              <w:br/>
              <w:t>3,060,000</w:t>
            </w:r>
          </w:p>
        </w:tc>
      </w:tr>
      <w:tr w:rsidR="00140B7C" w:rsidRPr="00EC4EC4" w14:paraId="40F3EB6A" w14:textId="77777777" w:rsidTr="00BC1087">
        <w:tc>
          <w:tcPr>
            <w:tcW w:w="9576" w:type="dxa"/>
            <w:gridSpan w:val="5"/>
          </w:tcPr>
          <w:p w14:paraId="2B6AF2DE" w14:textId="77777777" w:rsidR="00140B7C" w:rsidRPr="00EC4EC4" w:rsidRDefault="00140B7C" w:rsidP="00BC1087">
            <w:pPr>
              <w:widowControl w:val="0"/>
              <w:autoSpaceDE w:val="0"/>
              <w:autoSpaceDN w:val="0"/>
              <w:adjustRightInd w:val="0"/>
              <w:jc w:val="center"/>
              <w:rPr>
                <w:b/>
                <w:sz w:val="16"/>
                <w:szCs w:val="16"/>
              </w:rPr>
            </w:pPr>
            <w:r w:rsidRPr="00EC4EC4">
              <w:rPr>
                <w:b/>
                <w:sz w:val="16"/>
                <w:szCs w:val="16"/>
              </w:rPr>
              <w:t>Floors</w:t>
            </w:r>
          </w:p>
        </w:tc>
      </w:tr>
      <w:tr w:rsidR="00140B7C" w:rsidRPr="00EC4EC4" w14:paraId="440B3086" w14:textId="77777777" w:rsidTr="00BC1087">
        <w:tc>
          <w:tcPr>
            <w:tcW w:w="1915" w:type="dxa"/>
            <w:vAlign w:val="center"/>
          </w:tcPr>
          <w:p w14:paraId="689B2742"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w:t>
            </w:r>
            <w:r w:rsidRPr="00EC4EC4">
              <w:rPr>
                <w:sz w:val="16"/>
                <w:szCs w:val="16"/>
              </w:rPr>
              <w:br/>
              <w:t>4.5</w:t>
            </w:r>
            <w:r w:rsidRPr="00EC4EC4">
              <w:rPr>
                <w:sz w:val="16"/>
                <w:szCs w:val="16"/>
              </w:rPr>
              <w:br/>
              <w:t>5.0</w:t>
            </w:r>
          </w:p>
        </w:tc>
        <w:tc>
          <w:tcPr>
            <w:tcW w:w="1915" w:type="dxa"/>
            <w:vAlign w:val="center"/>
          </w:tcPr>
          <w:p w14:paraId="233E0271"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40</w:t>
            </w:r>
          </w:p>
        </w:tc>
        <w:tc>
          <w:tcPr>
            <w:tcW w:w="1915" w:type="dxa"/>
            <w:vAlign w:val="center"/>
          </w:tcPr>
          <w:p w14:paraId="1CF07F5F"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1/360</w:t>
            </w:r>
          </w:p>
        </w:tc>
        <w:tc>
          <w:tcPr>
            <w:tcW w:w="1915" w:type="dxa"/>
            <w:vAlign w:val="center"/>
          </w:tcPr>
          <w:p w14:paraId="51531C94"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840</w:t>
            </w:r>
            <w:r w:rsidRPr="00EC4EC4">
              <w:rPr>
                <w:sz w:val="16"/>
                <w:szCs w:val="16"/>
              </w:rPr>
              <w:br/>
              <w:t>950</w:t>
            </w:r>
            <w:r w:rsidRPr="00EC4EC4">
              <w:rPr>
                <w:sz w:val="16"/>
                <w:szCs w:val="16"/>
              </w:rPr>
              <w:br/>
              <w:t>1,060</w:t>
            </w:r>
          </w:p>
        </w:tc>
        <w:tc>
          <w:tcPr>
            <w:tcW w:w="1916" w:type="dxa"/>
            <w:vAlign w:val="center"/>
          </w:tcPr>
          <w:p w14:paraId="7C7C3506" w14:textId="77777777" w:rsidR="00140B7C" w:rsidRPr="00EC4EC4" w:rsidRDefault="00140B7C" w:rsidP="00BC1087">
            <w:pPr>
              <w:widowControl w:val="0"/>
              <w:autoSpaceDE w:val="0"/>
              <w:autoSpaceDN w:val="0"/>
              <w:adjustRightInd w:val="0"/>
              <w:jc w:val="center"/>
              <w:rPr>
                <w:sz w:val="16"/>
                <w:szCs w:val="16"/>
              </w:rPr>
            </w:pPr>
            <w:r w:rsidRPr="00EC4EC4">
              <w:rPr>
                <w:sz w:val="16"/>
                <w:szCs w:val="16"/>
              </w:rPr>
              <w:t>1,000,000</w:t>
            </w:r>
            <w:r w:rsidRPr="00EC4EC4">
              <w:rPr>
                <w:sz w:val="16"/>
                <w:szCs w:val="16"/>
              </w:rPr>
              <w:br/>
              <w:t>1,300,000</w:t>
            </w:r>
            <w:r w:rsidRPr="00EC4EC4">
              <w:rPr>
                <w:sz w:val="16"/>
                <w:szCs w:val="16"/>
              </w:rPr>
              <w:br/>
              <w:t>1,600,000</w:t>
            </w:r>
          </w:p>
        </w:tc>
      </w:tr>
    </w:tbl>
    <w:p w14:paraId="7C515C91" w14:textId="77777777" w:rsidR="00140B7C" w:rsidRPr="00EC4EC4" w:rsidRDefault="00140B7C" w:rsidP="00140B7C">
      <w:pPr>
        <w:widowControl w:val="0"/>
        <w:autoSpaceDE w:val="0"/>
        <w:autoSpaceDN w:val="0"/>
        <w:adjustRightInd w:val="0"/>
        <w:spacing w:after="0" w:line="240" w:lineRule="auto"/>
        <w:ind w:left="-90"/>
        <w:jc w:val="both"/>
        <w:rPr>
          <w:rFonts w:eastAsia="Times New Roman" w:cs="Times New Roman"/>
          <w:sz w:val="14"/>
          <w:szCs w:val="14"/>
        </w:rPr>
      </w:pPr>
      <w:r w:rsidRPr="00EC4EC4">
        <w:rPr>
          <w:rFonts w:eastAsia="Times New Roman" w:cs="Times New Roman"/>
          <w:sz w:val="14"/>
          <w:szCs w:val="14"/>
        </w:rPr>
        <w:t>For SI: 1 inch = 25.4 mm, 1 foot = 304.8 mm, 1 pound per square foot = 0.0479 kN/m</w:t>
      </w:r>
      <w:r w:rsidRPr="00EC4EC4">
        <w:rPr>
          <w:rFonts w:eastAsia="Times New Roman" w:cs="Times New Roman"/>
          <w:sz w:val="14"/>
          <w:szCs w:val="14"/>
          <w:vertAlign w:val="superscript"/>
        </w:rPr>
        <w:t>2</w:t>
      </w:r>
      <w:r w:rsidRPr="00EC4EC4">
        <w:rPr>
          <w:rFonts w:eastAsia="Times New Roman" w:cs="Times New Roman"/>
          <w:sz w:val="14"/>
          <w:szCs w:val="14"/>
        </w:rPr>
        <w:t>, 1 pound per square inch = 0.00689 N/mm</w:t>
      </w:r>
      <w:r w:rsidRPr="00EC4EC4">
        <w:rPr>
          <w:rFonts w:eastAsia="Times New Roman" w:cs="Times New Roman"/>
          <w:sz w:val="14"/>
          <w:szCs w:val="14"/>
          <w:vertAlign w:val="superscript"/>
        </w:rPr>
        <w:t>2</w:t>
      </w:r>
      <w:r w:rsidRPr="00EC4EC4">
        <w:rPr>
          <w:rFonts w:eastAsia="Times New Roman" w:cs="Times New Roman"/>
          <w:sz w:val="14"/>
          <w:szCs w:val="14"/>
        </w:rPr>
        <w:t>.</w:t>
      </w:r>
    </w:p>
    <w:p w14:paraId="58592959" w14:textId="77777777" w:rsidR="00140B7C" w:rsidRPr="00EC4EC4" w:rsidRDefault="00140B7C" w:rsidP="00140B7C">
      <w:pPr>
        <w:widowControl w:val="0"/>
        <w:autoSpaceDE w:val="0"/>
        <w:autoSpaceDN w:val="0"/>
        <w:adjustRightInd w:val="0"/>
        <w:spacing w:after="0" w:line="240" w:lineRule="auto"/>
        <w:ind w:left="360" w:hanging="450"/>
        <w:jc w:val="both"/>
        <w:rPr>
          <w:rFonts w:eastAsia="Times New Roman" w:cs="Times New Roman"/>
          <w:sz w:val="14"/>
          <w:szCs w:val="14"/>
        </w:rPr>
      </w:pPr>
      <w:r w:rsidRPr="00EC4EC4">
        <w:rPr>
          <w:rFonts w:eastAsia="Times New Roman" w:cs="Times New Roman"/>
          <w:sz w:val="14"/>
          <w:szCs w:val="14"/>
        </w:rPr>
        <w:t>a.</w:t>
      </w:r>
      <w:r w:rsidRPr="00EC4EC4">
        <w:rPr>
          <w:rFonts w:eastAsia="Times New Roman" w:cs="Times New Roman"/>
          <w:sz w:val="14"/>
          <w:szCs w:val="14"/>
        </w:rPr>
        <w:tab/>
        <w:t>Spans are based on simple beam action with 10 pounds per square foot dead load and provisions for a 300-pound concentrated load on a 12-inch width of decking. Random layup is permitted in accordance with the provisions of Section [</w:t>
      </w:r>
      <w:r w:rsidRPr="00EC4EC4">
        <w:rPr>
          <w:rFonts w:eastAsia="Times New Roman" w:cs="Times New Roman"/>
          <w:strike/>
          <w:sz w:val="14"/>
          <w:szCs w:val="14"/>
        </w:rPr>
        <w:t>308.7.12</w:t>
      </w:r>
      <w:r w:rsidRPr="00EC4EC4">
        <w:rPr>
          <w:rFonts w:eastAsia="Times New Roman" w:cs="Times New Roman"/>
          <w:sz w:val="14"/>
          <w:szCs w:val="14"/>
        </w:rPr>
        <w:t>]</w:t>
      </w:r>
      <w:r w:rsidRPr="00EC4EC4">
        <w:rPr>
          <w:rFonts w:eastAsia="Times New Roman" w:cs="Times New Roman"/>
          <w:sz w:val="14"/>
          <w:szCs w:val="14"/>
          <w:u w:val="single"/>
        </w:rPr>
        <w:t>2308.7.12</w:t>
      </w:r>
      <w:r w:rsidRPr="00EC4EC4">
        <w:rPr>
          <w:rFonts w:eastAsia="Times New Roman" w:cs="Times New Roman"/>
          <w:sz w:val="14"/>
          <w:szCs w:val="14"/>
        </w:rPr>
        <w:t>. Lumber thickness is 1</w:t>
      </w:r>
      <w:r w:rsidRPr="00EC4EC4">
        <w:rPr>
          <w:rFonts w:eastAsia="Times New Roman" w:cs="Times New Roman"/>
          <w:sz w:val="14"/>
          <w:szCs w:val="14"/>
          <w:vertAlign w:val="superscript"/>
        </w:rPr>
        <w:t>1</w:t>
      </w:r>
      <w:r w:rsidRPr="00EC4EC4">
        <w:rPr>
          <w:rFonts w:eastAsia="Times New Roman" w:cs="Times New Roman"/>
          <w:sz w:val="14"/>
          <w:szCs w:val="14"/>
        </w:rPr>
        <w:t>/</w:t>
      </w:r>
      <w:r w:rsidRPr="00EC4EC4">
        <w:rPr>
          <w:rFonts w:eastAsia="Times New Roman" w:cs="Times New Roman"/>
          <w:sz w:val="14"/>
          <w:szCs w:val="14"/>
          <w:vertAlign w:val="subscript"/>
        </w:rPr>
        <w:t>2</w:t>
      </w:r>
      <w:r w:rsidRPr="00EC4EC4">
        <w:rPr>
          <w:rFonts w:eastAsia="Times New Roman" w:cs="Times New Roman"/>
          <w:sz w:val="14"/>
          <w:szCs w:val="14"/>
        </w:rPr>
        <w:t xml:space="preserve"> inches actual.</w:t>
      </w:r>
    </w:p>
    <w:p w14:paraId="6F943324" w14:textId="77777777" w:rsidR="00140B7C" w:rsidRPr="00EC4EC4" w:rsidRDefault="00140B7C" w:rsidP="00140B7C">
      <w:pPr>
        <w:kinsoku w:val="0"/>
        <w:spacing w:after="0" w:line="240" w:lineRule="auto"/>
        <w:ind w:firstLine="720"/>
        <w:jc w:val="both"/>
        <w:rPr>
          <w:rFonts w:cs="Times New Roman"/>
          <w:color w:val="000000"/>
          <w:sz w:val="23"/>
          <w:szCs w:val="23"/>
        </w:rPr>
      </w:pPr>
      <w:bookmarkStart w:id="176" w:name="_Toc389738173"/>
      <w:bookmarkStart w:id="177" w:name="_Toc389746735"/>
    </w:p>
    <w:p w14:paraId="237AD6EE" w14:textId="3813F2A2" w:rsidR="00140B7C" w:rsidRPr="00EC4EC4" w:rsidRDefault="00140B7C" w:rsidP="00140B7C">
      <w:pPr>
        <w:kinsoku w:val="0"/>
        <w:spacing w:after="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22</w:t>
      </w:r>
      <w:r w:rsidR="00F7098D">
        <w:rPr>
          <w:rFonts w:cs="Times New Roman"/>
          <w:color w:val="000000"/>
          <w:sz w:val="23"/>
          <w:szCs w:val="23"/>
        </w:rPr>
        <w:t>6</w:t>
      </w:r>
      <w:r w:rsidRPr="00EC4EC4">
        <w:rPr>
          <w:rFonts w:cs="Times New Roman"/>
          <w:color w:val="000000"/>
          <w:sz w:val="23"/>
          <w:szCs w:val="23"/>
        </w:rPr>
        <w:t>. Section 308.</w:t>
      </w:r>
      <w:r>
        <w:rPr>
          <w:rFonts w:cs="Times New Roman"/>
          <w:color w:val="000000"/>
          <w:sz w:val="23"/>
          <w:szCs w:val="23"/>
        </w:rPr>
        <w:t>7</w:t>
      </w:r>
      <w:r w:rsidRPr="00EC4EC4">
        <w:rPr>
          <w:rFonts w:cs="Times New Roman"/>
          <w:color w:val="000000"/>
          <w:sz w:val="23"/>
          <w:szCs w:val="23"/>
        </w:rPr>
        <w:t>.</w:t>
      </w:r>
      <w:r>
        <w:rPr>
          <w:rFonts w:cs="Times New Roman"/>
          <w:color w:val="000000"/>
          <w:sz w:val="23"/>
          <w:szCs w:val="23"/>
        </w:rPr>
        <w:t>13</w:t>
      </w:r>
      <w:r w:rsidRPr="00EC4EC4">
        <w:rPr>
          <w:rFonts w:cs="Times New Roman"/>
          <w:color w:val="000000"/>
          <w:sz w:val="23"/>
          <w:szCs w:val="23"/>
        </w:rPr>
        <w:t xml:space="preserve"> of  the New York city building code, as renumbered and amended by local law number 126 for the year 2021, is amended to read as follows:</w:t>
      </w:r>
    </w:p>
    <w:p w14:paraId="3A941CD6" w14:textId="77777777" w:rsidR="00140B7C" w:rsidRPr="00EC4EC4" w:rsidRDefault="00140B7C" w:rsidP="00140B7C">
      <w:pPr>
        <w:autoSpaceDE w:val="0"/>
        <w:autoSpaceDN w:val="0"/>
        <w:adjustRightInd w:val="0"/>
        <w:spacing w:before="240" w:after="240" w:line="240" w:lineRule="auto"/>
        <w:jc w:val="both"/>
        <w:rPr>
          <w:rFonts w:cs="Times New Roman"/>
          <w:bCs/>
          <w:szCs w:val="24"/>
        </w:rPr>
      </w:pPr>
      <w:r w:rsidRPr="00EC4EC4">
        <w:rPr>
          <w:rFonts w:cs="Times New Roman"/>
          <w:b/>
          <w:bCs/>
          <w:szCs w:val="24"/>
        </w:rPr>
        <w:t>[</w:t>
      </w:r>
      <w:r w:rsidRPr="00EC4EC4">
        <w:rPr>
          <w:rFonts w:cs="Times New Roman"/>
          <w:b/>
          <w:bCs/>
          <w:strike/>
          <w:szCs w:val="24"/>
        </w:rPr>
        <w:t>308.7.13</w:t>
      </w:r>
      <w:r w:rsidRPr="00EC4EC4">
        <w:rPr>
          <w:rFonts w:cs="Times New Roman"/>
          <w:b/>
          <w:bCs/>
          <w:spacing w:val="-2"/>
          <w:w w:val="110"/>
          <w:szCs w:val="24"/>
        </w:rPr>
        <w:t>]</w:t>
      </w:r>
      <w:r w:rsidRPr="00EC4EC4">
        <w:rPr>
          <w:rFonts w:cs="Times New Roman"/>
          <w:b/>
          <w:bCs/>
          <w:spacing w:val="-2"/>
          <w:w w:val="110"/>
          <w:szCs w:val="24"/>
          <w:u w:val="single"/>
        </w:rPr>
        <w:t>2308.</w:t>
      </w:r>
      <w:r w:rsidRPr="00EC4EC4">
        <w:rPr>
          <w:rFonts w:cs="Times New Roman"/>
          <w:b/>
          <w:bCs/>
          <w:szCs w:val="24"/>
          <w:u w:val="single"/>
        </w:rPr>
        <w:t>7.13</w:t>
      </w:r>
      <w:r w:rsidRPr="00EC4EC4">
        <w:rPr>
          <w:rFonts w:cs="Times New Roman"/>
          <w:b/>
          <w:bCs/>
          <w:szCs w:val="24"/>
        </w:rPr>
        <w:t xml:space="preserve"> Wood trusses.</w:t>
      </w:r>
      <w:bookmarkEnd w:id="176"/>
      <w:bookmarkEnd w:id="177"/>
      <w:r w:rsidRPr="00EC4EC4">
        <w:rPr>
          <w:rFonts w:cs="Times New Roman"/>
          <w:b/>
          <w:bCs/>
          <w:szCs w:val="24"/>
        </w:rPr>
        <w:t xml:space="preserve"> </w:t>
      </w:r>
      <w:r w:rsidRPr="00EC4EC4">
        <w:rPr>
          <w:rFonts w:cs="Times New Roman"/>
          <w:szCs w:val="24"/>
        </w:rPr>
        <w:t>Wood trusses shall be designed in accordance with Section 2303.4.</w:t>
      </w:r>
      <w:r w:rsidRPr="00EC4EC4">
        <w:rPr>
          <w:rFonts w:cs="Times New Roman"/>
          <w:bCs/>
          <w:szCs w:val="24"/>
        </w:rPr>
        <w:t xml:space="preserve"> Connection to braced wall lines shall be in accordance with Section 2308.6.7.2.</w:t>
      </w:r>
    </w:p>
    <w:p w14:paraId="5F23164E" w14:textId="45F1256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22</w:t>
      </w:r>
      <w:r w:rsidR="00F7098D">
        <w:rPr>
          <w:rFonts w:cs="Times New Roman"/>
          <w:color w:val="000000"/>
          <w:sz w:val="23"/>
          <w:szCs w:val="23"/>
        </w:rPr>
        <w:t>7</w:t>
      </w:r>
      <w:r w:rsidRPr="00EC4EC4">
        <w:rPr>
          <w:rFonts w:cs="Times New Roman"/>
          <w:color w:val="000000"/>
          <w:sz w:val="23"/>
          <w:szCs w:val="23"/>
        </w:rPr>
        <w:t>. Section 308.</w:t>
      </w:r>
      <w:r>
        <w:rPr>
          <w:rFonts w:cs="Times New Roman"/>
          <w:color w:val="000000"/>
          <w:sz w:val="23"/>
          <w:szCs w:val="23"/>
        </w:rPr>
        <w:t>7</w:t>
      </w:r>
      <w:r w:rsidRPr="00EC4EC4">
        <w:rPr>
          <w:rFonts w:cs="Times New Roman"/>
          <w:color w:val="000000"/>
          <w:sz w:val="23"/>
          <w:szCs w:val="23"/>
        </w:rPr>
        <w:t>.1</w:t>
      </w:r>
      <w:r>
        <w:rPr>
          <w:rFonts w:cs="Times New Roman"/>
          <w:color w:val="000000"/>
          <w:sz w:val="23"/>
          <w:szCs w:val="23"/>
        </w:rPr>
        <w:t>4</w:t>
      </w:r>
      <w:r w:rsidRPr="00EC4EC4">
        <w:rPr>
          <w:rFonts w:cs="Times New Roman"/>
          <w:color w:val="000000"/>
          <w:sz w:val="23"/>
          <w:szCs w:val="23"/>
        </w:rPr>
        <w:t xml:space="preserve"> of  the New York city building code, as renumbered  and amended by local law number 126 for the year 2021, is amended to read as follows:</w:t>
      </w:r>
    </w:p>
    <w:p w14:paraId="601BA2FF" w14:textId="77777777" w:rsidR="00140B7C" w:rsidRPr="00EC4EC4" w:rsidRDefault="00140B7C" w:rsidP="00140B7C">
      <w:pPr>
        <w:autoSpaceDE w:val="0"/>
        <w:autoSpaceDN w:val="0"/>
        <w:adjustRightInd w:val="0"/>
        <w:spacing w:after="240" w:line="240" w:lineRule="auto"/>
        <w:jc w:val="both"/>
        <w:rPr>
          <w:rFonts w:cs="Times New Roman"/>
          <w:szCs w:val="24"/>
        </w:rPr>
      </w:pPr>
      <w:bookmarkStart w:id="178" w:name="_Toc389738174"/>
      <w:bookmarkStart w:id="179" w:name="_Toc389746736"/>
      <w:r w:rsidRPr="00EC4EC4">
        <w:rPr>
          <w:rFonts w:cs="Times New Roman"/>
          <w:b/>
          <w:bCs/>
          <w:szCs w:val="24"/>
        </w:rPr>
        <w:t>[</w:t>
      </w:r>
      <w:r w:rsidRPr="00EC4EC4">
        <w:rPr>
          <w:rFonts w:cs="Times New Roman"/>
          <w:b/>
          <w:bCs/>
          <w:strike/>
          <w:szCs w:val="24"/>
        </w:rPr>
        <w:t>308.7.14</w:t>
      </w:r>
      <w:r w:rsidRPr="00EC4EC4">
        <w:rPr>
          <w:rFonts w:cs="Times New Roman"/>
          <w:b/>
          <w:bCs/>
          <w:spacing w:val="-3"/>
          <w:w w:val="110"/>
          <w:szCs w:val="24"/>
        </w:rPr>
        <w:t>]</w:t>
      </w:r>
      <w:r w:rsidRPr="00EC4EC4">
        <w:rPr>
          <w:rFonts w:cs="Times New Roman"/>
          <w:b/>
          <w:bCs/>
          <w:spacing w:val="-3"/>
          <w:w w:val="110"/>
          <w:szCs w:val="24"/>
          <w:u w:val="single"/>
        </w:rPr>
        <w:t>2308.</w:t>
      </w:r>
      <w:r w:rsidRPr="00EC4EC4">
        <w:rPr>
          <w:rFonts w:cs="Times New Roman"/>
          <w:b/>
          <w:bCs/>
          <w:szCs w:val="24"/>
          <w:u w:val="single"/>
        </w:rPr>
        <w:t>7.14</w:t>
      </w:r>
      <w:r w:rsidRPr="00EC4EC4">
        <w:rPr>
          <w:rFonts w:cs="Times New Roman"/>
          <w:b/>
          <w:bCs/>
          <w:szCs w:val="24"/>
        </w:rPr>
        <w:t xml:space="preserve"> Attic ventilation.</w:t>
      </w:r>
      <w:bookmarkEnd w:id="178"/>
      <w:bookmarkEnd w:id="179"/>
      <w:r w:rsidRPr="00EC4EC4">
        <w:rPr>
          <w:rFonts w:cs="Times New Roman"/>
          <w:b/>
          <w:bCs/>
          <w:szCs w:val="24"/>
        </w:rPr>
        <w:t xml:space="preserve"> </w:t>
      </w:r>
      <w:r w:rsidRPr="00EC4EC4">
        <w:rPr>
          <w:rFonts w:cs="Times New Roman"/>
          <w:szCs w:val="24"/>
        </w:rPr>
        <w:t>For attic ventilation, see Section 1203.2.  For provisions related to cutting and notching of members, see Section 2308.7.4.</w:t>
      </w:r>
    </w:p>
    <w:p w14:paraId="1F4909B9" w14:textId="57D734AB" w:rsidR="00140B7C" w:rsidRPr="00EC4EC4" w:rsidRDefault="00140B7C" w:rsidP="00140B7C">
      <w:pPr>
        <w:kinsoku w:val="0"/>
        <w:spacing w:after="240" w:line="240" w:lineRule="auto"/>
        <w:ind w:firstLine="720"/>
        <w:jc w:val="both"/>
        <w:rPr>
          <w:rFonts w:eastAsia="Times New Roman" w:cs="Times New Roman"/>
          <w:b/>
          <w:bCs/>
          <w:szCs w:val="24"/>
        </w:rPr>
      </w:pPr>
      <w:bookmarkStart w:id="180" w:name="_Hlk115680301"/>
      <w:r w:rsidRPr="00EC4EC4">
        <w:rPr>
          <w:rFonts w:cs="Times New Roman"/>
          <w:color w:val="000000"/>
          <w:sz w:val="23"/>
          <w:szCs w:val="23"/>
        </w:rPr>
        <w:t>§</w:t>
      </w:r>
      <w:r>
        <w:rPr>
          <w:rFonts w:cs="Times New Roman"/>
          <w:color w:val="000000"/>
          <w:sz w:val="23"/>
          <w:szCs w:val="23"/>
        </w:rPr>
        <w:t>22</w:t>
      </w:r>
      <w:r w:rsidR="00F7098D">
        <w:rPr>
          <w:rFonts w:cs="Times New Roman"/>
          <w:color w:val="000000"/>
          <w:sz w:val="23"/>
          <w:szCs w:val="23"/>
        </w:rPr>
        <w:t>8</w:t>
      </w:r>
      <w:r w:rsidRPr="00EC4EC4">
        <w:rPr>
          <w:rFonts w:cs="Times New Roman"/>
          <w:color w:val="000000"/>
          <w:sz w:val="23"/>
          <w:szCs w:val="23"/>
        </w:rPr>
        <w:t>. Table 2406.2(1) of  the New York city building code, as amended by local law number 126 for the year 2021, is amended to read as follows:</w:t>
      </w:r>
    </w:p>
    <w:bookmarkEnd w:id="180"/>
    <w:p w14:paraId="5006C610" w14:textId="77777777" w:rsidR="00140B7C" w:rsidRPr="00EC4EC4" w:rsidRDefault="00140B7C" w:rsidP="00140B7C">
      <w:pPr>
        <w:autoSpaceDE w:val="0"/>
        <w:autoSpaceDN w:val="0"/>
        <w:adjustRightInd w:val="0"/>
        <w:spacing w:after="240" w:line="240" w:lineRule="auto"/>
        <w:jc w:val="both"/>
        <w:rPr>
          <w:rFonts w:cs="Times New Roman"/>
          <w:szCs w:val="24"/>
        </w:rPr>
      </w:pPr>
    </w:p>
    <w:p w14:paraId="2EE93512" w14:textId="77777777" w:rsidR="00140B7C" w:rsidRPr="00EC4EC4" w:rsidRDefault="00140B7C" w:rsidP="00140B7C">
      <w:pPr>
        <w:widowControl w:val="0"/>
        <w:autoSpaceDE w:val="0"/>
        <w:autoSpaceDN w:val="0"/>
        <w:adjustRightInd w:val="0"/>
        <w:spacing w:before="324" w:after="0" w:line="240" w:lineRule="auto"/>
        <w:jc w:val="center"/>
        <w:rPr>
          <w:rFonts w:eastAsia="Times New Roman" w:cs="Times New Roman"/>
          <w:b/>
          <w:bCs/>
          <w:color w:val="000000"/>
          <w:spacing w:val="-1"/>
          <w:sz w:val="20"/>
          <w:szCs w:val="20"/>
        </w:rPr>
      </w:pPr>
      <w:r w:rsidRPr="00EC4EC4">
        <w:rPr>
          <w:rFonts w:eastAsia="Times New Roman" w:cs="Times New Roman"/>
          <w:b/>
          <w:bCs/>
          <w:color w:val="000000"/>
          <w:sz w:val="20"/>
          <w:szCs w:val="20"/>
        </w:rPr>
        <w:t>TABLE 2406.2(1)</w:t>
      </w:r>
      <w:r w:rsidRPr="00EC4EC4">
        <w:rPr>
          <w:rFonts w:eastAsia="Times New Roman" w:cs="Times New Roman"/>
          <w:b/>
          <w:bCs/>
          <w:color w:val="000000"/>
          <w:sz w:val="20"/>
          <w:szCs w:val="20"/>
        </w:rPr>
        <w:br/>
      </w:r>
      <w:r w:rsidRPr="00EC4EC4">
        <w:rPr>
          <w:rFonts w:eastAsia="Times New Roman" w:cs="Times New Roman"/>
          <w:b/>
          <w:bCs/>
          <w:color w:val="000000"/>
          <w:spacing w:val="-1"/>
          <w:sz w:val="20"/>
          <w:szCs w:val="20"/>
        </w:rPr>
        <w:t>MINIMUM CATEGORY CLASSIFICATION OF GLAZING USING CPSC 16 CFR 1201</w:t>
      </w:r>
    </w:p>
    <w:tbl>
      <w:tblPr>
        <w:tblW w:w="9442" w:type="dxa"/>
        <w:tblInd w:w="11" w:type="dxa"/>
        <w:tblLayout w:type="fixed"/>
        <w:tblCellMar>
          <w:left w:w="0" w:type="dxa"/>
          <w:right w:w="0" w:type="dxa"/>
        </w:tblCellMar>
        <w:tblLook w:val="0000" w:firstRow="0" w:lastRow="0" w:firstColumn="0" w:lastColumn="0" w:noHBand="0" w:noVBand="0"/>
      </w:tblPr>
      <w:tblGrid>
        <w:gridCol w:w="1342"/>
        <w:gridCol w:w="1350"/>
        <w:gridCol w:w="990"/>
        <w:gridCol w:w="1620"/>
        <w:gridCol w:w="1530"/>
        <w:gridCol w:w="1350"/>
        <w:gridCol w:w="1260"/>
      </w:tblGrid>
      <w:tr w:rsidR="00140B7C" w:rsidRPr="00EC4EC4" w14:paraId="3B149461" w14:textId="77777777" w:rsidTr="00BC1087">
        <w:trPr>
          <w:cantSplit/>
          <w:trHeight w:hRule="exact" w:val="1517"/>
          <w:tblHeader/>
        </w:trPr>
        <w:tc>
          <w:tcPr>
            <w:tcW w:w="1342" w:type="dxa"/>
            <w:tcBorders>
              <w:top w:val="single" w:sz="2" w:space="0" w:color="auto"/>
              <w:left w:val="single" w:sz="2" w:space="0" w:color="auto"/>
              <w:bottom w:val="single" w:sz="2" w:space="0" w:color="auto"/>
              <w:right w:val="single" w:sz="2" w:space="0" w:color="auto"/>
            </w:tcBorders>
            <w:vAlign w:val="center"/>
          </w:tcPr>
          <w:p w14:paraId="43A5C489"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pacing w:val="-4"/>
                <w:w w:val="105"/>
                <w:sz w:val="18"/>
                <w:szCs w:val="18"/>
              </w:rPr>
            </w:pPr>
            <w:r w:rsidRPr="00EC4EC4">
              <w:rPr>
                <w:rFonts w:eastAsia="Times New Roman" w:cs="Times New Roman"/>
                <w:b/>
                <w:bCs/>
                <w:color w:val="000000"/>
                <w:spacing w:val="-4"/>
                <w:w w:val="105"/>
                <w:sz w:val="18"/>
                <w:szCs w:val="18"/>
              </w:rPr>
              <w:t>EXPOSED SURFACE</w:t>
            </w:r>
            <w:r w:rsidRPr="00EC4EC4">
              <w:rPr>
                <w:rFonts w:eastAsia="Times New Roman" w:cs="Times New Roman"/>
                <w:b/>
                <w:bCs/>
                <w:color w:val="000000"/>
                <w:spacing w:val="-4"/>
                <w:w w:val="105"/>
                <w:sz w:val="18"/>
                <w:szCs w:val="18"/>
              </w:rPr>
              <w:br/>
              <w:t>AREA OF ONE SIDE</w:t>
            </w:r>
            <w:r w:rsidRPr="00EC4EC4">
              <w:rPr>
                <w:rFonts w:eastAsia="Times New Roman" w:cs="Times New Roman"/>
                <w:b/>
                <w:bCs/>
                <w:color w:val="000000"/>
                <w:spacing w:val="-4"/>
                <w:w w:val="105"/>
                <w:sz w:val="18"/>
                <w:szCs w:val="18"/>
              </w:rPr>
              <w:br/>
              <w:t>OF ONE LITE</w:t>
            </w:r>
          </w:p>
        </w:tc>
        <w:tc>
          <w:tcPr>
            <w:tcW w:w="1350" w:type="dxa"/>
            <w:tcBorders>
              <w:top w:val="single" w:sz="2" w:space="0" w:color="auto"/>
              <w:left w:val="single" w:sz="2" w:space="0" w:color="auto"/>
              <w:bottom w:val="single" w:sz="2" w:space="0" w:color="auto"/>
              <w:right w:val="single" w:sz="2" w:space="0" w:color="auto"/>
            </w:tcBorders>
            <w:vAlign w:val="center"/>
          </w:tcPr>
          <w:p w14:paraId="4971A32C"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w w:val="105"/>
                <w:sz w:val="18"/>
                <w:szCs w:val="18"/>
              </w:rPr>
              <w:t>GLAZING IN</w:t>
            </w:r>
            <w:r w:rsidRPr="00EC4EC4">
              <w:rPr>
                <w:rFonts w:eastAsia="Times New Roman" w:cs="Times New Roman"/>
                <w:b/>
                <w:bCs/>
                <w:color w:val="000000"/>
                <w:w w:val="105"/>
                <w:sz w:val="18"/>
                <w:szCs w:val="18"/>
              </w:rPr>
              <w:br/>
              <w:t>STORM OR</w:t>
            </w:r>
            <w:r w:rsidRPr="00EC4EC4">
              <w:rPr>
                <w:rFonts w:eastAsia="Times New Roman" w:cs="Times New Roman"/>
                <w:b/>
                <w:bCs/>
                <w:color w:val="000000"/>
                <w:w w:val="105"/>
                <w:sz w:val="18"/>
                <w:szCs w:val="18"/>
              </w:rPr>
              <w:br/>
              <w:t>COMBINATION</w:t>
            </w:r>
            <w:r w:rsidRPr="00EC4EC4">
              <w:rPr>
                <w:rFonts w:eastAsia="Times New Roman" w:cs="Times New Roman"/>
                <w:b/>
                <w:bCs/>
                <w:color w:val="000000"/>
                <w:w w:val="105"/>
                <w:sz w:val="18"/>
                <w:szCs w:val="18"/>
              </w:rPr>
              <w:br/>
              <w:t>DOORS</w:t>
            </w:r>
            <w:r w:rsidRPr="00EC4EC4">
              <w:rPr>
                <w:rFonts w:eastAsia="Times New Roman" w:cs="Times New Roman"/>
                <w:b/>
                <w:bCs/>
                <w:color w:val="000000"/>
                <w:w w:val="105"/>
                <w:sz w:val="18"/>
                <w:szCs w:val="18"/>
              </w:rPr>
              <w:br/>
            </w:r>
            <w:r w:rsidRPr="00EC4EC4">
              <w:rPr>
                <w:rFonts w:eastAsia="Times New Roman" w:cs="Times New Roman"/>
                <w:b/>
                <w:bCs/>
                <w:color w:val="000000"/>
                <w:spacing w:val="-2"/>
                <w:w w:val="105"/>
                <w:sz w:val="18"/>
                <w:szCs w:val="18"/>
              </w:rPr>
              <w:t>(Category class)</w:t>
            </w:r>
          </w:p>
        </w:tc>
        <w:tc>
          <w:tcPr>
            <w:tcW w:w="990" w:type="dxa"/>
            <w:tcBorders>
              <w:top w:val="single" w:sz="2" w:space="0" w:color="auto"/>
              <w:left w:val="single" w:sz="2" w:space="0" w:color="auto"/>
              <w:bottom w:val="single" w:sz="2" w:space="0" w:color="auto"/>
              <w:right w:val="single" w:sz="2" w:space="0" w:color="auto"/>
            </w:tcBorders>
            <w:vAlign w:val="center"/>
          </w:tcPr>
          <w:p w14:paraId="278D9BF0"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w w:val="105"/>
                <w:sz w:val="18"/>
                <w:szCs w:val="18"/>
              </w:rPr>
              <w:t>GLAZING IN</w:t>
            </w:r>
            <w:r w:rsidRPr="00EC4EC4">
              <w:rPr>
                <w:rFonts w:eastAsia="Times New Roman" w:cs="Times New Roman"/>
                <w:b/>
                <w:bCs/>
                <w:color w:val="000000"/>
                <w:w w:val="105"/>
                <w:sz w:val="18"/>
                <w:szCs w:val="18"/>
              </w:rPr>
              <w:br/>
              <w:t>DOORS</w:t>
            </w:r>
            <w:r w:rsidRPr="00EC4EC4">
              <w:rPr>
                <w:rFonts w:eastAsia="Times New Roman" w:cs="Times New Roman"/>
                <w:b/>
                <w:bCs/>
                <w:color w:val="000000"/>
                <w:w w:val="105"/>
                <w:sz w:val="18"/>
                <w:szCs w:val="18"/>
              </w:rPr>
              <w:br/>
            </w:r>
            <w:r w:rsidRPr="00EC4EC4">
              <w:rPr>
                <w:rFonts w:eastAsia="Times New Roman" w:cs="Times New Roman"/>
                <w:b/>
                <w:bCs/>
                <w:color w:val="000000"/>
                <w:spacing w:val="-2"/>
                <w:w w:val="105"/>
                <w:sz w:val="18"/>
                <w:szCs w:val="18"/>
              </w:rPr>
              <w:t>(Category class)</w:t>
            </w:r>
          </w:p>
        </w:tc>
        <w:tc>
          <w:tcPr>
            <w:tcW w:w="1620" w:type="dxa"/>
            <w:tcBorders>
              <w:top w:val="single" w:sz="2" w:space="0" w:color="auto"/>
              <w:left w:val="single" w:sz="2" w:space="0" w:color="auto"/>
              <w:bottom w:val="single" w:sz="2" w:space="0" w:color="auto"/>
              <w:right w:val="single" w:sz="2" w:space="0" w:color="auto"/>
            </w:tcBorders>
            <w:vAlign w:val="center"/>
          </w:tcPr>
          <w:p w14:paraId="7EA40E91"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spacing w:val="-4"/>
                <w:w w:val="105"/>
                <w:sz w:val="18"/>
                <w:szCs w:val="18"/>
              </w:rPr>
              <w:t>GLAZED PANELS</w:t>
            </w:r>
            <w:r w:rsidRPr="00EC4EC4">
              <w:rPr>
                <w:rFonts w:eastAsia="Times New Roman" w:cs="Times New Roman"/>
                <w:b/>
                <w:bCs/>
                <w:color w:val="000000"/>
                <w:spacing w:val="-4"/>
                <w:w w:val="105"/>
                <w:sz w:val="18"/>
                <w:szCs w:val="18"/>
              </w:rPr>
              <w:br/>
              <w:t>REGULATED BY</w:t>
            </w:r>
            <w:r w:rsidRPr="00EC4EC4">
              <w:rPr>
                <w:rFonts w:eastAsia="Times New Roman" w:cs="Times New Roman"/>
                <w:b/>
                <w:bCs/>
                <w:color w:val="000000"/>
                <w:spacing w:val="-4"/>
                <w:w w:val="105"/>
                <w:sz w:val="18"/>
                <w:szCs w:val="18"/>
              </w:rPr>
              <w:br/>
            </w:r>
            <w:r w:rsidRPr="00EC4EC4">
              <w:rPr>
                <w:rFonts w:eastAsia="Times New Roman" w:cs="Times New Roman"/>
                <w:b/>
                <w:bCs/>
                <w:color w:val="000000"/>
                <w:spacing w:val="-2"/>
                <w:w w:val="105"/>
                <w:sz w:val="18"/>
                <w:szCs w:val="18"/>
              </w:rPr>
              <w:t xml:space="preserve">SECTION </w:t>
            </w:r>
          </w:p>
          <w:p w14:paraId="76CFBC58"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spacing w:val="-2"/>
                <w:w w:val="105"/>
                <w:sz w:val="18"/>
                <w:szCs w:val="18"/>
              </w:rPr>
              <w:t>[</w:t>
            </w:r>
            <w:r w:rsidRPr="00EC4EC4">
              <w:rPr>
                <w:rFonts w:eastAsia="Times New Roman" w:cs="Times New Roman"/>
                <w:b/>
                <w:bCs/>
                <w:strike/>
                <w:color w:val="000000"/>
                <w:spacing w:val="-2"/>
                <w:w w:val="105"/>
                <w:sz w:val="18"/>
                <w:szCs w:val="18"/>
              </w:rPr>
              <w:t>406.4.3</w:t>
            </w:r>
            <w:r w:rsidRPr="00EC4EC4">
              <w:rPr>
                <w:rFonts w:eastAsia="Times New Roman" w:cs="Times New Roman"/>
                <w:b/>
                <w:bCs/>
                <w:color w:val="000000"/>
                <w:spacing w:val="-2"/>
                <w:w w:val="105"/>
                <w:sz w:val="18"/>
                <w:szCs w:val="18"/>
              </w:rPr>
              <w:t>]</w:t>
            </w:r>
            <w:r w:rsidRPr="00EC4EC4">
              <w:rPr>
                <w:rFonts w:eastAsia="Times New Roman" w:cs="Times New Roman"/>
                <w:b/>
                <w:bCs/>
                <w:color w:val="000000"/>
                <w:spacing w:val="-2"/>
                <w:w w:val="105"/>
                <w:sz w:val="18"/>
                <w:szCs w:val="18"/>
                <w:u w:val="single"/>
              </w:rPr>
              <w:t>2406.4.3</w:t>
            </w:r>
            <w:r w:rsidRPr="00EC4EC4">
              <w:rPr>
                <w:rFonts w:eastAsia="Times New Roman" w:cs="Times New Roman"/>
                <w:b/>
                <w:bCs/>
                <w:color w:val="000000"/>
                <w:spacing w:val="-2"/>
                <w:w w:val="105"/>
                <w:sz w:val="18"/>
                <w:szCs w:val="18"/>
              </w:rPr>
              <w:br/>
              <w:t>(Category class)</w:t>
            </w:r>
          </w:p>
        </w:tc>
        <w:tc>
          <w:tcPr>
            <w:tcW w:w="1530" w:type="dxa"/>
            <w:tcBorders>
              <w:top w:val="single" w:sz="2" w:space="0" w:color="auto"/>
              <w:left w:val="single" w:sz="2" w:space="0" w:color="auto"/>
              <w:bottom w:val="single" w:sz="2" w:space="0" w:color="auto"/>
              <w:right w:val="single" w:sz="2" w:space="0" w:color="auto"/>
            </w:tcBorders>
            <w:vAlign w:val="center"/>
          </w:tcPr>
          <w:p w14:paraId="1A797CEC"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spacing w:val="-4"/>
                <w:w w:val="105"/>
                <w:sz w:val="18"/>
                <w:szCs w:val="18"/>
              </w:rPr>
              <w:t>GLAZED PANELS</w:t>
            </w:r>
            <w:r w:rsidRPr="00EC4EC4">
              <w:rPr>
                <w:rFonts w:eastAsia="Times New Roman" w:cs="Times New Roman"/>
                <w:b/>
                <w:bCs/>
                <w:color w:val="000000"/>
                <w:spacing w:val="-4"/>
                <w:w w:val="105"/>
                <w:sz w:val="18"/>
                <w:szCs w:val="18"/>
              </w:rPr>
              <w:br/>
              <w:t>REGULATED BY</w:t>
            </w:r>
            <w:r w:rsidRPr="00EC4EC4">
              <w:rPr>
                <w:rFonts w:eastAsia="Times New Roman" w:cs="Times New Roman"/>
                <w:b/>
                <w:bCs/>
                <w:color w:val="000000"/>
                <w:w w:val="105"/>
                <w:sz w:val="18"/>
                <w:szCs w:val="18"/>
              </w:rPr>
              <w:br/>
            </w:r>
            <w:r w:rsidRPr="00EC4EC4">
              <w:rPr>
                <w:rFonts w:eastAsia="Times New Roman" w:cs="Times New Roman"/>
                <w:b/>
                <w:bCs/>
                <w:color w:val="000000"/>
                <w:spacing w:val="-2"/>
                <w:w w:val="105"/>
                <w:sz w:val="18"/>
                <w:szCs w:val="18"/>
              </w:rPr>
              <w:t>SECTION [</w:t>
            </w:r>
            <w:r w:rsidRPr="00EC4EC4">
              <w:rPr>
                <w:rFonts w:eastAsia="Times New Roman" w:cs="Times New Roman"/>
                <w:b/>
                <w:bCs/>
                <w:strike/>
                <w:color w:val="000000"/>
                <w:spacing w:val="-2"/>
                <w:w w:val="105"/>
                <w:sz w:val="18"/>
                <w:szCs w:val="18"/>
              </w:rPr>
              <w:t>406.4.2</w:t>
            </w:r>
            <w:r w:rsidRPr="00EC4EC4">
              <w:rPr>
                <w:rFonts w:eastAsia="Times New Roman" w:cs="Times New Roman"/>
                <w:b/>
                <w:bCs/>
                <w:color w:val="000000"/>
                <w:spacing w:val="-2"/>
                <w:w w:val="105"/>
                <w:sz w:val="18"/>
                <w:szCs w:val="18"/>
              </w:rPr>
              <w:t>]</w:t>
            </w:r>
            <w:r w:rsidRPr="00EC4EC4">
              <w:rPr>
                <w:rFonts w:eastAsia="Times New Roman" w:cs="Times New Roman"/>
                <w:b/>
                <w:bCs/>
                <w:color w:val="000000"/>
                <w:spacing w:val="-2"/>
                <w:w w:val="105"/>
                <w:sz w:val="18"/>
                <w:szCs w:val="18"/>
                <w:u w:val="single"/>
              </w:rPr>
              <w:t>2406.4.2</w:t>
            </w:r>
            <w:r w:rsidRPr="00EC4EC4">
              <w:rPr>
                <w:rFonts w:eastAsia="Times New Roman" w:cs="Times New Roman"/>
                <w:b/>
                <w:bCs/>
                <w:color w:val="000000"/>
                <w:spacing w:val="-2"/>
                <w:w w:val="105"/>
                <w:sz w:val="18"/>
                <w:szCs w:val="18"/>
              </w:rPr>
              <w:br/>
              <w:t>(Category class)</w:t>
            </w:r>
          </w:p>
        </w:tc>
        <w:tc>
          <w:tcPr>
            <w:tcW w:w="1350" w:type="dxa"/>
            <w:tcBorders>
              <w:top w:val="single" w:sz="2" w:space="0" w:color="auto"/>
              <w:left w:val="single" w:sz="2" w:space="0" w:color="auto"/>
              <w:bottom w:val="single" w:sz="2" w:space="0" w:color="auto"/>
              <w:right w:val="single" w:sz="2" w:space="0" w:color="auto"/>
            </w:tcBorders>
            <w:vAlign w:val="center"/>
          </w:tcPr>
          <w:p w14:paraId="41BA3470"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w w:val="105"/>
                <w:sz w:val="18"/>
                <w:szCs w:val="18"/>
              </w:rPr>
              <w:t>DOORS AND</w:t>
            </w:r>
            <w:r w:rsidRPr="00EC4EC4">
              <w:rPr>
                <w:rFonts w:eastAsia="Times New Roman" w:cs="Times New Roman"/>
                <w:b/>
                <w:bCs/>
                <w:color w:val="000000"/>
                <w:w w:val="105"/>
                <w:sz w:val="18"/>
                <w:szCs w:val="18"/>
              </w:rPr>
              <w:br/>
              <w:t>ENCLOSURES</w:t>
            </w:r>
            <w:r w:rsidRPr="00EC4EC4">
              <w:rPr>
                <w:rFonts w:eastAsia="Times New Roman" w:cs="Times New Roman"/>
                <w:b/>
                <w:bCs/>
                <w:color w:val="000000"/>
                <w:w w:val="105"/>
                <w:sz w:val="18"/>
                <w:szCs w:val="18"/>
              </w:rPr>
              <w:br/>
            </w:r>
            <w:r w:rsidRPr="00EC4EC4">
              <w:rPr>
                <w:rFonts w:eastAsia="Times New Roman" w:cs="Times New Roman"/>
                <w:b/>
                <w:bCs/>
                <w:color w:val="000000"/>
                <w:spacing w:val="-4"/>
                <w:w w:val="105"/>
                <w:sz w:val="18"/>
                <w:szCs w:val="18"/>
              </w:rPr>
              <w:t xml:space="preserve">REGULATED BY </w:t>
            </w:r>
            <w:r w:rsidRPr="00EC4EC4">
              <w:rPr>
                <w:rFonts w:eastAsia="Times New Roman" w:cs="Times New Roman"/>
                <w:b/>
                <w:bCs/>
                <w:strike/>
                <w:color w:val="000000"/>
                <w:spacing w:val="-4"/>
                <w:w w:val="105"/>
                <w:sz w:val="18"/>
                <w:szCs w:val="18"/>
              </w:rPr>
              <w:br/>
            </w:r>
            <w:r w:rsidRPr="00EC4EC4">
              <w:rPr>
                <w:rFonts w:eastAsia="Times New Roman" w:cs="Times New Roman"/>
                <w:b/>
                <w:bCs/>
                <w:color w:val="000000"/>
                <w:spacing w:val="-2"/>
                <w:w w:val="105"/>
                <w:sz w:val="18"/>
                <w:szCs w:val="18"/>
              </w:rPr>
              <w:t>SECTION [</w:t>
            </w:r>
            <w:r w:rsidRPr="00EC4EC4">
              <w:rPr>
                <w:rFonts w:eastAsia="Times New Roman" w:cs="Times New Roman"/>
                <w:b/>
                <w:bCs/>
                <w:strike/>
                <w:color w:val="000000"/>
                <w:spacing w:val="-2"/>
                <w:w w:val="105"/>
                <w:sz w:val="18"/>
                <w:szCs w:val="18"/>
              </w:rPr>
              <w:t>406.4.5</w:t>
            </w:r>
            <w:r w:rsidRPr="00EC4EC4">
              <w:rPr>
                <w:rFonts w:eastAsia="Times New Roman" w:cs="Times New Roman"/>
                <w:b/>
                <w:bCs/>
                <w:color w:val="000000"/>
                <w:spacing w:val="-2"/>
                <w:w w:val="105"/>
                <w:sz w:val="18"/>
                <w:szCs w:val="18"/>
              </w:rPr>
              <w:t>]</w:t>
            </w:r>
            <w:r w:rsidRPr="00EC4EC4">
              <w:rPr>
                <w:rFonts w:eastAsia="Times New Roman" w:cs="Times New Roman"/>
                <w:b/>
                <w:bCs/>
                <w:color w:val="000000"/>
                <w:spacing w:val="-2"/>
                <w:w w:val="105"/>
                <w:sz w:val="18"/>
                <w:szCs w:val="18"/>
                <w:u w:val="single"/>
              </w:rPr>
              <w:t>2406.4.5</w:t>
            </w:r>
            <w:r w:rsidRPr="00EC4EC4">
              <w:rPr>
                <w:rFonts w:eastAsia="Times New Roman" w:cs="Times New Roman"/>
                <w:b/>
                <w:bCs/>
                <w:color w:val="000000"/>
                <w:spacing w:val="-2"/>
                <w:w w:val="105"/>
                <w:sz w:val="18"/>
                <w:szCs w:val="18"/>
              </w:rPr>
              <w:br/>
              <w:t>(Category class)</w:t>
            </w:r>
          </w:p>
        </w:tc>
        <w:tc>
          <w:tcPr>
            <w:tcW w:w="1260" w:type="dxa"/>
            <w:tcBorders>
              <w:top w:val="single" w:sz="2" w:space="0" w:color="auto"/>
              <w:left w:val="single" w:sz="2" w:space="0" w:color="auto"/>
              <w:bottom w:val="single" w:sz="2" w:space="0" w:color="auto"/>
              <w:right w:val="single" w:sz="2" w:space="0" w:color="auto"/>
            </w:tcBorders>
            <w:vAlign w:val="center"/>
          </w:tcPr>
          <w:p w14:paraId="1F7A8A33"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spacing w:val="-4"/>
                <w:w w:val="105"/>
                <w:sz w:val="18"/>
                <w:szCs w:val="18"/>
              </w:rPr>
              <w:t>SLIDING GLASS</w:t>
            </w:r>
            <w:r w:rsidRPr="00EC4EC4">
              <w:rPr>
                <w:rFonts w:eastAsia="Times New Roman" w:cs="Times New Roman"/>
                <w:b/>
                <w:bCs/>
                <w:color w:val="000000"/>
                <w:spacing w:val="-4"/>
                <w:w w:val="105"/>
                <w:sz w:val="18"/>
                <w:szCs w:val="18"/>
              </w:rPr>
              <w:br/>
            </w:r>
            <w:r w:rsidRPr="00EC4EC4">
              <w:rPr>
                <w:rFonts w:eastAsia="Times New Roman" w:cs="Times New Roman"/>
                <w:b/>
                <w:bCs/>
                <w:color w:val="000000"/>
                <w:w w:val="105"/>
                <w:sz w:val="18"/>
                <w:szCs w:val="18"/>
              </w:rPr>
              <w:t>DOORS PATIO</w:t>
            </w:r>
            <w:r w:rsidRPr="00EC4EC4">
              <w:rPr>
                <w:rFonts w:eastAsia="Times New Roman" w:cs="Times New Roman"/>
                <w:b/>
                <w:bCs/>
                <w:color w:val="000000"/>
                <w:w w:val="105"/>
                <w:sz w:val="18"/>
                <w:szCs w:val="18"/>
              </w:rPr>
              <w:br/>
              <w:t>TYPE</w:t>
            </w:r>
            <w:r w:rsidRPr="00EC4EC4">
              <w:rPr>
                <w:rFonts w:eastAsia="Times New Roman" w:cs="Times New Roman"/>
                <w:b/>
                <w:bCs/>
                <w:color w:val="000000"/>
                <w:w w:val="105"/>
                <w:sz w:val="18"/>
                <w:szCs w:val="18"/>
              </w:rPr>
              <w:br/>
            </w:r>
            <w:r w:rsidRPr="00EC4EC4">
              <w:rPr>
                <w:rFonts w:eastAsia="Times New Roman" w:cs="Times New Roman"/>
                <w:b/>
                <w:bCs/>
                <w:color w:val="000000"/>
                <w:spacing w:val="-2"/>
                <w:w w:val="105"/>
                <w:sz w:val="18"/>
                <w:szCs w:val="18"/>
              </w:rPr>
              <w:t>(Category class)</w:t>
            </w:r>
          </w:p>
        </w:tc>
      </w:tr>
      <w:tr w:rsidR="00140B7C" w:rsidRPr="00EC4EC4" w14:paraId="65F14FE3" w14:textId="77777777" w:rsidTr="00BC1087">
        <w:trPr>
          <w:trHeight w:hRule="exact" w:val="446"/>
        </w:trPr>
        <w:tc>
          <w:tcPr>
            <w:tcW w:w="1342" w:type="dxa"/>
            <w:tcBorders>
              <w:top w:val="single" w:sz="2" w:space="0" w:color="auto"/>
              <w:left w:val="single" w:sz="2" w:space="0" w:color="auto"/>
              <w:bottom w:val="single" w:sz="2" w:space="0" w:color="auto"/>
              <w:right w:val="single" w:sz="2" w:space="0" w:color="auto"/>
            </w:tcBorders>
            <w:vAlign w:val="center"/>
          </w:tcPr>
          <w:p w14:paraId="1F8D1C84"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pacing w:val="6"/>
                <w:sz w:val="18"/>
                <w:szCs w:val="18"/>
              </w:rPr>
            </w:pPr>
            <w:r w:rsidRPr="00EC4EC4">
              <w:rPr>
                <w:rFonts w:eastAsia="Times New Roman" w:cs="Times New Roman"/>
                <w:color w:val="000000"/>
                <w:spacing w:val="6"/>
                <w:sz w:val="18"/>
                <w:szCs w:val="18"/>
              </w:rPr>
              <w:t>9 square feet or less</w:t>
            </w:r>
          </w:p>
        </w:tc>
        <w:tc>
          <w:tcPr>
            <w:tcW w:w="1350" w:type="dxa"/>
            <w:tcBorders>
              <w:top w:val="single" w:sz="2" w:space="0" w:color="auto"/>
              <w:left w:val="single" w:sz="2" w:space="0" w:color="auto"/>
              <w:bottom w:val="single" w:sz="2" w:space="0" w:color="auto"/>
              <w:right w:val="single" w:sz="2" w:space="0" w:color="auto"/>
            </w:tcBorders>
            <w:vAlign w:val="center"/>
          </w:tcPr>
          <w:p w14:paraId="038BAE2D"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w:t>
            </w:r>
          </w:p>
        </w:tc>
        <w:tc>
          <w:tcPr>
            <w:tcW w:w="990" w:type="dxa"/>
            <w:tcBorders>
              <w:top w:val="single" w:sz="2" w:space="0" w:color="auto"/>
              <w:left w:val="single" w:sz="2" w:space="0" w:color="auto"/>
              <w:bottom w:val="single" w:sz="2" w:space="0" w:color="auto"/>
              <w:right w:val="single" w:sz="2" w:space="0" w:color="auto"/>
            </w:tcBorders>
            <w:vAlign w:val="center"/>
          </w:tcPr>
          <w:p w14:paraId="20A5ACFF"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w:t>
            </w:r>
          </w:p>
        </w:tc>
        <w:tc>
          <w:tcPr>
            <w:tcW w:w="1620" w:type="dxa"/>
            <w:tcBorders>
              <w:top w:val="single" w:sz="2" w:space="0" w:color="auto"/>
              <w:left w:val="single" w:sz="2" w:space="0" w:color="auto"/>
              <w:bottom w:val="single" w:sz="2" w:space="0" w:color="auto"/>
              <w:right w:val="single" w:sz="2" w:space="0" w:color="auto"/>
            </w:tcBorders>
            <w:vAlign w:val="center"/>
          </w:tcPr>
          <w:p w14:paraId="0EEA7267"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pacing w:val="8"/>
                <w:sz w:val="18"/>
                <w:szCs w:val="18"/>
              </w:rPr>
            </w:pPr>
            <w:r w:rsidRPr="00EC4EC4">
              <w:rPr>
                <w:rFonts w:eastAsia="Times New Roman" w:cs="Times New Roman"/>
                <w:color w:val="000000"/>
                <w:spacing w:val="8"/>
                <w:sz w:val="18"/>
                <w:szCs w:val="18"/>
              </w:rPr>
              <w:t>No requirement</w:t>
            </w:r>
          </w:p>
        </w:tc>
        <w:tc>
          <w:tcPr>
            <w:tcW w:w="1530" w:type="dxa"/>
            <w:tcBorders>
              <w:top w:val="single" w:sz="2" w:space="0" w:color="auto"/>
              <w:left w:val="single" w:sz="2" w:space="0" w:color="auto"/>
              <w:bottom w:val="single" w:sz="2" w:space="0" w:color="auto"/>
              <w:right w:val="single" w:sz="2" w:space="0" w:color="auto"/>
            </w:tcBorders>
            <w:vAlign w:val="center"/>
          </w:tcPr>
          <w:p w14:paraId="5333A2FF"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w:t>
            </w:r>
          </w:p>
        </w:tc>
        <w:tc>
          <w:tcPr>
            <w:tcW w:w="1350" w:type="dxa"/>
            <w:tcBorders>
              <w:top w:val="single" w:sz="2" w:space="0" w:color="auto"/>
              <w:left w:val="single" w:sz="2" w:space="0" w:color="auto"/>
              <w:bottom w:val="single" w:sz="2" w:space="0" w:color="auto"/>
              <w:right w:val="single" w:sz="2" w:space="0" w:color="auto"/>
            </w:tcBorders>
            <w:vAlign w:val="center"/>
          </w:tcPr>
          <w:p w14:paraId="7F00F8B5"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II</w:t>
            </w:r>
          </w:p>
        </w:tc>
        <w:tc>
          <w:tcPr>
            <w:tcW w:w="1260" w:type="dxa"/>
            <w:tcBorders>
              <w:top w:val="single" w:sz="2" w:space="0" w:color="auto"/>
              <w:left w:val="single" w:sz="2" w:space="0" w:color="auto"/>
              <w:bottom w:val="single" w:sz="2" w:space="0" w:color="auto"/>
              <w:right w:val="single" w:sz="2" w:space="0" w:color="auto"/>
            </w:tcBorders>
            <w:vAlign w:val="center"/>
          </w:tcPr>
          <w:p w14:paraId="6352436B"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II</w:t>
            </w:r>
          </w:p>
        </w:tc>
      </w:tr>
      <w:tr w:rsidR="00140B7C" w:rsidRPr="00EC4EC4" w14:paraId="218D56C4" w14:textId="77777777" w:rsidTr="00BC1087">
        <w:trPr>
          <w:trHeight w:hRule="exact" w:val="455"/>
        </w:trPr>
        <w:tc>
          <w:tcPr>
            <w:tcW w:w="1342" w:type="dxa"/>
            <w:tcBorders>
              <w:top w:val="single" w:sz="2" w:space="0" w:color="auto"/>
              <w:left w:val="single" w:sz="2" w:space="0" w:color="auto"/>
              <w:bottom w:val="single" w:sz="2" w:space="0" w:color="auto"/>
              <w:right w:val="single" w:sz="2" w:space="0" w:color="auto"/>
            </w:tcBorders>
            <w:vAlign w:val="center"/>
          </w:tcPr>
          <w:p w14:paraId="7592A681"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pacing w:val="8"/>
                <w:sz w:val="18"/>
                <w:szCs w:val="18"/>
              </w:rPr>
            </w:pPr>
            <w:r w:rsidRPr="00EC4EC4">
              <w:rPr>
                <w:rFonts w:eastAsia="Times New Roman" w:cs="Times New Roman"/>
                <w:color w:val="000000"/>
                <w:spacing w:val="8"/>
                <w:sz w:val="18"/>
                <w:szCs w:val="18"/>
              </w:rPr>
              <w:t>More than 9 square feet</w:t>
            </w:r>
          </w:p>
        </w:tc>
        <w:tc>
          <w:tcPr>
            <w:tcW w:w="1350" w:type="dxa"/>
            <w:tcBorders>
              <w:top w:val="single" w:sz="2" w:space="0" w:color="auto"/>
              <w:left w:val="single" w:sz="2" w:space="0" w:color="auto"/>
              <w:bottom w:val="single" w:sz="2" w:space="0" w:color="auto"/>
              <w:right w:val="single" w:sz="2" w:space="0" w:color="auto"/>
            </w:tcBorders>
            <w:vAlign w:val="center"/>
          </w:tcPr>
          <w:p w14:paraId="160AAA69"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II</w:t>
            </w:r>
          </w:p>
        </w:tc>
        <w:tc>
          <w:tcPr>
            <w:tcW w:w="990" w:type="dxa"/>
            <w:tcBorders>
              <w:top w:val="single" w:sz="2" w:space="0" w:color="auto"/>
              <w:left w:val="single" w:sz="2" w:space="0" w:color="auto"/>
              <w:bottom w:val="single" w:sz="2" w:space="0" w:color="auto"/>
              <w:right w:val="single" w:sz="2" w:space="0" w:color="auto"/>
            </w:tcBorders>
            <w:vAlign w:val="center"/>
          </w:tcPr>
          <w:p w14:paraId="32384840"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II</w:t>
            </w:r>
          </w:p>
        </w:tc>
        <w:tc>
          <w:tcPr>
            <w:tcW w:w="1620" w:type="dxa"/>
            <w:tcBorders>
              <w:top w:val="single" w:sz="2" w:space="0" w:color="auto"/>
              <w:left w:val="single" w:sz="2" w:space="0" w:color="auto"/>
              <w:bottom w:val="single" w:sz="2" w:space="0" w:color="auto"/>
              <w:right w:val="single" w:sz="2" w:space="0" w:color="auto"/>
            </w:tcBorders>
            <w:vAlign w:val="center"/>
          </w:tcPr>
          <w:p w14:paraId="34388B61"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II</w:t>
            </w:r>
          </w:p>
        </w:tc>
        <w:tc>
          <w:tcPr>
            <w:tcW w:w="1530" w:type="dxa"/>
            <w:tcBorders>
              <w:top w:val="single" w:sz="2" w:space="0" w:color="auto"/>
              <w:left w:val="single" w:sz="2" w:space="0" w:color="auto"/>
              <w:bottom w:val="single" w:sz="2" w:space="0" w:color="auto"/>
              <w:right w:val="single" w:sz="2" w:space="0" w:color="auto"/>
            </w:tcBorders>
            <w:vAlign w:val="center"/>
          </w:tcPr>
          <w:p w14:paraId="7847D0B1"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II</w:t>
            </w:r>
          </w:p>
        </w:tc>
        <w:tc>
          <w:tcPr>
            <w:tcW w:w="1350" w:type="dxa"/>
            <w:tcBorders>
              <w:top w:val="single" w:sz="2" w:space="0" w:color="auto"/>
              <w:left w:val="single" w:sz="2" w:space="0" w:color="auto"/>
              <w:bottom w:val="single" w:sz="2" w:space="0" w:color="auto"/>
              <w:right w:val="single" w:sz="2" w:space="0" w:color="auto"/>
            </w:tcBorders>
            <w:vAlign w:val="center"/>
          </w:tcPr>
          <w:p w14:paraId="761E08F0"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II</w:t>
            </w:r>
          </w:p>
        </w:tc>
        <w:tc>
          <w:tcPr>
            <w:tcW w:w="1260" w:type="dxa"/>
            <w:tcBorders>
              <w:top w:val="single" w:sz="2" w:space="0" w:color="auto"/>
              <w:left w:val="single" w:sz="2" w:space="0" w:color="auto"/>
              <w:bottom w:val="single" w:sz="2" w:space="0" w:color="auto"/>
              <w:right w:val="single" w:sz="2" w:space="0" w:color="auto"/>
            </w:tcBorders>
            <w:vAlign w:val="center"/>
          </w:tcPr>
          <w:p w14:paraId="7949DC17"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II</w:t>
            </w:r>
          </w:p>
        </w:tc>
      </w:tr>
    </w:tbl>
    <w:p w14:paraId="46467325" w14:textId="77777777" w:rsidR="00140B7C" w:rsidRPr="00EC4EC4" w:rsidRDefault="00140B7C" w:rsidP="00140B7C">
      <w:pPr>
        <w:widowControl w:val="0"/>
        <w:autoSpaceDE w:val="0"/>
        <w:autoSpaceDN w:val="0"/>
        <w:adjustRightInd w:val="0"/>
        <w:spacing w:before="108" w:after="0" w:line="271" w:lineRule="auto"/>
        <w:rPr>
          <w:rFonts w:eastAsia="Times New Roman" w:cs="Times New Roman"/>
          <w:color w:val="000000"/>
          <w:spacing w:val="-3"/>
          <w:w w:val="115"/>
          <w:sz w:val="16"/>
          <w:szCs w:val="16"/>
        </w:rPr>
      </w:pPr>
      <w:r w:rsidRPr="00EC4EC4">
        <w:rPr>
          <w:rFonts w:eastAsia="Times New Roman" w:cs="Times New Roman"/>
          <w:color w:val="000000"/>
          <w:spacing w:val="-3"/>
          <w:w w:val="115"/>
          <w:sz w:val="16"/>
          <w:szCs w:val="16"/>
        </w:rPr>
        <w:t>For SI: 1 square foot = 0.0929 m</w:t>
      </w:r>
      <w:r w:rsidRPr="00EC4EC4">
        <w:rPr>
          <w:rFonts w:eastAsia="Times New Roman" w:cs="Times New Roman"/>
          <w:color w:val="000000"/>
          <w:spacing w:val="-3"/>
          <w:w w:val="115"/>
          <w:sz w:val="16"/>
          <w:szCs w:val="16"/>
          <w:vertAlign w:val="superscript"/>
        </w:rPr>
        <w:t>2</w:t>
      </w:r>
      <w:r w:rsidRPr="00EC4EC4">
        <w:rPr>
          <w:rFonts w:eastAsia="Times New Roman" w:cs="Times New Roman"/>
          <w:color w:val="000000"/>
          <w:spacing w:val="-3"/>
          <w:w w:val="115"/>
          <w:sz w:val="16"/>
          <w:szCs w:val="16"/>
        </w:rPr>
        <w:t>.</w:t>
      </w:r>
    </w:p>
    <w:p w14:paraId="17BC3965" w14:textId="77777777" w:rsidR="00140B7C" w:rsidRPr="00EC4EC4" w:rsidRDefault="00140B7C" w:rsidP="00140B7C">
      <w:pPr>
        <w:widowControl w:val="0"/>
        <w:tabs>
          <w:tab w:val="left" w:pos="7290"/>
        </w:tabs>
        <w:autoSpaceDE w:val="0"/>
        <w:autoSpaceDN w:val="0"/>
        <w:adjustRightInd w:val="0"/>
        <w:spacing w:before="130" w:after="130" w:line="240" w:lineRule="auto"/>
        <w:ind w:left="360"/>
        <w:jc w:val="both"/>
        <w:rPr>
          <w:rFonts w:eastAsia="Times New Roman" w:cs="Times New Roman"/>
          <w:szCs w:val="24"/>
        </w:rPr>
      </w:pPr>
      <w:r w:rsidRPr="00EC4EC4">
        <w:rPr>
          <w:rFonts w:eastAsia="Times New Roman" w:cs="Times New Roman"/>
          <w:b/>
          <w:szCs w:val="24"/>
        </w:rPr>
        <w:t>Exception:</w:t>
      </w:r>
      <w:r w:rsidRPr="00EC4EC4">
        <w:rPr>
          <w:rFonts w:eastAsia="Times New Roman" w:cs="Times New Roman"/>
          <w:szCs w:val="24"/>
        </w:rPr>
        <w:t xml:space="preserve"> Glazing not in doors or enclosures for hot tubs, whirlpools, saunas, steam rooms, bathtubs and showers shall be permitted to be tested in accordance with ANSI Z97.1. Glazing shall comply with the test criteria for Class A, unless otherwise indicated in Table 2406.2(2).</w:t>
      </w:r>
    </w:p>
    <w:p w14:paraId="2AF2A133" w14:textId="36005720"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22</w:t>
      </w:r>
      <w:r w:rsidR="007253FA">
        <w:rPr>
          <w:rFonts w:cs="Times New Roman"/>
          <w:color w:val="000000"/>
          <w:sz w:val="23"/>
          <w:szCs w:val="23"/>
        </w:rPr>
        <w:t>9</w:t>
      </w:r>
      <w:r w:rsidRPr="00EC4EC4">
        <w:rPr>
          <w:rFonts w:cs="Times New Roman"/>
          <w:color w:val="000000"/>
          <w:sz w:val="23"/>
          <w:szCs w:val="23"/>
        </w:rPr>
        <w:t>. Table 2406.2(2) of  the New York city building code, as amended by local law number 126 for the year 2021, is amended to read as follows:</w:t>
      </w:r>
    </w:p>
    <w:p w14:paraId="391EDC46" w14:textId="77777777" w:rsidR="00140B7C" w:rsidRPr="00EC4EC4" w:rsidRDefault="00140B7C" w:rsidP="00140B7C">
      <w:pPr>
        <w:suppressAutoHyphens/>
        <w:autoSpaceDE w:val="0"/>
        <w:autoSpaceDN w:val="0"/>
        <w:adjustRightInd w:val="0"/>
        <w:spacing w:after="0" w:line="240" w:lineRule="auto"/>
        <w:jc w:val="center"/>
        <w:rPr>
          <w:rFonts w:eastAsia="Times New Roman" w:cs="Times New Roman"/>
          <w:b/>
          <w:bCs/>
          <w:color w:val="000000"/>
          <w:sz w:val="20"/>
          <w:szCs w:val="20"/>
        </w:rPr>
      </w:pPr>
      <w:bookmarkStart w:id="181" w:name="_Toc389738221"/>
      <w:bookmarkStart w:id="182" w:name="_Toc389746783"/>
      <w:r w:rsidRPr="00EC4EC4">
        <w:rPr>
          <w:rFonts w:eastAsia="Times New Roman" w:cs="Times New Roman"/>
          <w:b/>
          <w:bCs/>
          <w:color w:val="000000"/>
          <w:sz w:val="20"/>
          <w:szCs w:val="20"/>
        </w:rPr>
        <w:t>TABLE 2406.2(2)</w:t>
      </w:r>
      <w:r w:rsidRPr="00EC4EC4">
        <w:rPr>
          <w:rFonts w:eastAsia="Times New Roman" w:cs="Times New Roman"/>
          <w:b/>
          <w:bCs/>
          <w:color w:val="000000"/>
          <w:sz w:val="20"/>
          <w:szCs w:val="20"/>
        </w:rPr>
        <w:br/>
        <w:t>MINIMUM CATEGORY CLASSIFICATION OF GLAZING USING ANSI Z97.1</w:t>
      </w:r>
    </w:p>
    <w:tbl>
      <w:tblPr>
        <w:tblW w:w="9450" w:type="dxa"/>
        <w:tblInd w:w="93" w:type="dxa"/>
        <w:tblLayout w:type="fixed"/>
        <w:tblCellMar>
          <w:left w:w="0" w:type="dxa"/>
          <w:right w:w="0" w:type="dxa"/>
        </w:tblCellMar>
        <w:tblLook w:val="0000" w:firstRow="0" w:lastRow="0" w:firstColumn="0" w:lastColumn="0" w:noHBand="0" w:noVBand="0"/>
      </w:tblPr>
      <w:tblGrid>
        <w:gridCol w:w="2160"/>
        <w:gridCol w:w="2430"/>
        <w:gridCol w:w="2430"/>
        <w:gridCol w:w="2430"/>
      </w:tblGrid>
      <w:tr w:rsidR="00140B7C" w:rsidRPr="00EC4EC4" w14:paraId="364E10A3" w14:textId="77777777" w:rsidTr="00BC1087">
        <w:trPr>
          <w:cantSplit/>
          <w:tblHeader/>
        </w:trPr>
        <w:tc>
          <w:tcPr>
            <w:tcW w:w="2160" w:type="dxa"/>
            <w:tcBorders>
              <w:top w:val="single" w:sz="2" w:space="0" w:color="auto"/>
              <w:left w:val="single" w:sz="2" w:space="0" w:color="auto"/>
              <w:bottom w:val="single" w:sz="2" w:space="0" w:color="auto"/>
              <w:right w:val="single" w:sz="2" w:space="0" w:color="auto"/>
            </w:tcBorders>
            <w:vAlign w:val="bottom"/>
          </w:tcPr>
          <w:p w14:paraId="6FF52C7D"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b/>
                <w:bCs/>
                <w:color w:val="000000"/>
                <w:spacing w:val="-4"/>
                <w:w w:val="105"/>
                <w:sz w:val="18"/>
                <w:szCs w:val="18"/>
              </w:rPr>
            </w:pPr>
            <w:r w:rsidRPr="00EC4EC4">
              <w:rPr>
                <w:rFonts w:eastAsia="Times New Roman" w:cs="Times New Roman"/>
                <w:b/>
                <w:bCs/>
                <w:color w:val="000000"/>
                <w:spacing w:val="-4"/>
                <w:w w:val="105"/>
                <w:sz w:val="18"/>
                <w:szCs w:val="18"/>
              </w:rPr>
              <w:lastRenderedPageBreak/>
              <w:t>EXPOSED SURFACE AREA OF ONE SIDE OF ONE LITE</w:t>
            </w:r>
          </w:p>
        </w:tc>
        <w:tc>
          <w:tcPr>
            <w:tcW w:w="2430" w:type="dxa"/>
            <w:tcBorders>
              <w:top w:val="single" w:sz="2" w:space="0" w:color="auto"/>
              <w:left w:val="single" w:sz="2" w:space="0" w:color="auto"/>
              <w:bottom w:val="single" w:sz="2" w:space="0" w:color="auto"/>
              <w:right w:val="single" w:sz="2" w:space="0" w:color="auto"/>
            </w:tcBorders>
            <w:vAlign w:val="bottom"/>
          </w:tcPr>
          <w:p w14:paraId="2BB8A70E"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spacing w:val="-4"/>
                <w:w w:val="105"/>
                <w:sz w:val="18"/>
                <w:szCs w:val="18"/>
              </w:rPr>
              <w:t>GLAZED PANELS REGULATED</w:t>
            </w:r>
            <w:r w:rsidRPr="00EC4EC4">
              <w:rPr>
                <w:rFonts w:eastAsia="Times New Roman" w:cs="Times New Roman"/>
                <w:b/>
                <w:bCs/>
                <w:color w:val="000000"/>
                <w:spacing w:val="-4"/>
                <w:w w:val="105"/>
                <w:sz w:val="18"/>
                <w:szCs w:val="18"/>
              </w:rPr>
              <w:br/>
              <w:t>BY SECTION  2406.4.3</w:t>
            </w:r>
            <w:r w:rsidRPr="00EC4EC4">
              <w:rPr>
                <w:rFonts w:eastAsia="Times New Roman" w:cs="Times New Roman"/>
                <w:b/>
                <w:bCs/>
                <w:color w:val="000000"/>
                <w:spacing w:val="-4"/>
                <w:w w:val="105"/>
                <w:sz w:val="18"/>
                <w:szCs w:val="18"/>
              </w:rPr>
              <w:br/>
            </w:r>
            <w:r w:rsidRPr="00EC4EC4">
              <w:rPr>
                <w:rFonts w:eastAsia="Times New Roman" w:cs="Times New Roman"/>
                <w:b/>
                <w:bCs/>
                <w:color w:val="000000"/>
                <w:spacing w:val="-2"/>
                <w:w w:val="105"/>
                <w:sz w:val="18"/>
                <w:szCs w:val="18"/>
              </w:rPr>
              <w:t>(Category class)</w:t>
            </w:r>
          </w:p>
        </w:tc>
        <w:tc>
          <w:tcPr>
            <w:tcW w:w="2430" w:type="dxa"/>
            <w:tcBorders>
              <w:top w:val="single" w:sz="2" w:space="0" w:color="auto"/>
              <w:left w:val="single" w:sz="2" w:space="0" w:color="auto"/>
              <w:bottom w:val="single" w:sz="2" w:space="0" w:color="auto"/>
              <w:right w:val="single" w:sz="2" w:space="0" w:color="auto"/>
            </w:tcBorders>
            <w:vAlign w:val="bottom"/>
          </w:tcPr>
          <w:p w14:paraId="65ED9070"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spacing w:val="-4"/>
                <w:w w:val="105"/>
                <w:sz w:val="18"/>
                <w:szCs w:val="18"/>
              </w:rPr>
              <w:t>GLAZED PANELS REGULATED</w:t>
            </w:r>
            <w:r w:rsidRPr="00EC4EC4">
              <w:rPr>
                <w:rFonts w:eastAsia="Times New Roman" w:cs="Times New Roman"/>
                <w:b/>
                <w:bCs/>
                <w:color w:val="000000"/>
                <w:spacing w:val="-4"/>
                <w:w w:val="105"/>
                <w:sz w:val="18"/>
                <w:szCs w:val="18"/>
              </w:rPr>
              <w:br/>
              <w:t>BY SECTION [</w:t>
            </w:r>
            <w:r w:rsidRPr="00EC4EC4">
              <w:rPr>
                <w:rFonts w:eastAsia="Times New Roman" w:cs="Times New Roman"/>
                <w:b/>
                <w:bCs/>
                <w:strike/>
                <w:color w:val="000000"/>
                <w:spacing w:val="-4"/>
                <w:w w:val="105"/>
                <w:sz w:val="18"/>
                <w:szCs w:val="18"/>
              </w:rPr>
              <w:t>406.4.2</w:t>
            </w:r>
            <w:r w:rsidRPr="00EC4EC4">
              <w:rPr>
                <w:rFonts w:eastAsia="Times New Roman" w:cs="Times New Roman"/>
                <w:b/>
                <w:bCs/>
                <w:color w:val="000000"/>
                <w:spacing w:val="-4"/>
                <w:w w:val="105"/>
                <w:sz w:val="18"/>
                <w:szCs w:val="18"/>
              </w:rPr>
              <w:t xml:space="preserve">] </w:t>
            </w:r>
            <w:r w:rsidRPr="00EC4EC4">
              <w:rPr>
                <w:rFonts w:eastAsia="Times New Roman" w:cs="Times New Roman"/>
                <w:b/>
                <w:bCs/>
                <w:color w:val="000000"/>
                <w:spacing w:val="-4"/>
                <w:w w:val="105"/>
                <w:sz w:val="18"/>
                <w:szCs w:val="18"/>
                <w:u w:val="single"/>
              </w:rPr>
              <w:t>2406.4.2</w:t>
            </w:r>
            <w:r w:rsidRPr="00EC4EC4">
              <w:rPr>
                <w:rFonts w:eastAsia="Times New Roman" w:cs="Times New Roman"/>
                <w:b/>
                <w:bCs/>
                <w:color w:val="000000"/>
                <w:spacing w:val="-4"/>
                <w:w w:val="105"/>
                <w:sz w:val="18"/>
                <w:szCs w:val="18"/>
              </w:rPr>
              <w:br/>
            </w:r>
            <w:r w:rsidRPr="00EC4EC4">
              <w:rPr>
                <w:rFonts w:eastAsia="Times New Roman" w:cs="Times New Roman"/>
                <w:b/>
                <w:bCs/>
                <w:color w:val="000000"/>
                <w:spacing w:val="-2"/>
                <w:w w:val="105"/>
                <w:sz w:val="18"/>
                <w:szCs w:val="18"/>
              </w:rPr>
              <w:t>(Category class)</w:t>
            </w:r>
          </w:p>
        </w:tc>
        <w:tc>
          <w:tcPr>
            <w:tcW w:w="2430" w:type="dxa"/>
            <w:tcBorders>
              <w:top w:val="single" w:sz="2" w:space="0" w:color="auto"/>
              <w:left w:val="single" w:sz="2" w:space="0" w:color="auto"/>
              <w:bottom w:val="single" w:sz="2" w:space="0" w:color="auto"/>
              <w:right w:val="single" w:sz="2" w:space="0" w:color="auto"/>
            </w:tcBorders>
            <w:vAlign w:val="bottom"/>
          </w:tcPr>
          <w:p w14:paraId="65CAF60C"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b/>
                <w:bCs/>
                <w:color w:val="000000"/>
                <w:spacing w:val="-2"/>
                <w:w w:val="105"/>
                <w:sz w:val="18"/>
                <w:szCs w:val="18"/>
              </w:rPr>
            </w:pPr>
            <w:r w:rsidRPr="00EC4EC4">
              <w:rPr>
                <w:rFonts w:eastAsia="Times New Roman" w:cs="Times New Roman"/>
                <w:b/>
                <w:bCs/>
                <w:color w:val="000000"/>
                <w:spacing w:val="-4"/>
                <w:w w:val="105"/>
                <w:sz w:val="18"/>
                <w:szCs w:val="18"/>
              </w:rPr>
              <w:t>DOORS AND ENCLOSURES REGULATED</w:t>
            </w:r>
            <w:r w:rsidRPr="00EC4EC4">
              <w:rPr>
                <w:rFonts w:eastAsia="Times New Roman" w:cs="Times New Roman"/>
                <w:b/>
                <w:bCs/>
                <w:color w:val="000000"/>
                <w:spacing w:val="-4"/>
                <w:w w:val="105"/>
                <w:sz w:val="18"/>
                <w:szCs w:val="18"/>
              </w:rPr>
              <w:br/>
              <w:t>BY SECTION  [</w:t>
            </w:r>
            <w:r w:rsidRPr="00EC4EC4">
              <w:rPr>
                <w:rFonts w:eastAsia="Times New Roman" w:cs="Times New Roman"/>
                <w:b/>
                <w:bCs/>
                <w:strike/>
                <w:color w:val="000000"/>
                <w:spacing w:val="-4"/>
                <w:w w:val="105"/>
                <w:sz w:val="18"/>
                <w:szCs w:val="18"/>
              </w:rPr>
              <w:t>406.4.5</w:t>
            </w:r>
            <w:r w:rsidRPr="00EC4EC4">
              <w:rPr>
                <w:rFonts w:ascii="Times New Roman Bold" w:eastAsia="Times New Roman" w:hAnsi="Times New Roman Bold" w:cs="Times New Roman"/>
                <w:b/>
                <w:bCs/>
                <w:strike/>
                <w:color w:val="000000"/>
                <w:spacing w:val="-4"/>
                <w:w w:val="105"/>
                <w:sz w:val="18"/>
                <w:szCs w:val="18"/>
                <w:vertAlign w:val="superscript"/>
              </w:rPr>
              <w:t>a</w:t>
            </w:r>
            <w:r w:rsidRPr="00EC4EC4">
              <w:rPr>
                <w:rFonts w:eastAsia="Times New Roman" w:cs="Times New Roman"/>
                <w:b/>
                <w:bCs/>
                <w:color w:val="000000"/>
                <w:spacing w:val="-4"/>
                <w:w w:val="105"/>
                <w:sz w:val="18"/>
                <w:szCs w:val="18"/>
              </w:rPr>
              <w:t>]</w:t>
            </w:r>
            <w:r w:rsidRPr="00EC4EC4">
              <w:rPr>
                <w:rFonts w:eastAsia="Times New Roman" w:cs="Times New Roman"/>
                <w:b/>
                <w:bCs/>
                <w:color w:val="000000"/>
                <w:spacing w:val="-4"/>
                <w:w w:val="105"/>
                <w:sz w:val="18"/>
                <w:szCs w:val="18"/>
                <w:u w:val="single"/>
              </w:rPr>
              <w:t>2406.4.5</w:t>
            </w:r>
            <w:r w:rsidRPr="00EC4EC4">
              <w:rPr>
                <w:rFonts w:eastAsia="Times New Roman" w:cs="Times New Roman"/>
                <w:b/>
                <w:bCs/>
                <w:color w:val="000000"/>
                <w:spacing w:val="-4"/>
                <w:w w:val="110"/>
                <w:sz w:val="18"/>
                <w:szCs w:val="18"/>
                <w:u w:val="single"/>
                <w:vertAlign w:val="superscript"/>
              </w:rPr>
              <w:t>a</w:t>
            </w:r>
            <w:r w:rsidRPr="00EC4EC4">
              <w:rPr>
                <w:rFonts w:eastAsia="Times New Roman" w:cs="Times New Roman"/>
                <w:b/>
                <w:bCs/>
                <w:color w:val="000000"/>
                <w:spacing w:val="-4"/>
                <w:sz w:val="18"/>
                <w:szCs w:val="18"/>
              </w:rPr>
              <w:br/>
            </w:r>
            <w:r w:rsidRPr="00EC4EC4">
              <w:rPr>
                <w:rFonts w:eastAsia="Times New Roman" w:cs="Times New Roman"/>
                <w:b/>
                <w:bCs/>
                <w:color w:val="000000"/>
                <w:spacing w:val="-2"/>
                <w:w w:val="105"/>
                <w:sz w:val="18"/>
                <w:szCs w:val="18"/>
              </w:rPr>
              <w:t>(Category class)</w:t>
            </w:r>
          </w:p>
        </w:tc>
      </w:tr>
      <w:tr w:rsidR="00140B7C" w:rsidRPr="00EC4EC4" w14:paraId="1CEB1895" w14:textId="77777777" w:rsidTr="00BC1087">
        <w:trPr>
          <w:cantSplit/>
        </w:trPr>
        <w:tc>
          <w:tcPr>
            <w:tcW w:w="2160" w:type="dxa"/>
            <w:tcBorders>
              <w:top w:val="single" w:sz="2" w:space="0" w:color="auto"/>
              <w:left w:val="single" w:sz="2" w:space="0" w:color="auto"/>
              <w:bottom w:val="single" w:sz="2" w:space="0" w:color="auto"/>
              <w:right w:val="single" w:sz="2" w:space="0" w:color="auto"/>
            </w:tcBorders>
            <w:vAlign w:val="center"/>
          </w:tcPr>
          <w:p w14:paraId="6BE114BB"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color w:val="000000"/>
                <w:spacing w:val="6"/>
                <w:sz w:val="18"/>
                <w:szCs w:val="18"/>
              </w:rPr>
            </w:pPr>
            <w:r w:rsidRPr="00EC4EC4">
              <w:rPr>
                <w:rFonts w:eastAsia="Times New Roman" w:cs="Times New Roman"/>
                <w:color w:val="000000"/>
                <w:spacing w:val="6"/>
                <w:sz w:val="18"/>
                <w:szCs w:val="18"/>
              </w:rPr>
              <w:t>9 square feet or less</w:t>
            </w:r>
          </w:p>
        </w:tc>
        <w:tc>
          <w:tcPr>
            <w:tcW w:w="2430" w:type="dxa"/>
            <w:tcBorders>
              <w:top w:val="single" w:sz="2" w:space="0" w:color="auto"/>
              <w:left w:val="single" w:sz="2" w:space="0" w:color="auto"/>
              <w:bottom w:val="single" w:sz="2" w:space="0" w:color="auto"/>
              <w:right w:val="single" w:sz="2" w:space="0" w:color="auto"/>
            </w:tcBorders>
            <w:vAlign w:val="center"/>
          </w:tcPr>
          <w:p w14:paraId="34E529C5"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color w:val="000000"/>
                <w:spacing w:val="8"/>
                <w:sz w:val="18"/>
                <w:szCs w:val="18"/>
              </w:rPr>
            </w:pPr>
            <w:r w:rsidRPr="00EC4EC4">
              <w:rPr>
                <w:rFonts w:eastAsia="Times New Roman" w:cs="Times New Roman"/>
                <w:color w:val="000000"/>
                <w:spacing w:val="8"/>
                <w:sz w:val="18"/>
                <w:szCs w:val="18"/>
              </w:rPr>
              <w:t>No requirement</w:t>
            </w:r>
          </w:p>
        </w:tc>
        <w:tc>
          <w:tcPr>
            <w:tcW w:w="2430" w:type="dxa"/>
            <w:tcBorders>
              <w:top w:val="single" w:sz="2" w:space="0" w:color="auto"/>
              <w:left w:val="single" w:sz="2" w:space="0" w:color="auto"/>
              <w:bottom w:val="single" w:sz="2" w:space="0" w:color="auto"/>
              <w:right w:val="single" w:sz="2" w:space="0" w:color="auto"/>
            </w:tcBorders>
            <w:vAlign w:val="center"/>
          </w:tcPr>
          <w:p w14:paraId="56802A54"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B</w:t>
            </w:r>
          </w:p>
        </w:tc>
        <w:tc>
          <w:tcPr>
            <w:tcW w:w="2430" w:type="dxa"/>
            <w:tcBorders>
              <w:top w:val="single" w:sz="2" w:space="0" w:color="auto"/>
              <w:left w:val="single" w:sz="2" w:space="0" w:color="auto"/>
              <w:bottom w:val="single" w:sz="2" w:space="0" w:color="auto"/>
              <w:right w:val="single" w:sz="2" w:space="0" w:color="auto"/>
            </w:tcBorders>
            <w:vAlign w:val="center"/>
          </w:tcPr>
          <w:p w14:paraId="0DE4C876"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A</w:t>
            </w:r>
          </w:p>
        </w:tc>
      </w:tr>
      <w:tr w:rsidR="00140B7C" w:rsidRPr="00EC4EC4" w14:paraId="5DB548FE" w14:textId="77777777" w:rsidTr="00BC1087">
        <w:trPr>
          <w:cantSplit/>
          <w:trHeight w:val="211"/>
        </w:trPr>
        <w:tc>
          <w:tcPr>
            <w:tcW w:w="2160" w:type="dxa"/>
            <w:tcBorders>
              <w:top w:val="single" w:sz="2" w:space="0" w:color="auto"/>
              <w:left w:val="single" w:sz="2" w:space="0" w:color="auto"/>
              <w:bottom w:val="single" w:sz="2" w:space="0" w:color="auto"/>
              <w:right w:val="single" w:sz="2" w:space="0" w:color="auto"/>
            </w:tcBorders>
            <w:vAlign w:val="center"/>
          </w:tcPr>
          <w:p w14:paraId="021ACB13"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color w:val="000000"/>
                <w:spacing w:val="8"/>
                <w:sz w:val="18"/>
                <w:szCs w:val="18"/>
              </w:rPr>
            </w:pPr>
            <w:r w:rsidRPr="00EC4EC4">
              <w:rPr>
                <w:rFonts w:eastAsia="Times New Roman" w:cs="Times New Roman"/>
                <w:color w:val="000000"/>
                <w:spacing w:val="8"/>
                <w:sz w:val="18"/>
                <w:szCs w:val="18"/>
              </w:rPr>
              <w:t>More than 9 square feet</w:t>
            </w:r>
          </w:p>
        </w:tc>
        <w:tc>
          <w:tcPr>
            <w:tcW w:w="2430" w:type="dxa"/>
            <w:tcBorders>
              <w:top w:val="single" w:sz="2" w:space="0" w:color="auto"/>
              <w:left w:val="single" w:sz="2" w:space="0" w:color="auto"/>
              <w:bottom w:val="single" w:sz="2" w:space="0" w:color="auto"/>
              <w:right w:val="single" w:sz="2" w:space="0" w:color="auto"/>
            </w:tcBorders>
            <w:vAlign w:val="center"/>
          </w:tcPr>
          <w:p w14:paraId="58ED3B31"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A</w:t>
            </w:r>
          </w:p>
        </w:tc>
        <w:tc>
          <w:tcPr>
            <w:tcW w:w="2430" w:type="dxa"/>
            <w:tcBorders>
              <w:top w:val="single" w:sz="2" w:space="0" w:color="auto"/>
              <w:left w:val="single" w:sz="2" w:space="0" w:color="auto"/>
              <w:bottom w:val="single" w:sz="2" w:space="0" w:color="auto"/>
              <w:right w:val="single" w:sz="2" w:space="0" w:color="auto"/>
            </w:tcBorders>
            <w:vAlign w:val="center"/>
          </w:tcPr>
          <w:p w14:paraId="2004B5D9"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A</w:t>
            </w:r>
          </w:p>
        </w:tc>
        <w:tc>
          <w:tcPr>
            <w:tcW w:w="2430" w:type="dxa"/>
            <w:tcBorders>
              <w:top w:val="single" w:sz="2" w:space="0" w:color="auto"/>
              <w:left w:val="single" w:sz="2" w:space="0" w:color="auto"/>
              <w:bottom w:val="single" w:sz="2" w:space="0" w:color="auto"/>
              <w:right w:val="single" w:sz="2" w:space="0" w:color="auto"/>
            </w:tcBorders>
            <w:vAlign w:val="center"/>
          </w:tcPr>
          <w:p w14:paraId="6FC117A7" w14:textId="77777777" w:rsidR="00140B7C" w:rsidRPr="00EC4EC4" w:rsidRDefault="00140B7C" w:rsidP="00BC1087">
            <w:pPr>
              <w:suppressAutoHyphens/>
              <w:autoSpaceDE w:val="0"/>
              <w:autoSpaceDN w:val="0"/>
              <w:adjustRightInd w:val="0"/>
              <w:spacing w:after="0" w:line="240" w:lineRule="auto"/>
              <w:jc w:val="center"/>
              <w:rPr>
                <w:rFonts w:eastAsia="Times New Roman" w:cs="Times New Roman"/>
                <w:color w:val="000000"/>
                <w:sz w:val="18"/>
                <w:szCs w:val="18"/>
              </w:rPr>
            </w:pPr>
            <w:r w:rsidRPr="00EC4EC4">
              <w:rPr>
                <w:rFonts w:eastAsia="Times New Roman" w:cs="Times New Roman"/>
                <w:color w:val="000000"/>
                <w:sz w:val="18"/>
                <w:szCs w:val="18"/>
              </w:rPr>
              <w:t>A</w:t>
            </w:r>
          </w:p>
        </w:tc>
      </w:tr>
    </w:tbl>
    <w:p w14:paraId="0EBE24B3" w14:textId="77777777" w:rsidR="00140B7C" w:rsidRPr="00EC4EC4" w:rsidRDefault="00140B7C" w:rsidP="00140B7C">
      <w:pPr>
        <w:widowControl w:val="0"/>
        <w:autoSpaceDE w:val="0"/>
        <w:autoSpaceDN w:val="0"/>
        <w:adjustRightInd w:val="0"/>
        <w:spacing w:after="0" w:line="240" w:lineRule="auto"/>
        <w:ind w:left="446"/>
        <w:rPr>
          <w:rFonts w:eastAsia="Times New Roman" w:cs="Times New Roman"/>
          <w:color w:val="000000"/>
          <w:spacing w:val="5"/>
          <w:sz w:val="16"/>
          <w:szCs w:val="16"/>
        </w:rPr>
      </w:pPr>
      <w:r w:rsidRPr="00EC4EC4">
        <w:rPr>
          <w:rFonts w:eastAsia="Times New Roman" w:cs="Times New Roman"/>
          <w:color w:val="000000"/>
          <w:spacing w:val="5"/>
          <w:sz w:val="16"/>
          <w:szCs w:val="16"/>
        </w:rPr>
        <w:t>For SI: 1 square foot = 0.0929 m</w:t>
      </w:r>
      <w:r w:rsidRPr="00EC4EC4">
        <w:rPr>
          <w:rFonts w:eastAsia="Times New Roman" w:cs="Times New Roman"/>
          <w:color w:val="000000"/>
          <w:spacing w:val="5"/>
          <w:w w:val="115"/>
          <w:sz w:val="16"/>
          <w:szCs w:val="16"/>
          <w:vertAlign w:val="superscript"/>
        </w:rPr>
        <w:t>2</w:t>
      </w:r>
      <w:r w:rsidRPr="00EC4EC4">
        <w:rPr>
          <w:rFonts w:eastAsia="Times New Roman" w:cs="Times New Roman"/>
          <w:color w:val="000000"/>
          <w:spacing w:val="5"/>
          <w:sz w:val="16"/>
          <w:szCs w:val="16"/>
        </w:rPr>
        <w:t>.</w:t>
      </w:r>
    </w:p>
    <w:p w14:paraId="2F929423" w14:textId="77777777" w:rsidR="00140B7C" w:rsidRPr="00EC4EC4" w:rsidRDefault="00140B7C" w:rsidP="00226293">
      <w:pPr>
        <w:widowControl w:val="0"/>
        <w:numPr>
          <w:ilvl w:val="0"/>
          <w:numId w:val="15"/>
        </w:numPr>
        <w:kinsoku w:val="0"/>
        <w:autoSpaceDE w:val="0"/>
        <w:autoSpaceDN w:val="0"/>
        <w:adjustRightInd w:val="0"/>
        <w:spacing w:after="0" w:line="240" w:lineRule="auto"/>
        <w:contextualSpacing/>
        <w:rPr>
          <w:rFonts w:eastAsia="Times New Roman" w:cs="Times New Roman"/>
          <w:color w:val="000000"/>
          <w:spacing w:val="4"/>
          <w:sz w:val="16"/>
          <w:szCs w:val="16"/>
        </w:rPr>
      </w:pPr>
      <w:r w:rsidRPr="00EC4EC4">
        <w:rPr>
          <w:rFonts w:eastAsia="Times New Roman" w:cs="Times New Roman"/>
          <w:color w:val="000000"/>
          <w:spacing w:val="4"/>
          <w:sz w:val="16"/>
          <w:szCs w:val="16"/>
        </w:rPr>
        <w:t>Use is only permitted by the exception to Section 2406.2.</w:t>
      </w:r>
    </w:p>
    <w:p w14:paraId="2549C388" w14:textId="77777777" w:rsidR="00140B7C" w:rsidRPr="00EC4EC4" w:rsidRDefault="00140B7C" w:rsidP="00140B7C">
      <w:pPr>
        <w:autoSpaceDE w:val="0"/>
        <w:autoSpaceDN w:val="0"/>
        <w:adjustRightInd w:val="0"/>
        <w:spacing w:after="240" w:line="240" w:lineRule="auto"/>
        <w:ind w:left="360"/>
        <w:jc w:val="both"/>
        <w:rPr>
          <w:rFonts w:cs="Times New Roman"/>
          <w:b/>
          <w:bCs/>
          <w:szCs w:val="24"/>
        </w:rPr>
      </w:pPr>
      <w:bookmarkStart w:id="183" w:name="_Toc389738234"/>
      <w:bookmarkStart w:id="184" w:name="_Toc389746796"/>
      <w:bookmarkEnd w:id="181"/>
      <w:bookmarkEnd w:id="182"/>
    </w:p>
    <w:p w14:paraId="19DEF075" w14:textId="5C46391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7253FA">
        <w:rPr>
          <w:rFonts w:cs="Times New Roman"/>
          <w:color w:val="000000"/>
          <w:sz w:val="23"/>
          <w:szCs w:val="23"/>
        </w:rPr>
        <w:t>30</w:t>
      </w:r>
      <w:r w:rsidRPr="00EC4EC4">
        <w:rPr>
          <w:rFonts w:cs="Times New Roman"/>
          <w:color w:val="000000"/>
          <w:sz w:val="23"/>
          <w:szCs w:val="23"/>
        </w:rPr>
        <w:t>. Section 2407.1.1 of  the New York city building code, as amended by local law number 126 for the year 2021, is amended to read as follows:</w:t>
      </w:r>
    </w:p>
    <w:p w14:paraId="18BB66E3"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r w:rsidRPr="00EC4EC4">
        <w:rPr>
          <w:rFonts w:cs="Times New Roman"/>
          <w:b/>
          <w:bCs/>
          <w:szCs w:val="24"/>
        </w:rPr>
        <w:t>2407.1.1 Loads.</w:t>
      </w:r>
      <w:bookmarkEnd w:id="183"/>
      <w:bookmarkEnd w:id="184"/>
      <w:r w:rsidRPr="00EC4EC4">
        <w:rPr>
          <w:rFonts w:cs="Times New Roman"/>
          <w:bCs/>
          <w:szCs w:val="24"/>
        </w:rPr>
        <w:t xml:space="preserve">  </w:t>
      </w:r>
      <w:r w:rsidRPr="00EC4EC4">
        <w:rPr>
          <w:rFonts w:eastAsia="Times New Roman" w:cs="Times New Roman"/>
          <w:szCs w:val="24"/>
        </w:rPr>
        <w:t xml:space="preserve">The panels and their support system shall be designed to withstand the loads specified in Section </w:t>
      </w:r>
      <w:r w:rsidRPr="00EC4EC4">
        <w:rPr>
          <w:rFonts w:eastAsia="Times New Roman" w:cs="Times New Roman"/>
          <w:spacing w:val="1"/>
          <w:szCs w:val="24"/>
        </w:rPr>
        <w:t>1</w:t>
      </w:r>
      <w:r w:rsidRPr="00EC4EC4">
        <w:rPr>
          <w:rFonts w:eastAsia="Times New Roman" w:cs="Times New Roman"/>
          <w:szCs w:val="24"/>
        </w:rPr>
        <w:t>607.8.[</w:t>
      </w:r>
      <w:r w:rsidRPr="00EC4EC4">
        <w:rPr>
          <w:rFonts w:eastAsia="Times New Roman" w:cs="Times New Roman"/>
          <w:strike/>
          <w:szCs w:val="24"/>
        </w:rPr>
        <w:t>.</w:t>
      </w:r>
      <w:r w:rsidRPr="00EC4EC4">
        <w:rPr>
          <w:rFonts w:eastAsia="Times New Roman" w:cs="Times New Roman"/>
          <w:szCs w:val="24"/>
        </w:rPr>
        <w:t>] Glass guard elements shall be designed using a factor of safety of four.</w:t>
      </w:r>
    </w:p>
    <w:p w14:paraId="6866D6A6" w14:textId="0108E82A" w:rsidR="00140B7C" w:rsidRPr="00EC4EC4" w:rsidRDefault="00140B7C" w:rsidP="00140B7C">
      <w:pPr>
        <w:kinsoku w:val="0"/>
        <w:spacing w:after="240" w:line="240" w:lineRule="auto"/>
        <w:ind w:firstLine="720"/>
        <w:jc w:val="both"/>
        <w:rPr>
          <w:rFonts w:eastAsia="Times New Roman" w:cs="Times New Roman"/>
          <w:b/>
          <w:bCs/>
          <w:szCs w:val="24"/>
        </w:rPr>
      </w:pPr>
      <w:bookmarkStart w:id="185" w:name="_Hlk115681280"/>
      <w:r w:rsidRPr="00EC4EC4">
        <w:rPr>
          <w:rFonts w:cs="Times New Roman"/>
          <w:color w:val="000000"/>
          <w:sz w:val="23"/>
          <w:szCs w:val="23"/>
        </w:rPr>
        <w:t>§</w:t>
      </w:r>
      <w:r>
        <w:rPr>
          <w:rFonts w:cs="Times New Roman"/>
          <w:color w:val="000000"/>
          <w:sz w:val="23"/>
          <w:szCs w:val="23"/>
        </w:rPr>
        <w:t>2</w:t>
      </w:r>
      <w:r w:rsidR="007253FA">
        <w:rPr>
          <w:rFonts w:cs="Times New Roman"/>
          <w:color w:val="000000"/>
          <w:sz w:val="23"/>
          <w:szCs w:val="23"/>
        </w:rPr>
        <w:t>31</w:t>
      </w:r>
      <w:r w:rsidRPr="00EC4EC4">
        <w:rPr>
          <w:rFonts w:cs="Times New Roman"/>
          <w:color w:val="000000"/>
          <w:sz w:val="23"/>
          <w:szCs w:val="23"/>
        </w:rPr>
        <w:t>. Section 409.</w:t>
      </w:r>
      <w:r>
        <w:rPr>
          <w:rFonts w:cs="Times New Roman"/>
          <w:color w:val="000000"/>
          <w:sz w:val="23"/>
          <w:szCs w:val="23"/>
        </w:rPr>
        <w:t>4</w:t>
      </w:r>
      <w:r w:rsidRPr="00EC4EC4">
        <w:rPr>
          <w:rFonts w:cs="Times New Roman"/>
          <w:color w:val="000000"/>
          <w:sz w:val="23"/>
          <w:szCs w:val="23"/>
        </w:rPr>
        <w:t xml:space="preserve"> of  the New York city building code, </w:t>
      </w:r>
      <w:r>
        <w:rPr>
          <w:rFonts w:cs="Times New Roman"/>
          <w:color w:val="000000"/>
          <w:sz w:val="23"/>
          <w:szCs w:val="23"/>
        </w:rPr>
        <w:t xml:space="preserve">set forth in chapter 24 of the New York city building code, </w:t>
      </w:r>
      <w:r w:rsidRPr="00EC4EC4">
        <w:rPr>
          <w:rFonts w:cs="Times New Roman"/>
          <w:color w:val="000000"/>
          <w:sz w:val="23"/>
          <w:szCs w:val="23"/>
        </w:rPr>
        <w:t>as renumbered and amended by local law number 126 for the year 2021, is amended to read as follows:</w:t>
      </w:r>
    </w:p>
    <w:p w14:paraId="4C458362"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bookmarkStart w:id="186" w:name="_Toc389738251"/>
      <w:bookmarkStart w:id="187" w:name="_Toc389746813"/>
      <w:bookmarkEnd w:id="185"/>
      <w:r w:rsidRPr="00EC4EC4">
        <w:rPr>
          <w:rFonts w:eastAsia="Times New Roman" w:cs="Times New Roman"/>
          <w:b/>
          <w:szCs w:val="24"/>
        </w:rPr>
        <w:t>[</w:t>
      </w:r>
      <w:r w:rsidRPr="00EC4EC4">
        <w:rPr>
          <w:rFonts w:eastAsia="Times New Roman" w:cs="Times New Roman"/>
          <w:b/>
          <w:strike/>
          <w:szCs w:val="24"/>
        </w:rPr>
        <w:t>409.4</w:t>
      </w:r>
      <w:r w:rsidRPr="00EC4EC4">
        <w:rPr>
          <w:rFonts w:eastAsia="Times New Roman" w:cs="Times New Roman"/>
          <w:b/>
          <w:szCs w:val="24"/>
        </w:rPr>
        <w:t>]</w:t>
      </w:r>
      <w:r w:rsidRPr="00EC4EC4">
        <w:rPr>
          <w:rFonts w:eastAsia="Times New Roman" w:cs="Times New Roman"/>
          <w:b/>
          <w:szCs w:val="24"/>
          <w:u w:val="single"/>
        </w:rPr>
        <w:t>2</w:t>
      </w:r>
      <w:r w:rsidRPr="00EC4EC4">
        <w:rPr>
          <w:rFonts w:eastAsia="Times New Roman" w:cs="Times New Roman"/>
          <w:b/>
          <w:bCs/>
          <w:szCs w:val="24"/>
          <w:u w:val="single"/>
        </w:rPr>
        <w:t>409.4</w:t>
      </w:r>
      <w:r w:rsidRPr="00EC4EC4">
        <w:rPr>
          <w:rFonts w:eastAsia="Times New Roman" w:cs="Times New Roman"/>
          <w:b/>
          <w:bCs/>
          <w:szCs w:val="24"/>
        </w:rPr>
        <w:t xml:space="preserve"> Glass in elevator cars.</w:t>
      </w:r>
      <w:bookmarkEnd w:id="186"/>
      <w:bookmarkEnd w:id="187"/>
      <w:r w:rsidRPr="00EC4EC4">
        <w:rPr>
          <w:rFonts w:eastAsia="Times New Roman" w:cs="Times New Roman"/>
          <w:bCs/>
          <w:szCs w:val="24"/>
        </w:rPr>
        <w:t xml:space="preserve">  </w:t>
      </w:r>
      <w:r w:rsidRPr="00EC4EC4">
        <w:rPr>
          <w:rFonts w:eastAsia="Times New Roman" w:cs="Times New Roman"/>
          <w:szCs w:val="24"/>
        </w:rPr>
        <w:t>Glass in elevator cars shall be in accordance with ASME A17.1 section 2.14.1.8, as modified by Appendix K.</w:t>
      </w:r>
    </w:p>
    <w:p w14:paraId="21CE21B7" w14:textId="065BE2A7" w:rsidR="00140B7C" w:rsidRPr="00EC4EC4" w:rsidRDefault="00140B7C" w:rsidP="00140B7C">
      <w:pPr>
        <w:kinsoku w:val="0"/>
        <w:spacing w:after="240" w:line="240" w:lineRule="auto"/>
        <w:ind w:firstLine="720"/>
        <w:jc w:val="both"/>
        <w:rPr>
          <w:rFonts w:eastAsia="Times New Roman" w:cs="Times New Roman"/>
          <w:b/>
          <w:bCs/>
          <w:szCs w:val="24"/>
        </w:rPr>
      </w:pPr>
      <w:r w:rsidRPr="00EE306D">
        <w:rPr>
          <w:rFonts w:cs="Times New Roman"/>
          <w:color w:val="000000"/>
          <w:sz w:val="23"/>
          <w:szCs w:val="23"/>
        </w:rPr>
        <w:t>§</w:t>
      </w:r>
      <w:r>
        <w:rPr>
          <w:rFonts w:cs="Times New Roman"/>
          <w:color w:val="000000"/>
          <w:sz w:val="23"/>
          <w:szCs w:val="23"/>
        </w:rPr>
        <w:t>2</w:t>
      </w:r>
      <w:r w:rsidR="007253FA">
        <w:rPr>
          <w:rFonts w:cs="Times New Roman"/>
          <w:color w:val="000000"/>
          <w:sz w:val="23"/>
          <w:szCs w:val="23"/>
        </w:rPr>
        <w:t>32</w:t>
      </w:r>
      <w:r w:rsidRPr="00EE306D">
        <w:rPr>
          <w:rFonts w:cs="Times New Roman"/>
          <w:color w:val="000000"/>
          <w:sz w:val="23"/>
          <w:szCs w:val="23"/>
        </w:rPr>
        <w:t>. Section 409.</w:t>
      </w:r>
      <w:r>
        <w:rPr>
          <w:rFonts w:cs="Times New Roman"/>
          <w:color w:val="000000"/>
          <w:sz w:val="23"/>
          <w:szCs w:val="23"/>
        </w:rPr>
        <w:t>4</w:t>
      </w:r>
      <w:r w:rsidRPr="00EE306D">
        <w:rPr>
          <w:rFonts w:cs="Times New Roman"/>
          <w:color w:val="000000"/>
          <w:sz w:val="23"/>
          <w:szCs w:val="23"/>
        </w:rPr>
        <w:t xml:space="preserve">.1 of  the New York city building code, </w:t>
      </w:r>
      <w:bookmarkStart w:id="188" w:name="_Hlk119483588"/>
      <w:r>
        <w:rPr>
          <w:rFonts w:cs="Times New Roman"/>
          <w:color w:val="000000"/>
          <w:sz w:val="23"/>
          <w:szCs w:val="23"/>
        </w:rPr>
        <w:t xml:space="preserve">set forth in chapter 24 of the New York city building code, </w:t>
      </w:r>
      <w:r w:rsidRPr="00EE306D">
        <w:rPr>
          <w:rFonts w:cs="Times New Roman"/>
          <w:color w:val="000000"/>
          <w:sz w:val="23"/>
          <w:szCs w:val="23"/>
        </w:rPr>
        <w:t xml:space="preserve"> </w:t>
      </w:r>
      <w:bookmarkEnd w:id="188"/>
      <w:r w:rsidRPr="00EE306D">
        <w:rPr>
          <w:rFonts w:cs="Times New Roman"/>
          <w:color w:val="000000"/>
          <w:sz w:val="23"/>
          <w:szCs w:val="23"/>
        </w:rPr>
        <w:t>as renumbered and amended by local law number 126 for the year 2021, is amended to read as follows:</w:t>
      </w:r>
    </w:p>
    <w:p w14:paraId="7BF03E85"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bookmarkStart w:id="189" w:name="_Toc389738252"/>
      <w:bookmarkStart w:id="190" w:name="_Toc389746814"/>
      <w:r w:rsidRPr="00EC4EC4">
        <w:rPr>
          <w:rFonts w:cs="Times New Roman"/>
          <w:b/>
          <w:bCs/>
          <w:szCs w:val="24"/>
        </w:rPr>
        <w:t>[</w:t>
      </w:r>
      <w:r w:rsidRPr="00EC4EC4">
        <w:rPr>
          <w:rFonts w:cs="Times New Roman"/>
          <w:b/>
          <w:bCs/>
          <w:strike/>
          <w:szCs w:val="24"/>
        </w:rPr>
        <w:t>409.4.1</w:t>
      </w:r>
      <w:r w:rsidRPr="00EC4EC4">
        <w:rPr>
          <w:rFonts w:cs="Times New Roman"/>
          <w:b/>
          <w:bCs/>
          <w:szCs w:val="24"/>
        </w:rPr>
        <w:t>]</w:t>
      </w:r>
      <w:r w:rsidRPr="00EC4EC4">
        <w:rPr>
          <w:rFonts w:cs="Times New Roman"/>
          <w:b/>
          <w:bCs/>
          <w:szCs w:val="24"/>
          <w:u w:val="single"/>
        </w:rPr>
        <w:t>2409.4.1</w:t>
      </w:r>
      <w:r w:rsidRPr="00EC4EC4">
        <w:rPr>
          <w:rFonts w:cs="Times New Roman"/>
          <w:b/>
          <w:bCs/>
          <w:szCs w:val="24"/>
        </w:rPr>
        <w:t xml:space="preserve"> Glass types.</w:t>
      </w:r>
      <w:bookmarkEnd w:id="189"/>
      <w:bookmarkEnd w:id="190"/>
      <w:r w:rsidRPr="00EC4EC4">
        <w:rPr>
          <w:rFonts w:cs="Times New Roman"/>
          <w:bCs/>
          <w:szCs w:val="24"/>
        </w:rPr>
        <w:t xml:space="preserve">  </w:t>
      </w:r>
      <w:r w:rsidRPr="00EC4EC4">
        <w:rPr>
          <w:rFonts w:eastAsia="Times New Roman" w:cs="Times New Roman"/>
          <w:szCs w:val="24"/>
        </w:rPr>
        <w:t>Glass in elevator car enclosures, glass elevator car doors and glass used for lining walls and ceilings of elevator cars shall be laminated glass conforming to Class A in accordance with ANSI Z97.1 or Category II in accordance with CPSC 16 CFR Part 1201. See ASME A17.1, as modified by Appendix K of this code for additional requirements.</w:t>
      </w:r>
    </w:p>
    <w:p w14:paraId="4A9B7ABD" w14:textId="192CD859"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3A252A">
        <w:rPr>
          <w:rFonts w:cs="Times New Roman"/>
          <w:color w:val="000000"/>
          <w:sz w:val="23"/>
          <w:szCs w:val="23"/>
        </w:rPr>
        <w:t>33</w:t>
      </w:r>
      <w:r w:rsidRPr="00EC4EC4">
        <w:rPr>
          <w:rFonts w:cs="Times New Roman"/>
          <w:color w:val="000000"/>
          <w:sz w:val="23"/>
          <w:szCs w:val="23"/>
        </w:rPr>
        <w:t xml:space="preserve">. Section 501.2 of  the New York city building code, </w:t>
      </w:r>
      <w:r>
        <w:rPr>
          <w:rFonts w:cs="Times New Roman"/>
          <w:color w:val="000000"/>
          <w:sz w:val="23"/>
          <w:szCs w:val="23"/>
        </w:rPr>
        <w:t xml:space="preserve">set forth in chapter 25 of the New York city building code, </w:t>
      </w:r>
      <w:r w:rsidRPr="00EE306D">
        <w:rPr>
          <w:rFonts w:cs="Times New Roman"/>
          <w:color w:val="000000"/>
          <w:sz w:val="23"/>
          <w:szCs w:val="23"/>
        </w:rPr>
        <w:t xml:space="preserve"> </w:t>
      </w:r>
      <w:r w:rsidRPr="00EC4EC4">
        <w:rPr>
          <w:rFonts w:cs="Times New Roman"/>
          <w:color w:val="000000"/>
          <w:sz w:val="23"/>
          <w:szCs w:val="23"/>
        </w:rPr>
        <w:t>as renumbered and amended by local law number 126 for the year 2021, is amended to read as follows:</w:t>
      </w:r>
    </w:p>
    <w:p w14:paraId="49C07967"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r w:rsidRPr="00EC4EC4">
        <w:rPr>
          <w:rFonts w:eastAsia="Times New Roman" w:cs="Times New Roman"/>
          <w:b/>
          <w:bCs/>
          <w:szCs w:val="24"/>
        </w:rPr>
        <w:t>[</w:t>
      </w:r>
      <w:r w:rsidRPr="00EC4EC4">
        <w:rPr>
          <w:rFonts w:eastAsia="Times New Roman" w:cs="Times New Roman"/>
          <w:b/>
          <w:bCs/>
          <w:strike/>
          <w:szCs w:val="24"/>
        </w:rPr>
        <w:t>501</w:t>
      </w:r>
      <w:r w:rsidRPr="00EC4EC4">
        <w:rPr>
          <w:rFonts w:eastAsia="Times New Roman" w:cs="Times New Roman"/>
          <w:b/>
          <w:strike/>
          <w:szCs w:val="24"/>
        </w:rPr>
        <w:t>.</w:t>
      </w:r>
      <w:r w:rsidRPr="00EC4EC4">
        <w:rPr>
          <w:rFonts w:eastAsia="Times New Roman" w:cs="Times New Roman"/>
          <w:b/>
          <w:bCs/>
          <w:strike/>
          <w:szCs w:val="24"/>
        </w:rPr>
        <w:t>2</w:t>
      </w:r>
      <w:r w:rsidRPr="00EC4EC4">
        <w:rPr>
          <w:rFonts w:eastAsia="Times New Roman" w:cs="Times New Roman"/>
          <w:b/>
          <w:bCs/>
          <w:szCs w:val="24"/>
        </w:rPr>
        <w:t>]</w:t>
      </w:r>
      <w:r w:rsidRPr="00EC4EC4">
        <w:rPr>
          <w:rFonts w:eastAsia="Times New Roman" w:cs="Times New Roman"/>
          <w:b/>
          <w:bCs/>
          <w:szCs w:val="24"/>
          <w:u w:val="single"/>
        </w:rPr>
        <w:t>2501.2</w:t>
      </w:r>
      <w:r w:rsidRPr="00EC4EC4">
        <w:rPr>
          <w:rFonts w:eastAsia="Times New Roman" w:cs="Times New Roman"/>
          <w:b/>
          <w:bCs/>
          <w:szCs w:val="24"/>
        </w:rPr>
        <w:t xml:space="preserve"> Performance. </w:t>
      </w:r>
      <w:r w:rsidRPr="00EC4EC4">
        <w:rPr>
          <w:rFonts w:eastAsia="Times New Roman" w:cs="Times New Roman"/>
          <w:szCs w:val="24"/>
        </w:rPr>
        <w:t>Lathing, plastering,</w:t>
      </w:r>
      <w:r w:rsidRPr="00EC4EC4">
        <w:rPr>
          <w:rFonts w:eastAsia="Times New Roman" w:cs="Times New Roman"/>
          <w:bCs/>
          <w:szCs w:val="24"/>
        </w:rPr>
        <w:t xml:space="preserve"> gypsum board </w:t>
      </w:r>
      <w:r w:rsidRPr="00EC4EC4">
        <w:rPr>
          <w:rFonts w:eastAsia="Times New Roman" w:cs="Times New Roman"/>
          <w:szCs w:val="24"/>
        </w:rPr>
        <w:t>and gypsum [</w:t>
      </w:r>
      <w:r w:rsidRPr="00EC4EC4">
        <w:rPr>
          <w:rFonts w:eastAsia="Times New Roman" w:cs="Times New Roman"/>
          <w:strike/>
          <w:spacing w:val="1"/>
          <w:szCs w:val="24"/>
        </w:rPr>
        <w:t>board</w:t>
      </w:r>
      <w:r w:rsidRPr="00EC4EC4">
        <w:rPr>
          <w:rFonts w:eastAsia="Times New Roman" w:cs="Times New Roman"/>
          <w:spacing w:val="1"/>
          <w:szCs w:val="24"/>
        </w:rPr>
        <w:t xml:space="preserve">] </w:t>
      </w:r>
      <w:r w:rsidRPr="00EC4EC4">
        <w:rPr>
          <w:rFonts w:eastAsia="Times New Roman" w:cs="Times New Roman"/>
          <w:bCs/>
          <w:szCs w:val="24"/>
        </w:rPr>
        <w:t xml:space="preserve">panel product </w:t>
      </w:r>
      <w:r w:rsidRPr="00EC4EC4">
        <w:rPr>
          <w:rFonts w:eastAsia="Times New Roman" w:cs="Times New Roman"/>
          <w:szCs w:val="24"/>
        </w:rPr>
        <w:t>construction shall be done in the manner[</w:t>
      </w:r>
      <w:r w:rsidRPr="00EC4EC4">
        <w:rPr>
          <w:rFonts w:eastAsia="Times New Roman" w:cs="Times New Roman"/>
          <w:strike/>
          <w:spacing w:val="1"/>
          <w:szCs w:val="24"/>
        </w:rPr>
        <w:t>,</w:t>
      </w:r>
      <w:r w:rsidRPr="00EC4EC4">
        <w:rPr>
          <w:rFonts w:eastAsia="Times New Roman" w:cs="Times New Roman"/>
          <w:spacing w:val="1"/>
          <w:szCs w:val="24"/>
        </w:rPr>
        <w:t>]</w:t>
      </w:r>
      <w:r w:rsidRPr="00EC4EC4">
        <w:rPr>
          <w:rFonts w:eastAsia="Times New Roman" w:cs="Times New Roman"/>
          <w:szCs w:val="24"/>
        </w:rPr>
        <w:t xml:space="preserve"> and with the materials[</w:t>
      </w:r>
      <w:r w:rsidRPr="00EC4EC4">
        <w:rPr>
          <w:rFonts w:eastAsia="Times New Roman" w:cs="Times New Roman"/>
          <w:strike/>
          <w:spacing w:val="1"/>
          <w:szCs w:val="24"/>
        </w:rPr>
        <w:t>,</w:t>
      </w:r>
      <w:r w:rsidRPr="00EC4EC4">
        <w:rPr>
          <w:rFonts w:eastAsia="Times New Roman" w:cs="Times New Roman"/>
          <w:spacing w:val="1"/>
          <w:szCs w:val="24"/>
        </w:rPr>
        <w:t>]</w:t>
      </w:r>
      <w:r w:rsidRPr="00EC4EC4">
        <w:rPr>
          <w:rFonts w:eastAsia="Times New Roman" w:cs="Times New Roman"/>
          <w:szCs w:val="24"/>
        </w:rPr>
        <w:t xml:space="preserve"> specified in this chapter and</w:t>
      </w:r>
      <w:r w:rsidRPr="00EC4EC4">
        <w:rPr>
          <w:rFonts w:eastAsia="Times New Roman" w:cs="Times New Roman"/>
          <w:spacing w:val="1"/>
          <w:szCs w:val="24"/>
        </w:rPr>
        <w:t xml:space="preserve"> the referenced standards listed in Chapter 35. When</w:t>
      </w:r>
      <w:r w:rsidRPr="00EC4EC4">
        <w:rPr>
          <w:rFonts w:eastAsia="Times New Roman" w:cs="Times New Roman"/>
          <w:szCs w:val="24"/>
        </w:rPr>
        <w:t xml:space="preserve"> fire protection</w:t>
      </w:r>
      <w:r w:rsidRPr="00EC4EC4">
        <w:rPr>
          <w:rFonts w:eastAsia="Times New Roman" w:cs="Times New Roman"/>
          <w:spacing w:val="1"/>
          <w:szCs w:val="24"/>
        </w:rPr>
        <w:t xml:space="preserve"> is required, such construction</w:t>
      </w:r>
      <w:r w:rsidRPr="00EC4EC4">
        <w:rPr>
          <w:rFonts w:eastAsia="Times New Roman" w:cs="Times New Roman"/>
          <w:szCs w:val="24"/>
        </w:rPr>
        <w:t xml:space="preserve"> shall also comply with the provisions of </w:t>
      </w:r>
      <w:r w:rsidRPr="00EC4EC4">
        <w:rPr>
          <w:rFonts w:eastAsia="Times New Roman" w:cs="Times New Roman"/>
          <w:bCs/>
          <w:szCs w:val="24"/>
        </w:rPr>
        <w:t>Chapter</w:t>
      </w:r>
      <w:r w:rsidRPr="00EC4EC4">
        <w:rPr>
          <w:rFonts w:eastAsia="Times New Roman" w:cs="Times New Roman"/>
          <w:szCs w:val="24"/>
        </w:rPr>
        <w:t xml:space="preserve"> 7.</w:t>
      </w:r>
    </w:p>
    <w:p w14:paraId="77FE4EF7" w14:textId="5ABB5BD1"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23</w:t>
      </w:r>
      <w:r w:rsidR="003A252A">
        <w:rPr>
          <w:rFonts w:cs="Times New Roman"/>
          <w:color w:val="000000"/>
          <w:sz w:val="23"/>
          <w:szCs w:val="23"/>
        </w:rPr>
        <w:t>4</w:t>
      </w:r>
      <w:r w:rsidRPr="00EC4EC4">
        <w:rPr>
          <w:rFonts w:cs="Times New Roman"/>
          <w:color w:val="000000"/>
          <w:sz w:val="23"/>
          <w:szCs w:val="23"/>
        </w:rPr>
        <w:t xml:space="preserve">. Section 50.3 of  the New York city building code, </w:t>
      </w:r>
      <w:r>
        <w:rPr>
          <w:rFonts w:cs="Times New Roman"/>
          <w:color w:val="000000"/>
          <w:sz w:val="23"/>
          <w:szCs w:val="23"/>
        </w:rPr>
        <w:t xml:space="preserve">set forth in chapter 25 of the New York city building code, </w:t>
      </w:r>
      <w:r w:rsidRPr="00EE306D">
        <w:rPr>
          <w:rFonts w:cs="Times New Roman"/>
          <w:color w:val="000000"/>
          <w:sz w:val="23"/>
          <w:szCs w:val="23"/>
        </w:rPr>
        <w:t xml:space="preserve"> </w:t>
      </w:r>
      <w:r w:rsidRPr="00EC4EC4">
        <w:rPr>
          <w:rFonts w:cs="Times New Roman"/>
          <w:color w:val="000000"/>
          <w:sz w:val="23"/>
          <w:szCs w:val="23"/>
        </w:rPr>
        <w:t>as renumbered and amended by local law number 126 for the year 2021, is amended to read as follows:</w:t>
      </w:r>
    </w:p>
    <w:p w14:paraId="72283ECE"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r w:rsidRPr="00EC4EC4">
        <w:rPr>
          <w:rFonts w:eastAsia="Times New Roman" w:cs="Times New Roman"/>
          <w:b/>
          <w:bCs/>
          <w:szCs w:val="24"/>
        </w:rPr>
        <w:t>[</w:t>
      </w:r>
      <w:r w:rsidRPr="00EC4EC4">
        <w:rPr>
          <w:rFonts w:eastAsia="Times New Roman" w:cs="Times New Roman"/>
          <w:b/>
          <w:bCs/>
          <w:strike/>
          <w:szCs w:val="24"/>
        </w:rPr>
        <w:t>501.3</w:t>
      </w:r>
      <w:r w:rsidRPr="00EC4EC4">
        <w:rPr>
          <w:rFonts w:eastAsia="Times New Roman" w:cs="Times New Roman"/>
          <w:b/>
          <w:bCs/>
          <w:szCs w:val="24"/>
        </w:rPr>
        <w:t>]</w:t>
      </w:r>
      <w:r w:rsidRPr="00EC4EC4">
        <w:rPr>
          <w:rFonts w:eastAsia="Times New Roman" w:cs="Times New Roman"/>
          <w:b/>
          <w:bCs/>
          <w:szCs w:val="24"/>
          <w:u w:val="single"/>
        </w:rPr>
        <w:t>2501.3</w:t>
      </w:r>
      <w:r w:rsidRPr="00EC4EC4">
        <w:rPr>
          <w:rFonts w:eastAsia="Times New Roman" w:cs="Times New Roman"/>
          <w:b/>
          <w:bCs/>
          <w:szCs w:val="24"/>
        </w:rPr>
        <w:t xml:space="preserve"> Other materials. </w:t>
      </w:r>
      <w:r w:rsidRPr="00EC4EC4">
        <w:rPr>
          <w:rFonts w:eastAsia="Times New Roman" w:cs="Times New Roman"/>
          <w:szCs w:val="24"/>
        </w:rPr>
        <w:t>Other approved wall or ceiling coverings shall be permitted to be installed in accordance with the recommendations of the manufacturer and the approval</w:t>
      </w:r>
      <w:r w:rsidRPr="00EC4EC4">
        <w:rPr>
          <w:rFonts w:eastAsia="Times New Roman" w:cs="Times New Roman"/>
          <w:spacing w:val="1"/>
          <w:szCs w:val="24"/>
        </w:rPr>
        <w:t xml:space="preserve"> of the commissioner</w:t>
      </w:r>
      <w:r w:rsidRPr="00EC4EC4">
        <w:rPr>
          <w:rFonts w:eastAsia="Times New Roman" w:cs="Times New Roman"/>
          <w:szCs w:val="24"/>
        </w:rPr>
        <w:t>.</w:t>
      </w:r>
    </w:p>
    <w:p w14:paraId="0CFE6664" w14:textId="7CECC25B"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23</w:t>
      </w:r>
      <w:r w:rsidR="003A252A">
        <w:rPr>
          <w:rFonts w:cs="Times New Roman"/>
          <w:color w:val="000000"/>
          <w:sz w:val="23"/>
          <w:szCs w:val="23"/>
        </w:rPr>
        <w:t>5</w:t>
      </w:r>
      <w:r w:rsidRPr="00EC4EC4">
        <w:rPr>
          <w:rFonts w:cs="Times New Roman"/>
          <w:color w:val="000000"/>
          <w:sz w:val="23"/>
          <w:szCs w:val="23"/>
        </w:rPr>
        <w:t xml:space="preserve">. </w:t>
      </w:r>
      <w:r>
        <w:rPr>
          <w:rFonts w:cs="Times New Roman"/>
          <w:color w:val="000000"/>
          <w:sz w:val="23"/>
          <w:szCs w:val="23"/>
        </w:rPr>
        <w:t>The title of s</w:t>
      </w:r>
      <w:r w:rsidRPr="00EC4EC4">
        <w:rPr>
          <w:rFonts w:cs="Times New Roman"/>
          <w:color w:val="000000"/>
          <w:sz w:val="23"/>
          <w:szCs w:val="23"/>
        </w:rPr>
        <w:t>ection 2613 of  the New York city building code, as amended by local law number 126 for the year 2021, is amended to read as follows:</w:t>
      </w:r>
    </w:p>
    <w:p w14:paraId="16AAC00E" w14:textId="77777777" w:rsidR="00140B7C" w:rsidRPr="00EC4EC4" w:rsidRDefault="00140B7C" w:rsidP="00140B7C">
      <w:pPr>
        <w:pStyle w:val="HeadingCaps"/>
        <w:rPr>
          <w:b w:val="0"/>
          <w:bCs/>
          <w:color w:val="000000"/>
          <w:spacing w:val="-8"/>
          <w:w w:val="105"/>
          <w:szCs w:val="24"/>
          <w:u w:val="single"/>
        </w:rPr>
      </w:pPr>
      <w:bookmarkStart w:id="191" w:name="_Toc389738491"/>
      <w:bookmarkStart w:id="192" w:name="_Toc389747053"/>
      <w:bookmarkStart w:id="193" w:name="SECTION_2613"/>
      <w:r w:rsidRPr="00EC4EC4">
        <w:rPr>
          <w:b w:val="0"/>
          <w:bCs/>
          <w:color w:val="000000"/>
          <w:spacing w:val="-8"/>
          <w:w w:val="105"/>
          <w:szCs w:val="24"/>
        </w:rPr>
        <w:t>SECTION BC 2613</w:t>
      </w:r>
      <w:r w:rsidRPr="00EC4EC4">
        <w:rPr>
          <w:b w:val="0"/>
          <w:bCs/>
          <w:color w:val="000000"/>
          <w:spacing w:val="-8"/>
          <w:w w:val="105"/>
          <w:szCs w:val="24"/>
        </w:rPr>
        <w:br/>
      </w:r>
      <w:r w:rsidRPr="00EC4EC4">
        <w:rPr>
          <w:b w:val="0"/>
          <w:caps w:val="0"/>
          <w:color w:val="000000"/>
          <w:spacing w:val="-5"/>
          <w:szCs w:val="24"/>
        </w:rPr>
        <w:t>[</w:t>
      </w:r>
      <w:r w:rsidRPr="00EC4EC4">
        <w:rPr>
          <w:b w:val="0"/>
          <w:caps w:val="0"/>
          <w:strike/>
          <w:color w:val="000000"/>
          <w:spacing w:val="-5"/>
          <w:szCs w:val="24"/>
        </w:rPr>
        <w:t>Fiber-reinforced polymer</w:t>
      </w:r>
      <w:r w:rsidRPr="00EC4EC4">
        <w:rPr>
          <w:b w:val="0"/>
          <w:caps w:val="0"/>
          <w:color w:val="000000"/>
          <w:spacing w:val="-5"/>
          <w:szCs w:val="24"/>
        </w:rPr>
        <w:t>]</w:t>
      </w:r>
      <w:r w:rsidRPr="00EC4EC4">
        <w:rPr>
          <w:b w:val="0"/>
          <w:color w:val="000000"/>
          <w:spacing w:val="-5"/>
          <w:szCs w:val="24"/>
          <w:u w:val="single"/>
        </w:rPr>
        <w:t>Fiber-Reinforced-polymer</w:t>
      </w:r>
    </w:p>
    <w:bookmarkEnd w:id="191"/>
    <w:bookmarkEnd w:id="192"/>
    <w:bookmarkEnd w:id="193"/>
    <w:p w14:paraId="2F9695A1" w14:textId="048AC251" w:rsidR="00140B7C" w:rsidRPr="00EC4EC4" w:rsidRDefault="00140B7C" w:rsidP="00140B7C">
      <w:pPr>
        <w:kinsoku w:val="0"/>
        <w:spacing w:after="240" w:line="240" w:lineRule="auto"/>
        <w:ind w:firstLine="720"/>
        <w:jc w:val="both"/>
        <w:rPr>
          <w:rFonts w:cs="Times New Roman"/>
          <w:color w:val="000000"/>
          <w:sz w:val="23"/>
          <w:szCs w:val="23"/>
        </w:rPr>
      </w:pPr>
      <w:r w:rsidRPr="00EC4EC4">
        <w:rPr>
          <w:rFonts w:cs="Times New Roman"/>
          <w:color w:val="000000"/>
          <w:sz w:val="23"/>
          <w:szCs w:val="23"/>
        </w:rPr>
        <w:t>§</w:t>
      </w:r>
      <w:r>
        <w:rPr>
          <w:rFonts w:cs="Times New Roman"/>
          <w:color w:val="000000"/>
          <w:sz w:val="23"/>
          <w:szCs w:val="23"/>
        </w:rPr>
        <w:t>23</w:t>
      </w:r>
      <w:r w:rsidR="003A252A">
        <w:rPr>
          <w:rFonts w:cs="Times New Roman"/>
          <w:color w:val="000000"/>
          <w:sz w:val="23"/>
          <w:szCs w:val="23"/>
        </w:rPr>
        <w:t>6</w:t>
      </w:r>
      <w:r w:rsidRPr="00EC4EC4">
        <w:rPr>
          <w:rFonts w:cs="Times New Roman"/>
          <w:color w:val="000000"/>
          <w:sz w:val="23"/>
          <w:szCs w:val="23"/>
        </w:rPr>
        <w:t>. Section 3001.3 of  the New York city building code, as amended by local law number 126 for the year 2021, is amended to read as follows:</w:t>
      </w:r>
    </w:p>
    <w:p w14:paraId="3EF71256" w14:textId="77777777" w:rsidR="00140B7C" w:rsidRPr="00EC4EC4" w:rsidRDefault="00140B7C" w:rsidP="00140B7C">
      <w:pPr>
        <w:autoSpaceDE w:val="0"/>
        <w:autoSpaceDN w:val="0"/>
        <w:adjustRightInd w:val="0"/>
        <w:spacing w:after="240" w:line="240" w:lineRule="auto"/>
        <w:jc w:val="both"/>
        <w:rPr>
          <w:rFonts w:eastAsia="Times New Roman" w:cs="Times New Roman"/>
          <w:bCs/>
          <w:color w:val="000000"/>
          <w:spacing w:val="-2"/>
          <w:w w:val="110"/>
          <w:szCs w:val="24"/>
        </w:rPr>
      </w:pPr>
      <w:bookmarkStart w:id="194" w:name="_Toc389738557"/>
      <w:bookmarkStart w:id="195" w:name="_Toc389747119"/>
      <w:r w:rsidRPr="00EC4EC4">
        <w:rPr>
          <w:rFonts w:eastAsia="Times New Roman" w:cs="Times New Roman"/>
          <w:b/>
          <w:bCs/>
          <w:color w:val="000000"/>
          <w:szCs w:val="24"/>
        </w:rPr>
        <w:t>3001.3 Accessibility.</w:t>
      </w:r>
      <w:bookmarkEnd w:id="194"/>
      <w:bookmarkEnd w:id="195"/>
      <w:r w:rsidRPr="00EC4EC4">
        <w:rPr>
          <w:rFonts w:eastAsia="Times New Roman" w:cs="Times New Roman"/>
          <w:b/>
          <w:bCs/>
          <w:color w:val="000000"/>
          <w:spacing w:val="-2"/>
          <w:w w:val="110"/>
          <w:szCs w:val="24"/>
        </w:rPr>
        <w:t xml:space="preserve"> </w:t>
      </w:r>
      <w:r w:rsidRPr="00EC4EC4">
        <w:rPr>
          <w:rFonts w:eastAsia="Times New Roman" w:cs="Times New Roman"/>
          <w:bCs/>
          <w:color w:val="000000"/>
          <w:spacing w:val="-2"/>
          <w:w w:val="110"/>
          <w:szCs w:val="24"/>
        </w:rPr>
        <w:t>The following elevators and lifts shall conform to ICC A117.1:</w:t>
      </w:r>
    </w:p>
    <w:p w14:paraId="278746B5"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pacing w:val="1"/>
          <w:szCs w:val="24"/>
        </w:rPr>
      </w:pPr>
      <w:r w:rsidRPr="00EC4EC4">
        <w:rPr>
          <w:rFonts w:eastAsia="Times New Roman" w:cs="Times New Roman"/>
          <w:color w:val="000000"/>
          <w:szCs w:val="24"/>
        </w:rPr>
        <w:t>1.</w:t>
      </w:r>
      <w:r w:rsidRPr="00EC4EC4">
        <w:rPr>
          <w:rFonts w:eastAsia="Times New Roman" w:cs="Times New Roman"/>
          <w:color w:val="000000"/>
          <w:szCs w:val="24"/>
        </w:rPr>
        <w:tab/>
        <w:t>Passenger elevators</w:t>
      </w:r>
      <w:r w:rsidRPr="00EC4EC4">
        <w:rPr>
          <w:rFonts w:eastAsia="Times New Roman" w:cs="Times New Roman"/>
          <w:color w:val="000000"/>
          <w:spacing w:val="1"/>
          <w:szCs w:val="24"/>
        </w:rPr>
        <w:t>, including destination-oriented elevators,</w:t>
      </w:r>
      <w:r w:rsidRPr="00EC4EC4">
        <w:rPr>
          <w:rFonts w:eastAsia="Times New Roman" w:cs="Times New Roman"/>
          <w:color w:val="000000"/>
          <w:szCs w:val="24"/>
        </w:rPr>
        <w:t xml:space="preserve"> required to be accessible </w:t>
      </w:r>
      <w:r w:rsidRPr="00EC4EC4">
        <w:rPr>
          <w:rFonts w:eastAsia="Times New Roman" w:cs="Times New Roman"/>
          <w:color w:val="000000"/>
          <w:spacing w:val="1"/>
          <w:szCs w:val="24"/>
        </w:rPr>
        <w:t>by Chapter 11;</w:t>
      </w:r>
    </w:p>
    <w:p w14:paraId="0BB062F3" w14:textId="77777777" w:rsidR="00140B7C" w:rsidRPr="00EC4EC4" w:rsidRDefault="00140B7C" w:rsidP="00140B7C">
      <w:pPr>
        <w:autoSpaceDE w:val="0"/>
        <w:autoSpaceDN w:val="0"/>
        <w:adjustRightInd w:val="0"/>
        <w:spacing w:after="240" w:line="240" w:lineRule="auto"/>
        <w:ind w:left="720" w:hanging="360"/>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Limited-Use/Limited-Application (LULA) elevators permitted to be installed on an accessible route pursuant to Section [</w:t>
      </w:r>
      <w:r w:rsidRPr="00EC4EC4">
        <w:rPr>
          <w:rFonts w:eastAsia="Times New Roman" w:cs="Times New Roman"/>
          <w:strike/>
          <w:szCs w:val="24"/>
        </w:rPr>
        <w:t>1109.6.1</w:t>
      </w:r>
      <w:r w:rsidRPr="00EC4EC4">
        <w:rPr>
          <w:rFonts w:eastAsia="Times New Roman" w:cs="Times New Roman"/>
          <w:szCs w:val="24"/>
        </w:rPr>
        <w:t>]</w:t>
      </w:r>
      <w:r w:rsidRPr="00EC4EC4">
        <w:rPr>
          <w:rFonts w:eastAsia="Times New Roman" w:cs="Times New Roman"/>
          <w:szCs w:val="24"/>
          <w:u w:val="single"/>
        </w:rPr>
        <w:t>1109.7.1</w:t>
      </w:r>
      <w:r w:rsidRPr="00EC4EC4">
        <w:rPr>
          <w:rFonts w:eastAsia="Times New Roman" w:cs="Times New Roman"/>
          <w:szCs w:val="24"/>
        </w:rPr>
        <w:t>;</w:t>
      </w:r>
      <w:r w:rsidRPr="00EC4EC4">
        <w:rPr>
          <w:rFonts w:eastAsia="Times New Roman" w:cs="Times New Roman"/>
          <w:bCs/>
          <w:szCs w:val="24"/>
        </w:rPr>
        <w:t xml:space="preserve"> </w:t>
      </w:r>
    </w:p>
    <w:p w14:paraId="08D0CBEA" w14:textId="77777777" w:rsidR="00140B7C" w:rsidRPr="00EC4EC4" w:rsidRDefault="00140B7C" w:rsidP="00140B7C">
      <w:pPr>
        <w:autoSpaceDE w:val="0"/>
        <w:autoSpaceDN w:val="0"/>
        <w:adjustRightInd w:val="0"/>
        <w:spacing w:after="240" w:line="240" w:lineRule="auto"/>
        <w:ind w:left="720" w:hanging="360"/>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Platform lifts permitted to be installed on an accessible route pursuant to Section [</w:t>
      </w:r>
      <w:r w:rsidRPr="00EC4EC4">
        <w:rPr>
          <w:rFonts w:eastAsia="Times New Roman" w:cs="Times New Roman"/>
          <w:strike/>
          <w:szCs w:val="24"/>
        </w:rPr>
        <w:t>1109.7</w:t>
      </w:r>
      <w:r w:rsidRPr="00EC4EC4">
        <w:rPr>
          <w:rFonts w:eastAsia="Times New Roman" w:cs="Times New Roman"/>
          <w:szCs w:val="24"/>
        </w:rPr>
        <w:t>]</w:t>
      </w:r>
      <w:r w:rsidRPr="00EC4EC4">
        <w:rPr>
          <w:rFonts w:eastAsia="Times New Roman" w:cs="Times New Roman"/>
          <w:szCs w:val="24"/>
          <w:u w:val="single"/>
        </w:rPr>
        <w:t>1109.8</w:t>
      </w:r>
      <w:r w:rsidRPr="00EC4EC4">
        <w:rPr>
          <w:rFonts w:eastAsia="Times New Roman" w:cs="Times New Roman"/>
          <w:szCs w:val="24"/>
        </w:rPr>
        <w:t>;</w:t>
      </w:r>
    </w:p>
    <w:p w14:paraId="4D2B75FF"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4.</w:t>
      </w:r>
      <w:r w:rsidRPr="00EC4EC4">
        <w:rPr>
          <w:rFonts w:eastAsia="Times New Roman" w:cs="Times New Roman"/>
          <w:color w:val="000000"/>
          <w:szCs w:val="24"/>
        </w:rPr>
        <w:tab/>
        <w:t>Private residence elevators serving within an individual dwelling unit in Occupancy Groups R-2 and R-3 occupancies on an accessible route; and</w:t>
      </w:r>
    </w:p>
    <w:p w14:paraId="175A9500"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5.</w:t>
      </w:r>
      <w:r w:rsidRPr="00EC4EC4">
        <w:rPr>
          <w:rFonts w:eastAsia="Times New Roman" w:cs="Times New Roman"/>
          <w:color w:val="000000"/>
          <w:szCs w:val="24"/>
        </w:rPr>
        <w:tab/>
        <w:t>Elevators provided in accordance with Sections 3002.4.3.2 and 3002.4.3.3.</w:t>
      </w:r>
    </w:p>
    <w:p w14:paraId="0912E0EB" w14:textId="65B7C1F9" w:rsidR="00140B7C" w:rsidRPr="00EC4EC4" w:rsidRDefault="00140B7C" w:rsidP="00140B7C">
      <w:pPr>
        <w:pStyle w:val="DoubleSpaceParagaph"/>
        <w:spacing w:line="240" w:lineRule="auto"/>
        <w:ind w:firstLine="720"/>
      </w:pPr>
      <w:bookmarkStart w:id="196" w:name="_Toc389738610"/>
      <w:bookmarkStart w:id="197" w:name="_Toc389747172"/>
      <w:r w:rsidRPr="00EC4EC4">
        <w:rPr>
          <w:color w:val="000000"/>
          <w:sz w:val="23"/>
          <w:szCs w:val="23"/>
        </w:rPr>
        <w:lastRenderedPageBreak/>
        <w:t>§</w:t>
      </w:r>
      <w:r>
        <w:rPr>
          <w:color w:val="000000"/>
          <w:sz w:val="23"/>
          <w:szCs w:val="23"/>
        </w:rPr>
        <w:t>23</w:t>
      </w:r>
      <w:r w:rsidR="003A252A">
        <w:rPr>
          <w:color w:val="000000"/>
          <w:sz w:val="23"/>
          <w:szCs w:val="23"/>
        </w:rPr>
        <w:t>7</w:t>
      </w:r>
      <w:r w:rsidRPr="00EC4EC4">
        <w:rPr>
          <w:color w:val="000000"/>
          <w:sz w:val="23"/>
          <w:szCs w:val="23"/>
        </w:rPr>
        <w:t>. Section 3007.6</w:t>
      </w:r>
      <w:r w:rsidRPr="00EC4EC4">
        <w:t xml:space="preserve"> of the New York city building code, as amended by local law number 126 for the year 2021, is amended to read as follows:</w:t>
      </w:r>
    </w:p>
    <w:p w14:paraId="344B4886" w14:textId="77777777" w:rsidR="00140B7C" w:rsidRPr="00EC4EC4" w:rsidRDefault="00140B7C" w:rsidP="00140B7C">
      <w:pPr>
        <w:autoSpaceDE w:val="0"/>
        <w:autoSpaceDN w:val="0"/>
        <w:adjustRightInd w:val="0"/>
        <w:spacing w:after="0" w:line="240" w:lineRule="auto"/>
        <w:jc w:val="both"/>
        <w:rPr>
          <w:rFonts w:eastAsia="Times New Roman" w:cs="Times New Roman"/>
          <w:b/>
          <w:bCs/>
          <w:szCs w:val="24"/>
        </w:rPr>
      </w:pPr>
    </w:p>
    <w:p w14:paraId="472A1C83" w14:textId="77777777" w:rsidR="00140B7C" w:rsidRPr="00EC4EC4" w:rsidRDefault="00140B7C" w:rsidP="00140B7C">
      <w:pPr>
        <w:autoSpaceDE w:val="0"/>
        <w:autoSpaceDN w:val="0"/>
        <w:adjustRightInd w:val="0"/>
        <w:spacing w:after="0" w:line="240" w:lineRule="auto"/>
        <w:jc w:val="both"/>
        <w:rPr>
          <w:rFonts w:eastAsia="Times New Roman" w:cs="Times New Roman"/>
          <w:bCs/>
          <w:szCs w:val="24"/>
        </w:rPr>
      </w:pPr>
      <w:r w:rsidRPr="00EC4EC4">
        <w:rPr>
          <w:rFonts w:eastAsia="Times New Roman" w:cs="Times New Roman"/>
          <w:b/>
          <w:bCs/>
          <w:szCs w:val="24"/>
        </w:rPr>
        <w:t>3007.6 Fire service access elevator lobby.</w:t>
      </w:r>
      <w:bookmarkEnd w:id="196"/>
      <w:bookmarkEnd w:id="197"/>
      <w:r w:rsidRPr="00EC4EC4">
        <w:rPr>
          <w:rFonts w:eastAsia="Times New Roman" w:cs="Times New Roman"/>
          <w:b/>
          <w:bCs/>
          <w:szCs w:val="24"/>
        </w:rPr>
        <w:t xml:space="preserve"> </w:t>
      </w:r>
      <w:r w:rsidRPr="00EC4EC4">
        <w:rPr>
          <w:rFonts w:eastAsia="Times New Roman" w:cs="Times New Roman"/>
          <w:szCs w:val="24"/>
        </w:rPr>
        <w:t xml:space="preserve">The fire service access elevator shall open into a fire service access elevator lobby in accordance with Sections 3007.6.1 through 3007.6.5. Egress is permitted through the elevator lobby in accordance with </w:t>
      </w:r>
      <w:r w:rsidRPr="00EC4EC4">
        <w:rPr>
          <w:rFonts w:eastAsia="Times New Roman" w:cs="Times New Roman"/>
          <w:bCs/>
          <w:szCs w:val="24"/>
        </w:rPr>
        <w:t xml:space="preserve">Item 1 of </w:t>
      </w:r>
      <w:r w:rsidRPr="00EC4EC4">
        <w:rPr>
          <w:rFonts w:eastAsia="Times New Roman" w:cs="Times New Roman"/>
          <w:szCs w:val="24"/>
        </w:rPr>
        <w:t>Section 1</w:t>
      </w:r>
      <w:r w:rsidRPr="00EC4EC4">
        <w:rPr>
          <w:rFonts w:eastAsia="Times New Roman" w:cs="Times New Roman"/>
          <w:bCs/>
          <w:szCs w:val="24"/>
        </w:rPr>
        <w:t>016.2.</w:t>
      </w:r>
    </w:p>
    <w:p w14:paraId="3594B3A5" w14:textId="77777777" w:rsidR="00140B7C" w:rsidRPr="00EC4EC4" w:rsidRDefault="00140B7C" w:rsidP="00140B7C">
      <w:pPr>
        <w:autoSpaceDE w:val="0"/>
        <w:autoSpaceDN w:val="0"/>
        <w:adjustRightInd w:val="0"/>
        <w:spacing w:after="240" w:line="240" w:lineRule="auto"/>
        <w:ind w:left="360"/>
        <w:rPr>
          <w:rFonts w:eastAsia="Times New Roman" w:cs="Times New Roman"/>
          <w:b/>
          <w:bCs/>
          <w:color w:val="000000"/>
          <w:szCs w:val="24"/>
        </w:rPr>
      </w:pPr>
      <w:r w:rsidRPr="00EC4EC4">
        <w:rPr>
          <w:rFonts w:eastAsia="Times New Roman" w:cs="Times New Roman"/>
          <w:b/>
          <w:bCs/>
          <w:color w:val="000000"/>
          <w:szCs w:val="24"/>
        </w:rPr>
        <w:t>Exceptions:</w:t>
      </w:r>
    </w:p>
    <w:p w14:paraId="24BC838E"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color w:val="000000"/>
          <w:szCs w:val="24"/>
        </w:rPr>
      </w:pPr>
      <w:r w:rsidRPr="00EC4EC4">
        <w:rPr>
          <w:rFonts w:eastAsia="Times New Roman" w:cs="Times New Roman"/>
          <w:szCs w:val="24"/>
        </w:rPr>
        <w:t>1.</w:t>
      </w:r>
      <w:r w:rsidRPr="00EC4EC4">
        <w:rPr>
          <w:rFonts w:eastAsia="Times New Roman" w:cs="Times New Roman"/>
          <w:szCs w:val="24"/>
        </w:rPr>
        <w:tab/>
      </w:r>
      <w:r w:rsidRPr="00EC4EC4">
        <w:rPr>
          <w:rFonts w:eastAsia="Times New Roman" w:cs="Times New Roman"/>
          <w:color w:val="000000"/>
          <w:szCs w:val="24"/>
        </w:rPr>
        <w:t>Where a fire service access elevator has two entrances onto a floor, the second entrance shall be permitted to open into an elevator lobby in accordance with Section</w:t>
      </w:r>
      <w:r w:rsidRPr="00EC4EC4">
        <w:rPr>
          <w:rFonts w:eastAsia="Times New Roman" w:cs="Times New Roman"/>
          <w:szCs w:val="24"/>
        </w:rPr>
        <w:t xml:space="preserve"> [</w:t>
      </w:r>
      <w:r w:rsidRPr="00EC4EC4">
        <w:rPr>
          <w:rFonts w:eastAsia="Times New Roman" w:cs="Times New Roman"/>
          <w:strike/>
          <w:szCs w:val="24"/>
        </w:rPr>
        <w:t>3006.3</w:t>
      </w:r>
      <w:r w:rsidRPr="00EC4EC4">
        <w:rPr>
          <w:rFonts w:eastAsia="Times New Roman" w:cs="Times New Roman"/>
          <w:szCs w:val="24"/>
        </w:rPr>
        <w:t>]</w:t>
      </w:r>
      <w:r w:rsidRPr="00EC4EC4">
        <w:rPr>
          <w:rFonts w:eastAsia="Times New Roman" w:cs="Times New Roman"/>
          <w:szCs w:val="24"/>
          <w:u w:val="single"/>
        </w:rPr>
        <w:t>3006.1.1</w:t>
      </w:r>
      <w:r w:rsidRPr="00EC4EC4">
        <w:rPr>
          <w:rFonts w:eastAsia="Times New Roman" w:cs="Times New Roman"/>
          <w:szCs w:val="24"/>
        </w:rPr>
        <w:t>.</w:t>
      </w:r>
    </w:p>
    <w:p w14:paraId="6F0FA46B"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color w:val="000000"/>
          <w:szCs w:val="24"/>
        </w:rPr>
      </w:pPr>
      <w:r w:rsidRPr="00EC4EC4">
        <w:rPr>
          <w:rFonts w:eastAsia="Times New Roman" w:cs="Times New Roman"/>
          <w:color w:val="000000"/>
          <w:szCs w:val="24"/>
        </w:rPr>
        <w:t>2.</w:t>
      </w:r>
      <w:bookmarkStart w:id="198" w:name="_Toc389738611"/>
      <w:bookmarkStart w:id="199" w:name="_Toc389747173"/>
      <w:r w:rsidRPr="00EC4EC4">
        <w:rPr>
          <w:rFonts w:eastAsia="Times New Roman" w:cs="Times New Roman"/>
          <w:color w:val="000000"/>
          <w:szCs w:val="24"/>
        </w:rPr>
        <w:tab/>
      </w:r>
      <w:bookmarkEnd w:id="198"/>
      <w:bookmarkEnd w:id="199"/>
      <w:r w:rsidRPr="00EC4EC4">
        <w:rPr>
          <w:rFonts w:eastAsia="Times New Roman" w:cs="Times New Roman"/>
          <w:color w:val="000000"/>
          <w:szCs w:val="24"/>
        </w:rPr>
        <w:t>A fire service access elevator lobby shall not be required on stories where the elevator opens to a corridor enclosed with a fire barrier, provided all doors opening onto such corridor are smoke and draft controlled doors complying with Section 716.5.3.1 with the UL 1784 test conducted without the artificial bottom seal.</w:t>
      </w:r>
    </w:p>
    <w:p w14:paraId="462381CD"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color w:val="000000"/>
          <w:szCs w:val="24"/>
        </w:rPr>
      </w:pPr>
      <w:r w:rsidRPr="00EC4EC4">
        <w:rPr>
          <w:rFonts w:eastAsia="Times New Roman" w:cs="Times New Roman"/>
          <w:color w:val="000000"/>
          <w:szCs w:val="24"/>
        </w:rPr>
        <w:t>3.</w:t>
      </w:r>
      <w:r w:rsidRPr="00EC4EC4">
        <w:rPr>
          <w:rFonts w:eastAsia="Times New Roman" w:cs="Times New Roman"/>
          <w:color w:val="000000"/>
          <w:szCs w:val="24"/>
        </w:rPr>
        <w:tab/>
        <w:t>A fire service access elevator lobby shall not be required on stories that are less than 3,000 square feet</w:t>
      </w:r>
      <w:r w:rsidRPr="00EC4EC4">
        <w:rPr>
          <w:rFonts w:eastAsia="Times New Roman" w:cs="Times New Roman"/>
          <w:szCs w:val="24"/>
        </w:rPr>
        <w:t xml:space="preserve"> (279 m</w:t>
      </w:r>
      <w:r w:rsidRPr="00EC4EC4">
        <w:rPr>
          <w:rFonts w:eastAsia="Times New Roman" w:cs="Times New Roman"/>
          <w:szCs w:val="24"/>
          <w:vertAlign w:val="superscript"/>
        </w:rPr>
        <w:t>2</w:t>
      </w:r>
      <w:r w:rsidRPr="00EC4EC4">
        <w:rPr>
          <w:rFonts w:eastAsia="Times New Roman" w:cs="Times New Roman"/>
          <w:szCs w:val="24"/>
        </w:rPr>
        <w:t>)</w:t>
      </w:r>
      <w:r w:rsidRPr="00EC4EC4">
        <w:rPr>
          <w:rFonts w:eastAsia="Times New Roman" w:cs="Times New Roman"/>
          <w:szCs w:val="24"/>
          <w:vertAlign w:val="superscript"/>
        </w:rPr>
        <w:t xml:space="preserve"> </w:t>
      </w:r>
      <w:r w:rsidRPr="00EC4EC4">
        <w:rPr>
          <w:rFonts w:eastAsia="Times New Roman" w:cs="Times New Roman"/>
          <w:color w:val="000000"/>
          <w:szCs w:val="24"/>
        </w:rPr>
        <w:t>containing only Group R-2 occupancies.</w:t>
      </w:r>
    </w:p>
    <w:p w14:paraId="5B3762B9" w14:textId="768D068B"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23</w:t>
      </w:r>
      <w:r w:rsidR="003A252A">
        <w:rPr>
          <w:rFonts w:cs="Times New Roman"/>
          <w:color w:val="000000"/>
          <w:sz w:val="23"/>
          <w:szCs w:val="23"/>
        </w:rPr>
        <w:t>8</w:t>
      </w:r>
      <w:r w:rsidRPr="00EC4EC4">
        <w:rPr>
          <w:rFonts w:cs="Times New Roman"/>
          <w:color w:val="000000"/>
          <w:sz w:val="23"/>
          <w:szCs w:val="23"/>
        </w:rPr>
        <w:t>. Section 3109.5 of  the New York city building code, as amended by local law number 1</w:t>
      </w:r>
      <w:r>
        <w:rPr>
          <w:rFonts w:cs="Times New Roman"/>
          <w:color w:val="000000"/>
          <w:sz w:val="23"/>
          <w:szCs w:val="23"/>
        </w:rPr>
        <w:t>26</w:t>
      </w:r>
      <w:r w:rsidRPr="00EC4EC4">
        <w:rPr>
          <w:rFonts w:cs="Times New Roman"/>
          <w:color w:val="000000"/>
          <w:sz w:val="23"/>
          <w:szCs w:val="23"/>
        </w:rPr>
        <w:t xml:space="preserve"> for the year </w:t>
      </w:r>
      <w:r>
        <w:rPr>
          <w:rFonts w:cs="Times New Roman"/>
          <w:color w:val="000000"/>
          <w:sz w:val="23"/>
          <w:szCs w:val="23"/>
        </w:rPr>
        <w:t>2021</w:t>
      </w:r>
      <w:r w:rsidRPr="00EC4EC4">
        <w:rPr>
          <w:rFonts w:cs="Times New Roman"/>
          <w:color w:val="000000"/>
          <w:sz w:val="23"/>
          <w:szCs w:val="23"/>
        </w:rPr>
        <w:t>, is amended to read as follows:</w:t>
      </w:r>
    </w:p>
    <w:p w14:paraId="76D33775" w14:textId="77777777" w:rsidR="00140B7C" w:rsidRPr="00EC4EC4" w:rsidRDefault="00140B7C" w:rsidP="00140B7C">
      <w:pPr>
        <w:kinsoku w:val="0"/>
        <w:spacing w:after="240" w:line="240" w:lineRule="auto"/>
        <w:jc w:val="both"/>
        <w:rPr>
          <w:rFonts w:eastAsia="Times New Roman" w:cs="Times New Roman"/>
          <w:spacing w:val="1"/>
          <w:szCs w:val="24"/>
        </w:rPr>
      </w:pPr>
      <w:r w:rsidRPr="00EC4EC4">
        <w:rPr>
          <w:rFonts w:eastAsia="Times New Roman" w:cs="Times New Roman"/>
          <w:b/>
          <w:szCs w:val="24"/>
        </w:rPr>
        <w:t>3109.5 Private swimming pools.</w:t>
      </w:r>
      <w:r w:rsidRPr="00EC4EC4">
        <w:rPr>
          <w:rFonts w:eastAsia="Times New Roman" w:cs="Times New Roman"/>
          <w:b/>
          <w:bCs/>
          <w:spacing w:val="-2"/>
          <w:w w:val="110"/>
          <w:szCs w:val="24"/>
        </w:rPr>
        <w:t xml:space="preserve"> </w:t>
      </w:r>
      <w:r w:rsidRPr="00EC4EC4">
        <w:rPr>
          <w:rFonts w:eastAsia="Times New Roman" w:cs="Times New Roman"/>
          <w:spacing w:val="1"/>
          <w:szCs w:val="24"/>
        </w:rPr>
        <w:t>Private swimming pools shall comply with the requirements for safety and accessibility as provided in Section 3109.3 and this section.</w:t>
      </w:r>
    </w:p>
    <w:p w14:paraId="2003850F" w14:textId="77777777" w:rsidR="00140B7C" w:rsidRPr="00EC4EC4" w:rsidRDefault="00140B7C" w:rsidP="00140B7C">
      <w:pPr>
        <w:kinsoku w:val="0"/>
        <w:spacing w:after="240" w:line="240" w:lineRule="auto"/>
        <w:ind w:left="360"/>
        <w:jc w:val="both"/>
        <w:rPr>
          <w:rFonts w:eastAsia="Times New Roman" w:cs="Times New Roman"/>
          <w:spacing w:val="1"/>
          <w:szCs w:val="24"/>
        </w:rPr>
      </w:pPr>
      <w:r w:rsidRPr="00EC4EC4">
        <w:rPr>
          <w:rFonts w:eastAsia="Times New Roman" w:cs="Times New Roman"/>
          <w:b/>
          <w:szCs w:val="24"/>
        </w:rPr>
        <w:t>Exception:</w:t>
      </w:r>
      <w:r w:rsidRPr="00EC4EC4">
        <w:rPr>
          <w:rFonts w:eastAsia="Times New Roman" w:cs="Times New Roman"/>
          <w:b/>
          <w:bCs/>
          <w:spacing w:val="5"/>
          <w:w w:val="110"/>
          <w:szCs w:val="24"/>
        </w:rPr>
        <w:t xml:space="preserve"> </w:t>
      </w:r>
      <w:r w:rsidRPr="00EC4EC4">
        <w:rPr>
          <w:rFonts w:eastAsia="Times New Roman" w:cs="Times New Roman"/>
          <w:spacing w:val="1"/>
          <w:szCs w:val="24"/>
        </w:rPr>
        <w:t>An above-ground private swimming pool which has a maximum water depth of 4 feet [</w:t>
      </w:r>
      <w:r w:rsidRPr="00EC4EC4">
        <w:rPr>
          <w:rFonts w:eastAsia="Times New Roman" w:cs="Times New Roman"/>
          <w:strike/>
          <w:spacing w:val="1"/>
          <w:szCs w:val="24"/>
        </w:rPr>
        <w:t>(1219mm)</w:t>
      </w:r>
      <w:r w:rsidRPr="00EC4EC4">
        <w:rPr>
          <w:rFonts w:eastAsia="Times New Roman" w:cs="Times New Roman"/>
          <w:spacing w:val="1"/>
          <w:szCs w:val="24"/>
        </w:rPr>
        <w:t>]</w:t>
      </w:r>
      <w:r w:rsidRPr="00EC4EC4">
        <w:rPr>
          <w:rFonts w:eastAsia="Times New Roman" w:cs="Times New Roman"/>
          <w:spacing w:val="1"/>
          <w:szCs w:val="24"/>
          <w:u w:val="single"/>
        </w:rPr>
        <w:t>(1219 mm)</w:t>
      </w:r>
      <w:r w:rsidRPr="00EC4EC4">
        <w:rPr>
          <w:rFonts w:eastAsia="Times New Roman" w:cs="Times New Roman"/>
          <w:spacing w:val="1"/>
          <w:szCs w:val="24"/>
        </w:rPr>
        <w:t xml:space="preserve"> and an area not exceeding 500 square feet (46.45 m</w:t>
      </w:r>
      <w:r w:rsidRPr="00EC4EC4">
        <w:rPr>
          <w:rFonts w:eastAsia="Times New Roman" w:cs="Times New Roman"/>
          <w:spacing w:val="1"/>
          <w:szCs w:val="24"/>
          <w:vertAlign w:val="superscript"/>
        </w:rPr>
        <w:t>2</w:t>
      </w:r>
      <w:r w:rsidRPr="00EC4EC4">
        <w:rPr>
          <w:rFonts w:eastAsia="Times New Roman" w:cs="Times New Roman"/>
          <w:spacing w:val="1"/>
          <w:szCs w:val="24"/>
        </w:rPr>
        <w:t>) that is accessory to an R-3 occupancy and is privately used for noncommercial purposes shall not be required to comply with Sections 3109.3.1, 3109.3.2, 3109.5.2, 3109.5.3 and 3109.5.4.</w:t>
      </w:r>
    </w:p>
    <w:p w14:paraId="4214462C" w14:textId="25D55870" w:rsidR="00140B7C" w:rsidRPr="00EC4EC4" w:rsidRDefault="00140B7C" w:rsidP="00140B7C">
      <w:pPr>
        <w:kinsoku w:val="0"/>
        <w:spacing w:after="240" w:line="240" w:lineRule="auto"/>
        <w:ind w:firstLine="720"/>
        <w:jc w:val="both"/>
        <w:rPr>
          <w:rFonts w:eastAsia="Times New Roman" w:cs="Times New Roman"/>
          <w:b/>
          <w:bCs/>
          <w:szCs w:val="24"/>
        </w:rPr>
      </w:pPr>
      <w:bookmarkStart w:id="200" w:name="_Toc389738747"/>
      <w:bookmarkStart w:id="201" w:name="_Toc389747309"/>
      <w:r w:rsidRPr="00EC4EC4">
        <w:rPr>
          <w:rFonts w:cs="Times New Roman"/>
          <w:color w:val="000000"/>
          <w:sz w:val="23"/>
          <w:szCs w:val="23"/>
        </w:rPr>
        <w:t>§</w:t>
      </w:r>
      <w:r>
        <w:rPr>
          <w:rFonts w:cs="Times New Roman"/>
          <w:color w:val="000000"/>
          <w:sz w:val="23"/>
          <w:szCs w:val="23"/>
        </w:rPr>
        <w:t>23</w:t>
      </w:r>
      <w:r w:rsidR="003A252A">
        <w:rPr>
          <w:rFonts w:cs="Times New Roman"/>
          <w:color w:val="000000"/>
          <w:sz w:val="23"/>
          <w:szCs w:val="23"/>
        </w:rPr>
        <w:t>9</w:t>
      </w:r>
      <w:r w:rsidRPr="00EC4EC4">
        <w:rPr>
          <w:rFonts w:cs="Times New Roman"/>
          <w:color w:val="000000"/>
          <w:sz w:val="23"/>
          <w:szCs w:val="23"/>
        </w:rPr>
        <w:t>. Section 3110.2 of  the New York city building code, as amended by local law number 126 for the year 2021, is amended to read as follows:</w:t>
      </w:r>
    </w:p>
    <w:p w14:paraId="1ED4E8E4" w14:textId="77777777" w:rsidR="00140B7C" w:rsidRPr="00EC4EC4" w:rsidRDefault="00140B7C" w:rsidP="00140B7C">
      <w:pPr>
        <w:kinsoku w:val="0"/>
        <w:spacing w:after="240" w:line="240" w:lineRule="auto"/>
        <w:jc w:val="both"/>
        <w:rPr>
          <w:rFonts w:eastAsia="Times New Roman" w:cs="Times New Roman"/>
          <w:bCs/>
          <w:szCs w:val="24"/>
        </w:rPr>
      </w:pPr>
      <w:r w:rsidRPr="00EC4EC4">
        <w:rPr>
          <w:rFonts w:eastAsia="Times New Roman" w:cs="Times New Roman"/>
          <w:b/>
          <w:bCs/>
          <w:szCs w:val="24"/>
        </w:rPr>
        <w:t>3110.2 [</w:t>
      </w:r>
      <w:r w:rsidRPr="00EC4EC4">
        <w:rPr>
          <w:rFonts w:eastAsia="Times New Roman" w:cs="Times New Roman"/>
          <w:b/>
          <w:bCs/>
          <w:strike/>
          <w:szCs w:val="24"/>
        </w:rPr>
        <w:t>Definitions</w:t>
      </w:r>
      <w:r w:rsidRPr="00EC4EC4">
        <w:rPr>
          <w:rFonts w:eastAsia="Times New Roman" w:cs="Times New Roman"/>
          <w:b/>
          <w:bCs/>
          <w:szCs w:val="24"/>
        </w:rPr>
        <w:t>]</w:t>
      </w:r>
      <w:r w:rsidRPr="00EC4EC4">
        <w:rPr>
          <w:rFonts w:eastAsia="Times New Roman" w:cs="Times New Roman"/>
          <w:b/>
          <w:bCs/>
          <w:szCs w:val="24"/>
          <w:u w:val="single"/>
        </w:rPr>
        <w:t>Definition</w:t>
      </w:r>
      <w:r w:rsidRPr="00EC4EC4">
        <w:rPr>
          <w:rFonts w:eastAsia="Times New Roman" w:cs="Times New Roman"/>
          <w:b/>
          <w:bCs/>
          <w:szCs w:val="24"/>
        </w:rPr>
        <w:t>.</w:t>
      </w:r>
      <w:bookmarkEnd w:id="200"/>
      <w:bookmarkEnd w:id="201"/>
      <w:r w:rsidRPr="00EC4EC4">
        <w:rPr>
          <w:rFonts w:eastAsia="Times New Roman" w:cs="Times New Roman"/>
          <w:bCs/>
          <w:szCs w:val="24"/>
        </w:rPr>
        <w:t xml:space="preserve"> </w:t>
      </w:r>
      <w:r w:rsidRPr="00EC4EC4">
        <w:rPr>
          <w:rFonts w:eastAsia="Times New Roman" w:cs="Times New Roman"/>
          <w:szCs w:val="24"/>
        </w:rPr>
        <w:t xml:space="preserve">The following term </w:t>
      </w:r>
      <w:r>
        <w:rPr>
          <w:rFonts w:eastAsia="Times New Roman" w:cs="Times New Roman"/>
          <w:szCs w:val="24"/>
        </w:rPr>
        <w:t xml:space="preserve">is defined in </w:t>
      </w:r>
      <w:r w:rsidRPr="00EC4EC4">
        <w:rPr>
          <w:rFonts w:eastAsia="Times New Roman" w:cs="Times New Roman"/>
          <w:bCs/>
          <w:szCs w:val="24"/>
        </w:rPr>
        <w:t>Chapter 2:</w:t>
      </w:r>
    </w:p>
    <w:p w14:paraId="68F743AC" w14:textId="57B2E656"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3A252A">
        <w:rPr>
          <w:rFonts w:cs="Times New Roman"/>
          <w:color w:val="000000"/>
          <w:sz w:val="23"/>
          <w:szCs w:val="23"/>
        </w:rPr>
        <w:t>40</w:t>
      </w:r>
      <w:r w:rsidRPr="00EC4EC4">
        <w:rPr>
          <w:rFonts w:cs="Times New Roman"/>
          <w:color w:val="000000"/>
          <w:sz w:val="23"/>
          <w:szCs w:val="23"/>
        </w:rPr>
        <w:t>. Section 3114.8 of  the New York city building code, as amended by local law number 126 for the year 2021, is amended to read as follows:</w:t>
      </w:r>
    </w:p>
    <w:p w14:paraId="70EC1D4F" w14:textId="77777777" w:rsidR="00140B7C" w:rsidRPr="00EC4EC4" w:rsidRDefault="00140B7C" w:rsidP="00140B7C">
      <w:pPr>
        <w:shd w:val="clear" w:color="auto" w:fill="FFFFFF"/>
        <w:spacing w:after="240" w:line="240" w:lineRule="auto"/>
        <w:jc w:val="both"/>
        <w:rPr>
          <w:rFonts w:eastAsia="Times New Roman" w:cs="Times New Roman"/>
          <w:color w:val="000000"/>
          <w:sz w:val="27"/>
          <w:szCs w:val="27"/>
        </w:rPr>
      </w:pPr>
      <w:r w:rsidRPr="00EC4EC4">
        <w:rPr>
          <w:rFonts w:eastAsia="Times New Roman" w:cs="Times New Roman"/>
          <w:b/>
          <w:bCs/>
          <w:color w:val="000000"/>
          <w:szCs w:val="24"/>
        </w:rPr>
        <w:t>[</w:t>
      </w:r>
      <w:r w:rsidRPr="00EC4EC4">
        <w:rPr>
          <w:rFonts w:eastAsia="Times New Roman" w:cs="Times New Roman"/>
          <w:b/>
          <w:bCs/>
          <w:strike/>
          <w:color w:val="000000"/>
          <w:szCs w:val="24"/>
        </w:rPr>
        <w:t>3114.8</w:t>
      </w:r>
      <w:r w:rsidRPr="00EC4EC4">
        <w:rPr>
          <w:rFonts w:eastAsia="Times New Roman" w:cs="Times New Roman"/>
          <w:b/>
          <w:bCs/>
          <w:color w:val="000000"/>
          <w:szCs w:val="24"/>
        </w:rPr>
        <w:t>]</w:t>
      </w:r>
      <w:r w:rsidRPr="00EC4EC4">
        <w:rPr>
          <w:rFonts w:eastAsia="Times New Roman" w:cs="Times New Roman"/>
          <w:b/>
          <w:bCs/>
          <w:color w:val="000000"/>
          <w:szCs w:val="24"/>
          <w:u w:val="single"/>
        </w:rPr>
        <w:t>3114.7</w:t>
      </w:r>
      <w:r w:rsidRPr="00EC4EC4">
        <w:rPr>
          <w:rFonts w:eastAsia="Times New Roman" w:cs="Times New Roman"/>
          <w:b/>
          <w:bCs/>
          <w:color w:val="000000"/>
          <w:szCs w:val="24"/>
        </w:rPr>
        <w:t xml:space="preserve"> Access.</w:t>
      </w:r>
      <w:r w:rsidRPr="00EC4EC4">
        <w:rPr>
          <w:rFonts w:eastAsia="Times New Roman" w:cs="Times New Roman"/>
          <w:color w:val="000000"/>
          <w:szCs w:val="24"/>
        </w:rPr>
        <w:t xml:space="preserve"> Access to a large wind turbine shall be limited as follows:</w:t>
      </w:r>
    </w:p>
    <w:p w14:paraId="2D2D5B42" w14:textId="77777777" w:rsidR="00140B7C" w:rsidRPr="00EC4EC4" w:rsidRDefault="00140B7C" w:rsidP="00140B7C">
      <w:pPr>
        <w:shd w:val="clear" w:color="auto" w:fill="FFFFFF"/>
        <w:spacing w:after="240" w:line="240" w:lineRule="auto"/>
        <w:ind w:left="720" w:hanging="360"/>
        <w:jc w:val="both"/>
        <w:rPr>
          <w:rFonts w:eastAsia="Times New Roman" w:cs="Times New Roman"/>
          <w:color w:val="000000"/>
          <w:sz w:val="27"/>
          <w:szCs w:val="27"/>
        </w:rPr>
      </w:pPr>
      <w:r w:rsidRPr="00EC4EC4">
        <w:rPr>
          <w:rFonts w:eastAsia="Times New Roman" w:cs="Times New Roman"/>
          <w:color w:val="000000"/>
          <w:szCs w:val="24"/>
        </w:rPr>
        <w:t>1.</w:t>
      </w:r>
      <w:r w:rsidRPr="00EC4EC4">
        <w:rPr>
          <w:rFonts w:eastAsia="Times New Roman" w:cs="Times New Roman"/>
          <w:color w:val="000000"/>
          <w:szCs w:val="24"/>
        </w:rPr>
        <w:tab/>
        <w:t>Access to electrical components of a large wind turbine shall be prevented by a lock.</w:t>
      </w:r>
    </w:p>
    <w:p w14:paraId="4012BAAF" w14:textId="77777777" w:rsidR="00140B7C" w:rsidRPr="00EC4EC4" w:rsidRDefault="00140B7C" w:rsidP="00140B7C">
      <w:pPr>
        <w:shd w:val="clear" w:color="auto" w:fill="FFFFFF"/>
        <w:spacing w:after="240" w:line="240" w:lineRule="auto"/>
        <w:ind w:left="720" w:hanging="360"/>
        <w:jc w:val="both"/>
        <w:rPr>
          <w:rFonts w:eastAsia="Times New Roman" w:cs="Times New Roman"/>
          <w:color w:val="000000"/>
          <w:szCs w:val="24"/>
        </w:rPr>
      </w:pPr>
      <w:r w:rsidRPr="00EC4EC4">
        <w:rPr>
          <w:rFonts w:eastAsia="Times New Roman" w:cs="Times New Roman"/>
          <w:color w:val="000000"/>
          <w:szCs w:val="24"/>
        </w:rPr>
        <w:t>2.</w:t>
      </w:r>
      <w:r w:rsidRPr="00EC4EC4">
        <w:rPr>
          <w:rFonts w:eastAsia="Times New Roman" w:cs="Times New Roman"/>
          <w:color w:val="000000"/>
          <w:sz w:val="14"/>
          <w:szCs w:val="14"/>
        </w:rPr>
        <w:tab/>
      </w:r>
      <w:r w:rsidRPr="00EC4EC4">
        <w:rPr>
          <w:rFonts w:eastAsia="Times New Roman" w:cs="Times New Roman"/>
          <w:color w:val="000000"/>
          <w:szCs w:val="24"/>
        </w:rPr>
        <w:t>A large wind turbine tower shall not be climbable, except by authorized personnel, up to a height of 10 feet (3048 mm) measured from the base of such tower.</w:t>
      </w:r>
    </w:p>
    <w:p w14:paraId="29909EE5" w14:textId="358BFB79"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3A252A">
        <w:rPr>
          <w:rFonts w:cs="Times New Roman"/>
          <w:color w:val="000000"/>
          <w:sz w:val="23"/>
          <w:szCs w:val="23"/>
        </w:rPr>
        <w:t>41</w:t>
      </w:r>
      <w:r w:rsidRPr="00EC4EC4">
        <w:rPr>
          <w:rFonts w:cs="Times New Roman"/>
          <w:color w:val="000000"/>
          <w:sz w:val="23"/>
          <w:szCs w:val="23"/>
        </w:rPr>
        <w:t>. Section 3114.9 of  the New York city building code, as amended by local law number 126 for the year 2021, is amended to read as follows:</w:t>
      </w:r>
    </w:p>
    <w:p w14:paraId="2C2C906F" w14:textId="77777777" w:rsidR="00140B7C" w:rsidRPr="00EC4EC4" w:rsidRDefault="00140B7C" w:rsidP="00140B7C">
      <w:pPr>
        <w:shd w:val="clear" w:color="auto" w:fill="FFFFFF"/>
        <w:spacing w:after="240" w:line="240" w:lineRule="auto"/>
        <w:jc w:val="both"/>
        <w:rPr>
          <w:rFonts w:eastAsia="Times New Roman" w:cs="Times New Roman"/>
          <w:color w:val="000000"/>
          <w:szCs w:val="24"/>
        </w:rPr>
      </w:pPr>
      <w:r w:rsidRPr="00EC4EC4">
        <w:rPr>
          <w:rFonts w:eastAsia="Times New Roman" w:cs="Times New Roman"/>
          <w:b/>
          <w:bCs/>
          <w:color w:val="000000"/>
          <w:szCs w:val="24"/>
        </w:rPr>
        <w:t>[</w:t>
      </w:r>
      <w:r w:rsidRPr="00EC4EC4">
        <w:rPr>
          <w:rFonts w:eastAsia="Times New Roman" w:cs="Times New Roman"/>
          <w:b/>
          <w:bCs/>
          <w:strike/>
          <w:color w:val="000000"/>
          <w:szCs w:val="24"/>
        </w:rPr>
        <w:t>3114.9</w:t>
      </w:r>
      <w:r w:rsidRPr="00EC4EC4">
        <w:rPr>
          <w:rFonts w:eastAsia="Times New Roman" w:cs="Times New Roman"/>
          <w:b/>
          <w:bCs/>
          <w:color w:val="000000"/>
          <w:szCs w:val="24"/>
        </w:rPr>
        <w:t>]</w:t>
      </w:r>
      <w:r w:rsidRPr="00EC4EC4">
        <w:rPr>
          <w:rFonts w:eastAsia="Times New Roman" w:cs="Times New Roman"/>
          <w:b/>
          <w:bCs/>
          <w:color w:val="000000"/>
          <w:szCs w:val="24"/>
          <w:u w:val="single"/>
        </w:rPr>
        <w:t>3114.8</w:t>
      </w:r>
      <w:r w:rsidRPr="00EC4EC4">
        <w:rPr>
          <w:rFonts w:eastAsia="Times New Roman" w:cs="Times New Roman"/>
          <w:b/>
          <w:bCs/>
          <w:color w:val="000000"/>
          <w:szCs w:val="24"/>
        </w:rPr>
        <w:t xml:space="preserve"> Noise. </w:t>
      </w:r>
      <w:r w:rsidRPr="00EC4EC4">
        <w:rPr>
          <w:rFonts w:eastAsia="Times New Roman" w:cs="Times New Roman"/>
          <w:color w:val="000000"/>
          <w:szCs w:val="24"/>
        </w:rPr>
        <w:t xml:space="preserve">A large wind turbine shall be designed to comply with the sound level limit of Section 24-232.1 of the </w:t>
      </w:r>
      <w:r w:rsidRPr="00EC4EC4">
        <w:rPr>
          <w:rFonts w:eastAsia="Times New Roman" w:cs="Times New Roman"/>
          <w:i/>
          <w:iCs/>
          <w:spacing w:val="1"/>
          <w:szCs w:val="24"/>
        </w:rPr>
        <w:t>Administrative Code</w:t>
      </w:r>
      <w:r w:rsidRPr="00EC4EC4">
        <w:rPr>
          <w:rFonts w:eastAsia="Times New Roman" w:cs="Times New Roman"/>
          <w:color w:val="000000"/>
          <w:szCs w:val="24"/>
        </w:rPr>
        <w:t>.</w:t>
      </w:r>
    </w:p>
    <w:p w14:paraId="44ADB29D" w14:textId="0CB85CAB" w:rsidR="00140B7C" w:rsidRPr="00EC4EC4" w:rsidRDefault="00140B7C" w:rsidP="00140B7C">
      <w:pPr>
        <w:kinsoku w:val="0"/>
        <w:spacing w:after="240" w:line="240" w:lineRule="auto"/>
        <w:ind w:firstLine="720"/>
        <w:jc w:val="both"/>
        <w:rPr>
          <w:rFonts w:eastAsia="Times New Roman" w:cs="Times New Roman"/>
          <w:b/>
          <w:bCs/>
          <w:szCs w:val="24"/>
        </w:rPr>
      </w:pPr>
      <w:bookmarkStart w:id="202" w:name="_Hlk115683183"/>
      <w:r w:rsidRPr="00EC4EC4">
        <w:rPr>
          <w:rFonts w:cs="Times New Roman"/>
          <w:color w:val="000000"/>
          <w:sz w:val="23"/>
          <w:szCs w:val="23"/>
        </w:rPr>
        <w:t>§</w:t>
      </w:r>
      <w:r>
        <w:rPr>
          <w:rFonts w:cs="Times New Roman"/>
          <w:color w:val="000000"/>
          <w:sz w:val="23"/>
          <w:szCs w:val="23"/>
        </w:rPr>
        <w:t>2</w:t>
      </w:r>
      <w:r w:rsidR="00500235">
        <w:rPr>
          <w:rFonts w:cs="Times New Roman"/>
          <w:color w:val="000000"/>
          <w:sz w:val="23"/>
          <w:szCs w:val="23"/>
        </w:rPr>
        <w:t>42</w:t>
      </w:r>
      <w:r w:rsidRPr="00EC4EC4">
        <w:rPr>
          <w:rFonts w:cs="Times New Roman"/>
          <w:color w:val="000000"/>
          <w:sz w:val="23"/>
          <w:szCs w:val="23"/>
        </w:rPr>
        <w:t>. Section 3114.10 of  the New York city building code, as amended by local law number 126 for the year 2021, is amended to read as follows:</w:t>
      </w:r>
    </w:p>
    <w:bookmarkEnd w:id="202"/>
    <w:p w14:paraId="56AA0507" w14:textId="77777777" w:rsidR="00140B7C" w:rsidRPr="00EC4EC4" w:rsidRDefault="00140B7C" w:rsidP="00140B7C">
      <w:pPr>
        <w:shd w:val="clear" w:color="auto" w:fill="FFFFFF"/>
        <w:spacing w:after="240" w:line="240" w:lineRule="auto"/>
        <w:jc w:val="both"/>
        <w:rPr>
          <w:rFonts w:eastAsia="Times New Roman" w:cs="Times New Roman"/>
          <w:color w:val="000000"/>
          <w:szCs w:val="24"/>
        </w:rPr>
      </w:pPr>
      <w:r w:rsidRPr="00EC4EC4">
        <w:rPr>
          <w:rFonts w:eastAsia="Times New Roman" w:cs="Times New Roman"/>
          <w:b/>
          <w:bCs/>
          <w:color w:val="000000"/>
          <w:szCs w:val="24"/>
        </w:rPr>
        <w:t>[</w:t>
      </w:r>
      <w:r w:rsidRPr="00EC4EC4">
        <w:rPr>
          <w:rFonts w:eastAsia="Times New Roman" w:cs="Times New Roman"/>
          <w:b/>
          <w:bCs/>
          <w:strike/>
          <w:color w:val="000000"/>
          <w:szCs w:val="24"/>
        </w:rPr>
        <w:t>3114.10</w:t>
      </w:r>
      <w:r w:rsidRPr="00EC4EC4">
        <w:rPr>
          <w:rFonts w:eastAsia="Times New Roman" w:cs="Times New Roman"/>
          <w:b/>
          <w:bCs/>
          <w:color w:val="000000"/>
          <w:szCs w:val="24"/>
        </w:rPr>
        <w:t>]</w:t>
      </w:r>
      <w:r w:rsidRPr="00EC4EC4">
        <w:rPr>
          <w:rFonts w:eastAsia="Times New Roman" w:cs="Times New Roman"/>
          <w:b/>
          <w:bCs/>
          <w:color w:val="000000"/>
          <w:szCs w:val="24"/>
          <w:u w:val="single"/>
        </w:rPr>
        <w:t>3114.9</w:t>
      </w:r>
      <w:r w:rsidRPr="00EC4EC4">
        <w:rPr>
          <w:rFonts w:eastAsia="Times New Roman" w:cs="Times New Roman"/>
          <w:b/>
          <w:bCs/>
          <w:color w:val="000000"/>
          <w:szCs w:val="24"/>
        </w:rPr>
        <w:t xml:space="preserve"> Shadow flicker.</w:t>
      </w:r>
      <w:r w:rsidRPr="00EC4EC4">
        <w:rPr>
          <w:rFonts w:eastAsia="Times New Roman" w:cs="Times New Roman"/>
          <w:color w:val="000000"/>
          <w:szCs w:val="24"/>
        </w:rPr>
        <w:t xml:space="preserve"> The commissioner shall by rule establish shadow flicker limitations for large wind turbines for the purpose of limiting, to the extent practicable, such flicker on buildings adjacent to such turbines.</w:t>
      </w:r>
    </w:p>
    <w:p w14:paraId="538FCF22" w14:textId="75F6425C"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w:t>
      </w:r>
      <w:r w:rsidR="00500235">
        <w:rPr>
          <w:rFonts w:cs="Times New Roman"/>
          <w:color w:val="000000"/>
          <w:sz w:val="23"/>
          <w:szCs w:val="23"/>
        </w:rPr>
        <w:t>43</w:t>
      </w:r>
      <w:r w:rsidRPr="00EC4EC4">
        <w:rPr>
          <w:rFonts w:cs="Times New Roman"/>
          <w:color w:val="000000"/>
          <w:sz w:val="23"/>
          <w:szCs w:val="23"/>
        </w:rPr>
        <w:t>. Section 3114.11 of  the New York city building code, as amended by local law number 126 for the year 2021, is amended to read as follows:</w:t>
      </w:r>
    </w:p>
    <w:p w14:paraId="4F0A3347" w14:textId="77777777" w:rsidR="00140B7C" w:rsidRPr="00EC4EC4" w:rsidRDefault="00140B7C" w:rsidP="00140B7C">
      <w:pPr>
        <w:shd w:val="clear" w:color="auto" w:fill="FFFFFF"/>
        <w:spacing w:after="240" w:line="240" w:lineRule="auto"/>
        <w:jc w:val="both"/>
        <w:rPr>
          <w:rFonts w:eastAsia="Times New Roman" w:cs="Times New Roman"/>
          <w:color w:val="000000"/>
          <w:szCs w:val="24"/>
        </w:rPr>
      </w:pPr>
      <w:r w:rsidRPr="00EC4EC4">
        <w:rPr>
          <w:rFonts w:eastAsia="Times New Roman" w:cs="Times New Roman"/>
          <w:b/>
          <w:bCs/>
          <w:color w:val="000000"/>
          <w:szCs w:val="24"/>
        </w:rPr>
        <w:t>[</w:t>
      </w:r>
      <w:r w:rsidRPr="00EC4EC4">
        <w:rPr>
          <w:rFonts w:eastAsia="Times New Roman" w:cs="Times New Roman"/>
          <w:b/>
          <w:bCs/>
          <w:strike/>
          <w:color w:val="000000"/>
          <w:szCs w:val="24"/>
        </w:rPr>
        <w:t>3114.11</w:t>
      </w:r>
      <w:r w:rsidRPr="00EC4EC4">
        <w:rPr>
          <w:rFonts w:eastAsia="Times New Roman" w:cs="Times New Roman"/>
          <w:b/>
          <w:bCs/>
          <w:color w:val="000000"/>
          <w:szCs w:val="24"/>
        </w:rPr>
        <w:t>]</w:t>
      </w:r>
      <w:r w:rsidRPr="00EC4EC4">
        <w:rPr>
          <w:rFonts w:eastAsia="Times New Roman" w:cs="Times New Roman"/>
          <w:b/>
          <w:bCs/>
          <w:color w:val="000000"/>
          <w:szCs w:val="24"/>
          <w:u w:val="single"/>
        </w:rPr>
        <w:t>3114.10</w:t>
      </w:r>
      <w:r w:rsidRPr="00EC4EC4">
        <w:rPr>
          <w:rFonts w:eastAsia="Times New Roman" w:cs="Times New Roman"/>
          <w:b/>
          <w:bCs/>
          <w:color w:val="000000"/>
          <w:szCs w:val="24"/>
        </w:rPr>
        <w:t xml:space="preserve"> Signal interference.</w:t>
      </w:r>
      <w:r w:rsidRPr="00EC4EC4">
        <w:rPr>
          <w:rFonts w:eastAsia="Times New Roman" w:cs="Times New Roman"/>
          <w:color w:val="000000"/>
          <w:szCs w:val="24"/>
        </w:rPr>
        <w:t xml:space="preserve"> The commissioner shall establish rules governing large wind turbines for purpose of minimizing, to the extent practicable, interference by such turbines with radio, telephone, television, cellular or other similar signals.</w:t>
      </w:r>
    </w:p>
    <w:p w14:paraId="555E0229" w14:textId="17767223"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24</w:t>
      </w:r>
      <w:r w:rsidR="00500235">
        <w:rPr>
          <w:rFonts w:cs="Times New Roman"/>
          <w:color w:val="000000"/>
          <w:sz w:val="23"/>
          <w:szCs w:val="23"/>
        </w:rPr>
        <w:t>4</w:t>
      </w:r>
      <w:r w:rsidRPr="00EC4EC4">
        <w:rPr>
          <w:rFonts w:cs="Times New Roman"/>
          <w:color w:val="000000"/>
          <w:sz w:val="23"/>
          <w:szCs w:val="23"/>
        </w:rPr>
        <w:t>. Section 3114.12 of  the New York city building code, as amended by local law number 126 for the year 2021, is amended to read as follows:</w:t>
      </w:r>
    </w:p>
    <w:p w14:paraId="1285B0CB" w14:textId="77777777" w:rsidR="00140B7C" w:rsidRPr="00EC4EC4" w:rsidRDefault="00140B7C" w:rsidP="00140B7C">
      <w:pPr>
        <w:shd w:val="clear" w:color="auto" w:fill="FFFFFF"/>
        <w:spacing w:after="240" w:line="240" w:lineRule="auto"/>
        <w:jc w:val="both"/>
        <w:rPr>
          <w:rFonts w:eastAsia="Times New Roman" w:cs="Times New Roman"/>
          <w:color w:val="000000"/>
          <w:sz w:val="27"/>
          <w:szCs w:val="27"/>
        </w:rPr>
      </w:pPr>
      <w:r w:rsidRPr="00EC4EC4">
        <w:rPr>
          <w:rFonts w:eastAsia="Times New Roman" w:cs="Times New Roman"/>
          <w:b/>
          <w:bCs/>
          <w:color w:val="000000"/>
          <w:szCs w:val="24"/>
        </w:rPr>
        <w:lastRenderedPageBreak/>
        <w:t>[</w:t>
      </w:r>
      <w:r w:rsidRPr="00EC4EC4">
        <w:rPr>
          <w:rFonts w:eastAsia="Times New Roman" w:cs="Times New Roman"/>
          <w:b/>
          <w:bCs/>
          <w:strike/>
          <w:color w:val="000000"/>
          <w:szCs w:val="24"/>
        </w:rPr>
        <w:t>3114.12</w:t>
      </w:r>
      <w:r w:rsidRPr="00EC4EC4">
        <w:rPr>
          <w:rFonts w:eastAsia="Times New Roman" w:cs="Times New Roman"/>
          <w:b/>
          <w:bCs/>
          <w:color w:val="000000"/>
          <w:szCs w:val="24"/>
        </w:rPr>
        <w:t>]</w:t>
      </w:r>
      <w:r w:rsidRPr="00EC4EC4">
        <w:rPr>
          <w:rFonts w:eastAsia="Times New Roman" w:cs="Times New Roman"/>
          <w:b/>
          <w:bCs/>
          <w:color w:val="000000"/>
          <w:szCs w:val="24"/>
          <w:u w:val="single"/>
        </w:rPr>
        <w:t>3114.11</w:t>
      </w:r>
      <w:r w:rsidRPr="00EC4EC4">
        <w:rPr>
          <w:rFonts w:eastAsia="Times New Roman" w:cs="Times New Roman"/>
          <w:b/>
          <w:bCs/>
          <w:color w:val="000000"/>
          <w:szCs w:val="24"/>
        </w:rPr>
        <w:t xml:space="preserve"> Setback.</w:t>
      </w:r>
      <w:r w:rsidRPr="00EC4EC4">
        <w:rPr>
          <w:rFonts w:eastAsia="Times New Roman" w:cs="Times New Roman"/>
          <w:color w:val="000000"/>
          <w:szCs w:val="24"/>
        </w:rPr>
        <w:t xml:space="preserve"> No part of a large wind turbine or large wind turbine tower shall be located within a horizontal distance of a property line that is equal or less than one-half the height of such turbine, including such tower, measured from the base of such tower or, if there is no such tower, the base of such turbine.</w:t>
      </w:r>
    </w:p>
    <w:p w14:paraId="2DDC23AE" w14:textId="77777777" w:rsidR="00140B7C" w:rsidRPr="00EC4EC4" w:rsidRDefault="00140B7C" w:rsidP="00140B7C">
      <w:pPr>
        <w:shd w:val="clear" w:color="auto" w:fill="FFFFFF"/>
        <w:spacing w:after="240" w:line="240" w:lineRule="auto"/>
        <w:ind w:left="360"/>
        <w:jc w:val="both"/>
        <w:rPr>
          <w:rFonts w:eastAsia="Times New Roman" w:cs="Times New Roman"/>
          <w:color w:val="000000"/>
          <w:sz w:val="27"/>
          <w:szCs w:val="27"/>
        </w:rPr>
      </w:pPr>
      <w:r w:rsidRPr="00EC4EC4">
        <w:rPr>
          <w:rFonts w:eastAsia="Times New Roman" w:cs="Times New Roman"/>
          <w:b/>
          <w:bCs/>
          <w:color w:val="000000"/>
          <w:szCs w:val="24"/>
        </w:rPr>
        <w:t>Exception:</w:t>
      </w:r>
      <w:r w:rsidRPr="00EC4EC4">
        <w:rPr>
          <w:rFonts w:eastAsia="Times New Roman" w:cs="Times New Roman"/>
          <w:color w:val="000000"/>
          <w:szCs w:val="24"/>
        </w:rPr>
        <w:t xml:space="preserve"> A turbine or tower for which each owner of property adjacent to such property line has entered into a written agreement providing that such turbine or tower or a part thereof may be located closer to such property line than this section allows.</w:t>
      </w:r>
    </w:p>
    <w:p w14:paraId="71518C12" w14:textId="333B750D" w:rsidR="00140B7C" w:rsidRPr="00214F8C" w:rsidRDefault="00140B7C" w:rsidP="00140B7C">
      <w:pPr>
        <w:pStyle w:val="DoubleSpaceParagaph"/>
        <w:spacing w:line="240" w:lineRule="auto"/>
        <w:ind w:firstLine="720"/>
      </w:pPr>
      <w:bookmarkStart w:id="203" w:name="_Toc389738765"/>
      <w:bookmarkStart w:id="204" w:name="_Toc389747327"/>
      <w:r w:rsidRPr="00214F8C">
        <w:rPr>
          <w:color w:val="000000"/>
          <w:sz w:val="23"/>
          <w:szCs w:val="23"/>
        </w:rPr>
        <w:t>§24</w:t>
      </w:r>
      <w:r w:rsidR="00EF38BE">
        <w:rPr>
          <w:color w:val="000000"/>
          <w:sz w:val="23"/>
          <w:szCs w:val="23"/>
        </w:rPr>
        <w:t>5</w:t>
      </w:r>
      <w:r w:rsidRPr="00214F8C">
        <w:rPr>
          <w:color w:val="000000"/>
          <w:sz w:val="23"/>
          <w:szCs w:val="23"/>
        </w:rPr>
        <w:t>. Section 3202.1.6</w:t>
      </w:r>
      <w:r w:rsidRPr="00214F8C">
        <w:t xml:space="preserve"> of the New York city building code, as added by local law number 126 for the year 2021, is amended to read as follows:</w:t>
      </w:r>
    </w:p>
    <w:p w14:paraId="607781C7" w14:textId="77777777" w:rsidR="00140B7C" w:rsidRPr="00214F8C" w:rsidRDefault="00140B7C" w:rsidP="00140B7C">
      <w:pPr>
        <w:autoSpaceDE w:val="0"/>
        <w:autoSpaceDN w:val="0"/>
        <w:adjustRightInd w:val="0"/>
        <w:spacing w:after="0" w:line="240" w:lineRule="auto"/>
        <w:ind w:left="360"/>
        <w:jc w:val="both"/>
        <w:rPr>
          <w:rFonts w:eastAsia="Times New Roman" w:cs="Times New Roman"/>
          <w:b/>
          <w:bCs/>
          <w:szCs w:val="24"/>
        </w:rPr>
      </w:pPr>
    </w:p>
    <w:p w14:paraId="63BA9737" w14:textId="77777777" w:rsidR="00140B7C" w:rsidRPr="00561D4D" w:rsidRDefault="00140B7C" w:rsidP="00140B7C">
      <w:pPr>
        <w:autoSpaceDE w:val="0"/>
        <w:autoSpaceDN w:val="0"/>
        <w:adjustRightInd w:val="0"/>
        <w:spacing w:after="240" w:line="240" w:lineRule="auto"/>
        <w:jc w:val="both"/>
        <w:rPr>
          <w:rFonts w:eastAsia="Times New Roman" w:cs="Times New Roman"/>
          <w:bCs/>
          <w:szCs w:val="28"/>
          <w:u w:val="single"/>
        </w:rPr>
      </w:pPr>
      <w:r w:rsidRPr="00214F8C">
        <w:rPr>
          <w:rFonts w:eastAsia="Times New Roman" w:cs="Times New Roman"/>
          <w:b/>
          <w:bCs/>
          <w:szCs w:val="28"/>
        </w:rPr>
        <w:t xml:space="preserve">3202.1.6 Insulation. </w:t>
      </w:r>
      <w:r w:rsidRPr="00214F8C">
        <w:rPr>
          <w:rFonts w:eastAsia="Times New Roman" w:cs="Times New Roman"/>
          <w:bCs/>
          <w:szCs w:val="28"/>
        </w:rPr>
        <w:t>Insulation [</w:t>
      </w:r>
      <w:r w:rsidRPr="00214F8C">
        <w:rPr>
          <w:rFonts w:eastAsia="Times New Roman" w:cs="Times New Roman"/>
          <w:bCs/>
          <w:strike/>
          <w:szCs w:val="28"/>
        </w:rPr>
        <w:t xml:space="preserve">required to comply with the </w:t>
      </w:r>
      <w:r w:rsidRPr="00214F8C">
        <w:rPr>
          <w:rFonts w:eastAsia="Times New Roman" w:cs="Times New Roman"/>
          <w:bCs/>
          <w:i/>
          <w:strike/>
          <w:szCs w:val="28"/>
        </w:rPr>
        <w:t>New York City Energy Conservation Code</w:t>
      </w:r>
      <w:r w:rsidRPr="00214F8C">
        <w:rPr>
          <w:rFonts w:eastAsia="Times New Roman" w:cs="Times New Roman"/>
          <w:bCs/>
          <w:szCs w:val="28"/>
        </w:rPr>
        <w:t>] shall be permitted to encroach into the public right of way not more than 6 inches (152 mm) beyond the face of the structural element being insulated</w:t>
      </w:r>
      <w:r w:rsidRPr="00214F8C">
        <w:rPr>
          <w:rFonts w:eastAsia="Times New Roman" w:cs="Times New Roman"/>
          <w:bCs/>
          <w:szCs w:val="28"/>
          <w:u w:val="single"/>
        </w:rPr>
        <w:t>, in accordance with the following:</w:t>
      </w:r>
    </w:p>
    <w:p w14:paraId="084816B7" w14:textId="348E2EE0" w:rsidR="00140B7C" w:rsidRPr="00F44D84" w:rsidRDefault="00140B7C" w:rsidP="00140B7C">
      <w:pPr>
        <w:kinsoku w:val="0"/>
        <w:autoSpaceDE w:val="0"/>
        <w:autoSpaceDN w:val="0"/>
        <w:adjustRightInd w:val="0"/>
        <w:spacing w:after="240" w:line="240" w:lineRule="auto"/>
        <w:ind w:left="990" w:hanging="270"/>
        <w:jc w:val="both"/>
        <w:rPr>
          <w:rFonts w:eastAsia="Times New Roman" w:cs="Times New Roman"/>
          <w:color w:val="000000"/>
          <w:spacing w:val="1"/>
          <w:szCs w:val="24"/>
          <w:u w:val="single"/>
        </w:rPr>
      </w:pPr>
      <w:r w:rsidRPr="00F44D84">
        <w:rPr>
          <w:rFonts w:eastAsia="Times New Roman" w:cs="Times New Roman"/>
          <w:color w:val="000000"/>
          <w:spacing w:val="1"/>
          <w:szCs w:val="24"/>
          <w:u w:val="single"/>
        </w:rPr>
        <w:t xml:space="preserve">1. The insulation is </w:t>
      </w:r>
      <w:r w:rsidR="00721660">
        <w:rPr>
          <w:rFonts w:eastAsia="Times New Roman" w:cs="Times New Roman"/>
          <w:color w:val="000000"/>
          <w:spacing w:val="1"/>
          <w:szCs w:val="24"/>
          <w:u w:val="single"/>
        </w:rPr>
        <w:t>necessary to</w:t>
      </w:r>
      <w:r w:rsidRPr="00F44D84">
        <w:rPr>
          <w:rFonts w:eastAsia="Times New Roman" w:cs="Times New Roman"/>
          <w:color w:val="000000"/>
          <w:spacing w:val="1"/>
          <w:szCs w:val="24"/>
          <w:u w:val="single"/>
        </w:rPr>
        <w:t xml:space="preserve"> comply with the </w:t>
      </w:r>
      <w:r w:rsidRPr="00062BAF">
        <w:rPr>
          <w:rFonts w:eastAsia="Times New Roman" w:cs="Times New Roman"/>
          <w:i/>
          <w:iCs/>
          <w:color w:val="000000"/>
          <w:spacing w:val="1"/>
          <w:szCs w:val="24"/>
          <w:u w:val="single"/>
        </w:rPr>
        <w:t>New York City Energy Conservation</w:t>
      </w:r>
      <w:r w:rsidRPr="00F44D84">
        <w:rPr>
          <w:rFonts w:eastAsia="Times New Roman" w:cs="Times New Roman"/>
          <w:color w:val="000000"/>
          <w:spacing w:val="1"/>
          <w:szCs w:val="24"/>
          <w:u w:val="single"/>
        </w:rPr>
        <w:t xml:space="preserve"> Code; or</w:t>
      </w:r>
    </w:p>
    <w:p w14:paraId="509C1603" w14:textId="77777777" w:rsidR="00140B7C" w:rsidRPr="00F44D84" w:rsidRDefault="00140B7C" w:rsidP="00140B7C">
      <w:pPr>
        <w:kinsoku w:val="0"/>
        <w:autoSpaceDE w:val="0"/>
        <w:autoSpaceDN w:val="0"/>
        <w:adjustRightInd w:val="0"/>
        <w:spacing w:after="240" w:line="240" w:lineRule="auto"/>
        <w:ind w:left="990" w:hanging="270"/>
        <w:jc w:val="both"/>
        <w:rPr>
          <w:rFonts w:eastAsia="Times New Roman" w:cs="Times New Roman"/>
          <w:color w:val="000000"/>
          <w:spacing w:val="1"/>
          <w:szCs w:val="24"/>
          <w:u w:val="single"/>
        </w:rPr>
      </w:pPr>
      <w:r w:rsidRPr="00F44D84">
        <w:rPr>
          <w:rFonts w:eastAsia="Times New Roman" w:cs="Times New Roman"/>
          <w:color w:val="000000"/>
          <w:spacing w:val="1"/>
          <w:szCs w:val="24"/>
          <w:u w:val="single"/>
        </w:rPr>
        <w:t xml:space="preserve">2. In existing buildings, the installation of the insulation will reduce greenhouse gas emissions, as demonstrated by achieving not less than a thirty percent reduction of the existing thermal envelope UA (the area-weighted average of assembly u-factors, as defined in the New York City Energy Conservation Code) as compared to the improved thermal envelope UA.  For the purposes of calculating the reduction in the thermal envelope UA, the improved thermal envelope UA is the area-weighted average of the proposed opaque U-factor times the alteration area of the opaque wall assembly compared to the area-weighted average UA of the existing wall assembly.  The UA calculation shall be performed using a method consistent with the </w:t>
      </w:r>
      <w:r w:rsidRPr="00062BAF">
        <w:rPr>
          <w:rFonts w:eastAsia="Times New Roman" w:cs="Times New Roman"/>
          <w:i/>
          <w:iCs/>
          <w:color w:val="000000"/>
          <w:spacing w:val="1"/>
          <w:szCs w:val="24"/>
          <w:u w:val="single"/>
        </w:rPr>
        <w:t>New York City Energy Conservation Code</w:t>
      </w:r>
      <w:r w:rsidRPr="00F44D84">
        <w:rPr>
          <w:rFonts w:eastAsia="Times New Roman" w:cs="Times New Roman"/>
          <w:color w:val="000000"/>
          <w:spacing w:val="1"/>
          <w:szCs w:val="24"/>
          <w:u w:val="single"/>
        </w:rPr>
        <w:t>.</w:t>
      </w:r>
    </w:p>
    <w:p w14:paraId="0F055F63" w14:textId="77777777" w:rsidR="00140B7C" w:rsidRPr="00805CE3" w:rsidRDefault="00140B7C" w:rsidP="00140B7C">
      <w:pPr>
        <w:autoSpaceDE w:val="0"/>
        <w:autoSpaceDN w:val="0"/>
        <w:adjustRightInd w:val="0"/>
        <w:spacing w:after="0" w:line="240" w:lineRule="auto"/>
        <w:jc w:val="both"/>
        <w:rPr>
          <w:rFonts w:eastAsia="Times New Roman" w:cs="Times New Roman"/>
          <w:b/>
          <w:bCs/>
          <w:szCs w:val="24"/>
          <w:u w:val="single"/>
        </w:rPr>
      </w:pPr>
    </w:p>
    <w:p w14:paraId="5C291AD3" w14:textId="77777777" w:rsidR="00140B7C" w:rsidRPr="00EC4EC4" w:rsidRDefault="00140B7C" w:rsidP="00140B7C">
      <w:pPr>
        <w:autoSpaceDE w:val="0"/>
        <w:autoSpaceDN w:val="0"/>
        <w:adjustRightInd w:val="0"/>
        <w:spacing w:after="0" w:line="240" w:lineRule="auto"/>
        <w:jc w:val="both"/>
        <w:rPr>
          <w:rFonts w:eastAsia="Times New Roman" w:cs="Times New Roman"/>
          <w:bCs/>
          <w:szCs w:val="24"/>
        </w:rPr>
      </w:pPr>
    </w:p>
    <w:p w14:paraId="2FF703E5" w14:textId="0B6D23E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24</w:t>
      </w:r>
      <w:r w:rsidR="00EF38BE">
        <w:rPr>
          <w:rFonts w:cs="Times New Roman"/>
          <w:color w:val="000000"/>
          <w:sz w:val="23"/>
          <w:szCs w:val="23"/>
        </w:rPr>
        <w:t>6</w:t>
      </w:r>
      <w:r w:rsidRPr="00EC4EC4">
        <w:rPr>
          <w:rFonts w:cs="Times New Roman"/>
          <w:color w:val="000000"/>
          <w:sz w:val="23"/>
          <w:szCs w:val="23"/>
        </w:rPr>
        <w:t>. Section 3202.2.1.2 of  the New York city building code, as amended by local law number 126 for the year 2021, is amended to read as follows:</w:t>
      </w:r>
    </w:p>
    <w:bookmarkEnd w:id="203"/>
    <w:bookmarkEnd w:id="204"/>
    <w:p w14:paraId="325D299B" w14:textId="77777777" w:rsidR="00140B7C" w:rsidRPr="00EC4EC4" w:rsidRDefault="00140B7C" w:rsidP="00140B7C">
      <w:pPr>
        <w:autoSpaceDE w:val="0"/>
        <w:autoSpaceDN w:val="0"/>
        <w:adjustRightInd w:val="0"/>
        <w:spacing w:after="240" w:line="240" w:lineRule="auto"/>
        <w:jc w:val="both"/>
        <w:rPr>
          <w:rFonts w:eastAsia="Times New Roman" w:cs="Times New Roman"/>
          <w:color w:val="000000"/>
          <w:spacing w:val="2"/>
          <w:szCs w:val="24"/>
        </w:rPr>
      </w:pPr>
      <w:r w:rsidRPr="00EC4EC4">
        <w:rPr>
          <w:rFonts w:eastAsia="Times New Roman" w:cs="Times New Roman"/>
          <w:b/>
          <w:color w:val="000000"/>
          <w:szCs w:val="24"/>
        </w:rPr>
        <w:t>3202.2.1.2 Architectural details.</w:t>
      </w:r>
      <w:r w:rsidRPr="00EC4EC4">
        <w:rPr>
          <w:rFonts w:eastAsia="Times New Roman" w:cs="Times New Roman"/>
          <w:b/>
          <w:bCs/>
          <w:color w:val="000000"/>
          <w:spacing w:val="-4"/>
          <w:w w:val="110"/>
          <w:szCs w:val="24"/>
        </w:rPr>
        <w:t xml:space="preserve"> </w:t>
      </w:r>
      <w:r w:rsidRPr="00EC4EC4">
        <w:rPr>
          <w:rFonts w:eastAsia="Times New Roman" w:cs="Times New Roman"/>
          <w:color w:val="000000"/>
          <w:spacing w:val="1"/>
          <w:szCs w:val="24"/>
        </w:rPr>
        <w:t>Details such as cor</w:t>
      </w:r>
      <w:r w:rsidRPr="00EC4EC4">
        <w:rPr>
          <w:rFonts w:eastAsia="Times New Roman" w:cs="Times New Roman"/>
          <w:color w:val="000000"/>
          <w:spacing w:val="1"/>
          <w:szCs w:val="24"/>
        </w:rPr>
        <w:softHyphen/>
        <w:t>nices, eaves, bases, sills, headers, band course, opening frames, rustications, applied ornament or sculpture, grilles, windows when fully open, air conditioning units, and other similar elements may be constructed:</w:t>
      </w:r>
    </w:p>
    <w:p w14:paraId="3B11E8BD" w14:textId="77777777" w:rsidR="00140B7C" w:rsidRPr="00EC4EC4" w:rsidRDefault="00140B7C" w:rsidP="00140B7C">
      <w:pPr>
        <w:kinsoku w:val="0"/>
        <w:autoSpaceDE w:val="0"/>
        <w:autoSpaceDN w:val="0"/>
        <w:adjustRightInd w:val="0"/>
        <w:spacing w:after="240" w:line="240" w:lineRule="auto"/>
        <w:ind w:left="504"/>
        <w:jc w:val="both"/>
        <w:rPr>
          <w:rFonts w:eastAsia="Times New Roman" w:cs="Times New Roman"/>
          <w:color w:val="000000"/>
          <w:spacing w:val="1"/>
          <w:szCs w:val="24"/>
        </w:rPr>
      </w:pPr>
      <w:r>
        <w:rPr>
          <w:rFonts w:eastAsia="Times New Roman" w:cs="Times New Roman"/>
          <w:color w:val="000000"/>
          <w:spacing w:val="1"/>
          <w:szCs w:val="24"/>
        </w:rPr>
        <w:t xml:space="preserve">1. </w:t>
      </w:r>
      <w:r w:rsidRPr="00EC4EC4">
        <w:rPr>
          <w:rFonts w:eastAsia="Times New Roman" w:cs="Times New Roman"/>
          <w:color w:val="000000"/>
          <w:spacing w:val="1"/>
          <w:szCs w:val="24"/>
        </w:rPr>
        <w:t>To project not more than 4 inches (102 mm) beyond the street line when less than 10 feet (3048 mm) above the ground or sidewalk level.</w:t>
      </w:r>
    </w:p>
    <w:p w14:paraId="391A74CD" w14:textId="77777777" w:rsidR="00140B7C" w:rsidRPr="00EC4EC4" w:rsidRDefault="00140B7C" w:rsidP="00140B7C">
      <w:pPr>
        <w:kinsoku w:val="0"/>
        <w:autoSpaceDE w:val="0"/>
        <w:autoSpaceDN w:val="0"/>
        <w:adjustRightInd w:val="0"/>
        <w:spacing w:after="240" w:line="240" w:lineRule="auto"/>
        <w:ind w:left="504"/>
        <w:jc w:val="both"/>
        <w:rPr>
          <w:rFonts w:eastAsia="Times New Roman" w:cs="Times New Roman"/>
          <w:color w:val="000000"/>
          <w:spacing w:val="1"/>
          <w:szCs w:val="24"/>
        </w:rPr>
      </w:pPr>
      <w:r>
        <w:rPr>
          <w:rFonts w:eastAsia="Times New Roman" w:cs="Times New Roman"/>
          <w:color w:val="000000"/>
          <w:spacing w:val="1"/>
          <w:szCs w:val="24"/>
        </w:rPr>
        <w:t xml:space="preserve">2. </w:t>
      </w:r>
      <w:r w:rsidRPr="00EC4EC4">
        <w:rPr>
          <w:rFonts w:eastAsia="Times New Roman" w:cs="Times New Roman"/>
          <w:color w:val="000000"/>
          <w:spacing w:val="1"/>
          <w:szCs w:val="24"/>
        </w:rPr>
        <w:t>To project not more than 10 inches (254 mm) beyond the street line when more than 10 feet (3048 mm) above the ground or sidewalk level.</w:t>
      </w:r>
    </w:p>
    <w:p w14:paraId="46FFA3A8" w14:textId="77777777" w:rsidR="00140B7C" w:rsidRPr="00EC4EC4" w:rsidRDefault="00140B7C" w:rsidP="00140B7C">
      <w:pPr>
        <w:autoSpaceDE w:val="0"/>
        <w:autoSpaceDN w:val="0"/>
        <w:adjustRightInd w:val="0"/>
        <w:spacing w:after="240" w:line="240" w:lineRule="auto"/>
        <w:ind w:left="1440"/>
        <w:jc w:val="both"/>
        <w:rPr>
          <w:rFonts w:eastAsia="Times New Roman" w:cs="Times New Roman"/>
          <w:b/>
          <w:bCs/>
          <w:color w:val="000000"/>
          <w:szCs w:val="24"/>
        </w:rPr>
      </w:pPr>
      <w:r w:rsidRPr="00EC4EC4">
        <w:rPr>
          <w:rFonts w:eastAsia="Times New Roman" w:cs="Times New Roman"/>
          <w:b/>
          <w:bCs/>
          <w:color w:val="000000"/>
          <w:szCs w:val="24"/>
        </w:rPr>
        <w:t xml:space="preserve">Exceptions: </w:t>
      </w:r>
    </w:p>
    <w:p w14:paraId="58362CEF" w14:textId="77777777" w:rsidR="00140B7C" w:rsidRPr="00EC4EC4" w:rsidRDefault="00140B7C" w:rsidP="00140B7C">
      <w:pPr>
        <w:autoSpaceDE w:val="0"/>
        <w:autoSpaceDN w:val="0"/>
        <w:adjustRightInd w:val="0"/>
        <w:spacing w:after="240" w:line="240" w:lineRule="auto"/>
        <w:ind w:left="2160" w:hanging="360"/>
        <w:jc w:val="both"/>
        <w:rPr>
          <w:rFonts w:eastAsia="Times New Roman" w:cs="Times New Roman"/>
          <w:b/>
          <w:bCs/>
          <w:color w:val="000000"/>
          <w:szCs w:val="24"/>
        </w:rPr>
      </w:pPr>
      <w:r w:rsidRPr="00EC4EC4">
        <w:rPr>
          <w:rFonts w:eastAsia="Times New Roman" w:cs="Times New Roman"/>
          <w:color w:val="000000"/>
          <w:szCs w:val="24"/>
        </w:rPr>
        <w:t>1.</w:t>
      </w:r>
      <w:r w:rsidRPr="00EC4EC4">
        <w:rPr>
          <w:rFonts w:eastAsia="Times New Roman" w:cs="Times New Roman"/>
          <w:color w:val="000000"/>
          <w:szCs w:val="24"/>
        </w:rPr>
        <w:tab/>
        <w:t>Replacement or restoration of historical architectural details that are, or were:</w:t>
      </w:r>
    </w:p>
    <w:p w14:paraId="3166C2EA" w14:textId="77777777" w:rsidR="00140B7C" w:rsidRPr="00EC4EC4" w:rsidRDefault="00140B7C" w:rsidP="00226293">
      <w:pPr>
        <w:numPr>
          <w:ilvl w:val="1"/>
          <w:numId w:val="17"/>
        </w:numPr>
        <w:tabs>
          <w:tab w:val="left" w:pos="-3150"/>
        </w:tabs>
        <w:autoSpaceDE w:val="0"/>
        <w:autoSpaceDN w:val="0"/>
        <w:adjustRightInd w:val="0"/>
        <w:spacing w:after="240" w:line="240" w:lineRule="auto"/>
        <w:ind w:left="2700" w:hanging="540"/>
        <w:jc w:val="both"/>
        <w:rPr>
          <w:rFonts w:eastAsia="Times New Roman" w:cs="Times New Roman"/>
          <w:color w:val="000000"/>
          <w:szCs w:val="24"/>
        </w:rPr>
      </w:pPr>
      <w:r w:rsidRPr="00EC4EC4">
        <w:rPr>
          <w:rFonts w:eastAsia="Times New Roman" w:cs="Times New Roman"/>
          <w:color w:val="000000"/>
          <w:szCs w:val="24"/>
        </w:rPr>
        <w:t>[</w:t>
      </w:r>
      <w:r w:rsidRPr="00EC4EC4">
        <w:rPr>
          <w:rFonts w:eastAsia="Times New Roman" w:cs="Times New Roman"/>
          <w:strike/>
          <w:color w:val="000000"/>
          <w:szCs w:val="24"/>
        </w:rPr>
        <w:t>located</w:t>
      </w:r>
      <w:r w:rsidRPr="00EC4EC4">
        <w:rPr>
          <w:rFonts w:eastAsia="Times New Roman" w:cs="Times New Roman"/>
          <w:color w:val="000000"/>
          <w:szCs w:val="24"/>
        </w:rPr>
        <w:t>]</w:t>
      </w:r>
      <w:r w:rsidRPr="00EC4EC4">
        <w:rPr>
          <w:rFonts w:eastAsia="Times New Roman" w:cs="Times New Roman"/>
          <w:color w:val="000000"/>
          <w:szCs w:val="24"/>
          <w:u w:val="single"/>
        </w:rPr>
        <w:t>Located</w:t>
      </w:r>
      <w:r w:rsidRPr="00EC4EC4">
        <w:rPr>
          <w:rFonts w:eastAsia="Times New Roman" w:cs="Times New Roman"/>
          <w:color w:val="000000"/>
          <w:szCs w:val="24"/>
        </w:rPr>
        <w:t xml:space="preserve"> more than 10 feet (3048 mm) above the sidewalk and that project more than 10 inches (254 mm), on existing buildings or structures designated by the Landmarks Preservation Commission, may be permitted provided they do not exceed the historic projections and provided that they are approved by the Landmarks Preservation Commission; or</w:t>
      </w:r>
    </w:p>
    <w:p w14:paraId="4E5048AC" w14:textId="77777777" w:rsidR="00140B7C" w:rsidRPr="00EC4EC4" w:rsidRDefault="00140B7C" w:rsidP="00226293">
      <w:pPr>
        <w:numPr>
          <w:ilvl w:val="1"/>
          <w:numId w:val="17"/>
        </w:numPr>
        <w:tabs>
          <w:tab w:val="left" w:pos="-3150"/>
        </w:tabs>
        <w:autoSpaceDE w:val="0"/>
        <w:autoSpaceDN w:val="0"/>
        <w:adjustRightInd w:val="0"/>
        <w:spacing w:after="240" w:line="240" w:lineRule="auto"/>
        <w:ind w:left="2700" w:hanging="540"/>
        <w:jc w:val="both"/>
        <w:rPr>
          <w:rFonts w:eastAsia="Times New Roman" w:cs="Times New Roman"/>
          <w:color w:val="000000"/>
          <w:szCs w:val="24"/>
        </w:rPr>
      </w:pPr>
      <w:r w:rsidRPr="00EC4EC4">
        <w:rPr>
          <w:rFonts w:eastAsia="Times New Roman" w:cs="Times New Roman"/>
          <w:color w:val="000000"/>
          <w:szCs w:val="24"/>
        </w:rPr>
        <w:t>[</w:t>
      </w:r>
      <w:r w:rsidRPr="00EC4EC4">
        <w:rPr>
          <w:rFonts w:eastAsia="Times New Roman" w:cs="Times New Roman"/>
          <w:strike/>
          <w:color w:val="000000"/>
          <w:szCs w:val="24"/>
        </w:rPr>
        <w:t>located</w:t>
      </w:r>
      <w:r w:rsidRPr="00EC4EC4">
        <w:rPr>
          <w:rFonts w:eastAsia="Times New Roman" w:cs="Times New Roman"/>
          <w:color w:val="000000"/>
          <w:szCs w:val="24"/>
        </w:rPr>
        <w:t>]</w:t>
      </w:r>
      <w:r w:rsidRPr="00EC4EC4">
        <w:rPr>
          <w:rFonts w:eastAsia="Times New Roman" w:cs="Times New Roman"/>
          <w:color w:val="000000"/>
          <w:szCs w:val="24"/>
          <w:u w:val="single"/>
        </w:rPr>
        <w:t>Located</w:t>
      </w:r>
      <w:r w:rsidRPr="00EC4EC4">
        <w:rPr>
          <w:rFonts w:eastAsia="Times New Roman" w:cs="Times New Roman"/>
          <w:color w:val="000000"/>
          <w:szCs w:val="24"/>
        </w:rPr>
        <w:t xml:space="preserve"> 10 feet (3048 mm) or less above the sidewalk, and that project more than 4 inches (102 mm), on existing buildings or structures designated by the Landmarks Preservation Commission, may be permitted provided they do not exceed the historic projections and provided that they are approved by the Landmarks Preservation Commission, and further provided that if the projection exceeds 18 inches (457 mm), the applicant demonstrates to the Department of Transportation’s satisfaction that the replacement or restoration will not adversely impact the use of the public right of way. </w:t>
      </w:r>
    </w:p>
    <w:p w14:paraId="7900DB21" w14:textId="77777777" w:rsidR="00140B7C" w:rsidRPr="00EC4EC4" w:rsidRDefault="00140B7C" w:rsidP="00140B7C">
      <w:pPr>
        <w:autoSpaceDE w:val="0"/>
        <w:autoSpaceDN w:val="0"/>
        <w:adjustRightInd w:val="0"/>
        <w:spacing w:after="240" w:line="240" w:lineRule="auto"/>
        <w:ind w:left="2160" w:hanging="360"/>
        <w:jc w:val="both"/>
        <w:rPr>
          <w:rFonts w:eastAsia="Times New Roman" w:cs="Times New Roman"/>
          <w:color w:val="000000"/>
          <w:spacing w:val="1"/>
          <w:szCs w:val="24"/>
        </w:rPr>
      </w:pPr>
      <w:r w:rsidRPr="00EC4EC4">
        <w:rPr>
          <w:rFonts w:eastAsia="Times New Roman" w:cs="Times New Roman"/>
          <w:color w:val="000000"/>
          <w:szCs w:val="24"/>
        </w:rPr>
        <w:t>2.</w:t>
      </w:r>
      <w:r w:rsidRPr="00EC4EC4">
        <w:rPr>
          <w:rFonts w:eastAsia="Times New Roman" w:cs="Times New Roman"/>
          <w:color w:val="000000"/>
          <w:szCs w:val="24"/>
        </w:rPr>
        <w:tab/>
        <w:t xml:space="preserve">New architectural details on new or existing buildings, additions or structures subject to the jurisdiction of the Landmarks Preservation Commission, that are more than 10 feet (3048 mm) above the sidewalk and that project more than 10 inches (254 mm) and no more than 3 feet (914 mm), may be permitted provided that the Landmarks Preservation </w:t>
      </w:r>
      <w:r w:rsidRPr="00EC4EC4">
        <w:rPr>
          <w:rFonts w:eastAsia="Times New Roman" w:cs="Times New Roman"/>
          <w:color w:val="000000"/>
          <w:szCs w:val="24"/>
        </w:rPr>
        <w:lastRenderedPageBreak/>
        <w:t xml:space="preserve">Commission finds that the proposed detail is appropriate to the historic character of the historic district or landmarked building, structure or site. </w:t>
      </w:r>
    </w:p>
    <w:p w14:paraId="30E3695D" w14:textId="2A4157B6"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24</w:t>
      </w:r>
      <w:r w:rsidR="00EF38BE">
        <w:rPr>
          <w:rFonts w:cs="Times New Roman"/>
          <w:color w:val="000000"/>
          <w:sz w:val="23"/>
          <w:szCs w:val="23"/>
        </w:rPr>
        <w:t>7</w:t>
      </w:r>
      <w:r w:rsidRPr="00EC4EC4">
        <w:rPr>
          <w:rFonts w:cs="Times New Roman"/>
          <w:color w:val="000000"/>
          <w:sz w:val="23"/>
          <w:szCs w:val="23"/>
        </w:rPr>
        <w:t xml:space="preserve">. Section 3202.2.1.9 of  the New York city building code, as </w:t>
      </w:r>
      <w:r>
        <w:rPr>
          <w:rFonts w:cs="Times New Roman"/>
          <w:color w:val="000000"/>
          <w:sz w:val="23"/>
          <w:szCs w:val="23"/>
        </w:rPr>
        <w:t>amended</w:t>
      </w:r>
      <w:r w:rsidRPr="00EC4EC4">
        <w:rPr>
          <w:rFonts w:cs="Times New Roman"/>
          <w:color w:val="000000"/>
          <w:sz w:val="23"/>
          <w:szCs w:val="23"/>
        </w:rPr>
        <w:t xml:space="preserve"> by local law number </w:t>
      </w:r>
      <w:r>
        <w:rPr>
          <w:rFonts w:cs="Times New Roman"/>
          <w:color w:val="000000"/>
          <w:sz w:val="23"/>
          <w:szCs w:val="23"/>
        </w:rPr>
        <w:t>126</w:t>
      </w:r>
      <w:r w:rsidRPr="00EC4EC4">
        <w:rPr>
          <w:rFonts w:cs="Times New Roman"/>
          <w:color w:val="000000"/>
          <w:sz w:val="23"/>
          <w:szCs w:val="23"/>
        </w:rPr>
        <w:t xml:space="preserve"> for the year </w:t>
      </w:r>
      <w:r>
        <w:rPr>
          <w:rFonts w:cs="Times New Roman"/>
          <w:color w:val="000000"/>
          <w:sz w:val="23"/>
          <w:szCs w:val="23"/>
        </w:rPr>
        <w:t>2021</w:t>
      </w:r>
      <w:r w:rsidRPr="00EC4EC4">
        <w:rPr>
          <w:rFonts w:cs="Times New Roman"/>
          <w:color w:val="000000"/>
          <w:sz w:val="23"/>
          <w:szCs w:val="23"/>
        </w:rPr>
        <w:t>, is amended to read as follows:</w:t>
      </w:r>
    </w:p>
    <w:p w14:paraId="1F4DEFAD" w14:textId="77777777" w:rsidR="00140B7C" w:rsidRPr="00EC4EC4" w:rsidRDefault="00140B7C" w:rsidP="00140B7C">
      <w:pPr>
        <w:tabs>
          <w:tab w:val="left" w:pos="720"/>
        </w:tabs>
        <w:autoSpaceDE w:val="0"/>
        <w:autoSpaceDN w:val="0"/>
        <w:adjustRightInd w:val="0"/>
        <w:spacing w:after="240" w:line="240" w:lineRule="auto"/>
        <w:jc w:val="both"/>
        <w:rPr>
          <w:rFonts w:eastAsia="Times New Roman" w:cs="Times New Roman"/>
          <w:color w:val="000000"/>
          <w:spacing w:val="2"/>
          <w:szCs w:val="24"/>
        </w:rPr>
      </w:pPr>
      <w:r w:rsidRPr="00EC4EC4">
        <w:rPr>
          <w:rFonts w:eastAsia="Times New Roman" w:cs="Times New Roman"/>
          <w:b/>
          <w:color w:val="000000"/>
          <w:szCs w:val="24"/>
        </w:rPr>
        <w:t>3202.2.1.9 Sun control devices.</w:t>
      </w:r>
      <w:r w:rsidRPr="00EC4EC4">
        <w:rPr>
          <w:rFonts w:eastAsia="Times New Roman" w:cs="Times New Roman"/>
          <w:b/>
          <w:bCs/>
          <w:color w:val="000000"/>
          <w:spacing w:val="-10"/>
          <w:w w:val="110"/>
          <w:szCs w:val="24"/>
        </w:rPr>
        <w:t xml:space="preserve"> </w:t>
      </w:r>
      <w:r w:rsidRPr="00EC4EC4">
        <w:rPr>
          <w:rFonts w:eastAsia="Times New Roman" w:cs="Times New Roman"/>
          <w:color w:val="000000"/>
          <w:spacing w:val="1"/>
          <w:szCs w:val="24"/>
        </w:rPr>
        <w:t xml:space="preserve">Sun control devices constructed in accordance with Section 3105 and supported entirely from the building may project beyond the street line not more than 2 feet 6 inches (762 mm), provided that no part of the sun control device is less than 8 feet (2438 mm) above the ground or sidewalk level. Any portion of a sun control device that is located over a sidewalk vault and is more than 10 inches (254 mm) beyond the street line and less than 40 feet </w:t>
      </w:r>
      <w:r w:rsidRPr="00EC4EC4">
        <w:rPr>
          <w:rFonts w:eastAsia="Times New Roman" w:cs="Times New Roman"/>
          <w:color w:val="000000"/>
          <w:spacing w:val="1"/>
          <w:szCs w:val="24"/>
          <w:u w:val="single"/>
        </w:rPr>
        <w:t xml:space="preserve">(12 192 mm) above </w:t>
      </w:r>
      <w:r w:rsidRPr="00EC4EC4">
        <w:rPr>
          <w:rFonts w:eastAsia="Times New Roman" w:cs="Times New Roman"/>
          <w:color w:val="000000"/>
          <w:spacing w:val="1"/>
          <w:szCs w:val="24"/>
        </w:rPr>
        <w:t>the ground or sidewalk shall be removable or retractable to less than 10 inches (254 mm) beyond the street line.</w:t>
      </w:r>
      <w:r w:rsidRPr="00EC4EC4">
        <w:rPr>
          <w:rFonts w:eastAsia="Times New Roman" w:cs="Times New Roman"/>
          <w:color w:val="000000"/>
          <w:spacing w:val="2"/>
          <w:szCs w:val="24"/>
        </w:rPr>
        <w:t xml:space="preserve"> </w:t>
      </w:r>
    </w:p>
    <w:p w14:paraId="0BF07FFD" w14:textId="3BDF549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24</w:t>
      </w:r>
      <w:r w:rsidR="00EF38BE">
        <w:rPr>
          <w:rFonts w:cs="Times New Roman"/>
          <w:color w:val="000000"/>
          <w:sz w:val="23"/>
          <w:szCs w:val="23"/>
        </w:rPr>
        <w:t>8</w:t>
      </w:r>
      <w:r w:rsidRPr="00EC4EC4">
        <w:rPr>
          <w:rFonts w:cs="Times New Roman"/>
          <w:color w:val="000000"/>
          <w:sz w:val="23"/>
          <w:szCs w:val="23"/>
        </w:rPr>
        <w:t xml:space="preserve">. Section 3202.2.3.1 of  the New York city building code, as </w:t>
      </w:r>
      <w:r>
        <w:rPr>
          <w:rFonts w:cs="Times New Roman"/>
          <w:color w:val="000000"/>
          <w:sz w:val="23"/>
          <w:szCs w:val="23"/>
        </w:rPr>
        <w:t>amended</w:t>
      </w:r>
      <w:r w:rsidRPr="00EC4EC4">
        <w:rPr>
          <w:rFonts w:cs="Times New Roman"/>
          <w:color w:val="000000"/>
          <w:sz w:val="23"/>
          <w:szCs w:val="23"/>
        </w:rPr>
        <w:t xml:space="preserve"> by local law number </w:t>
      </w:r>
      <w:r>
        <w:rPr>
          <w:rFonts w:cs="Times New Roman"/>
          <w:color w:val="000000"/>
          <w:sz w:val="23"/>
          <w:szCs w:val="23"/>
        </w:rPr>
        <w:t>126</w:t>
      </w:r>
      <w:r w:rsidRPr="00EC4EC4">
        <w:rPr>
          <w:rFonts w:cs="Times New Roman"/>
          <w:color w:val="000000"/>
          <w:sz w:val="23"/>
          <w:szCs w:val="23"/>
        </w:rPr>
        <w:t xml:space="preserve"> for the year </w:t>
      </w:r>
      <w:r>
        <w:rPr>
          <w:rFonts w:cs="Times New Roman"/>
          <w:color w:val="000000"/>
          <w:sz w:val="23"/>
          <w:szCs w:val="23"/>
        </w:rPr>
        <w:t>2021</w:t>
      </w:r>
      <w:r w:rsidRPr="00EC4EC4">
        <w:rPr>
          <w:rFonts w:cs="Times New Roman"/>
          <w:color w:val="000000"/>
          <w:sz w:val="23"/>
          <w:szCs w:val="23"/>
        </w:rPr>
        <w:t>, is amended to read as follows:</w:t>
      </w:r>
    </w:p>
    <w:p w14:paraId="246AD2F8" w14:textId="77777777" w:rsidR="00140B7C" w:rsidRPr="00EC4EC4" w:rsidRDefault="00140B7C" w:rsidP="00140B7C">
      <w:pPr>
        <w:tabs>
          <w:tab w:val="left" w:pos="720"/>
        </w:tabs>
        <w:autoSpaceDE w:val="0"/>
        <w:autoSpaceDN w:val="0"/>
        <w:adjustRightInd w:val="0"/>
        <w:spacing w:after="240" w:line="240" w:lineRule="auto"/>
        <w:jc w:val="both"/>
        <w:rPr>
          <w:rFonts w:eastAsia="Times New Roman" w:cs="Times New Roman"/>
          <w:b/>
          <w:bCs/>
          <w:color w:val="000000"/>
          <w:szCs w:val="24"/>
        </w:rPr>
      </w:pPr>
      <w:r w:rsidRPr="00EC4EC4">
        <w:rPr>
          <w:rFonts w:eastAsia="Times New Roman" w:cs="Times New Roman"/>
          <w:b/>
          <w:color w:val="000000"/>
          <w:szCs w:val="24"/>
        </w:rPr>
        <w:t>3202.2.3.1 Store front awnings.</w:t>
      </w:r>
      <w:r w:rsidRPr="00EC4EC4">
        <w:rPr>
          <w:rFonts w:eastAsia="Times New Roman" w:cs="Times New Roman"/>
          <w:b/>
          <w:bCs/>
          <w:color w:val="000000"/>
          <w:spacing w:val="-2"/>
          <w:w w:val="110"/>
          <w:szCs w:val="24"/>
        </w:rPr>
        <w:t xml:space="preserve"> </w:t>
      </w:r>
      <w:r w:rsidRPr="00EC4EC4">
        <w:rPr>
          <w:rFonts w:eastAsia="Times New Roman" w:cs="Times New Roman"/>
          <w:color w:val="000000"/>
          <w:spacing w:val="1"/>
          <w:szCs w:val="24"/>
        </w:rPr>
        <w:t>Store front awnings may project beyond the street line not more than 8 feet [</w:t>
      </w:r>
      <w:r w:rsidRPr="00EC4EC4">
        <w:rPr>
          <w:rFonts w:eastAsia="Times New Roman" w:cs="Times New Roman"/>
          <w:strike/>
          <w:color w:val="000000"/>
          <w:spacing w:val="1"/>
          <w:szCs w:val="24"/>
        </w:rPr>
        <w:t>(2438mm)</w:t>
      </w:r>
      <w:r w:rsidRPr="00EC4EC4">
        <w:rPr>
          <w:rFonts w:eastAsia="Times New Roman" w:cs="Times New Roman"/>
          <w:color w:val="000000"/>
          <w:spacing w:val="1"/>
          <w:szCs w:val="24"/>
        </w:rPr>
        <w:t>]</w:t>
      </w:r>
      <w:r w:rsidRPr="00EC4EC4">
        <w:rPr>
          <w:rFonts w:eastAsia="Times New Roman" w:cs="Times New Roman"/>
          <w:color w:val="000000"/>
          <w:spacing w:val="1"/>
          <w:szCs w:val="24"/>
          <w:u w:val="single"/>
        </w:rPr>
        <w:t xml:space="preserve">(2428 mm), </w:t>
      </w:r>
      <w:r w:rsidRPr="00EC4EC4">
        <w:rPr>
          <w:rFonts w:eastAsia="Times New Roman" w:cs="Times New Roman"/>
          <w:color w:val="000000"/>
          <w:spacing w:val="1"/>
          <w:szCs w:val="24"/>
        </w:rPr>
        <w:t>provided no</w:t>
      </w:r>
      <w:r w:rsidRPr="00EC4EC4">
        <w:rPr>
          <w:rFonts w:eastAsia="Times New Roman" w:cs="Times New Roman"/>
          <w:szCs w:val="24"/>
        </w:rPr>
        <w:t xml:space="preserve"> part of </w:t>
      </w:r>
      <w:r w:rsidRPr="00EC4EC4">
        <w:rPr>
          <w:rFonts w:eastAsia="Times New Roman" w:cs="Times New Roman"/>
          <w:color w:val="000000"/>
          <w:spacing w:val="1"/>
          <w:szCs w:val="24"/>
        </w:rPr>
        <w:t>the</w:t>
      </w:r>
      <w:r w:rsidRPr="00EC4EC4">
        <w:rPr>
          <w:rFonts w:eastAsia="Times New Roman" w:cs="Times New Roman"/>
          <w:szCs w:val="24"/>
        </w:rPr>
        <w:t xml:space="preserve"> awning</w:t>
      </w:r>
      <w:r w:rsidRPr="00EC4EC4">
        <w:rPr>
          <w:rFonts w:eastAsia="Times New Roman" w:cs="Times New Roman"/>
          <w:color w:val="000000"/>
          <w:spacing w:val="1"/>
          <w:szCs w:val="24"/>
        </w:rPr>
        <w:t xml:space="preserve"> is less than 8 feet (2438 mm) above the ground or sidewalk level, except for a flexible valance which may </w:t>
      </w:r>
      <w:r w:rsidRPr="00EC4EC4">
        <w:rPr>
          <w:rFonts w:eastAsia="Times New Roman" w:cs="Times New Roman"/>
          <w:szCs w:val="24"/>
        </w:rPr>
        <w:t>be not less than 7 feet (2134 mm</w:t>
      </w:r>
      <w:r w:rsidRPr="00EC4EC4">
        <w:rPr>
          <w:rFonts w:eastAsia="Times New Roman" w:cs="Times New Roman"/>
          <w:color w:val="000000"/>
          <w:spacing w:val="1"/>
          <w:szCs w:val="24"/>
        </w:rPr>
        <w:t>) above the ground or sidewalk level, and provided that the awning box or cover does not project more than 12 inches (305 mm).</w:t>
      </w:r>
    </w:p>
    <w:p w14:paraId="312C4791" w14:textId="6DA8EF8B" w:rsidR="00140B7C" w:rsidRPr="00111C14" w:rsidRDefault="00140B7C" w:rsidP="00140B7C">
      <w:pPr>
        <w:spacing w:after="0" w:line="240" w:lineRule="auto"/>
        <w:ind w:firstLine="720"/>
        <w:jc w:val="both"/>
      </w:pPr>
      <w:bookmarkStart w:id="205" w:name="_Hlk119484404"/>
      <w:r w:rsidRPr="00111C14">
        <w:rPr>
          <w:color w:val="000000"/>
          <w:sz w:val="23"/>
          <w:szCs w:val="23"/>
        </w:rPr>
        <w:t>§24</w:t>
      </w:r>
      <w:r w:rsidR="00EF38BE">
        <w:rPr>
          <w:color w:val="000000"/>
          <w:sz w:val="23"/>
          <w:szCs w:val="23"/>
        </w:rPr>
        <w:t>9</w:t>
      </w:r>
      <w:r w:rsidRPr="00111C14">
        <w:rPr>
          <w:color w:val="000000"/>
          <w:sz w:val="23"/>
          <w:szCs w:val="23"/>
        </w:rPr>
        <w:t>. Section 3202.2.5</w:t>
      </w:r>
      <w:r w:rsidRPr="00111C14">
        <w:t xml:space="preserve"> of the New York city building code, as added by local law number 126 for the year 2021, is amended to read as follows:</w:t>
      </w:r>
    </w:p>
    <w:p w14:paraId="0AC2467E" w14:textId="77777777" w:rsidR="00140B7C" w:rsidRPr="00111C14" w:rsidRDefault="00140B7C" w:rsidP="00140B7C">
      <w:pPr>
        <w:spacing w:after="0" w:line="240" w:lineRule="auto"/>
        <w:jc w:val="both"/>
        <w:rPr>
          <w:rFonts w:eastAsia="Times New Roman" w:cs="Times New Roman"/>
          <w:b/>
          <w:color w:val="000000"/>
          <w:spacing w:val="1"/>
          <w:szCs w:val="24"/>
        </w:rPr>
      </w:pPr>
    </w:p>
    <w:p w14:paraId="5A1707D2" w14:textId="77777777" w:rsidR="00140B7C" w:rsidRPr="00111C14" w:rsidRDefault="00140B7C" w:rsidP="00140B7C">
      <w:pPr>
        <w:spacing w:after="0" w:line="240" w:lineRule="auto"/>
        <w:jc w:val="both"/>
        <w:rPr>
          <w:rFonts w:eastAsia="Times New Roman" w:cs="Times New Roman"/>
          <w:color w:val="000000"/>
          <w:spacing w:val="1"/>
          <w:szCs w:val="28"/>
        </w:rPr>
      </w:pPr>
      <w:r w:rsidRPr="00111C14">
        <w:rPr>
          <w:rFonts w:eastAsia="Times New Roman" w:cs="Times New Roman"/>
          <w:b/>
          <w:color w:val="000000"/>
          <w:spacing w:val="1"/>
          <w:szCs w:val="28"/>
        </w:rPr>
        <w:t>3202.2.5 Exterior wall covering systems for prior code buildings.</w:t>
      </w:r>
      <w:r w:rsidRPr="00111C14">
        <w:rPr>
          <w:rFonts w:eastAsia="Times New Roman" w:cs="Times New Roman"/>
          <w:color w:val="000000"/>
          <w:spacing w:val="1"/>
          <w:szCs w:val="28"/>
        </w:rPr>
        <w:t xml:space="preserve"> For prior code buildings, exterior insulation and associated cladding systems (i.e. rain screens, EIFS, etc.) </w:t>
      </w:r>
      <w:r w:rsidRPr="00111C14">
        <w:rPr>
          <w:rFonts w:eastAsia="Times New Roman" w:cs="Times New Roman"/>
          <w:color w:val="000000"/>
          <w:spacing w:val="1"/>
          <w:szCs w:val="28"/>
          <w:u w:val="single"/>
        </w:rPr>
        <w:t>that comply with Chapter 14</w:t>
      </w:r>
      <w:r w:rsidRPr="00111C14">
        <w:rPr>
          <w:rFonts w:eastAsia="Times New Roman" w:cs="Times New Roman"/>
          <w:color w:val="000000"/>
          <w:spacing w:val="1"/>
          <w:szCs w:val="28"/>
        </w:rPr>
        <w:t xml:space="preserve"> may be applied to the entire facade of a building [</w:t>
      </w:r>
      <w:r w:rsidRPr="00111C14">
        <w:rPr>
          <w:rFonts w:eastAsia="Times New Roman" w:cs="Times New Roman"/>
          <w:strike/>
          <w:color w:val="000000"/>
          <w:spacing w:val="1"/>
          <w:szCs w:val="28"/>
        </w:rPr>
        <w:t xml:space="preserve">provided such exterior wall covering system is needed to comply with the requirements of the </w:t>
      </w:r>
      <w:r w:rsidRPr="00111C14">
        <w:rPr>
          <w:rFonts w:eastAsia="Times New Roman" w:cs="Times New Roman"/>
          <w:i/>
          <w:strike/>
          <w:color w:val="000000"/>
          <w:spacing w:val="1"/>
          <w:szCs w:val="28"/>
        </w:rPr>
        <w:t>New York City Energy Conservation Code</w:t>
      </w:r>
      <w:r w:rsidRPr="00111C14">
        <w:rPr>
          <w:rFonts w:eastAsia="Times New Roman" w:cs="Times New Roman"/>
          <w:strike/>
          <w:color w:val="000000"/>
          <w:spacing w:val="1"/>
          <w:szCs w:val="28"/>
        </w:rPr>
        <w:t xml:space="preserve"> and does not</w:t>
      </w:r>
      <w:r w:rsidRPr="00111C14">
        <w:rPr>
          <w:rFonts w:eastAsia="Times New Roman" w:cs="Times New Roman"/>
          <w:color w:val="000000"/>
          <w:spacing w:val="1"/>
          <w:szCs w:val="28"/>
        </w:rPr>
        <w:t>]</w:t>
      </w:r>
      <w:r w:rsidRPr="00111C14">
        <w:rPr>
          <w:rFonts w:eastAsia="Times New Roman" w:cs="Times New Roman"/>
          <w:color w:val="000000"/>
          <w:spacing w:val="1"/>
          <w:szCs w:val="28"/>
          <w:u w:val="single"/>
        </w:rPr>
        <w:t>and may</w:t>
      </w:r>
      <w:r w:rsidRPr="00111C14">
        <w:rPr>
          <w:rFonts w:eastAsia="Times New Roman" w:cs="Times New Roman"/>
          <w:color w:val="000000"/>
          <w:spacing w:val="1"/>
          <w:szCs w:val="28"/>
        </w:rPr>
        <w:t xml:space="preserve"> project </w:t>
      </w:r>
      <w:r w:rsidRPr="00111C14">
        <w:rPr>
          <w:rFonts w:eastAsia="Times New Roman" w:cs="Times New Roman"/>
          <w:color w:val="000000"/>
          <w:spacing w:val="1"/>
          <w:szCs w:val="28"/>
          <w:u w:val="single"/>
        </w:rPr>
        <w:t>not</w:t>
      </w:r>
      <w:r w:rsidRPr="00111C14">
        <w:rPr>
          <w:rFonts w:eastAsia="Times New Roman" w:cs="Times New Roman"/>
          <w:color w:val="000000"/>
          <w:spacing w:val="1"/>
          <w:szCs w:val="28"/>
        </w:rPr>
        <w:t xml:space="preserve"> more than 8 inches (203 mm) beyond the street line[.</w:t>
      </w:r>
      <w:r w:rsidRPr="00111C14">
        <w:rPr>
          <w:rFonts w:eastAsia="Times New Roman" w:cs="Times New Roman"/>
          <w:strike/>
          <w:color w:val="000000"/>
          <w:spacing w:val="1"/>
          <w:szCs w:val="28"/>
        </w:rPr>
        <w:t>Exterior wall coverings shall comply with Chapter 14.</w:t>
      </w:r>
      <w:r w:rsidRPr="00111C14">
        <w:rPr>
          <w:rFonts w:eastAsia="Times New Roman" w:cs="Times New Roman"/>
          <w:color w:val="000000"/>
          <w:spacing w:val="1"/>
          <w:szCs w:val="28"/>
        </w:rPr>
        <w:t>]</w:t>
      </w:r>
    </w:p>
    <w:p w14:paraId="4093D809" w14:textId="77777777" w:rsidR="00140B7C" w:rsidRPr="00111C14" w:rsidRDefault="00140B7C" w:rsidP="00140B7C">
      <w:pPr>
        <w:spacing w:after="0" w:line="240" w:lineRule="auto"/>
        <w:jc w:val="both"/>
        <w:rPr>
          <w:rFonts w:eastAsia="Times New Roman" w:cs="Times New Roman"/>
          <w:color w:val="000000"/>
          <w:spacing w:val="1"/>
          <w:szCs w:val="28"/>
          <w:u w:val="single"/>
        </w:rPr>
      </w:pPr>
      <w:r w:rsidRPr="00111C14">
        <w:rPr>
          <w:rFonts w:eastAsia="Times New Roman" w:cs="Times New Roman"/>
          <w:color w:val="000000"/>
          <w:spacing w:val="1"/>
          <w:szCs w:val="28"/>
          <w:u w:val="single"/>
        </w:rPr>
        <w:t>, in accordance with the following:</w:t>
      </w:r>
    </w:p>
    <w:p w14:paraId="02D39575" w14:textId="77777777" w:rsidR="00140B7C" w:rsidRPr="00111C14" w:rsidRDefault="00140B7C" w:rsidP="00140B7C">
      <w:pPr>
        <w:spacing w:after="0" w:line="240" w:lineRule="auto"/>
        <w:jc w:val="both"/>
        <w:rPr>
          <w:rFonts w:eastAsia="Times New Roman" w:cs="Times New Roman"/>
          <w:color w:val="000000"/>
          <w:spacing w:val="1"/>
          <w:szCs w:val="28"/>
          <w:u w:val="single"/>
        </w:rPr>
      </w:pPr>
    </w:p>
    <w:p w14:paraId="0A196839" w14:textId="094E5AB3" w:rsidR="00140B7C" w:rsidRPr="00111C14" w:rsidRDefault="00140B7C" w:rsidP="00140B7C">
      <w:pPr>
        <w:spacing w:after="0" w:line="240" w:lineRule="auto"/>
        <w:ind w:left="1080" w:hanging="360"/>
        <w:jc w:val="both"/>
        <w:rPr>
          <w:rFonts w:eastAsia="Times New Roman" w:cs="Times New Roman"/>
          <w:color w:val="000000"/>
          <w:spacing w:val="1"/>
          <w:szCs w:val="28"/>
          <w:u w:val="single"/>
        </w:rPr>
      </w:pPr>
      <w:r w:rsidRPr="00111C14">
        <w:rPr>
          <w:rFonts w:eastAsia="Times New Roman" w:cs="Times New Roman"/>
          <w:color w:val="000000"/>
          <w:spacing w:val="1"/>
          <w:szCs w:val="28"/>
          <w:u w:val="single"/>
        </w:rPr>
        <w:t xml:space="preserve">1. </w:t>
      </w:r>
      <w:r w:rsidR="00721660">
        <w:rPr>
          <w:rFonts w:eastAsia="Times New Roman" w:cs="Times New Roman"/>
          <w:color w:val="000000"/>
          <w:spacing w:val="1"/>
          <w:szCs w:val="28"/>
          <w:u w:val="single"/>
        </w:rPr>
        <w:tab/>
      </w:r>
      <w:r w:rsidRPr="00111C14">
        <w:rPr>
          <w:rFonts w:eastAsia="Times New Roman" w:cs="Times New Roman"/>
          <w:color w:val="000000"/>
          <w:spacing w:val="1"/>
          <w:szCs w:val="28"/>
          <w:u w:val="single"/>
        </w:rPr>
        <w:t xml:space="preserve">The exterior wall covering system is </w:t>
      </w:r>
      <w:r w:rsidR="00721660">
        <w:rPr>
          <w:rFonts w:eastAsia="Times New Roman" w:cs="Times New Roman"/>
          <w:color w:val="000000"/>
          <w:spacing w:val="1"/>
          <w:szCs w:val="28"/>
          <w:u w:val="single"/>
        </w:rPr>
        <w:t>necessary to</w:t>
      </w:r>
      <w:r w:rsidRPr="00111C14">
        <w:rPr>
          <w:rFonts w:eastAsia="Times New Roman" w:cs="Times New Roman"/>
          <w:color w:val="000000"/>
          <w:spacing w:val="1"/>
          <w:szCs w:val="28"/>
          <w:u w:val="single"/>
        </w:rPr>
        <w:t xml:space="preserve"> comply with the </w:t>
      </w:r>
      <w:r w:rsidRPr="00111C14">
        <w:rPr>
          <w:rFonts w:eastAsia="Times New Roman" w:cs="Times New Roman"/>
          <w:i/>
          <w:iCs/>
          <w:color w:val="000000"/>
          <w:spacing w:val="1"/>
          <w:szCs w:val="28"/>
          <w:u w:val="single"/>
        </w:rPr>
        <w:t xml:space="preserve">New York City Energy Conservation Code; </w:t>
      </w:r>
      <w:r w:rsidRPr="00111C14">
        <w:rPr>
          <w:rFonts w:eastAsia="Times New Roman" w:cs="Times New Roman"/>
          <w:color w:val="000000"/>
          <w:spacing w:val="1"/>
          <w:szCs w:val="28"/>
          <w:u w:val="single"/>
        </w:rPr>
        <w:t>or</w:t>
      </w:r>
    </w:p>
    <w:p w14:paraId="0BC00776" w14:textId="77777777" w:rsidR="00140B7C" w:rsidRPr="00111C14" w:rsidRDefault="00140B7C" w:rsidP="00140B7C">
      <w:pPr>
        <w:spacing w:after="0" w:line="240" w:lineRule="auto"/>
        <w:ind w:left="1080" w:hanging="360"/>
        <w:jc w:val="both"/>
        <w:rPr>
          <w:rFonts w:eastAsia="Times New Roman" w:cs="Times New Roman"/>
          <w:color w:val="000000"/>
          <w:spacing w:val="1"/>
          <w:szCs w:val="28"/>
          <w:u w:val="single"/>
        </w:rPr>
      </w:pPr>
    </w:p>
    <w:p w14:paraId="325A3F3B" w14:textId="2644BCC8" w:rsidR="00140B7C" w:rsidRPr="00721660" w:rsidRDefault="00140B7C" w:rsidP="00721660">
      <w:pPr>
        <w:spacing w:after="160" w:line="259" w:lineRule="auto"/>
        <w:ind w:left="1080" w:hanging="360"/>
        <w:rPr>
          <w:rFonts w:ascii="Calibri" w:eastAsia="Calibri" w:hAnsi="Calibri" w:cs="Times New Roman"/>
          <w:sz w:val="22"/>
        </w:rPr>
      </w:pPr>
      <w:r w:rsidRPr="00111C14">
        <w:rPr>
          <w:rFonts w:eastAsia="Times New Roman" w:cs="Times New Roman"/>
          <w:color w:val="000000"/>
          <w:spacing w:val="1"/>
          <w:szCs w:val="28"/>
          <w:u w:val="single"/>
        </w:rPr>
        <w:t xml:space="preserve">2. </w:t>
      </w:r>
      <w:r w:rsidR="00721660">
        <w:rPr>
          <w:rFonts w:eastAsia="Times New Roman" w:cs="Times New Roman"/>
          <w:color w:val="000000"/>
          <w:spacing w:val="1"/>
          <w:szCs w:val="28"/>
          <w:u w:val="single"/>
        </w:rPr>
        <w:tab/>
      </w:r>
      <w:r w:rsidRPr="00111C14">
        <w:rPr>
          <w:rFonts w:eastAsia="Times New Roman" w:cs="Times New Roman"/>
          <w:color w:val="000000"/>
          <w:spacing w:val="1"/>
          <w:szCs w:val="28"/>
          <w:u w:val="single"/>
        </w:rPr>
        <w:t xml:space="preserve">In prior code buildings, the installation of the insulation will reduce greenhouse gas emissions, as demonstrated by achieving not less than a thirty percent reduction of the existing thermal envelope UA (the area-weighted average of assembly u-factors, as defined in the New York City Energy Conservation Code) as compared to the improved thermal envelope UA.  For the purposes of calculating the reduction in the thermal envelope UA, the improved thermal envelope UA is the area-weighted average of the proposed opaque U-factor times the alteration area of the opaque wall assembly compared to the area-weighted average UA of the existing wall assembly.  The UA calculation shall be performed using a method consistent with the </w:t>
      </w:r>
      <w:r w:rsidRPr="00111C14">
        <w:rPr>
          <w:rFonts w:eastAsia="Times New Roman" w:cs="Times New Roman"/>
          <w:i/>
          <w:iCs/>
          <w:color w:val="000000"/>
          <w:spacing w:val="1"/>
          <w:szCs w:val="28"/>
          <w:u w:val="single"/>
        </w:rPr>
        <w:t>New York City Energy Conservation Code</w:t>
      </w:r>
      <w:r w:rsidRPr="00111C14">
        <w:rPr>
          <w:rFonts w:eastAsia="Times New Roman" w:cs="Times New Roman"/>
          <w:color w:val="000000"/>
          <w:spacing w:val="1"/>
          <w:szCs w:val="28"/>
          <w:u w:val="single"/>
        </w:rPr>
        <w:t>.</w:t>
      </w:r>
    </w:p>
    <w:p w14:paraId="4B38952C" w14:textId="77777777" w:rsidR="00140B7C" w:rsidRPr="00111C14" w:rsidRDefault="00140B7C" w:rsidP="00140B7C">
      <w:pPr>
        <w:spacing w:after="0" w:line="240" w:lineRule="auto"/>
        <w:jc w:val="both"/>
        <w:rPr>
          <w:rFonts w:eastAsia="Times New Roman" w:cs="Times New Roman"/>
          <w:b/>
          <w:color w:val="000000"/>
          <w:spacing w:val="1"/>
          <w:szCs w:val="28"/>
        </w:rPr>
      </w:pPr>
    </w:p>
    <w:p w14:paraId="54BF918C" w14:textId="77777777" w:rsidR="00140B7C" w:rsidRPr="00111C14" w:rsidRDefault="00140B7C" w:rsidP="00721660">
      <w:pPr>
        <w:spacing w:after="240" w:line="240" w:lineRule="auto"/>
        <w:ind w:firstLine="720"/>
        <w:jc w:val="both"/>
        <w:rPr>
          <w:rFonts w:eastAsia="Times New Roman" w:cs="Times New Roman"/>
          <w:b/>
          <w:color w:val="000000"/>
          <w:spacing w:val="1"/>
          <w:szCs w:val="28"/>
        </w:rPr>
      </w:pPr>
      <w:r w:rsidRPr="00111C14">
        <w:rPr>
          <w:rFonts w:eastAsia="Times New Roman" w:cs="Times New Roman"/>
          <w:b/>
          <w:color w:val="000000"/>
          <w:spacing w:val="1"/>
          <w:szCs w:val="28"/>
        </w:rPr>
        <w:t>Exceptions:</w:t>
      </w:r>
    </w:p>
    <w:p w14:paraId="543F9C86" w14:textId="77777777" w:rsidR="00140B7C" w:rsidRPr="00111C14" w:rsidRDefault="00140B7C" w:rsidP="00140B7C">
      <w:pPr>
        <w:spacing w:after="240" w:line="240" w:lineRule="auto"/>
        <w:ind w:left="1440" w:hanging="360"/>
        <w:jc w:val="both"/>
        <w:rPr>
          <w:rFonts w:eastAsia="Times New Roman" w:cs="Times New Roman"/>
          <w:color w:val="000000"/>
          <w:spacing w:val="1"/>
          <w:szCs w:val="28"/>
        </w:rPr>
      </w:pPr>
      <w:r w:rsidRPr="00111C14">
        <w:rPr>
          <w:rFonts w:eastAsia="Times New Roman" w:cs="Times New Roman"/>
          <w:color w:val="000000"/>
          <w:spacing w:val="1"/>
          <w:szCs w:val="28"/>
        </w:rPr>
        <w:t>1.</w:t>
      </w:r>
      <w:r w:rsidRPr="00111C14">
        <w:rPr>
          <w:rFonts w:eastAsia="Times New Roman" w:cs="Times New Roman"/>
          <w:color w:val="000000"/>
          <w:spacing w:val="1"/>
          <w:szCs w:val="28"/>
        </w:rPr>
        <w:tab/>
        <w:t>A veneer may be applied to the entire facade of a building erected before December 6, 1968, provided such veneer does not project more than 4 inches (102 mm) beyond the street line.</w:t>
      </w:r>
    </w:p>
    <w:p w14:paraId="27649367" w14:textId="77777777" w:rsidR="00140B7C" w:rsidRPr="00111C14" w:rsidRDefault="00140B7C" w:rsidP="00140B7C">
      <w:pPr>
        <w:spacing w:after="240" w:line="240" w:lineRule="auto"/>
        <w:ind w:left="1440" w:hanging="360"/>
        <w:jc w:val="both"/>
        <w:rPr>
          <w:rFonts w:eastAsia="Times New Roman" w:cs="Times New Roman"/>
          <w:color w:val="000000"/>
          <w:spacing w:val="1"/>
          <w:szCs w:val="28"/>
        </w:rPr>
      </w:pPr>
      <w:r w:rsidRPr="00111C14">
        <w:rPr>
          <w:rFonts w:eastAsia="Times New Roman" w:cs="Times New Roman"/>
          <w:color w:val="000000"/>
          <w:spacing w:val="1"/>
          <w:szCs w:val="28"/>
        </w:rPr>
        <w:t>2.</w:t>
      </w:r>
      <w:r w:rsidRPr="00111C14">
        <w:rPr>
          <w:rFonts w:eastAsia="Times New Roman" w:cs="Times New Roman"/>
          <w:color w:val="000000"/>
          <w:spacing w:val="1"/>
          <w:szCs w:val="28"/>
        </w:rPr>
        <w:tab/>
        <w:t>Exterior wall covering systems [</w:t>
      </w:r>
      <w:r w:rsidRPr="00111C14">
        <w:rPr>
          <w:rFonts w:eastAsia="Times New Roman" w:cs="Times New Roman"/>
          <w:strike/>
          <w:color w:val="000000"/>
          <w:spacing w:val="1"/>
          <w:szCs w:val="28"/>
        </w:rPr>
        <w:t>projecting</w:t>
      </w:r>
      <w:r w:rsidRPr="00111C14">
        <w:rPr>
          <w:rFonts w:eastAsia="Times New Roman" w:cs="Times New Roman"/>
          <w:color w:val="000000"/>
          <w:spacing w:val="1"/>
          <w:szCs w:val="28"/>
        </w:rPr>
        <w:t>]</w:t>
      </w:r>
      <w:r w:rsidRPr="00111C14">
        <w:rPr>
          <w:rFonts w:eastAsia="Times New Roman" w:cs="Times New Roman"/>
          <w:color w:val="000000"/>
          <w:spacing w:val="1"/>
          <w:szCs w:val="28"/>
          <w:u w:val="single"/>
        </w:rPr>
        <w:t>installed in accordance with this section on prior code buildings may project</w:t>
      </w:r>
      <w:r w:rsidRPr="00111C14">
        <w:rPr>
          <w:rFonts w:eastAsia="Times New Roman" w:cs="Times New Roman"/>
          <w:color w:val="000000"/>
          <w:spacing w:val="1"/>
          <w:szCs w:val="28"/>
        </w:rPr>
        <w:t xml:space="preserve"> not more than 10 inches (254 mm) beyond the street line [</w:t>
      </w:r>
      <w:r w:rsidRPr="00111C14">
        <w:rPr>
          <w:rFonts w:eastAsia="Times New Roman" w:cs="Times New Roman"/>
          <w:strike/>
          <w:color w:val="000000"/>
          <w:spacing w:val="1"/>
          <w:szCs w:val="28"/>
        </w:rPr>
        <w:t>shall be permitted to cover the façade of a prior code building</w:t>
      </w:r>
      <w:r w:rsidRPr="00111C14">
        <w:rPr>
          <w:rFonts w:eastAsia="Times New Roman" w:cs="Times New Roman"/>
          <w:color w:val="000000"/>
          <w:spacing w:val="1"/>
          <w:szCs w:val="28"/>
        </w:rPr>
        <w:t>]</w:t>
      </w:r>
      <w:r w:rsidRPr="00111C14">
        <w:rPr>
          <w:rFonts w:eastAsia="Times New Roman" w:cs="Times New Roman"/>
          <w:color w:val="000000"/>
          <w:spacing w:val="1"/>
          <w:szCs w:val="28"/>
          <w:u w:val="single"/>
        </w:rPr>
        <w:t xml:space="preserve">, </w:t>
      </w:r>
      <w:r w:rsidRPr="00111C14">
        <w:rPr>
          <w:rFonts w:eastAsia="Times New Roman" w:cs="Times New Roman"/>
          <w:color w:val="000000"/>
          <w:spacing w:val="1"/>
          <w:szCs w:val="28"/>
        </w:rPr>
        <w:t>provided they are located more than 10 feet (3048 mm) above grade [</w:t>
      </w:r>
      <w:r w:rsidRPr="00111C14">
        <w:rPr>
          <w:rFonts w:eastAsia="Times New Roman" w:cs="Times New Roman"/>
          <w:strike/>
          <w:color w:val="000000"/>
          <w:spacing w:val="1"/>
          <w:szCs w:val="28"/>
        </w:rPr>
        <w:t xml:space="preserve">and are necessary to comply with the </w:t>
      </w:r>
      <w:r w:rsidRPr="00111C14">
        <w:rPr>
          <w:rFonts w:eastAsia="Times New Roman" w:cs="Times New Roman"/>
          <w:i/>
          <w:strike/>
          <w:color w:val="000000"/>
          <w:spacing w:val="1"/>
          <w:szCs w:val="28"/>
        </w:rPr>
        <w:t>New York City Energy Conservation Code</w:t>
      </w:r>
      <w:r w:rsidRPr="00111C14">
        <w:rPr>
          <w:rFonts w:eastAsia="Times New Roman" w:cs="Times New Roman"/>
          <w:iCs/>
          <w:color w:val="000000"/>
          <w:spacing w:val="1"/>
          <w:szCs w:val="28"/>
        </w:rPr>
        <w:t>]</w:t>
      </w:r>
      <w:r w:rsidRPr="00111C14">
        <w:rPr>
          <w:rFonts w:eastAsia="Times New Roman" w:cs="Times New Roman"/>
          <w:color w:val="000000"/>
          <w:spacing w:val="1"/>
          <w:szCs w:val="28"/>
        </w:rPr>
        <w:t>.</w:t>
      </w:r>
    </w:p>
    <w:p w14:paraId="58779E46" w14:textId="77777777" w:rsidR="00140B7C" w:rsidRPr="00611A2C" w:rsidRDefault="00140B7C" w:rsidP="00140B7C">
      <w:pPr>
        <w:spacing w:after="240" w:line="240" w:lineRule="auto"/>
        <w:ind w:left="1440" w:hanging="360"/>
        <w:jc w:val="both"/>
        <w:rPr>
          <w:rFonts w:ascii="Calibri" w:eastAsia="Times New Roman" w:hAnsi="Calibri" w:cs="Times New Roman"/>
          <w:color w:val="000000"/>
          <w:spacing w:val="3"/>
          <w:sz w:val="22"/>
          <w:szCs w:val="24"/>
        </w:rPr>
      </w:pPr>
      <w:r w:rsidRPr="00111C14">
        <w:rPr>
          <w:rFonts w:eastAsia="Times New Roman" w:cs="Times New Roman"/>
          <w:color w:val="000000"/>
          <w:spacing w:val="1"/>
          <w:szCs w:val="28"/>
        </w:rPr>
        <w:t>3.</w:t>
      </w:r>
      <w:r w:rsidRPr="00111C14">
        <w:rPr>
          <w:rFonts w:eastAsia="Times New Roman" w:cs="Times New Roman"/>
          <w:color w:val="000000"/>
          <w:spacing w:val="1"/>
          <w:szCs w:val="28"/>
        </w:rPr>
        <w:tab/>
        <w:t xml:space="preserve">The department may approve </w:t>
      </w:r>
      <w:r w:rsidRPr="00111C14">
        <w:rPr>
          <w:rFonts w:eastAsia="Times New Roman" w:cs="Times New Roman"/>
          <w:color w:val="000000"/>
          <w:spacing w:val="1"/>
          <w:szCs w:val="28"/>
          <w:u w:val="single"/>
        </w:rPr>
        <w:t>the installation of</w:t>
      </w:r>
      <w:r w:rsidRPr="00111C14">
        <w:rPr>
          <w:rFonts w:eastAsia="Times New Roman" w:cs="Times New Roman"/>
          <w:color w:val="000000"/>
          <w:spacing w:val="1"/>
          <w:szCs w:val="28"/>
        </w:rPr>
        <w:t xml:space="preserve"> exterior wall covering systems [</w:t>
      </w:r>
      <w:r w:rsidRPr="00111C14">
        <w:rPr>
          <w:rFonts w:eastAsia="Times New Roman" w:cs="Times New Roman"/>
          <w:strike/>
          <w:color w:val="000000"/>
          <w:spacing w:val="1"/>
          <w:szCs w:val="28"/>
        </w:rPr>
        <w:t>projecting not more</w:t>
      </w:r>
      <w:r w:rsidRPr="00111C14">
        <w:rPr>
          <w:rFonts w:eastAsia="Times New Roman" w:cs="Times New Roman"/>
          <w:color w:val="000000"/>
          <w:spacing w:val="1"/>
          <w:szCs w:val="28"/>
        </w:rPr>
        <w:t xml:space="preserve">] </w:t>
      </w:r>
      <w:r w:rsidRPr="00111C14">
        <w:rPr>
          <w:rFonts w:eastAsia="Times New Roman" w:cs="Times New Roman"/>
          <w:color w:val="000000"/>
          <w:spacing w:val="1"/>
          <w:szCs w:val="28"/>
          <w:u w:val="single"/>
        </w:rPr>
        <w:t xml:space="preserve">in accordance with this section that project more than 8 inches (203 mm) but not more </w:t>
      </w:r>
      <w:r w:rsidRPr="00111C14">
        <w:rPr>
          <w:rFonts w:eastAsia="Times New Roman" w:cs="Times New Roman"/>
          <w:color w:val="000000"/>
          <w:spacing w:val="1"/>
          <w:szCs w:val="28"/>
        </w:rPr>
        <w:t>than 12 inches (305 mm) beyond the street line provided they are [</w:t>
      </w:r>
      <w:r w:rsidRPr="00111C14">
        <w:rPr>
          <w:rFonts w:eastAsia="Times New Roman" w:cs="Times New Roman"/>
          <w:strike/>
          <w:color w:val="000000"/>
          <w:spacing w:val="1"/>
          <w:szCs w:val="28"/>
        </w:rPr>
        <w:t xml:space="preserve">necessary to comply with the </w:t>
      </w:r>
      <w:r w:rsidRPr="00111C14">
        <w:rPr>
          <w:rFonts w:eastAsia="Times New Roman" w:cs="Times New Roman"/>
          <w:i/>
          <w:strike/>
          <w:color w:val="000000"/>
          <w:spacing w:val="1"/>
          <w:szCs w:val="28"/>
        </w:rPr>
        <w:t>New York City Energy Conservation Code</w:t>
      </w:r>
      <w:r w:rsidRPr="00111C14">
        <w:rPr>
          <w:rFonts w:eastAsia="Times New Roman" w:cs="Times New Roman"/>
          <w:strike/>
          <w:color w:val="000000"/>
          <w:spacing w:val="1"/>
          <w:szCs w:val="28"/>
        </w:rPr>
        <w:t>, are</w:t>
      </w:r>
      <w:r w:rsidRPr="00111C14">
        <w:rPr>
          <w:rFonts w:eastAsia="Times New Roman" w:cs="Times New Roman"/>
          <w:color w:val="000000"/>
          <w:spacing w:val="1"/>
          <w:szCs w:val="28"/>
        </w:rPr>
        <w:t>] substantiated with engineering calculations demonstrating need and practical difficulty, and provided that the applicant demonstrates to the Department of Transportation’s satisfaction that the projection of the wall covering system will not adversely impact the use of the public right of way.</w:t>
      </w:r>
    </w:p>
    <w:bookmarkEnd w:id="205"/>
    <w:p w14:paraId="7FFFC4AF" w14:textId="04197D64" w:rsidR="00140B7C" w:rsidRPr="00EC4EC4" w:rsidRDefault="00140B7C" w:rsidP="00140B7C">
      <w:pPr>
        <w:pStyle w:val="DoubleSpaceParagaph"/>
        <w:spacing w:line="240" w:lineRule="auto"/>
        <w:ind w:firstLine="720"/>
      </w:pPr>
      <w:r w:rsidRPr="00EC4EC4">
        <w:rPr>
          <w:color w:val="000000"/>
          <w:sz w:val="23"/>
          <w:szCs w:val="23"/>
        </w:rPr>
        <w:lastRenderedPageBreak/>
        <w:t>§</w:t>
      </w:r>
      <w:r>
        <w:rPr>
          <w:color w:val="000000"/>
          <w:sz w:val="23"/>
          <w:szCs w:val="23"/>
        </w:rPr>
        <w:t>2</w:t>
      </w:r>
      <w:r w:rsidR="00EF38BE">
        <w:rPr>
          <w:color w:val="000000"/>
          <w:sz w:val="23"/>
          <w:szCs w:val="23"/>
        </w:rPr>
        <w:t>50</w:t>
      </w:r>
      <w:r w:rsidRPr="00EC4EC4">
        <w:rPr>
          <w:color w:val="000000"/>
          <w:sz w:val="23"/>
          <w:szCs w:val="23"/>
        </w:rPr>
        <w:t>. Section 3301.4.1</w:t>
      </w:r>
      <w:r w:rsidRPr="00EC4EC4">
        <w:t xml:space="preserve"> of the New York city building code, as added by local law number 126 for the year 2021, is amended to read as follows:</w:t>
      </w:r>
    </w:p>
    <w:p w14:paraId="122964F0" w14:textId="77777777" w:rsidR="00140B7C" w:rsidRPr="00EC4EC4" w:rsidRDefault="00140B7C" w:rsidP="00140B7C">
      <w:pPr>
        <w:pStyle w:val="DoubleSpaceParagaph"/>
        <w:spacing w:line="240" w:lineRule="auto"/>
        <w:ind w:firstLine="720"/>
        <w:rPr>
          <w:color w:val="000000"/>
          <w:sz w:val="23"/>
          <w:szCs w:val="23"/>
        </w:rPr>
      </w:pPr>
    </w:p>
    <w:p w14:paraId="59120C4D"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szCs w:val="24"/>
        </w:rPr>
        <w:t>3301.4.1 Inspection of equipment where the code does not specifically require an inspection.</w:t>
      </w:r>
      <w:r w:rsidRPr="00EC4EC4">
        <w:rPr>
          <w:rFonts w:eastAsia="Times New Roman" w:cs="Times New Roman"/>
          <w:szCs w:val="24"/>
        </w:rPr>
        <w:t xml:space="preserve">  Where this code does not specifically require an inspection, any equipment, except hand tools, that would affect the safety of the public [</w:t>
      </w:r>
      <w:r w:rsidRPr="00EC4EC4">
        <w:rPr>
          <w:rFonts w:eastAsia="Times New Roman" w:cs="Times New Roman"/>
          <w:strike/>
          <w:szCs w:val="24"/>
        </w:rPr>
        <w:t>and</w:t>
      </w:r>
      <w:r w:rsidRPr="00EC4EC4">
        <w:rPr>
          <w:rFonts w:eastAsia="Times New Roman" w:cs="Times New Roman"/>
          <w:szCs w:val="24"/>
        </w:rPr>
        <w:t>]</w:t>
      </w:r>
      <w:r w:rsidRPr="00EC4EC4">
        <w:rPr>
          <w:rFonts w:eastAsia="Times New Roman" w:cs="Times New Roman"/>
          <w:szCs w:val="24"/>
          <w:u w:val="single"/>
        </w:rPr>
        <w:t>or</w:t>
      </w:r>
      <w:r w:rsidRPr="00EC4EC4">
        <w:rPr>
          <w:rFonts w:eastAsia="Times New Roman" w:cs="Times New Roman"/>
          <w:szCs w:val="24"/>
        </w:rPr>
        <w:t xml:space="preserve"> property when operated shall be inspected by a competent person designated by the contractor using the equipment before the equipment is used at the site and on a periodic basis thereafter throughout the duration of the job. The results of the inspection shall be documented in an inspection checklist signed and dated by the competent person who performed the inspection.</w:t>
      </w:r>
    </w:p>
    <w:p w14:paraId="246EB9E5" w14:textId="5F0AD90B"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EF38BE">
        <w:rPr>
          <w:color w:val="000000"/>
          <w:sz w:val="23"/>
          <w:szCs w:val="23"/>
        </w:rPr>
        <w:t>51</w:t>
      </w:r>
      <w:r w:rsidRPr="00EC4EC4">
        <w:rPr>
          <w:color w:val="000000"/>
          <w:sz w:val="23"/>
          <w:szCs w:val="23"/>
        </w:rPr>
        <w:t>. Section 3301.5</w:t>
      </w:r>
      <w:r w:rsidRPr="00EC4EC4">
        <w:t xml:space="preserve"> of the New York city building code, as amended by local law number 126 for the year 2021, is amended to read as follows:</w:t>
      </w:r>
    </w:p>
    <w:p w14:paraId="46DE4A73" w14:textId="77777777" w:rsidR="00140B7C" w:rsidRPr="00EC4EC4" w:rsidRDefault="00140B7C" w:rsidP="00140B7C">
      <w:pPr>
        <w:pStyle w:val="DoubleSpaceParagaph"/>
        <w:spacing w:line="240" w:lineRule="auto"/>
        <w:ind w:firstLine="720"/>
        <w:rPr>
          <w:color w:val="000000"/>
          <w:sz w:val="23"/>
          <w:szCs w:val="23"/>
        </w:rPr>
      </w:pPr>
    </w:p>
    <w:p w14:paraId="58DB09D3" w14:textId="77777777" w:rsidR="00140B7C" w:rsidRPr="00B36D96" w:rsidRDefault="00140B7C" w:rsidP="00140B7C">
      <w:pPr>
        <w:kinsoku w:val="0"/>
        <w:spacing w:after="240" w:line="240" w:lineRule="auto"/>
        <w:jc w:val="both"/>
        <w:rPr>
          <w:rFonts w:eastAsia="Times New Roman" w:cs="Times New Roman"/>
          <w:szCs w:val="24"/>
        </w:rPr>
      </w:pPr>
      <w:r w:rsidRPr="00EC4EC4">
        <w:rPr>
          <w:rFonts w:eastAsia="Times New Roman" w:cs="Times New Roman"/>
          <w:b/>
          <w:szCs w:val="24"/>
        </w:rPr>
        <w:t>3301.5 Unsafe conditions.</w:t>
      </w:r>
      <w:r w:rsidRPr="00EC4EC4">
        <w:rPr>
          <w:rFonts w:eastAsia="Times New Roman" w:cs="Times New Roman"/>
          <w:szCs w:val="24"/>
        </w:rPr>
        <w:t xml:space="preserve"> Any structure, temporary construction installation, material, operation, or equipment found to be defective or unsafe, and posing a risk to the public [</w:t>
      </w:r>
      <w:r w:rsidRPr="00EC4EC4">
        <w:rPr>
          <w:rFonts w:eastAsia="Times New Roman" w:cs="Times New Roman"/>
          <w:strike/>
          <w:szCs w:val="24"/>
        </w:rPr>
        <w:t>and</w:t>
      </w:r>
      <w:r w:rsidRPr="00EC4EC4">
        <w:rPr>
          <w:rFonts w:eastAsia="Times New Roman" w:cs="Times New Roman"/>
          <w:szCs w:val="24"/>
        </w:rPr>
        <w:t>]</w:t>
      </w:r>
      <w:r w:rsidRPr="00EC4EC4">
        <w:rPr>
          <w:rFonts w:eastAsia="Times New Roman" w:cs="Times New Roman"/>
          <w:szCs w:val="24"/>
          <w:u w:val="single"/>
        </w:rPr>
        <w:t>or</w:t>
      </w:r>
      <w:r w:rsidRPr="00EC4EC4">
        <w:rPr>
          <w:rFonts w:eastAsia="Times New Roman" w:cs="Times New Roman"/>
          <w:szCs w:val="24"/>
        </w:rPr>
        <w:t xml:space="preserve"> property, shall be immediately secured and corrected, or removed from the site.</w:t>
      </w:r>
    </w:p>
    <w:p w14:paraId="6614BAA4" w14:textId="1B6382C5" w:rsidR="00140B7C" w:rsidRPr="00EC4EC4" w:rsidRDefault="00140B7C" w:rsidP="00140B7C">
      <w:pPr>
        <w:pStyle w:val="DoubleSpaceParagaph"/>
        <w:spacing w:line="240" w:lineRule="auto"/>
        <w:ind w:firstLine="720"/>
      </w:pPr>
      <w:bookmarkStart w:id="206" w:name="_Hlk115685007"/>
      <w:r w:rsidRPr="00EC4EC4">
        <w:rPr>
          <w:color w:val="000000"/>
          <w:sz w:val="23"/>
          <w:szCs w:val="23"/>
        </w:rPr>
        <w:t>§</w:t>
      </w:r>
      <w:r>
        <w:rPr>
          <w:color w:val="000000"/>
          <w:sz w:val="23"/>
          <w:szCs w:val="23"/>
        </w:rPr>
        <w:t>2</w:t>
      </w:r>
      <w:r w:rsidR="00EF38BE">
        <w:rPr>
          <w:color w:val="000000"/>
          <w:sz w:val="23"/>
          <w:szCs w:val="23"/>
        </w:rPr>
        <w:t>52</w:t>
      </w:r>
      <w:r w:rsidRPr="00EC4EC4">
        <w:rPr>
          <w:color w:val="000000"/>
          <w:sz w:val="23"/>
          <w:szCs w:val="23"/>
        </w:rPr>
        <w:t>. Section 3301.7.1</w:t>
      </w:r>
      <w:r w:rsidRPr="00EC4EC4">
        <w:t xml:space="preserve"> of the New York city building code, as amended by local law number 126 for the year 2021, is amended to read as follows:</w:t>
      </w:r>
    </w:p>
    <w:bookmarkEnd w:id="206"/>
    <w:p w14:paraId="4449215C" w14:textId="77777777" w:rsidR="00140B7C" w:rsidRPr="00EC4EC4" w:rsidRDefault="00140B7C" w:rsidP="00140B7C">
      <w:pPr>
        <w:kinsoku w:val="0"/>
        <w:spacing w:after="0" w:line="240" w:lineRule="auto"/>
        <w:jc w:val="both"/>
        <w:rPr>
          <w:rFonts w:eastAsia="Times New Roman" w:cs="Times New Roman"/>
          <w:b/>
          <w:szCs w:val="24"/>
        </w:rPr>
      </w:pPr>
    </w:p>
    <w:p w14:paraId="4491A2F5" w14:textId="77777777" w:rsidR="00140B7C" w:rsidRPr="00EC4EC4" w:rsidRDefault="00140B7C" w:rsidP="00140B7C">
      <w:pPr>
        <w:kinsoku w:val="0"/>
        <w:spacing w:after="0" w:line="240" w:lineRule="auto"/>
        <w:jc w:val="both"/>
        <w:rPr>
          <w:rFonts w:eastAsia="Times New Roman" w:cs="Times New Roman"/>
          <w:szCs w:val="24"/>
        </w:rPr>
      </w:pPr>
      <w:r w:rsidRPr="00EC4EC4">
        <w:rPr>
          <w:rFonts w:eastAsia="Times New Roman" w:cs="Times New Roman"/>
          <w:b/>
          <w:szCs w:val="24"/>
          <w:u w:val="single"/>
        </w:rPr>
        <w:t>3301.7.1</w:t>
      </w:r>
      <w:r w:rsidRPr="00EC4EC4">
        <w:rPr>
          <w:rFonts w:eastAsia="Times New Roman" w:cs="Times New Roman"/>
          <w:b/>
          <w:szCs w:val="24"/>
        </w:rPr>
        <w:t xml:space="preserve"> Other obligations.</w:t>
      </w:r>
      <w:r w:rsidRPr="00EC4EC4">
        <w:rPr>
          <w:rFonts w:eastAsia="Times New Roman" w:cs="Times New Roman"/>
          <w:szCs w:val="24"/>
        </w:rPr>
        <w:t xml:space="preserve"> Where this chapter requires documents to be maintained by another specified entity, such documents shall be maintained by such specified entity.</w:t>
      </w:r>
    </w:p>
    <w:p w14:paraId="2225775C" w14:textId="77777777" w:rsidR="00140B7C" w:rsidRPr="00EC4EC4" w:rsidRDefault="00140B7C" w:rsidP="00140B7C">
      <w:pPr>
        <w:widowControl w:val="0"/>
        <w:kinsoku w:val="0"/>
        <w:spacing w:before="120" w:after="120" w:line="240" w:lineRule="auto"/>
        <w:jc w:val="center"/>
        <w:rPr>
          <w:rFonts w:ascii="Arial" w:eastAsia="Times New Roman" w:hAnsi="Arial" w:cs="Arial"/>
          <w:b/>
          <w:szCs w:val="24"/>
        </w:rPr>
      </w:pPr>
    </w:p>
    <w:p w14:paraId="1260BC8C" w14:textId="232FCC59"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EF38BE">
        <w:rPr>
          <w:color w:val="000000"/>
          <w:sz w:val="23"/>
          <w:szCs w:val="23"/>
        </w:rPr>
        <w:t>53</w:t>
      </w:r>
      <w:r w:rsidRPr="00EC4EC4">
        <w:rPr>
          <w:color w:val="000000"/>
          <w:sz w:val="23"/>
          <w:szCs w:val="23"/>
        </w:rPr>
        <w:t>. Figures</w:t>
      </w:r>
      <w:r w:rsidRPr="00EC4EC4">
        <w:t xml:space="preserve">  3301.9.1.4(1), 3301.9.1.4(2), 3301.9.1.4(3) of the New York city building code, as </w:t>
      </w:r>
      <w:r>
        <w:t>amended</w:t>
      </w:r>
      <w:r w:rsidRPr="00EC4EC4">
        <w:t xml:space="preserve"> by local law number </w:t>
      </w:r>
      <w:r>
        <w:t>126</w:t>
      </w:r>
      <w:r w:rsidRPr="00EC4EC4">
        <w:t xml:space="preserve"> for the year </w:t>
      </w:r>
      <w:r>
        <w:t>2021</w:t>
      </w:r>
      <w:r w:rsidRPr="00EC4EC4">
        <w:t>, is amended to read as follows:</w:t>
      </w:r>
    </w:p>
    <w:p w14:paraId="242DFC36" w14:textId="77777777" w:rsidR="00140B7C" w:rsidRPr="00EC4EC4" w:rsidRDefault="00140B7C" w:rsidP="00140B7C">
      <w:pPr>
        <w:widowControl w:val="0"/>
        <w:kinsoku w:val="0"/>
        <w:spacing w:before="120" w:after="120" w:line="240" w:lineRule="auto"/>
        <w:jc w:val="center"/>
        <w:rPr>
          <w:rFonts w:ascii="Arial" w:eastAsia="Times New Roman" w:hAnsi="Arial" w:cs="Arial"/>
          <w:b/>
          <w:szCs w:val="24"/>
        </w:rPr>
      </w:pPr>
    </w:p>
    <w:p w14:paraId="133163AF" w14:textId="77777777" w:rsidR="00140B7C" w:rsidRPr="00EC4EC4" w:rsidRDefault="00140B7C" w:rsidP="00140B7C">
      <w:pPr>
        <w:widowControl w:val="0"/>
        <w:kinsoku w:val="0"/>
        <w:spacing w:before="120" w:after="120" w:line="240" w:lineRule="auto"/>
        <w:jc w:val="center"/>
        <w:rPr>
          <w:rFonts w:ascii="Arial" w:eastAsia="Times New Roman" w:hAnsi="Arial" w:cs="Arial"/>
          <w:b/>
          <w:szCs w:val="24"/>
        </w:rPr>
      </w:pPr>
      <w:r w:rsidRPr="00EC4EC4">
        <w:rPr>
          <w:rFonts w:ascii="Arial" w:eastAsia="Times New Roman" w:hAnsi="Arial" w:cs="Arial"/>
          <w:b/>
          <w:noProof/>
          <w:szCs w:val="24"/>
        </w:rPr>
        <w:drawing>
          <wp:inline distT="0" distB="0" distL="0" distR="0" wp14:anchorId="15C19FD0" wp14:editId="401CBD63">
            <wp:extent cx="4078605" cy="3438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8605" cy="3438525"/>
                    </a:xfrm>
                    <a:prstGeom prst="rect">
                      <a:avLst/>
                    </a:prstGeom>
                    <a:noFill/>
                  </pic:spPr>
                </pic:pic>
              </a:graphicData>
            </a:graphic>
          </wp:inline>
        </w:drawing>
      </w:r>
    </w:p>
    <w:p w14:paraId="68C9EFA9" w14:textId="77777777" w:rsidR="00140B7C" w:rsidRPr="00EC4EC4" w:rsidRDefault="00140B7C" w:rsidP="00140B7C">
      <w:pPr>
        <w:widowControl w:val="0"/>
        <w:kinsoku w:val="0"/>
        <w:spacing w:after="0" w:line="240" w:lineRule="auto"/>
        <w:jc w:val="center"/>
        <w:rPr>
          <w:rFonts w:eastAsia="Times New Roman" w:cs="Times New Roman"/>
          <w:b/>
          <w:sz w:val="20"/>
          <w:szCs w:val="20"/>
        </w:rPr>
      </w:pPr>
      <w:r w:rsidRPr="00EC4EC4">
        <w:rPr>
          <w:rFonts w:eastAsia="Times New Roman" w:cs="Times New Roman"/>
          <w:b/>
          <w:sz w:val="20"/>
          <w:szCs w:val="20"/>
        </w:rPr>
        <w:t>FIGURE 3301.9.1.4(1)</w:t>
      </w:r>
      <w:r w:rsidRPr="00EC4EC4">
        <w:rPr>
          <w:rFonts w:eastAsia="Times New Roman" w:cs="Times New Roman"/>
          <w:b/>
          <w:sz w:val="20"/>
          <w:szCs w:val="20"/>
        </w:rPr>
        <w:br/>
        <w:t>FENCE PROJECT INFORMATION PANEL TEXT DETAIL</w:t>
      </w:r>
    </w:p>
    <w:p w14:paraId="25FC245A" w14:textId="77777777" w:rsidR="00140B7C" w:rsidRPr="00805CE3" w:rsidRDefault="00140B7C" w:rsidP="00140B7C">
      <w:pPr>
        <w:widowControl w:val="0"/>
        <w:kinsoku w:val="0"/>
        <w:spacing w:after="0" w:line="240" w:lineRule="auto"/>
        <w:jc w:val="center"/>
        <w:rPr>
          <w:rFonts w:eastAsia="Times New Roman" w:cs="Times New Roman"/>
          <w:b/>
          <w:sz w:val="20"/>
          <w:szCs w:val="20"/>
          <w:u w:val="single"/>
        </w:rPr>
      </w:pPr>
      <w:r w:rsidRPr="00805CE3">
        <w:rPr>
          <w:rFonts w:eastAsia="Times New Roman" w:cs="Times New Roman"/>
          <w:b/>
          <w:sz w:val="20"/>
          <w:szCs w:val="20"/>
          <w:u w:val="single"/>
        </w:rPr>
        <w:t>For SI: 1 inch = 25.4 mm, 1 foot = 304.8 mm.</w:t>
      </w:r>
    </w:p>
    <w:p w14:paraId="550B5122" w14:textId="77777777" w:rsidR="00140B7C" w:rsidRPr="00EC4EC4" w:rsidRDefault="00140B7C" w:rsidP="00140B7C">
      <w:pPr>
        <w:widowControl w:val="0"/>
        <w:kinsoku w:val="0"/>
        <w:spacing w:before="120" w:after="120" w:line="240" w:lineRule="auto"/>
        <w:ind w:left="216"/>
        <w:jc w:val="center"/>
        <w:rPr>
          <w:rFonts w:ascii="Arial" w:eastAsia="Times New Roman" w:hAnsi="Arial" w:cs="Arial"/>
          <w:b/>
          <w:szCs w:val="24"/>
        </w:rPr>
      </w:pPr>
      <w:r w:rsidRPr="00EC4EC4">
        <w:rPr>
          <w:rFonts w:eastAsia="Times New Roman" w:cs="Times New Roman"/>
          <w:noProof/>
          <w:szCs w:val="24"/>
        </w:rPr>
        <w:lastRenderedPageBreak/>
        <w:drawing>
          <wp:inline distT="0" distB="0" distL="0" distR="0" wp14:anchorId="299A679B" wp14:editId="23855F01">
            <wp:extent cx="4723130" cy="3212465"/>
            <wp:effectExtent l="0" t="0" r="1270" b="6985"/>
            <wp:docPr id="40" name="Picture 1" descr="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3130" cy="3212465"/>
                    </a:xfrm>
                    <a:prstGeom prst="rect">
                      <a:avLst/>
                    </a:prstGeom>
                    <a:noFill/>
                    <a:ln>
                      <a:noFill/>
                    </a:ln>
                  </pic:spPr>
                </pic:pic>
              </a:graphicData>
            </a:graphic>
          </wp:inline>
        </w:drawing>
      </w:r>
    </w:p>
    <w:p w14:paraId="2E346749" w14:textId="77777777" w:rsidR="00140B7C" w:rsidRPr="00EC4EC4" w:rsidRDefault="00140B7C" w:rsidP="00140B7C">
      <w:pPr>
        <w:widowControl w:val="0"/>
        <w:kinsoku w:val="0"/>
        <w:spacing w:after="0" w:line="240" w:lineRule="auto"/>
        <w:jc w:val="center"/>
        <w:rPr>
          <w:rFonts w:eastAsia="Times New Roman" w:cs="Times New Roman"/>
          <w:b/>
          <w:sz w:val="20"/>
          <w:szCs w:val="20"/>
        </w:rPr>
      </w:pPr>
      <w:r w:rsidRPr="00EC4EC4">
        <w:rPr>
          <w:rFonts w:eastAsia="Times New Roman" w:cs="Times New Roman"/>
          <w:b/>
          <w:sz w:val="20"/>
          <w:szCs w:val="20"/>
        </w:rPr>
        <w:t>FIGURE 3301.9.1.4(2)</w:t>
      </w:r>
      <w:r w:rsidRPr="00EC4EC4">
        <w:rPr>
          <w:rFonts w:eastAsia="Times New Roman" w:cs="Times New Roman"/>
          <w:b/>
          <w:sz w:val="20"/>
          <w:szCs w:val="20"/>
        </w:rPr>
        <w:br/>
        <w:t>FENCE PROJECT INFORMATION PANEL LAYOUT</w:t>
      </w:r>
    </w:p>
    <w:p w14:paraId="2B6B1E82" w14:textId="77777777" w:rsidR="00140B7C" w:rsidRPr="00805CE3" w:rsidRDefault="00140B7C" w:rsidP="00140B7C">
      <w:pPr>
        <w:widowControl w:val="0"/>
        <w:kinsoku w:val="0"/>
        <w:spacing w:after="0" w:line="240" w:lineRule="auto"/>
        <w:jc w:val="center"/>
        <w:rPr>
          <w:rFonts w:eastAsia="Times New Roman" w:cs="Times New Roman"/>
          <w:b/>
          <w:sz w:val="20"/>
          <w:szCs w:val="20"/>
          <w:u w:val="single"/>
        </w:rPr>
      </w:pPr>
      <w:r w:rsidRPr="00805CE3">
        <w:rPr>
          <w:rFonts w:eastAsia="Times New Roman" w:cs="Times New Roman"/>
          <w:b/>
          <w:sz w:val="20"/>
          <w:szCs w:val="20"/>
          <w:u w:val="single"/>
        </w:rPr>
        <w:t>For SI: 1 inch = 25.4 mm, 1 foot = 304.8 mm.</w:t>
      </w:r>
    </w:p>
    <w:p w14:paraId="477E238A" w14:textId="77777777" w:rsidR="00140B7C" w:rsidRPr="00EC4EC4" w:rsidRDefault="00140B7C" w:rsidP="00140B7C">
      <w:pPr>
        <w:widowControl w:val="0"/>
        <w:kinsoku w:val="0"/>
        <w:spacing w:before="120" w:after="120" w:line="240" w:lineRule="auto"/>
        <w:jc w:val="center"/>
        <w:rPr>
          <w:rFonts w:eastAsia="Times New Roman" w:cs="Times New Roman"/>
          <w:b/>
          <w:sz w:val="20"/>
          <w:szCs w:val="20"/>
        </w:rPr>
      </w:pPr>
    </w:p>
    <w:p w14:paraId="4D263575" w14:textId="77777777" w:rsidR="00140B7C" w:rsidRPr="00EC4EC4" w:rsidRDefault="00140B7C" w:rsidP="00140B7C">
      <w:pPr>
        <w:widowControl w:val="0"/>
        <w:kinsoku w:val="0"/>
        <w:spacing w:before="120" w:after="120" w:line="240" w:lineRule="auto"/>
        <w:ind w:left="216"/>
        <w:jc w:val="center"/>
        <w:rPr>
          <w:rFonts w:ascii="Arial" w:eastAsia="Times New Roman" w:hAnsi="Arial" w:cs="Arial"/>
          <w:b/>
          <w:szCs w:val="24"/>
        </w:rPr>
      </w:pPr>
    </w:p>
    <w:p w14:paraId="4DDD988E" w14:textId="77777777" w:rsidR="00140B7C" w:rsidRPr="00EC4EC4" w:rsidRDefault="00140B7C" w:rsidP="00140B7C">
      <w:pPr>
        <w:widowControl w:val="0"/>
        <w:kinsoku w:val="0"/>
        <w:spacing w:before="120" w:after="120" w:line="240" w:lineRule="auto"/>
        <w:ind w:left="216"/>
        <w:jc w:val="center"/>
        <w:rPr>
          <w:rFonts w:ascii="Arial" w:eastAsia="Times New Roman" w:hAnsi="Arial" w:cs="Arial"/>
          <w:b/>
          <w:szCs w:val="24"/>
        </w:rPr>
      </w:pPr>
      <w:r w:rsidRPr="00EC4EC4">
        <w:rPr>
          <w:rFonts w:ascii="Arial" w:eastAsia="Times New Roman" w:hAnsi="Arial" w:cs="Arial"/>
          <w:b/>
          <w:noProof/>
          <w:szCs w:val="24"/>
        </w:rPr>
        <w:drawing>
          <wp:inline distT="0" distB="0" distL="0" distR="0" wp14:anchorId="4E9A7DF5" wp14:editId="17DEFC9E">
            <wp:extent cx="4953000" cy="3040380"/>
            <wp:effectExtent l="0" t="0" r="0" b="7620"/>
            <wp:docPr id="68" name="Picture 68" descr="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3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3040380"/>
                    </a:xfrm>
                    <a:prstGeom prst="rect">
                      <a:avLst/>
                    </a:prstGeom>
                    <a:noFill/>
                    <a:ln>
                      <a:noFill/>
                    </a:ln>
                  </pic:spPr>
                </pic:pic>
              </a:graphicData>
            </a:graphic>
          </wp:inline>
        </w:drawing>
      </w:r>
    </w:p>
    <w:p w14:paraId="49324B43" w14:textId="77777777" w:rsidR="00140B7C" w:rsidRPr="00EC4EC4" w:rsidRDefault="00140B7C" w:rsidP="00140B7C">
      <w:pPr>
        <w:pStyle w:val="HeadingCaps"/>
        <w:spacing w:after="0"/>
        <w:rPr>
          <w:b w:val="0"/>
          <w:sz w:val="20"/>
        </w:rPr>
      </w:pPr>
      <w:r w:rsidRPr="00EC4EC4">
        <w:rPr>
          <w:b w:val="0"/>
          <w:sz w:val="20"/>
        </w:rPr>
        <w:t>FIGURE 3301.9.1.4(3)</w:t>
      </w:r>
      <w:r w:rsidRPr="00EC4EC4">
        <w:rPr>
          <w:b w:val="0"/>
          <w:sz w:val="20"/>
        </w:rPr>
        <w:br/>
        <w:t>FENCE PROJECT INFORMATION PANEL LAYOUT FOR SMALL LOTS</w:t>
      </w:r>
    </w:p>
    <w:p w14:paraId="297E34B7" w14:textId="77777777" w:rsidR="00140B7C" w:rsidRPr="00805CE3" w:rsidRDefault="00140B7C" w:rsidP="00140B7C">
      <w:pPr>
        <w:kinsoku w:val="0"/>
        <w:spacing w:after="240" w:line="240" w:lineRule="auto"/>
        <w:ind w:left="2160" w:firstLine="720"/>
        <w:jc w:val="both"/>
        <w:rPr>
          <w:rFonts w:eastAsia="Times New Roman" w:cs="Times New Roman"/>
          <w:b/>
          <w:bCs/>
          <w:sz w:val="20"/>
          <w:szCs w:val="20"/>
          <w:u w:val="single"/>
        </w:rPr>
      </w:pPr>
      <w:r w:rsidRPr="00805CE3">
        <w:rPr>
          <w:rFonts w:eastAsia="Times New Roman" w:cs="Times New Roman"/>
          <w:b/>
          <w:bCs/>
          <w:sz w:val="20"/>
          <w:szCs w:val="20"/>
          <w:u w:val="single"/>
        </w:rPr>
        <w:t>For SI: 1 inch = 25.4 mm, 1 foot = 304.8 mm.</w:t>
      </w:r>
    </w:p>
    <w:p w14:paraId="69B90F1E" w14:textId="77777777" w:rsidR="00140B7C" w:rsidRPr="00EC4EC4" w:rsidRDefault="00140B7C" w:rsidP="00140B7C">
      <w:pPr>
        <w:pStyle w:val="DoubleSpaceParagaph"/>
        <w:spacing w:line="240" w:lineRule="auto"/>
        <w:ind w:firstLine="720"/>
        <w:rPr>
          <w:color w:val="000000"/>
          <w:sz w:val="23"/>
          <w:szCs w:val="23"/>
        </w:rPr>
      </w:pPr>
    </w:p>
    <w:p w14:paraId="7B85EC67" w14:textId="0A601900"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25</w:t>
      </w:r>
      <w:r w:rsidR="00814EF1">
        <w:rPr>
          <w:color w:val="000000"/>
          <w:sz w:val="23"/>
          <w:szCs w:val="23"/>
        </w:rPr>
        <w:t>4</w:t>
      </w:r>
      <w:r w:rsidRPr="00EC4EC4">
        <w:rPr>
          <w:color w:val="000000"/>
          <w:sz w:val="23"/>
          <w:szCs w:val="23"/>
        </w:rPr>
        <w:t>. Section 3301.13.6</w:t>
      </w:r>
      <w:r w:rsidRPr="00EC4EC4">
        <w:t xml:space="preserve"> of the New York city building code, as </w:t>
      </w:r>
      <w:r>
        <w:t>amended</w:t>
      </w:r>
      <w:r w:rsidRPr="00EC4EC4">
        <w:t xml:space="preserve"> by local law number </w:t>
      </w:r>
      <w:r>
        <w:t>126</w:t>
      </w:r>
      <w:r w:rsidRPr="00EC4EC4">
        <w:t xml:space="preserve"> for the year </w:t>
      </w:r>
      <w:r>
        <w:t>2021</w:t>
      </w:r>
      <w:r w:rsidRPr="00EC4EC4">
        <w:t>, is amended to read as follows:</w:t>
      </w:r>
    </w:p>
    <w:p w14:paraId="5BCB2AF2" w14:textId="77777777" w:rsidR="00140B7C" w:rsidRPr="00EC4EC4" w:rsidRDefault="00140B7C" w:rsidP="00140B7C">
      <w:pPr>
        <w:kinsoku w:val="0"/>
        <w:spacing w:after="0" w:line="240" w:lineRule="auto"/>
        <w:jc w:val="both"/>
        <w:rPr>
          <w:rFonts w:eastAsia="Times New Roman" w:cs="Times New Roman"/>
          <w:b/>
          <w:szCs w:val="24"/>
        </w:rPr>
      </w:pPr>
    </w:p>
    <w:p w14:paraId="1C3B65C0" w14:textId="77777777" w:rsidR="00140B7C" w:rsidRPr="00EC4EC4" w:rsidRDefault="00140B7C" w:rsidP="00140B7C">
      <w:pPr>
        <w:kinsoku w:val="0"/>
        <w:spacing w:after="0" w:line="240" w:lineRule="atLeast"/>
        <w:jc w:val="both"/>
        <w:rPr>
          <w:rFonts w:eastAsia="Times New Roman" w:cs="Times New Roman"/>
          <w:szCs w:val="24"/>
        </w:rPr>
      </w:pPr>
      <w:r w:rsidRPr="00EC4EC4">
        <w:rPr>
          <w:rFonts w:eastAsia="Times New Roman" w:cs="Times New Roman"/>
          <w:b/>
          <w:szCs w:val="24"/>
        </w:rPr>
        <w:t>3301.13.6 Limitations on the designation of primary or alternate construction superintendents.</w:t>
      </w:r>
      <w:r w:rsidRPr="00EC4EC4">
        <w:rPr>
          <w:rFonts w:eastAsia="Times New Roman" w:cs="Times New Roman"/>
          <w:szCs w:val="24"/>
        </w:rPr>
        <w:t xml:space="preserve"> An individual may only be designated as a primary or alternate construction superintendent for that number of jobs for which he or she can adequately perform all required duties. No individual may be designated as the primary construction superintendent on more than ten jobs.</w:t>
      </w:r>
    </w:p>
    <w:p w14:paraId="2DBB3671" w14:textId="77777777" w:rsidR="00140B7C" w:rsidRPr="00EC4EC4" w:rsidRDefault="00140B7C" w:rsidP="00140B7C">
      <w:pPr>
        <w:kinsoku w:val="0"/>
        <w:spacing w:after="0" w:line="240" w:lineRule="atLeast"/>
        <w:ind w:firstLine="720"/>
        <w:jc w:val="both"/>
        <w:rPr>
          <w:b/>
          <w:bCs/>
        </w:rPr>
      </w:pPr>
    </w:p>
    <w:p w14:paraId="02244FAB" w14:textId="77777777" w:rsidR="00140B7C" w:rsidRPr="00EC4EC4" w:rsidRDefault="00140B7C" w:rsidP="00140B7C">
      <w:pPr>
        <w:kinsoku w:val="0"/>
        <w:spacing w:after="240" w:line="240" w:lineRule="auto"/>
        <w:ind w:firstLine="720"/>
        <w:jc w:val="both"/>
        <w:rPr>
          <w:b/>
          <w:bCs/>
        </w:rPr>
      </w:pPr>
      <w:r w:rsidRPr="00EC4EC4">
        <w:rPr>
          <w:b/>
          <w:bCs/>
        </w:rPr>
        <w:t xml:space="preserve">Exceptions: </w:t>
      </w:r>
    </w:p>
    <w:p w14:paraId="4610F297" w14:textId="77777777" w:rsidR="00140B7C" w:rsidRPr="00EC4EC4" w:rsidRDefault="00140B7C" w:rsidP="00140B7C">
      <w:pPr>
        <w:kinsoku w:val="0"/>
        <w:spacing w:after="240" w:line="240" w:lineRule="auto"/>
        <w:ind w:left="1170" w:hanging="270"/>
        <w:jc w:val="both"/>
      </w:pPr>
      <w:r w:rsidRPr="00EC4EC4">
        <w:t xml:space="preserve">1. If one of the jobs for which the construction superintendent is designated as a primary construction superintendent is on a building that meets the definition of a major building, the individual may only be designated as the primary construction superintendent for that job and may not serve as the primary construction superintendent for any other job. </w:t>
      </w:r>
    </w:p>
    <w:p w14:paraId="13376FCA" w14:textId="77777777" w:rsidR="00140B7C" w:rsidRPr="00EC4EC4" w:rsidRDefault="00140B7C" w:rsidP="00140B7C">
      <w:pPr>
        <w:kinsoku w:val="0"/>
        <w:spacing w:after="240" w:line="240" w:lineRule="auto"/>
        <w:ind w:left="1170" w:hanging="270"/>
        <w:jc w:val="both"/>
      </w:pPr>
      <w:r w:rsidRPr="00EC4EC4">
        <w:t>2. Notwithstanding [</w:t>
      </w:r>
      <w:r w:rsidRPr="00EC4EC4">
        <w:rPr>
          <w:strike/>
        </w:rPr>
        <w:t>exception</w:t>
      </w:r>
      <w:r w:rsidRPr="00EC4EC4">
        <w:t>]</w:t>
      </w:r>
      <w:r w:rsidRPr="00EC4EC4">
        <w:rPr>
          <w:u w:val="single"/>
        </w:rPr>
        <w:t>Exception</w:t>
      </w:r>
      <w:r w:rsidRPr="00EC4EC4">
        <w:t xml:space="preserve"> 1, beginning on June 1, 2022, no individual may be designated as the primary construction superintendent for more than five jobs. </w:t>
      </w:r>
    </w:p>
    <w:p w14:paraId="50C85633" w14:textId="77777777" w:rsidR="00140B7C" w:rsidRPr="00EC4EC4" w:rsidRDefault="00140B7C" w:rsidP="00140B7C">
      <w:pPr>
        <w:kinsoku w:val="0"/>
        <w:spacing w:after="240" w:line="240" w:lineRule="auto"/>
        <w:ind w:left="1170" w:hanging="270"/>
        <w:jc w:val="both"/>
      </w:pPr>
      <w:r w:rsidRPr="00EC4EC4">
        <w:lastRenderedPageBreak/>
        <w:t>3. Notwithstanding [</w:t>
      </w:r>
      <w:r w:rsidRPr="00EC4EC4">
        <w:rPr>
          <w:strike/>
        </w:rPr>
        <w:t>exception</w:t>
      </w:r>
      <w:r w:rsidRPr="00EC4EC4">
        <w:t>]</w:t>
      </w:r>
      <w:r w:rsidRPr="00EC4EC4">
        <w:rPr>
          <w:u w:val="single"/>
        </w:rPr>
        <w:t>Exception</w:t>
      </w:r>
      <w:r w:rsidRPr="00EC4EC4">
        <w:t xml:space="preserve"> 1, beginning on January 1, 2024 or a later date established by the department, provided that such date is not later than January 1, 2025, no individual may be designated as the primary construction superintendent for more than three jobs. </w:t>
      </w:r>
    </w:p>
    <w:p w14:paraId="309FB6BF" w14:textId="77777777" w:rsidR="00140B7C" w:rsidRPr="00EC4EC4" w:rsidRDefault="00140B7C" w:rsidP="00140B7C">
      <w:pPr>
        <w:kinsoku w:val="0"/>
        <w:spacing w:after="240" w:line="240" w:lineRule="auto"/>
        <w:ind w:left="1170" w:hanging="270"/>
        <w:jc w:val="both"/>
      </w:pPr>
      <w:r w:rsidRPr="00EC4EC4">
        <w:t>4. Notwithstanding [</w:t>
      </w:r>
      <w:r w:rsidRPr="00EC4EC4">
        <w:rPr>
          <w:strike/>
        </w:rPr>
        <w:t>exception</w:t>
      </w:r>
      <w:r w:rsidRPr="00EC4EC4">
        <w:t>]</w:t>
      </w:r>
      <w:r w:rsidRPr="00EC4EC4">
        <w:rPr>
          <w:u w:val="single"/>
        </w:rPr>
        <w:t>Exception</w:t>
      </w:r>
      <w:r w:rsidRPr="00EC4EC4">
        <w:t xml:space="preserve"> 1, beginning on January 1, 2026 or a later date established by the department, provided that such date is not later than January 1, 2027, no individual may be designated as the primary construction superintendent for more than one job. </w:t>
      </w:r>
    </w:p>
    <w:p w14:paraId="7A329D84" w14:textId="77777777" w:rsidR="00140B7C" w:rsidRPr="00EC4EC4" w:rsidRDefault="00140B7C" w:rsidP="00140B7C">
      <w:pPr>
        <w:kinsoku w:val="0"/>
        <w:spacing w:after="240" w:line="240" w:lineRule="auto"/>
        <w:ind w:left="1170" w:hanging="270"/>
        <w:jc w:val="both"/>
      </w:pPr>
      <w:r w:rsidRPr="00EC4EC4">
        <w:t xml:space="preserve">5. A construction superintendent designated as the primary construction superintendent at a job site may serve as a non-primary construction superintendent at another job site, provided there is no work requiring the presence of such individual occurring at the job site for which the individual has been designated as the primary construction superintendent. </w:t>
      </w:r>
    </w:p>
    <w:p w14:paraId="02D1D2E2" w14:textId="77777777" w:rsidR="00140B7C" w:rsidRPr="00EC4EC4" w:rsidRDefault="00140B7C" w:rsidP="00140B7C">
      <w:pPr>
        <w:kinsoku w:val="0"/>
        <w:spacing w:after="240" w:line="240" w:lineRule="auto"/>
        <w:ind w:left="1170" w:hanging="270"/>
        <w:jc w:val="both"/>
        <w:rPr>
          <w:rFonts w:eastAsia="Times New Roman" w:cs="Times New Roman"/>
          <w:szCs w:val="24"/>
        </w:rPr>
      </w:pPr>
      <w:r w:rsidRPr="00EC4EC4">
        <w:t xml:space="preserve">6. Subject to the approval of the commissioner, a construction superintendent may serve as the primary construction superintendent for multiple non-major building jobs located on the same lot or on contiguous lots. </w:t>
      </w:r>
    </w:p>
    <w:p w14:paraId="4693DA61" w14:textId="0E007B79"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color w:val="000000"/>
          <w:sz w:val="23"/>
          <w:szCs w:val="23"/>
        </w:rPr>
        <w:t>§</w:t>
      </w:r>
      <w:r>
        <w:rPr>
          <w:rFonts w:cs="Times New Roman"/>
          <w:color w:val="000000"/>
          <w:sz w:val="23"/>
          <w:szCs w:val="23"/>
        </w:rPr>
        <w:t>25</w:t>
      </w:r>
      <w:r w:rsidR="00814EF1">
        <w:rPr>
          <w:rFonts w:cs="Times New Roman"/>
          <w:color w:val="000000"/>
          <w:sz w:val="23"/>
          <w:szCs w:val="23"/>
        </w:rPr>
        <w:t>5</w:t>
      </w:r>
      <w:r w:rsidRPr="00EC4EC4">
        <w:rPr>
          <w:rFonts w:cs="Times New Roman"/>
          <w:color w:val="000000"/>
          <w:sz w:val="23"/>
          <w:szCs w:val="23"/>
        </w:rPr>
        <w:t>. Section 3301.13.7 of  the New York city building code, as amended by local law number 126 for the year 2021, is amended to read as follows:</w:t>
      </w:r>
    </w:p>
    <w:p w14:paraId="312D9083" w14:textId="77777777" w:rsidR="00140B7C" w:rsidRPr="00EC4EC4" w:rsidRDefault="00140B7C" w:rsidP="00140B7C">
      <w:pPr>
        <w:kinsoku w:val="0"/>
        <w:spacing w:after="240" w:line="240" w:lineRule="auto"/>
        <w:ind w:left="360"/>
        <w:jc w:val="both"/>
        <w:rPr>
          <w:rFonts w:eastAsia="Times New Roman" w:cs="Times New Roman"/>
          <w:szCs w:val="24"/>
        </w:rPr>
      </w:pPr>
      <w:bookmarkStart w:id="207" w:name="_Hlk48896789"/>
      <w:r w:rsidRPr="00EC4EC4">
        <w:rPr>
          <w:rFonts w:eastAsia="Times New Roman" w:cs="Times New Roman"/>
          <w:b/>
          <w:szCs w:val="24"/>
        </w:rPr>
        <w:t>3301.13.7 Duties of construction superintendents.</w:t>
      </w:r>
      <w:r w:rsidRPr="00EC4EC4">
        <w:rPr>
          <w:rFonts w:eastAsia="Times New Roman" w:cs="Times New Roman"/>
          <w:szCs w:val="24"/>
        </w:rPr>
        <w:t xml:space="preserve"> The duties of a construction superintendent shall include:</w:t>
      </w:r>
    </w:p>
    <w:p w14:paraId="3C0DB0D4"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Acting in a reasonable and responsible manner to maintain a safe job site and ensure compliance with this chapter and any rules promulgated thereunder at each job site for which the construction superintendent is responsible;</w:t>
      </w:r>
    </w:p>
    <w:p w14:paraId="74459A8A"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To the extent that a registered design professional or special inspection agency is not responsible, the construction superintendent must ensure compliance with the approved documents at each job site for which the construction superintendent is responsible;</w:t>
      </w:r>
    </w:p>
    <w:p w14:paraId="2D46A50F"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 xml:space="preserve">Fulfilling the duties of a superintendent of construction assigned by Chapter 1 of Title 28 of the </w:t>
      </w:r>
      <w:r w:rsidRPr="00EC4EC4">
        <w:rPr>
          <w:rFonts w:eastAsia="Times New Roman" w:cs="Times New Roman"/>
          <w:i/>
          <w:szCs w:val="24"/>
        </w:rPr>
        <w:t>Administrative Code</w:t>
      </w:r>
      <w:r w:rsidRPr="00EC4EC4">
        <w:rPr>
          <w:rFonts w:eastAsia="Times New Roman" w:cs="Times New Roman"/>
          <w:szCs w:val="24"/>
        </w:rPr>
        <w:t xml:space="preserve"> at each job site for which the construction superintendent is responsible; and</w:t>
      </w:r>
    </w:p>
    <w:p w14:paraId="0A36ECEC"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t>4. Visiting each job site for which the construction superintendent is responsible each day when active work is occurring; or, beginning January 1, 2026 or a later date established by the department, provided that such date is not later than January 1, 2027, where Section 3301.13.6 requires the construction superintendent to be dedicated to one job, being present at the job site for which the construction superintendent is responsible during all times when active work is occurring.</w:t>
      </w:r>
    </w:p>
    <w:p w14:paraId="782BBD3F" w14:textId="77777777" w:rsidR="00140B7C" w:rsidRPr="00EC4EC4" w:rsidRDefault="00140B7C" w:rsidP="00140B7C">
      <w:pPr>
        <w:kinsoku w:val="0"/>
        <w:spacing w:after="240" w:line="240" w:lineRule="auto"/>
        <w:ind w:left="720"/>
        <w:jc w:val="both"/>
      </w:pPr>
      <w:r w:rsidRPr="00EC4EC4">
        <w:rPr>
          <w:b/>
          <w:bCs/>
        </w:rPr>
        <w:t>Exception:</w:t>
      </w:r>
      <w:r w:rsidRPr="00EC4EC4">
        <w:t xml:space="preserve"> The construction superintendent is not required to be present at the site during the following activities, provided no other work is in progress: </w:t>
      </w:r>
    </w:p>
    <w:p w14:paraId="41081DD6" w14:textId="77777777" w:rsidR="00140B7C" w:rsidRPr="00EC4EC4" w:rsidRDefault="00140B7C" w:rsidP="00140B7C">
      <w:pPr>
        <w:kinsoku w:val="0"/>
        <w:spacing w:after="240" w:line="240" w:lineRule="auto"/>
        <w:ind w:left="1440" w:hanging="360"/>
        <w:jc w:val="both"/>
      </w:pPr>
      <w:r w:rsidRPr="00EC4EC4">
        <w:t xml:space="preserve">1. Surveying that does not involve the disturbance of material, structure, or earth; </w:t>
      </w:r>
    </w:p>
    <w:p w14:paraId="6F6D6FA2" w14:textId="77777777" w:rsidR="00140B7C" w:rsidRPr="00EC4EC4" w:rsidRDefault="00140B7C" w:rsidP="00140B7C">
      <w:pPr>
        <w:kinsoku w:val="0"/>
        <w:spacing w:after="240" w:line="240" w:lineRule="auto"/>
        <w:ind w:left="1440" w:hanging="360"/>
        <w:jc w:val="both"/>
      </w:pPr>
      <w:r w:rsidRPr="00EC4EC4">
        <w:t xml:space="preserve">2. Use of a hoist exterior to the building to transport personnel only; </w:t>
      </w:r>
    </w:p>
    <w:p w14:paraId="54609256" w14:textId="77777777" w:rsidR="00140B7C" w:rsidRPr="00EC4EC4" w:rsidRDefault="00140B7C" w:rsidP="00140B7C">
      <w:pPr>
        <w:kinsoku w:val="0"/>
        <w:spacing w:after="240" w:line="240" w:lineRule="auto"/>
        <w:ind w:left="1440" w:hanging="360"/>
        <w:jc w:val="both"/>
      </w:pPr>
      <w:r w:rsidRPr="00EC4EC4">
        <w:t xml:space="preserve">3. Use of a hoist that is fully enclosed within the perimeter of the building to transport personnel or material; </w:t>
      </w:r>
    </w:p>
    <w:p w14:paraId="17DACA15" w14:textId="77777777" w:rsidR="00140B7C" w:rsidRPr="00EC4EC4" w:rsidRDefault="00140B7C" w:rsidP="00140B7C">
      <w:pPr>
        <w:kinsoku w:val="0"/>
        <w:spacing w:after="240" w:line="240" w:lineRule="auto"/>
        <w:ind w:left="1440" w:hanging="360"/>
        <w:jc w:val="both"/>
      </w:pPr>
      <w:r w:rsidRPr="00EC4EC4">
        <w:t xml:space="preserve">4. Work limited to finish troweling of concrete floors; </w:t>
      </w:r>
    </w:p>
    <w:p w14:paraId="3F873D21" w14:textId="77777777" w:rsidR="00140B7C" w:rsidRPr="00EC4EC4" w:rsidRDefault="00140B7C" w:rsidP="00140B7C">
      <w:pPr>
        <w:kinsoku w:val="0"/>
        <w:spacing w:after="240" w:line="240" w:lineRule="auto"/>
        <w:ind w:left="1440" w:hanging="360"/>
        <w:jc w:val="both"/>
      </w:pPr>
      <w:r w:rsidRPr="00EC4EC4">
        <w:t xml:space="preserve">5. Work limited to providing the site with temporary heat, light, or water; or </w:t>
      </w:r>
    </w:p>
    <w:p w14:paraId="4240E8FD" w14:textId="77777777" w:rsidR="00140B7C" w:rsidRPr="00EC4EC4" w:rsidRDefault="00140B7C" w:rsidP="00140B7C">
      <w:pPr>
        <w:kinsoku w:val="0"/>
        <w:spacing w:after="240" w:line="240" w:lineRule="auto"/>
        <w:ind w:left="1440" w:hanging="360"/>
        <w:jc w:val="both"/>
      </w:pPr>
      <w:r w:rsidRPr="00EC4EC4">
        <w:t xml:space="preserve">6. Truck deliveries to the site, provided the delivery occurs within the site while the gate is closed and flagpersons are provided to direct traffic while the truck is entering and exiting the site; </w:t>
      </w:r>
    </w:p>
    <w:p w14:paraId="4F370F1F" w14:textId="77777777" w:rsidR="00140B7C" w:rsidRPr="00EC4EC4" w:rsidRDefault="00140B7C" w:rsidP="00140B7C">
      <w:pPr>
        <w:kinsoku w:val="0"/>
        <w:spacing w:after="240" w:line="240" w:lineRule="auto"/>
        <w:ind w:left="1440" w:hanging="360"/>
        <w:jc w:val="both"/>
      </w:pPr>
      <w:r w:rsidRPr="00EC4EC4">
        <w:t xml:space="preserve">7. Painting; or </w:t>
      </w:r>
    </w:p>
    <w:p w14:paraId="0E4BF09B" w14:textId="77777777" w:rsidR="00140B7C" w:rsidRPr="00EC4EC4" w:rsidRDefault="00140B7C" w:rsidP="00140B7C">
      <w:pPr>
        <w:kinsoku w:val="0"/>
        <w:spacing w:after="240" w:line="240" w:lineRule="auto"/>
        <w:ind w:left="1440" w:hanging="360"/>
        <w:jc w:val="both"/>
        <w:rPr>
          <w:rFonts w:eastAsia="Times New Roman" w:cs="Times New Roman"/>
          <w:b/>
          <w:szCs w:val="24"/>
        </w:rPr>
      </w:pPr>
      <w:r w:rsidRPr="00EC4EC4">
        <w:t>8. Landscaping [</w:t>
      </w:r>
      <w:r w:rsidRPr="00EC4EC4">
        <w:rPr>
          <w:strike/>
        </w:rPr>
        <w:t>that does not</w:t>
      </w:r>
      <w:r w:rsidRPr="00EC4EC4">
        <w:t>] that does not involve the disturbance of material, structure, or earth.</w:t>
      </w:r>
    </w:p>
    <w:bookmarkEnd w:id="207"/>
    <w:p w14:paraId="125A23B5" w14:textId="27FBBE0A"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25</w:t>
      </w:r>
      <w:r w:rsidR="00814EF1">
        <w:rPr>
          <w:color w:val="000000"/>
          <w:sz w:val="23"/>
          <w:szCs w:val="23"/>
        </w:rPr>
        <w:t>6</w:t>
      </w:r>
      <w:r w:rsidRPr="00EC4EC4">
        <w:rPr>
          <w:color w:val="000000"/>
          <w:sz w:val="23"/>
          <w:szCs w:val="23"/>
        </w:rPr>
        <w:t>. Section 3301.13.13</w:t>
      </w:r>
      <w:r w:rsidRPr="00EC4EC4">
        <w:t xml:space="preserve"> of the New York city building code, as amended by local law number 126 for the year 2021, is amended to read as follows:</w:t>
      </w:r>
    </w:p>
    <w:p w14:paraId="27188F7A" w14:textId="77777777" w:rsidR="00140B7C" w:rsidRPr="00EC4EC4" w:rsidRDefault="00140B7C" w:rsidP="00140B7C">
      <w:pPr>
        <w:kinsoku w:val="0"/>
        <w:spacing w:after="0" w:line="240" w:lineRule="auto"/>
        <w:ind w:left="360"/>
        <w:jc w:val="both"/>
        <w:rPr>
          <w:b/>
          <w:bCs/>
        </w:rPr>
      </w:pPr>
    </w:p>
    <w:p w14:paraId="7445020D" w14:textId="77777777" w:rsidR="00140B7C" w:rsidRPr="00EC4EC4" w:rsidRDefault="00140B7C" w:rsidP="00140B7C">
      <w:pPr>
        <w:kinsoku w:val="0"/>
        <w:spacing w:after="0" w:line="240" w:lineRule="auto"/>
        <w:jc w:val="both"/>
      </w:pPr>
      <w:r w:rsidRPr="00EC4EC4">
        <w:rPr>
          <w:b/>
          <w:bCs/>
        </w:rPr>
        <w:t>3301.13.13 Log.</w:t>
      </w:r>
      <w:r w:rsidRPr="00EC4EC4">
        <w:t xml:space="preserve"> The construction superintendent must maintain a log at each job site for which the construction superintendent is responsible. Such log must be made available to the commissioner upon request. The construction superintendent must complete such log prior to departing the job site, or, where the job occurs on a </w:t>
      </w:r>
      <w:r w:rsidRPr="00EC4EC4">
        <w:lastRenderedPageBreak/>
        <w:t xml:space="preserve">building that meets the definition of a major building, by the end of the day. Each day’s log entry must be signed and dated by the construction superintendent. Such log must contain, at a minimum, the following information: </w:t>
      </w:r>
    </w:p>
    <w:p w14:paraId="166C988C" w14:textId="77777777" w:rsidR="00140B7C" w:rsidRPr="00EC4EC4" w:rsidRDefault="00140B7C" w:rsidP="00140B7C">
      <w:pPr>
        <w:kinsoku w:val="0"/>
        <w:spacing w:after="0" w:line="240" w:lineRule="atLeast"/>
        <w:jc w:val="both"/>
      </w:pPr>
    </w:p>
    <w:p w14:paraId="5F24F505" w14:textId="77777777" w:rsidR="00140B7C" w:rsidRPr="00EC4EC4" w:rsidRDefault="00140B7C" w:rsidP="00140B7C">
      <w:pPr>
        <w:kinsoku w:val="0"/>
        <w:spacing w:after="240" w:line="240" w:lineRule="auto"/>
        <w:ind w:left="1080" w:hanging="360"/>
        <w:jc w:val="both"/>
      </w:pPr>
      <w:r w:rsidRPr="00EC4EC4">
        <w:t xml:space="preserve">1.   The presence of the construction superintendent at the job site as evidenced by their printed name and signature and a notation indicating the times of arrival at, and departure from the site, which must be recorded immediately after arriving at the site and immediately prior to leaving the site, respectively; </w:t>
      </w:r>
    </w:p>
    <w:p w14:paraId="27D8A991" w14:textId="77777777" w:rsidR="00140B7C" w:rsidRPr="00EC4EC4" w:rsidRDefault="00140B7C" w:rsidP="00140B7C">
      <w:pPr>
        <w:kinsoku w:val="0"/>
        <w:spacing w:after="240" w:line="240" w:lineRule="auto"/>
        <w:ind w:left="1080" w:hanging="360"/>
        <w:jc w:val="both"/>
      </w:pPr>
      <w:r w:rsidRPr="00EC4EC4">
        <w:t xml:space="preserve">2.  The general progress of work at the job site, including a summary of that day’s work activity; </w:t>
      </w:r>
    </w:p>
    <w:p w14:paraId="3DEDF6F8" w14:textId="77777777" w:rsidR="00140B7C" w:rsidRPr="00EC4EC4" w:rsidRDefault="00140B7C" w:rsidP="00140B7C">
      <w:pPr>
        <w:kinsoku w:val="0"/>
        <w:spacing w:after="240" w:line="240" w:lineRule="auto"/>
        <w:ind w:left="1080" w:hanging="360"/>
        <w:jc w:val="both"/>
      </w:pPr>
      <w:r w:rsidRPr="00EC4EC4">
        <w:t xml:space="preserve">3.  The construction superintendent’s activities at the job site, including areas and floors inspected; </w:t>
      </w:r>
    </w:p>
    <w:p w14:paraId="6D285305" w14:textId="77777777" w:rsidR="00140B7C" w:rsidRPr="00EC4EC4" w:rsidRDefault="00140B7C" w:rsidP="00140B7C">
      <w:pPr>
        <w:kinsoku w:val="0"/>
        <w:spacing w:after="240" w:line="240" w:lineRule="auto"/>
        <w:ind w:left="1080" w:hanging="360"/>
        <w:jc w:val="both"/>
      </w:pPr>
      <w:r w:rsidRPr="00EC4EC4">
        <w:t xml:space="preserve">4.    Any unsafe condition(s) observed pursuant to Section 3301.13.9, and the time and location of such unsafe condition(s); </w:t>
      </w:r>
    </w:p>
    <w:p w14:paraId="3F05D93B" w14:textId="77777777" w:rsidR="00140B7C" w:rsidRPr="00EC4EC4" w:rsidRDefault="00140B7C" w:rsidP="00140B7C">
      <w:pPr>
        <w:kinsoku w:val="0"/>
        <w:spacing w:after="240" w:line="240" w:lineRule="auto"/>
        <w:ind w:left="1080" w:hanging="360"/>
        <w:jc w:val="both"/>
      </w:pPr>
      <w:r w:rsidRPr="00EC4EC4">
        <w:t xml:space="preserve">5.   Orders and notice given by the construction superintendent pursuant to Section 3301.13.9, including the names of individuals issued orders or notices, any refusals to comply with orders or respond to notices given, follow up action taken by the construction superintendent, and where the condition giving rise to the order or notice is corrected, the nature of the correction; </w:t>
      </w:r>
    </w:p>
    <w:p w14:paraId="5E6B945C" w14:textId="77777777" w:rsidR="00140B7C" w:rsidRPr="00EC4EC4" w:rsidRDefault="00140B7C" w:rsidP="00140B7C">
      <w:pPr>
        <w:kinsoku w:val="0"/>
        <w:spacing w:after="240" w:line="240" w:lineRule="auto"/>
        <w:ind w:left="1080" w:hanging="360"/>
        <w:jc w:val="both"/>
      </w:pPr>
      <w:r w:rsidRPr="00EC4EC4">
        <w:t xml:space="preserve">6.   Any violations, stop work orders, or summonses issued by the department, including date issued and date listed or dismissed; </w:t>
      </w:r>
    </w:p>
    <w:p w14:paraId="602764C9" w14:textId="77777777" w:rsidR="00140B7C" w:rsidRPr="00EC4EC4" w:rsidRDefault="00140B7C" w:rsidP="00140B7C">
      <w:pPr>
        <w:kinsoku w:val="0"/>
        <w:spacing w:after="240" w:line="240" w:lineRule="auto"/>
        <w:ind w:left="1080" w:hanging="360"/>
        <w:jc w:val="both"/>
      </w:pPr>
      <w:r w:rsidRPr="00EC4EC4">
        <w:t xml:space="preserve">7.  Any incidents or damage to adjoining property caused by construction or demolition activity at the site; </w:t>
      </w:r>
    </w:p>
    <w:p w14:paraId="62526B47" w14:textId="77777777" w:rsidR="00140B7C" w:rsidRPr="00EC4EC4" w:rsidRDefault="00140B7C" w:rsidP="00140B7C">
      <w:pPr>
        <w:kinsoku w:val="0"/>
        <w:spacing w:after="240" w:line="240" w:lineRule="auto"/>
        <w:ind w:left="1080" w:hanging="360"/>
        <w:jc w:val="both"/>
      </w:pPr>
      <w:r w:rsidRPr="00EC4EC4">
        <w:t xml:space="preserve">8.  The name of the competent person designated in accordance with Section 3301.13.12, along with an accompanying signature of the competent person. If the construction superintendent assigns a new competent person, the date and time of this change, along with the name of the new competent person, must be recorded, accompanied by the signature of the new competent person. If the construction superintendent is not at the site when this occurs, the new competent person must instead make the log entry, which the construction superintendent must sign and date upon his or her next visit to the job site. </w:t>
      </w:r>
    </w:p>
    <w:p w14:paraId="0EEA7117" w14:textId="77777777" w:rsidR="00140B7C" w:rsidRPr="00EC4EC4" w:rsidRDefault="00140B7C" w:rsidP="00140B7C">
      <w:pPr>
        <w:kinsoku w:val="0"/>
        <w:spacing w:after="0" w:line="240" w:lineRule="auto"/>
        <w:ind w:left="1080" w:hanging="360"/>
        <w:jc w:val="both"/>
      </w:pPr>
      <w:r w:rsidRPr="00EC4EC4">
        <w:t xml:space="preserve">9.  All construction superintendent personnel changes, accompanied by the signature of the new construction superintendent. Construction superintendent personnel changes include, but are not limited to: a change to the primary construction superintendent; an alternate construction superintendent acting in the place of the primary construction superintendent; or a new alternate construction superintendent taking over for the previous alternate construction superintendent; and </w:t>
      </w:r>
    </w:p>
    <w:p w14:paraId="53014137" w14:textId="77777777" w:rsidR="00140B7C" w:rsidRPr="00EC4EC4" w:rsidRDefault="00140B7C" w:rsidP="00140B7C">
      <w:pPr>
        <w:kinsoku w:val="0"/>
        <w:spacing w:after="0" w:line="240" w:lineRule="auto"/>
        <w:ind w:left="1080" w:hanging="360"/>
        <w:jc w:val="both"/>
      </w:pPr>
    </w:p>
    <w:p w14:paraId="722FCE38" w14:textId="77777777" w:rsidR="00140B7C" w:rsidRPr="00EC4EC4" w:rsidRDefault="00140B7C" w:rsidP="00140B7C">
      <w:pPr>
        <w:kinsoku w:val="0"/>
        <w:spacing w:after="240" w:line="240" w:lineRule="auto"/>
        <w:ind w:left="1080" w:hanging="360"/>
        <w:jc w:val="both"/>
        <w:rPr>
          <w:rFonts w:eastAsia="Times New Roman" w:cs="Times New Roman"/>
          <w:b/>
          <w:szCs w:val="24"/>
        </w:rPr>
      </w:pPr>
      <w:r w:rsidRPr="00EC4EC4">
        <w:t>10. A record of the weekly safety meeting required by Section [</w:t>
      </w:r>
      <w:r w:rsidRPr="00EC4EC4">
        <w:rPr>
          <w:strike/>
        </w:rPr>
        <w:t>3301.13.18</w:t>
      </w:r>
      <w:r w:rsidRPr="00EC4EC4">
        <w:t xml:space="preserve">] </w:t>
      </w:r>
      <w:r w:rsidRPr="00EC4EC4">
        <w:rPr>
          <w:u w:val="single"/>
        </w:rPr>
        <w:t>3301.13.19</w:t>
      </w:r>
      <w:r w:rsidRPr="00EC4EC4">
        <w:t>, including date and time of meeting, summary of issues discussed, and the names and affiliation of those who attended.</w:t>
      </w:r>
    </w:p>
    <w:p w14:paraId="2F07221F" w14:textId="10D8A962" w:rsidR="00140B7C" w:rsidRPr="00EC4EC4" w:rsidRDefault="00140B7C" w:rsidP="00140B7C">
      <w:pPr>
        <w:kinsoku w:val="0"/>
        <w:spacing w:after="240" w:line="240" w:lineRule="auto"/>
        <w:ind w:firstLine="720"/>
        <w:jc w:val="both"/>
        <w:rPr>
          <w:rFonts w:eastAsia="Times New Roman" w:cs="Times New Roman"/>
          <w:b/>
          <w:bCs/>
          <w:szCs w:val="24"/>
        </w:rPr>
      </w:pPr>
      <w:bookmarkStart w:id="208" w:name="_Hlk115685829"/>
      <w:r w:rsidRPr="00EC4EC4">
        <w:rPr>
          <w:rFonts w:cs="Times New Roman"/>
          <w:sz w:val="23"/>
          <w:szCs w:val="23"/>
        </w:rPr>
        <w:t>§</w:t>
      </w:r>
      <w:r>
        <w:rPr>
          <w:rFonts w:cs="Times New Roman"/>
          <w:sz w:val="23"/>
          <w:szCs w:val="23"/>
        </w:rPr>
        <w:t>25</w:t>
      </w:r>
      <w:r w:rsidR="00814EF1">
        <w:rPr>
          <w:rFonts w:cs="Times New Roman"/>
          <w:sz w:val="23"/>
          <w:szCs w:val="23"/>
        </w:rPr>
        <w:t>7</w:t>
      </w:r>
      <w:r w:rsidRPr="00EC4EC4">
        <w:rPr>
          <w:rFonts w:cs="Times New Roman"/>
          <w:sz w:val="23"/>
          <w:szCs w:val="23"/>
        </w:rPr>
        <w:t xml:space="preserve">. </w:t>
      </w:r>
      <w:r>
        <w:rPr>
          <w:rFonts w:cs="Times New Roman"/>
          <w:sz w:val="23"/>
          <w:szCs w:val="23"/>
        </w:rPr>
        <w:t xml:space="preserve">The definition of </w:t>
      </w:r>
      <w:r w:rsidRPr="00EC4EC4">
        <w:rPr>
          <w:rFonts w:cs="Times New Roman"/>
          <w:sz w:val="23"/>
          <w:szCs w:val="23"/>
        </w:rPr>
        <w:t xml:space="preserve">“MANUFACTURE DATE CRANE)” </w:t>
      </w:r>
      <w:r>
        <w:rPr>
          <w:rFonts w:cs="Times New Roman"/>
          <w:sz w:val="23"/>
          <w:szCs w:val="23"/>
        </w:rPr>
        <w:t>set forth in s</w:t>
      </w:r>
      <w:r w:rsidRPr="00EC4EC4">
        <w:rPr>
          <w:rFonts w:cs="Times New Roman"/>
          <w:sz w:val="23"/>
          <w:szCs w:val="23"/>
        </w:rPr>
        <w:t>ection 3302.1 of  the New York city building code, as amended by local law number 126 for the year 2021, is amended to read as follows:</w:t>
      </w:r>
    </w:p>
    <w:bookmarkEnd w:id="208"/>
    <w:p w14:paraId="3FB4C8C4"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szCs w:val="24"/>
        </w:rPr>
        <w:t>MANUFACTURE DATE</w:t>
      </w:r>
      <w:r w:rsidRPr="00EC4EC4">
        <w:rPr>
          <w:rFonts w:eastAsia="Times New Roman" w:cs="Times New Roman"/>
          <w:b/>
          <w:szCs w:val="24"/>
          <w:u w:val="single"/>
        </w:rPr>
        <w:t xml:space="preserve"> (</w:t>
      </w:r>
      <w:r w:rsidRPr="00EC4EC4">
        <w:rPr>
          <w:rFonts w:eastAsia="Times New Roman" w:cs="Times New Roman"/>
          <w:b/>
          <w:szCs w:val="24"/>
        </w:rPr>
        <w:t>CRANE).</w:t>
      </w:r>
      <w:r w:rsidRPr="00EC4EC4">
        <w:rPr>
          <w:rFonts w:eastAsia="Times New Roman" w:cs="Times New Roman"/>
          <w:szCs w:val="24"/>
        </w:rPr>
        <w:t xml:space="preserve"> </w:t>
      </w:r>
    </w:p>
    <w:p w14:paraId="1586E850" w14:textId="4DD8136F" w:rsidR="00140B7C" w:rsidRPr="000B44C6" w:rsidRDefault="00140B7C" w:rsidP="00140B7C">
      <w:pPr>
        <w:kinsoku w:val="0"/>
        <w:spacing w:after="240" w:line="240" w:lineRule="auto"/>
        <w:ind w:firstLine="720"/>
        <w:jc w:val="both"/>
        <w:rPr>
          <w:rFonts w:eastAsia="Times New Roman" w:cs="Times New Roman"/>
          <w:b/>
          <w:bCs/>
          <w:szCs w:val="24"/>
        </w:rPr>
      </w:pPr>
      <w:r w:rsidRPr="000B44C6">
        <w:rPr>
          <w:rFonts w:cs="Times New Roman"/>
          <w:sz w:val="23"/>
          <w:szCs w:val="23"/>
        </w:rPr>
        <w:t>§25</w:t>
      </w:r>
      <w:r w:rsidR="00814EF1">
        <w:rPr>
          <w:rFonts w:cs="Times New Roman"/>
          <w:sz w:val="23"/>
          <w:szCs w:val="23"/>
        </w:rPr>
        <w:t>8</w:t>
      </w:r>
      <w:r w:rsidRPr="000B44C6">
        <w:rPr>
          <w:rFonts w:cs="Times New Roman"/>
          <w:sz w:val="23"/>
          <w:szCs w:val="23"/>
        </w:rPr>
        <w:t>. Section 3302.1 of  the New York city building code, as amended by local law number 126 for the year 2021, definition of “STAND-OFF BRACKET (SUSPENDED SCAFFOLD)”is amended to read as follows:</w:t>
      </w:r>
    </w:p>
    <w:p w14:paraId="738B081F" w14:textId="77777777" w:rsidR="00140B7C" w:rsidRPr="00EC4EC4" w:rsidRDefault="00140B7C" w:rsidP="00140B7C">
      <w:pPr>
        <w:kinsoku w:val="0"/>
        <w:spacing w:after="240" w:line="240" w:lineRule="auto"/>
        <w:jc w:val="both"/>
        <w:rPr>
          <w:rFonts w:eastAsia="Times New Roman" w:cs="Times New Roman"/>
          <w:b/>
          <w:spacing w:val="1"/>
          <w:szCs w:val="24"/>
        </w:rPr>
      </w:pPr>
      <w:r w:rsidRPr="000B44C6">
        <w:rPr>
          <w:rFonts w:eastAsia="Times New Roman" w:cs="Times New Roman"/>
          <w:b/>
          <w:spacing w:val="1"/>
          <w:szCs w:val="24"/>
        </w:rPr>
        <w:t>[</w:t>
      </w:r>
      <w:r w:rsidRPr="000B44C6">
        <w:rPr>
          <w:rFonts w:eastAsia="Times New Roman" w:cs="Times New Roman"/>
          <w:b/>
          <w:strike/>
          <w:spacing w:val="1"/>
          <w:szCs w:val="24"/>
        </w:rPr>
        <w:t>STAND-OFF BRACKET (SUSPENDED SCAFFOLD). A rigid member that attaches to a cornice hook (c-hook) in order to provide additional outreach from the face of the parapet or wall.</w:t>
      </w:r>
      <w:r w:rsidRPr="000B44C6">
        <w:rPr>
          <w:rFonts w:eastAsia="Times New Roman" w:cs="Times New Roman"/>
          <w:b/>
          <w:spacing w:val="1"/>
          <w:szCs w:val="24"/>
        </w:rPr>
        <w:t>]</w:t>
      </w:r>
    </w:p>
    <w:p w14:paraId="37C37CE8" w14:textId="25ED9ECC"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25</w:t>
      </w:r>
      <w:r w:rsidR="00814EF1">
        <w:rPr>
          <w:color w:val="000000"/>
          <w:sz w:val="23"/>
          <w:szCs w:val="23"/>
        </w:rPr>
        <w:t>9</w:t>
      </w:r>
      <w:r w:rsidRPr="00EC4EC4">
        <w:rPr>
          <w:color w:val="000000"/>
          <w:sz w:val="23"/>
          <w:szCs w:val="23"/>
        </w:rPr>
        <w:t xml:space="preserve">. Section 3303.7.7 </w:t>
      </w:r>
      <w:r w:rsidRPr="00EC4EC4">
        <w:t>of the New York city building code, as added by local law number 126 for the year 2021, is amended to read as follows:</w:t>
      </w:r>
    </w:p>
    <w:p w14:paraId="619B9CA2" w14:textId="77777777" w:rsidR="00140B7C" w:rsidRPr="00EC4EC4" w:rsidRDefault="00140B7C" w:rsidP="00140B7C">
      <w:pPr>
        <w:kinsoku w:val="0"/>
        <w:spacing w:after="0" w:line="240" w:lineRule="auto"/>
        <w:ind w:left="360"/>
        <w:jc w:val="both"/>
        <w:rPr>
          <w:rFonts w:eastAsia="Times New Roman" w:cs="Times New Roman"/>
          <w:b/>
          <w:szCs w:val="24"/>
          <w:u w:val="single"/>
        </w:rPr>
      </w:pPr>
    </w:p>
    <w:p w14:paraId="29D4D037"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szCs w:val="24"/>
        </w:rPr>
        <w:t xml:space="preserve">3303.7.7 Special provisions for Type IV construction.  </w:t>
      </w:r>
      <w:r w:rsidRPr="00EC4EC4">
        <w:rPr>
          <w:rFonts w:eastAsia="Times New Roman" w:cs="Times New Roman"/>
          <w:szCs w:val="24"/>
        </w:rPr>
        <w:t xml:space="preserve">In addition to the fire prevention and fire protection requirements imposed by this code, the </w:t>
      </w:r>
      <w:r w:rsidRPr="00EC4EC4">
        <w:rPr>
          <w:rFonts w:eastAsia="Times New Roman" w:cs="Times New Roman"/>
          <w:i/>
          <w:szCs w:val="24"/>
        </w:rPr>
        <w:t>New York City Fire Code</w:t>
      </w:r>
      <w:r w:rsidRPr="00EC4EC4">
        <w:rPr>
          <w:rFonts w:eastAsia="Times New Roman" w:cs="Times New Roman"/>
          <w:szCs w:val="24"/>
        </w:rPr>
        <w:t>, and other applicable law, the following provisions shall also apply during [</w:t>
      </w:r>
      <w:r w:rsidRPr="00EC4EC4">
        <w:rPr>
          <w:rFonts w:eastAsia="Times New Roman" w:cs="Times New Roman"/>
          <w:strike/>
          <w:szCs w:val="24"/>
        </w:rPr>
        <w:t>the</w:t>
      </w:r>
      <w:r w:rsidRPr="00EC4EC4">
        <w:rPr>
          <w:rFonts w:eastAsia="Times New Roman" w:cs="Times New Roman"/>
          <w:szCs w:val="24"/>
        </w:rPr>
        <w:t>]</w:t>
      </w:r>
      <w:r w:rsidRPr="00EC4EC4">
        <w:rPr>
          <w:rFonts w:eastAsia="Times New Roman" w:cs="Times New Roman"/>
          <w:szCs w:val="24"/>
          <w:u w:val="single"/>
        </w:rPr>
        <w:t>new building</w:t>
      </w:r>
      <w:r w:rsidRPr="00EC4EC4">
        <w:rPr>
          <w:rFonts w:eastAsia="Times New Roman" w:cs="Times New Roman"/>
          <w:szCs w:val="24"/>
        </w:rPr>
        <w:t xml:space="preserve"> construction of structures categorized as Type IV construction by Chapter 6 of this code.</w:t>
      </w:r>
    </w:p>
    <w:p w14:paraId="64448DE4" w14:textId="7AF74739" w:rsidR="00140B7C" w:rsidRPr="00EC4EC4" w:rsidRDefault="00140B7C" w:rsidP="00140B7C">
      <w:pPr>
        <w:pStyle w:val="DoubleSpaceParagaph"/>
        <w:spacing w:line="240" w:lineRule="auto"/>
        <w:ind w:firstLine="720"/>
      </w:pPr>
      <w:bookmarkStart w:id="209" w:name="_Hlk115689789"/>
      <w:r w:rsidRPr="00EC4EC4">
        <w:rPr>
          <w:color w:val="000000"/>
          <w:sz w:val="23"/>
          <w:szCs w:val="23"/>
        </w:rPr>
        <w:t>§</w:t>
      </w:r>
      <w:r>
        <w:rPr>
          <w:color w:val="000000"/>
          <w:sz w:val="23"/>
          <w:szCs w:val="23"/>
        </w:rPr>
        <w:t>2</w:t>
      </w:r>
      <w:r w:rsidR="00814EF1">
        <w:rPr>
          <w:color w:val="000000"/>
          <w:sz w:val="23"/>
          <w:szCs w:val="23"/>
        </w:rPr>
        <w:t>60</w:t>
      </w:r>
      <w:r w:rsidRPr="00EC4EC4">
        <w:rPr>
          <w:color w:val="000000"/>
          <w:sz w:val="23"/>
          <w:szCs w:val="23"/>
        </w:rPr>
        <w:t xml:space="preserve">. Section 3303.7.7.12 </w:t>
      </w:r>
      <w:r w:rsidRPr="00EC4EC4">
        <w:t>of the New York city building code, as added by local law number 126 for the year 2021, is amended to read as follows:</w:t>
      </w:r>
    </w:p>
    <w:bookmarkEnd w:id="209"/>
    <w:p w14:paraId="350461B5" w14:textId="77777777" w:rsidR="00140B7C" w:rsidRPr="00EC4EC4" w:rsidRDefault="00140B7C" w:rsidP="00140B7C">
      <w:pPr>
        <w:kinsoku w:val="0"/>
        <w:spacing w:after="0" w:line="240" w:lineRule="auto"/>
        <w:jc w:val="both"/>
        <w:rPr>
          <w:rFonts w:eastAsia="Times New Roman" w:cs="Times New Roman"/>
          <w:b/>
          <w:szCs w:val="24"/>
          <w:u w:val="single"/>
        </w:rPr>
      </w:pPr>
    </w:p>
    <w:p w14:paraId="04253C97" w14:textId="77777777" w:rsidR="00140B7C" w:rsidRPr="00EC4EC4" w:rsidRDefault="00140B7C" w:rsidP="00140B7C">
      <w:pPr>
        <w:kinsoku w:val="0"/>
        <w:spacing w:after="0" w:line="240" w:lineRule="auto"/>
        <w:jc w:val="both"/>
        <w:rPr>
          <w:rFonts w:eastAsia="Times New Roman" w:cs="Times New Roman"/>
          <w:szCs w:val="24"/>
        </w:rPr>
      </w:pPr>
      <w:r w:rsidRPr="00EC4EC4">
        <w:rPr>
          <w:rFonts w:eastAsia="Times New Roman" w:cs="Times New Roman"/>
          <w:b/>
          <w:szCs w:val="24"/>
        </w:rPr>
        <w:lastRenderedPageBreak/>
        <w:t>3303.7.7.12 Storage of lumber.</w:t>
      </w:r>
      <w:r w:rsidRPr="00EC4EC4">
        <w:rPr>
          <w:rFonts w:eastAsia="Times New Roman" w:cs="Times New Roman"/>
          <w:szCs w:val="24"/>
        </w:rPr>
        <w:t xml:space="preserve">  During non-working hours, lumber shall be stored on the ground or street, or shall be stored in a fully enclosed room meeting its permanent fire rating.  No more than 1920 [ft</w:t>
      </w:r>
      <w:r w:rsidRPr="00EC4EC4">
        <w:rPr>
          <w:rFonts w:eastAsia="Times New Roman" w:cs="Times New Roman"/>
          <w:szCs w:val="24"/>
          <w:vertAlign w:val="superscript"/>
        </w:rPr>
        <w:t>3</w:t>
      </w:r>
      <w:r w:rsidRPr="00EC4EC4">
        <w:rPr>
          <w:rFonts w:eastAsia="Times New Roman" w:cs="Times New Roman"/>
          <w:szCs w:val="24"/>
        </w:rPr>
        <w:t>]</w:t>
      </w:r>
      <w:r w:rsidRPr="00EC4EC4">
        <w:rPr>
          <w:rFonts w:eastAsia="Times New Roman" w:cs="Times New Roman"/>
          <w:szCs w:val="24"/>
          <w:u w:val="single"/>
        </w:rPr>
        <w:t>cubic feet</w:t>
      </w:r>
      <w:r w:rsidRPr="00EC4EC4">
        <w:rPr>
          <w:rFonts w:eastAsia="Times New Roman" w:cs="Times New Roman"/>
          <w:szCs w:val="24"/>
        </w:rPr>
        <w:t xml:space="preserve"> (54.37 m</w:t>
      </w:r>
      <w:r w:rsidRPr="00EC4EC4">
        <w:rPr>
          <w:rFonts w:eastAsia="Times New Roman" w:cs="Times New Roman"/>
          <w:szCs w:val="24"/>
          <w:vertAlign w:val="superscript"/>
        </w:rPr>
        <w:t>3</w:t>
      </w:r>
      <w:r w:rsidRPr="00EC4EC4">
        <w:rPr>
          <w:rFonts w:eastAsia="Times New Roman" w:cs="Times New Roman"/>
          <w:szCs w:val="24"/>
        </w:rPr>
        <w:t>) of lumber shall be stored at the site at any one time.</w:t>
      </w:r>
    </w:p>
    <w:p w14:paraId="23922C8C" w14:textId="77777777" w:rsidR="00140B7C" w:rsidRPr="00EC4EC4" w:rsidRDefault="00140B7C" w:rsidP="00140B7C">
      <w:pPr>
        <w:kinsoku w:val="0"/>
        <w:spacing w:after="0" w:line="240" w:lineRule="auto"/>
        <w:jc w:val="both"/>
        <w:rPr>
          <w:rFonts w:eastAsia="Times New Roman" w:cs="Times New Roman"/>
          <w:szCs w:val="24"/>
        </w:rPr>
      </w:pPr>
    </w:p>
    <w:p w14:paraId="39C3B979" w14:textId="77777777" w:rsidR="00140B7C" w:rsidRPr="00EC4EC4" w:rsidRDefault="00140B7C" w:rsidP="00140B7C">
      <w:pPr>
        <w:kinsoku w:val="0"/>
        <w:spacing w:after="240" w:line="240" w:lineRule="auto"/>
        <w:ind w:left="1080"/>
        <w:jc w:val="both"/>
        <w:rPr>
          <w:rFonts w:eastAsia="Times New Roman" w:cs="Times New Roman"/>
          <w:szCs w:val="24"/>
        </w:rPr>
      </w:pPr>
      <w:r w:rsidRPr="00EC4EC4">
        <w:rPr>
          <w:rFonts w:eastAsia="Times New Roman" w:cs="Times New Roman"/>
          <w:b/>
          <w:szCs w:val="24"/>
        </w:rPr>
        <w:t xml:space="preserve">Exception:  </w:t>
      </w:r>
      <w:r w:rsidRPr="00EC4EC4">
        <w:rPr>
          <w:rFonts w:eastAsia="Times New Roman" w:cs="Times New Roman"/>
          <w:szCs w:val="24"/>
        </w:rPr>
        <w:t xml:space="preserve">Columns may be stored on the </w:t>
      </w:r>
      <w:r w:rsidRPr="00EC4EC4">
        <w:rPr>
          <w:rFonts w:eastAsia="Times New Roman" w:cs="Times New Roman"/>
          <w:spacing w:val="1"/>
          <w:szCs w:val="24"/>
        </w:rPr>
        <w:t xml:space="preserve">topmost </w:t>
      </w:r>
      <w:r w:rsidRPr="00EC4EC4">
        <w:rPr>
          <w:rFonts w:eastAsia="Times New Roman" w:cs="Times New Roman"/>
          <w:szCs w:val="24"/>
        </w:rPr>
        <w:t>working deck provided they are to be installed at the start of the next shift.</w:t>
      </w:r>
    </w:p>
    <w:p w14:paraId="24AF1CCB" w14:textId="4C8CD0A5"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9F6F5F">
        <w:rPr>
          <w:color w:val="000000"/>
          <w:sz w:val="23"/>
          <w:szCs w:val="23"/>
        </w:rPr>
        <w:t>61</w:t>
      </w:r>
      <w:r w:rsidRPr="00EC4EC4">
        <w:rPr>
          <w:color w:val="000000"/>
          <w:sz w:val="23"/>
          <w:szCs w:val="23"/>
        </w:rPr>
        <w:t xml:space="preserve">. Section 3303.8 </w:t>
      </w:r>
      <w:r w:rsidRPr="00EC4EC4">
        <w:t>of the New York city building code, as amended by local law number 126 for the year 2021, is amended to read as follows:</w:t>
      </w:r>
    </w:p>
    <w:p w14:paraId="6CF0564F" w14:textId="77777777" w:rsidR="00140B7C" w:rsidRPr="00EC4EC4" w:rsidRDefault="00140B7C" w:rsidP="00140B7C">
      <w:pPr>
        <w:kinsoku w:val="0"/>
        <w:spacing w:after="0" w:line="240" w:lineRule="auto"/>
        <w:ind w:right="43"/>
        <w:jc w:val="both"/>
        <w:rPr>
          <w:rFonts w:eastAsia="Times New Roman" w:cs="Times New Roman"/>
          <w:b/>
          <w:szCs w:val="24"/>
        </w:rPr>
      </w:pPr>
      <w:bookmarkStart w:id="210" w:name="_Hlk50113823"/>
    </w:p>
    <w:p w14:paraId="5B2C083D" w14:textId="77777777" w:rsidR="00140B7C" w:rsidRPr="00EC4EC4" w:rsidRDefault="00140B7C" w:rsidP="00140B7C">
      <w:pPr>
        <w:kinsoku w:val="0"/>
        <w:spacing w:after="0" w:line="240" w:lineRule="atLeast"/>
        <w:ind w:right="43"/>
        <w:jc w:val="both"/>
        <w:rPr>
          <w:rFonts w:eastAsia="Times New Roman" w:cs="Times New Roman"/>
          <w:spacing w:val="1"/>
          <w:szCs w:val="24"/>
        </w:rPr>
      </w:pPr>
      <w:r w:rsidRPr="00EC4EC4">
        <w:rPr>
          <w:rFonts w:eastAsia="Times New Roman" w:cs="Times New Roman"/>
          <w:b/>
          <w:szCs w:val="24"/>
        </w:rPr>
        <w:t>3303.8 Standpipe systems during construction, alteration or demolition.</w:t>
      </w:r>
      <w:r w:rsidRPr="00EC4EC4">
        <w:rPr>
          <w:rFonts w:eastAsia="Times New Roman" w:cs="Times New Roman"/>
          <w:b/>
          <w:bCs/>
          <w:spacing w:val="1"/>
          <w:w w:val="110"/>
          <w:szCs w:val="24"/>
        </w:rPr>
        <w:t xml:space="preserve"> </w:t>
      </w:r>
      <w:r w:rsidRPr="00EC4EC4">
        <w:rPr>
          <w:rFonts w:eastAsia="Times New Roman" w:cs="Times New Roman"/>
          <w:spacing w:val="1"/>
          <w:szCs w:val="24"/>
        </w:rPr>
        <w:t>During construction, alteration or demolition operations, standpipe systems shall comply with the following:</w:t>
      </w:r>
    </w:p>
    <w:p w14:paraId="4344E999" w14:textId="77777777" w:rsidR="00140B7C" w:rsidRPr="00EC4EC4" w:rsidRDefault="00140B7C" w:rsidP="00140B7C">
      <w:pPr>
        <w:kinsoku w:val="0"/>
        <w:spacing w:after="0" w:line="240" w:lineRule="atLeast"/>
        <w:ind w:left="720" w:hanging="360"/>
        <w:jc w:val="both"/>
        <w:rPr>
          <w:rFonts w:eastAsia="Times New Roman" w:cs="Times New Roman"/>
          <w:spacing w:val="1"/>
          <w:szCs w:val="24"/>
        </w:rPr>
      </w:pPr>
    </w:p>
    <w:p w14:paraId="45C25977"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 xml:space="preserve">When, during the course of the construction of a new building, the topmost working deck reaches a height of 75 feet (22 860 mm) or greater above the ground in a building for which a standpipe system will be required, a permanent or temporary standpipe system meeting the requirements of Section 905 shall be kept in a state of readiness at all times for use by fire fighting personnel. The standpipe system shall serve all floors </w:t>
      </w:r>
      <w:r w:rsidRPr="00EC4EC4">
        <w:rPr>
          <w:rFonts w:eastAsia="Times New Roman" w:cs="Times New Roman"/>
          <w:szCs w:val="24"/>
        </w:rPr>
        <w:t xml:space="preserve">that are at least 4 stories or 40 feet (12 192 mm) below the </w:t>
      </w:r>
      <w:r w:rsidRPr="00EC4EC4">
        <w:rPr>
          <w:rFonts w:eastAsia="Times New Roman" w:cs="Times New Roman"/>
          <w:spacing w:val="1"/>
          <w:szCs w:val="24"/>
        </w:rPr>
        <w:t xml:space="preserve">topmost </w:t>
      </w:r>
      <w:r w:rsidRPr="00EC4EC4">
        <w:rPr>
          <w:rFonts w:eastAsia="Times New Roman" w:cs="Times New Roman"/>
          <w:szCs w:val="24"/>
        </w:rPr>
        <w:t>working deck, whichever is less</w:t>
      </w:r>
      <w:r w:rsidRPr="00EC4EC4">
        <w:rPr>
          <w:rFonts w:eastAsia="Times New Roman" w:cs="Times New Roman"/>
          <w:spacing w:val="1"/>
          <w:szCs w:val="24"/>
        </w:rPr>
        <w:t xml:space="preserve">. </w:t>
      </w:r>
      <w:bookmarkEnd w:id="210"/>
      <w:r w:rsidRPr="00EC4EC4">
        <w:rPr>
          <w:rFonts w:eastAsia="Times New Roman" w:cs="Times New Roman"/>
          <w:spacing w:val="1"/>
          <w:szCs w:val="24"/>
        </w:rPr>
        <w:t>No standpipe shall be considered to be in a state of readiness unless it is painted red in accordance with the provisions of Section 905.11. When freezing conditions may be encountered, the system in whole, or the part of the system subject to freezing conditions, shall be maintained as a dry system.</w:t>
      </w:r>
    </w:p>
    <w:p w14:paraId="4BEEFDA0"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Existing standpipe systems in structures undergoing a full demolition shall be maintained as dry standpipes. At the commencement of demolition, the standpipe risers shall be capped above the outlet on the floor immediately below the floor being demolished so as to maintain the standpipe system on all lower floors for Fire Department use. Cutting and capping of standpipes during demolition work shall be performed only by a licensed master plumber or licensed master fire suppression piping contractor who has obtained a permit for such work. Standpipe hose, nozzles and spanners are not required to be maintained and may be removed at any time. The red paint required pursuant to Section 905.11 shall be maintained during any demolition operations. All existing house check valves shall remain in place until completion of the demolition work.</w:t>
      </w:r>
    </w:p>
    <w:p w14:paraId="2A84C356"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When, during the course of the construction of a new building which will have [</w:t>
      </w:r>
      <w:r w:rsidRPr="00EC4EC4">
        <w:rPr>
          <w:rFonts w:eastAsia="Times New Roman" w:cs="Times New Roman"/>
          <w:strike/>
          <w:spacing w:val="1"/>
          <w:szCs w:val="24"/>
        </w:rPr>
        <w:t>a</w:t>
      </w:r>
      <w:r w:rsidRPr="00EC4EC4">
        <w:rPr>
          <w:rFonts w:eastAsia="Times New Roman" w:cs="Times New Roman"/>
          <w:spacing w:val="1"/>
          <w:szCs w:val="24"/>
        </w:rPr>
        <w:t>]</w:t>
      </w:r>
      <w:r w:rsidRPr="00EC4EC4">
        <w:rPr>
          <w:rFonts w:eastAsia="Times New Roman" w:cs="Times New Roman"/>
          <w:spacing w:val="1"/>
          <w:szCs w:val="24"/>
          <w:u w:val="single"/>
        </w:rPr>
        <w:t>an</w:t>
      </w:r>
      <w:r w:rsidRPr="00EC4EC4">
        <w:rPr>
          <w:rFonts w:eastAsia="Times New Roman" w:cs="Times New Roman"/>
          <w:spacing w:val="1"/>
          <w:szCs w:val="24"/>
        </w:rPr>
        <w:t xml:space="preserve"> occupiable space at a depth of 75 feet (22 860 mm) or greater below the level of the ground in a building for which a standpipe system will be required, a permanent or temporary standpipe system meeting the requirements of Section 905 shall be installed and shall be kept in a state of readiness at all times for use by fire fighting personnel. The standpipe system shall serve all stories below grade and shall be installed as soon as the foundation is in place and the first elevated slab has been erected. No standpipe shall be considered to be in a state of readiness unless it is painted red in accordance with the provisions of Section 905.11. When freezing conditions may be encountered, the system in whole, or the part of the system subject to freezing conditions, shall be maintained as a dry system.</w:t>
      </w:r>
    </w:p>
    <w:p w14:paraId="42467669"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When, during the course of alteration or partial demolition operations in a building for which a standpipe system is required, the standpipe system shall be maintained in accordance with Section 3303.9. In an unoccupied building, an existing wet standpipe system may be maintained as a dry system subject to the approval of the commissioner and the commissioner of the fire department, and also provided the standpipe system is equipped with an air pressurized alarm system meeting the requirements of Section 3303.8.1. No standpipe shall be considered to be in a state of readiness unless it is painted red in accordance with the provisions of Section 905.11.</w:t>
      </w:r>
    </w:p>
    <w:p w14:paraId="24396E84" w14:textId="77777777" w:rsidR="00140B7C" w:rsidRPr="00EC4EC4" w:rsidRDefault="00140B7C" w:rsidP="00140B7C">
      <w:pPr>
        <w:kinsoku w:val="0"/>
        <w:spacing w:after="240" w:line="240" w:lineRule="auto"/>
        <w:ind w:left="1260" w:hanging="540"/>
        <w:jc w:val="both"/>
        <w:rPr>
          <w:rFonts w:eastAsia="Times New Roman" w:cs="Times New Roman"/>
          <w:spacing w:val="1"/>
          <w:szCs w:val="24"/>
        </w:rPr>
      </w:pPr>
      <w:r w:rsidRPr="00EC4EC4">
        <w:rPr>
          <w:rFonts w:eastAsia="Times New Roman" w:cs="Times New Roman"/>
          <w:spacing w:val="1"/>
          <w:szCs w:val="24"/>
        </w:rPr>
        <w:t>4.1.</w:t>
      </w:r>
      <w:r w:rsidRPr="00EC4EC4">
        <w:rPr>
          <w:rFonts w:eastAsia="Times New Roman" w:cs="Times New Roman"/>
          <w:spacing w:val="1"/>
          <w:szCs w:val="24"/>
        </w:rPr>
        <w:tab/>
        <w:t>If the alteration work results in the addition of new stories to the structure at a height of 75 feet (22 860 mm) or greater above the level of the ground, the requirements of Item 1 of this section shall apply to such new stories during the course of the alteration operation.</w:t>
      </w:r>
    </w:p>
    <w:p w14:paraId="4A5185A9" w14:textId="77777777" w:rsidR="00140B7C" w:rsidRPr="00EC4EC4" w:rsidRDefault="00140B7C" w:rsidP="00140B7C">
      <w:pPr>
        <w:kinsoku w:val="0"/>
        <w:spacing w:after="240" w:line="240" w:lineRule="auto"/>
        <w:ind w:left="1260" w:hanging="540"/>
        <w:jc w:val="both"/>
        <w:rPr>
          <w:rFonts w:eastAsia="Times New Roman" w:cs="Times New Roman"/>
          <w:spacing w:val="1"/>
          <w:szCs w:val="24"/>
        </w:rPr>
      </w:pPr>
      <w:r w:rsidRPr="00EC4EC4">
        <w:rPr>
          <w:rFonts w:eastAsia="Times New Roman" w:cs="Times New Roman"/>
          <w:spacing w:val="1"/>
          <w:szCs w:val="24"/>
        </w:rPr>
        <w:t>4.2.</w:t>
      </w:r>
      <w:r w:rsidRPr="00EC4EC4">
        <w:rPr>
          <w:rFonts w:eastAsia="Times New Roman" w:cs="Times New Roman"/>
          <w:spacing w:val="1"/>
          <w:szCs w:val="24"/>
        </w:rPr>
        <w:tab/>
        <w:t>If the alteration work results in the addition of new occupiable space at a depth of 75 feet (22 860 mm) or greater below the level of the ground, the requirements of Item 3 of this section shall apply to such new occupiable space below grade during the course of the alteration operation.</w:t>
      </w:r>
    </w:p>
    <w:p w14:paraId="348177B7" w14:textId="047ABDA6" w:rsidR="00140B7C" w:rsidRPr="00CF28BA" w:rsidRDefault="00140B7C" w:rsidP="00140B7C">
      <w:pPr>
        <w:kinsoku w:val="0"/>
        <w:spacing w:after="240" w:line="240" w:lineRule="auto"/>
        <w:ind w:firstLine="720"/>
        <w:jc w:val="both"/>
        <w:rPr>
          <w:rFonts w:eastAsia="Times New Roman" w:cs="Times New Roman"/>
          <w:b/>
          <w:bCs/>
          <w:szCs w:val="24"/>
        </w:rPr>
      </w:pPr>
      <w:r w:rsidRPr="00CF28BA">
        <w:rPr>
          <w:rFonts w:cs="Times New Roman"/>
          <w:color w:val="000000"/>
          <w:sz w:val="23"/>
          <w:szCs w:val="23"/>
        </w:rPr>
        <w:t>§2</w:t>
      </w:r>
      <w:r w:rsidR="00B50E8C">
        <w:rPr>
          <w:rFonts w:cs="Times New Roman"/>
          <w:color w:val="000000"/>
          <w:sz w:val="23"/>
          <w:szCs w:val="23"/>
        </w:rPr>
        <w:t>62</w:t>
      </w:r>
      <w:r w:rsidRPr="00CF28BA">
        <w:rPr>
          <w:rFonts w:cs="Times New Roman"/>
          <w:color w:val="000000"/>
          <w:sz w:val="23"/>
          <w:szCs w:val="23"/>
        </w:rPr>
        <w:t>. Section 3303.10.2 of  the New York city building code, as amended by local law number 126 for the year 2021, is amended to read as follows:</w:t>
      </w:r>
    </w:p>
    <w:p w14:paraId="65DA80B8" w14:textId="77777777" w:rsidR="00140B7C" w:rsidRPr="00EC4EC4" w:rsidRDefault="00140B7C" w:rsidP="00140B7C">
      <w:pPr>
        <w:kinsoku w:val="0"/>
        <w:spacing w:after="240" w:line="240" w:lineRule="auto"/>
        <w:jc w:val="both"/>
        <w:rPr>
          <w:rFonts w:eastAsia="Times New Roman" w:cs="Times New Roman"/>
          <w:bCs/>
          <w:iCs/>
          <w:spacing w:val="-2"/>
          <w:w w:val="110"/>
          <w:szCs w:val="24"/>
        </w:rPr>
      </w:pPr>
      <w:r w:rsidRPr="00CF28BA">
        <w:rPr>
          <w:rFonts w:eastAsia="Times New Roman" w:cs="Times New Roman"/>
          <w:b/>
          <w:bCs/>
          <w:iCs/>
          <w:spacing w:val="-2"/>
          <w:w w:val="110"/>
          <w:szCs w:val="24"/>
        </w:rPr>
        <w:t>3303.10.2 Inspections of tenant protection plan.</w:t>
      </w:r>
      <w:r w:rsidRPr="00CF28BA">
        <w:rPr>
          <w:rFonts w:eastAsia="Times New Roman" w:cs="Times New Roman"/>
          <w:bCs/>
          <w:iCs/>
          <w:spacing w:val="-2"/>
          <w:w w:val="110"/>
          <w:szCs w:val="24"/>
        </w:rPr>
        <w:t xml:space="preserve"> The owner shall notify the department in writing [</w:t>
      </w:r>
      <w:r w:rsidRPr="00CF28BA">
        <w:rPr>
          <w:rFonts w:eastAsia="Times New Roman" w:cs="Times New Roman"/>
          <w:bCs/>
          <w:iCs/>
          <w:strike/>
          <w:spacing w:val="-2"/>
          <w:w w:val="110"/>
          <w:szCs w:val="24"/>
        </w:rPr>
        <w:t>at least</w:t>
      </w:r>
      <w:r w:rsidRPr="00CF28BA">
        <w:rPr>
          <w:rFonts w:eastAsia="Times New Roman" w:cs="Times New Roman"/>
          <w:bCs/>
          <w:iCs/>
          <w:spacing w:val="-2"/>
          <w:w w:val="110"/>
          <w:szCs w:val="24"/>
        </w:rPr>
        <w:t xml:space="preserve">] </w:t>
      </w:r>
      <w:r w:rsidRPr="00CF28BA">
        <w:rPr>
          <w:rFonts w:eastAsia="Times New Roman" w:cs="Times New Roman"/>
          <w:bCs/>
          <w:iCs/>
          <w:spacing w:val="-2"/>
          <w:w w:val="110"/>
          <w:szCs w:val="24"/>
          <w:u w:val="single"/>
        </w:rPr>
        <w:t>not more than</w:t>
      </w:r>
      <w:r w:rsidRPr="00CF28BA">
        <w:rPr>
          <w:rFonts w:eastAsia="Times New Roman" w:cs="Times New Roman"/>
          <w:bCs/>
          <w:iCs/>
          <w:spacing w:val="-2"/>
          <w:w w:val="110"/>
          <w:szCs w:val="24"/>
        </w:rPr>
        <w:t xml:space="preserve"> 72 hours</w:t>
      </w:r>
      <w:r w:rsidRPr="00CF28BA">
        <w:rPr>
          <w:rFonts w:eastAsia="Times New Roman" w:cs="Times New Roman"/>
          <w:bCs/>
          <w:iCs/>
          <w:spacing w:val="-2"/>
          <w:w w:val="110"/>
          <w:szCs w:val="24"/>
          <w:u w:val="single"/>
        </w:rPr>
        <w:t>, but not less than 24 hours</w:t>
      </w:r>
      <w:r w:rsidRPr="00CF28BA">
        <w:rPr>
          <w:rFonts w:eastAsia="Times New Roman" w:cs="Times New Roman"/>
          <w:bCs/>
          <w:iCs/>
          <w:spacing w:val="-2"/>
          <w:w w:val="110"/>
          <w:szCs w:val="24"/>
        </w:rPr>
        <w:t xml:space="preserve"> prior to the commencement of any work requiring a tenant protection plan. The department shall conduct an inspection of 10 percent of such sites within seven days after the commencement of such work to verify compliance with the tenant protection plan. </w:t>
      </w:r>
      <w:r w:rsidRPr="00CF28BA">
        <w:rPr>
          <w:rFonts w:eastAsia="Times New Roman" w:cs="Times New Roman"/>
          <w:bCs/>
          <w:iCs/>
          <w:spacing w:val="-2"/>
          <w:w w:val="110"/>
          <w:szCs w:val="24"/>
        </w:rPr>
        <w:lastRenderedPageBreak/>
        <w:t>The department shall conduct follow up inspections of such sites every 180 days until such construction is completed to verify compliance with the building code and tenant protection plan. Thereafter, the department shall conduct an inspection within 10 days of receipt of a complaint concerning such work.</w:t>
      </w:r>
      <w:r w:rsidRPr="00EC4EC4">
        <w:rPr>
          <w:rFonts w:eastAsia="Times New Roman" w:cs="Times New Roman"/>
          <w:bCs/>
          <w:iCs/>
          <w:spacing w:val="-2"/>
          <w:w w:val="110"/>
          <w:szCs w:val="24"/>
        </w:rPr>
        <w:t xml:space="preserve"> </w:t>
      </w:r>
    </w:p>
    <w:p w14:paraId="0A88F980" w14:textId="17E7D2FE" w:rsidR="00140B7C" w:rsidRPr="00EC4EC4" w:rsidRDefault="00140B7C" w:rsidP="00140B7C">
      <w:pPr>
        <w:pStyle w:val="DoubleSpaceParagaph"/>
        <w:spacing w:line="240" w:lineRule="auto"/>
        <w:ind w:firstLine="720"/>
      </w:pPr>
      <w:bookmarkStart w:id="211" w:name="_Hlk115690169"/>
      <w:r w:rsidRPr="00EC4EC4">
        <w:rPr>
          <w:color w:val="000000"/>
          <w:sz w:val="23"/>
          <w:szCs w:val="23"/>
        </w:rPr>
        <w:t>§</w:t>
      </w:r>
      <w:r>
        <w:rPr>
          <w:color w:val="000000"/>
          <w:sz w:val="23"/>
          <w:szCs w:val="23"/>
        </w:rPr>
        <w:t>2</w:t>
      </w:r>
      <w:r w:rsidR="00B50E8C">
        <w:rPr>
          <w:color w:val="000000"/>
          <w:sz w:val="23"/>
          <w:szCs w:val="23"/>
        </w:rPr>
        <w:t>63</w:t>
      </w:r>
      <w:r w:rsidRPr="00EC4EC4">
        <w:rPr>
          <w:color w:val="000000"/>
          <w:sz w:val="23"/>
          <w:szCs w:val="23"/>
        </w:rPr>
        <w:t xml:space="preserve">. Section 3303.16.1 </w:t>
      </w:r>
      <w:r w:rsidRPr="00EC4EC4">
        <w:t>of the New York city building code, as added by local law number 126 for the year 2021, is amended to read as follows:</w:t>
      </w:r>
    </w:p>
    <w:bookmarkEnd w:id="211"/>
    <w:p w14:paraId="43D85122" w14:textId="77777777" w:rsidR="00140B7C" w:rsidRPr="00EC4EC4" w:rsidRDefault="00140B7C" w:rsidP="00140B7C">
      <w:pPr>
        <w:kinsoku w:val="0"/>
        <w:spacing w:after="0" w:line="240" w:lineRule="auto"/>
        <w:jc w:val="both"/>
        <w:rPr>
          <w:rFonts w:eastAsia="Times New Roman" w:cs="Times New Roman"/>
          <w:b/>
          <w:szCs w:val="24"/>
          <w:u w:val="single"/>
        </w:rPr>
      </w:pPr>
    </w:p>
    <w:p w14:paraId="5CAD5094" w14:textId="77777777" w:rsidR="00140B7C" w:rsidRPr="00EC4EC4" w:rsidRDefault="00140B7C" w:rsidP="00140B7C">
      <w:pPr>
        <w:kinsoku w:val="0"/>
        <w:spacing w:after="0" w:line="240" w:lineRule="atLeast"/>
        <w:jc w:val="both"/>
        <w:rPr>
          <w:rFonts w:eastAsia="Times New Roman" w:cs="Times New Roman"/>
          <w:szCs w:val="24"/>
        </w:rPr>
      </w:pPr>
      <w:r w:rsidRPr="00EC4EC4">
        <w:rPr>
          <w:rFonts w:eastAsia="Times New Roman" w:cs="Times New Roman"/>
          <w:b/>
          <w:szCs w:val="24"/>
        </w:rPr>
        <w:t>3303.16.1 Permit required.</w:t>
      </w:r>
      <w:r w:rsidRPr="00EC4EC4">
        <w:rPr>
          <w:rFonts w:eastAsia="Times New Roman" w:cs="Times New Roman"/>
          <w:szCs w:val="24"/>
        </w:rPr>
        <w:t xml:space="preserve">  No worker shed, contractor shed, contractor office, or similar structure shall be installed until a permit for the shed or office has been issued by the commissioner in accordance with the requirements of Chapter 1 of Title 28 of the </w:t>
      </w:r>
      <w:r w:rsidRPr="00EC4EC4">
        <w:rPr>
          <w:rFonts w:eastAsia="Times New Roman" w:cs="Times New Roman"/>
          <w:i/>
          <w:szCs w:val="24"/>
        </w:rPr>
        <w:t>Administrative Code</w:t>
      </w:r>
      <w:r w:rsidRPr="00EC4EC4">
        <w:rPr>
          <w:rFonts w:eastAsia="Times New Roman" w:cs="Times New Roman"/>
          <w:szCs w:val="24"/>
        </w:rPr>
        <w:t>.</w:t>
      </w:r>
    </w:p>
    <w:p w14:paraId="7FF925B0" w14:textId="77777777" w:rsidR="00140B7C" w:rsidRPr="00EC4EC4" w:rsidRDefault="00140B7C" w:rsidP="00140B7C">
      <w:pPr>
        <w:kinsoku w:val="0"/>
        <w:spacing w:after="0" w:line="240" w:lineRule="atLeast"/>
        <w:ind w:left="720"/>
        <w:jc w:val="both"/>
        <w:rPr>
          <w:rFonts w:eastAsia="Times New Roman" w:cs="Times New Roman"/>
          <w:b/>
          <w:szCs w:val="24"/>
        </w:rPr>
      </w:pPr>
    </w:p>
    <w:p w14:paraId="1427CEAC" w14:textId="77777777" w:rsidR="00140B7C" w:rsidRPr="00EC4EC4" w:rsidRDefault="00140B7C" w:rsidP="00140B7C">
      <w:pPr>
        <w:kinsoku w:val="0"/>
        <w:spacing w:after="0" w:line="240" w:lineRule="atLeast"/>
        <w:ind w:left="720"/>
        <w:jc w:val="both"/>
        <w:rPr>
          <w:rFonts w:eastAsia="Times New Roman" w:cs="Times New Roman"/>
          <w:b/>
          <w:szCs w:val="24"/>
        </w:rPr>
      </w:pPr>
      <w:r w:rsidRPr="00EC4EC4">
        <w:rPr>
          <w:rFonts w:eastAsia="Times New Roman" w:cs="Times New Roman"/>
          <w:b/>
          <w:szCs w:val="24"/>
        </w:rPr>
        <w:t xml:space="preserve">Exception:  </w:t>
      </w:r>
      <w:r w:rsidRPr="00EC4EC4">
        <w:rPr>
          <w:rFonts w:eastAsia="Times New Roman" w:cs="Times New Roman"/>
          <w:szCs w:val="24"/>
        </w:rPr>
        <w:t>A permit is not required for a worker shed, contractor shed, contractor office, or similar structure that does not exceed 1 story in height and 120 square feet (36.58 m</w:t>
      </w:r>
      <w:r w:rsidRPr="00EC4EC4">
        <w:rPr>
          <w:rFonts w:eastAsia="Times New Roman" w:cs="Times New Roman"/>
          <w:szCs w:val="24"/>
          <w:vertAlign w:val="superscript"/>
        </w:rPr>
        <w:t>2</w:t>
      </w:r>
      <w:r w:rsidRPr="00EC4EC4">
        <w:rPr>
          <w:rFonts w:eastAsia="Times New Roman" w:cs="Times New Roman"/>
          <w:szCs w:val="24"/>
        </w:rPr>
        <w:t>) in area, and further provided that the shed, office</w:t>
      </w:r>
      <w:r w:rsidRPr="00EC4EC4">
        <w:rPr>
          <w:rFonts w:eastAsia="Times New Roman" w:cs="Times New Roman"/>
          <w:szCs w:val="24"/>
          <w:u w:val="single"/>
        </w:rPr>
        <w:t>,</w:t>
      </w:r>
      <w:r w:rsidRPr="00EC4EC4">
        <w:rPr>
          <w:rFonts w:eastAsia="Times New Roman" w:cs="Times New Roman"/>
          <w:szCs w:val="24"/>
        </w:rPr>
        <w:t xml:space="preserve"> or similar structure is located more than 30 feet (9144 mm) from another shed, or office, or similar structure.</w:t>
      </w:r>
    </w:p>
    <w:p w14:paraId="5630482B" w14:textId="77777777" w:rsidR="00140B7C" w:rsidRPr="00EC4EC4" w:rsidRDefault="00140B7C" w:rsidP="00140B7C">
      <w:pPr>
        <w:pStyle w:val="HeadingCaps"/>
        <w:rPr>
          <w:w w:val="105"/>
        </w:rPr>
      </w:pPr>
      <w:bookmarkStart w:id="212" w:name="SECTION_3304"/>
    </w:p>
    <w:p w14:paraId="154D6F7E" w14:textId="210CF43B" w:rsidR="00140B7C" w:rsidRPr="00EC4EC4" w:rsidRDefault="00140B7C" w:rsidP="00140B7C">
      <w:pPr>
        <w:pStyle w:val="DoubleSpaceParagaph"/>
        <w:spacing w:line="240" w:lineRule="auto"/>
        <w:ind w:firstLine="720"/>
      </w:pPr>
      <w:bookmarkStart w:id="213" w:name="_Hlk115690492"/>
      <w:r w:rsidRPr="00EC4EC4">
        <w:rPr>
          <w:color w:val="000000"/>
          <w:sz w:val="23"/>
          <w:szCs w:val="23"/>
        </w:rPr>
        <w:t>§</w:t>
      </w:r>
      <w:r>
        <w:rPr>
          <w:color w:val="000000"/>
          <w:sz w:val="23"/>
          <w:szCs w:val="23"/>
        </w:rPr>
        <w:t>26</w:t>
      </w:r>
      <w:r w:rsidR="00B50E8C">
        <w:rPr>
          <w:color w:val="000000"/>
          <w:sz w:val="23"/>
          <w:szCs w:val="23"/>
        </w:rPr>
        <w:t>4</w:t>
      </w:r>
      <w:r w:rsidRPr="00EC4EC4">
        <w:rPr>
          <w:color w:val="000000"/>
          <w:sz w:val="23"/>
          <w:szCs w:val="23"/>
        </w:rPr>
        <w:t xml:space="preserve">. Table 3304.4.1 </w:t>
      </w:r>
      <w:r w:rsidRPr="00EC4EC4">
        <w:t>of the New York city building code, as added by local law number 126 for the year 2021, is amended to read as follows:</w:t>
      </w:r>
    </w:p>
    <w:bookmarkEnd w:id="213"/>
    <w:p w14:paraId="56BAEE64" w14:textId="77777777" w:rsidR="00140B7C" w:rsidRPr="00EC4EC4" w:rsidRDefault="00140B7C" w:rsidP="00140B7C">
      <w:pPr>
        <w:widowControl w:val="0"/>
        <w:kinsoku w:val="0"/>
        <w:spacing w:before="120" w:after="120" w:line="240" w:lineRule="auto"/>
        <w:jc w:val="center"/>
        <w:rPr>
          <w:rFonts w:eastAsia="Times New Roman" w:cs="Times New Roman"/>
          <w:b/>
          <w:caps/>
          <w:sz w:val="20"/>
          <w:szCs w:val="20"/>
        </w:rPr>
      </w:pPr>
      <w:r w:rsidRPr="00EC4EC4">
        <w:rPr>
          <w:rFonts w:eastAsia="Times New Roman" w:cs="Times New Roman"/>
          <w:b/>
          <w:sz w:val="20"/>
          <w:szCs w:val="20"/>
        </w:rPr>
        <w:t>TABLE 3304.4.1</w:t>
      </w:r>
      <w:r w:rsidRPr="00EC4EC4">
        <w:rPr>
          <w:rFonts w:eastAsia="Times New Roman" w:cs="Times New Roman"/>
          <w:b/>
          <w:sz w:val="20"/>
          <w:szCs w:val="20"/>
        </w:rPr>
        <w:br/>
      </w:r>
      <w:r w:rsidRPr="00EC4EC4">
        <w:rPr>
          <w:rFonts w:eastAsia="Times New Roman" w:cs="Times New Roman"/>
          <w:b/>
          <w:caps/>
          <w:sz w:val="20"/>
          <w:szCs w:val="20"/>
        </w:rPr>
        <w:t>Minimum sizes of timber bracing and timber sheet piling for trenches not exceeding 10 feet (3048 mm) in depth and 15 feet (4572 mm) in width</w:t>
      </w:r>
    </w:p>
    <w:tbl>
      <w:tblPr>
        <w:tblStyle w:val="TableGrid8"/>
        <w:tblW w:w="0" w:type="auto"/>
        <w:jc w:val="center"/>
        <w:tblLook w:val="04A0" w:firstRow="1" w:lastRow="0" w:firstColumn="1" w:lastColumn="0" w:noHBand="0" w:noVBand="1"/>
      </w:tblPr>
      <w:tblGrid>
        <w:gridCol w:w="1800"/>
        <w:gridCol w:w="2070"/>
        <w:gridCol w:w="2160"/>
        <w:gridCol w:w="2790"/>
      </w:tblGrid>
      <w:tr w:rsidR="00140B7C" w:rsidRPr="00EC4EC4" w14:paraId="37356695" w14:textId="77777777" w:rsidTr="00BC1087">
        <w:trPr>
          <w:cantSplit/>
          <w:tblHeader/>
          <w:jc w:val="center"/>
        </w:trPr>
        <w:tc>
          <w:tcPr>
            <w:tcW w:w="1800" w:type="dxa"/>
            <w:vAlign w:val="center"/>
          </w:tcPr>
          <w:p w14:paraId="5C586651" w14:textId="77777777" w:rsidR="00140B7C" w:rsidRPr="00EC4EC4" w:rsidRDefault="00140B7C" w:rsidP="00BC1087">
            <w:pPr>
              <w:widowControl w:val="0"/>
              <w:kinsoku w:val="0"/>
              <w:spacing w:before="120" w:after="120"/>
              <w:jc w:val="center"/>
              <w:rPr>
                <w:sz w:val="20"/>
              </w:rPr>
            </w:pPr>
            <w:r w:rsidRPr="00EC4EC4">
              <w:rPr>
                <w:sz w:val="20"/>
              </w:rPr>
              <w:t>Depth of trench</w:t>
            </w:r>
          </w:p>
        </w:tc>
        <w:tc>
          <w:tcPr>
            <w:tcW w:w="2070" w:type="dxa"/>
            <w:vAlign w:val="center"/>
          </w:tcPr>
          <w:p w14:paraId="465A1228" w14:textId="77777777" w:rsidR="00140B7C" w:rsidRPr="00EC4EC4" w:rsidRDefault="00140B7C" w:rsidP="00BC1087">
            <w:pPr>
              <w:widowControl w:val="0"/>
              <w:kinsoku w:val="0"/>
              <w:spacing w:before="120" w:after="120"/>
              <w:jc w:val="center"/>
              <w:rPr>
                <w:sz w:val="20"/>
              </w:rPr>
            </w:pPr>
            <w:r w:rsidRPr="00EC4EC4">
              <w:rPr>
                <w:sz w:val="20"/>
              </w:rPr>
              <w:t>Width of trench</w:t>
            </w:r>
          </w:p>
        </w:tc>
        <w:tc>
          <w:tcPr>
            <w:tcW w:w="2160" w:type="dxa"/>
            <w:vAlign w:val="center"/>
          </w:tcPr>
          <w:p w14:paraId="0877757B" w14:textId="77777777" w:rsidR="00140B7C" w:rsidRPr="00EC4EC4" w:rsidRDefault="00140B7C" w:rsidP="00BC1087">
            <w:pPr>
              <w:widowControl w:val="0"/>
              <w:kinsoku w:val="0"/>
              <w:spacing w:before="120" w:after="120"/>
              <w:jc w:val="center"/>
              <w:rPr>
                <w:sz w:val="20"/>
              </w:rPr>
            </w:pPr>
            <w:r w:rsidRPr="00EC4EC4">
              <w:rPr>
                <w:sz w:val="20"/>
              </w:rPr>
              <w:t>Nominal size of cross bracing at 6 feet (1829 mm) horizontal spacing</w:t>
            </w:r>
          </w:p>
        </w:tc>
        <w:tc>
          <w:tcPr>
            <w:tcW w:w="2790" w:type="dxa"/>
            <w:vAlign w:val="center"/>
          </w:tcPr>
          <w:p w14:paraId="69E2A734" w14:textId="77777777" w:rsidR="00140B7C" w:rsidRPr="00EC4EC4" w:rsidRDefault="00140B7C" w:rsidP="00BC1087">
            <w:pPr>
              <w:widowControl w:val="0"/>
              <w:kinsoku w:val="0"/>
              <w:spacing w:before="120" w:after="120"/>
              <w:jc w:val="center"/>
              <w:rPr>
                <w:sz w:val="20"/>
              </w:rPr>
            </w:pPr>
            <w:r w:rsidRPr="00EC4EC4">
              <w:rPr>
                <w:sz w:val="20"/>
              </w:rPr>
              <w:t>Shoring</w:t>
            </w:r>
          </w:p>
        </w:tc>
      </w:tr>
      <w:tr w:rsidR="00140B7C" w:rsidRPr="00EC4EC4" w14:paraId="74AFB09D" w14:textId="77777777" w:rsidTr="00BC1087">
        <w:trPr>
          <w:trHeight w:val="494"/>
          <w:jc w:val="center"/>
        </w:trPr>
        <w:tc>
          <w:tcPr>
            <w:tcW w:w="1800" w:type="dxa"/>
            <w:vMerge w:val="restart"/>
            <w:vAlign w:val="center"/>
          </w:tcPr>
          <w:p w14:paraId="16AD432A" w14:textId="77777777" w:rsidR="00140B7C" w:rsidRPr="00EC4EC4" w:rsidRDefault="00140B7C" w:rsidP="00BC1087">
            <w:pPr>
              <w:widowControl w:val="0"/>
              <w:kinsoku w:val="0"/>
              <w:spacing w:before="120" w:after="120"/>
              <w:jc w:val="center"/>
              <w:rPr>
                <w:sz w:val="20"/>
              </w:rPr>
            </w:pPr>
            <w:r w:rsidRPr="00EC4EC4">
              <w:rPr>
                <w:sz w:val="20"/>
              </w:rPr>
              <w:t>Up to 10 ft (3048 mm)</w:t>
            </w:r>
          </w:p>
        </w:tc>
        <w:tc>
          <w:tcPr>
            <w:tcW w:w="2070" w:type="dxa"/>
            <w:vAlign w:val="center"/>
          </w:tcPr>
          <w:p w14:paraId="0FF65E5B" w14:textId="77777777" w:rsidR="00140B7C" w:rsidRPr="00EC4EC4" w:rsidRDefault="00140B7C" w:rsidP="00BC1087">
            <w:pPr>
              <w:widowControl w:val="0"/>
              <w:kinsoku w:val="0"/>
              <w:spacing w:before="120" w:after="120"/>
              <w:jc w:val="center"/>
              <w:rPr>
                <w:sz w:val="20"/>
              </w:rPr>
            </w:pPr>
            <w:r w:rsidRPr="00EC4EC4">
              <w:rPr>
                <w:sz w:val="20"/>
              </w:rPr>
              <w:t>Up to 9 ft (2743 mm)</w:t>
            </w:r>
          </w:p>
        </w:tc>
        <w:tc>
          <w:tcPr>
            <w:tcW w:w="2160" w:type="dxa"/>
            <w:vAlign w:val="center"/>
          </w:tcPr>
          <w:p w14:paraId="798E7018" w14:textId="77777777" w:rsidR="00140B7C" w:rsidRPr="00EC4EC4" w:rsidRDefault="00140B7C" w:rsidP="00BC1087">
            <w:pPr>
              <w:widowControl w:val="0"/>
              <w:kinsoku w:val="0"/>
              <w:spacing w:before="120" w:after="120"/>
              <w:jc w:val="center"/>
              <w:rPr>
                <w:sz w:val="20"/>
              </w:rPr>
            </w:pPr>
            <w:r w:rsidRPr="00EC4EC4">
              <w:rPr>
                <w:sz w:val="20"/>
              </w:rPr>
              <w:t>6 in x 8in (152 mm x 203 mm)</w:t>
            </w:r>
          </w:p>
        </w:tc>
        <w:tc>
          <w:tcPr>
            <w:tcW w:w="2790" w:type="dxa"/>
            <w:vMerge w:val="restart"/>
            <w:vAlign w:val="center"/>
          </w:tcPr>
          <w:p w14:paraId="686F3AE8" w14:textId="77777777" w:rsidR="00140B7C" w:rsidRPr="00EC4EC4" w:rsidRDefault="00140B7C" w:rsidP="00BC1087">
            <w:pPr>
              <w:widowControl w:val="0"/>
              <w:kinsoku w:val="0"/>
              <w:spacing w:before="120" w:after="120"/>
              <w:jc w:val="center"/>
              <w:rPr>
                <w:sz w:val="20"/>
              </w:rPr>
            </w:pPr>
            <w:r w:rsidRPr="00EC4EC4">
              <w:rPr>
                <w:sz w:val="20"/>
              </w:rPr>
              <w:t>Sheet Piling, [</w:t>
            </w:r>
            <w:r w:rsidRPr="00EC4EC4">
              <w:rPr>
                <w:strike/>
                <w:sz w:val="20"/>
              </w:rPr>
              <w:t>2 ft x 6 ft (610 mm x 1829 mm)</w:t>
            </w:r>
            <w:r w:rsidRPr="00EC4EC4">
              <w:rPr>
                <w:sz w:val="20"/>
              </w:rPr>
              <w:t>]</w:t>
            </w:r>
            <w:r w:rsidRPr="00EC4EC4">
              <w:t xml:space="preserve"> </w:t>
            </w:r>
            <w:r w:rsidRPr="00EC4EC4">
              <w:rPr>
                <w:sz w:val="20"/>
                <w:u w:val="single"/>
              </w:rPr>
              <w:t>2 in x 6 in (51 mm x 152 mm)</w:t>
            </w:r>
            <w:r w:rsidRPr="00EC4EC4">
              <w:rPr>
                <w:sz w:val="20"/>
              </w:rPr>
              <w:t>, spaced tight, and</w:t>
            </w:r>
          </w:p>
          <w:p w14:paraId="0E33CF98" w14:textId="77777777" w:rsidR="00140B7C" w:rsidRPr="00EC4EC4" w:rsidRDefault="00140B7C" w:rsidP="00BC1087">
            <w:pPr>
              <w:widowControl w:val="0"/>
              <w:kinsoku w:val="0"/>
              <w:spacing w:before="120" w:after="120"/>
              <w:jc w:val="center"/>
              <w:rPr>
                <w:sz w:val="20"/>
              </w:rPr>
            </w:pPr>
            <w:r w:rsidRPr="00EC4EC4">
              <w:rPr>
                <w:sz w:val="20"/>
              </w:rPr>
              <w:t>Wales, 12 in x 12 in (305 mm x 305 mm), with 5 ft (1524 mm) maximum vertical spacing</w:t>
            </w:r>
          </w:p>
        </w:tc>
      </w:tr>
      <w:tr w:rsidR="00140B7C" w:rsidRPr="00EC4EC4" w14:paraId="336AFC59" w14:textId="77777777" w:rsidTr="00BC1087">
        <w:trPr>
          <w:trHeight w:val="809"/>
          <w:jc w:val="center"/>
        </w:trPr>
        <w:tc>
          <w:tcPr>
            <w:tcW w:w="1800" w:type="dxa"/>
            <w:vMerge/>
            <w:vAlign w:val="center"/>
          </w:tcPr>
          <w:p w14:paraId="1317724C" w14:textId="77777777" w:rsidR="00140B7C" w:rsidRPr="00EC4EC4" w:rsidRDefault="00140B7C" w:rsidP="00BC1087">
            <w:pPr>
              <w:widowControl w:val="0"/>
              <w:kinsoku w:val="0"/>
              <w:spacing w:before="120" w:after="120"/>
              <w:jc w:val="center"/>
              <w:rPr>
                <w:szCs w:val="24"/>
              </w:rPr>
            </w:pPr>
          </w:p>
        </w:tc>
        <w:tc>
          <w:tcPr>
            <w:tcW w:w="2070" w:type="dxa"/>
            <w:vAlign w:val="center"/>
          </w:tcPr>
          <w:p w14:paraId="05887972" w14:textId="77777777" w:rsidR="00140B7C" w:rsidRPr="00EC4EC4" w:rsidRDefault="00140B7C" w:rsidP="00BC1087">
            <w:pPr>
              <w:widowControl w:val="0"/>
              <w:kinsoku w:val="0"/>
              <w:spacing w:before="120" w:after="120"/>
              <w:jc w:val="center"/>
              <w:rPr>
                <w:sz w:val="20"/>
              </w:rPr>
            </w:pPr>
            <w:r w:rsidRPr="00EC4EC4">
              <w:rPr>
                <w:sz w:val="20"/>
              </w:rPr>
              <w:t>Up to 15 ft (4572 mm)</w:t>
            </w:r>
          </w:p>
        </w:tc>
        <w:tc>
          <w:tcPr>
            <w:tcW w:w="2160" w:type="dxa"/>
            <w:vAlign w:val="center"/>
          </w:tcPr>
          <w:p w14:paraId="5FA7C7DB" w14:textId="77777777" w:rsidR="00140B7C" w:rsidRPr="00EC4EC4" w:rsidRDefault="00140B7C" w:rsidP="00BC1087">
            <w:pPr>
              <w:widowControl w:val="0"/>
              <w:kinsoku w:val="0"/>
              <w:spacing w:before="120" w:after="120"/>
              <w:jc w:val="center"/>
              <w:rPr>
                <w:sz w:val="20"/>
              </w:rPr>
            </w:pPr>
            <w:r w:rsidRPr="00EC4EC4">
              <w:rPr>
                <w:sz w:val="20"/>
              </w:rPr>
              <w:t>8in x 8in (203 mm x 203 mm)</w:t>
            </w:r>
          </w:p>
        </w:tc>
        <w:tc>
          <w:tcPr>
            <w:tcW w:w="2790" w:type="dxa"/>
            <w:vMerge/>
            <w:vAlign w:val="center"/>
          </w:tcPr>
          <w:p w14:paraId="42AAF44D" w14:textId="77777777" w:rsidR="00140B7C" w:rsidRPr="00EC4EC4" w:rsidRDefault="00140B7C" w:rsidP="00BC1087">
            <w:pPr>
              <w:widowControl w:val="0"/>
              <w:kinsoku w:val="0"/>
              <w:spacing w:before="120" w:after="120"/>
              <w:rPr>
                <w:szCs w:val="24"/>
              </w:rPr>
            </w:pPr>
          </w:p>
        </w:tc>
      </w:tr>
    </w:tbl>
    <w:p w14:paraId="2A5FBC06" w14:textId="77777777" w:rsidR="00140B7C" w:rsidRPr="00EC4EC4" w:rsidRDefault="00140B7C" w:rsidP="00140B7C">
      <w:pPr>
        <w:widowControl w:val="0"/>
        <w:kinsoku w:val="0"/>
        <w:spacing w:before="120" w:after="120" w:line="240" w:lineRule="auto"/>
        <w:ind w:left="540"/>
        <w:jc w:val="both"/>
        <w:rPr>
          <w:rFonts w:eastAsia="Times New Roman" w:cs="Times New Roman"/>
          <w:b/>
          <w:sz w:val="16"/>
          <w:szCs w:val="16"/>
        </w:rPr>
      </w:pPr>
      <w:r w:rsidRPr="00EC4EC4">
        <w:rPr>
          <w:rFonts w:eastAsia="Times New Roman" w:cs="Times New Roman"/>
          <w:b/>
          <w:sz w:val="16"/>
          <w:szCs w:val="16"/>
        </w:rPr>
        <w:t>Notes to Table 3304.4.1:</w:t>
      </w:r>
    </w:p>
    <w:p w14:paraId="35BCF5EA" w14:textId="77777777" w:rsidR="00140B7C" w:rsidRPr="00EC4EC4" w:rsidRDefault="00140B7C" w:rsidP="00140B7C">
      <w:pPr>
        <w:widowControl w:val="0"/>
        <w:kinsoku w:val="0"/>
        <w:spacing w:before="120" w:after="120" w:line="240" w:lineRule="auto"/>
        <w:ind w:left="1080" w:hanging="360"/>
        <w:jc w:val="both"/>
        <w:rPr>
          <w:rFonts w:eastAsia="Times New Roman" w:cs="Times New Roman"/>
          <w:sz w:val="16"/>
          <w:szCs w:val="16"/>
        </w:rPr>
      </w:pPr>
      <w:r w:rsidRPr="00EC4EC4">
        <w:rPr>
          <w:rFonts w:eastAsia="Times New Roman" w:cs="Times New Roman"/>
          <w:sz w:val="16"/>
          <w:szCs w:val="16"/>
        </w:rPr>
        <w:t>1.</w:t>
      </w:r>
      <w:r w:rsidRPr="00EC4EC4">
        <w:rPr>
          <w:rFonts w:eastAsia="Times New Roman" w:cs="Times New Roman"/>
          <w:sz w:val="16"/>
          <w:szCs w:val="16"/>
        </w:rPr>
        <w:tab/>
        <w:t>All timber or equivalent substitute to have bending strength of 850 psi or above.</w:t>
      </w:r>
    </w:p>
    <w:p w14:paraId="2D32F3A4" w14:textId="77777777" w:rsidR="00140B7C" w:rsidRPr="00EC4EC4" w:rsidRDefault="00140B7C" w:rsidP="00140B7C">
      <w:pPr>
        <w:widowControl w:val="0"/>
        <w:kinsoku w:val="0"/>
        <w:spacing w:before="120" w:after="120" w:line="240" w:lineRule="auto"/>
        <w:ind w:left="1080" w:hanging="360"/>
        <w:jc w:val="both"/>
        <w:rPr>
          <w:rFonts w:eastAsia="Times New Roman" w:cs="Times New Roman"/>
          <w:sz w:val="16"/>
          <w:szCs w:val="16"/>
        </w:rPr>
      </w:pPr>
      <w:r w:rsidRPr="00EC4EC4">
        <w:rPr>
          <w:rFonts w:eastAsia="Times New Roman" w:cs="Times New Roman"/>
          <w:sz w:val="16"/>
          <w:szCs w:val="16"/>
        </w:rPr>
        <w:t>2.</w:t>
      </w:r>
      <w:r w:rsidRPr="00EC4EC4">
        <w:rPr>
          <w:rFonts w:eastAsia="Times New Roman" w:cs="Times New Roman"/>
          <w:sz w:val="16"/>
          <w:szCs w:val="16"/>
        </w:rPr>
        <w:tab/>
        <w:t>The depth of the trench shall be considered the depth from top of grade, not top of shoring structure should a portion of the support of excavation be by benching or sloping methods.</w:t>
      </w:r>
    </w:p>
    <w:p w14:paraId="16B9A80F" w14:textId="77777777" w:rsidR="00140B7C" w:rsidRPr="00EC4EC4" w:rsidRDefault="00140B7C" w:rsidP="00140B7C">
      <w:pPr>
        <w:widowControl w:val="0"/>
        <w:kinsoku w:val="0"/>
        <w:spacing w:before="120" w:after="120" w:line="240" w:lineRule="auto"/>
        <w:ind w:left="1080" w:hanging="360"/>
        <w:jc w:val="both"/>
        <w:rPr>
          <w:rFonts w:eastAsia="Times New Roman" w:cs="Times New Roman"/>
          <w:sz w:val="16"/>
          <w:szCs w:val="16"/>
        </w:rPr>
      </w:pPr>
      <w:r w:rsidRPr="00EC4EC4">
        <w:rPr>
          <w:rFonts w:eastAsia="Times New Roman" w:cs="Times New Roman"/>
          <w:sz w:val="16"/>
          <w:szCs w:val="16"/>
        </w:rPr>
        <w:t>3.</w:t>
      </w:r>
      <w:r w:rsidRPr="00EC4EC4">
        <w:rPr>
          <w:rFonts w:eastAsia="Times New Roman" w:cs="Times New Roman"/>
          <w:sz w:val="16"/>
          <w:szCs w:val="16"/>
        </w:rPr>
        <w:tab/>
        <w:t>Table shall not be utilized if any of the following are met:</w:t>
      </w:r>
    </w:p>
    <w:p w14:paraId="6B70F3E1" w14:textId="77777777" w:rsidR="00140B7C" w:rsidRPr="00EC4EC4" w:rsidRDefault="00140B7C" w:rsidP="00140B7C">
      <w:pPr>
        <w:widowControl w:val="0"/>
        <w:kinsoku w:val="0"/>
        <w:spacing w:before="120" w:after="120" w:line="240" w:lineRule="auto"/>
        <w:ind w:left="1440" w:hanging="360"/>
        <w:jc w:val="both"/>
        <w:rPr>
          <w:rFonts w:eastAsia="Times New Roman" w:cs="Times New Roman"/>
          <w:sz w:val="16"/>
          <w:szCs w:val="16"/>
        </w:rPr>
      </w:pPr>
      <w:r w:rsidRPr="00EC4EC4">
        <w:rPr>
          <w:rFonts w:eastAsia="Times New Roman" w:cs="Times New Roman"/>
          <w:sz w:val="16"/>
          <w:szCs w:val="16"/>
        </w:rPr>
        <w:t>a.</w:t>
      </w:r>
      <w:r w:rsidRPr="00EC4EC4">
        <w:rPr>
          <w:rFonts w:eastAsia="Times New Roman" w:cs="Times New Roman"/>
          <w:sz w:val="16"/>
          <w:szCs w:val="16"/>
        </w:rPr>
        <w:tab/>
        <w:t>Trench exceeds the specified dimensions.</w:t>
      </w:r>
    </w:p>
    <w:p w14:paraId="6748F3ED" w14:textId="77777777" w:rsidR="00140B7C" w:rsidRPr="00EC4EC4" w:rsidRDefault="00140B7C" w:rsidP="00140B7C">
      <w:pPr>
        <w:widowControl w:val="0"/>
        <w:kinsoku w:val="0"/>
        <w:spacing w:before="120" w:after="120" w:line="240" w:lineRule="auto"/>
        <w:ind w:left="1440" w:hanging="360"/>
        <w:jc w:val="both"/>
        <w:rPr>
          <w:rFonts w:eastAsia="Times New Roman" w:cs="Times New Roman"/>
          <w:sz w:val="16"/>
          <w:szCs w:val="16"/>
        </w:rPr>
      </w:pPr>
      <w:r w:rsidRPr="00EC4EC4">
        <w:rPr>
          <w:rFonts w:eastAsia="Times New Roman" w:cs="Times New Roman"/>
          <w:sz w:val="16"/>
          <w:szCs w:val="16"/>
        </w:rPr>
        <w:t>b.</w:t>
      </w:r>
      <w:r w:rsidRPr="00EC4EC4">
        <w:rPr>
          <w:rFonts w:eastAsia="Times New Roman" w:cs="Times New Roman"/>
          <w:sz w:val="16"/>
          <w:szCs w:val="16"/>
        </w:rPr>
        <w:tab/>
        <w:t>Stored material or structures are present within a distance equal to the depth of the trench.</w:t>
      </w:r>
    </w:p>
    <w:p w14:paraId="74C2A83B" w14:textId="77777777" w:rsidR="00140B7C" w:rsidRPr="00EC4EC4" w:rsidRDefault="00140B7C" w:rsidP="00140B7C">
      <w:pPr>
        <w:widowControl w:val="0"/>
        <w:tabs>
          <w:tab w:val="left" w:pos="720"/>
          <w:tab w:val="left" w:pos="1440"/>
          <w:tab w:val="left" w:pos="2160"/>
          <w:tab w:val="left" w:pos="2880"/>
          <w:tab w:val="left" w:pos="3600"/>
          <w:tab w:val="left" w:pos="4320"/>
          <w:tab w:val="left" w:pos="5040"/>
          <w:tab w:val="left" w:pos="6864"/>
        </w:tabs>
        <w:kinsoku w:val="0"/>
        <w:spacing w:before="120" w:after="120" w:line="240" w:lineRule="auto"/>
        <w:ind w:left="1440" w:hanging="360"/>
        <w:jc w:val="both"/>
        <w:rPr>
          <w:rFonts w:eastAsia="Times New Roman" w:cs="Times New Roman"/>
          <w:sz w:val="16"/>
          <w:szCs w:val="16"/>
        </w:rPr>
      </w:pPr>
      <w:r w:rsidRPr="00EC4EC4">
        <w:rPr>
          <w:rFonts w:eastAsia="Times New Roman" w:cs="Times New Roman"/>
          <w:sz w:val="16"/>
          <w:szCs w:val="16"/>
        </w:rPr>
        <w:t>c.</w:t>
      </w:r>
      <w:r w:rsidRPr="00EC4EC4">
        <w:rPr>
          <w:rFonts w:eastAsia="Times New Roman" w:cs="Times New Roman"/>
          <w:sz w:val="16"/>
          <w:szCs w:val="16"/>
        </w:rPr>
        <w:tab/>
        <w:t>Equipment surcharge loading exceeds 20,000 lb (9071.85 kg).</w:t>
      </w:r>
      <w:r w:rsidRPr="00EC4EC4">
        <w:rPr>
          <w:rFonts w:eastAsia="Times New Roman" w:cs="Times New Roman"/>
          <w:sz w:val="16"/>
          <w:szCs w:val="16"/>
        </w:rPr>
        <w:tab/>
      </w:r>
    </w:p>
    <w:p w14:paraId="6ABCD72B" w14:textId="77777777" w:rsidR="00140B7C" w:rsidRPr="00EC4EC4" w:rsidRDefault="00140B7C" w:rsidP="00140B7C">
      <w:pPr>
        <w:widowControl w:val="0"/>
        <w:kinsoku w:val="0"/>
        <w:spacing w:before="120" w:after="120" w:line="240" w:lineRule="auto"/>
        <w:ind w:left="1440" w:hanging="360"/>
        <w:jc w:val="both"/>
        <w:rPr>
          <w:rFonts w:eastAsia="Times New Roman" w:cs="Times New Roman"/>
          <w:sz w:val="16"/>
          <w:szCs w:val="16"/>
        </w:rPr>
      </w:pPr>
      <w:r w:rsidRPr="00EC4EC4">
        <w:rPr>
          <w:rFonts w:eastAsia="Times New Roman" w:cs="Times New Roman"/>
          <w:sz w:val="16"/>
          <w:szCs w:val="16"/>
        </w:rPr>
        <w:t>d.</w:t>
      </w:r>
      <w:r w:rsidRPr="00EC4EC4">
        <w:rPr>
          <w:rFonts w:eastAsia="Times New Roman" w:cs="Times New Roman"/>
          <w:sz w:val="16"/>
          <w:szCs w:val="16"/>
        </w:rPr>
        <w:tab/>
        <w:t>Surcharge load exceeds 2 ft (610 mm).</w:t>
      </w:r>
    </w:p>
    <w:p w14:paraId="699770A6" w14:textId="77777777" w:rsidR="00140B7C" w:rsidRPr="00EC4EC4" w:rsidRDefault="00140B7C" w:rsidP="00140B7C">
      <w:pPr>
        <w:widowControl w:val="0"/>
        <w:kinsoku w:val="0"/>
        <w:spacing w:before="120" w:after="120" w:line="240" w:lineRule="auto"/>
        <w:ind w:left="1440" w:hanging="360"/>
        <w:jc w:val="both"/>
        <w:rPr>
          <w:rFonts w:eastAsia="Times New Roman" w:cs="Times New Roman"/>
          <w:sz w:val="16"/>
          <w:szCs w:val="16"/>
        </w:rPr>
      </w:pPr>
      <w:r w:rsidRPr="00EC4EC4">
        <w:rPr>
          <w:rFonts w:eastAsia="Times New Roman" w:cs="Times New Roman"/>
          <w:sz w:val="16"/>
          <w:szCs w:val="16"/>
        </w:rPr>
        <w:t>e.</w:t>
      </w:r>
      <w:r w:rsidRPr="00EC4EC4">
        <w:rPr>
          <w:rFonts w:eastAsia="Times New Roman" w:cs="Times New Roman"/>
          <w:sz w:val="16"/>
          <w:szCs w:val="16"/>
        </w:rPr>
        <w:tab/>
        <w:t>Cross bracing is subject to any vertical load that meets or exceeds a load equivalent to a 240-lb (109 kg) gravity load distributed over [</w:t>
      </w:r>
      <w:r w:rsidRPr="00EC4EC4">
        <w:rPr>
          <w:rFonts w:eastAsia="Times New Roman" w:cs="Times New Roman"/>
          <w:strike/>
          <w:sz w:val="16"/>
          <w:szCs w:val="16"/>
        </w:rPr>
        <w:t>the center 12 ft (305 mm) in</w:t>
      </w:r>
      <w:r w:rsidRPr="00EC4EC4">
        <w:rPr>
          <w:rFonts w:eastAsia="Times New Roman" w:cs="Times New Roman"/>
          <w:sz w:val="16"/>
          <w:szCs w:val="16"/>
        </w:rPr>
        <w:t>]</w:t>
      </w:r>
      <w:r w:rsidRPr="00EC4EC4">
        <w:rPr>
          <w:rFonts w:eastAsia="Times New Roman" w:cs="Times New Roman"/>
          <w:sz w:val="16"/>
          <w:szCs w:val="16"/>
          <w:u w:val="single"/>
        </w:rPr>
        <w:t>a 12 in (305 mm) section of the center</w:t>
      </w:r>
      <w:r w:rsidRPr="00EC4EC4">
        <w:rPr>
          <w:rFonts w:eastAsia="Times New Roman" w:cs="Times New Roman"/>
          <w:sz w:val="16"/>
          <w:szCs w:val="16"/>
        </w:rPr>
        <w:t xml:space="preserve"> of the bracing member.</w:t>
      </w:r>
    </w:p>
    <w:bookmarkEnd w:id="212"/>
    <w:p w14:paraId="71C97CF3" w14:textId="77777777" w:rsidR="00140B7C" w:rsidRDefault="00140B7C" w:rsidP="00140B7C">
      <w:pPr>
        <w:pStyle w:val="DoubleSpaceParagaph"/>
        <w:spacing w:line="240" w:lineRule="auto"/>
        <w:ind w:firstLine="720"/>
        <w:rPr>
          <w:color w:val="000000"/>
          <w:sz w:val="23"/>
          <w:szCs w:val="23"/>
        </w:rPr>
      </w:pPr>
    </w:p>
    <w:p w14:paraId="59CB5EA7" w14:textId="46864A46"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26</w:t>
      </w:r>
      <w:r w:rsidR="00105DF7">
        <w:rPr>
          <w:color w:val="000000"/>
          <w:sz w:val="23"/>
          <w:szCs w:val="23"/>
        </w:rPr>
        <w:t>5</w:t>
      </w:r>
      <w:r w:rsidRPr="00EC4EC4">
        <w:rPr>
          <w:color w:val="000000"/>
          <w:sz w:val="23"/>
          <w:szCs w:val="23"/>
        </w:rPr>
        <w:t xml:space="preserve">. Section 3304.4.4 </w:t>
      </w:r>
      <w:r w:rsidRPr="00EC4EC4">
        <w:t>of the New York city building code, as amended by local law number 126 for the year 2021, is amended to read as follows:</w:t>
      </w:r>
    </w:p>
    <w:p w14:paraId="69FB078E" w14:textId="77777777" w:rsidR="00140B7C" w:rsidRPr="00EC4EC4" w:rsidRDefault="00140B7C" w:rsidP="00140B7C">
      <w:pPr>
        <w:kinsoku w:val="0"/>
        <w:spacing w:after="0" w:line="240" w:lineRule="auto"/>
        <w:jc w:val="both"/>
        <w:rPr>
          <w:rFonts w:eastAsia="Times New Roman" w:cs="Times New Roman"/>
          <w:b/>
          <w:szCs w:val="24"/>
        </w:rPr>
      </w:pPr>
    </w:p>
    <w:p w14:paraId="5E5DB916" w14:textId="77777777" w:rsidR="00140B7C" w:rsidRPr="00EC4EC4" w:rsidRDefault="00140B7C" w:rsidP="00140B7C">
      <w:pPr>
        <w:kinsoku w:val="0"/>
        <w:spacing w:after="240" w:line="240" w:lineRule="auto"/>
        <w:jc w:val="both"/>
        <w:rPr>
          <w:rFonts w:eastAsia="Times New Roman" w:cs="Times New Roman"/>
          <w:spacing w:val="1"/>
          <w:szCs w:val="24"/>
        </w:rPr>
      </w:pPr>
      <w:r w:rsidRPr="00EC4EC4">
        <w:rPr>
          <w:rFonts w:eastAsia="Times New Roman" w:cs="Times New Roman"/>
          <w:b/>
          <w:szCs w:val="24"/>
        </w:rPr>
        <w:t>3304.4.4 Guardrail system.</w:t>
      </w:r>
      <w:r w:rsidRPr="00EC4EC4">
        <w:rPr>
          <w:rFonts w:eastAsia="Times New Roman" w:cs="Times New Roman"/>
          <w:b/>
          <w:bCs/>
          <w:spacing w:val="1"/>
          <w:w w:val="110"/>
          <w:szCs w:val="24"/>
        </w:rPr>
        <w:t xml:space="preserve"> </w:t>
      </w:r>
      <w:r w:rsidRPr="00EC4EC4">
        <w:rPr>
          <w:rFonts w:eastAsia="Times New Roman" w:cs="Times New Roman"/>
          <w:spacing w:val="1"/>
          <w:szCs w:val="24"/>
        </w:rPr>
        <w:t>All open edges of an excavation that are 6 feet (1829 mm) or greater in depth shall be protected by a guardrail system meeting the requirements of Sections 3308.7.1 through 3308.7.5, or by a solid enclosure at least 3 feet 6 inches (1067 mm) high. For the purpose of a guardrail system installed in accordance with this section to protect the open edge of an excavation, the term “floor” in Sections 3308.7.1 through 3308.7.5 shall mean “ground.”</w:t>
      </w:r>
    </w:p>
    <w:p w14:paraId="4C926D6A" w14:textId="77777777" w:rsidR="00140B7C" w:rsidRPr="00EC4EC4" w:rsidRDefault="00140B7C" w:rsidP="00140B7C">
      <w:pPr>
        <w:kinsoku w:val="0"/>
        <w:spacing w:after="240" w:line="240" w:lineRule="auto"/>
        <w:ind w:left="720"/>
        <w:jc w:val="both"/>
        <w:rPr>
          <w:rFonts w:eastAsia="Times New Roman" w:cs="Times New Roman"/>
          <w:szCs w:val="24"/>
        </w:rPr>
      </w:pPr>
      <w:r w:rsidRPr="00EC4EC4">
        <w:rPr>
          <w:rFonts w:eastAsia="Times New Roman" w:cs="Times New Roman"/>
          <w:b/>
          <w:szCs w:val="24"/>
        </w:rPr>
        <w:t>Exceptions:</w:t>
      </w:r>
    </w:p>
    <w:p w14:paraId="287C4EFB"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A toeboard is not required where the sheeting, shoring, bracing, or any other support of excavation extends at least 3½ inches (89 mm) above the top of the excavation.</w:t>
      </w:r>
    </w:p>
    <w:p w14:paraId="43EEB3FF"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r>
      <w:r w:rsidRPr="00EC4EC4">
        <w:rPr>
          <w:rFonts w:eastAsia="Times New Roman" w:cs="Times New Roman"/>
          <w:szCs w:val="24"/>
          <w:u w:val="single"/>
        </w:rPr>
        <w:t>A</w:t>
      </w:r>
      <w:r w:rsidRPr="00EC4EC4">
        <w:rPr>
          <w:rFonts w:eastAsia="Times New Roman" w:cs="Times New Roman"/>
          <w:szCs w:val="24"/>
        </w:rPr>
        <w:t xml:space="preserve"> guardrail system or a solid enclosure is not required where access to the adjoining area is precluded.</w:t>
      </w:r>
    </w:p>
    <w:p w14:paraId="377C1C0C"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lastRenderedPageBreak/>
        <w:t>3.</w:t>
      </w:r>
      <w:r w:rsidRPr="00EC4EC4">
        <w:rPr>
          <w:rFonts w:eastAsia="Times New Roman" w:cs="Times New Roman"/>
          <w:szCs w:val="24"/>
        </w:rPr>
        <w:tab/>
        <w:t>A guardrail system or a solid enclosure is not required where side slopes are three horizontal by one vertical (33-percent slope) or flatter.</w:t>
      </w:r>
    </w:p>
    <w:p w14:paraId="2F4CCD1B"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In lieu of a guardrail system, wells, pits, excavation shafts, or similar excavations may be protected by an adequate cover capable of supporting, without failure, at least twice the weight of persons, equipment, and materials that may be imposed on the cover at any one time, or where located in roadways and vehicular aisles, at least twice the maximum axle load of the largest vehicle expected to cross over the cover.  The cover shall be secured when installed so as to prevent accidental displacement by the wind, equipment, or persons, and shall be color coded or marked with the word "HOLE" or "COVER" to provide warning of the hazard.</w:t>
      </w:r>
    </w:p>
    <w:p w14:paraId="306548FF"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The edges of ramps shall be protected in accordance with Section 3315.</w:t>
      </w:r>
    </w:p>
    <w:p w14:paraId="38AE1D5A" w14:textId="24D86EDE"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26</w:t>
      </w:r>
      <w:r w:rsidR="00105DF7">
        <w:rPr>
          <w:color w:val="000000"/>
          <w:sz w:val="23"/>
          <w:szCs w:val="23"/>
        </w:rPr>
        <w:t>6</w:t>
      </w:r>
      <w:r w:rsidRPr="00EC4EC4">
        <w:rPr>
          <w:color w:val="000000"/>
          <w:sz w:val="23"/>
          <w:szCs w:val="23"/>
        </w:rPr>
        <w:t xml:space="preserve">. Section 3305.2.4.3 </w:t>
      </w:r>
      <w:r w:rsidRPr="00EC4EC4">
        <w:t>of the New York city building code, as added by local law number 126 for the year 2021, is amended to read as follows:</w:t>
      </w:r>
    </w:p>
    <w:p w14:paraId="0AA8E0D0" w14:textId="77777777" w:rsidR="00140B7C" w:rsidRPr="00EC4EC4" w:rsidRDefault="00140B7C" w:rsidP="00140B7C">
      <w:pPr>
        <w:kinsoku w:val="0"/>
        <w:spacing w:after="0" w:line="240" w:lineRule="auto"/>
        <w:jc w:val="both"/>
        <w:rPr>
          <w:rFonts w:eastAsia="Times New Roman" w:cs="Times New Roman"/>
          <w:b/>
          <w:szCs w:val="24"/>
          <w:u w:val="single"/>
        </w:rPr>
      </w:pPr>
    </w:p>
    <w:p w14:paraId="0BC53A3F" w14:textId="77777777" w:rsidR="00140B7C" w:rsidRPr="00EC4EC4" w:rsidRDefault="00140B7C" w:rsidP="00140B7C">
      <w:pPr>
        <w:kinsoku w:val="0"/>
        <w:spacing w:after="0" w:line="240" w:lineRule="auto"/>
        <w:jc w:val="both"/>
        <w:rPr>
          <w:rFonts w:eastAsia="Times New Roman" w:cs="Times New Roman"/>
          <w:szCs w:val="24"/>
        </w:rPr>
      </w:pPr>
      <w:r w:rsidRPr="00EC4EC4">
        <w:rPr>
          <w:rFonts w:eastAsia="Times New Roman" w:cs="Times New Roman"/>
          <w:b/>
          <w:szCs w:val="24"/>
        </w:rPr>
        <w:t xml:space="preserve">3305.2.4.3 Landing and placing loads.  </w:t>
      </w:r>
      <w:r w:rsidRPr="00EC4EC4">
        <w:rPr>
          <w:rFonts w:eastAsia="Times New Roman" w:cs="Times New Roman"/>
          <w:szCs w:val="24"/>
        </w:rPr>
        <w:t>The landing and placing of loads on open web steel joists shall be in accordance with the following requirements:</w:t>
      </w:r>
    </w:p>
    <w:p w14:paraId="28583C95" w14:textId="77777777" w:rsidR="00140B7C" w:rsidRPr="00EC4EC4" w:rsidRDefault="00140B7C" w:rsidP="00140B7C">
      <w:pPr>
        <w:kinsoku w:val="0"/>
        <w:spacing w:after="0" w:line="240" w:lineRule="auto"/>
        <w:jc w:val="both"/>
        <w:rPr>
          <w:rFonts w:eastAsia="Times New Roman" w:cs="Times New Roman"/>
          <w:szCs w:val="24"/>
        </w:rPr>
      </w:pPr>
    </w:p>
    <w:p w14:paraId="5C18F4B9"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No load shall be placed on open web steel joists until they are permanently fastened in place or otherwise secured in accordance with methods approved by the registered design professional of record, and the special inspector responsible for the open web steel joists has signed and dated a report indicating compliance with the requirements of this item.</w:t>
      </w:r>
    </w:p>
    <w:p w14:paraId="447139D2"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During the construction period, the contractor shall ensure that all loads placed on the steel are distributed so as not to exceed the carrying capacity of any open web steel joist.</w:t>
      </w:r>
    </w:p>
    <w:p w14:paraId="46C3F43F"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Except as provided in item number 5 [</w:t>
      </w:r>
      <w:r w:rsidRPr="00EC4EC4">
        <w:rPr>
          <w:rFonts w:eastAsia="Times New Roman" w:cs="Times New Roman"/>
          <w:strike/>
          <w:szCs w:val="24"/>
        </w:rPr>
        <w:t>below</w:t>
      </w:r>
      <w:r w:rsidRPr="00EC4EC4">
        <w:rPr>
          <w:rFonts w:eastAsia="Times New Roman" w:cs="Times New Roman"/>
          <w:szCs w:val="24"/>
        </w:rPr>
        <w:t>], no construction loads are allowed on the steel joists until all bridging is installed and anchored and all joist-bearing ends are attached.</w:t>
      </w:r>
    </w:p>
    <w:p w14:paraId="667DEF40"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The weight of a bundle of joist bridging shall not exceed a total of 1,000 pounds (454 kg). A bundle of joist bridging shall be placed on a minimum of three steel joists that are secured at one end. The edge of the bridging bundle shall be positioned within 1 foot (305 mm) of the secured end.</w:t>
      </w:r>
    </w:p>
    <w:p w14:paraId="08504657"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No bundle of decking may be placed on steel joists until all bridging has been installed and anchored and all joist bearing ends attached, unless all of the following conditions are met:</w:t>
      </w:r>
    </w:p>
    <w:p w14:paraId="0AA73427" w14:textId="77777777" w:rsidR="00140B7C" w:rsidRPr="00EC4EC4" w:rsidRDefault="00140B7C" w:rsidP="00140B7C">
      <w:pPr>
        <w:kinsoku w:val="0"/>
        <w:spacing w:after="240" w:line="240" w:lineRule="auto"/>
        <w:ind w:left="1980" w:hanging="540"/>
        <w:jc w:val="both"/>
        <w:rPr>
          <w:rFonts w:eastAsia="Times New Roman" w:cs="Times New Roman"/>
          <w:szCs w:val="24"/>
        </w:rPr>
      </w:pPr>
      <w:r w:rsidRPr="00EC4EC4">
        <w:rPr>
          <w:rFonts w:eastAsia="Times New Roman" w:cs="Times New Roman"/>
          <w:szCs w:val="24"/>
        </w:rPr>
        <w:t>5.1.</w:t>
      </w:r>
      <w:r w:rsidRPr="00EC4EC4">
        <w:rPr>
          <w:rFonts w:eastAsia="Times New Roman" w:cs="Times New Roman"/>
          <w:szCs w:val="24"/>
        </w:rPr>
        <w:tab/>
        <w:t>The contractor has first determined from a qualified person and documented in a site-specific erection plan that the structure or portion of the structure is capable of supporting the load;</w:t>
      </w:r>
    </w:p>
    <w:p w14:paraId="4B8866A7" w14:textId="77777777" w:rsidR="00140B7C" w:rsidRPr="00EC4EC4" w:rsidRDefault="00140B7C" w:rsidP="00140B7C">
      <w:pPr>
        <w:kinsoku w:val="0"/>
        <w:spacing w:after="240" w:line="240" w:lineRule="auto"/>
        <w:ind w:left="1980" w:hanging="540"/>
        <w:jc w:val="both"/>
        <w:rPr>
          <w:rFonts w:eastAsia="Times New Roman" w:cs="Times New Roman"/>
          <w:szCs w:val="24"/>
        </w:rPr>
      </w:pPr>
      <w:r w:rsidRPr="00EC4EC4">
        <w:rPr>
          <w:rFonts w:eastAsia="Times New Roman" w:cs="Times New Roman"/>
          <w:szCs w:val="24"/>
        </w:rPr>
        <w:t>5.2.</w:t>
      </w:r>
      <w:r w:rsidRPr="00EC4EC4">
        <w:rPr>
          <w:rFonts w:eastAsia="Times New Roman" w:cs="Times New Roman"/>
          <w:szCs w:val="24"/>
        </w:rPr>
        <w:tab/>
        <w:t>The bundle of decking is placed on a minimum of three steel joists;</w:t>
      </w:r>
    </w:p>
    <w:p w14:paraId="4AD6EE22" w14:textId="77777777" w:rsidR="00140B7C" w:rsidRPr="00EC4EC4" w:rsidRDefault="00140B7C" w:rsidP="00140B7C">
      <w:pPr>
        <w:kinsoku w:val="0"/>
        <w:spacing w:after="240" w:line="240" w:lineRule="auto"/>
        <w:ind w:left="1980" w:hanging="540"/>
        <w:jc w:val="both"/>
        <w:rPr>
          <w:rFonts w:eastAsia="Times New Roman" w:cs="Times New Roman"/>
          <w:szCs w:val="24"/>
        </w:rPr>
      </w:pPr>
      <w:r w:rsidRPr="00EC4EC4">
        <w:rPr>
          <w:rFonts w:eastAsia="Times New Roman" w:cs="Times New Roman"/>
          <w:szCs w:val="24"/>
        </w:rPr>
        <w:t>5.3.</w:t>
      </w:r>
      <w:r w:rsidRPr="00EC4EC4">
        <w:rPr>
          <w:rFonts w:eastAsia="Times New Roman" w:cs="Times New Roman"/>
          <w:szCs w:val="24"/>
        </w:rPr>
        <w:tab/>
        <w:t>The joists supporting the bundle of decking are attached at both ends;</w:t>
      </w:r>
    </w:p>
    <w:p w14:paraId="327A638C" w14:textId="77777777" w:rsidR="00140B7C" w:rsidRPr="00EC4EC4" w:rsidRDefault="00140B7C" w:rsidP="00140B7C">
      <w:pPr>
        <w:kinsoku w:val="0"/>
        <w:spacing w:after="240" w:line="240" w:lineRule="auto"/>
        <w:ind w:left="1980" w:hanging="540"/>
        <w:jc w:val="both"/>
        <w:rPr>
          <w:rFonts w:eastAsia="Times New Roman" w:cs="Times New Roman"/>
          <w:szCs w:val="24"/>
        </w:rPr>
      </w:pPr>
      <w:r w:rsidRPr="00EC4EC4">
        <w:rPr>
          <w:rFonts w:eastAsia="Times New Roman" w:cs="Times New Roman"/>
          <w:szCs w:val="24"/>
        </w:rPr>
        <w:t>5.4.</w:t>
      </w:r>
      <w:r w:rsidRPr="00EC4EC4">
        <w:rPr>
          <w:rFonts w:eastAsia="Times New Roman" w:cs="Times New Roman"/>
          <w:szCs w:val="24"/>
        </w:rPr>
        <w:tab/>
        <w:t>At least one row of bridging is installed and anchored;</w:t>
      </w:r>
    </w:p>
    <w:p w14:paraId="1C49B97E" w14:textId="77777777" w:rsidR="00140B7C" w:rsidRPr="00EC4EC4" w:rsidRDefault="00140B7C" w:rsidP="00140B7C">
      <w:pPr>
        <w:kinsoku w:val="0"/>
        <w:spacing w:after="240" w:line="240" w:lineRule="auto"/>
        <w:ind w:left="1980" w:hanging="540"/>
        <w:jc w:val="both"/>
        <w:rPr>
          <w:rFonts w:eastAsia="Times New Roman" w:cs="Times New Roman"/>
          <w:szCs w:val="24"/>
        </w:rPr>
      </w:pPr>
      <w:r w:rsidRPr="00EC4EC4">
        <w:rPr>
          <w:rFonts w:eastAsia="Times New Roman" w:cs="Times New Roman"/>
          <w:szCs w:val="24"/>
        </w:rPr>
        <w:t>5.5.</w:t>
      </w:r>
      <w:r w:rsidRPr="00EC4EC4">
        <w:rPr>
          <w:rFonts w:eastAsia="Times New Roman" w:cs="Times New Roman"/>
          <w:szCs w:val="24"/>
        </w:rPr>
        <w:tab/>
        <w:t>The total weight of the bundle of decking does not exceed 4,000 pounds (1816 kg); and</w:t>
      </w:r>
    </w:p>
    <w:p w14:paraId="535DE320" w14:textId="77777777" w:rsidR="00140B7C" w:rsidRPr="00EC4EC4" w:rsidRDefault="00140B7C" w:rsidP="00140B7C">
      <w:pPr>
        <w:kinsoku w:val="0"/>
        <w:spacing w:after="240" w:line="240" w:lineRule="auto"/>
        <w:ind w:left="1980" w:hanging="540"/>
        <w:jc w:val="both"/>
        <w:rPr>
          <w:rFonts w:eastAsia="Times New Roman" w:cs="Times New Roman"/>
          <w:szCs w:val="24"/>
        </w:rPr>
      </w:pPr>
      <w:r w:rsidRPr="00EC4EC4">
        <w:rPr>
          <w:rFonts w:eastAsia="Times New Roman" w:cs="Times New Roman"/>
          <w:szCs w:val="24"/>
        </w:rPr>
        <w:t>5.6. Placement of the bundle of decking shall be in accordance with item number 6 [</w:t>
      </w:r>
      <w:r w:rsidRPr="00EC4EC4">
        <w:rPr>
          <w:rFonts w:eastAsia="Times New Roman" w:cs="Times New Roman"/>
          <w:strike/>
          <w:szCs w:val="24"/>
        </w:rPr>
        <w:t>below</w:t>
      </w:r>
      <w:r w:rsidRPr="00EC4EC4">
        <w:rPr>
          <w:rFonts w:eastAsia="Times New Roman" w:cs="Times New Roman"/>
          <w:szCs w:val="24"/>
        </w:rPr>
        <w:t>].</w:t>
      </w:r>
    </w:p>
    <w:p w14:paraId="53DF1FFC" w14:textId="77777777" w:rsidR="00140B7C" w:rsidRPr="00EC4EC4" w:rsidRDefault="00140B7C" w:rsidP="00140B7C">
      <w:pPr>
        <w:kinsoku w:val="0"/>
        <w:spacing w:after="240" w:line="240" w:lineRule="auto"/>
        <w:ind w:left="1440"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The edge of the construction load shall be placed within 1 foot (305 mm) of the bearing surface of the joist end.</w:t>
      </w:r>
    </w:p>
    <w:p w14:paraId="31DAECD3" w14:textId="1A5F4945" w:rsidR="00140B7C" w:rsidRPr="00EC4EC4" w:rsidRDefault="00140B7C" w:rsidP="00140B7C">
      <w:pPr>
        <w:pStyle w:val="DoubleSpaceParagaph"/>
        <w:spacing w:line="240" w:lineRule="auto"/>
        <w:ind w:firstLine="720"/>
      </w:pPr>
      <w:bookmarkStart w:id="214" w:name="_Hlk115691371"/>
      <w:r w:rsidRPr="00EC4EC4">
        <w:rPr>
          <w:color w:val="000000"/>
          <w:sz w:val="23"/>
          <w:szCs w:val="23"/>
        </w:rPr>
        <w:t>§</w:t>
      </w:r>
      <w:r>
        <w:rPr>
          <w:color w:val="000000"/>
          <w:sz w:val="23"/>
          <w:szCs w:val="23"/>
        </w:rPr>
        <w:t>26</w:t>
      </w:r>
      <w:r w:rsidR="00105DF7">
        <w:rPr>
          <w:color w:val="000000"/>
          <w:sz w:val="23"/>
          <w:szCs w:val="23"/>
        </w:rPr>
        <w:t>7</w:t>
      </w:r>
      <w:r w:rsidRPr="00EC4EC4">
        <w:rPr>
          <w:color w:val="000000"/>
          <w:sz w:val="23"/>
          <w:szCs w:val="23"/>
        </w:rPr>
        <w:t xml:space="preserve">. Section 3305.8.4.2 </w:t>
      </w:r>
      <w:r w:rsidRPr="00EC4EC4">
        <w:t>of the New York city building code, as added by local law number 126 for the year 2021, is amended to read as follows:</w:t>
      </w:r>
    </w:p>
    <w:bookmarkEnd w:id="214"/>
    <w:p w14:paraId="36BC322B" w14:textId="77777777" w:rsidR="00140B7C" w:rsidRPr="00EC4EC4" w:rsidRDefault="00140B7C" w:rsidP="00140B7C">
      <w:pPr>
        <w:kinsoku w:val="0"/>
        <w:spacing w:after="0" w:line="240" w:lineRule="auto"/>
        <w:ind w:left="360"/>
        <w:jc w:val="both"/>
        <w:rPr>
          <w:rFonts w:eastAsia="Times New Roman" w:cs="Times New Roman"/>
          <w:b/>
          <w:bCs/>
          <w:szCs w:val="24"/>
        </w:rPr>
      </w:pPr>
    </w:p>
    <w:p w14:paraId="6CDD7B74" w14:textId="77777777" w:rsidR="00140B7C" w:rsidRPr="00EC4EC4" w:rsidRDefault="00140B7C" w:rsidP="00140B7C">
      <w:pPr>
        <w:kinsoku w:val="0"/>
        <w:spacing w:after="0" w:line="240" w:lineRule="auto"/>
        <w:jc w:val="both"/>
        <w:rPr>
          <w:rFonts w:eastAsia="Times New Roman" w:cs="Times New Roman"/>
          <w:b/>
          <w:bCs/>
          <w:szCs w:val="24"/>
        </w:rPr>
      </w:pPr>
      <w:r w:rsidRPr="00EC4EC4">
        <w:rPr>
          <w:b/>
          <w:bCs/>
        </w:rPr>
        <w:t xml:space="preserve">3305.8.4.2 Stripped screws in shear connections. </w:t>
      </w:r>
      <w:r w:rsidRPr="00EC4EC4">
        <w:t>Stripped screws in shear connections shall only be permitted if the number of stripped screw fasteners does not exceed 25[</w:t>
      </w:r>
      <w:r w:rsidRPr="00EC4EC4">
        <w:rPr>
          <w:strike/>
        </w:rPr>
        <w:t>%</w:t>
      </w:r>
      <w:r w:rsidRPr="00EC4EC4">
        <w:t>]</w:t>
      </w:r>
      <w:r w:rsidRPr="00EC4EC4">
        <w:rPr>
          <w:u w:val="single"/>
        </w:rPr>
        <w:t>percent</w:t>
      </w:r>
      <w:r w:rsidRPr="00EC4EC4">
        <w:t xml:space="preserve"> of the total number of fasteners in the connection</w:t>
      </w:r>
    </w:p>
    <w:p w14:paraId="07D5F732" w14:textId="77777777" w:rsidR="00140B7C" w:rsidRPr="00EC4EC4" w:rsidRDefault="00140B7C" w:rsidP="00140B7C">
      <w:pPr>
        <w:pStyle w:val="DoubleSpaceParagaph"/>
        <w:spacing w:line="240" w:lineRule="auto"/>
        <w:ind w:firstLine="720"/>
        <w:rPr>
          <w:color w:val="000000"/>
          <w:sz w:val="23"/>
          <w:szCs w:val="23"/>
        </w:rPr>
      </w:pPr>
    </w:p>
    <w:p w14:paraId="3678FBED" w14:textId="6321B41F"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26</w:t>
      </w:r>
      <w:r w:rsidR="00105DF7">
        <w:rPr>
          <w:color w:val="000000"/>
          <w:sz w:val="23"/>
          <w:szCs w:val="23"/>
        </w:rPr>
        <w:t>8</w:t>
      </w:r>
      <w:r w:rsidRPr="00EC4EC4">
        <w:rPr>
          <w:color w:val="000000"/>
          <w:sz w:val="23"/>
          <w:szCs w:val="23"/>
        </w:rPr>
        <w:t xml:space="preserve">. Section 3305.8.6.8 </w:t>
      </w:r>
      <w:r w:rsidRPr="00EC4EC4">
        <w:t>of the New York city building code, as added by local law number 126 for the year 2021, is amended to read as follows:</w:t>
      </w:r>
    </w:p>
    <w:p w14:paraId="5A6586DE" w14:textId="77777777" w:rsidR="00140B7C" w:rsidRPr="00EC4EC4" w:rsidRDefault="00140B7C" w:rsidP="00140B7C">
      <w:pPr>
        <w:pStyle w:val="DoubleSpaceParagaph"/>
        <w:spacing w:line="240" w:lineRule="auto"/>
        <w:ind w:firstLine="720"/>
      </w:pPr>
    </w:p>
    <w:p w14:paraId="03F3CF57" w14:textId="77777777" w:rsidR="00140B7C" w:rsidRDefault="00140B7C" w:rsidP="00140B7C">
      <w:pPr>
        <w:kinsoku w:val="0"/>
        <w:autoSpaceDE w:val="0"/>
        <w:autoSpaceDN w:val="0"/>
        <w:adjustRightInd w:val="0"/>
        <w:spacing w:after="0" w:line="240" w:lineRule="auto"/>
        <w:jc w:val="both"/>
      </w:pPr>
      <w:bookmarkStart w:id="215" w:name="SECTION_3306"/>
      <w:r w:rsidRPr="00EC4EC4">
        <w:rPr>
          <w:b/>
          <w:bCs/>
        </w:rPr>
        <w:t>3305.8.6.8 Removal or modification of temporary shoring and bracing.</w:t>
      </w:r>
      <w:r w:rsidRPr="00EC4EC4">
        <w:t xml:space="preserve"> No temporary shoring or bracing shall be removed until the cold-formed steel special inspector required by Chapter 17 has verified the shoring or bracing </w:t>
      </w:r>
      <w:r w:rsidRPr="00EC4EC4">
        <w:lastRenderedPageBreak/>
        <w:t>is no longer required in accordance with [</w:t>
      </w:r>
      <w:r w:rsidRPr="00EC4EC4">
        <w:rPr>
          <w:strike/>
        </w:rPr>
        <w:t>item number</w:t>
      </w:r>
      <w:r w:rsidRPr="00EC4EC4">
        <w:t>]</w:t>
      </w:r>
      <w:r w:rsidRPr="00EC4EC4">
        <w:rPr>
          <w:u w:val="single"/>
        </w:rPr>
        <w:t xml:space="preserve">Item </w:t>
      </w:r>
      <w:r w:rsidRPr="00EC4EC4">
        <w:t xml:space="preserve"> 10 of Section 3305.8.6.1. Modifications to temporary shoring or bracing shall be verified by the special inspector. In addition to the documentation required by Chapter 17, the special inspector shall document the verification in accordance with the checklist required by Section 3305.8.8.</w:t>
      </w:r>
    </w:p>
    <w:p w14:paraId="3B65E42B" w14:textId="77777777" w:rsidR="00140B7C" w:rsidRPr="00EC4EC4" w:rsidRDefault="00140B7C" w:rsidP="00140B7C">
      <w:pPr>
        <w:kinsoku w:val="0"/>
        <w:autoSpaceDE w:val="0"/>
        <w:autoSpaceDN w:val="0"/>
        <w:adjustRightInd w:val="0"/>
        <w:spacing w:after="0" w:line="240" w:lineRule="auto"/>
        <w:jc w:val="both"/>
        <w:rPr>
          <w:rFonts w:eastAsia="Times New Roman" w:cs="Times New Roman"/>
          <w:bCs/>
          <w:color w:val="000000"/>
          <w:spacing w:val="-8"/>
          <w:w w:val="105"/>
          <w:szCs w:val="24"/>
        </w:rPr>
      </w:pPr>
    </w:p>
    <w:p w14:paraId="4EEF1BDD" w14:textId="1137D93A"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26</w:t>
      </w:r>
      <w:r w:rsidR="00105DF7">
        <w:rPr>
          <w:color w:val="000000"/>
          <w:sz w:val="23"/>
          <w:szCs w:val="23"/>
        </w:rPr>
        <w:t>9</w:t>
      </w:r>
      <w:r w:rsidRPr="00EC4EC4">
        <w:rPr>
          <w:color w:val="000000"/>
          <w:sz w:val="23"/>
          <w:szCs w:val="23"/>
        </w:rPr>
        <w:t xml:space="preserve">. Section 3305.8.7.5 </w:t>
      </w:r>
      <w:r w:rsidRPr="00EC4EC4">
        <w:t>of the New York city building code, as added by local law number 126 for the year 2021, is amended to read as follows:</w:t>
      </w:r>
    </w:p>
    <w:p w14:paraId="460CC9BF" w14:textId="77777777" w:rsidR="00140B7C" w:rsidRPr="00EC4EC4" w:rsidRDefault="00140B7C" w:rsidP="00140B7C">
      <w:pPr>
        <w:kinsoku w:val="0"/>
        <w:autoSpaceDE w:val="0"/>
        <w:autoSpaceDN w:val="0"/>
        <w:adjustRightInd w:val="0"/>
        <w:spacing w:after="0" w:line="240" w:lineRule="auto"/>
        <w:jc w:val="both"/>
      </w:pPr>
    </w:p>
    <w:p w14:paraId="73A483C5" w14:textId="77777777" w:rsidR="00140B7C" w:rsidRPr="00EC4EC4" w:rsidRDefault="00140B7C" w:rsidP="00140B7C">
      <w:pPr>
        <w:kinsoku w:val="0"/>
        <w:autoSpaceDE w:val="0"/>
        <w:autoSpaceDN w:val="0"/>
        <w:adjustRightInd w:val="0"/>
        <w:spacing w:after="0" w:line="240" w:lineRule="auto"/>
        <w:jc w:val="both"/>
        <w:rPr>
          <w:rFonts w:eastAsia="Times New Roman" w:cs="Times New Roman"/>
          <w:bCs/>
          <w:color w:val="000000"/>
          <w:spacing w:val="-8"/>
          <w:w w:val="105"/>
          <w:szCs w:val="24"/>
        </w:rPr>
      </w:pPr>
      <w:r w:rsidRPr="00EC4EC4">
        <w:rPr>
          <w:b/>
          <w:bCs/>
        </w:rPr>
        <w:t>3305.8.7.5 Verification by special inspector.</w:t>
      </w:r>
      <w:r w:rsidRPr="00EC4EC4">
        <w:t xml:space="preserve"> No construction load shall be placed on a floor or portion of a floor until the temporary or permanent decking for the floor or such portion is in place and the cold-formed steel special inspector required by Chapter 17 has verified compliance with Section 3305.8.6, including but not limited to the drawings required by Section 3305.8.6.1. At a minimum, this special inspection shall be performed at least once for each floor. In addition to the documentation required by Chapter 17, the special inspector shall document the verification in accordance with the checklist required by Section [</w:t>
      </w:r>
      <w:r w:rsidRPr="00EC4EC4">
        <w:rPr>
          <w:strike/>
        </w:rPr>
        <w:t>330586.8</w:t>
      </w:r>
      <w:r w:rsidRPr="00EC4EC4">
        <w:t>]</w:t>
      </w:r>
      <w:r w:rsidRPr="00EC4EC4">
        <w:rPr>
          <w:u w:val="single"/>
        </w:rPr>
        <w:t>3305.8.8</w:t>
      </w:r>
      <w:r w:rsidRPr="00EC4EC4">
        <w:t>.</w:t>
      </w:r>
    </w:p>
    <w:p w14:paraId="095FFF2D" w14:textId="77777777" w:rsidR="00140B7C" w:rsidRPr="00EC4EC4" w:rsidRDefault="00140B7C" w:rsidP="00140B7C">
      <w:pPr>
        <w:kinsoku w:val="0"/>
        <w:autoSpaceDE w:val="0"/>
        <w:autoSpaceDN w:val="0"/>
        <w:adjustRightInd w:val="0"/>
        <w:spacing w:after="240" w:line="240" w:lineRule="auto"/>
        <w:jc w:val="both"/>
        <w:rPr>
          <w:rFonts w:eastAsia="Times New Roman" w:cs="Times New Roman"/>
          <w:bCs/>
          <w:color w:val="000000"/>
          <w:spacing w:val="-8"/>
          <w:w w:val="105"/>
          <w:szCs w:val="24"/>
        </w:rPr>
      </w:pPr>
    </w:p>
    <w:p w14:paraId="42CD1652" w14:textId="037D30D0"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105DF7">
        <w:rPr>
          <w:color w:val="000000"/>
          <w:sz w:val="23"/>
          <w:szCs w:val="23"/>
        </w:rPr>
        <w:t>70</w:t>
      </w:r>
      <w:r w:rsidRPr="00EC4EC4">
        <w:rPr>
          <w:color w:val="000000"/>
          <w:sz w:val="23"/>
          <w:szCs w:val="23"/>
        </w:rPr>
        <w:t xml:space="preserve">. Section 3306.5 </w:t>
      </w:r>
      <w:r w:rsidRPr="00EC4EC4">
        <w:t>of the New York city building code, as amended by local law number 126 for the year 2021, is amended to read as follows:</w:t>
      </w:r>
    </w:p>
    <w:bookmarkEnd w:id="215"/>
    <w:p w14:paraId="50DE31BD" w14:textId="77777777" w:rsidR="00140B7C" w:rsidRPr="00EC4EC4" w:rsidRDefault="00140B7C" w:rsidP="00140B7C">
      <w:pPr>
        <w:kinsoku w:val="0"/>
        <w:spacing w:after="0" w:line="240" w:lineRule="auto"/>
        <w:jc w:val="both"/>
        <w:rPr>
          <w:rFonts w:eastAsia="Times New Roman" w:cs="Times New Roman"/>
          <w:b/>
          <w:szCs w:val="24"/>
        </w:rPr>
      </w:pPr>
    </w:p>
    <w:p w14:paraId="7726F35A" w14:textId="77777777" w:rsidR="00140B7C" w:rsidRPr="00EC4EC4" w:rsidRDefault="00140B7C" w:rsidP="00140B7C">
      <w:pPr>
        <w:kinsoku w:val="0"/>
        <w:spacing w:after="0" w:line="240" w:lineRule="auto"/>
        <w:jc w:val="both"/>
        <w:rPr>
          <w:rFonts w:eastAsia="Times New Roman" w:cs="Times New Roman"/>
          <w:bCs/>
          <w:spacing w:val="-2"/>
          <w:w w:val="110"/>
          <w:szCs w:val="24"/>
        </w:rPr>
      </w:pPr>
      <w:r w:rsidRPr="00EC4EC4">
        <w:rPr>
          <w:rFonts w:eastAsia="Times New Roman" w:cs="Times New Roman"/>
          <w:b/>
          <w:szCs w:val="24"/>
        </w:rPr>
        <w:t>3306.5 Submittal documents for demolition.</w:t>
      </w:r>
      <w:r w:rsidRPr="00EC4EC4">
        <w:rPr>
          <w:rFonts w:eastAsia="Times New Roman" w:cs="Times New Roman"/>
          <w:b/>
          <w:bCs/>
          <w:spacing w:val="-2"/>
          <w:w w:val="110"/>
          <w:szCs w:val="24"/>
        </w:rPr>
        <w:t xml:space="preserve"> </w:t>
      </w:r>
      <w:r w:rsidRPr="00EC4EC4">
        <w:rPr>
          <w:rFonts w:eastAsia="Times New Roman" w:cs="Times New Roman"/>
          <w:spacing w:val="1"/>
          <w:szCs w:val="24"/>
        </w:rPr>
        <w:t>Full and partial demolition operations shall be conducted in accordance with submittal documents. Such submittal documents shall comply with Sections 3306.5.1 through 3306.5.7.</w:t>
      </w:r>
    </w:p>
    <w:p w14:paraId="2C52BFC7" w14:textId="77777777" w:rsidR="00140B7C" w:rsidRPr="00EC4EC4" w:rsidRDefault="00140B7C" w:rsidP="00140B7C">
      <w:pPr>
        <w:kinsoku w:val="0"/>
        <w:spacing w:after="0" w:line="240" w:lineRule="atLeast"/>
        <w:ind w:left="360"/>
        <w:jc w:val="both"/>
        <w:rPr>
          <w:rFonts w:eastAsia="Times New Roman" w:cs="Times New Roman"/>
          <w:b/>
          <w:szCs w:val="24"/>
        </w:rPr>
      </w:pPr>
    </w:p>
    <w:p w14:paraId="7D940756" w14:textId="77777777" w:rsidR="00140B7C" w:rsidRPr="00EC4EC4" w:rsidRDefault="00140B7C" w:rsidP="00140B7C">
      <w:pPr>
        <w:kinsoku w:val="0"/>
        <w:spacing w:after="0" w:line="240" w:lineRule="atLeast"/>
        <w:ind w:left="360"/>
        <w:jc w:val="both"/>
        <w:rPr>
          <w:rFonts w:eastAsia="Times New Roman" w:cs="Times New Roman"/>
          <w:spacing w:val="1"/>
          <w:szCs w:val="24"/>
        </w:rPr>
      </w:pPr>
      <w:r w:rsidRPr="00EC4EC4">
        <w:rPr>
          <w:rFonts w:eastAsia="Times New Roman" w:cs="Times New Roman"/>
          <w:b/>
          <w:szCs w:val="24"/>
        </w:rPr>
        <w:t>Exceptions:</w:t>
      </w:r>
      <w:r w:rsidRPr="00EC4EC4">
        <w:rPr>
          <w:rFonts w:eastAsia="Times New Roman" w:cs="Times New Roman"/>
          <w:bCs/>
          <w:spacing w:val="-2"/>
          <w:w w:val="110"/>
          <w:szCs w:val="24"/>
        </w:rPr>
        <w:t xml:space="preserve"> </w:t>
      </w:r>
      <w:r w:rsidRPr="00EC4EC4">
        <w:rPr>
          <w:rFonts w:eastAsia="Times New Roman" w:cs="Times New Roman"/>
          <w:spacing w:val="1"/>
          <w:szCs w:val="24"/>
        </w:rPr>
        <w:t>Section 3306.5 shall not apply to:</w:t>
      </w:r>
    </w:p>
    <w:p w14:paraId="32EA6A79" w14:textId="77777777" w:rsidR="00140B7C" w:rsidRPr="00EC4EC4" w:rsidRDefault="00140B7C" w:rsidP="00140B7C">
      <w:pPr>
        <w:kinsoku w:val="0"/>
        <w:spacing w:after="0" w:line="240" w:lineRule="atLeast"/>
        <w:ind w:left="360"/>
        <w:jc w:val="both"/>
        <w:rPr>
          <w:rFonts w:eastAsia="Times New Roman" w:cs="Times New Roman"/>
          <w:spacing w:val="1"/>
          <w:szCs w:val="24"/>
        </w:rPr>
      </w:pPr>
    </w:p>
    <w:p w14:paraId="66038417"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 xml:space="preserve">Demolitions performed as emergency work pursuant to Section 28-215.1 of the </w:t>
      </w:r>
      <w:r w:rsidRPr="00EC4EC4">
        <w:rPr>
          <w:rFonts w:eastAsia="Times New Roman" w:cs="Times New Roman"/>
          <w:i/>
          <w:iCs/>
          <w:spacing w:val="1"/>
          <w:szCs w:val="24"/>
        </w:rPr>
        <w:t>Administrative Code</w:t>
      </w:r>
      <w:r w:rsidRPr="00EC4EC4">
        <w:rPr>
          <w:rFonts w:eastAsia="Times New Roman" w:cs="Times New Roman"/>
          <w:spacing w:val="1"/>
          <w:szCs w:val="24"/>
        </w:rPr>
        <w:t xml:space="preserve"> when such work is monitored by a qualified person with experience in demolition operations who is employed by the city agency that has been directed to perform or arrange for the performance of such work. If the department or such city agency determines that there is a need for supervision of the work by a registered design professional, such city agency shall retain a registered design professional or cause a registered design professional to be retained to supervise the demolition operations.</w:t>
      </w:r>
    </w:p>
    <w:p w14:paraId="2FEF41EB"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The full demolition of a detached one-, two-, or three-family dwelling, or both halves of a semi-detached one-, two-, or three-family dwelling, or a detached accessory structure to a one-, two-, or three-family dwelling, provided such dwelling or accessory structure is three stories or fewer in height, and also provided that the demolition is to be accomplished without any mechanical demolition equipment, other than handheld devices.</w:t>
      </w:r>
    </w:p>
    <w:p w14:paraId="08C0ACDD"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 xml:space="preserve">The full demolition of a fully detached building that is three stories or fewer and with a </w:t>
      </w:r>
      <w:r w:rsidRPr="00EC4EC4">
        <w:rPr>
          <w:rFonts w:eastAsia="Times New Roman" w:cs="Times New Roman"/>
          <w:spacing w:val="1"/>
          <w:szCs w:val="24"/>
          <w:u w:val="single"/>
        </w:rPr>
        <w:t>gross</w:t>
      </w:r>
      <w:r w:rsidRPr="00EC4EC4">
        <w:rPr>
          <w:rFonts w:eastAsia="Times New Roman" w:cs="Times New Roman"/>
          <w:spacing w:val="1"/>
          <w:szCs w:val="24"/>
        </w:rPr>
        <w:t xml:space="preserve"> floor area of 5,000 square feet (464.5 m</w:t>
      </w:r>
      <w:r w:rsidRPr="00EC4EC4">
        <w:rPr>
          <w:rFonts w:eastAsia="Times New Roman" w:cs="Times New Roman"/>
          <w:spacing w:val="1"/>
          <w:szCs w:val="24"/>
          <w:vertAlign w:val="superscript"/>
        </w:rPr>
        <w:t>2</w:t>
      </w:r>
      <w:r w:rsidRPr="00EC4EC4">
        <w:rPr>
          <w:rFonts w:eastAsia="Times New Roman" w:cs="Times New Roman"/>
          <w:spacing w:val="1"/>
          <w:szCs w:val="24"/>
        </w:rPr>
        <w:t>) or less per story, provided such demolition is to be accomplished without any mechanical demolition equipment, other than handheld devices.</w:t>
      </w:r>
    </w:p>
    <w:p w14:paraId="62B4619D" w14:textId="77777777" w:rsidR="00140B7C" w:rsidRPr="00EC4EC4" w:rsidRDefault="00140B7C" w:rsidP="00140B7C">
      <w:pPr>
        <w:kinsoku w:val="0"/>
        <w:spacing w:after="240" w:line="240" w:lineRule="auto"/>
        <w:ind w:left="81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The removal, with mechanical demolition equipment, of the remaining slab or foundation of a structure described in [</w:t>
      </w:r>
      <w:r w:rsidRPr="00EC4EC4">
        <w:rPr>
          <w:rFonts w:eastAsia="Times New Roman" w:cs="Times New Roman"/>
          <w:strike/>
          <w:spacing w:val="1"/>
          <w:szCs w:val="24"/>
        </w:rPr>
        <w:t>exemption</w:t>
      </w:r>
      <w:r w:rsidRPr="00EC4EC4">
        <w:rPr>
          <w:rFonts w:eastAsia="Times New Roman" w:cs="Times New Roman"/>
          <w:spacing w:val="1"/>
          <w:szCs w:val="24"/>
        </w:rPr>
        <w:t>]</w:t>
      </w:r>
      <w:r w:rsidRPr="00EC4EC4">
        <w:rPr>
          <w:rFonts w:eastAsia="Times New Roman" w:cs="Times New Roman"/>
          <w:spacing w:val="1"/>
          <w:szCs w:val="24"/>
          <w:u w:val="single"/>
        </w:rPr>
        <w:t>Exemption</w:t>
      </w:r>
      <w:r w:rsidRPr="00EC4EC4">
        <w:rPr>
          <w:rFonts w:eastAsia="Times New Roman" w:cs="Times New Roman"/>
          <w:spacing w:val="1"/>
          <w:szCs w:val="24"/>
        </w:rPr>
        <w:t xml:space="preserve"> 2 or 3 above once the structure has been demolished to grade, or the removal of landscaping elements, on grade parking or driveways, or pools that are accessory to a structure described in [</w:t>
      </w:r>
      <w:r w:rsidRPr="00EC4EC4">
        <w:rPr>
          <w:rFonts w:eastAsia="Times New Roman" w:cs="Times New Roman"/>
          <w:strike/>
          <w:spacing w:val="1"/>
          <w:szCs w:val="24"/>
        </w:rPr>
        <w:t>exemption</w:t>
      </w:r>
      <w:r w:rsidRPr="00EC4EC4">
        <w:rPr>
          <w:rFonts w:eastAsia="Times New Roman" w:cs="Times New Roman"/>
          <w:spacing w:val="1"/>
          <w:szCs w:val="24"/>
        </w:rPr>
        <w:t>]</w:t>
      </w:r>
      <w:r w:rsidRPr="00EC4EC4">
        <w:rPr>
          <w:rFonts w:eastAsia="Times New Roman" w:cs="Times New Roman"/>
          <w:spacing w:val="1"/>
          <w:szCs w:val="24"/>
          <w:u w:val="single"/>
        </w:rPr>
        <w:t>Exemption</w:t>
      </w:r>
      <w:r w:rsidRPr="00EC4EC4">
        <w:rPr>
          <w:rFonts w:eastAsia="Times New Roman" w:cs="Times New Roman"/>
          <w:spacing w:val="1"/>
          <w:szCs w:val="24"/>
        </w:rPr>
        <w:t xml:space="preserve"> 2 or 3 above, provided during all such removal work the mechanical demolition equipment is located on the ground or a slab on grade.</w:t>
      </w:r>
    </w:p>
    <w:p w14:paraId="3D11C13E"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Partial demolition operations accomplished without any mechanical demolition equipment, other than handheld devices, provided such work is a minor alteration or ordinary repair.</w:t>
      </w:r>
    </w:p>
    <w:p w14:paraId="6D2F2F01"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6.</w:t>
      </w:r>
      <w:r w:rsidRPr="00EC4EC4">
        <w:rPr>
          <w:rFonts w:eastAsia="Times New Roman" w:cs="Times New Roman"/>
          <w:spacing w:val="1"/>
          <w:szCs w:val="24"/>
        </w:rPr>
        <w:tab/>
        <w:t>Demolition operations that do not require a permit.</w:t>
      </w:r>
    </w:p>
    <w:p w14:paraId="462B1E24" w14:textId="1CAAC933"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E56987">
        <w:rPr>
          <w:color w:val="000000"/>
          <w:sz w:val="23"/>
          <w:szCs w:val="23"/>
        </w:rPr>
        <w:t>71</w:t>
      </w:r>
      <w:r w:rsidRPr="00EC4EC4">
        <w:rPr>
          <w:color w:val="000000"/>
          <w:sz w:val="23"/>
          <w:szCs w:val="23"/>
        </w:rPr>
        <w:t xml:space="preserve">. </w:t>
      </w:r>
      <w:r>
        <w:rPr>
          <w:color w:val="000000"/>
          <w:sz w:val="23"/>
          <w:szCs w:val="23"/>
        </w:rPr>
        <w:t>Item 13 of s</w:t>
      </w:r>
      <w:r w:rsidRPr="00EC4EC4">
        <w:rPr>
          <w:color w:val="000000"/>
          <w:sz w:val="23"/>
          <w:szCs w:val="23"/>
        </w:rPr>
        <w:t xml:space="preserve">ection 3306.5.1 </w:t>
      </w:r>
      <w:r w:rsidRPr="00EC4EC4">
        <w:t>of the New York city building code, as amended by local law number 126 for the year 2021, is amended to read as follows:</w:t>
      </w:r>
    </w:p>
    <w:p w14:paraId="7F3030C1" w14:textId="77777777" w:rsidR="00140B7C" w:rsidRPr="00EC4EC4" w:rsidRDefault="00140B7C" w:rsidP="00140B7C">
      <w:pPr>
        <w:kinsoku w:val="0"/>
        <w:spacing w:after="0" w:line="240" w:lineRule="auto"/>
        <w:ind w:left="360"/>
        <w:jc w:val="both"/>
        <w:rPr>
          <w:rFonts w:eastAsia="Times New Roman" w:cs="Times New Roman"/>
          <w:b/>
          <w:szCs w:val="24"/>
        </w:rPr>
      </w:pPr>
    </w:p>
    <w:p w14:paraId="76CB489B"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13.</w:t>
      </w:r>
      <w:r w:rsidRPr="00EC4EC4">
        <w:rPr>
          <w:rFonts w:eastAsia="Times New Roman" w:cs="Times New Roman"/>
          <w:spacing w:val="1"/>
          <w:szCs w:val="24"/>
        </w:rPr>
        <w:tab/>
        <w:t>All means and methods of debris removal from the point of demolition to the public roadway (carting), including openings in floors, chutes, etc</w:t>
      </w:r>
      <w:r w:rsidRPr="00EC4EC4">
        <w:rPr>
          <w:rFonts w:eastAsia="Times New Roman" w:cs="Times New Roman"/>
          <w:spacing w:val="1"/>
          <w:szCs w:val="24"/>
          <w:u w:val="single"/>
        </w:rPr>
        <w:t>.</w:t>
      </w:r>
      <w:r w:rsidRPr="00EC4EC4">
        <w:rPr>
          <w:rFonts w:eastAsia="Times New Roman" w:cs="Times New Roman"/>
          <w:spacing w:val="1"/>
          <w:szCs w:val="24"/>
        </w:rPr>
        <w:t>, as well as the location of any debris sorting operation and barriers to separate the operation from other demolition activity;</w:t>
      </w:r>
    </w:p>
    <w:p w14:paraId="6FAD631C" w14:textId="7799CA21"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E56987">
        <w:rPr>
          <w:color w:val="000000"/>
          <w:sz w:val="23"/>
          <w:szCs w:val="23"/>
        </w:rPr>
        <w:t>72</w:t>
      </w:r>
      <w:r w:rsidRPr="00EC4EC4">
        <w:rPr>
          <w:color w:val="000000"/>
          <w:sz w:val="23"/>
          <w:szCs w:val="23"/>
        </w:rPr>
        <w:t xml:space="preserve">. Section 3307.2.6 </w:t>
      </w:r>
      <w:r w:rsidRPr="00EC4EC4">
        <w:t>of the New York city building code, as amended by local law number 126 for the year 2021, is amended to read as follows:</w:t>
      </w:r>
    </w:p>
    <w:p w14:paraId="69C00C4D" w14:textId="77777777" w:rsidR="00140B7C" w:rsidRPr="00EC4EC4" w:rsidRDefault="00140B7C" w:rsidP="00140B7C">
      <w:pPr>
        <w:pStyle w:val="DoubleSpaceParagaph"/>
        <w:spacing w:line="240" w:lineRule="auto"/>
        <w:ind w:firstLine="720"/>
      </w:pPr>
    </w:p>
    <w:p w14:paraId="07A4CBCE" w14:textId="77777777" w:rsidR="00140B7C" w:rsidRPr="00EC4EC4" w:rsidRDefault="00140B7C" w:rsidP="00140B7C">
      <w:pPr>
        <w:kinsoku w:val="0"/>
        <w:spacing w:after="0" w:line="240" w:lineRule="auto"/>
        <w:jc w:val="both"/>
        <w:rPr>
          <w:rFonts w:eastAsia="Times New Roman" w:cs="Times New Roman"/>
          <w:szCs w:val="24"/>
        </w:rPr>
      </w:pPr>
      <w:r w:rsidRPr="00EC4EC4">
        <w:rPr>
          <w:rFonts w:eastAsia="Times New Roman" w:cs="Times New Roman"/>
          <w:b/>
          <w:szCs w:val="24"/>
        </w:rPr>
        <w:lastRenderedPageBreak/>
        <w:t>3307.2.6 Requirements for sidewalks, temporary walkways, foot bridges, and pathways.</w:t>
      </w:r>
      <w:r w:rsidRPr="00EC4EC4">
        <w:rPr>
          <w:rFonts w:eastAsia="Times New Roman" w:cs="Times New Roman"/>
          <w:szCs w:val="24"/>
        </w:rPr>
        <w:t xml:space="preserve"> Sidewalks, walkways, foot bridges, and pathways that remain open to the public shall be accessible and shall be provided with:</w:t>
      </w:r>
    </w:p>
    <w:p w14:paraId="582B4B8B" w14:textId="77777777" w:rsidR="00140B7C" w:rsidRPr="00EC4EC4" w:rsidRDefault="00140B7C" w:rsidP="00140B7C">
      <w:pPr>
        <w:kinsoku w:val="0"/>
        <w:spacing w:after="0" w:line="240" w:lineRule="auto"/>
        <w:jc w:val="both"/>
        <w:rPr>
          <w:rFonts w:eastAsia="Times New Roman" w:cs="Times New Roman"/>
          <w:szCs w:val="24"/>
        </w:rPr>
      </w:pPr>
    </w:p>
    <w:p w14:paraId="0FFDE5B2"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A continuous clear path, free of obstruction, at least 5 feet (1524 mm) in width;</w:t>
      </w:r>
    </w:p>
    <w:p w14:paraId="1A619B1C"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A durable walking surface capable of supporting all imposed loads and in no case shall the design live loads be less than 150 pounds per square foot (732.4 kg/m</w:t>
      </w:r>
      <w:r w:rsidRPr="00EC4EC4">
        <w:rPr>
          <w:rFonts w:eastAsia="Times New Roman" w:cs="Times New Roman"/>
          <w:szCs w:val="24"/>
          <w:vertAlign w:val="superscript"/>
        </w:rPr>
        <w:t>2</w:t>
      </w:r>
      <w:r w:rsidRPr="00EC4EC4">
        <w:rPr>
          <w:rFonts w:eastAsia="Times New Roman" w:cs="Times New Roman"/>
          <w:szCs w:val="24"/>
        </w:rPr>
        <w:t>);</w:t>
      </w:r>
    </w:p>
    <w:p w14:paraId="2D88328D"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Mirrors at locations where a pedestrian’s or bicyclist’s view is obstructed, including but not limited to blind corners, blind turns, and points where fencing or similar barriers project into a sidewalk, temporary walkway, foot bridge, or pathway;</w:t>
      </w:r>
    </w:p>
    <w:p w14:paraId="5D081999"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For a temporary walkway or foot bridge where there is a change in elevation along the walkway or foot bridge, a ramp with a running slope not steeper than one unit vertical in 12 units horizontal (8-percent slope) with a level landing at least 5 feet long at the top and bottom of each run, and if there is a total rise greater than 6 inches (152 mm), handrails; and</w:t>
      </w:r>
    </w:p>
    <w:p w14:paraId="1ACADC46"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For a temporary walkway or foot bridge where the running slope of such walkway or foot bridge is steeper than one unit vertical in 20 units horizontal (5-percent slope) and there is a total rise greater than 6 inches (152 mm), handrails.</w:t>
      </w:r>
    </w:p>
    <w:p w14:paraId="73712D29" w14:textId="77777777" w:rsidR="00140B7C" w:rsidRPr="00EC4EC4" w:rsidRDefault="00140B7C" w:rsidP="00140B7C">
      <w:pPr>
        <w:kinsoku w:val="0"/>
        <w:spacing w:after="240" w:line="240" w:lineRule="auto"/>
        <w:ind w:left="750"/>
        <w:jc w:val="both"/>
        <w:rPr>
          <w:rFonts w:eastAsia="Times New Roman" w:cs="Times New Roman"/>
          <w:szCs w:val="24"/>
        </w:rPr>
      </w:pPr>
      <w:r w:rsidRPr="00EC4EC4">
        <w:rPr>
          <w:rFonts w:eastAsia="Times New Roman" w:cs="Times New Roman"/>
          <w:b/>
          <w:szCs w:val="24"/>
        </w:rPr>
        <w:t>Exception:</w:t>
      </w:r>
      <w:r w:rsidRPr="00EC4EC4">
        <w:rPr>
          <w:rFonts w:eastAsia="Times New Roman" w:cs="Times New Roman"/>
          <w:szCs w:val="24"/>
        </w:rPr>
        <w:t xml:space="preserve"> Where it is not possible to provide the continuous clear path to the extent required by Item 1 [</w:t>
      </w:r>
      <w:r w:rsidRPr="00EC4EC4">
        <w:rPr>
          <w:rFonts w:eastAsia="Times New Roman" w:cs="Times New Roman"/>
          <w:strike/>
          <w:szCs w:val="24"/>
        </w:rPr>
        <w:t>above</w:t>
      </w:r>
      <w:r w:rsidRPr="00EC4EC4">
        <w:rPr>
          <w:rFonts w:eastAsia="Times New Roman" w:cs="Times New Roman"/>
          <w:szCs w:val="24"/>
        </w:rPr>
        <w:t xml:space="preserve">], the sidewalk, temporary walkway, or pathway shall be kept open to the extent required by the Department of Transportation, and shall also comply with applicable provisions of ICC A117.1, the ADA </w:t>
      </w:r>
      <w:r w:rsidRPr="00EC4EC4">
        <w:rPr>
          <w:rFonts w:eastAsia="Times New Roman" w:cs="Times New Roman"/>
          <w:i/>
          <w:szCs w:val="24"/>
        </w:rPr>
        <w:t>Accessibility Guidelines for Buildings and Facilities</w:t>
      </w:r>
      <w:r w:rsidRPr="00EC4EC4">
        <w:rPr>
          <w:rFonts w:eastAsia="Times New Roman" w:cs="Times New Roman"/>
          <w:szCs w:val="24"/>
        </w:rPr>
        <w:t xml:space="preserve"> and/or the ADA </w:t>
      </w:r>
      <w:r w:rsidRPr="00EC4EC4">
        <w:rPr>
          <w:rFonts w:eastAsia="Times New Roman" w:cs="Times New Roman"/>
          <w:i/>
          <w:szCs w:val="24"/>
        </w:rPr>
        <w:t>Accessibility Guidelines for Pedestrian Facilities in the Public Right-of-Way</w:t>
      </w:r>
      <w:r w:rsidRPr="00EC4EC4">
        <w:rPr>
          <w:rFonts w:eastAsia="Times New Roman" w:cs="Times New Roman"/>
          <w:szCs w:val="24"/>
        </w:rPr>
        <w:t>, as applicable.</w:t>
      </w:r>
    </w:p>
    <w:p w14:paraId="57DE85E3" w14:textId="4793A26B"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D828DA">
        <w:rPr>
          <w:color w:val="000000"/>
          <w:sz w:val="23"/>
          <w:szCs w:val="23"/>
        </w:rPr>
        <w:t>73</w:t>
      </w:r>
      <w:r w:rsidRPr="00EC4EC4">
        <w:rPr>
          <w:color w:val="000000"/>
          <w:sz w:val="23"/>
          <w:szCs w:val="23"/>
        </w:rPr>
        <w:t xml:space="preserve">. Section 3307.4.7 </w:t>
      </w:r>
      <w:r w:rsidRPr="00EC4EC4">
        <w:t>of the New York city building code, as added by local law number 126 for the year 2021, is amended to read as follows:</w:t>
      </w:r>
    </w:p>
    <w:p w14:paraId="0EC34962" w14:textId="77777777" w:rsidR="00140B7C" w:rsidRPr="00EC4EC4" w:rsidRDefault="00140B7C" w:rsidP="00140B7C">
      <w:pPr>
        <w:kinsoku w:val="0"/>
        <w:spacing w:after="0" w:line="240" w:lineRule="auto"/>
        <w:jc w:val="both"/>
        <w:rPr>
          <w:rFonts w:eastAsia="Times New Roman" w:cs="Times New Roman"/>
          <w:b/>
          <w:szCs w:val="24"/>
        </w:rPr>
      </w:pPr>
    </w:p>
    <w:p w14:paraId="74E2E800" w14:textId="77777777" w:rsidR="00140B7C" w:rsidRPr="00EC4EC4" w:rsidRDefault="00140B7C" w:rsidP="00140B7C">
      <w:pPr>
        <w:kinsoku w:val="0"/>
        <w:spacing w:after="0" w:line="240" w:lineRule="atLeast"/>
        <w:jc w:val="both"/>
        <w:rPr>
          <w:rFonts w:eastAsia="Times New Roman" w:cs="Times New Roman"/>
          <w:spacing w:val="1"/>
          <w:szCs w:val="24"/>
        </w:rPr>
      </w:pPr>
      <w:r w:rsidRPr="00EC4EC4">
        <w:rPr>
          <w:rFonts w:eastAsia="Times New Roman" w:cs="Times New Roman"/>
          <w:b/>
          <w:szCs w:val="24"/>
        </w:rPr>
        <w:t>3307.</w:t>
      </w:r>
      <w:r w:rsidRPr="00EC4EC4">
        <w:rPr>
          <w:rFonts w:eastAsia="Times New Roman" w:cs="Times New Roman"/>
          <w:b/>
          <w:spacing w:val="1"/>
          <w:szCs w:val="24"/>
        </w:rPr>
        <w:t>4.7 Work or storage zones.</w:t>
      </w:r>
      <w:r w:rsidRPr="00EC4EC4">
        <w:rPr>
          <w:rFonts w:eastAsia="Times New Roman" w:cs="Times New Roman"/>
          <w:spacing w:val="1"/>
          <w:szCs w:val="24"/>
        </w:rPr>
        <w:t xml:space="preserve"> Where work or storage related to the construction or demolition of a building or structure is occurring adjacent to a sidewalk shed or equivalent overhead protection, and such work or storage area is not contained within the enclosed and fenced area of the site as specified in Section 3307.7, fencing, barriers, or netting complying with [</w:t>
      </w:r>
      <w:r w:rsidRPr="00EC4EC4">
        <w:rPr>
          <w:rFonts w:eastAsia="Times New Roman" w:cs="Times New Roman"/>
          <w:strike/>
          <w:spacing w:val="1"/>
          <w:szCs w:val="24"/>
        </w:rPr>
        <w:t>items</w:t>
      </w:r>
      <w:r w:rsidRPr="00EC4EC4">
        <w:rPr>
          <w:rFonts w:eastAsia="Times New Roman" w:cs="Times New Roman"/>
          <w:spacing w:val="1"/>
          <w:szCs w:val="24"/>
        </w:rPr>
        <w:t>]</w:t>
      </w:r>
      <w:r w:rsidRPr="00EC4EC4">
        <w:rPr>
          <w:rFonts w:eastAsia="Times New Roman" w:cs="Times New Roman"/>
          <w:spacing w:val="1"/>
          <w:szCs w:val="24"/>
          <w:u w:val="single"/>
        </w:rPr>
        <w:t>Items</w:t>
      </w:r>
      <w:r w:rsidRPr="00EC4EC4">
        <w:rPr>
          <w:rFonts w:eastAsia="Times New Roman" w:cs="Times New Roman"/>
          <w:spacing w:val="1"/>
          <w:szCs w:val="24"/>
        </w:rPr>
        <w:t xml:space="preserve"> 1, 2, or 3 of this section shall be provided to separate the sidewalk, walkway, foot bridge, or pathway from the work or storage area.</w:t>
      </w:r>
    </w:p>
    <w:p w14:paraId="3FEB3911" w14:textId="77777777" w:rsidR="00140B7C" w:rsidRPr="00EC4EC4" w:rsidRDefault="00140B7C" w:rsidP="00140B7C">
      <w:pPr>
        <w:kinsoku w:val="0"/>
        <w:spacing w:after="0" w:line="240" w:lineRule="atLeast"/>
        <w:ind w:left="1080" w:hanging="360"/>
        <w:jc w:val="both"/>
        <w:rPr>
          <w:rFonts w:eastAsia="Times New Roman" w:cs="Times New Roman"/>
          <w:spacing w:val="1"/>
          <w:szCs w:val="24"/>
        </w:rPr>
      </w:pPr>
    </w:p>
    <w:p w14:paraId="3DF91EC3" w14:textId="77777777" w:rsidR="00140B7C" w:rsidRPr="00EC4EC4" w:rsidRDefault="00140B7C" w:rsidP="00140B7C">
      <w:pPr>
        <w:kinsoku w:val="0"/>
        <w:spacing w:after="0" w:line="240" w:lineRule="atLeast"/>
        <w:ind w:left="108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In an area where a material hoist, personnel hoist, hoistway, chute, or hoisting zone is located, a solid opaque fence or barrier shall be provided.  Such fence or barrier shall be securely attached to the sidewalk shed or equivalent overhead structure, and shall extend from the level of the ground to the deck of the sidewalk shed or equivalent overhead protection.</w:t>
      </w:r>
    </w:p>
    <w:p w14:paraId="191DF3A9"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 xml:space="preserve">In an area where a special hazard exists, including but not limited to areas of high pile storage or areas where operations that produce sparks or debris are occurring, such as cutting or grinding, a fence or barrier shall be provided.  Such fence or barrier shall be securely attached to the sidewalk shed or equivalent overhead structure, and shall extend from the level of the ground to the deck of the sidewalk shed or equivalent overhead protection.  Portions of the fence or barrier at a height of 4 feet (1219 mm) or less shall be comprised of solid opaque material.  Portions of the fence or barrier above a height of 4 feet (1219 mm) shall be comprised of material sufficient to protect the public from the special hazard and shall be transparent so as to allow a clear view into and from the area protected by the sidewalk shed or equivalent overhead protection, for example, chain link fencing, neatly framed panels consisting of </w:t>
      </w:r>
      <w:r w:rsidRPr="00EC4EC4">
        <w:rPr>
          <w:rFonts w:eastAsia="Times New Roman" w:cs="Times New Roman"/>
          <w:szCs w:val="24"/>
        </w:rPr>
        <w:t xml:space="preserve">nonfrangible </w:t>
      </w:r>
      <w:r w:rsidRPr="00EC4EC4">
        <w:rPr>
          <w:rFonts w:eastAsia="Times New Roman" w:cs="Times New Roman"/>
          <w:spacing w:val="1"/>
          <w:szCs w:val="24"/>
        </w:rPr>
        <w:t xml:space="preserve">acrylic paneling, or </w:t>
      </w:r>
      <w:r w:rsidRPr="00EC4EC4">
        <w:rPr>
          <w:rFonts w:eastAsia="Times New Roman" w:cs="Times New Roman"/>
          <w:szCs w:val="24"/>
        </w:rPr>
        <w:t xml:space="preserve">wire screen comprised of not less than number 18 </w:t>
      </w:r>
      <w:r w:rsidRPr="00EC4EC4">
        <w:rPr>
          <w:rFonts w:eastAsia="Times New Roman" w:cs="Times New Roman"/>
          <w:spacing w:val="1"/>
          <w:szCs w:val="24"/>
        </w:rPr>
        <w:t>gauge</w:t>
      </w:r>
      <w:r w:rsidRPr="00EC4EC4">
        <w:rPr>
          <w:rFonts w:eastAsia="Times New Roman" w:cs="Times New Roman"/>
          <w:szCs w:val="24"/>
        </w:rPr>
        <w:t xml:space="preserve"> wire mesh, or equivalent synthetic netting that is flame retardant in accordance with NFPA 701, with openings in the wire or synthetic mesh no larger than ½ inch (13 mm) in the vertical or horizontal dimensions and ¾ inch (19 mm) in any other dimension</w:t>
      </w:r>
      <w:r w:rsidRPr="00EC4EC4">
        <w:rPr>
          <w:rFonts w:eastAsia="Times New Roman" w:cs="Times New Roman"/>
          <w:spacing w:val="1"/>
          <w:szCs w:val="24"/>
        </w:rPr>
        <w:t>.</w:t>
      </w:r>
    </w:p>
    <w:p w14:paraId="2D19658D"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In all other instances, one of the following shall be provided:</w:t>
      </w:r>
    </w:p>
    <w:p w14:paraId="42598CD1" w14:textId="77777777" w:rsidR="00140B7C" w:rsidRPr="00EC4EC4" w:rsidRDefault="00140B7C" w:rsidP="00140B7C">
      <w:pPr>
        <w:kinsoku w:val="0"/>
        <w:spacing w:after="240" w:line="240" w:lineRule="auto"/>
        <w:ind w:left="1620" w:hanging="540"/>
        <w:jc w:val="both"/>
        <w:rPr>
          <w:rFonts w:eastAsia="Times New Roman" w:cs="Times New Roman"/>
          <w:spacing w:val="1"/>
          <w:szCs w:val="24"/>
        </w:rPr>
      </w:pPr>
      <w:r w:rsidRPr="00EC4EC4">
        <w:rPr>
          <w:rFonts w:eastAsia="Times New Roman" w:cs="Times New Roman"/>
          <w:spacing w:val="1"/>
          <w:szCs w:val="24"/>
        </w:rPr>
        <w:t>3.1</w:t>
      </w:r>
      <w:r w:rsidRPr="00EC4EC4">
        <w:rPr>
          <w:rFonts w:eastAsia="Times New Roman" w:cs="Times New Roman"/>
          <w:spacing w:val="1"/>
          <w:szCs w:val="24"/>
        </w:rPr>
        <w:tab/>
        <w:t>A chain link fence that is at least 8 feet (2438 mm) high;</w:t>
      </w:r>
    </w:p>
    <w:p w14:paraId="007C096B" w14:textId="77777777" w:rsidR="00140B7C" w:rsidRPr="00EC4EC4" w:rsidRDefault="00140B7C" w:rsidP="00140B7C">
      <w:pPr>
        <w:kinsoku w:val="0"/>
        <w:spacing w:after="240" w:line="240" w:lineRule="auto"/>
        <w:ind w:left="1620" w:hanging="540"/>
        <w:jc w:val="both"/>
        <w:rPr>
          <w:rFonts w:eastAsia="Times New Roman" w:cs="Times New Roman"/>
          <w:spacing w:val="1"/>
          <w:szCs w:val="24"/>
        </w:rPr>
      </w:pPr>
      <w:r w:rsidRPr="00EC4EC4">
        <w:rPr>
          <w:rFonts w:eastAsia="Times New Roman" w:cs="Times New Roman"/>
          <w:spacing w:val="1"/>
          <w:szCs w:val="24"/>
        </w:rPr>
        <w:t>3.2</w:t>
      </w:r>
      <w:r w:rsidRPr="00EC4EC4">
        <w:rPr>
          <w:rFonts w:eastAsia="Times New Roman" w:cs="Times New Roman"/>
          <w:spacing w:val="1"/>
          <w:szCs w:val="24"/>
        </w:rPr>
        <w:tab/>
        <w:t>A solid barrier that is at least 32 inches (813 mm) high, topped by a chain link fence extending to a height of at least 8 feet (2438 mm) above the level of the ground; or</w:t>
      </w:r>
    </w:p>
    <w:p w14:paraId="3181F908" w14:textId="77777777" w:rsidR="00140B7C" w:rsidRPr="00EC4EC4" w:rsidRDefault="00140B7C" w:rsidP="00140B7C">
      <w:pPr>
        <w:kinsoku w:val="0"/>
        <w:spacing w:after="240" w:line="240" w:lineRule="auto"/>
        <w:ind w:left="1620" w:hanging="540"/>
        <w:jc w:val="both"/>
        <w:rPr>
          <w:rFonts w:eastAsia="Times New Roman" w:cs="Times New Roman"/>
          <w:spacing w:val="1"/>
          <w:szCs w:val="24"/>
        </w:rPr>
      </w:pPr>
      <w:r w:rsidRPr="00EC4EC4">
        <w:rPr>
          <w:rFonts w:eastAsia="Times New Roman" w:cs="Times New Roman"/>
          <w:szCs w:val="24"/>
        </w:rPr>
        <w:t>3.3</w:t>
      </w:r>
      <w:r w:rsidRPr="00EC4EC4">
        <w:rPr>
          <w:rFonts w:eastAsia="Times New Roman" w:cs="Times New Roman"/>
          <w:szCs w:val="24"/>
        </w:rPr>
        <w:tab/>
        <w:t xml:space="preserve">A wire screen comprised of not less than number 18 </w:t>
      </w:r>
      <w:r w:rsidRPr="00EC4EC4">
        <w:rPr>
          <w:rFonts w:eastAsia="Times New Roman" w:cs="Times New Roman"/>
          <w:spacing w:val="1"/>
          <w:szCs w:val="24"/>
        </w:rPr>
        <w:t>gauge</w:t>
      </w:r>
      <w:r w:rsidRPr="00EC4EC4">
        <w:rPr>
          <w:rFonts w:eastAsia="Times New Roman" w:cs="Times New Roman"/>
          <w:szCs w:val="24"/>
        </w:rPr>
        <w:t xml:space="preserve"> wire mesh, or equivalent synthetic netting that is flame retardant in accordance with NFPA 701, with openings in the wire or synthetic mesh no larger than ½ inch (13 mm) in the vertical or horizontal dimensions and ¾ </w:t>
      </w:r>
      <w:r w:rsidRPr="00EC4EC4">
        <w:rPr>
          <w:rFonts w:eastAsia="Times New Roman" w:cs="Times New Roman"/>
          <w:szCs w:val="24"/>
        </w:rPr>
        <w:lastRenderedPageBreak/>
        <w:t xml:space="preserve">inch (19 mm) in any other dimension. </w:t>
      </w:r>
      <w:r w:rsidRPr="00EC4EC4">
        <w:rPr>
          <w:rFonts w:eastAsia="Times New Roman" w:cs="Times New Roman"/>
          <w:spacing w:val="1"/>
          <w:szCs w:val="24"/>
        </w:rPr>
        <w:t>Such wire screen or synthetic netting shall extend from the ground to a height of at least 8 feet (2438 mm) above the level of the ground</w:t>
      </w:r>
      <w:r w:rsidRPr="00EC4EC4">
        <w:rPr>
          <w:rFonts w:eastAsia="Times New Roman" w:cs="Times New Roman"/>
          <w:szCs w:val="24"/>
        </w:rPr>
        <w:t xml:space="preserve"> and shall be securely attached to the sidewalk shed or </w:t>
      </w:r>
      <w:r w:rsidRPr="00EC4EC4">
        <w:rPr>
          <w:rFonts w:eastAsia="Times New Roman" w:cs="Times New Roman"/>
          <w:spacing w:val="1"/>
          <w:szCs w:val="24"/>
        </w:rPr>
        <w:t>equivalent overhead protection.  A solid barrier that is at least 32 inches (813 mm) high may be installed in lieu of bringing the netting fully to the ground, provided the bottom of the netting is also securely attached to the solid barrier.</w:t>
      </w:r>
    </w:p>
    <w:p w14:paraId="623B735C" w14:textId="4B0762B3" w:rsidR="00140B7C" w:rsidRPr="00EC4EC4" w:rsidRDefault="00140B7C" w:rsidP="00140B7C">
      <w:pPr>
        <w:pStyle w:val="DoubleSpaceParagaph"/>
        <w:spacing w:line="240" w:lineRule="auto"/>
        <w:ind w:firstLine="720"/>
      </w:pPr>
      <w:bookmarkStart w:id="216" w:name="_Hlk115693831"/>
      <w:r w:rsidRPr="00EC4EC4">
        <w:rPr>
          <w:color w:val="000000"/>
          <w:sz w:val="23"/>
          <w:szCs w:val="23"/>
        </w:rPr>
        <w:t>§</w:t>
      </w:r>
      <w:r>
        <w:rPr>
          <w:color w:val="000000"/>
          <w:sz w:val="23"/>
          <w:szCs w:val="23"/>
        </w:rPr>
        <w:t>27</w:t>
      </w:r>
      <w:r w:rsidR="00D828DA">
        <w:rPr>
          <w:color w:val="000000"/>
          <w:sz w:val="23"/>
          <w:szCs w:val="23"/>
        </w:rPr>
        <w:t>4</w:t>
      </w:r>
      <w:r w:rsidRPr="00EC4EC4">
        <w:rPr>
          <w:color w:val="000000"/>
          <w:sz w:val="23"/>
          <w:szCs w:val="23"/>
        </w:rPr>
        <w:t xml:space="preserve">. Section 3307.7 </w:t>
      </w:r>
      <w:r w:rsidRPr="00EC4EC4">
        <w:t>of the New York city building code, as amended by local law number 126 for the year 2021, is amended to read as follows:</w:t>
      </w:r>
    </w:p>
    <w:bookmarkEnd w:id="216"/>
    <w:p w14:paraId="1DC57265" w14:textId="77777777" w:rsidR="00140B7C" w:rsidRPr="00EC4EC4" w:rsidRDefault="00140B7C" w:rsidP="00140B7C">
      <w:pPr>
        <w:kinsoku w:val="0"/>
        <w:autoSpaceDE w:val="0"/>
        <w:autoSpaceDN w:val="0"/>
        <w:adjustRightInd w:val="0"/>
        <w:spacing w:after="0" w:line="240" w:lineRule="auto"/>
        <w:ind w:left="360"/>
        <w:jc w:val="both"/>
      </w:pPr>
    </w:p>
    <w:p w14:paraId="3AC23FF1" w14:textId="77777777" w:rsidR="00140B7C" w:rsidRPr="00EC4EC4" w:rsidRDefault="00140B7C" w:rsidP="00140B7C">
      <w:pPr>
        <w:kinsoku w:val="0"/>
        <w:autoSpaceDE w:val="0"/>
        <w:autoSpaceDN w:val="0"/>
        <w:adjustRightInd w:val="0"/>
        <w:spacing w:after="0" w:line="240" w:lineRule="auto"/>
        <w:jc w:val="both"/>
      </w:pPr>
      <w:r w:rsidRPr="00EC4EC4">
        <w:rPr>
          <w:b/>
          <w:bCs/>
        </w:rPr>
        <w:t>3307.7 Fences</w:t>
      </w:r>
      <w:r w:rsidRPr="00EC4EC4">
        <w:t xml:space="preserve">. All sites where a new building is being constructed, or a building is being demolished to grade, shall be enclosed with a fence. Fences shall also be installed to fully or partially enclosed sites, as necessary, where there exists an open excavation, an unenclosed portion of a building accessible at grade, or other hazard to the public. Such fences shall be at least 8 feet (2438 mm) high, built solid for their entire length, out of wood or other suitable material, and shall be returned at the ends to the extent necessary to effectively close off the site. </w:t>
      </w:r>
    </w:p>
    <w:p w14:paraId="491BE3AE" w14:textId="77777777" w:rsidR="00140B7C" w:rsidRPr="00EC4EC4" w:rsidRDefault="00140B7C" w:rsidP="00140B7C">
      <w:pPr>
        <w:kinsoku w:val="0"/>
        <w:autoSpaceDE w:val="0"/>
        <w:autoSpaceDN w:val="0"/>
        <w:adjustRightInd w:val="0"/>
        <w:spacing w:after="0" w:line="240" w:lineRule="auto"/>
        <w:ind w:left="360"/>
        <w:jc w:val="both"/>
      </w:pPr>
    </w:p>
    <w:p w14:paraId="4DFA6FF7" w14:textId="77777777" w:rsidR="00140B7C" w:rsidRPr="00EC4EC4" w:rsidRDefault="00140B7C" w:rsidP="00140B7C">
      <w:pPr>
        <w:kinsoku w:val="0"/>
        <w:autoSpaceDE w:val="0"/>
        <w:autoSpaceDN w:val="0"/>
        <w:adjustRightInd w:val="0"/>
        <w:spacing w:after="0" w:line="240" w:lineRule="auto"/>
        <w:ind w:left="360"/>
        <w:jc w:val="both"/>
      </w:pPr>
      <w:r w:rsidRPr="00EC4EC4">
        <w:rPr>
          <w:b/>
          <w:bCs/>
        </w:rPr>
        <w:t>Exceptions:</w:t>
      </w:r>
      <w:r w:rsidRPr="00EC4EC4">
        <w:t xml:space="preserve"> </w:t>
      </w:r>
    </w:p>
    <w:p w14:paraId="1BA623D6" w14:textId="77777777" w:rsidR="00140B7C" w:rsidRPr="00EC4EC4" w:rsidRDefault="00140B7C" w:rsidP="00140B7C">
      <w:pPr>
        <w:kinsoku w:val="0"/>
        <w:autoSpaceDE w:val="0"/>
        <w:autoSpaceDN w:val="0"/>
        <w:adjustRightInd w:val="0"/>
        <w:spacing w:after="0" w:line="240" w:lineRule="auto"/>
        <w:ind w:left="360"/>
        <w:jc w:val="both"/>
      </w:pPr>
    </w:p>
    <w:p w14:paraId="4FB978B2" w14:textId="77777777" w:rsidR="00140B7C" w:rsidRPr="00EC4EC4" w:rsidRDefault="00140B7C" w:rsidP="00140B7C">
      <w:pPr>
        <w:kinsoku w:val="0"/>
        <w:autoSpaceDE w:val="0"/>
        <w:autoSpaceDN w:val="0"/>
        <w:adjustRightInd w:val="0"/>
        <w:spacing w:after="0" w:line="240" w:lineRule="auto"/>
        <w:ind w:left="990" w:hanging="270"/>
        <w:jc w:val="both"/>
      </w:pPr>
      <w:r w:rsidRPr="00EC4EC4">
        <w:t xml:space="preserve">1. The commissioner may approve the use of a chain link fence to: </w:t>
      </w:r>
    </w:p>
    <w:p w14:paraId="19582819" w14:textId="77777777" w:rsidR="00140B7C" w:rsidRPr="00EC4EC4" w:rsidRDefault="00140B7C" w:rsidP="00140B7C">
      <w:pPr>
        <w:kinsoku w:val="0"/>
        <w:autoSpaceDE w:val="0"/>
        <w:autoSpaceDN w:val="0"/>
        <w:adjustRightInd w:val="0"/>
        <w:spacing w:after="0" w:line="240" w:lineRule="auto"/>
        <w:ind w:left="990" w:hanging="270"/>
        <w:jc w:val="both"/>
      </w:pPr>
    </w:p>
    <w:p w14:paraId="6606FBFB" w14:textId="77777777" w:rsidR="00140B7C" w:rsidRPr="00EC4EC4" w:rsidRDefault="00140B7C" w:rsidP="00140B7C">
      <w:pPr>
        <w:kinsoku w:val="0"/>
        <w:autoSpaceDE w:val="0"/>
        <w:autoSpaceDN w:val="0"/>
        <w:adjustRightInd w:val="0"/>
        <w:spacing w:after="0" w:line="240" w:lineRule="auto"/>
        <w:ind w:left="1350" w:hanging="360"/>
        <w:jc w:val="both"/>
      </w:pPr>
      <w:r w:rsidRPr="00EC4EC4">
        <w:t>(i) Secure a site where work has been interrupted or abandoned and discontinued, and a registered design professional has certified that all construction or demolition equipment and material that pose a hazard to the safety of the public [</w:t>
      </w:r>
      <w:r w:rsidRPr="00EC4EC4">
        <w:rPr>
          <w:strike/>
        </w:rPr>
        <w:t>and</w:t>
      </w:r>
      <w:r w:rsidRPr="00EC4EC4">
        <w:t>]</w:t>
      </w:r>
      <w:r w:rsidRPr="00EC4EC4">
        <w:rPr>
          <w:u w:val="single"/>
        </w:rPr>
        <w:t>or</w:t>
      </w:r>
      <w:r w:rsidRPr="00EC4EC4">
        <w:t xml:space="preserve"> property have been removed from the site or safely secured. Prior to the resumption of work, the chain link fence shall be replaced by a solid fence meeting the requirements of this section. </w:t>
      </w:r>
      <w:r w:rsidRPr="00EC4EC4">
        <w:tab/>
      </w:r>
      <w:r w:rsidRPr="00EC4EC4">
        <w:tab/>
      </w:r>
      <w:r w:rsidRPr="00EC4EC4">
        <w:tab/>
      </w:r>
    </w:p>
    <w:p w14:paraId="34FDAF2A" w14:textId="77777777" w:rsidR="00140B7C" w:rsidRPr="00EC4EC4" w:rsidRDefault="00140B7C" w:rsidP="00140B7C">
      <w:pPr>
        <w:kinsoku w:val="0"/>
        <w:autoSpaceDE w:val="0"/>
        <w:autoSpaceDN w:val="0"/>
        <w:adjustRightInd w:val="0"/>
        <w:spacing w:after="0" w:line="240" w:lineRule="auto"/>
        <w:ind w:left="1350" w:hanging="360"/>
        <w:jc w:val="both"/>
      </w:pPr>
      <w:r w:rsidRPr="00EC4EC4">
        <w:t xml:space="preserve">(ii) Secure portions of a site where a one-, two-, or three-family building that is 40 feet (12 192 mm) or less in height, or a commercial building 40 feet (12 192 mm) or less in height, is being constructed or demolished and such building is setback at least 15 feet (4572 mm) from sidewalks or spaces accessible to the public and 5 feet (1524 mm) from adjoining buildings or structures. </w:t>
      </w:r>
    </w:p>
    <w:p w14:paraId="0335B614" w14:textId="77777777" w:rsidR="00140B7C" w:rsidRPr="00EC4EC4" w:rsidRDefault="00140B7C" w:rsidP="00140B7C">
      <w:pPr>
        <w:kinsoku w:val="0"/>
        <w:autoSpaceDE w:val="0"/>
        <w:autoSpaceDN w:val="0"/>
        <w:adjustRightInd w:val="0"/>
        <w:spacing w:after="0" w:line="240" w:lineRule="auto"/>
        <w:ind w:left="990"/>
        <w:jc w:val="both"/>
      </w:pPr>
    </w:p>
    <w:p w14:paraId="3E96CC3F" w14:textId="77777777" w:rsidR="00140B7C" w:rsidRPr="00EC4EC4" w:rsidRDefault="00140B7C" w:rsidP="00140B7C">
      <w:pPr>
        <w:kinsoku w:val="0"/>
        <w:autoSpaceDE w:val="0"/>
        <w:autoSpaceDN w:val="0"/>
        <w:adjustRightInd w:val="0"/>
        <w:spacing w:after="0" w:line="240" w:lineRule="auto"/>
        <w:ind w:left="990" w:hanging="270"/>
        <w:jc w:val="both"/>
        <w:rPr>
          <w:rFonts w:eastAsia="Times New Roman" w:cs="Times New Roman"/>
          <w:b/>
          <w:szCs w:val="24"/>
        </w:rPr>
      </w:pPr>
      <w:r w:rsidRPr="00EC4EC4">
        <w:t>2. Chain link fence shall be installed and maintained to secure a site where work has been discontinued for not less than two continuous years after a registered design professional has certified that all construction or demolition equipment and material that pose a hazard to the safety of the public [</w:t>
      </w:r>
      <w:r w:rsidRPr="00EC4EC4">
        <w:rPr>
          <w:strike/>
        </w:rPr>
        <w:t>and</w:t>
      </w:r>
      <w:r w:rsidRPr="00EC4EC4">
        <w:t>]</w:t>
      </w:r>
      <w:r w:rsidRPr="00EC4EC4">
        <w:rPr>
          <w:u w:val="single"/>
        </w:rPr>
        <w:t>or</w:t>
      </w:r>
      <w:r w:rsidRPr="00EC4EC4">
        <w:t xml:space="preserve"> property have been removed from the site or safely secured. Prior to the resumption of work, the chain link fence shall be replaced by a solid fence meeting the requirements of this section.</w:t>
      </w:r>
    </w:p>
    <w:p w14:paraId="3A266275" w14:textId="77777777" w:rsidR="00140B7C" w:rsidRDefault="00140B7C" w:rsidP="00140B7C">
      <w:pPr>
        <w:pStyle w:val="DoubleSpaceParagaph"/>
        <w:spacing w:line="240" w:lineRule="auto"/>
        <w:ind w:firstLine="720"/>
        <w:rPr>
          <w:color w:val="000000"/>
          <w:sz w:val="23"/>
          <w:szCs w:val="23"/>
        </w:rPr>
      </w:pPr>
    </w:p>
    <w:p w14:paraId="6D9BFD9D" w14:textId="54543AB1"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27</w:t>
      </w:r>
      <w:r w:rsidR="00D828DA">
        <w:rPr>
          <w:color w:val="000000"/>
          <w:sz w:val="23"/>
          <w:szCs w:val="23"/>
        </w:rPr>
        <w:t>5</w:t>
      </w:r>
      <w:r w:rsidRPr="00EC4EC4">
        <w:rPr>
          <w:color w:val="000000"/>
          <w:sz w:val="23"/>
          <w:szCs w:val="23"/>
        </w:rPr>
        <w:t xml:space="preserve">. Section 3308.5 </w:t>
      </w:r>
      <w:r w:rsidRPr="00EC4EC4">
        <w:t>of the New York city building code, as amended by local law number 126 for the year 2021, is amended to read as follows:</w:t>
      </w:r>
    </w:p>
    <w:p w14:paraId="145D6B72" w14:textId="77777777" w:rsidR="00140B7C" w:rsidRPr="00EC4EC4" w:rsidRDefault="00140B7C" w:rsidP="00140B7C">
      <w:pPr>
        <w:kinsoku w:val="0"/>
        <w:autoSpaceDE w:val="0"/>
        <w:autoSpaceDN w:val="0"/>
        <w:adjustRightInd w:val="0"/>
        <w:spacing w:after="0" w:line="240" w:lineRule="auto"/>
        <w:ind w:left="360"/>
        <w:jc w:val="both"/>
        <w:rPr>
          <w:rFonts w:eastAsia="Times New Roman" w:cs="Times New Roman"/>
          <w:b/>
          <w:szCs w:val="24"/>
        </w:rPr>
      </w:pPr>
    </w:p>
    <w:p w14:paraId="5EEFAE2F" w14:textId="77777777" w:rsidR="00140B7C" w:rsidRPr="00EC4EC4" w:rsidRDefault="00140B7C" w:rsidP="00140B7C">
      <w:pPr>
        <w:kinsoku w:val="0"/>
        <w:spacing w:after="0" w:line="240" w:lineRule="auto"/>
        <w:jc w:val="both"/>
        <w:rPr>
          <w:rFonts w:eastAsia="Times New Roman" w:cs="Times New Roman"/>
          <w:szCs w:val="24"/>
        </w:rPr>
      </w:pPr>
      <w:bookmarkStart w:id="217" w:name="_Hlk52976907"/>
      <w:r w:rsidRPr="00EC4EC4">
        <w:rPr>
          <w:rFonts w:eastAsia="Times New Roman" w:cs="Times New Roman"/>
          <w:b/>
          <w:bCs/>
          <w:szCs w:val="24"/>
        </w:rPr>
        <w:t>3308.5 Vertical safety netting systems.</w:t>
      </w:r>
      <w:r w:rsidRPr="00EC4EC4">
        <w:rPr>
          <w:rFonts w:eastAsia="Times New Roman" w:cs="Times New Roman"/>
          <w:szCs w:val="24"/>
        </w:rPr>
        <w:t xml:space="preserve"> Vertical safety netting shall be installed, maintained, and provided along all unenclosed perimeters.</w:t>
      </w:r>
    </w:p>
    <w:p w14:paraId="2BFA1CA3" w14:textId="77777777" w:rsidR="00140B7C" w:rsidRPr="00EC4EC4" w:rsidRDefault="00140B7C" w:rsidP="00140B7C">
      <w:pPr>
        <w:kinsoku w:val="0"/>
        <w:spacing w:after="240" w:line="240" w:lineRule="auto"/>
        <w:ind w:left="360"/>
        <w:jc w:val="both"/>
        <w:outlineLvl w:val="0"/>
        <w:rPr>
          <w:rFonts w:eastAsia="Times New Roman" w:cs="Times New Roman"/>
          <w:b/>
          <w:szCs w:val="24"/>
        </w:rPr>
      </w:pPr>
    </w:p>
    <w:p w14:paraId="352971B5" w14:textId="77777777" w:rsidR="00140B7C" w:rsidRPr="00EC4EC4" w:rsidRDefault="00140B7C" w:rsidP="00140B7C">
      <w:pPr>
        <w:kinsoku w:val="0"/>
        <w:spacing w:after="240" w:line="240" w:lineRule="auto"/>
        <w:ind w:left="360"/>
        <w:jc w:val="both"/>
        <w:outlineLvl w:val="0"/>
        <w:rPr>
          <w:rFonts w:eastAsia="Times New Roman" w:cs="Times New Roman"/>
          <w:b/>
          <w:szCs w:val="24"/>
        </w:rPr>
      </w:pPr>
      <w:r w:rsidRPr="00EC4EC4">
        <w:rPr>
          <w:rFonts w:eastAsia="Times New Roman" w:cs="Times New Roman"/>
          <w:b/>
          <w:szCs w:val="24"/>
        </w:rPr>
        <w:t>Exceptions:</w:t>
      </w:r>
    </w:p>
    <w:p w14:paraId="11FBF417"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Vertical safety netting is not required for:</w:t>
      </w:r>
    </w:p>
    <w:p w14:paraId="09CFC6D6"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1.1.</w:t>
      </w:r>
      <w:r w:rsidRPr="00EC4EC4">
        <w:rPr>
          <w:rFonts w:eastAsia="Times New Roman" w:cs="Times New Roman"/>
          <w:szCs w:val="24"/>
        </w:rPr>
        <w:tab/>
        <w:t>The story at grade, provided it is less than 6 feet (1829 mm) above the level of the adjoining ground or structure; or</w:t>
      </w:r>
    </w:p>
    <w:p w14:paraId="030BC73A"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1.2.</w:t>
      </w:r>
      <w:r w:rsidRPr="00EC4EC4">
        <w:rPr>
          <w:rFonts w:eastAsia="Times New Roman" w:cs="Times New Roman"/>
          <w:szCs w:val="24"/>
        </w:rPr>
        <w:tab/>
        <w:t>The working deck; or</w:t>
      </w:r>
    </w:p>
    <w:p w14:paraId="75E6BA7C"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1.3.</w:t>
      </w:r>
      <w:r w:rsidRPr="00EC4EC4">
        <w:rPr>
          <w:rFonts w:eastAsia="Times New Roman" w:cs="Times New Roman"/>
          <w:szCs w:val="24"/>
        </w:rPr>
        <w:tab/>
        <w:t>Any story in concrete construction where the formwork has not been stripped, provided such floor is no more than four stories or 40 feet (12 192 mm) below the working deck, whichever is less; or</w:t>
      </w:r>
    </w:p>
    <w:p w14:paraId="2F8D0CA7"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1.4.</w:t>
      </w:r>
      <w:r w:rsidRPr="00EC4EC4">
        <w:rPr>
          <w:rFonts w:eastAsia="Times New Roman" w:cs="Times New Roman"/>
          <w:szCs w:val="24"/>
        </w:rPr>
        <w:tab/>
        <w:t>Any story in steel construction where the concrete slab has not been placed, provided that no work, other than steel erection or metal deck placement, is occurring on that story.</w:t>
      </w:r>
    </w:p>
    <w:p w14:paraId="512B38E9" w14:textId="77777777" w:rsidR="00140B7C" w:rsidRPr="00EC4EC4" w:rsidRDefault="00140B7C" w:rsidP="00140B7C">
      <w:pPr>
        <w:kinsoku w:val="0"/>
        <w:spacing w:after="240" w:line="240" w:lineRule="auto"/>
        <w:ind w:left="1080" w:hanging="360"/>
        <w:jc w:val="both"/>
        <w:rPr>
          <w:rFonts w:eastAsia="Times New Roman" w:cs="Times New Roman"/>
          <w:color w:val="000000" w:themeColor="text1"/>
          <w:szCs w:val="24"/>
        </w:rPr>
      </w:pPr>
      <w:r w:rsidRPr="00EC4EC4">
        <w:rPr>
          <w:rFonts w:eastAsia="Times New Roman" w:cs="Times New Roman"/>
          <w:color w:val="000000" w:themeColor="text1"/>
          <w:szCs w:val="24"/>
        </w:rPr>
        <w:t>2.</w:t>
      </w:r>
      <w:r w:rsidRPr="00EC4EC4">
        <w:rPr>
          <w:rFonts w:eastAsia="Times New Roman" w:cs="Times New Roman"/>
          <w:color w:val="000000" w:themeColor="text1"/>
          <w:szCs w:val="24"/>
        </w:rPr>
        <w:tab/>
        <w:t>Vertical safety netting is not required at a location where a supported scaffold has been installed provided the scaffold is decked even with the building at such level where the unenclosed perimeter exists, with no gap between the scaffold deck and the building deck greater than 3 inches (76 mm), and also provided that the scaffold is provided with netting and guardrails in accordance with Section 3314.8.</w:t>
      </w:r>
    </w:p>
    <w:p w14:paraId="02331F1C"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lastRenderedPageBreak/>
        <w:t>3.</w:t>
      </w:r>
      <w:r w:rsidRPr="00EC4EC4">
        <w:rPr>
          <w:rFonts w:eastAsia="Times New Roman" w:cs="Times New Roman"/>
          <w:szCs w:val="24"/>
        </w:rPr>
        <w:tab/>
        <w:t>Vertical safety netting is not required to protect an unenclosed window opening, provided such window opening is enclosed with a sill not less than 3 feet 6 inches [(067 mm)</w:t>
      </w:r>
      <w:r w:rsidRPr="00EC4EC4">
        <w:rPr>
          <w:rFonts w:eastAsia="Times New Roman" w:cs="Times New Roman"/>
          <w:sz w:val="26"/>
          <w:szCs w:val="26"/>
        </w:rPr>
        <w:t>]</w:t>
      </w:r>
      <w:r w:rsidRPr="00EC4EC4">
        <w:rPr>
          <w:rFonts w:eastAsia="Times New Roman" w:cs="Times New Roman"/>
          <w:szCs w:val="24"/>
          <w:u w:val="single"/>
        </w:rPr>
        <w:t>(1067 mm)</w:t>
      </w:r>
      <w:r w:rsidRPr="00EC4EC4">
        <w:rPr>
          <w:rFonts w:eastAsia="Times New Roman" w:cs="Times New Roman"/>
          <w:szCs w:val="24"/>
        </w:rPr>
        <w:t xml:space="preserve"> in height.</w:t>
      </w:r>
    </w:p>
    <w:p w14:paraId="7E3D2E30"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Vertical safety netting is not required for a building whose final height will be no more than 4 stories or 40 feet (12 192 mm) in height, whichever is less.</w:t>
      </w:r>
    </w:p>
    <w:p w14:paraId="0C21F06A"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5.</w:t>
      </w:r>
      <w:r w:rsidRPr="00EC4EC4">
        <w:rPr>
          <w:rFonts w:eastAsia="Times New Roman" w:cs="Times New Roman"/>
          <w:szCs w:val="24"/>
        </w:rPr>
        <w:tab/>
        <w:t>Vertical safety netting is not required for a minor alteration or ordinary repair.</w:t>
      </w:r>
    </w:p>
    <w:p w14:paraId="0D10B833" w14:textId="77777777" w:rsidR="00140B7C" w:rsidRPr="00EC4EC4" w:rsidRDefault="00140B7C" w:rsidP="00140B7C">
      <w:pPr>
        <w:tabs>
          <w:tab w:val="num" w:pos="-1890"/>
        </w:tabs>
        <w:kinsoku w:val="0"/>
        <w:spacing w:after="240" w:line="240" w:lineRule="auto"/>
        <w:ind w:left="1080"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Vertical safety netting is not required at a location where an equivalent alternative system acceptable to the commissioner, including but not limited to cocoon systems, climbing formwork, or enclosure panels, has been installed.</w:t>
      </w:r>
    </w:p>
    <w:bookmarkEnd w:id="217"/>
    <w:p w14:paraId="55773E04" w14:textId="7EE0BABA"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27</w:t>
      </w:r>
      <w:r w:rsidR="00D828DA">
        <w:rPr>
          <w:color w:val="000000"/>
          <w:sz w:val="23"/>
          <w:szCs w:val="23"/>
        </w:rPr>
        <w:t>6</w:t>
      </w:r>
      <w:r w:rsidRPr="00EC4EC4">
        <w:rPr>
          <w:color w:val="000000"/>
          <w:sz w:val="23"/>
          <w:szCs w:val="23"/>
        </w:rPr>
        <w:t xml:space="preserve">. Section 3308.7.3 </w:t>
      </w:r>
      <w:r w:rsidRPr="00EC4EC4">
        <w:t>of the New York city building code, as amended by local law number 126 for the year 2021, is amended to read as follows:</w:t>
      </w:r>
    </w:p>
    <w:p w14:paraId="5A92EFDA" w14:textId="77777777" w:rsidR="00140B7C" w:rsidRPr="00EC4EC4" w:rsidRDefault="00140B7C" w:rsidP="00140B7C">
      <w:pPr>
        <w:kinsoku w:val="0"/>
        <w:spacing w:after="0" w:line="240" w:lineRule="auto"/>
        <w:jc w:val="both"/>
        <w:rPr>
          <w:rFonts w:eastAsia="Times New Roman" w:cs="Times New Roman"/>
          <w:b/>
          <w:szCs w:val="24"/>
        </w:rPr>
      </w:pPr>
    </w:p>
    <w:p w14:paraId="52085436" w14:textId="77777777" w:rsidR="00140B7C" w:rsidRPr="00EC4EC4" w:rsidRDefault="00140B7C" w:rsidP="00140B7C">
      <w:pPr>
        <w:kinsoku w:val="0"/>
        <w:spacing w:after="0" w:line="240" w:lineRule="atLeast"/>
        <w:jc w:val="both"/>
        <w:rPr>
          <w:rFonts w:eastAsia="Times New Roman" w:cs="Times New Roman"/>
          <w:szCs w:val="24"/>
        </w:rPr>
      </w:pPr>
      <w:r w:rsidRPr="00EC4EC4">
        <w:rPr>
          <w:rFonts w:eastAsia="Times New Roman" w:cs="Times New Roman"/>
          <w:b/>
          <w:szCs w:val="24"/>
        </w:rPr>
        <w:t>3308.7.3 Dimensions and materials.</w:t>
      </w:r>
      <w:r w:rsidRPr="00EC4EC4">
        <w:rPr>
          <w:rFonts w:eastAsia="Times New Roman" w:cs="Times New Roman"/>
          <w:szCs w:val="24"/>
        </w:rPr>
        <w:t xml:space="preserve"> Toprails, midrails, toeboards, and posts shall have the following dimensions and be constructed out of the following materials:</w:t>
      </w:r>
    </w:p>
    <w:p w14:paraId="2493898A" w14:textId="77777777" w:rsidR="00140B7C" w:rsidRPr="00EC4EC4" w:rsidRDefault="00140B7C" w:rsidP="00140B7C">
      <w:pPr>
        <w:kinsoku w:val="0"/>
        <w:spacing w:after="0" w:line="240" w:lineRule="atLeast"/>
        <w:jc w:val="both"/>
        <w:rPr>
          <w:rFonts w:eastAsia="Times New Roman" w:cs="Times New Roman"/>
          <w:szCs w:val="24"/>
        </w:rPr>
      </w:pPr>
    </w:p>
    <w:p w14:paraId="4B103884" w14:textId="77777777" w:rsidR="00140B7C" w:rsidRPr="00EC4EC4" w:rsidRDefault="00140B7C" w:rsidP="00140B7C">
      <w:pPr>
        <w:kinsoku w:val="0"/>
        <w:spacing w:after="0" w:line="240" w:lineRule="atLeast"/>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Toprails shall, at a minimum, consist of:</w:t>
      </w:r>
    </w:p>
    <w:p w14:paraId="4855016F" w14:textId="77777777" w:rsidR="00140B7C" w:rsidRPr="00EC4EC4" w:rsidRDefault="00140B7C" w:rsidP="00140B7C">
      <w:pPr>
        <w:kinsoku w:val="0"/>
        <w:spacing w:after="0" w:line="240" w:lineRule="atLeast"/>
        <w:ind w:left="1620" w:hanging="540"/>
        <w:jc w:val="both"/>
        <w:rPr>
          <w:rFonts w:eastAsia="Times New Roman" w:cs="Times New Roman"/>
          <w:szCs w:val="24"/>
        </w:rPr>
      </w:pPr>
    </w:p>
    <w:p w14:paraId="0024E53B" w14:textId="77777777" w:rsidR="00140B7C" w:rsidRPr="00EC4EC4" w:rsidRDefault="00140B7C" w:rsidP="00140B7C">
      <w:pPr>
        <w:kinsoku w:val="0"/>
        <w:spacing w:after="0" w:line="240" w:lineRule="atLeast"/>
        <w:ind w:left="1620" w:hanging="540"/>
        <w:jc w:val="both"/>
        <w:rPr>
          <w:rFonts w:eastAsia="Times New Roman" w:cs="Times New Roman"/>
          <w:szCs w:val="24"/>
        </w:rPr>
      </w:pPr>
      <w:r w:rsidRPr="00EC4EC4">
        <w:rPr>
          <w:rFonts w:eastAsia="Times New Roman" w:cs="Times New Roman"/>
          <w:szCs w:val="24"/>
        </w:rPr>
        <w:t>1.1.</w:t>
      </w:r>
      <w:r w:rsidRPr="00EC4EC4">
        <w:rPr>
          <w:rFonts w:eastAsia="Times New Roman" w:cs="Times New Roman"/>
          <w:szCs w:val="24"/>
        </w:rPr>
        <w:tab/>
        <w:t>2 inch by 4 inch (51 mm by 102 mm) 1500 foot pounds per square inch (1.05 kgf/mm 2) fiber (stress grade) construction grade lumber;</w:t>
      </w:r>
    </w:p>
    <w:p w14:paraId="227ABD1C"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1.2.</w:t>
      </w:r>
      <w:r w:rsidRPr="00EC4EC4">
        <w:rPr>
          <w:rFonts w:eastAsia="Times New Roman" w:cs="Times New Roman"/>
          <w:szCs w:val="24"/>
        </w:rPr>
        <w:tab/>
        <w:t>1 ½ inch (38 mm) nominal diameter (Schedule 40) pipe;</w:t>
      </w:r>
    </w:p>
    <w:p w14:paraId="59B5A93F"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1.3.</w:t>
      </w:r>
      <w:r w:rsidRPr="00EC4EC4">
        <w:rPr>
          <w:rFonts w:eastAsia="Times New Roman" w:cs="Times New Roman"/>
          <w:szCs w:val="24"/>
        </w:rPr>
        <w:tab/>
        <w:t>2 inch by 2 inch by ⅜[</w:t>
      </w:r>
      <w:r w:rsidRPr="00EC4EC4">
        <w:rPr>
          <w:rFonts w:eastAsia="Times New Roman" w:cs="Times New Roman"/>
          <w:szCs w:val="24"/>
          <w:vertAlign w:val="superscript"/>
        </w:rPr>
        <w:t>th</w:t>
      </w:r>
      <w:r w:rsidRPr="00EC4EC4">
        <w:rPr>
          <w:rFonts w:eastAsia="Times New Roman" w:cs="Times New Roman"/>
          <w:szCs w:val="24"/>
        </w:rPr>
        <w:t>] inch (51 mm by 51 mm by 10 mm) structural angle; or</w:t>
      </w:r>
    </w:p>
    <w:p w14:paraId="292AC874"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1.4.</w:t>
      </w:r>
      <w:r w:rsidRPr="00EC4EC4">
        <w:rPr>
          <w:rFonts w:eastAsia="Times New Roman" w:cs="Times New Roman"/>
          <w:szCs w:val="24"/>
        </w:rPr>
        <w:tab/>
        <w:t>¼ inch (6 mm) diameter noncorrosive wire cable made of mild plow steel.</w:t>
      </w:r>
    </w:p>
    <w:p w14:paraId="6958D990"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Midrails shall, at a minimum, consist of:</w:t>
      </w:r>
    </w:p>
    <w:p w14:paraId="109F57D6"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2.1.</w:t>
      </w:r>
      <w:r w:rsidRPr="00EC4EC4">
        <w:rPr>
          <w:rFonts w:eastAsia="Times New Roman" w:cs="Times New Roman"/>
          <w:szCs w:val="24"/>
        </w:rPr>
        <w:tab/>
        <w:t>1 inch by 6 inch (25 mm by 152 mm) 1500 foot pounds per square inch (1.05 kgf/mm 2) fiber (stress grade) construction grade lumber;</w:t>
      </w:r>
    </w:p>
    <w:p w14:paraId="4BF95D25"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2.2.</w:t>
      </w:r>
      <w:r w:rsidRPr="00EC4EC4">
        <w:rPr>
          <w:rFonts w:eastAsia="Times New Roman" w:cs="Times New Roman"/>
          <w:szCs w:val="24"/>
        </w:rPr>
        <w:tab/>
        <w:t>1 ½ inch (38 mm) nominal diameter (Schedule 40) pipe;</w:t>
      </w:r>
    </w:p>
    <w:p w14:paraId="38773B52"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2.3.</w:t>
      </w:r>
      <w:r w:rsidRPr="00EC4EC4">
        <w:rPr>
          <w:rFonts w:eastAsia="Times New Roman" w:cs="Times New Roman"/>
          <w:szCs w:val="24"/>
        </w:rPr>
        <w:tab/>
        <w:t>2 inch by 2 inch by ⅜[</w:t>
      </w:r>
      <w:r w:rsidRPr="00EC4EC4">
        <w:rPr>
          <w:rFonts w:eastAsia="Times New Roman" w:cs="Times New Roman"/>
          <w:szCs w:val="24"/>
          <w:vertAlign w:val="superscript"/>
        </w:rPr>
        <w:t>th</w:t>
      </w:r>
      <w:r w:rsidRPr="00EC4EC4">
        <w:rPr>
          <w:rFonts w:eastAsia="Times New Roman" w:cs="Times New Roman"/>
          <w:szCs w:val="24"/>
        </w:rPr>
        <w:t>] inch (51 mm by 51 mm by 10 mm) structural angle; or</w:t>
      </w:r>
    </w:p>
    <w:p w14:paraId="512B7B53"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2.4.</w:t>
      </w:r>
      <w:r w:rsidRPr="00EC4EC4">
        <w:rPr>
          <w:rFonts w:eastAsia="Times New Roman" w:cs="Times New Roman"/>
          <w:szCs w:val="24"/>
        </w:rPr>
        <w:tab/>
        <w:t>¼ inch (6 mm) diameter noncorrosive wire cable made of mild plow steel.</w:t>
      </w:r>
    </w:p>
    <w:p w14:paraId="0C270462"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Toeboards shall, at a minimum, consist of:</w:t>
      </w:r>
    </w:p>
    <w:p w14:paraId="4FDFE649"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3.1.</w:t>
      </w:r>
      <w:r w:rsidRPr="00EC4EC4">
        <w:rPr>
          <w:rFonts w:eastAsia="Times New Roman" w:cs="Times New Roman"/>
          <w:szCs w:val="24"/>
        </w:rPr>
        <w:tab/>
        <w:t>1 inch by 4 inch (25 mm by [02]</w:t>
      </w:r>
      <w:r w:rsidRPr="00EC4EC4">
        <w:rPr>
          <w:rFonts w:eastAsia="Times New Roman" w:cs="Times New Roman"/>
          <w:szCs w:val="24"/>
          <w:u w:val="single"/>
        </w:rPr>
        <w:t>102</w:t>
      </w:r>
      <w:r w:rsidRPr="00EC4EC4">
        <w:rPr>
          <w:rFonts w:eastAsia="Times New Roman" w:cs="Times New Roman"/>
          <w:szCs w:val="24"/>
        </w:rPr>
        <w:t xml:space="preserve"> mm) lumber; or</w:t>
      </w:r>
    </w:p>
    <w:p w14:paraId="5B9271AF"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3.2.</w:t>
      </w:r>
      <w:r w:rsidRPr="00EC4EC4">
        <w:rPr>
          <w:rFonts w:eastAsia="Times New Roman" w:cs="Times New Roman"/>
          <w:szCs w:val="24"/>
        </w:rPr>
        <w:tab/>
        <w:t>Metal plank at least 3½ inches (89 mm) high.</w:t>
      </w:r>
    </w:p>
    <w:p w14:paraId="1C202762"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Toprails, midrails, and toeboards shall be securely fastened to upright posts spaced not more than 8 feet (2438 mm) apart.  Such posts shall, at a minimum, consist of:</w:t>
      </w:r>
    </w:p>
    <w:p w14:paraId="1893A828"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4.1.</w:t>
      </w:r>
      <w:r w:rsidRPr="00EC4EC4">
        <w:rPr>
          <w:rFonts w:eastAsia="Times New Roman" w:cs="Times New Roman"/>
          <w:szCs w:val="24"/>
        </w:rPr>
        <w:tab/>
        <w:t>2 inch by 4 inch (51 mm by 102 mm) 1500 foot pounds per square inch (1.05 kgf/mm 2) fiber (stress grade) construction grade lumber;</w:t>
      </w:r>
    </w:p>
    <w:p w14:paraId="73A6B9EE"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4.2.</w:t>
      </w:r>
      <w:r w:rsidRPr="00EC4EC4">
        <w:rPr>
          <w:rFonts w:eastAsia="Times New Roman" w:cs="Times New Roman"/>
          <w:szCs w:val="24"/>
        </w:rPr>
        <w:tab/>
        <w:t>1½ inch (38mm) nominal diameter (Schedule 40) pipe;</w:t>
      </w:r>
    </w:p>
    <w:p w14:paraId="5E37D087"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4.3.</w:t>
      </w:r>
      <w:r w:rsidRPr="00EC4EC4">
        <w:rPr>
          <w:rFonts w:eastAsia="Times New Roman" w:cs="Times New Roman"/>
          <w:szCs w:val="24"/>
        </w:rPr>
        <w:tab/>
        <w:t>2 inch by 2 inch by  ⅜ inch (51 mm by 51 mm by 10 mm) structural angle; or</w:t>
      </w:r>
    </w:p>
    <w:p w14:paraId="1E47A8A1"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4.4.</w:t>
      </w:r>
      <w:r w:rsidRPr="00EC4EC4">
        <w:rPr>
          <w:rFonts w:eastAsia="Times New Roman" w:cs="Times New Roman"/>
          <w:szCs w:val="24"/>
        </w:rPr>
        <w:tab/>
        <w:t>A building column.</w:t>
      </w:r>
    </w:p>
    <w:p w14:paraId="3E1CFD4F" w14:textId="77777777" w:rsidR="00140B7C" w:rsidRPr="00EC4EC4" w:rsidRDefault="00140B7C" w:rsidP="00140B7C">
      <w:pPr>
        <w:rPr>
          <w:rFonts w:eastAsia="Times New Roman" w:cs="Times New Roman"/>
          <w:b/>
          <w:szCs w:val="24"/>
        </w:rPr>
      </w:pPr>
      <w:r w:rsidRPr="00EC4EC4">
        <w:rPr>
          <w:rFonts w:eastAsia="Times New Roman" w:cs="Times New Roman"/>
          <w:b/>
          <w:szCs w:val="24"/>
        </w:rPr>
        <w:t>Exceptions:</w:t>
      </w:r>
    </w:p>
    <w:p w14:paraId="792E8AD9"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Guardrail systems designed by a registered design professional capable of withstanding, without failure:</w:t>
      </w:r>
    </w:p>
    <w:p w14:paraId="0991AE28"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1.1.</w:t>
      </w:r>
      <w:r w:rsidRPr="00EC4EC4">
        <w:rPr>
          <w:rFonts w:eastAsia="Times New Roman" w:cs="Times New Roman"/>
          <w:szCs w:val="24"/>
        </w:rPr>
        <w:tab/>
        <w:t>A force of at least 200 pounds (890 N) applied within 2 inches (51 mm) of the top edge, in any outward or downward direction, at any point along the top edge.  Where the force is applied in a downward direction, the top edge shall not deflect more than 6 inches (152 mm) and in no case to a height less than 39 inches (991 mm) above the floor; and</w:t>
      </w:r>
    </w:p>
    <w:p w14:paraId="34D2E9CE"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lastRenderedPageBreak/>
        <w:t>1.2.</w:t>
      </w:r>
      <w:r w:rsidRPr="00EC4EC4">
        <w:rPr>
          <w:rFonts w:eastAsia="Times New Roman" w:cs="Times New Roman"/>
          <w:szCs w:val="24"/>
        </w:rPr>
        <w:tab/>
        <w:t>A load of at least 50 pounds (222 N) applied in any downward or horizontal direction at any point along the toeboard.</w:t>
      </w:r>
    </w:p>
    <w:p w14:paraId="1A60634C"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Posts supporting wire cable toprails and midrails, as well as the toeboards utilized in connection with such wire cable toprails and midrails, may be spaced more than 8 feet (2438 mm) apart provided that the posts are spaced such that where a force of 200 pounds (890 N) is applied in a downward direction along the top edge, the top edge shall not deflect more than 6 inches (152 mm) and in no case to a height less than 39 inches (991 mm) above the floor.</w:t>
      </w:r>
    </w:p>
    <w:p w14:paraId="7ECE1DD1" w14:textId="5477B1FE"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27</w:t>
      </w:r>
      <w:r w:rsidR="00D828DA">
        <w:rPr>
          <w:color w:val="000000"/>
          <w:sz w:val="23"/>
          <w:szCs w:val="23"/>
        </w:rPr>
        <w:t>7</w:t>
      </w:r>
      <w:r w:rsidRPr="00EC4EC4">
        <w:rPr>
          <w:color w:val="000000"/>
          <w:sz w:val="23"/>
          <w:szCs w:val="23"/>
        </w:rPr>
        <w:t xml:space="preserve">. Section 3309.10 </w:t>
      </w:r>
      <w:r w:rsidRPr="00EC4EC4">
        <w:t>of the New York city building code, as amended by local law number 126 for the year 2021, is amended to read as follows:</w:t>
      </w:r>
    </w:p>
    <w:p w14:paraId="445AD881" w14:textId="77777777" w:rsidR="00140B7C" w:rsidRPr="00EC4EC4" w:rsidRDefault="00140B7C" w:rsidP="00140B7C">
      <w:pPr>
        <w:kinsoku w:val="0"/>
        <w:spacing w:after="0" w:line="240" w:lineRule="auto"/>
        <w:ind w:right="144"/>
        <w:jc w:val="both"/>
        <w:rPr>
          <w:rFonts w:eastAsia="Times New Roman" w:cs="Times New Roman"/>
          <w:b/>
          <w:szCs w:val="24"/>
        </w:rPr>
      </w:pPr>
    </w:p>
    <w:p w14:paraId="6C30B72F" w14:textId="77777777" w:rsidR="00140B7C" w:rsidRPr="00EC4EC4" w:rsidRDefault="00140B7C" w:rsidP="00140B7C">
      <w:pPr>
        <w:kinsoku w:val="0"/>
        <w:spacing w:after="0" w:line="240" w:lineRule="atLeast"/>
        <w:ind w:right="144"/>
        <w:jc w:val="both"/>
        <w:rPr>
          <w:rFonts w:eastAsia="Times New Roman" w:cs="Times New Roman"/>
          <w:spacing w:val="1"/>
          <w:szCs w:val="24"/>
        </w:rPr>
      </w:pPr>
      <w:r w:rsidRPr="00EC4EC4">
        <w:rPr>
          <w:rFonts w:eastAsia="Times New Roman" w:cs="Times New Roman"/>
          <w:b/>
          <w:szCs w:val="24"/>
        </w:rPr>
        <w:t>3309.10 Protection of roofs.</w:t>
      </w:r>
      <w:r w:rsidRPr="00EC4EC4">
        <w:rPr>
          <w:rFonts w:eastAsia="Times New Roman" w:cs="Times New Roman"/>
          <w:b/>
          <w:bCs/>
          <w:spacing w:val="-10"/>
          <w:w w:val="110"/>
          <w:szCs w:val="24"/>
        </w:rPr>
        <w:t xml:space="preserve"> </w:t>
      </w:r>
      <w:r w:rsidRPr="00EC4EC4">
        <w:rPr>
          <w:rFonts w:eastAsia="Times New Roman" w:cs="Times New Roman"/>
          <w:spacing w:val="1"/>
          <w:szCs w:val="24"/>
        </w:rPr>
        <w:t>Whenever any building is to be constructed or demolished above the roof of an adjoining building, it shall be the duty of the person causing such work to protect from damage at all times during the course of such work and at his or her own expense the roof, skylights, other roof outlets, and equipment located on the roof of the adjoining building, and to use every reasonable means to avoid interference with the use of the adjoining building during the course of such work, provided such person causing such work is afforded a license in accordance with the requirements of Section 3309.2 to enter and inspect the adjoining building and per</w:t>
      </w:r>
      <w:r w:rsidRPr="00EC4EC4">
        <w:rPr>
          <w:rFonts w:eastAsia="Times New Roman" w:cs="Times New Roman"/>
          <w:spacing w:val="1"/>
          <w:szCs w:val="24"/>
        </w:rPr>
        <w:softHyphen/>
        <w:t>form such work thereon as may be necessary for such purpose; otherwise, the duty of protecting the roof, skylights, other roof outlets, and equipment on the roof of the adjoining building shall devolve upon the owner of such adjoining building.</w:t>
      </w:r>
    </w:p>
    <w:p w14:paraId="23F07C9D" w14:textId="77777777" w:rsidR="00140B7C" w:rsidRPr="00EC4EC4" w:rsidRDefault="00140B7C" w:rsidP="00140B7C">
      <w:pPr>
        <w:kinsoku w:val="0"/>
        <w:spacing w:after="0" w:line="240" w:lineRule="atLeast"/>
        <w:ind w:right="144" w:firstLine="360"/>
        <w:jc w:val="both"/>
        <w:rPr>
          <w:rFonts w:eastAsia="Times New Roman" w:cs="Times New Roman"/>
          <w:spacing w:val="1"/>
          <w:szCs w:val="24"/>
        </w:rPr>
      </w:pPr>
    </w:p>
    <w:p w14:paraId="5BE9544C" w14:textId="77777777" w:rsidR="00140B7C" w:rsidRPr="00EC4EC4" w:rsidRDefault="00140B7C" w:rsidP="00140B7C">
      <w:pPr>
        <w:kinsoku w:val="0"/>
        <w:spacing w:after="0" w:line="240" w:lineRule="atLeast"/>
        <w:ind w:right="144" w:firstLine="360"/>
        <w:jc w:val="both"/>
        <w:rPr>
          <w:rFonts w:eastAsia="Times New Roman" w:cs="Times New Roman"/>
          <w:spacing w:val="1"/>
          <w:szCs w:val="24"/>
        </w:rPr>
      </w:pPr>
      <w:r w:rsidRPr="00EC4EC4">
        <w:rPr>
          <w:rFonts w:eastAsia="Times New Roman" w:cs="Times New Roman"/>
          <w:spacing w:val="1"/>
          <w:szCs w:val="24"/>
        </w:rPr>
        <w:t xml:space="preserve">Adjoining roof protection shall be secured to prevent dislodgement by wind. Where construction or demolition work occurs at a height of at least 48 inches (1219 mm) above the level of the adjoining roof, adjoining roof protection shall consist of 2 inches (51 mm) of flame-retardant foam under 2 inches (51 mm) of flame-retardant wood plank laid tight and covered by flame-retardant plywood, or shall consist of equivalent protection acceptable to the commissioner, and shall cover all areas of the adjoining roof that are within a horizontal distance from the building being constructed or demolished equal to the height </w:t>
      </w:r>
      <w:r w:rsidRPr="00EC4EC4">
        <w:rPr>
          <w:rFonts w:eastAsia="Times New Roman" w:cs="Times New Roman"/>
          <w:spacing w:val="1"/>
          <w:szCs w:val="24"/>
          <w:u w:val="single"/>
        </w:rPr>
        <w:t>above the adjoining roof</w:t>
      </w:r>
      <w:r w:rsidRPr="00EC4EC4">
        <w:rPr>
          <w:rFonts w:eastAsia="Times New Roman" w:cs="Times New Roman"/>
          <w:spacing w:val="1"/>
          <w:szCs w:val="24"/>
        </w:rPr>
        <w:t xml:space="preserve"> of the highest working level of the building being constructed or demolished, to a maximum of 20 feet (6096 mm), or to a greater maximum when ordered by the commissioner due to a unique hazard at the site.</w:t>
      </w:r>
    </w:p>
    <w:p w14:paraId="2153C978" w14:textId="77777777" w:rsidR="00140B7C" w:rsidRPr="00EC4EC4" w:rsidRDefault="00140B7C" w:rsidP="00140B7C">
      <w:pPr>
        <w:kinsoku w:val="0"/>
        <w:spacing w:after="0" w:line="240" w:lineRule="atLeast"/>
        <w:ind w:right="144" w:firstLine="360"/>
        <w:jc w:val="both"/>
        <w:rPr>
          <w:rFonts w:eastAsia="Times New Roman" w:cs="Times New Roman"/>
          <w:spacing w:val="1"/>
          <w:szCs w:val="24"/>
        </w:rPr>
      </w:pPr>
    </w:p>
    <w:p w14:paraId="2664BC9D" w14:textId="77777777" w:rsidR="00140B7C" w:rsidRPr="00EC4EC4" w:rsidRDefault="00140B7C" w:rsidP="00140B7C">
      <w:pPr>
        <w:kinsoku w:val="0"/>
        <w:spacing w:after="240" w:line="240" w:lineRule="auto"/>
        <w:ind w:left="360" w:right="144"/>
        <w:jc w:val="both"/>
        <w:rPr>
          <w:rFonts w:eastAsia="Times New Roman" w:cs="Times New Roman"/>
          <w:b/>
          <w:spacing w:val="1"/>
          <w:szCs w:val="24"/>
        </w:rPr>
      </w:pPr>
      <w:r w:rsidRPr="00EC4EC4">
        <w:rPr>
          <w:rFonts w:eastAsia="Times New Roman" w:cs="Times New Roman"/>
          <w:b/>
          <w:spacing w:val="1"/>
          <w:szCs w:val="24"/>
        </w:rPr>
        <w:t>Exceptions:</w:t>
      </w:r>
    </w:p>
    <w:p w14:paraId="01A49979" w14:textId="77777777" w:rsidR="00140B7C" w:rsidRPr="00EC4EC4" w:rsidRDefault="00140B7C" w:rsidP="00140B7C">
      <w:pPr>
        <w:kinsoku w:val="0"/>
        <w:spacing w:after="240" w:line="240" w:lineRule="auto"/>
        <w:ind w:left="1080" w:right="144" w:hanging="360"/>
        <w:jc w:val="both"/>
        <w:rPr>
          <w:rFonts w:eastAsia="Times New Roman" w:cs="Times New Roman"/>
          <w:b/>
          <w:spacing w:val="1"/>
          <w:szCs w:val="24"/>
        </w:rPr>
      </w:pPr>
      <w:r w:rsidRPr="00EC4EC4">
        <w:rPr>
          <w:rFonts w:eastAsia="Times New Roman" w:cs="Times New Roman"/>
          <w:spacing w:val="1"/>
          <w:szCs w:val="24"/>
        </w:rPr>
        <w:t>1.</w:t>
      </w:r>
      <w:r w:rsidRPr="00EC4EC4">
        <w:rPr>
          <w:rFonts w:eastAsia="Times New Roman" w:cs="Times New Roman"/>
          <w:spacing w:val="1"/>
          <w:szCs w:val="24"/>
        </w:rPr>
        <w:tab/>
        <w:t xml:space="preserve">Adjoining roof protection is not required </w:t>
      </w:r>
      <w:r w:rsidRPr="00EC4EC4">
        <w:rPr>
          <w:rFonts w:eastAsia="Times New Roman" w:cs="Times New Roman"/>
          <w:szCs w:val="24"/>
        </w:rPr>
        <w:t>along an exposure where a</w:t>
      </w:r>
      <w:r w:rsidRPr="00EC4EC4">
        <w:rPr>
          <w:rFonts w:eastAsia="Times New Roman" w:cs="Times New Roman"/>
          <w:spacing w:val="1"/>
          <w:szCs w:val="24"/>
        </w:rPr>
        <w:t xml:space="preserve"> site specific engineered enclosure system that is</w:t>
      </w:r>
      <w:r w:rsidRPr="00EC4EC4">
        <w:rPr>
          <w:rFonts w:eastAsia="Times New Roman" w:cs="Times New Roman"/>
          <w:bCs/>
          <w:szCs w:val="24"/>
        </w:rPr>
        <w:t xml:space="preserve"> </w:t>
      </w:r>
      <w:r w:rsidRPr="00EC4EC4">
        <w:rPr>
          <w:rFonts w:eastAsia="Times New Roman" w:cs="Times New Roman"/>
          <w:szCs w:val="24"/>
        </w:rPr>
        <w:t>acceptable to the commissioner and meets the requirements of Section 3309.17 has been installed to cover the entire exposure where work is occurring.</w:t>
      </w:r>
    </w:p>
    <w:p w14:paraId="22A0608B" w14:textId="77777777" w:rsidR="00140B7C" w:rsidRPr="00EC4EC4" w:rsidRDefault="00140B7C" w:rsidP="00140B7C">
      <w:pPr>
        <w:kinsoku w:val="0"/>
        <w:spacing w:after="240" w:line="240" w:lineRule="auto"/>
        <w:ind w:left="1080" w:right="144" w:hanging="360"/>
        <w:jc w:val="both"/>
        <w:rPr>
          <w:rFonts w:eastAsia="Times New Roman" w:cs="Times New Roman"/>
          <w:b/>
          <w:spacing w:val="1"/>
          <w:szCs w:val="24"/>
        </w:rPr>
      </w:pPr>
      <w:r w:rsidRPr="00EC4EC4">
        <w:rPr>
          <w:rFonts w:eastAsia="Times New Roman" w:cs="Times New Roman"/>
          <w:bCs/>
          <w:spacing w:val="1"/>
          <w:szCs w:val="24"/>
        </w:rPr>
        <w:t>2.</w:t>
      </w:r>
      <w:r w:rsidRPr="00EC4EC4">
        <w:rPr>
          <w:rFonts w:eastAsia="Times New Roman" w:cs="Times New Roman"/>
          <w:bCs/>
          <w:spacing w:val="1"/>
          <w:szCs w:val="24"/>
        </w:rPr>
        <w:tab/>
        <w:t>Where vents, equipment, or similar obstructions are present on the roof, the roof protection shall be elevated to avoid [</w:t>
      </w:r>
      <w:r w:rsidRPr="00EC4EC4">
        <w:rPr>
          <w:rFonts w:eastAsia="Times New Roman" w:cs="Times New Roman"/>
          <w:bCs/>
          <w:strike/>
          <w:spacing w:val="1"/>
          <w:szCs w:val="24"/>
        </w:rPr>
        <w:t>interreference</w:t>
      </w:r>
      <w:r w:rsidRPr="00EC4EC4">
        <w:rPr>
          <w:rFonts w:eastAsia="Times New Roman" w:cs="Times New Roman"/>
          <w:bCs/>
          <w:spacing w:val="1"/>
          <w:szCs w:val="24"/>
        </w:rPr>
        <w:t>]</w:t>
      </w:r>
      <w:r w:rsidRPr="00EC4EC4">
        <w:rPr>
          <w:rFonts w:eastAsia="Times New Roman" w:cs="Times New Roman"/>
          <w:bCs/>
          <w:spacing w:val="1"/>
          <w:szCs w:val="24"/>
          <w:u w:val="single"/>
        </w:rPr>
        <w:t>interference</w:t>
      </w:r>
      <w:r w:rsidRPr="00EC4EC4">
        <w:rPr>
          <w:rFonts w:eastAsia="Times New Roman" w:cs="Times New Roman"/>
          <w:bCs/>
          <w:spacing w:val="1"/>
          <w:szCs w:val="24"/>
        </w:rPr>
        <w:t>, or an equivalent elevated system, designed by a registered design professional, shall be installed.</w:t>
      </w:r>
    </w:p>
    <w:p w14:paraId="7DA48711" w14:textId="77777777" w:rsidR="00140B7C" w:rsidRPr="00EC4EC4" w:rsidRDefault="00140B7C" w:rsidP="00140B7C">
      <w:pPr>
        <w:kinsoku w:val="0"/>
        <w:spacing w:after="240" w:line="240" w:lineRule="auto"/>
        <w:ind w:left="1080" w:right="144"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Occupiable spaces on an adjoining roof, such as a roof terrace, observation deck, rooftop bar, or residential balcony, that will not be closed during the work, shall instead be protected in accordance with Section 3309.13.</w:t>
      </w:r>
    </w:p>
    <w:p w14:paraId="2BDE82F6" w14:textId="48F350B7"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27</w:t>
      </w:r>
      <w:r w:rsidR="00D828DA">
        <w:rPr>
          <w:color w:val="000000"/>
          <w:sz w:val="23"/>
          <w:szCs w:val="23"/>
        </w:rPr>
        <w:t>8</w:t>
      </w:r>
      <w:r w:rsidRPr="00EC4EC4">
        <w:rPr>
          <w:color w:val="000000"/>
          <w:sz w:val="23"/>
          <w:szCs w:val="23"/>
        </w:rPr>
        <w:t>. Section 3310.8</w:t>
      </w:r>
      <w:r w:rsidRPr="00EC4EC4">
        <w:t xml:space="preserve"> of the New York city building code, as amended by local law number 126 for the year 2021, is amended to read as follows:</w:t>
      </w:r>
    </w:p>
    <w:p w14:paraId="1252E944" w14:textId="77777777" w:rsidR="00140B7C" w:rsidRPr="00EC4EC4" w:rsidRDefault="00140B7C" w:rsidP="00140B7C">
      <w:pPr>
        <w:kinsoku w:val="0"/>
        <w:spacing w:after="0" w:line="240" w:lineRule="auto"/>
        <w:jc w:val="both"/>
        <w:rPr>
          <w:rFonts w:eastAsia="Times New Roman" w:cs="Times New Roman"/>
          <w:b/>
          <w:szCs w:val="24"/>
        </w:rPr>
      </w:pPr>
    </w:p>
    <w:p w14:paraId="11CB9DA3" w14:textId="77777777" w:rsidR="00140B7C" w:rsidRPr="00EC4EC4" w:rsidRDefault="00140B7C" w:rsidP="00140B7C">
      <w:pPr>
        <w:kinsoku w:val="0"/>
        <w:spacing w:after="0" w:line="240" w:lineRule="auto"/>
        <w:jc w:val="both"/>
        <w:rPr>
          <w:rFonts w:eastAsia="Times New Roman" w:cs="Times New Roman"/>
          <w:szCs w:val="24"/>
        </w:rPr>
      </w:pPr>
      <w:r w:rsidRPr="00EC4EC4">
        <w:rPr>
          <w:rFonts w:eastAsia="Times New Roman" w:cs="Times New Roman"/>
          <w:b/>
          <w:szCs w:val="24"/>
        </w:rPr>
        <w:t>3310.8 Site safety manager’s and coordinator’s duties.</w:t>
      </w:r>
      <w:r w:rsidRPr="00EC4EC4">
        <w:rPr>
          <w:rFonts w:eastAsia="Times New Roman" w:cs="Times New Roman"/>
          <w:szCs w:val="24"/>
        </w:rPr>
        <w:t xml:space="preserve"> The site safety manager or coordinator shall monitor compliance with the safety requirements of this chapter </w:t>
      </w:r>
      <w:r w:rsidRPr="00EC4EC4">
        <w:rPr>
          <w:rFonts w:eastAsia="Times New Roman" w:cs="Times New Roman"/>
          <w:spacing w:val="1"/>
          <w:szCs w:val="24"/>
        </w:rPr>
        <w:t>and any rules [</w:t>
      </w:r>
      <w:r w:rsidRPr="00EC4EC4">
        <w:rPr>
          <w:rFonts w:eastAsia="Times New Roman" w:cs="Times New Roman"/>
          <w:strike/>
          <w:spacing w:val="1"/>
          <w:szCs w:val="24"/>
        </w:rPr>
        <w:t>promogulated</w:t>
      </w:r>
      <w:r w:rsidRPr="00EC4EC4">
        <w:rPr>
          <w:rFonts w:eastAsia="Times New Roman" w:cs="Times New Roman"/>
          <w:spacing w:val="1"/>
          <w:szCs w:val="24"/>
        </w:rPr>
        <w:t xml:space="preserve">] </w:t>
      </w:r>
      <w:r w:rsidRPr="00EC4EC4">
        <w:rPr>
          <w:rFonts w:eastAsia="Times New Roman" w:cs="Times New Roman"/>
          <w:spacing w:val="1"/>
          <w:szCs w:val="24"/>
          <w:u w:val="single"/>
        </w:rPr>
        <w:t>promulgated</w:t>
      </w:r>
      <w:r w:rsidRPr="00EC4EC4">
        <w:rPr>
          <w:rFonts w:eastAsia="Times New Roman" w:cs="Times New Roman"/>
          <w:spacing w:val="1"/>
          <w:szCs w:val="24"/>
        </w:rPr>
        <w:t xml:space="preserve"> thereunder</w:t>
      </w:r>
      <w:r w:rsidRPr="00EC4EC4">
        <w:rPr>
          <w:rFonts w:eastAsia="Times New Roman" w:cs="Times New Roman"/>
          <w:szCs w:val="24"/>
        </w:rPr>
        <w:t xml:space="preserve"> by performing the duties required by Sections 3310.8.1 through 3310.8.5 and by performing all other safety duties assigned by the owner or general contractor to meet legal requirements.</w:t>
      </w:r>
    </w:p>
    <w:p w14:paraId="4B6B3814" w14:textId="77777777" w:rsidR="00140B7C" w:rsidRPr="00EC4EC4" w:rsidRDefault="00140B7C" w:rsidP="00140B7C">
      <w:pPr>
        <w:kinsoku w:val="0"/>
        <w:spacing w:after="0" w:line="240" w:lineRule="auto"/>
        <w:jc w:val="both"/>
        <w:rPr>
          <w:rFonts w:eastAsia="Times New Roman" w:cs="Times New Roman"/>
          <w:szCs w:val="24"/>
        </w:rPr>
      </w:pPr>
    </w:p>
    <w:p w14:paraId="6B532424" w14:textId="1C2E696A"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27</w:t>
      </w:r>
      <w:r w:rsidR="006D382F">
        <w:rPr>
          <w:color w:val="000000"/>
          <w:sz w:val="23"/>
          <w:szCs w:val="23"/>
        </w:rPr>
        <w:t>9</w:t>
      </w:r>
      <w:r w:rsidRPr="00EC4EC4">
        <w:rPr>
          <w:color w:val="000000"/>
          <w:sz w:val="23"/>
          <w:szCs w:val="23"/>
        </w:rPr>
        <w:t>. Section 3310.8.1</w:t>
      </w:r>
      <w:r w:rsidRPr="00EC4EC4">
        <w:t xml:space="preserve"> of the New York city building code, as amended by local law number 126 for the year 2021, is amended to read as follows:</w:t>
      </w:r>
    </w:p>
    <w:p w14:paraId="6F9E60DA" w14:textId="77777777" w:rsidR="00140B7C" w:rsidRPr="00EC4EC4" w:rsidRDefault="00140B7C" w:rsidP="00140B7C">
      <w:pPr>
        <w:kinsoku w:val="0"/>
        <w:spacing w:after="0" w:line="240" w:lineRule="auto"/>
        <w:jc w:val="both"/>
        <w:rPr>
          <w:rFonts w:eastAsia="Times New Roman" w:cs="Times New Roman"/>
          <w:szCs w:val="24"/>
        </w:rPr>
      </w:pPr>
    </w:p>
    <w:p w14:paraId="29F67B11" w14:textId="77777777" w:rsidR="00140B7C" w:rsidRPr="00EC4EC4" w:rsidRDefault="00140B7C" w:rsidP="00140B7C">
      <w:pPr>
        <w:kinsoku w:val="0"/>
        <w:spacing w:after="240" w:line="240" w:lineRule="auto"/>
        <w:jc w:val="both"/>
        <w:rPr>
          <w:rFonts w:eastAsia="Times New Roman" w:cs="Times New Roman"/>
          <w:spacing w:val="1"/>
          <w:szCs w:val="24"/>
          <w:u w:val="single"/>
        </w:rPr>
      </w:pPr>
      <w:r w:rsidRPr="00EC4EC4">
        <w:rPr>
          <w:rFonts w:eastAsia="Times New Roman" w:cs="Times New Roman"/>
          <w:b/>
          <w:szCs w:val="24"/>
        </w:rPr>
        <w:t>3310.8.1 Meetings.</w:t>
      </w:r>
      <w:r w:rsidRPr="00EC4EC4">
        <w:rPr>
          <w:rFonts w:eastAsia="Times New Roman" w:cs="Times New Roman"/>
          <w:szCs w:val="24"/>
        </w:rPr>
        <w:t xml:space="preserve"> </w:t>
      </w:r>
      <w:r w:rsidRPr="00EC4EC4">
        <w:t>The meeting requirements of Section [</w:t>
      </w:r>
      <w:r w:rsidRPr="00EC4EC4">
        <w:rPr>
          <w:strike/>
        </w:rPr>
        <w:t>3301.13.18</w:t>
      </w:r>
      <w:r w:rsidRPr="00EC4EC4">
        <w:t xml:space="preserve">] </w:t>
      </w:r>
      <w:r w:rsidRPr="00EC4EC4">
        <w:rPr>
          <w:u w:val="single"/>
        </w:rPr>
        <w:t>3301.13.19</w:t>
      </w:r>
      <w:r w:rsidRPr="00EC4EC4">
        <w:t xml:space="preserve"> shall apply.</w:t>
      </w:r>
    </w:p>
    <w:p w14:paraId="6FDBF5FE" w14:textId="79EE79C9" w:rsidR="00140B7C" w:rsidRPr="00EC4EC4" w:rsidRDefault="00140B7C" w:rsidP="00140B7C">
      <w:pPr>
        <w:pStyle w:val="DoubleSpaceParagaph"/>
        <w:spacing w:line="240" w:lineRule="auto"/>
        <w:ind w:firstLine="720"/>
      </w:pPr>
      <w:bookmarkStart w:id="218" w:name="_Hlk115697174"/>
      <w:r w:rsidRPr="00EC4EC4">
        <w:rPr>
          <w:color w:val="000000"/>
          <w:sz w:val="23"/>
          <w:szCs w:val="23"/>
        </w:rPr>
        <w:t>§</w:t>
      </w:r>
      <w:r>
        <w:rPr>
          <w:color w:val="000000"/>
          <w:sz w:val="23"/>
          <w:szCs w:val="23"/>
        </w:rPr>
        <w:t>2</w:t>
      </w:r>
      <w:r w:rsidR="006D382F">
        <w:rPr>
          <w:color w:val="000000"/>
          <w:sz w:val="23"/>
          <w:szCs w:val="23"/>
        </w:rPr>
        <w:t>80</w:t>
      </w:r>
      <w:r w:rsidRPr="00EC4EC4">
        <w:rPr>
          <w:color w:val="000000"/>
          <w:sz w:val="23"/>
          <w:szCs w:val="23"/>
        </w:rPr>
        <w:t>. Section 3310.8.2</w:t>
      </w:r>
      <w:r w:rsidRPr="00EC4EC4">
        <w:t xml:space="preserve"> of the New York city building code, as amended by local law number 126 for the year 2021, is amended to read as follows:</w:t>
      </w:r>
    </w:p>
    <w:bookmarkEnd w:id="218"/>
    <w:p w14:paraId="647901AA" w14:textId="77777777" w:rsidR="00140B7C" w:rsidRPr="00EC4EC4" w:rsidRDefault="00140B7C" w:rsidP="00140B7C">
      <w:pPr>
        <w:kinsoku w:val="0"/>
        <w:spacing w:after="0" w:line="240" w:lineRule="auto"/>
        <w:jc w:val="both"/>
        <w:rPr>
          <w:rFonts w:eastAsia="Times New Roman" w:cs="Times New Roman"/>
          <w:b/>
          <w:szCs w:val="24"/>
        </w:rPr>
      </w:pPr>
    </w:p>
    <w:p w14:paraId="1141C248" w14:textId="77777777" w:rsidR="00140B7C" w:rsidRPr="00EC4EC4" w:rsidRDefault="00140B7C" w:rsidP="00140B7C">
      <w:pPr>
        <w:kinsoku w:val="0"/>
        <w:spacing w:after="0" w:line="240" w:lineRule="auto"/>
        <w:jc w:val="both"/>
        <w:rPr>
          <w:rFonts w:eastAsia="Times New Roman" w:cs="Times New Roman"/>
          <w:spacing w:val="1"/>
          <w:szCs w:val="24"/>
        </w:rPr>
      </w:pPr>
      <w:r w:rsidRPr="00EC4EC4">
        <w:rPr>
          <w:rFonts w:eastAsia="Times New Roman" w:cs="Times New Roman"/>
          <w:b/>
          <w:szCs w:val="24"/>
        </w:rPr>
        <w:t>3310.8.2 Notification of violations</w:t>
      </w:r>
      <w:r w:rsidRPr="00EC4EC4">
        <w:rPr>
          <w:rFonts w:eastAsia="Times New Roman" w:cs="Times New Roman"/>
          <w:b/>
          <w:spacing w:val="1"/>
          <w:szCs w:val="24"/>
        </w:rPr>
        <w:t>.</w:t>
      </w:r>
      <w:r w:rsidRPr="00EC4EC4">
        <w:rPr>
          <w:rFonts w:eastAsia="Times New Roman" w:cs="Times New Roman"/>
          <w:spacing w:val="1"/>
          <w:szCs w:val="24"/>
        </w:rPr>
        <w:t xml:space="preserve"> In the event the site safety manager or coordinator discovers a violation of this chapter and any rules [</w:t>
      </w:r>
      <w:r w:rsidRPr="00EC4EC4">
        <w:rPr>
          <w:rFonts w:eastAsia="Times New Roman" w:cs="Times New Roman"/>
          <w:strike/>
          <w:spacing w:val="1"/>
          <w:szCs w:val="24"/>
        </w:rPr>
        <w:t>promogulated</w:t>
      </w:r>
      <w:r w:rsidRPr="00EC4EC4">
        <w:rPr>
          <w:rFonts w:eastAsia="Times New Roman" w:cs="Times New Roman"/>
          <w:spacing w:val="1"/>
          <w:szCs w:val="24"/>
        </w:rPr>
        <w:t xml:space="preserve">] </w:t>
      </w:r>
      <w:r w:rsidRPr="00EC4EC4">
        <w:rPr>
          <w:rFonts w:eastAsia="Times New Roman" w:cs="Times New Roman"/>
          <w:spacing w:val="1"/>
          <w:szCs w:val="24"/>
          <w:u w:val="single"/>
        </w:rPr>
        <w:t>promulgated</w:t>
      </w:r>
      <w:r w:rsidRPr="00EC4EC4">
        <w:rPr>
          <w:rFonts w:eastAsia="Times New Roman" w:cs="Times New Roman"/>
          <w:spacing w:val="1"/>
          <w:szCs w:val="24"/>
        </w:rPr>
        <w:t xml:space="preserve"> thereunder, he or she shall immediately notify the person or persons responsible for creating the violation, whether these persons are employed by the general contractor </w:t>
      </w:r>
      <w:r w:rsidRPr="00EC4EC4">
        <w:rPr>
          <w:rFonts w:eastAsia="Times New Roman" w:cs="Times New Roman"/>
          <w:spacing w:val="1"/>
          <w:szCs w:val="24"/>
        </w:rPr>
        <w:lastRenderedPageBreak/>
        <w:t>or by subcontractors. If the site safety manager or coordinator is unable to obtain the cooperation of these persons in correcting the violation, he or she shall immediately inform the direct supervisor of the person or company responsible for creating the violation and request that the supervisor order the necessary corrective action. If such supervisor is not present at the site or is otherwise unavailable, the site safety manager or coordinator shall notify any other supervisory personnel of the permit holder or any other responsible manager or officer of the permit holder. All such violations and corrective work shall be recorded in the daily log.</w:t>
      </w:r>
    </w:p>
    <w:p w14:paraId="22C710BC" w14:textId="77777777" w:rsidR="00140B7C" w:rsidRPr="00EC4EC4" w:rsidRDefault="00140B7C" w:rsidP="00140B7C">
      <w:pPr>
        <w:kinsoku w:val="0"/>
        <w:spacing w:after="240" w:line="240" w:lineRule="auto"/>
        <w:jc w:val="both"/>
        <w:rPr>
          <w:rFonts w:eastAsia="Times New Roman" w:cs="Times New Roman"/>
          <w:b/>
          <w:szCs w:val="24"/>
        </w:rPr>
      </w:pPr>
    </w:p>
    <w:p w14:paraId="49D9C833" w14:textId="08F1976A"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E22B39">
        <w:rPr>
          <w:color w:val="000000"/>
          <w:sz w:val="23"/>
          <w:szCs w:val="23"/>
        </w:rPr>
        <w:t>81</w:t>
      </w:r>
      <w:r w:rsidRPr="00EC4EC4">
        <w:rPr>
          <w:color w:val="000000"/>
          <w:sz w:val="23"/>
          <w:szCs w:val="23"/>
        </w:rPr>
        <w:t>. Section 3314.3.3</w:t>
      </w:r>
      <w:r w:rsidRPr="00EC4EC4">
        <w:t xml:space="preserve"> of the New York city building code, as amended by local law number 126 for the year 2021, is amended to read as follows:</w:t>
      </w:r>
    </w:p>
    <w:p w14:paraId="42E22671" w14:textId="77777777" w:rsidR="00140B7C" w:rsidRPr="00EC4EC4" w:rsidRDefault="00140B7C" w:rsidP="00140B7C">
      <w:pPr>
        <w:kinsoku w:val="0"/>
        <w:spacing w:after="240" w:line="240" w:lineRule="auto"/>
        <w:jc w:val="both"/>
        <w:rPr>
          <w:rFonts w:eastAsia="Times New Roman" w:cs="Times New Roman"/>
          <w:b/>
          <w:szCs w:val="24"/>
        </w:rPr>
      </w:pPr>
    </w:p>
    <w:p w14:paraId="78E995B0" w14:textId="77777777" w:rsidR="00140B7C" w:rsidRPr="00EC4EC4" w:rsidRDefault="00140B7C" w:rsidP="00140B7C">
      <w:pPr>
        <w:kinsoku w:val="0"/>
        <w:spacing w:after="240" w:line="240" w:lineRule="auto"/>
        <w:jc w:val="both"/>
        <w:rPr>
          <w:rFonts w:eastAsia="Times New Roman" w:cs="Times New Roman"/>
          <w:szCs w:val="24"/>
        </w:rPr>
      </w:pPr>
      <w:r w:rsidRPr="00EC4EC4">
        <w:rPr>
          <w:rFonts w:eastAsia="Times New Roman" w:cs="Times New Roman"/>
          <w:b/>
          <w:bCs/>
          <w:szCs w:val="24"/>
        </w:rPr>
        <w:t>3314.3.3 Drawings.</w:t>
      </w:r>
      <w:r w:rsidRPr="00EC4EC4">
        <w:rPr>
          <w:rFonts w:eastAsia="Times New Roman" w:cs="Times New Roman"/>
          <w:bCs/>
          <w:szCs w:val="24"/>
        </w:rPr>
        <w:t xml:space="preserve"> </w:t>
      </w:r>
      <w:r w:rsidRPr="00EC4EC4">
        <w:rPr>
          <w:rFonts w:eastAsia="Times New Roman" w:cs="Times New Roman"/>
          <w:szCs w:val="24"/>
        </w:rPr>
        <w:t>Where design is required by this section, the drawings shall be specific to the site and shall, at a minimum, include a plan view and an elevation view, with full dimensions, detailing:</w:t>
      </w:r>
    </w:p>
    <w:p w14:paraId="34207C92"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The scaffold and location of the scaffold;</w:t>
      </w:r>
    </w:p>
    <w:p w14:paraId="5D57BBCA" w14:textId="77777777" w:rsidR="00140B7C" w:rsidRPr="00EC4EC4" w:rsidRDefault="00140B7C" w:rsidP="00140B7C">
      <w:pPr>
        <w:kinsoku w:val="0"/>
        <w:spacing w:after="240" w:line="240" w:lineRule="auto"/>
        <w:ind w:left="1080" w:hanging="360"/>
        <w:jc w:val="both"/>
        <w:outlineLvl w:val="0"/>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The base structure (e.g. roof and parapet, sidewalk shed);</w:t>
      </w:r>
    </w:p>
    <w:p w14:paraId="09CC0A8E"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Connections and attachments to the base structure, including but not limited to anchorages, fastenings, tie-ins, tie-backs, and lifelines;</w:t>
      </w:r>
    </w:p>
    <w:p w14:paraId="73BD98B7"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Any temporary or permanent structural modifications required to the base structure;</w:t>
      </w:r>
    </w:p>
    <w:p w14:paraId="4B9887FC"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u w:val="single"/>
        </w:rPr>
        <w:t>5.</w:t>
      </w:r>
      <w:r w:rsidRPr="00EC4EC4">
        <w:rPr>
          <w:rFonts w:eastAsia="Times New Roman" w:cs="Times New Roman"/>
          <w:szCs w:val="24"/>
        </w:rPr>
        <w:tab/>
        <w:t xml:space="preserve">Netting with specific type and manufacturer indicated, overhead protection, or any other equipment attached to the scaffold.  </w:t>
      </w:r>
      <w:r w:rsidRPr="00EC4EC4">
        <w:rPr>
          <w:rFonts w:eastAsia="Times New Roman" w:cs="Times New Roman"/>
          <w:bCs/>
          <w:szCs w:val="24"/>
        </w:rPr>
        <w:t>The effect of wind on the netting shall be accounted for in the design of the scaffold</w:t>
      </w:r>
      <w:r w:rsidRPr="00EC4EC4">
        <w:rPr>
          <w:rFonts w:eastAsia="Times New Roman" w:cs="Times New Roman"/>
          <w:szCs w:val="24"/>
        </w:rPr>
        <w:t>;</w:t>
      </w:r>
    </w:p>
    <w:p w14:paraId="35A5B0C7"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Any hoisting equipment located on the scaffold;</w:t>
      </w:r>
    </w:p>
    <w:p w14:paraId="307BA127" w14:textId="77777777" w:rsidR="00140B7C" w:rsidRPr="00EC4EC4" w:rsidRDefault="00140B7C" w:rsidP="00140B7C">
      <w:pPr>
        <w:kinsoku w:val="0"/>
        <w:spacing w:after="240" w:line="240" w:lineRule="auto"/>
        <w:ind w:left="1080" w:hanging="360"/>
        <w:jc w:val="both"/>
        <w:rPr>
          <w:rFonts w:eastAsia="Times New Roman" w:cs="Times New Roman"/>
          <w:bCs/>
          <w:szCs w:val="24"/>
        </w:rPr>
      </w:pPr>
      <w:r w:rsidRPr="00EC4EC4">
        <w:rPr>
          <w:rFonts w:eastAsia="Times New Roman" w:cs="Times New Roman"/>
          <w:szCs w:val="24"/>
        </w:rPr>
        <w:t>7.</w:t>
      </w:r>
      <w:r w:rsidRPr="00EC4EC4">
        <w:rPr>
          <w:rFonts w:eastAsia="Times New Roman" w:cs="Times New Roman"/>
          <w:szCs w:val="24"/>
        </w:rPr>
        <w:tab/>
        <w:t xml:space="preserve">Platform levels, support centers, and offsets, along with </w:t>
      </w:r>
      <w:r w:rsidRPr="00EC4EC4">
        <w:rPr>
          <w:rFonts w:eastAsia="Times New Roman" w:cs="Times New Roman"/>
          <w:bCs/>
          <w:szCs w:val="24"/>
        </w:rPr>
        <w:t>the maximum number of levels to be loaded simultaneously and the maximum loads to be imposed;</w:t>
      </w:r>
    </w:p>
    <w:p w14:paraId="11E22D5D"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8.</w:t>
      </w:r>
      <w:r w:rsidRPr="00EC4EC4">
        <w:rPr>
          <w:rFonts w:eastAsia="Times New Roman" w:cs="Times New Roman"/>
          <w:szCs w:val="24"/>
        </w:rPr>
        <w:tab/>
        <w:t>Temporary construction, such as platforms, runback structures, other scaffolds, mast climbers, cranes, derricks, hoists, horizontal netting, cocoon systems, climbing formwork, sidewalk sheds, fences, and barricades that may present interference for the scaffold;</w:t>
      </w:r>
    </w:p>
    <w:p w14:paraId="2CF2F43F"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9.</w:t>
      </w:r>
      <w:r w:rsidRPr="00EC4EC4">
        <w:rPr>
          <w:rFonts w:eastAsia="Times New Roman" w:cs="Times New Roman"/>
          <w:szCs w:val="24"/>
        </w:rPr>
        <w:tab/>
        <w:t>For a suspended scaffold, ropes, number of clips, and counterweights, outrigger beams, c-hooks, or other support devices, blocking, saddles, or equivalent, and the rated load of the scaffold motor (hoist) as established by the manufacturer;</w:t>
      </w:r>
    </w:p>
    <w:p w14:paraId="7F90D5D9"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10.</w:t>
      </w:r>
      <w:r w:rsidRPr="00EC4EC4">
        <w:rPr>
          <w:rFonts w:eastAsia="Times New Roman" w:cs="Times New Roman"/>
          <w:szCs w:val="24"/>
        </w:rPr>
        <w:tab/>
        <w:t xml:space="preserve">For a suspended scaffold, the location of the scaffold during out of service periods, and if the scaffold will not be lowered to the street, sidewalk shed, building setback, equivalent adequate structure, or ground during out of service periods, how the scaffold will be secured while work is not being performed; </w:t>
      </w:r>
    </w:p>
    <w:p w14:paraId="7268D22D"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11.</w:t>
      </w:r>
      <w:r w:rsidRPr="00EC4EC4">
        <w:rPr>
          <w:rFonts w:eastAsia="Times New Roman" w:cs="Times New Roman"/>
          <w:szCs w:val="24"/>
        </w:rPr>
        <w:tab/>
        <w:t>For a supported scaffold, structural members, as well as the founding of the scaffold, including but not limited to sidewalk sheds, floors, roofs, or ground;</w:t>
      </w:r>
    </w:p>
    <w:p w14:paraId="3A53FB5D" w14:textId="77777777" w:rsidR="00140B7C" w:rsidRPr="00EC4EC4" w:rsidRDefault="00140B7C" w:rsidP="00140B7C">
      <w:pPr>
        <w:kinsoku w:val="0"/>
        <w:spacing w:after="240" w:line="240" w:lineRule="auto"/>
        <w:ind w:left="1080" w:hanging="360"/>
        <w:jc w:val="both"/>
        <w:outlineLvl w:val="0"/>
        <w:rPr>
          <w:rFonts w:eastAsia="Times New Roman" w:cs="Times New Roman"/>
          <w:szCs w:val="24"/>
        </w:rPr>
      </w:pPr>
      <w:r w:rsidRPr="00EC4EC4">
        <w:rPr>
          <w:rFonts w:eastAsia="Times New Roman" w:cs="Times New Roman"/>
          <w:szCs w:val="24"/>
        </w:rPr>
        <w:t>12.</w:t>
      </w:r>
      <w:r w:rsidRPr="00EC4EC4">
        <w:rPr>
          <w:rFonts w:eastAsia="Times New Roman" w:cs="Times New Roman"/>
          <w:szCs w:val="24"/>
        </w:rPr>
        <w:tab/>
        <w:t>References to related job numbers (e.g. the sidewalk shed upon which the scaffold rests, the underlying permit for façade or construction work); and</w:t>
      </w:r>
    </w:p>
    <w:p w14:paraId="42DEF1BB" w14:textId="77777777" w:rsidR="00140B7C" w:rsidRPr="00EC4EC4" w:rsidRDefault="00140B7C" w:rsidP="00140B7C">
      <w:pPr>
        <w:kinsoku w:val="0"/>
        <w:spacing w:after="240" w:line="240" w:lineRule="auto"/>
        <w:ind w:left="1080" w:hanging="360"/>
        <w:jc w:val="both"/>
        <w:outlineLvl w:val="0"/>
        <w:rPr>
          <w:rFonts w:eastAsia="Times New Roman" w:cs="Times New Roman"/>
          <w:szCs w:val="24"/>
        </w:rPr>
      </w:pPr>
      <w:r w:rsidRPr="00EC4EC4">
        <w:rPr>
          <w:rFonts w:eastAsia="Times New Roman" w:cs="Times New Roman"/>
          <w:szCs w:val="24"/>
        </w:rPr>
        <w:t>13.</w:t>
      </w:r>
      <w:r w:rsidRPr="00EC4EC4">
        <w:rPr>
          <w:rFonts w:eastAsia="Times New Roman" w:cs="Times New Roman"/>
          <w:szCs w:val="24"/>
        </w:rPr>
        <w:tab/>
        <w:t>Where anchors are utilized:</w:t>
      </w:r>
    </w:p>
    <w:p w14:paraId="7DEC6FB1"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13.1.</w:t>
      </w:r>
      <w:r w:rsidRPr="00EC4EC4">
        <w:rPr>
          <w:rFonts w:eastAsia="Times New Roman" w:cs="Times New Roman"/>
          <w:szCs w:val="24"/>
        </w:rPr>
        <w:tab/>
        <w:t>Type of anchor and manufacturer of anchor;</w:t>
      </w:r>
    </w:p>
    <w:p w14:paraId="7285D48E"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13.2.</w:t>
      </w:r>
      <w:r w:rsidRPr="00EC4EC4">
        <w:rPr>
          <w:rFonts w:eastAsia="Times New Roman" w:cs="Times New Roman"/>
          <w:szCs w:val="24"/>
        </w:rPr>
        <w:tab/>
        <w:t>Procedures for the installation, maintenance, and use of the anchor as specified by the manufacturer of the anchor; and</w:t>
      </w:r>
    </w:p>
    <w:p w14:paraId="13384426" w14:textId="77777777" w:rsidR="00140B7C" w:rsidRPr="00EC4EC4" w:rsidRDefault="00140B7C" w:rsidP="00140B7C">
      <w:pPr>
        <w:kinsoku w:val="0"/>
        <w:spacing w:after="240" w:line="240" w:lineRule="auto"/>
        <w:ind w:left="1620" w:hanging="540"/>
        <w:jc w:val="both"/>
        <w:rPr>
          <w:rFonts w:eastAsia="Times New Roman" w:cs="Times New Roman"/>
          <w:szCs w:val="24"/>
        </w:rPr>
      </w:pPr>
      <w:r w:rsidRPr="00EC4EC4">
        <w:rPr>
          <w:rFonts w:eastAsia="Times New Roman" w:cs="Times New Roman"/>
          <w:szCs w:val="24"/>
        </w:rPr>
        <w:t>13.3.</w:t>
      </w:r>
      <w:r w:rsidRPr="00EC4EC4">
        <w:rPr>
          <w:rFonts w:eastAsia="Times New Roman" w:cs="Times New Roman"/>
          <w:szCs w:val="24"/>
        </w:rPr>
        <w:tab/>
        <w:t>Procedures for the testing and inspection of the anchor as specified by the manufacturer of the anchor, as well as special inspection requirements when special inspection is required by Chapter 17.</w:t>
      </w:r>
    </w:p>
    <w:p w14:paraId="709B2351" w14:textId="4EEA846E"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E22B39">
        <w:rPr>
          <w:color w:val="000000"/>
          <w:sz w:val="23"/>
          <w:szCs w:val="23"/>
        </w:rPr>
        <w:t>82</w:t>
      </w:r>
      <w:r w:rsidRPr="00EC4EC4">
        <w:rPr>
          <w:color w:val="000000"/>
          <w:sz w:val="23"/>
          <w:szCs w:val="23"/>
        </w:rPr>
        <w:t>. Section 3314.4.4.1</w:t>
      </w:r>
      <w:r w:rsidRPr="00EC4EC4">
        <w:t xml:space="preserve"> of the New York city building code, as amended by local law number 126 for the year 2021, is amended to read as follows:</w:t>
      </w:r>
    </w:p>
    <w:p w14:paraId="0AA6DF81" w14:textId="77777777" w:rsidR="00140B7C" w:rsidRPr="00EC4EC4" w:rsidRDefault="00140B7C" w:rsidP="00140B7C">
      <w:pPr>
        <w:kinsoku w:val="0"/>
        <w:spacing w:after="0" w:line="240" w:lineRule="auto"/>
        <w:jc w:val="both"/>
        <w:rPr>
          <w:rFonts w:eastAsia="Times New Roman" w:cs="Times New Roman"/>
          <w:b/>
          <w:bCs/>
          <w:szCs w:val="24"/>
        </w:rPr>
      </w:pPr>
    </w:p>
    <w:p w14:paraId="3ED8FBC1" w14:textId="77777777" w:rsidR="00140B7C" w:rsidRPr="00EC4EC4" w:rsidRDefault="00140B7C" w:rsidP="00140B7C">
      <w:pPr>
        <w:kinsoku w:val="0"/>
        <w:spacing w:after="0" w:line="240" w:lineRule="auto"/>
        <w:jc w:val="both"/>
        <w:rPr>
          <w:rFonts w:eastAsia="Times New Roman" w:cs="Times New Roman"/>
          <w:szCs w:val="24"/>
        </w:rPr>
      </w:pPr>
      <w:r w:rsidRPr="00EC4EC4">
        <w:rPr>
          <w:rFonts w:eastAsia="Times New Roman" w:cs="Times New Roman"/>
          <w:b/>
          <w:bCs/>
          <w:szCs w:val="24"/>
        </w:rPr>
        <w:lastRenderedPageBreak/>
        <w:t>3314.4.4.1 Safe working order</w:t>
      </w:r>
      <w:r w:rsidRPr="00EC4EC4">
        <w:rPr>
          <w:rFonts w:eastAsia="Times New Roman" w:cs="Times New Roman"/>
          <w:b/>
          <w:szCs w:val="24"/>
        </w:rPr>
        <w:t>.</w:t>
      </w:r>
      <w:r w:rsidRPr="00EC4EC4">
        <w:rPr>
          <w:rFonts w:eastAsia="Times New Roman" w:cs="Times New Roman"/>
          <w:szCs w:val="24"/>
        </w:rPr>
        <w:t xml:space="preserve"> Scaffolds, including all components of and attachments to the scaffold, and all supports and anchorages of the scaffold, shall be provided to the site in a safe working order by their respective owner, with no known hazardous conditions, defective repairs, or maintenance problems that could compromise the safety of the public [</w:t>
      </w:r>
      <w:r w:rsidRPr="00EC4EC4">
        <w:rPr>
          <w:rFonts w:eastAsia="Times New Roman" w:cs="Times New Roman"/>
          <w:strike/>
          <w:szCs w:val="24"/>
        </w:rPr>
        <w:t>and</w:t>
      </w:r>
      <w:r w:rsidRPr="00EC4EC4">
        <w:rPr>
          <w:rFonts w:eastAsia="Times New Roman" w:cs="Times New Roman"/>
          <w:szCs w:val="24"/>
        </w:rPr>
        <w:t>]</w:t>
      </w:r>
      <w:r w:rsidRPr="00EC4EC4">
        <w:rPr>
          <w:rFonts w:eastAsia="Times New Roman" w:cs="Times New Roman"/>
          <w:szCs w:val="24"/>
          <w:u w:val="single"/>
        </w:rPr>
        <w:t>or</w:t>
      </w:r>
      <w:r w:rsidRPr="00EC4EC4">
        <w:rPr>
          <w:rFonts w:eastAsia="Times New Roman" w:cs="Times New Roman"/>
          <w:szCs w:val="24"/>
        </w:rPr>
        <w:t xml:space="preserve"> property.  All scaffolds shall be kept in a safe condition at the site by the scaffold controlling entity.  Every damaged or weakened scaffold shall be immediately repaired or secured and shall not be used until satisfactory repairs have been completed, and the scaffold is inspected under the provisions of Section 3314.4.3.</w:t>
      </w:r>
    </w:p>
    <w:p w14:paraId="253EF52E" w14:textId="77777777" w:rsidR="00140B7C" w:rsidRPr="00EC4EC4" w:rsidRDefault="00140B7C" w:rsidP="00140B7C">
      <w:pPr>
        <w:pStyle w:val="DoubleSpaceParagaph"/>
        <w:spacing w:line="240" w:lineRule="auto"/>
        <w:ind w:firstLine="720"/>
        <w:rPr>
          <w:color w:val="000000"/>
          <w:sz w:val="23"/>
          <w:szCs w:val="23"/>
        </w:rPr>
      </w:pPr>
    </w:p>
    <w:p w14:paraId="7B50A5EC" w14:textId="7CCAFDD9" w:rsidR="00140B7C" w:rsidRPr="00B073D7" w:rsidRDefault="00140B7C" w:rsidP="00140B7C">
      <w:pPr>
        <w:pStyle w:val="DoubleSpaceParagaph"/>
        <w:spacing w:line="240" w:lineRule="auto"/>
        <w:ind w:firstLine="720"/>
      </w:pPr>
      <w:r w:rsidRPr="00B073D7">
        <w:rPr>
          <w:color w:val="000000"/>
          <w:sz w:val="23"/>
          <w:szCs w:val="23"/>
        </w:rPr>
        <w:t>§2</w:t>
      </w:r>
      <w:r w:rsidR="00262C28">
        <w:rPr>
          <w:color w:val="000000"/>
          <w:sz w:val="23"/>
          <w:szCs w:val="23"/>
        </w:rPr>
        <w:t>83</w:t>
      </w:r>
      <w:r w:rsidRPr="00B073D7">
        <w:rPr>
          <w:color w:val="000000"/>
          <w:sz w:val="23"/>
          <w:szCs w:val="23"/>
        </w:rPr>
        <w:t>. Section 3314.10.12</w:t>
      </w:r>
      <w:r w:rsidRPr="00B073D7">
        <w:t xml:space="preserve"> of the New York city building code, as renumbered by local law number 126 for the year 2021, is amended to read as follows:</w:t>
      </w:r>
    </w:p>
    <w:p w14:paraId="5FFA421F" w14:textId="77777777" w:rsidR="00140B7C" w:rsidRPr="00B073D7" w:rsidRDefault="00140B7C" w:rsidP="00140B7C">
      <w:pPr>
        <w:kinsoku w:val="0"/>
        <w:spacing w:after="0" w:line="240" w:lineRule="auto"/>
        <w:jc w:val="both"/>
        <w:rPr>
          <w:rFonts w:eastAsia="Times New Roman" w:cs="Times New Roman"/>
          <w:b/>
          <w:szCs w:val="24"/>
        </w:rPr>
      </w:pPr>
    </w:p>
    <w:p w14:paraId="1EC794FA" w14:textId="77777777" w:rsidR="00140B7C" w:rsidRPr="00EC4EC4" w:rsidRDefault="00140B7C" w:rsidP="00140B7C">
      <w:pPr>
        <w:kinsoku w:val="0"/>
        <w:spacing w:after="240" w:line="240" w:lineRule="auto"/>
        <w:jc w:val="both"/>
        <w:rPr>
          <w:rFonts w:eastAsia="Times New Roman" w:cs="Times New Roman"/>
          <w:b/>
          <w:szCs w:val="24"/>
        </w:rPr>
      </w:pPr>
      <w:r w:rsidRPr="00B073D7">
        <w:rPr>
          <w:rFonts w:eastAsia="Times New Roman" w:cs="Times New Roman"/>
          <w:b/>
          <w:szCs w:val="24"/>
        </w:rPr>
        <w:t>[</w:t>
      </w:r>
      <w:r w:rsidRPr="00B073D7">
        <w:rPr>
          <w:rFonts w:eastAsia="Times New Roman" w:cs="Times New Roman"/>
          <w:b/>
          <w:strike/>
          <w:szCs w:val="24"/>
        </w:rPr>
        <w:t xml:space="preserve">3314.10.12 Stand-off brackets prohibited. </w:t>
      </w:r>
      <w:r w:rsidRPr="00B073D7">
        <w:rPr>
          <w:rFonts w:eastAsia="Times New Roman" w:cs="Times New Roman"/>
          <w:bCs/>
          <w:strike/>
          <w:szCs w:val="24"/>
        </w:rPr>
        <w:t>The installation or use of a stand-off bracket is prohibited.</w:t>
      </w:r>
      <w:r w:rsidRPr="00B073D7">
        <w:rPr>
          <w:rFonts w:eastAsia="Times New Roman" w:cs="Times New Roman"/>
          <w:b/>
          <w:szCs w:val="24"/>
        </w:rPr>
        <w:t>]</w:t>
      </w:r>
    </w:p>
    <w:p w14:paraId="69AAFC01" w14:textId="42AB8CF8" w:rsidR="00140B7C" w:rsidRPr="00EC4EC4" w:rsidRDefault="00140B7C" w:rsidP="00140B7C">
      <w:pPr>
        <w:pStyle w:val="DoubleSpaceParagaph"/>
        <w:spacing w:line="240" w:lineRule="auto"/>
        <w:ind w:firstLine="720"/>
      </w:pPr>
      <w:r w:rsidRPr="00EC4EC4">
        <w:rPr>
          <w:b/>
          <w:bCs/>
          <w:szCs w:val="24"/>
        </w:rPr>
        <w:t xml:space="preserve"> </w:t>
      </w:r>
      <w:bookmarkStart w:id="219" w:name="_Hlk115766187"/>
      <w:r w:rsidRPr="00EC4EC4">
        <w:rPr>
          <w:color w:val="000000"/>
          <w:sz w:val="23"/>
          <w:szCs w:val="23"/>
        </w:rPr>
        <w:t>§</w:t>
      </w:r>
      <w:r>
        <w:rPr>
          <w:color w:val="000000"/>
          <w:sz w:val="23"/>
          <w:szCs w:val="23"/>
        </w:rPr>
        <w:t>28</w:t>
      </w:r>
      <w:r w:rsidR="00712795">
        <w:rPr>
          <w:color w:val="000000"/>
          <w:sz w:val="23"/>
          <w:szCs w:val="23"/>
        </w:rPr>
        <w:t>4</w:t>
      </w:r>
      <w:r w:rsidRPr="00EC4EC4">
        <w:rPr>
          <w:color w:val="000000"/>
          <w:sz w:val="23"/>
          <w:szCs w:val="23"/>
        </w:rPr>
        <w:t>. Section 3319.4</w:t>
      </w:r>
      <w:r w:rsidRPr="00EC4EC4">
        <w:t xml:space="preserve"> of the New York city building code, as amended by local law number 126 for the year 2021, is amended to read as follows:</w:t>
      </w:r>
    </w:p>
    <w:bookmarkEnd w:id="219"/>
    <w:p w14:paraId="5F92B39D" w14:textId="77777777" w:rsidR="00140B7C" w:rsidRPr="00EC4EC4" w:rsidRDefault="00140B7C" w:rsidP="00140B7C">
      <w:pPr>
        <w:kinsoku w:val="0"/>
        <w:spacing w:after="0" w:line="240" w:lineRule="auto"/>
        <w:jc w:val="both"/>
        <w:rPr>
          <w:rFonts w:eastAsia="Times New Roman" w:cs="Times New Roman"/>
          <w:b/>
          <w:szCs w:val="24"/>
        </w:rPr>
      </w:pPr>
    </w:p>
    <w:p w14:paraId="1A01748A" w14:textId="77777777" w:rsidR="00140B7C" w:rsidRPr="00EC4EC4" w:rsidRDefault="00140B7C" w:rsidP="00140B7C">
      <w:pPr>
        <w:kinsoku w:val="0"/>
        <w:spacing w:after="0" w:line="240" w:lineRule="auto"/>
        <w:jc w:val="both"/>
        <w:rPr>
          <w:rFonts w:eastAsia="Times New Roman" w:cs="Times New Roman"/>
          <w:spacing w:val="1"/>
          <w:szCs w:val="24"/>
        </w:rPr>
      </w:pPr>
      <w:r w:rsidRPr="00EC4EC4">
        <w:rPr>
          <w:rFonts w:eastAsia="Times New Roman" w:cs="Times New Roman"/>
          <w:b/>
          <w:szCs w:val="24"/>
        </w:rPr>
        <w:t>3319.4 Certificate of approval.</w:t>
      </w:r>
      <w:r w:rsidRPr="00EC4EC4">
        <w:rPr>
          <w:rFonts w:eastAsia="Times New Roman" w:cs="Times New Roman"/>
          <w:b/>
          <w:bCs/>
          <w:spacing w:val="-5"/>
          <w:w w:val="110"/>
          <w:szCs w:val="24"/>
        </w:rPr>
        <w:t xml:space="preserve"> </w:t>
      </w:r>
      <w:r w:rsidRPr="00EC4EC4">
        <w:rPr>
          <w:rFonts w:eastAsia="Times New Roman" w:cs="Times New Roman"/>
          <w:spacing w:val="1"/>
          <w:szCs w:val="24"/>
        </w:rPr>
        <w:t>Certificates of approval shall comply with the following:</w:t>
      </w:r>
    </w:p>
    <w:p w14:paraId="44E09831"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The manufacturer or owner, or a designated representative of the manufacturer or owner, of a crane or derrick for which a certificate of approval is sought, or for which an existing certificate of approval is to be amended, shall file an application for such certificate of approval or amendment, and provide such information as set forth in rules promulgated by the commissioner.</w:t>
      </w:r>
    </w:p>
    <w:p w14:paraId="773B6345"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Upon the department’s approval of the application described in Item 1 [</w:t>
      </w:r>
      <w:r w:rsidRPr="00EC4EC4">
        <w:rPr>
          <w:rFonts w:eastAsia="Times New Roman" w:cs="Times New Roman"/>
          <w:strike/>
          <w:spacing w:val="1"/>
          <w:szCs w:val="24"/>
        </w:rPr>
        <w:t>above</w:t>
      </w:r>
      <w:r w:rsidRPr="00EC4EC4">
        <w:rPr>
          <w:rFonts w:eastAsia="Times New Roman" w:cs="Times New Roman"/>
          <w:spacing w:val="1"/>
          <w:szCs w:val="24"/>
        </w:rPr>
        <w:t>], the department shall issue a certificate of approval for the equipment.  The manuals, load rating charts, and other information submitted with the application are considered part of the certificate of approval.</w:t>
      </w:r>
    </w:p>
    <w:p w14:paraId="3C5C353E"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The certificate of approval shall be required to be amended when a crane or derrick is modified or altered to:</w:t>
      </w:r>
    </w:p>
    <w:p w14:paraId="38736A02"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3.1</w:t>
      </w:r>
      <w:r w:rsidRPr="00EC4EC4">
        <w:rPr>
          <w:rFonts w:eastAsia="Times New Roman" w:cs="Times New Roman"/>
          <w:spacing w:val="1"/>
          <w:szCs w:val="24"/>
        </w:rPr>
        <w:tab/>
        <w:t>Increase the boom length, jibs, or any extensions to the boom beyond the maximum approval length;</w:t>
      </w:r>
    </w:p>
    <w:p w14:paraId="3EB6AA70"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3.2</w:t>
      </w:r>
      <w:r w:rsidRPr="00EC4EC4">
        <w:rPr>
          <w:rFonts w:eastAsia="Times New Roman" w:cs="Times New Roman"/>
          <w:spacing w:val="1"/>
          <w:szCs w:val="24"/>
        </w:rPr>
        <w:tab/>
        <w:t>Increase the load ratings beyond the maximum approval; or</w:t>
      </w:r>
    </w:p>
    <w:p w14:paraId="00B5711E"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3.3</w:t>
      </w:r>
      <w:r w:rsidRPr="00EC4EC4">
        <w:rPr>
          <w:rFonts w:eastAsia="Times New Roman" w:cs="Times New Roman"/>
          <w:spacing w:val="1"/>
          <w:szCs w:val="24"/>
        </w:rPr>
        <w:tab/>
        <w:t>As otherwise specified in accordance with rules promulgated by the commissioner.</w:t>
      </w:r>
    </w:p>
    <w:p w14:paraId="4BC14AFD" w14:textId="5D19B724"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28</w:t>
      </w:r>
      <w:r w:rsidR="00712795">
        <w:rPr>
          <w:color w:val="000000"/>
          <w:sz w:val="23"/>
          <w:szCs w:val="23"/>
        </w:rPr>
        <w:t>5</w:t>
      </w:r>
      <w:r w:rsidRPr="00EC4EC4">
        <w:rPr>
          <w:color w:val="000000"/>
          <w:sz w:val="23"/>
          <w:szCs w:val="23"/>
        </w:rPr>
        <w:t>. Section 3319.5</w:t>
      </w:r>
      <w:r w:rsidRPr="00EC4EC4">
        <w:t xml:space="preserve"> of the New York city building code, as amended by local law number 126 for the year 2021, is amended to read as follows:</w:t>
      </w:r>
    </w:p>
    <w:p w14:paraId="5166A380" w14:textId="77777777" w:rsidR="00140B7C" w:rsidRPr="00EC4EC4" w:rsidRDefault="00140B7C" w:rsidP="00140B7C">
      <w:pPr>
        <w:kinsoku w:val="0"/>
        <w:spacing w:after="0" w:line="240" w:lineRule="auto"/>
        <w:jc w:val="both"/>
        <w:rPr>
          <w:rFonts w:eastAsia="Times New Roman" w:cs="Times New Roman"/>
          <w:b/>
          <w:szCs w:val="24"/>
        </w:rPr>
      </w:pPr>
    </w:p>
    <w:p w14:paraId="699B57C3" w14:textId="77777777" w:rsidR="00140B7C" w:rsidRPr="00EC4EC4" w:rsidRDefault="00140B7C" w:rsidP="00140B7C">
      <w:pPr>
        <w:kinsoku w:val="0"/>
        <w:spacing w:after="0" w:line="240" w:lineRule="atLeast"/>
        <w:jc w:val="both"/>
        <w:rPr>
          <w:rFonts w:eastAsia="Times New Roman" w:cs="Times New Roman"/>
          <w:spacing w:val="1"/>
          <w:szCs w:val="24"/>
        </w:rPr>
      </w:pPr>
      <w:r w:rsidRPr="00EC4EC4">
        <w:rPr>
          <w:rFonts w:eastAsia="Times New Roman" w:cs="Times New Roman"/>
          <w:b/>
          <w:szCs w:val="24"/>
        </w:rPr>
        <w:t>3319.5 Certificate of operation.</w:t>
      </w:r>
      <w:r w:rsidRPr="00EC4EC4">
        <w:rPr>
          <w:rFonts w:eastAsia="Times New Roman" w:cs="Times New Roman"/>
          <w:b/>
          <w:bCs/>
          <w:spacing w:val="-1"/>
          <w:w w:val="110"/>
          <w:szCs w:val="24"/>
        </w:rPr>
        <w:t xml:space="preserve"> </w:t>
      </w:r>
      <w:r w:rsidRPr="00EC4EC4">
        <w:rPr>
          <w:rFonts w:eastAsia="Times New Roman" w:cs="Times New Roman"/>
          <w:spacing w:val="1"/>
          <w:szCs w:val="24"/>
        </w:rPr>
        <w:t>Certificates of operation shall comply with the following:</w:t>
      </w:r>
    </w:p>
    <w:p w14:paraId="0782D41F" w14:textId="77777777" w:rsidR="00140B7C" w:rsidRPr="00EC4EC4" w:rsidRDefault="00140B7C" w:rsidP="00140B7C">
      <w:pPr>
        <w:kinsoku w:val="0"/>
        <w:spacing w:after="0" w:line="240" w:lineRule="atLeast"/>
        <w:ind w:left="720" w:hanging="360"/>
        <w:jc w:val="both"/>
        <w:rPr>
          <w:rFonts w:eastAsia="Times New Roman" w:cs="Times New Roman"/>
          <w:spacing w:val="1"/>
          <w:szCs w:val="24"/>
        </w:rPr>
      </w:pPr>
    </w:p>
    <w:p w14:paraId="41105B8A" w14:textId="77777777" w:rsidR="00140B7C" w:rsidRPr="00EC4EC4" w:rsidRDefault="00140B7C" w:rsidP="00140B7C">
      <w:pPr>
        <w:kinsoku w:val="0"/>
        <w:spacing w:after="0" w:line="240" w:lineRule="atLeast"/>
        <w:ind w:left="72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The owner, or his or her designated representative, of a crane or derrick for which an initial certificate of operation is sought, or for which an existing certificate of operation is intended to be amended or renewed, shall file an application for such certificate of operation and provide such information as set forth in rules promulgated by the commissioner.</w:t>
      </w:r>
    </w:p>
    <w:p w14:paraId="2B949267"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The commissioner shall issue, renew, or amend a certificate of operation upon satisfactory inspection and testing indicating that such crane or derrick is in a safe operating condition.</w:t>
      </w:r>
    </w:p>
    <w:p w14:paraId="7DC14804"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A certificate of operation shall be valid for a period of one year; except that:</w:t>
      </w:r>
    </w:p>
    <w:p w14:paraId="7AF4B00B"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3.1</w:t>
      </w:r>
      <w:r w:rsidRPr="00EC4EC4">
        <w:rPr>
          <w:rFonts w:eastAsia="Times New Roman" w:cs="Times New Roman"/>
          <w:spacing w:val="1"/>
          <w:szCs w:val="24"/>
        </w:rPr>
        <w:tab/>
        <w:t>For a crane or derrick meeting conditions established in accordance with rules promulgated by the commissioner, the certificate of operation shall expire at the end of the job.</w:t>
      </w:r>
    </w:p>
    <w:p w14:paraId="18129A19"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3.2</w:t>
      </w:r>
      <w:r w:rsidRPr="00EC4EC4">
        <w:rPr>
          <w:rFonts w:eastAsia="Times New Roman" w:cs="Times New Roman"/>
          <w:spacing w:val="1"/>
          <w:szCs w:val="24"/>
        </w:rPr>
        <w:tab/>
        <w:t>For a crane or derrick which possesses a certificate of operation that expires annually, the owner of the crane or derrick may continue to use the crane or derrick until the department renews or denies the certificate of operation, provided the owner applied to renew the certificate of operation within not more than 60 nor less than 30 days prior to the date of its expiration.</w:t>
      </w:r>
    </w:p>
    <w:p w14:paraId="1CAE6D8D" w14:textId="77777777" w:rsidR="00140B7C" w:rsidRPr="00EC4EC4" w:rsidRDefault="00140B7C" w:rsidP="00140B7C">
      <w:pPr>
        <w:kinsoku w:val="0"/>
        <w:spacing w:after="240" w:line="240" w:lineRule="auto"/>
        <w:ind w:left="720" w:hanging="360"/>
        <w:jc w:val="both"/>
        <w:rPr>
          <w:rFonts w:eastAsia="Times New Roman" w:cs="Times New Roman"/>
          <w:spacing w:val="1"/>
        </w:rPr>
      </w:pPr>
      <w:r w:rsidRPr="00EC4EC4">
        <w:rPr>
          <w:rFonts w:eastAsia="Times New Roman" w:cs="Times New Roman"/>
          <w:spacing w:val="1"/>
          <w:szCs w:val="24"/>
        </w:rPr>
        <w:t>4.</w:t>
      </w:r>
      <w:r w:rsidRPr="00EC4EC4">
        <w:rPr>
          <w:rFonts w:eastAsia="Times New Roman" w:cs="Times New Roman"/>
          <w:spacing w:val="1"/>
          <w:szCs w:val="24"/>
        </w:rPr>
        <w:tab/>
        <w:t>The renewal fee for the certificate of operation shall be charged annually</w:t>
      </w:r>
      <w:r w:rsidRPr="00EC4EC4">
        <w:rPr>
          <w:rFonts w:eastAsia="Times New Roman" w:cs="Times New Roman"/>
          <w:spacing w:val="1"/>
        </w:rPr>
        <w:t>, except for a crane or derrick meeting conditions established in accordance with rules promulgated by the commissioner, the fee shall be charged at intervals prescribed in the rule.</w:t>
      </w:r>
    </w:p>
    <w:p w14:paraId="6AAD841A"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When a component, as defined in rules promulgated by the commissioner, is replaced or added to the crane or derrick, the certificate of operation shall be amended to reflect such change.</w:t>
      </w:r>
    </w:p>
    <w:p w14:paraId="1DB1B708"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lastRenderedPageBreak/>
        <w:t>6.</w:t>
      </w:r>
      <w:r w:rsidRPr="00EC4EC4">
        <w:rPr>
          <w:rFonts w:eastAsia="Times New Roman" w:cs="Times New Roman"/>
          <w:spacing w:val="1"/>
          <w:szCs w:val="24"/>
        </w:rPr>
        <w:tab/>
        <w:t>A certificate of operation is also required to be amended when otherwise specified in rules promulgated by the commissioner.</w:t>
      </w:r>
    </w:p>
    <w:p w14:paraId="45C782BA"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7.</w:t>
      </w:r>
      <w:r w:rsidRPr="00EC4EC4">
        <w:rPr>
          <w:rFonts w:eastAsia="Times New Roman" w:cs="Times New Roman"/>
          <w:spacing w:val="1"/>
          <w:szCs w:val="24"/>
        </w:rPr>
        <w:tab/>
        <w:t>No crane or derrick subject to one or more of the conditions listed in items 5 or 6 [</w:t>
      </w:r>
      <w:r w:rsidRPr="00EC4EC4">
        <w:rPr>
          <w:rFonts w:eastAsia="Times New Roman" w:cs="Times New Roman"/>
          <w:strike/>
          <w:spacing w:val="1"/>
          <w:szCs w:val="24"/>
        </w:rPr>
        <w:t>above</w:t>
      </w:r>
      <w:r w:rsidRPr="00EC4EC4">
        <w:rPr>
          <w:rFonts w:eastAsia="Times New Roman" w:cs="Times New Roman"/>
          <w:spacing w:val="1"/>
          <w:szCs w:val="24"/>
        </w:rPr>
        <w:t>] shall operate until an amended certificate of operation has been issued by the department.</w:t>
      </w:r>
    </w:p>
    <w:p w14:paraId="11EEE4BA" w14:textId="44AF19C6"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28</w:t>
      </w:r>
      <w:r w:rsidR="00712795">
        <w:rPr>
          <w:color w:val="000000"/>
          <w:sz w:val="23"/>
          <w:szCs w:val="23"/>
        </w:rPr>
        <w:t>6</w:t>
      </w:r>
      <w:r w:rsidRPr="00EC4EC4">
        <w:rPr>
          <w:color w:val="000000"/>
          <w:sz w:val="23"/>
          <w:szCs w:val="23"/>
        </w:rPr>
        <w:t>. Section 3319.10.1</w:t>
      </w:r>
      <w:r w:rsidRPr="00EC4EC4">
        <w:t xml:space="preserve"> of the New York city building code, as amended by local law number 126 for the year 2021, is amended to read as follows:</w:t>
      </w:r>
    </w:p>
    <w:p w14:paraId="14C96E2B" w14:textId="77777777" w:rsidR="00140B7C" w:rsidRPr="00EC4EC4" w:rsidRDefault="00140B7C" w:rsidP="00140B7C">
      <w:pPr>
        <w:kinsoku w:val="0"/>
        <w:spacing w:after="240" w:line="240" w:lineRule="auto"/>
        <w:ind w:left="360"/>
        <w:jc w:val="both"/>
        <w:rPr>
          <w:rFonts w:eastAsia="Times New Roman" w:cs="Times New Roman"/>
          <w:b/>
          <w:szCs w:val="24"/>
        </w:rPr>
      </w:pPr>
    </w:p>
    <w:p w14:paraId="0E941CC0" w14:textId="77777777" w:rsidR="00140B7C" w:rsidRDefault="00140B7C" w:rsidP="00140B7C">
      <w:pPr>
        <w:kinsoku w:val="0"/>
        <w:spacing w:after="240" w:line="240" w:lineRule="auto"/>
        <w:jc w:val="both"/>
        <w:rPr>
          <w:rFonts w:eastAsia="Times New Roman" w:cs="Times New Roman"/>
          <w:spacing w:val="3"/>
          <w:szCs w:val="24"/>
        </w:rPr>
      </w:pPr>
      <w:r w:rsidRPr="00EC4EC4">
        <w:rPr>
          <w:rFonts w:eastAsia="Times New Roman" w:cs="Times New Roman"/>
          <w:b/>
          <w:szCs w:val="24"/>
        </w:rPr>
        <w:t>3319.10.1 Training [</w:t>
      </w:r>
      <w:r w:rsidRPr="00EC4EC4">
        <w:rPr>
          <w:rFonts w:eastAsia="Times New Roman" w:cs="Times New Roman"/>
          <w:b/>
          <w:strike/>
          <w:szCs w:val="24"/>
        </w:rPr>
        <w:t>Requirements</w:t>
      </w:r>
      <w:r w:rsidRPr="00EC4EC4">
        <w:rPr>
          <w:rFonts w:eastAsia="Times New Roman" w:cs="Times New Roman"/>
          <w:b/>
          <w:szCs w:val="24"/>
        </w:rPr>
        <w:t>]</w:t>
      </w:r>
      <w:r w:rsidRPr="00EC4EC4">
        <w:rPr>
          <w:rFonts w:eastAsia="Times New Roman" w:cs="Times New Roman"/>
          <w:b/>
          <w:szCs w:val="24"/>
          <w:u w:val="single"/>
        </w:rPr>
        <w:t>requirements</w:t>
      </w:r>
      <w:r w:rsidRPr="00EC4EC4">
        <w:rPr>
          <w:rFonts w:eastAsia="Times New Roman" w:cs="Times New Roman"/>
          <w:b/>
          <w:szCs w:val="24"/>
        </w:rPr>
        <w:t>.</w:t>
      </w:r>
      <w:r w:rsidRPr="00EC4EC4">
        <w:rPr>
          <w:rFonts w:eastAsia="Times New Roman" w:cs="Times New Roman"/>
          <w:b/>
          <w:bCs/>
          <w:spacing w:val="3"/>
          <w:szCs w:val="24"/>
        </w:rPr>
        <w:t xml:space="preserve"> </w:t>
      </w:r>
      <w:r w:rsidRPr="00EC4EC4">
        <w:rPr>
          <w:rFonts w:eastAsia="Times New Roman" w:cs="Times New Roman"/>
          <w:spacing w:val="1"/>
          <w:szCs w:val="24"/>
        </w:rPr>
        <w:t>All workers engaged in the erection, jumping, or dismantling of a tower crane, including the licensed rigger and the rigger foreman, shall have satisfactorily completed a department-approved training course of not less than thirty hours. Such course shall, at a minimum, include instruction on fall protection, crane assembly and disassembly, pre-lift planning, weights and materials, the use of slings, lifting/lowering loads, signaling and other proper means of communication with the crane operator, crane and hoist inspections, rigging requirements, and generally how to avoid incidents with cranes and hoists. The commissioner may by rule identify additional types of cranes for which such training is necessary. Any person who, within the three years prior to the effective date of this section, has successfully completed at least a thirty-hour training course need not take a second thirty-hour course, provided such person can provide to the department a dated certificate as set forth in this section evidencing completion of such a training course. Such person shall, however, take a department-approved eight-hour re-certification course within three years of the initial course and every three years thereafter. Successful completion of the training or re-certification course shall be evidenced by a dated certificate issued by the provider of the training or re-certification course. The certificate shall include such information as specified by the department by rule. The certificate, or a valid wallet card version thereof, shall be readily available to the commissioner upon request.</w:t>
      </w:r>
      <w:r w:rsidRPr="00EC4EC4">
        <w:rPr>
          <w:rFonts w:eastAsia="Times New Roman" w:cs="Times New Roman"/>
          <w:spacing w:val="3"/>
          <w:szCs w:val="24"/>
        </w:rPr>
        <w:t xml:space="preserve"> </w:t>
      </w:r>
    </w:p>
    <w:p w14:paraId="631F9CE8" w14:textId="25D6CBE2" w:rsidR="00140B7C" w:rsidRPr="00AA2499" w:rsidRDefault="00140B7C" w:rsidP="00140B7C">
      <w:pPr>
        <w:pStyle w:val="DoubleSpaceParagaph"/>
        <w:spacing w:line="240" w:lineRule="auto"/>
        <w:ind w:firstLine="720"/>
        <w:rPr>
          <w:szCs w:val="24"/>
        </w:rPr>
      </w:pPr>
      <w:r w:rsidRPr="00AA2499">
        <w:rPr>
          <w:color w:val="000000"/>
          <w:szCs w:val="24"/>
        </w:rPr>
        <w:t>§28</w:t>
      </w:r>
      <w:r w:rsidR="00712795">
        <w:rPr>
          <w:color w:val="000000"/>
          <w:szCs w:val="24"/>
        </w:rPr>
        <w:t>7</w:t>
      </w:r>
      <w:r w:rsidRPr="00AA2499">
        <w:rPr>
          <w:color w:val="000000"/>
          <w:szCs w:val="24"/>
        </w:rPr>
        <w:t xml:space="preserve">. Reference standard </w:t>
      </w:r>
      <w:r w:rsidRPr="00AA2499">
        <w:rPr>
          <w:rFonts w:eastAsia="Calibri"/>
          <w:color w:val="000000" w:themeColor="text1"/>
          <w:szCs w:val="24"/>
        </w:rPr>
        <w:t xml:space="preserve">A18.1 – 2014 </w:t>
      </w:r>
      <w:r w:rsidRPr="00AA2499">
        <w:rPr>
          <w:color w:val="000000"/>
          <w:szCs w:val="24"/>
        </w:rPr>
        <w:t xml:space="preserve">on the list of ASME referenced standards in section 3502 </w:t>
      </w:r>
      <w:r w:rsidRPr="00AA2499">
        <w:rPr>
          <w:szCs w:val="24"/>
        </w:rPr>
        <w:t>of the New York city building code, as amended by local law number 126 for the year 2021, is amended to read as follows:</w:t>
      </w:r>
    </w:p>
    <w:p w14:paraId="4ED36219" w14:textId="77777777" w:rsidR="00140B7C" w:rsidRPr="00723F72" w:rsidRDefault="00140B7C" w:rsidP="00140B7C">
      <w:pPr>
        <w:rPr>
          <w:rFonts w:cs="Times New Roman"/>
          <w:b/>
          <w:bCs/>
          <w:szCs w:val="24"/>
          <w:u w:val="single"/>
        </w:rPr>
      </w:pPr>
    </w:p>
    <w:tbl>
      <w:tblPr>
        <w:tblW w:w="9990" w:type="dxa"/>
        <w:tblInd w:w="-10" w:type="dxa"/>
        <w:tblCellMar>
          <w:left w:w="0" w:type="dxa"/>
          <w:right w:w="0" w:type="dxa"/>
        </w:tblCellMar>
        <w:tblLook w:val="04A0" w:firstRow="1" w:lastRow="0" w:firstColumn="1" w:lastColumn="0" w:noHBand="0" w:noVBand="1"/>
      </w:tblPr>
      <w:tblGrid>
        <w:gridCol w:w="3349"/>
        <w:gridCol w:w="2674"/>
        <w:gridCol w:w="3967"/>
      </w:tblGrid>
      <w:tr w:rsidR="00140B7C" w:rsidRPr="00723F72" w14:paraId="1AB9A6B4" w14:textId="77777777" w:rsidTr="00BC1087">
        <w:tc>
          <w:tcPr>
            <w:tcW w:w="33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672F8D" w14:textId="77777777" w:rsidR="00140B7C" w:rsidRPr="00723F72" w:rsidRDefault="00140B7C" w:rsidP="00BC1087">
            <w:pPr>
              <w:rPr>
                <w:rFonts w:cs="Times New Roman"/>
                <w:szCs w:val="24"/>
              </w:rPr>
            </w:pPr>
            <w:r w:rsidRPr="00723F72">
              <w:rPr>
                <w:rFonts w:cs="Times New Roman"/>
                <w:szCs w:val="24"/>
              </w:rPr>
              <w:t>ASME</w:t>
            </w:r>
          </w:p>
        </w:tc>
        <w:tc>
          <w:tcPr>
            <w:tcW w:w="267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97FF39" w14:textId="77777777" w:rsidR="00140B7C" w:rsidRPr="00723F72" w:rsidRDefault="00140B7C" w:rsidP="00BC1087">
            <w:pPr>
              <w:rPr>
                <w:rFonts w:cs="Times New Roman"/>
                <w:szCs w:val="24"/>
              </w:rPr>
            </w:pPr>
            <w:r w:rsidRPr="00723F72">
              <w:rPr>
                <w:rFonts w:cs="Times New Roman"/>
                <w:szCs w:val="24"/>
              </w:rPr>
              <w:t>American Society of Mechanical Engineers</w:t>
            </w:r>
          </w:p>
          <w:p w14:paraId="1D272718" w14:textId="77777777" w:rsidR="00140B7C" w:rsidRPr="00723F72" w:rsidRDefault="00140B7C" w:rsidP="00BC1087">
            <w:pPr>
              <w:rPr>
                <w:rFonts w:cs="Times New Roman"/>
                <w:szCs w:val="24"/>
              </w:rPr>
            </w:pPr>
            <w:r w:rsidRPr="00723F72">
              <w:rPr>
                <w:rFonts w:cs="Times New Roman"/>
                <w:szCs w:val="24"/>
              </w:rPr>
              <w:t>Two Park Avenue</w:t>
            </w:r>
          </w:p>
          <w:p w14:paraId="02138117" w14:textId="77777777" w:rsidR="00140B7C" w:rsidRPr="00723F72" w:rsidRDefault="00140B7C" w:rsidP="00BC1087">
            <w:pPr>
              <w:rPr>
                <w:rFonts w:cs="Times New Roman"/>
                <w:szCs w:val="24"/>
              </w:rPr>
            </w:pPr>
            <w:r w:rsidRPr="00723F72">
              <w:rPr>
                <w:rFonts w:cs="Times New Roman"/>
                <w:szCs w:val="24"/>
              </w:rPr>
              <w:t>New York, NY 10016-5990</w:t>
            </w:r>
          </w:p>
        </w:tc>
        <w:tc>
          <w:tcPr>
            <w:tcW w:w="39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4BF9C4" w14:textId="77777777" w:rsidR="00140B7C" w:rsidRPr="00723F72" w:rsidRDefault="00140B7C" w:rsidP="00BC1087">
            <w:pPr>
              <w:rPr>
                <w:rFonts w:cs="Times New Roman"/>
                <w:szCs w:val="24"/>
              </w:rPr>
            </w:pPr>
          </w:p>
        </w:tc>
      </w:tr>
      <w:tr w:rsidR="00140B7C" w:rsidRPr="00723F72" w14:paraId="60C38EC4" w14:textId="77777777" w:rsidTr="00BC1087">
        <w:tc>
          <w:tcPr>
            <w:tcW w:w="33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D1158" w14:textId="77777777" w:rsidR="00140B7C" w:rsidRPr="00723F72" w:rsidRDefault="00140B7C" w:rsidP="00BC1087">
            <w:pPr>
              <w:rPr>
                <w:rFonts w:cs="Times New Roman"/>
                <w:szCs w:val="24"/>
              </w:rPr>
            </w:pPr>
            <w:r w:rsidRPr="00723F72">
              <w:rPr>
                <w:rFonts w:cs="Times New Roman"/>
                <w:szCs w:val="24"/>
              </w:rPr>
              <w:t>Standard reference number</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14:paraId="44CF4186" w14:textId="77777777" w:rsidR="00140B7C" w:rsidRPr="00723F72" w:rsidRDefault="00140B7C" w:rsidP="00BC1087">
            <w:pPr>
              <w:rPr>
                <w:rFonts w:cs="Times New Roman"/>
                <w:szCs w:val="24"/>
              </w:rPr>
            </w:pPr>
            <w:r w:rsidRPr="00723F72">
              <w:rPr>
                <w:rFonts w:cs="Times New Roman"/>
                <w:szCs w:val="24"/>
              </w:rPr>
              <w:t>Title</w:t>
            </w:r>
          </w:p>
        </w:tc>
        <w:tc>
          <w:tcPr>
            <w:tcW w:w="3967" w:type="dxa"/>
            <w:tcBorders>
              <w:top w:val="nil"/>
              <w:left w:val="nil"/>
              <w:bottom w:val="single" w:sz="8" w:space="0" w:color="auto"/>
              <w:right w:val="single" w:sz="8" w:space="0" w:color="auto"/>
            </w:tcBorders>
            <w:tcMar>
              <w:top w:w="0" w:type="dxa"/>
              <w:left w:w="108" w:type="dxa"/>
              <w:bottom w:w="0" w:type="dxa"/>
              <w:right w:w="108" w:type="dxa"/>
            </w:tcMar>
            <w:hideMark/>
          </w:tcPr>
          <w:p w14:paraId="5E118260" w14:textId="77777777" w:rsidR="00140B7C" w:rsidRPr="00723F72" w:rsidRDefault="00140B7C" w:rsidP="00BC1087">
            <w:pPr>
              <w:rPr>
                <w:rFonts w:cs="Times New Roman"/>
                <w:szCs w:val="24"/>
              </w:rPr>
            </w:pPr>
            <w:r w:rsidRPr="00723F72">
              <w:rPr>
                <w:rFonts w:cs="Times New Roman"/>
                <w:szCs w:val="24"/>
              </w:rPr>
              <w:t>Referenced in code section number</w:t>
            </w:r>
          </w:p>
        </w:tc>
      </w:tr>
      <w:tr w:rsidR="00140B7C" w:rsidRPr="00723F72" w14:paraId="6EB9E88C" w14:textId="77777777" w:rsidTr="00BC1087">
        <w:tc>
          <w:tcPr>
            <w:tcW w:w="33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8D2A3" w14:textId="77777777" w:rsidR="00140B7C" w:rsidRPr="00723F72" w:rsidRDefault="00140B7C" w:rsidP="00BC1087">
            <w:pPr>
              <w:rPr>
                <w:rFonts w:cs="Times New Roman"/>
                <w:szCs w:val="24"/>
              </w:rPr>
            </w:pPr>
            <w:r w:rsidRPr="00723F72">
              <w:rPr>
                <w:rFonts w:cs="Times New Roman"/>
                <w:szCs w:val="24"/>
              </w:rPr>
              <w:t xml:space="preserve">A18.1 – </w:t>
            </w:r>
            <w:r w:rsidRPr="00805CE3">
              <w:rPr>
                <w:rFonts w:cs="Times New Roman"/>
                <w:szCs w:val="24"/>
              </w:rPr>
              <w:t>[</w:t>
            </w:r>
            <w:r w:rsidRPr="00805CE3">
              <w:rPr>
                <w:rFonts w:cs="Times New Roman"/>
                <w:strike/>
                <w:szCs w:val="24"/>
              </w:rPr>
              <w:t>2014</w:t>
            </w:r>
            <w:r w:rsidRPr="00805CE3">
              <w:rPr>
                <w:rFonts w:cs="Times New Roman"/>
                <w:szCs w:val="24"/>
              </w:rPr>
              <w:t>]</w:t>
            </w:r>
            <w:r w:rsidRPr="00805CE3">
              <w:rPr>
                <w:rFonts w:cs="Times New Roman"/>
                <w:szCs w:val="24"/>
                <w:u w:val="single"/>
              </w:rPr>
              <w:t>2017</w:t>
            </w:r>
          </w:p>
        </w:tc>
        <w:tc>
          <w:tcPr>
            <w:tcW w:w="2674" w:type="dxa"/>
            <w:tcBorders>
              <w:top w:val="nil"/>
              <w:left w:val="nil"/>
              <w:bottom w:val="single" w:sz="8" w:space="0" w:color="auto"/>
              <w:right w:val="single" w:sz="8" w:space="0" w:color="auto"/>
            </w:tcBorders>
            <w:tcMar>
              <w:top w:w="0" w:type="dxa"/>
              <w:left w:w="108" w:type="dxa"/>
              <w:bottom w:w="0" w:type="dxa"/>
              <w:right w:w="108" w:type="dxa"/>
            </w:tcMar>
            <w:hideMark/>
          </w:tcPr>
          <w:p w14:paraId="09C5A477" w14:textId="77777777" w:rsidR="00140B7C" w:rsidRPr="00723F72" w:rsidRDefault="00140B7C" w:rsidP="00BC1087">
            <w:pPr>
              <w:rPr>
                <w:rFonts w:cs="Times New Roman"/>
                <w:szCs w:val="24"/>
              </w:rPr>
            </w:pPr>
            <w:r w:rsidRPr="00723F72">
              <w:rPr>
                <w:rFonts w:cs="Times New Roman"/>
                <w:szCs w:val="24"/>
              </w:rPr>
              <w:t>Safety Standard for Platform Lifts and Stairway Chairlifts</w:t>
            </w:r>
          </w:p>
        </w:tc>
        <w:tc>
          <w:tcPr>
            <w:tcW w:w="3967" w:type="dxa"/>
            <w:tcBorders>
              <w:top w:val="nil"/>
              <w:left w:val="nil"/>
              <w:bottom w:val="single" w:sz="8" w:space="0" w:color="auto"/>
              <w:right w:val="single" w:sz="8" w:space="0" w:color="auto"/>
            </w:tcBorders>
            <w:tcMar>
              <w:top w:w="0" w:type="dxa"/>
              <w:left w:w="108" w:type="dxa"/>
              <w:bottom w:w="0" w:type="dxa"/>
              <w:right w:w="108" w:type="dxa"/>
            </w:tcMar>
            <w:hideMark/>
          </w:tcPr>
          <w:p w14:paraId="7E431642" w14:textId="77777777" w:rsidR="00140B7C" w:rsidRPr="00723F72" w:rsidRDefault="00140B7C" w:rsidP="00BC1087">
            <w:pPr>
              <w:rPr>
                <w:rFonts w:cs="Times New Roman"/>
                <w:szCs w:val="24"/>
              </w:rPr>
            </w:pPr>
            <w:r w:rsidRPr="00723F72">
              <w:rPr>
                <w:rFonts w:cs="Times New Roman"/>
                <w:szCs w:val="24"/>
              </w:rPr>
              <w:t>1109.7.1, 1109.7.1.1, 3001.2</w:t>
            </w:r>
          </w:p>
        </w:tc>
      </w:tr>
    </w:tbl>
    <w:p w14:paraId="6D1B2563" w14:textId="77777777" w:rsidR="00140B7C" w:rsidRDefault="00140B7C" w:rsidP="00140B7C">
      <w:pPr>
        <w:pStyle w:val="DoubleSpaceParagaph"/>
        <w:spacing w:line="240" w:lineRule="auto"/>
        <w:ind w:firstLine="720"/>
        <w:rPr>
          <w:color w:val="000000"/>
          <w:sz w:val="23"/>
          <w:szCs w:val="23"/>
          <w:highlight w:val="yellow"/>
        </w:rPr>
      </w:pPr>
    </w:p>
    <w:p w14:paraId="457641C6" w14:textId="77777777" w:rsidR="00140B7C" w:rsidRDefault="00140B7C" w:rsidP="00140B7C">
      <w:pPr>
        <w:pStyle w:val="DoubleSpaceParagaph"/>
        <w:spacing w:line="240" w:lineRule="auto"/>
        <w:ind w:firstLine="720"/>
        <w:rPr>
          <w:color w:val="000000"/>
          <w:sz w:val="23"/>
          <w:szCs w:val="23"/>
          <w:highlight w:val="yellow"/>
        </w:rPr>
      </w:pPr>
    </w:p>
    <w:p w14:paraId="64C617AD" w14:textId="2690477A" w:rsidR="00140B7C" w:rsidRPr="00DD15BC" w:rsidRDefault="00140B7C" w:rsidP="00140B7C">
      <w:pPr>
        <w:pStyle w:val="DoubleSpaceParagaph"/>
        <w:spacing w:line="240" w:lineRule="auto"/>
        <w:ind w:firstLine="720"/>
      </w:pPr>
      <w:r w:rsidRPr="00DD15BC">
        <w:rPr>
          <w:color w:val="000000"/>
          <w:sz w:val="23"/>
          <w:szCs w:val="23"/>
        </w:rPr>
        <w:t>§28</w:t>
      </w:r>
      <w:r w:rsidR="00712795">
        <w:rPr>
          <w:color w:val="000000"/>
          <w:sz w:val="23"/>
          <w:szCs w:val="23"/>
        </w:rPr>
        <w:t>8</w:t>
      </w:r>
      <w:r w:rsidRPr="00DD15BC">
        <w:rPr>
          <w:color w:val="000000"/>
          <w:sz w:val="23"/>
          <w:szCs w:val="23"/>
        </w:rPr>
        <w:t xml:space="preserve">. Reference standard </w:t>
      </w:r>
      <w:r w:rsidRPr="00DD15BC">
        <w:rPr>
          <w:rFonts w:eastAsia="Calibri"/>
          <w:color w:val="000000" w:themeColor="text1"/>
        </w:rPr>
        <w:t>E119—2012A</w:t>
      </w:r>
      <w:r w:rsidRPr="00DD15BC">
        <w:rPr>
          <w:color w:val="000000"/>
          <w:sz w:val="23"/>
          <w:szCs w:val="23"/>
        </w:rPr>
        <w:t xml:space="preserve"> on the list of ASTM referenced standards in section 3502 </w:t>
      </w:r>
      <w:r w:rsidRPr="00DD15BC">
        <w:t>of the New York city building code, as amended by local law number 126 for the year 2021, is amended to read as follows:</w:t>
      </w:r>
    </w:p>
    <w:p w14:paraId="1E874461" w14:textId="77777777" w:rsidR="00140B7C" w:rsidRPr="00DD15BC" w:rsidRDefault="00140B7C" w:rsidP="00140B7C">
      <w:pPr>
        <w:pStyle w:val="HeadingUnderline"/>
        <w:rPr>
          <w:w w:val="105"/>
        </w:rPr>
      </w:pP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5837"/>
        <w:gridCol w:w="2487"/>
      </w:tblGrid>
      <w:tr w:rsidR="00140B7C" w:rsidRPr="00DD15BC" w14:paraId="761A233A" w14:textId="77777777" w:rsidTr="00BC1087">
        <w:trPr>
          <w:cantSplit/>
          <w:trHeight w:val="642"/>
          <w:tblHeader/>
        </w:trPr>
        <w:tc>
          <w:tcPr>
            <w:tcW w:w="1181" w:type="pct"/>
            <w:tcBorders>
              <w:top w:val="single" w:sz="4" w:space="0" w:color="auto"/>
              <w:left w:val="single" w:sz="4" w:space="0" w:color="auto"/>
              <w:bottom w:val="single" w:sz="4" w:space="0" w:color="auto"/>
              <w:right w:val="single" w:sz="4" w:space="0" w:color="auto"/>
            </w:tcBorders>
            <w:hideMark/>
          </w:tcPr>
          <w:p w14:paraId="465712BB" w14:textId="77777777" w:rsidR="00140B7C" w:rsidRPr="00DD15BC" w:rsidRDefault="00140B7C" w:rsidP="00BC1087">
            <w:pPr>
              <w:spacing w:before="30" w:after="30" w:line="240" w:lineRule="auto"/>
              <w:outlineLvl w:val="0"/>
              <w:rPr>
                <w:rFonts w:eastAsia="Calibri" w:cs="Times New Roman"/>
                <w:b/>
                <w:bCs/>
                <w:lang w:val="en-IN"/>
              </w:rPr>
            </w:pPr>
            <w:bookmarkStart w:id="220" w:name="ASTM"/>
            <w:r w:rsidRPr="00DD15BC">
              <w:rPr>
                <w:rFonts w:eastAsia="Calibri" w:cs="Times New Roman"/>
                <w:b/>
                <w:bCs/>
                <w:sz w:val="36"/>
                <w:szCs w:val="36"/>
              </w:rPr>
              <w:t>ASTM</w:t>
            </w:r>
          </w:p>
        </w:tc>
        <w:tc>
          <w:tcPr>
            <w:tcW w:w="2678" w:type="pct"/>
            <w:tcBorders>
              <w:top w:val="single" w:sz="4" w:space="0" w:color="auto"/>
              <w:left w:val="single" w:sz="4" w:space="0" w:color="auto"/>
              <w:bottom w:val="single" w:sz="4" w:space="0" w:color="auto"/>
              <w:right w:val="single" w:sz="4" w:space="0" w:color="auto"/>
            </w:tcBorders>
            <w:hideMark/>
          </w:tcPr>
          <w:p w14:paraId="15767371" w14:textId="77777777" w:rsidR="00140B7C" w:rsidRPr="00DD15BC" w:rsidRDefault="00140B7C" w:rsidP="00BC1087">
            <w:pPr>
              <w:autoSpaceDE w:val="0"/>
              <w:autoSpaceDN w:val="0"/>
              <w:adjustRightInd w:val="0"/>
              <w:spacing w:before="30" w:after="30" w:line="240" w:lineRule="auto"/>
              <w:rPr>
                <w:rFonts w:eastAsia="Times New Roman" w:cs="Times New Roman"/>
                <w:color w:val="000000" w:themeColor="text1"/>
              </w:rPr>
            </w:pPr>
            <w:r w:rsidRPr="00DD15BC">
              <w:rPr>
                <w:rFonts w:eastAsia="Times New Roman" w:cs="Times New Roman"/>
                <w:color w:val="000000" w:themeColor="text1"/>
              </w:rPr>
              <w:t>ASTM International</w:t>
            </w:r>
            <w:r w:rsidRPr="00DD15BC">
              <w:rPr>
                <w:rFonts w:eastAsia="Times New Roman" w:cs="Times New Roman"/>
                <w:color w:val="000000" w:themeColor="text1"/>
              </w:rPr>
              <w:br/>
              <w:t>100 Barr Harbor Drive</w:t>
            </w:r>
            <w:r w:rsidRPr="00DD15BC">
              <w:rPr>
                <w:rFonts w:eastAsia="Times New Roman" w:cs="Times New Roman"/>
                <w:color w:val="000000" w:themeColor="text1"/>
              </w:rPr>
              <w:br/>
              <w:t>West Conshohocken, PA 19428-2959</w:t>
            </w:r>
          </w:p>
        </w:tc>
        <w:tc>
          <w:tcPr>
            <w:tcW w:w="1141" w:type="pct"/>
            <w:tcBorders>
              <w:top w:val="single" w:sz="4" w:space="0" w:color="auto"/>
              <w:left w:val="single" w:sz="4" w:space="0" w:color="auto"/>
              <w:bottom w:val="single" w:sz="4" w:space="0" w:color="auto"/>
              <w:right w:val="single" w:sz="4" w:space="0" w:color="auto"/>
            </w:tcBorders>
          </w:tcPr>
          <w:p w14:paraId="7C3771EA" w14:textId="77777777" w:rsidR="00140B7C" w:rsidRPr="00DD15BC" w:rsidRDefault="00140B7C" w:rsidP="00BC1087">
            <w:pPr>
              <w:spacing w:before="30" w:after="30" w:line="240" w:lineRule="auto"/>
              <w:rPr>
                <w:rFonts w:eastAsia="Calibri" w:cs="Times New Roman"/>
              </w:rPr>
            </w:pPr>
          </w:p>
        </w:tc>
      </w:tr>
      <w:tr w:rsidR="00140B7C" w:rsidRPr="00EC4EC4" w14:paraId="30861ACE" w14:textId="77777777" w:rsidTr="00BC1087">
        <w:trPr>
          <w:cantSplit/>
          <w:trHeight w:val="863"/>
          <w:tblHeader/>
        </w:trPr>
        <w:tc>
          <w:tcPr>
            <w:tcW w:w="1181" w:type="pct"/>
            <w:tcBorders>
              <w:top w:val="single" w:sz="4" w:space="0" w:color="auto"/>
              <w:left w:val="single" w:sz="4" w:space="0" w:color="auto"/>
              <w:bottom w:val="single" w:sz="4" w:space="0" w:color="auto"/>
              <w:right w:val="single" w:sz="4" w:space="0" w:color="auto"/>
            </w:tcBorders>
            <w:hideMark/>
          </w:tcPr>
          <w:p w14:paraId="63C666C6" w14:textId="77777777" w:rsidR="00140B7C" w:rsidRPr="00DD15BC" w:rsidRDefault="00140B7C" w:rsidP="00BC1087">
            <w:pPr>
              <w:spacing w:before="30" w:after="30" w:line="240" w:lineRule="auto"/>
              <w:rPr>
                <w:rFonts w:eastAsia="Calibri" w:cs="Times New Roman"/>
              </w:rPr>
            </w:pPr>
            <w:r w:rsidRPr="00DD15BC">
              <w:rPr>
                <w:rFonts w:eastAsia="Calibri" w:cs="Times New Roman"/>
              </w:rPr>
              <w:t>Standard</w:t>
            </w:r>
            <w:r w:rsidRPr="00DD15BC">
              <w:rPr>
                <w:rFonts w:eastAsia="Calibri" w:cs="Times New Roman"/>
              </w:rPr>
              <w:br/>
              <w:t>reference</w:t>
            </w:r>
            <w:r w:rsidRPr="00DD15BC">
              <w:rPr>
                <w:rFonts w:eastAsia="Calibri" w:cs="Times New Roman"/>
              </w:rPr>
              <w:br/>
              <w:t>number</w:t>
            </w:r>
          </w:p>
        </w:tc>
        <w:tc>
          <w:tcPr>
            <w:tcW w:w="2678" w:type="pct"/>
            <w:tcBorders>
              <w:top w:val="single" w:sz="4" w:space="0" w:color="auto"/>
              <w:left w:val="single" w:sz="4" w:space="0" w:color="auto"/>
              <w:bottom w:val="single" w:sz="4" w:space="0" w:color="auto"/>
              <w:right w:val="single" w:sz="4" w:space="0" w:color="auto"/>
            </w:tcBorders>
            <w:vAlign w:val="bottom"/>
            <w:hideMark/>
          </w:tcPr>
          <w:p w14:paraId="4D6199C3" w14:textId="77777777" w:rsidR="00140B7C" w:rsidRPr="00DD15BC" w:rsidRDefault="00140B7C" w:rsidP="00BC1087">
            <w:pPr>
              <w:spacing w:before="30" w:after="30" w:line="240" w:lineRule="auto"/>
              <w:rPr>
                <w:rFonts w:eastAsia="Calibri" w:cs="Times New Roman"/>
              </w:rPr>
            </w:pPr>
            <w:r w:rsidRPr="00DD15BC">
              <w:rPr>
                <w:rFonts w:eastAsia="Calibri" w:cs="Times New Roman"/>
              </w:rPr>
              <w:t>Title</w:t>
            </w:r>
          </w:p>
        </w:tc>
        <w:tc>
          <w:tcPr>
            <w:tcW w:w="1141" w:type="pct"/>
            <w:tcBorders>
              <w:top w:val="single" w:sz="4" w:space="0" w:color="auto"/>
              <w:left w:val="single" w:sz="4" w:space="0" w:color="auto"/>
              <w:bottom w:val="single" w:sz="4" w:space="0" w:color="auto"/>
              <w:right w:val="single" w:sz="4" w:space="0" w:color="auto"/>
            </w:tcBorders>
            <w:hideMark/>
          </w:tcPr>
          <w:p w14:paraId="3454B3E5" w14:textId="77777777" w:rsidR="00140B7C" w:rsidRPr="00805CE3" w:rsidRDefault="00140B7C" w:rsidP="00BC1087">
            <w:pPr>
              <w:spacing w:before="30" w:after="30" w:line="240" w:lineRule="auto"/>
              <w:jc w:val="right"/>
              <w:rPr>
                <w:rFonts w:eastAsia="Calibri" w:cs="Times New Roman"/>
              </w:rPr>
            </w:pPr>
            <w:r w:rsidRPr="00DD15BC">
              <w:rPr>
                <w:rFonts w:eastAsia="Calibri" w:cs="Times New Roman"/>
              </w:rPr>
              <w:t>Referenced</w:t>
            </w:r>
            <w:r w:rsidRPr="00DD15BC">
              <w:rPr>
                <w:rFonts w:eastAsia="Calibri" w:cs="Times New Roman"/>
              </w:rPr>
              <w:br/>
              <w:t>in code</w:t>
            </w:r>
            <w:r w:rsidRPr="00DD15BC">
              <w:rPr>
                <w:rFonts w:eastAsia="Calibri" w:cs="Times New Roman"/>
              </w:rPr>
              <w:br/>
              <w:t>section number</w:t>
            </w:r>
          </w:p>
        </w:tc>
      </w:tr>
      <w:tr w:rsidR="00140B7C" w:rsidRPr="00EC4EC4" w14:paraId="3A3F92FE" w14:textId="77777777" w:rsidTr="00BC1087">
        <w:trPr>
          <w:cantSplit/>
          <w:trHeight w:val="440"/>
        </w:trPr>
        <w:tc>
          <w:tcPr>
            <w:tcW w:w="1181" w:type="pct"/>
            <w:tcBorders>
              <w:top w:val="single" w:sz="4" w:space="0" w:color="auto"/>
              <w:left w:val="single" w:sz="4" w:space="0" w:color="auto"/>
              <w:bottom w:val="single" w:sz="4" w:space="0" w:color="auto"/>
              <w:right w:val="single" w:sz="4" w:space="0" w:color="auto"/>
            </w:tcBorders>
            <w:hideMark/>
          </w:tcPr>
          <w:p w14:paraId="23BF16AC" w14:textId="77777777" w:rsidR="00140B7C" w:rsidRPr="00EC4EC4" w:rsidRDefault="00140B7C" w:rsidP="00BC1087">
            <w:pPr>
              <w:spacing w:before="30" w:after="30" w:line="240" w:lineRule="auto"/>
              <w:rPr>
                <w:rFonts w:eastAsia="Calibri" w:cs="Times New Roman"/>
                <w:color w:val="000000" w:themeColor="text1"/>
              </w:rPr>
            </w:pPr>
            <w:bookmarkStart w:id="221" w:name="_Hlk115943225"/>
            <w:r w:rsidRPr="00EC4EC4">
              <w:rPr>
                <w:rFonts w:eastAsia="Calibri" w:cs="Times New Roman"/>
                <w:color w:val="000000" w:themeColor="text1"/>
              </w:rPr>
              <w:t>E119—2012A</w:t>
            </w:r>
            <w:bookmarkEnd w:id="221"/>
          </w:p>
        </w:tc>
        <w:tc>
          <w:tcPr>
            <w:tcW w:w="2678" w:type="pct"/>
            <w:tcBorders>
              <w:top w:val="single" w:sz="4" w:space="0" w:color="auto"/>
              <w:left w:val="single" w:sz="4" w:space="0" w:color="auto"/>
              <w:bottom w:val="single" w:sz="4" w:space="0" w:color="auto"/>
              <w:right w:val="single" w:sz="4" w:space="0" w:color="auto"/>
            </w:tcBorders>
            <w:hideMark/>
          </w:tcPr>
          <w:p w14:paraId="74D5830C" w14:textId="77777777" w:rsidR="00140B7C" w:rsidRPr="00EC4EC4" w:rsidRDefault="00140B7C" w:rsidP="00BC1087">
            <w:pPr>
              <w:spacing w:before="30" w:after="30" w:line="240" w:lineRule="auto"/>
              <w:ind w:left="360" w:hanging="360"/>
              <w:rPr>
                <w:rFonts w:eastAsia="Calibri" w:cs="Times New Roman"/>
                <w:color w:val="000000" w:themeColor="text1"/>
              </w:rPr>
            </w:pPr>
            <w:r w:rsidRPr="00EC4EC4">
              <w:rPr>
                <w:rFonts w:eastAsia="Calibri" w:cs="Times New Roman"/>
                <w:color w:val="000000" w:themeColor="text1"/>
              </w:rPr>
              <w:t>Standard Test Methods for Fire Tests of Building Construction and Materials</w:t>
            </w:r>
          </w:p>
        </w:tc>
        <w:tc>
          <w:tcPr>
            <w:tcW w:w="1141" w:type="pct"/>
            <w:tcBorders>
              <w:top w:val="single" w:sz="4" w:space="0" w:color="auto"/>
              <w:left w:val="single" w:sz="4" w:space="0" w:color="auto"/>
              <w:bottom w:val="single" w:sz="4" w:space="0" w:color="auto"/>
              <w:right w:val="single" w:sz="4" w:space="0" w:color="auto"/>
            </w:tcBorders>
            <w:vAlign w:val="bottom"/>
            <w:hideMark/>
          </w:tcPr>
          <w:p w14:paraId="3E1156E6" w14:textId="77777777" w:rsidR="00140B7C" w:rsidRPr="00EC4EC4" w:rsidRDefault="00140B7C" w:rsidP="00BC1087">
            <w:pPr>
              <w:spacing w:before="30" w:after="30" w:line="240" w:lineRule="auto"/>
              <w:jc w:val="right"/>
              <w:rPr>
                <w:rFonts w:eastAsia="Calibri" w:cs="Times New Roman"/>
                <w:color w:val="000000" w:themeColor="text1"/>
              </w:rPr>
            </w:pPr>
            <w:r w:rsidRPr="00EC4EC4">
              <w:rPr>
                <w:rFonts w:eastAsia="Calibri" w:cs="Times New Roman"/>
                <w:color w:val="000000" w:themeColor="text1"/>
              </w:rPr>
              <w:t>703.2, 703.2.1, 703.2.3, 703.2.5, 703.3, 703.4, 703.6, 704.12, 705.7, 705.8.5, 707.6, 712.1.13.2, 714.3.1, [</w:t>
            </w:r>
            <w:r w:rsidRPr="00EC4EC4">
              <w:rPr>
                <w:rFonts w:eastAsia="Calibri" w:cs="Times New Roman"/>
                <w:strike/>
                <w:color w:val="000000" w:themeColor="text1"/>
              </w:rPr>
              <w:t>714.4</w:t>
            </w:r>
            <w:r w:rsidRPr="00EC4EC4">
              <w:rPr>
                <w:rFonts w:eastAsia="Calibri" w:cs="Times New Roman"/>
                <w:color w:val="000000" w:themeColor="text1"/>
              </w:rPr>
              <w:t>]</w:t>
            </w:r>
            <w:r w:rsidRPr="00EC4EC4">
              <w:rPr>
                <w:rFonts w:eastAsia="Calibri" w:cs="Times New Roman"/>
                <w:color w:val="000000" w:themeColor="text1"/>
                <w:u w:val="single"/>
              </w:rPr>
              <w:t>714.4.1</w:t>
            </w:r>
            <w:r w:rsidRPr="00EC4EC4">
              <w:rPr>
                <w:rFonts w:eastAsia="Calibri" w:cs="Times New Roman"/>
                <w:color w:val="000000" w:themeColor="text1"/>
              </w:rPr>
              <w:t>, 715.1, 715.4, 716.2, Table 716.3, Table 716.5, 716.5.6, 716.5.8.1.1, Table 716.6, [</w:t>
            </w:r>
            <w:r w:rsidRPr="00EC4EC4">
              <w:rPr>
                <w:rFonts w:eastAsia="Calibri" w:cs="Times New Roman"/>
                <w:strike/>
                <w:color w:val="000000" w:themeColor="text1"/>
              </w:rPr>
              <w:t>716.6.7</w:t>
            </w:r>
            <w:r w:rsidRPr="00EC4EC4">
              <w:rPr>
                <w:rFonts w:eastAsia="Calibri" w:cs="Times New Roman"/>
                <w:color w:val="000000" w:themeColor="text1"/>
              </w:rPr>
              <w:t>]</w:t>
            </w:r>
            <w:r w:rsidRPr="00EC4EC4">
              <w:rPr>
                <w:rFonts w:eastAsia="Calibri" w:cs="Times New Roman"/>
                <w:color w:val="000000" w:themeColor="text1"/>
                <w:u w:val="single"/>
              </w:rPr>
              <w:t>716.6.7.1</w:t>
            </w:r>
            <w:r w:rsidRPr="00EC4EC4">
              <w:rPr>
                <w:rFonts w:eastAsia="Calibri" w:cs="Times New Roman"/>
                <w:color w:val="000000" w:themeColor="text1"/>
              </w:rPr>
              <w:t>, 717.3.1, 717.5.2, 717.5.3, 717.6.1, [</w:t>
            </w:r>
            <w:r w:rsidRPr="00EC4EC4">
              <w:rPr>
                <w:rFonts w:eastAsia="Calibri" w:cs="Times New Roman"/>
                <w:strike/>
                <w:color w:val="000000" w:themeColor="text1"/>
              </w:rPr>
              <w:t>716.6.2, 716.6.2.1</w:t>
            </w:r>
            <w:r w:rsidRPr="00EC4EC4">
              <w:rPr>
                <w:rFonts w:eastAsia="Calibri" w:cs="Times New Roman"/>
                <w:color w:val="000000" w:themeColor="text1"/>
              </w:rPr>
              <w:t>]</w:t>
            </w:r>
            <w:r w:rsidRPr="00EC4EC4">
              <w:rPr>
                <w:rFonts w:eastAsia="Calibri" w:cs="Times New Roman"/>
                <w:color w:val="000000" w:themeColor="text1"/>
                <w:u w:val="single"/>
              </w:rPr>
              <w:t>717.6.2.1</w:t>
            </w:r>
            <w:r w:rsidRPr="00EC4EC4">
              <w:rPr>
                <w:rFonts w:eastAsia="Calibri" w:cs="Times New Roman"/>
                <w:color w:val="000000" w:themeColor="text1"/>
              </w:rPr>
              <w:t>, Table 721.1(1), 1407.10, 1409.10, 2103.1, 2603.4, 2603.5.1, 2603.5.2</w:t>
            </w:r>
          </w:p>
        </w:tc>
      </w:tr>
      <w:bookmarkEnd w:id="220"/>
    </w:tbl>
    <w:p w14:paraId="33F6E128" w14:textId="77777777" w:rsidR="00140B7C" w:rsidRPr="00EC4EC4" w:rsidRDefault="00140B7C" w:rsidP="00140B7C">
      <w:pPr>
        <w:spacing w:after="0" w:line="240" w:lineRule="auto"/>
        <w:rPr>
          <w:rFonts w:eastAsia="Times New Roman" w:cs="Times New Roman"/>
          <w:u w:val="single"/>
        </w:rPr>
      </w:pPr>
    </w:p>
    <w:p w14:paraId="21288EEE" w14:textId="57F33D25" w:rsidR="00140B7C" w:rsidRDefault="00140B7C" w:rsidP="00140B7C">
      <w:pPr>
        <w:pStyle w:val="DoubleSpaceParagaph"/>
        <w:spacing w:line="240" w:lineRule="auto"/>
        <w:ind w:firstLine="720"/>
      </w:pPr>
      <w:r w:rsidRPr="00EC4EC4">
        <w:rPr>
          <w:color w:val="000000"/>
          <w:szCs w:val="24"/>
        </w:rPr>
        <w:br w:type="page"/>
      </w:r>
      <w:r w:rsidRPr="00EC4EC4">
        <w:rPr>
          <w:color w:val="000000"/>
          <w:sz w:val="23"/>
          <w:szCs w:val="23"/>
        </w:rPr>
        <w:lastRenderedPageBreak/>
        <w:t>§</w:t>
      </w:r>
      <w:r>
        <w:rPr>
          <w:color w:val="000000"/>
          <w:sz w:val="23"/>
          <w:szCs w:val="23"/>
        </w:rPr>
        <w:t>28</w:t>
      </w:r>
      <w:r w:rsidR="00712795">
        <w:rPr>
          <w:color w:val="000000"/>
          <w:sz w:val="23"/>
          <w:szCs w:val="23"/>
        </w:rPr>
        <w:t>9</w:t>
      </w:r>
      <w:r w:rsidRPr="00EC4EC4">
        <w:rPr>
          <w:color w:val="000000"/>
          <w:sz w:val="23"/>
          <w:szCs w:val="23"/>
        </w:rPr>
        <w:t xml:space="preserve">. </w:t>
      </w:r>
      <w:r>
        <w:rPr>
          <w:color w:val="000000"/>
          <w:sz w:val="23"/>
          <w:szCs w:val="23"/>
        </w:rPr>
        <w:t xml:space="preserve">Reference standard </w:t>
      </w:r>
      <w:r>
        <w:rPr>
          <w:rFonts w:eastAsia="Calibri"/>
          <w:color w:val="000000" w:themeColor="text1"/>
        </w:rPr>
        <w:t>25-16</w:t>
      </w:r>
      <w:r>
        <w:rPr>
          <w:color w:val="000000"/>
          <w:sz w:val="23"/>
          <w:szCs w:val="23"/>
        </w:rPr>
        <w:t xml:space="preserve"> on the list of NFPA referenced standards in section 3502 </w:t>
      </w:r>
      <w:r w:rsidRPr="00EC4EC4">
        <w:t>of the New York city building code, as amended by local law number 126 for the year 2021, is amended to read as follows:</w:t>
      </w:r>
    </w:p>
    <w:p w14:paraId="2BFFFA4F" w14:textId="77777777" w:rsidR="00140B7C" w:rsidRDefault="00140B7C" w:rsidP="00140B7C">
      <w:pPr>
        <w:pStyle w:val="DoubleSpaceParagaph"/>
        <w:spacing w:line="240" w:lineRule="auto"/>
        <w:ind w:firstLine="720"/>
      </w:pPr>
    </w:p>
    <w:tbl>
      <w:tblPr>
        <w:tblW w:w="51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6728"/>
        <w:gridCol w:w="2286"/>
      </w:tblGrid>
      <w:tr w:rsidR="00140B7C" w:rsidRPr="00BE740A" w14:paraId="30D78800" w14:textId="77777777" w:rsidTr="00BC1087">
        <w:trPr>
          <w:cantSplit/>
          <w:trHeight w:val="359"/>
        </w:trPr>
        <w:tc>
          <w:tcPr>
            <w:tcW w:w="974" w:type="pct"/>
            <w:tcBorders>
              <w:top w:val="single" w:sz="4" w:space="0" w:color="auto"/>
              <w:left w:val="single" w:sz="4" w:space="0" w:color="auto"/>
              <w:bottom w:val="single" w:sz="4" w:space="0" w:color="auto"/>
              <w:right w:val="single" w:sz="4" w:space="0" w:color="auto"/>
            </w:tcBorders>
            <w:hideMark/>
          </w:tcPr>
          <w:p w14:paraId="163264DF" w14:textId="77777777" w:rsidR="00140B7C" w:rsidRPr="0012603F" w:rsidRDefault="00140B7C" w:rsidP="00BC1087">
            <w:pPr>
              <w:spacing w:before="30" w:after="30" w:line="240" w:lineRule="auto"/>
              <w:rPr>
                <w:rFonts w:eastAsia="Calibri" w:cs="Times New Roman"/>
              </w:rPr>
            </w:pPr>
            <w:r w:rsidRPr="0012603F">
              <w:rPr>
                <w:rFonts w:eastAsia="Calibri" w:cs="Times New Roman"/>
              </w:rPr>
              <w:t>25—</w:t>
            </w:r>
            <w:r>
              <w:rPr>
                <w:rFonts w:eastAsia="Calibri" w:cs="Times New Roman"/>
              </w:rPr>
              <w:t>[</w:t>
            </w:r>
            <w:r w:rsidRPr="0012603F">
              <w:rPr>
                <w:rFonts w:eastAsia="Calibri" w:cs="Times New Roman"/>
                <w:strike/>
              </w:rPr>
              <w:t>16</w:t>
            </w:r>
            <w:r>
              <w:rPr>
                <w:rFonts w:eastAsia="Calibri" w:cs="Times New Roman"/>
              </w:rPr>
              <w:t>]</w:t>
            </w:r>
            <w:r w:rsidRPr="0012603F">
              <w:rPr>
                <w:rFonts w:eastAsia="Calibri" w:cs="Times New Roman"/>
                <w:u w:val="single"/>
              </w:rPr>
              <w:t>14</w:t>
            </w:r>
          </w:p>
        </w:tc>
        <w:tc>
          <w:tcPr>
            <w:tcW w:w="3005" w:type="pct"/>
            <w:tcBorders>
              <w:top w:val="single" w:sz="4" w:space="0" w:color="auto"/>
              <w:left w:val="single" w:sz="4" w:space="0" w:color="auto"/>
              <w:bottom w:val="single" w:sz="4" w:space="0" w:color="auto"/>
              <w:right w:val="single" w:sz="4" w:space="0" w:color="auto"/>
            </w:tcBorders>
            <w:hideMark/>
          </w:tcPr>
          <w:p w14:paraId="26546D05" w14:textId="77777777" w:rsidR="00140B7C" w:rsidRPr="0012603F" w:rsidRDefault="00140B7C" w:rsidP="00BC1087">
            <w:pPr>
              <w:spacing w:before="30" w:after="30" w:line="240" w:lineRule="auto"/>
              <w:ind w:left="360" w:hanging="360"/>
              <w:rPr>
                <w:rFonts w:eastAsia="Calibri" w:cs="Times New Roman"/>
              </w:rPr>
            </w:pPr>
            <w:r w:rsidRPr="0012603F">
              <w:rPr>
                <w:rFonts w:eastAsia="Calibri" w:cs="Times New Roman"/>
              </w:rPr>
              <w:t>Standard for the Inspection, Testing, and Maintenance of Water-based Fire Protection Systems</w:t>
            </w:r>
          </w:p>
        </w:tc>
        <w:tc>
          <w:tcPr>
            <w:tcW w:w="1021" w:type="pct"/>
            <w:tcBorders>
              <w:top w:val="single" w:sz="4" w:space="0" w:color="auto"/>
              <w:left w:val="single" w:sz="4" w:space="0" w:color="auto"/>
              <w:bottom w:val="single" w:sz="4" w:space="0" w:color="auto"/>
              <w:right w:val="single" w:sz="4" w:space="0" w:color="auto"/>
            </w:tcBorders>
            <w:vAlign w:val="bottom"/>
            <w:hideMark/>
          </w:tcPr>
          <w:p w14:paraId="0FE72087" w14:textId="77777777" w:rsidR="00140B7C" w:rsidRPr="0012603F" w:rsidRDefault="00140B7C" w:rsidP="00BC1087">
            <w:pPr>
              <w:spacing w:before="30" w:after="30" w:line="240" w:lineRule="auto"/>
              <w:jc w:val="right"/>
              <w:rPr>
                <w:rFonts w:eastAsia="Calibri" w:cs="Times New Roman"/>
              </w:rPr>
            </w:pPr>
            <w:r w:rsidRPr="0012603F">
              <w:rPr>
                <w:rFonts w:eastAsia="Calibri" w:cs="Times New Roman"/>
              </w:rPr>
              <w:t>Q102.1</w:t>
            </w:r>
          </w:p>
        </w:tc>
      </w:tr>
    </w:tbl>
    <w:p w14:paraId="5789413D" w14:textId="77777777" w:rsidR="00140B7C" w:rsidRPr="00EC4EC4" w:rsidRDefault="00140B7C" w:rsidP="00140B7C">
      <w:pPr>
        <w:rPr>
          <w:rFonts w:eastAsia="Times New Roman" w:cs="Times New Roman"/>
          <w:color w:val="000000"/>
          <w:szCs w:val="24"/>
        </w:rPr>
      </w:pPr>
    </w:p>
    <w:p w14:paraId="4798A7D0" w14:textId="25F82ECA"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712795">
        <w:rPr>
          <w:color w:val="000000"/>
          <w:sz w:val="23"/>
          <w:szCs w:val="23"/>
        </w:rPr>
        <w:t>90</w:t>
      </w:r>
      <w:r w:rsidRPr="00EC4EC4">
        <w:rPr>
          <w:color w:val="000000"/>
          <w:sz w:val="23"/>
          <w:szCs w:val="23"/>
        </w:rPr>
        <w:t>. Appendix G106.4</w:t>
      </w:r>
      <w:r w:rsidRPr="00EC4EC4">
        <w:t xml:space="preserve"> of the New York city building code, as amended by local law number 126 for the year 2021, is amended to read as follows:</w:t>
      </w:r>
    </w:p>
    <w:p w14:paraId="466AAA8F" w14:textId="77777777" w:rsidR="00140B7C" w:rsidRPr="00EC4EC4" w:rsidRDefault="00140B7C" w:rsidP="00140B7C">
      <w:pPr>
        <w:suppressAutoHyphens/>
        <w:spacing w:after="0" w:line="240" w:lineRule="auto"/>
        <w:jc w:val="both"/>
        <w:rPr>
          <w:rFonts w:eastAsia="Times New Roman" w:cs="Times New Roman"/>
          <w:b/>
          <w:color w:val="000000"/>
          <w:szCs w:val="24"/>
          <w:lang w:eastAsia="ar-SA"/>
        </w:rPr>
      </w:pPr>
    </w:p>
    <w:p w14:paraId="051DFB2E" w14:textId="77777777" w:rsidR="00140B7C" w:rsidRPr="00EC4EC4" w:rsidRDefault="00140B7C" w:rsidP="00140B7C">
      <w:pPr>
        <w:suppressAutoHyphens/>
        <w:spacing w:after="0" w:line="240" w:lineRule="auto"/>
        <w:jc w:val="both"/>
        <w:rPr>
          <w:rFonts w:eastAsia="Times New Roman" w:cs="Times New Roman"/>
          <w:color w:val="000000"/>
          <w:spacing w:val="1"/>
          <w:szCs w:val="24"/>
          <w:lang w:eastAsia="ar-SA"/>
        </w:rPr>
      </w:pPr>
      <w:r w:rsidRPr="00EC4EC4">
        <w:rPr>
          <w:rFonts w:eastAsia="Times New Roman" w:cs="Times New Roman"/>
          <w:b/>
          <w:color w:val="000000"/>
          <w:szCs w:val="24"/>
          <w:lang w:eastAsia="ar-SA"/>
        </w:rPr>
        <w:t>G106.4 Dry floodproofed spaces.</w:t>
      </w:r>
      <w:r w:rsidRPr="00EC4EC4">
        <w:rPr>
          <w:rFonts w:eastAsia="Times New Roman" w:cs="Times New Roman"/>
          <w:b/>
          <w:bCs/>
          <w:color w:val="000000"/>
          <w:spacing w:val="-2"/>
          <w:w w:val="110"/>
          <w:szCs w:val="24"/>
          <w:lang w:eastAsia="ar-SA"/>
        </w:rPr>
        <w:t xml:space="preserve"> </w:t>
      </w:r>
      <w:r w:rsidRPr="00EC4EC4">
        <w:rPr>
          <w:rFonts w:eastAsia="Times New Roman" w:cs="Times New Roman"/>
          <w:color w:val="000000"/>
          <w:spacing w:val="1"/>
          <w:szCs w:val="24"/>
          <w:lang w:eastAsia="ar-SA"/>
        </w:rPr>
        <w:t>The certificate of occupancy shall describe any dry floodproofed spaces as "dry floodproofed." Where flood shields or other flood control devices are installed, the certificate of occupancy shall also provide notations describing these features.</w:t>
      </w:r>
      <w:r w:rsidRPr="00EC4EC4">
        <w:rPr>
          <w:rFonts w:eastAsia="Times New Roman" w:cs="Times New Roman"/>
          <w:color w:val="000000"/>
          <w:spacing w:val="1"/>
          <w:szCs w:val="24"/>
          <w:shd w:val="clear" w:color="auto" w:fill="00FFFF"/>
          <w:lang w:eastAsia="ar-SA"/>
        </w:rPr>
        <w:t xml:space="preserve"> </w:t>
      </w:r>
      <w:r w:rsidRPr="00EC4EC4">
        <w:rPr>
          <w:rFonts w:eastAsia="Times New Roman" w:cs="Times New Roman"/>
          <w:color w:val="000000"/>
          <w:spacing w:val="1"/>
          <w:szCs w:val="24"/>
          <w:lang w:eastAsia="ar-SA"/>
        </w:rPr>
        <w:t>For evacuated buildings or evacuated portions of buildings utilizing the temporary stair or ramp provisions of Section G308.10.1, the certificate of occupancy shall note</w:t>
      </w:r>
      <w:r w:rsidRPr="00EC4EC4">
        <w:rPr>
          <w:rFonts w:eastAsia="Times New Roman" w:cs="Times New Roman"/>
          <w:color w:val="000000"/>
          <w:spacing w:val="1"/>
          <w:szCs w:val="24"/>
          <w:u w:val="single"/>
          <w:lang w:eastAsia="ar-SA"/>
        </w:rPr>
        <w:t>:</w:t>
      </w:r>
      <w:r w:rsidRPr="00EC4EC4">
        <w:rPr>
          <w:rFonts w:eastAsia="Times New Roman" w:cs="Times New Roman"/>
          <w:color w:val="000000"/>
          <w:spacing w:val="1"/>
          <w:szCs w:val="24"/>
          <w:lang w:eastAsia="ar-SA"/>
        </w:rPr>
        <w:t xml:space="preserve"> "In portions of this building planned to be evacuated during flood conditions, occupancy shall be prohibited except for maintenance or emergency personnel."</w:t>
      </w:r>
    </w:p>
    <w:p w14:paraId="6A39D545" w14:textId="77777777" w:rsidR="00140B7C" w:rsidRPr="00EC4EC4" w:rsidRDefault="00140B7C" w:rsidP="00140B7C">
      <w:pPr>
        <w:suppressAutoHyphens/>
        <w:spacing w:after="240" w:line="240" w:lineRule="auto"/>
        <w:ind w:left="360"/>
        <w:jc w:val="both"/>
        <w:rPr>
          <w:rFonts w:eastAsia="Times New Roman" w:cs="Times New Roman"/>
          <w:b/>
          <w:color w:val="000000"/>
          <w:spacing w:val="1"/>
          <w:szCs w:val="24"/>
          <w:u w:val="single"/>
          <w:lang w:eastAsia="ar-SA"/>
        </w:rPr>
      </w:pPr>
    </w:p>
    <w:p w14:paraId="47B7B5CC" w14:textId="6457677D"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592DC4">
        <w:rPr>
          <w:color w:val="000000"/>
          <w:sz w:val="23"/>
          <w:szCs w:val="23"/>
        </w:rPr>
        <w:t>91</w:t>
      </w:r>
      <w:r w:rsidRPr="00EC4EC4">
        <w:rPr>
          <w:color w:val="000000"/>
          <w:sz w:val="23"/>
          <w:szCs w:val="23"/>
        </w:rPr>
        <w:t>. Appendix G304.3</w:t>
      </w:r>
      <w:r w:rsidRPr="00EC4EC4">
        <w:t xml:space="preserve"> of the New York city building code, as amended by local law number 126 for the year 2021, is amended to read as follows:</w:t>
      </w:r>
    </w:p>
    <w:p w14:paraId="6DC62501" w14:textId="77777777" w:rsidR="00140B7C" w:rsidRPr="00EC4EC4" w:rsidRDefault="00140B7C" w:rsidP="00140B7C">
      <w:pPr>
        <w:suppressAutoHyphens/>
        <w:spacing w:after="0" w:line="240" w:lineRule="auto"/>
        <w:jc w:val="both"/>
        <w:rPr>
          <w:rFonts w:eastAsia="Times New Roman" w:cs="Times New Roman"/>
          <w:b/>
          <w:color w:val="000000"/>
          <w:spacing w:val="2"/>
          <w:szCs w:val="24"/>
          <w:lang w:eastAsia="ar-SA"/>
        </w:rPr>
      </w:pPr>
    </w:p>
    <w:p w14:paraId="658685A8" w14:textId="77777777" w:rsidR="00140B7C" w:rsidRPr="00EC4EC4" w:rsidRDefault="00140B7C" w:rsidP="00140B7C">
      <w:pPr>
        <w:suppressAutoHyphens/>
        <w:spacing w:after="0" w:line="240" w:lineRule="auto"/>
        <w:jc w:val="both"/>
        <w:rPr>
          <w:rFonts w:eastAsia="Times New Roman" w:cs="Times New Roman"/>
          <w:color w:val="000000"/>
          <w:spacing w:val="2"/>
          <w:szCs w:val="24"/>
          <w:lang w:eastAsia="ar-SA"/>
        </w:rPr>
      </w:pPr>
      <w:r w:rsidRPr="00EC4EC4">
        <w:rPr>
          <w:rFonts w:eastAsia="Times New Roman" w:cs="Times New Roman"/>
          <w:b/>
          <w:color w:val="000000"/>
          <w:spacing w:val="2"/>
          <w:szCs w:val="24"/>
          <w:lang w:eastAsia="ar-SA"/>
        </w:rPr>
        <w:t>G304.3 Coastal A-Zone construction standards.</w:t>
      </w:r>
      <w:r w:rsidRPr="00EC4EC4">
        <w:rPr>
          <w:rFonts w:eastAsia="Times New Roman" w:cs="Times New Roman"/>
          <w:color w:val="000000"/>
          <w:spacing w:val="2"/>
          <w:szCs w:val="24"/>
          <w:lang w:eastAsia="ar-SA"/>
        </w:rPr>
        <w:t xml:space="preserve"> In addition to the requirements of ASCE 24, all post-FIRM new buildings</w:t>
      </w:r>
      <w:r w:rsidRPr="00EC4EC4">
        <w:rPr>
          <w:rFonts w:eastAsia="Times New Roman" w:cs="Times New Roman"/>
          <w:color w:val="000000"/>
          <w:spacing w:val="1"/>
          <w:szCs w:val="24"/>
          <w:lang w:eastAsia="ar-SA"/>
        </w:rPr>
        <w:t>, horizontal enlargements</w:t>
      </w:r>
      <w:r w:rsidRPr="00EC4EC4">
        <w:rPr>
          <w:rFonts w:eastAsia="Times New Roman" w:cs="Times New Roman"/>
          <w:color w:val="000000"/>
          <w:spacing w:val="2"/>
          <w:szCs w:val="24"/>
          <w:lang w:eastAsia="ar-SA"/>
        </w:rPr>
        <w:t xml:space="preserve"> and substantial improvements in a Coastal A-Zone shall comply with the coastal high-hazard area construction standards of Section G304.2.</w:t>
      </w:r>
    </w:p>
    <w:p w14:paraId="74C26641" w14:textId="77777777" w:rsidR="00140B7C" w:rsidRPr="00EC4EC4" w:rsidRDefault="00140B7C" w:rsidP="00140B7C">
      <w:pPr>
        <w:suppressAutoHyphens/>
        <w:spacing w:after="0" w:line="240" w:lineRule="auto"/>
        <w:jc w:val="both"/>
        <w:rPr>
          <w:rFonts w:eastAsia="Times New Roman" w:cs="Times New Roman"/>
          <w:b/>
          <w:color w:val="000000"/>
          <w:spacing w:val="2"/>
          <w:szCs w:val="24"/>
          <w:lang w:eastAsia="ar-SA"/>
        </w:rPr>
      </w:pPr>
    </w:p>
    <w:p w14:paraId="60D9BEDA" w14:textId="77777777" w:rsidR="00140B7C" w:rsidRPr="00EC4EC4" w:rsidRDefault="00140B7C" w:rsidP="00140B7C">
      <w:pPr>
        <w:suppressAutoHyphens/>
        <w:spacing w:after="240" w:line="240" w:lineRule="auto"/>
        <w:ind w:left="360"/>
        <w:jc w:val="both"/>
        <w:rPr>
          <w:rFonts w:eastAsia="Times New Roman" w:cs="Times New Roman"/>
          <w:color w:val="000000"/>
          <w:spacing w:val="2"/>
          <w:szCs w:val="24"/>
          <w:shd w:val="clear" w:color="auto" w:fill="00FF00"/>
          <w:lang w:eastAsia="ar-SA"/>
        </w:rPr>
      </w:pPr>
      <w:r w:rsidRPr="00EC4EC4">
        <w:rPr>
          <w:rFonts w:eastAsia="Times New Roman" w:cs="Times New Roman"/>
          <w:b/>
          <w:color w:val="000000"/>
          <w:spacing w:val="2"/>
          <w:szCs w:val="24"/>
          <w:lang w:eastAsia="ar-SA"/>
        </w:rPr>
        <w:t>Exceptions:</w:t>
      </w:r>
      <w:r w:rsidRPr="00EC4EC4">
        <w:rPr>
          <w:rFonts w:eastAsia="Times New Roman" w:cs="Times New Roman"/>
          <w:color w:val="000000"/>
          <w:spacing w:val="2"/>
          <w:szCs w:val="24"/>
          <w:lang w:eastAsia="ar-SA"/>
        </w:rPr>
        <w:t xml:space="preserve"> The following structural systems shall be permitted in a Coastal A-Zone:</w:t>
      </w:r>
    </w:p>
    <w:p w14:paraId="1C7B9920" w14:textId="77777777" w:rsidR="00140B7C" w:rsidRPr="00EC4EC4" w:rsidRDefault="00140B7C" w:rsidP="00140B7C">
      <w:pPr>
        <w:suppressAutoHyphens/>
        <w:spacing w:after="240" w:line="240" w:lineRule="auto"/>
        <w:ind w:left="1080" w:hanging="360"/>
        <w:jc w:val="both"/>
        <w:rPr>
          <w:rFonts w:eastAsia="Times New Roman" w:cs="Times New Roman"/>
          <w:color w:val="000000"/>
          <w:spacing w:val="2"/>
          <w:szCs w:val="24"/>
          <w:shd w:val="clear" w:color="auto" w:fill="00FF00"/>
          <w:lang w:eastAsia="ar-SA"/>
        </w:rPr>
      </w:pPr>
      <w:r w:rsidRPr="00EC4EC4">
        <w:rPr>
          <w:rFonts w:eastAsia="Times New Roman" w:cs="Times New Roman"/>
          <w:b/>
          <w:color w:val="000000"/>
          <w:spacing w:val="2"/>
          <w:szCs w:val="24"/>
          <w:lang w:eastAsia="ar-SA"/>
        </w:rPr>
        <w:t>1.</w:t>
      </w:r>
      <w:r w:rsidRPr="00EC4EC4">
        <w:rPr>
          <w:rFonts w:eastAsia="Times New Roman" w:cs="Times New Roman"/>
          <w:b/>
          <w:color w:val="000000"/>
          <w:spacing w:val="2"/>
          <w:szCs w:val="24"/>
          <w:lang w:eastAsia="ar-SA"/>
        </w:rPr>
        <w:tab/>
        <w:t>Wave-resisting stem wall foundation.</w:t>
      </w:r>
      <w:r w:rsidRPr="00EC4EC4">
        <w:rPr>
          <w:rFonts w:eastAsia="Times New Roman" w:cs="Times New Roman"/>
          <w:color w:val="000000"/>
          <w:spacing w:val="2"/>
          <w:szCs w:val="24"/>
          <w:lang w:eastAsia="ar-SA"/>
        </w:rPr>
        <w:t xml:space="preserve"> Stem walls supporting a floor system above, and backfilled with soil or gravel to the underside of the floor system, shall be permitted in Coastal A-Zones. The design and construction of the shallow foundation system shall comply with the following:</w:t>
      </w:r>
    </w:p>
    <w:p w14:paraId="4CAE11A1" w14:textId="77777777" w:rsidR="00140B7C" w:rsidRPr="00EC4EC4" w:rsidRDefault="00140B7C" w:rsidP="00140B7C">
      <w:pPr>
        <w:suppressAutoHyphens/>
        <w:spacing w:after="240" w:line="240" w:lineRule="auto"/>
        <w:ind w:left="1620" w:hanging="540"/>
        <w:jc w:val="both"/>
        <w:rPr>
          <w:rFonts w:eastAsia="Times New Roman" w:cs="Times New Roman"/>
          <w:color w:val="000000"/>
          <w:spacing w:val="2"/>
          <w:szCs w:val="24"/>
          <w:shd w:val="clear" w:color="auto" w:fill="00FF00"/>
          <w:lang w:eastAsia="ar-SA"/>
        </w:rPr>
      </w:pPr>
      <w:r w:rsidRPr="00EC4EC4">
        <w:rPr>
          <w:rFonts w:eastAsia="Times New Roman" w:cs="Times New Roman"/>
          <w:color w:val="000000"/>
          <w:spacing w:val="2"/>
          <w:szCs w:val="24"/>
          <w:lang w:eastAsia="ar-SA"/>
        </w:rPr>
        <w:t>1.1.</w:t>
      </w:r>
      <w:r w:rsidRPr="00EC4EC4">
        <w:rPr>
          <w:rFonts w:eastAsia="Times New Roman" w:cs="Times New Roman"/>
          <w:color w:val="000000"/>
          <w:spacing w:val="2"/>
          <w:szCs w:val="24"/>
          <w:lang w:eastAsia="ar-SA"/>
        </w:rPr>
        <w:tab/>
        <w:t>The underside of such floor system shall be located at or above the design flood elevation specified in ASCE 24, Table 4-1.</w:t>
      </w:r>
    </w:p>
    <w:p w14:paraId="4CE71F62" w14:textId="77777777" w:rsidR="00140B7C" w:rsidRPr="00EC4EC4" w:rsidRDefault="00140B7C" w:rsidP="00140B7C">
      <w:pPr>
        <w:suppressAutoHyphens/>
        <w:spacing w:after="240" w:line="240" w:lineRule="auto"/>
        <w:ind w:left="1620" w:hanging="540"/>
        <w:jc w:val="both"/>
        <w:rPr>
          <w:rFonts w:eastAsia="Times New Roman" w:cs="Times New Roman"/>
          <w:color w:val="000000"/>
          <w:spacing w:val="2"/>
          <w:szCs w:val="24"/>
          <w:shd w:val="clear" w:color="auto" w:fill="00FF00"/>
          <w:lang w:eastAsia="ar-SA"/>
        </w:rPr>
      </w:pPr>
      <w:r w:rsidRPr="00EC4EC4">
        <w:rPr>
          <w:rFonts w:eastAsia="Times New Roman" w:cs="Times New Roman"/>
          <w:color w:val="000000"/>
          <w:spacing w:val="2"/>
          <w:szCs w:val="24"/>
          <w:lang w:eastAsia="ar-SA"/>
        </w:rPr>
        <w:t>1.2.</w:t>
      </w:r>
      <w:r w:rsidRPr="00EC4EC4">
        <w:rPr>
          <w:rFonts w:eastAsia="Times New Roman" w:cs="Times New Roman"/>
          <w:color w:val="000000"/>
          <w:spacing w:val="2"/>
          <w:szCs w:val="24"/>
          <w:lang w:eastAsia="ar-SA"/>
        </w:rPr>
        <w:tab/>
        <w:t>Stem walls enclosing areas below the design flood elevation shall not be permitted. Stem walls shall be designed to transfer all vertical and lateral forces to the slab above and to the foundation elements below;</w:t>
      </w:r>
    </w:p>
    <w:p w14:paraId="59ABE0E5" w14:textId="77777777" w:rsidR="00140B7C" w:rsidRPr="00EC4EC4" w:rsidRDefault="00140B7C" w:rsidP="00140B7C">
      <w:pPr>
        <w:suppressAutoHyphens/>
        <w:spacing w:after="240" w:line="240" w:lineRule="auto"/>
        <w:ind w:left="1620" w:hanging="540"/>
        <w:jc w:val="both"/>
        <w:rPr>
          <w:rFonts w:eastAsia="Times New Roman" w:cs="Times New Roman"/>
          <w:color w:val="000000"/>
          <w:spacing w:val="2"/>
          <w:szCs w:val="24"/>
          <w:shd w:val="clear" w:color="auto" w:fill="00FF00"/>
          <w:lang w:eastAsia="ar-SA"/>
        </w:rPr>
      </w:pPr>
      <w:r w:rsidRPr="00EC4EC4">
        <w:rPr>
          <w:rFonts w:eastAsia="Times New Roman" w:cs="Times New Roman"/>
          <w:color w:val="000000"/>
          <w:spacing w:val="2"/>
          <w:szCs w:val="24"/>
          <w:lang w:eastAsia="ar-SA"/>
        </w:rPr>
        <w:t>1.3.</w:t>
      </w:r>
      <w:r w:rsidRPr="00EC4EC4">
        <w:rPr>
          <w:rFonts w:eastAsia="Times New Roman" w:cs="Times New Roman"/>
          <w:color w:val="000000"/>
          <w:spacing w:val="2"/>
          <w:szCs w:val="24"/>
          <w:lang w:eastAsia="ar-SA"/>
        </w:rPr>
        <w:tab/>
        <w:t>The design shall consider all forces resulting from flooding, including wave action, debris impact, erosion, and local scour;</w:t>
      </w:r>
    </w:p>
    <w:p w14:paraId="31DF996B" w14:textId="77777777" w:rsidR="00140B7C" w:rsidRPr="00EC4EC4" w:rsidRDefault="00140B7C" w:rsidP="00140B7C">
      <w:pPr>
        <w:suppressAutoHyphens/>
        <w:spacing w:after="240" w:line="240" w:lineRule="auto"/>
        <w:ind w:left="1620" w:hanging="540"/>
        <w:jc w:val="both"/>
        <w:rPr>
          <w:rFonts w:eastAsia="Times New Roman" w:cs="Times New Roman"/>
          <w:color w:val="000000"/>
          <w:spacing w:val="2"/>
          <w:szCs w:val="24"/>
          <w:shd w:val="clear" w:color="auto" w:fill="00FF00"/>
          <w:lang w:eastAsia="ar-SA"/>
        </w:rPr>
      </w:pPr>
      <w:r w:rsidRPr="00EC4EC4">
        <w:rPr>
          <w:rFonts w:eastAsia="Times New Roman" w:cs="Times New Roman"/>
          <w:color w:val="000000"/>
          <w:spacing w:val="2"/>
          <w:szCs w:val="24"/>
          <w:lang w:eastAsia="ar-SA"/>
        </w:rPr>
        <w:t>1.4.</w:t>
      </w:r>
      <w:r w:rsidRPr="00EC4EC4">
        <w:rPr>
          <w:rFonts w:eastAsia="Times New Roman" w:cs="Times New Roman"/>
          <w:color w:val="000000"/>
          <w:spacing w:val="2"/>
          <w:szCs w:val="24"/>
          <w:lang w:eastAsia="ar-SA"/>
        </w:rPr>
        <w:tab/>
        <w:t>The design shall consider all forces resulting from soil pressure behind the walls, including the effect of hydrostatic loads, and all live and dead surcharge loads from the slab above;</w:t>
      </w:r>
    </w:p>
    <w:p w14:paraId="6A0D6ABF" w14:textId="77777777" w:rsidR="00140B7C" w:rsidRPr="00EC4EC4" w:rsidRDefault="00140B7C" w:rsidP="00140B7C">
      <w:pPr>
        <w:suppressAutoHyphens/>
        <w:spacing w:after="240" w:line="240" w:lineRule="auto"/>
        <w:ind w:left="1620" w:hanging="540"/>
        <w:jc w:val="both"/>
        <w:rPr>
          <w:rFonts w:eastAsia="Times New Roman" w:cs="Times New Roman"/>
          <w:color w:val="000000"/>
          <w:spacing w:val="2"/>
          <w:szCs w:val="24"/>
          <w:shd w:val="clear" w:color="auto" w:fill="00FF00"/>
          <w:lang w:eastAsia="ar-SA"/>
        </w:rPr>
      </w:pPr>
      <w:r w:rsidRPr="00EC4EC4">
        <w:rPr>
          <w:rFonts w:eastAsia="Times New Roman" w:cs="Times New Roman"/>
          <w:color w:val="000000"/>
          <w:spacing w:val="2"/>
          <w:szCs w:val="24"/>
          <w:lang w:eastAsia="ar-SA"/>
        </w:rPr>
        <w:t>1.5.</w:t>
      </w:r>
      <w:r w:rsidRPr="00EC4EC4">
        <w:rPr>
          <w:rFonts w:eastAsia="Times New Roman" w:cs="Times New Roman"/>
          <w:color w:val="000000"/>
          <w:spacing w:val="2"/>
          <w:szCs w:val="24"/>
          <w:lang w:eastAsia="ar-SA"/>
        </w:rPr>
        <w:tab/>
        <w:t>Flood openings shall not be required in stem walls constructed in accordance with this section;</w:t>
      </w:r>
    </w:p>
    <w:p w14:paraId="1FC5092A" w14:textId="77777777" w:rsidR="00140B7C" w:rsidRPr="00EC4EC4" w:rsidRDefault="00140B7C" w:rsidP="00140B7C">
      <w:pPr>
        <w:suppressAutoHyphens/>
        <w:spacing w:after="240" w:line="240" w:lineRule="auto"/>
        <w:ind w:left="1620" w:hanging="540"/>
        <w:jc w:val="both"/>
        <w:rPr>
          <w:rFonts w:eastAsia="Times New Roman" w:cs="Times New Roman"/>
          <w:color w:val="000000"/>
          <w:spacing w:val="2"/>
          <w:szCs w:val="24"/>
          <w:shd w:val="clear" w:color="auto" w:fill="00FF00"/>
          <w:lang w:eastAsia="ar-SA"/>
        </w:rPr>
      </w:pPr>
      <w:r w:rsidRPr="00EC4EC4">
        <w:rPr>
          <w:rFonts w:eastAsia="Times New Roman" w:cs="Times New Roman"/>
          <w:color w:val="000000"/>
          <w:spacing w:val="2"/>
          <w:szCs w:val="24"/>
          <w:lang w:eastAsia="ar-SA"/>
        </w:rPr>
        <w:t>1.6.</w:t>
      </w:r>
      <w:r w:rsidRPr="00EC4EC4">
        <w:rPr>
          <w:rFonts w:eastAsia="Times New Roman" w:cs="Times New Roman"/>
          <w:color w:val="000000"/>
          <w:spacing w:val="2"/>
          <w:szCs w:val="24"/>
          <w:lang w:eastAsia="ar-SA"/>
        </w:rPr>
        <w:tab/>
        <w:t>Where soils are susceptible to erosion and local scour, stem walls shall be supported by deep footings;</w:t>
      </w:r>
    </w:p>
    <w:p w14:paraId="64FD59B0" w14:textId="77777777" w:rsidR="00140B7C" w:rsidRPr="00EC4EC4" w:rsidRDefault="00140B7C" w:rsidP="00140B7C">
      <w:pPr>
        <w:suppressAutoHyphens/>
        <w:spacing w:after="240" w:line="240" w:lineRule="auto"/>
        <w:ind w:left="1620" w:hanging="540"/>
        <w:jc w:val="both"/>
        <w:rPr>
          <w:rFonts w:eastAsia="Times New Roman" w:cs="Times New Roman"/>
          <w:color w:val="000000"/>
          <w:spacing w:val="2"/>
          <w:szCs w:val="24"/>
          <w:shd w:val="clear" w:color="auto" w:fill="00FF00"/>
          <w:lang w:eastAsia="ar-SA"/>
        </w:rPr>
      </w:pPr>
      <w:r w:rsidRPr="00EC4EC4">
        <w:rPr>
          <w:rFonts w:eastAsia="Times New Roman" w:cs="Times New Roman"/>
          <w:color w:val="000000"/>
          <w:spacing w:val="2"/>
          <w:szCs w:val="24"/>
          <w:lang w:eastAsia="ar-SA"/>
        </w:rPr>
        <w:t>1.7.</w:t>
      </w:r>
      <w:r w:rsidRPr="00EC4EC4">
        <w:rPr>
          <w:rFonts w:eastAsia="Times New Roman" w:cs="Times New Roman"/>
          <w:color w:val="000000"/>
          <w:spacing w:val="2"/>
          <w:szCs w:val="24"/>
          <w:lang w:eastAsia="ar-SA"/>
        </w:rPr>
        <w:tab/>
        <w:t>Shallow foundations including spread footing, mat and raft foundations shall be designed to prevent sliding, uplift, or overturning when exposed to the combination of loads in ASCE 24, Section 1.6.2.</w:t>
      </w:r>
    </w:p>
    <w:p w14:paraId="66668F13" w14:textId="77777777" w:rsidR="00140B7C" w:rsidRPr="00EC4EC4" w:rsidRDefault="00140B7C" w:rsidP="00140B7C">
      <w:pPr>
        <w:suppressAutoHyphens/>
        <w:spacing w:after="240" w:line="240" w:lineRule="auto"/>
        <w:ind w:left="1080" w:hanging="360"/>
        <w:jc w:val="both"/>
        <w:rPr>
          <w:rFonts w:eastAsia="Times New Roman" w:cs="Times New Roman"/>
          <w:color w:val="000000"/>
          <w:spacing w:val="2"/>
          <w:szCs w:val="24"/>
          <w:lang w:eastAsia="ar-SA"/>
        </w:rPr>
      </w:pPr>
      <w:r w:rsidRPr="00EC4EC4">
        <w:rPr>
          <w:rFonts w:eastAsia="Times New Roman" w:cs="Times New Roman"/>
          <w:b/>
          <w:color w:val="000000"/>
          <w:spacing w:val="2"/>
          <w:szCs w:val="24"/>
          <w:lang w:eastAsia="ar-SA"/>
        </w:rPr>
        <w:t>2.</w:t>
      </w:r>
      <w:r w:rsidRPr="00EC4EC4">
        <w:rPr>
          <w:rFonts w:eastAsia="Times New Roman" w:cs="Times New Roman"/>
          <w:color w:val="000000"/>
          <w:spacing w:val="2"/>
          <w:szCs w:val="24"/>
          <w:lang w:eastAsia="ar-SA"/>
        </w:rPr>
        <w:tab/>
      </w:r>
      <w:r w:rsidRPr="00EC4EC4">
        <w:rPr>
          <w:rFonts w:eastAsia="Times New Roman" w:cs="Times New Roman"/>
          <w:b/>
          <w:color w:val="000000"/>
          <w:spacing w:val="2"/>
          <w:szCs w:val="24"/>
          <w:lang w:eastAsia="ar-SA"/>
        </w:rPr>
        <w:t>Wave-resisting dry floodproofing wall and foundation system.</w:t>
      </w:r>
      <w:r w:rsidRPr="00EC4EC4">
        <w:rPr>
          <w:rFonts w:eastAsia="Times New Roman" w:cs="Times New Roman"/>
          <w:color w:val="000000"/>
          <w:spacing w:val="2"/>
          <w:szCs w:val="24"/>
          <w:lang w:eastAsia="ar-SA"/>
        </w:rPr>
        <w:t xml:space="preserve"> Buildings that are nonresidential (for flood zone purposes) and that are located in Coastal A-Zones shall be permitted to be dry floodproofed in accordance with Section G304.1.2. </w:t>
      </w:r>
      <w:r w:rsidRPr="00EC4EC4">
        <w:rPr>
          <w:rFonts w:eastAsia="Times New Roman" w:cs="Times New Roman"/>
          <w:color w:val="000000"/>
          <w:spacing w:val="1"/>
          <w:szCs w:val="24"/>
          <w:lang w:eastAsia="ar-SA"/>
        </w:rPr>
        <w:t xml:space="preserve">Such structure shall be </w:t>
      </w:r>
      <w:r w:rsidRPr="00EC4EC4">
        <w:rPr>
          <w:rFonts w:eastAsia="Times New Roman" w:cs="Times New Roman"/>
          <w:color w:val="000000"/>
          <w:spacing w:val="2"/>
          <w:szCs w:val="24"/>
          <w:lang w:eastAsia="ar-SA"/>
        </w:rPr>
        <w:t>dry floodproofed to or above the design flood elevation specified in ASCE 24, Table 6-1.</w:t>
      </w:r>
      <w:r w:rsidRPr="00EC4EC4">
        <w:rPr>
          <w:rFonts w:eastAsia="Times New Roman" w:cs="Times New Roman"/>
          <w:color w:val="000000"/>
          <w:spacing w:val="1"/>
          <w:szCs w:val="24"/>
          <w:lang w:eastAsia="ar-SA"/>
        </w:rPr>
        <w:t xml:space="preserve"> Flood zone compliance plans</w:t>
      </w:r>
      <w:r w:rsidRPr="00EC4EC4">
        <w:rPr>
          <w:rFonts w:eastAsia="Times New Roman" w:cs="Times New Roman"/>
          <w:color w:val="000000"/>
          <w:spacing w:val="2"/>
          <w:szCs w:val="24"/>
          <w:lang w:eastAsia="ar-SA"/>
        </w:rPr>
        <w:t xml:space="preserve"> shall include calculations demonstrating that the foundation and building, including flood shields if provided, will resist the wave action, including the combination of loads in ASCE 24, Section 1.6, to [</w:t>
      </w:r>
      <w:r w:rsidRPr="00EC4EC4">
        <w:rPr>
          <w:rFonts w:eastAsia="Times New Roman" w:cs="Times New Roman"/>
          <w:strike/>
          <w:color w:val="000000"/>
          <w:spacing w:val="2"/>
          <w:szCs w:val="24"/>
          <w:lang w:eastAsia="ar-SA"/>
        </w:rPr>
        <w:t>at</w:t>
      </w:r>
      <w:r w:rsidRPr="00EC4EC4">
        <w:rPr>
          <w:rFonts w:eastAsia="Times New Roman" w:cs="Times New Roman"/>
          <w:color w:val="000000"/>
          <w:spacing w:val="2"/>
          <w:szCs w:val="24"/>
          <w:lang w:eastAsia="ar-SA"/>
        </w:rPr>
        <w:t>] or above the design flood elevation.</w:t>
      </w:r>
    </w:p>
    <w:p w14:paraId="078BB974" w14:textId="28D8E6FD"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592DC4">
        <w:rPr>
          <w:color w:val="000000"/>
          <w:sz w:val="23"/>
          <w:szCs w:val="23"/>
        </w:rPr>
        <w:t>92</w:t>
      </w:r>
      <w:r w:rsidRPr="00EC4EC4">
        <w:rPr>
          <w:color w:val="000000"/>
          <w:sz w:val="23"/>
          <w:szCs w:val="23"/>
        </w:rPr>
        <w:t>. Appendix G307.4.1.1</w:t>
      </w:r>
      <w:r w:rsidRPr="00EC4EC4">
        <w:t xml:space="preserve"> of the New York city building code, as amended by local law number 126 for the year 2021, is amended to read as follows:</w:t>
      </w:r>
    </w:p>
    <w:p w14:paraId="165639AF" w14:textId="77777777" w:rsidR="00140B7C" w:rsidRPr="00EC4EC4" w:rsidRDefault="00140B7C" w:rsidP="00140B7C">
      <w:pPr>
        <w:suppressAutoHyphens/>
        <w:spacing w:after="0" w:line="240" w:lineRule="auto"/>
        <w:jc w:val="both"/>
        <w:rPr>
          <w:rFonts w:eastAsia="Times New Roman" w:cs="Times New Roman"/>
          <w:b/>
          <w:color w:val="000000"/>
          <w:spacing w:val="1"/>
          <w:szCs w:val="24"/>
          <w:lang w:eastAsia="ar-SA"/>
        </w:rPr>
      </w:pPr>
    </w:p>
    <w:p w14:paraId="04EFBE4D" w14:textId="77777777" w:rsidR="00140B7C" w:rsidRPr="00EC4EC4" w:rsidRDefault="00140B7C" w:rsidP="00140B7C">
      <w:pPr>
        <w:suppressAutoHyphens/>
        <w:spacing w:after="0" w:line="240" w:lineRule="atLeast"/>
        <w:jc w:val="both"/>
        <w:rPr>
          <w:rFonts w:eastAsia="Times New Roman" w:cs="Times New Roman"/>
          <w:color w:val="000000"/>
          <w:spacing w:val="1"/>
          <w:szCs w:val="24"/>
          <w:lang w:eastAsia="ar-SA"/>
        </w:rPr>
      </w:pPr>
      <w:r w:rsidRPr="00EC4EC4">
        <w:rPr>
          <w:rFonts w:eastAsia="Times New Roman" w:cs="Times New Roman"/>
          <w:b/>
          <w:color w:val="000000"/>
          <w:spacing w:val="1"/>
          <w:szCs w:val="24"/>
          <w:lang w:eastAsia="ar-SA"/>
        </w:rPr>
        <w:lastRenderedPageBreak/>
        <w:t xml:space="preserve">G307.4.1.1 Vault. </w:t>
      </w:r>
      <w:r w:rsidRPr="00EC4EC4">
        <w:rPr>
          <w:rFonts w:eastAsia="Times New Roman" w:cs="Times New Roman"/>
          <w:color w:val="000000"/>
          <w:spacing w:val="1"/>
          <w:szCs w:val="24"/>
          <w:lang w:eastAsia="ar-SA"/>
        </w:rPr>
        <w:t>Each fuel-oil storage tank shall be separately enclosed in a vault complying with all of the following requirements:</w:t>
      </w:r>
    </w:p>
    <w:p w14:paraId="7C644DA3" w14:textId="77777777" w:rsidR="00140B7C" w:rsidRPr="00EC4EC4" w:rsidRDefault="00140B7C" w:rsidP="00140B7C">
      <w:pPr>
        <w:suppressAutoHyphens/>
        <w:spacing w:after="0" w:line="240" w:lineRule="atLeast"/>
        <w:ind w:left="1080" w:hanging="540"/>
        <w:jc w:val="both"/>
        <w:rPr>
          <w:rFonts w:eastAsia="Times New Roman" w:cs="Times New Roman"/>
          <w:color w:val="000000"/>
          <w:spacing w:val="1"/>
          <w:szCs w:val="24"/>
          <w:lang w:eastAsia="ar-SA"/>
        </w:rPr>
      </w:pPr>
    </w:p>
    <w:p w14:paraId="2F0352DD" w14:textId="77777777" w:rsidR="00140B7C" w:rsidRPr="00EC4EC4" w:rsidRDefault="00140B7C" w:rsidP="00226293">
      <w:pPr>
        <w:pStyle w:val="ListParagraph"/>
        <w:numPr>
          <w:ilvl w:val="0"/>
          <w:numId w:val="38"/>
        </w:numPr>
        <w:suppressAutoHyphens/>
        <w:spacing w:line="240" w:lineRule="atLeast"/>
        <w:jc w:val="both"/>
        <w:rPr>
          <w:rFonts w:ascii="Times New Roman" w:hAnsi="Times New Roman" w:cs="Times New Roman"/>
          <w:spacing w:val="1"/>
          <w:szCs w:val="24"/>
          <w:lang w:eastAsia="ar-SA"/>
        </w:rPr>
      </w:pPr>
      <w:r w:rsidRPr="00EC4EC4">
        <w:rPr>
          <w:rFonts w:ascii="Times New Roman" w:hAnsi="Times New Roman" w:cs="Times New Roman"/>
          <w:spacing w:val="1"/>
          <w:szCs w:val="24"/>
          <w:lang w:eastAsia="ar-SA"/>
        </w:rPr>
        <w:t>The walls, floor, and top of such vault shall have a [</w:t>
      </w:r>
      <w:r w:rsidRPr="00EC4EC4">
        <w:rPr>
          <w:rFonts w:ascii="Times New Roman" w:hAnsi="Times New Roman" w:cs="Times New Roman"/>
          <w:strike/>
          <w:spacing w:val="1"/>
          <w:szCs w:val="24"/>
          <w:lang w:eastAsia="ar-SA"/>
        </w:rPr>
        <w:t>fire resistance</w:t>
      </w:r>
      <w:r w:rsidRPr="00EC4EC4">
        <w:rPr>
          <w:rFonts w:ascii="Times New Roman" w:hAnsi="Times New Roman" w:cs="Times New Roman"/>
          <w:spacing w:val="1"/>
          <w:szCs w:val="24"/>
          <w:lang w:eastAsia="ar-SA"/>
        </w:rPr>
        <w:t>]</w:t>
      </w:r>
      <w:r w:rsidRPr="00EC4EC4">
        <w:rPr>
          <w:rFonts w:ascii="Times New Roman" w:hAnsi="Times New Roman" w:cs="Times New Roman"/>
          <w:spacing w:val="1"/>
          <w:szCs w:val="24"/>
          <w:u w:val="single"/>
          <w:lang w:eastAsia="ar-SA"/>
        </w:rPr>
        <w:t>fire-resistance</w:t>
      </w:r>
      <w:r w:rsidRPr="00EC4EC4">
        <w:rPr>
          <w:rFonts w:ascii="Times New Roman" w:hAnsi="Times New Roman" w:cs="Times New Roman"/>
          <w:spacing w:val="1"/>
          <w:szCs w:val="24"/>
          <w:lang w:eastAsia="ar-SA"/>
        </w:rPr>
        <w:t xml:space="preserve"> rating of not less than 3 hours;</w:t>
      </w:r>
    </w:p>
    <w:p w14:paraId="2D8EAA73" w14:textId="77777777" w:rsidR="00140B7C" w:rsidRPr="00EC4EC4" w:rsidRDefault="00140B7C" w:rsidP="00140B7C">
      <w:pPr>
        <w:pStyle w:val="ListParagraph"/>
        <w:suppressAutoHyphens/>
        <w:spacing w:line="240" w:lineRule="atLeast"/>
        <w:ind w:left="1080"/>
        <w:jc w:val="both"/>
        <w:rPr>
          <w:rFonts w:ascii="Times New Roman" w:hAnsi="Times New Roman" w:cs="Times New Roman"/>
          <w:spacing w:val="1"/>
          <w:szCs w:val="24"/>
          <w:lang w:eastAsia="ar-SA"/>
        </w:rPr>
      </w:pPr>
    </w:p>
    <w:p w14:paraId="552DC02A" w14:textId="77777777" w:rsidR="00140B7C" w:rsidRPr="00EC4EC4" w:rsidRDefault="00140B7C" w:rsidP="00140B7C">
      <w:pPr>
        <w:suppressAutoHyphens/>
        <w:spacing w:after="240" w:line="240" w:lineRule="auto"/>
        <w:ind w:left="1080" w:hanging="540"/>
        <w:jc w:val="both"/>
        <w:rPr>
          <w:rFonts w:eastAsia="Times New Roman" w:cs="Times New Roman"/>
          <w:color w:val="000000"/>
          <w:spacing w:val="1"/>
          <w:szCs w:val="24"/>
          <w:lang w:eastAsia="ar-SA"/>
        </w:rPr>
      </w:pPr>
      <w:r w:rsidRPr="00EC4EC4">
        <w:rPr>
          <w:rFonts w:eastAsia="Times New Roman" w:cs="Times New Roman"/>
          <w:color w:val="000000"/>
          <w:spacing w:val="1"/>
          <w:szCs w:val="24"/>
          <w:lang w:eastAsia="ar-SA"/>
        </w:rPr>
        <w:t xml:space="preserve">2. </w:t>
      </w:r>
      <w:r w:rsidRPr="00EC4EC4">
        <w:rPr>
          <w:rFonts w:eastAsia="Times New Roman" w:cs="Times New Roman"/>
          <w:color w:val="000000"/>
          <w:spacing w:val="1"/>
          <w:szCs w:val="24"/>
          <w:lang w:eastAsia="ar-SA"/>
        </w:rPr>
        <w:tab/>
        <w:t>The walls of such vault shall be bonded to the floor of such vault;</w:t>
      </w:r>
    </w:p>
    <w:p w14:paraId="5731E28C" w14:textId="77777777" w:rsidR="00140B7C" w:rsidRPr="00EC4EC4" w:rsidRDefault="00140B7C" w:rsidP="00140B7C">
      <w:pPr>
        <w:suppressAutoHyphens/>
        <w:spacing w:after="240" w:line="240" w:lineRule="auto"/>
        <w:ind w:left="1080" w:hanging="540"/>
        <w:jc w:val="both"/>
        <w:rPr>
          <w:rFonts w:eastAsia="Times New Roman" w:cs="Times New Roman"/>
          <w:color w:val="000000"/>
          <w:spacing w:val="1"/>
          <w:szCs w:val="24"/>
          <w:lang w:eastAsia="ar-SA"/>
        </w:rPr>
      </w:pPr>
      <w:r w:rsidRPr="00EC4EC4">
        <w:rPr>
          <w:rFonts w:eastAsia="Times New Roman" w:cs="Times New Roman"/>
          <w:color w:val="000000"/>
          <w:spacing w:val="1"/>
          <w:szCs w:val="24"/>
          <w:lang w:eastAsia="ar-SA"/>
        </w:rPr>
        <w:t xml:space="preserve">3. </w:t>
      </w:r>
      <w:r w:rsidRPr="00EC4EC4">
        <w:rPr>
          <w:rFonts w:eastAsia="Times New Roman" w:cs="Times New Roman"/>
          <w:color w:val="000000"/>
          <w:spacing w:val="1"/>
          <w:szCs w:val="24"/>
          <w:lang w:eastAsia="ar-SA"/>
        </w:rPr>
        <w:tab/>
        <w:t>The top and walls of such vault shall be independent of the building structure;</w:t>
      </w:r>
    </w:p>
    <w:p w14:paraId="2FCD0627" w14:textId="77777777" w:rsidR="00140B7C" w:rsidRPr="00EC4EC4" w:rsidRDefault="00140B7C" w:rsidP="00140B7C">
      <w:pPr>
        <w:suppressAutoHyphens/>
        <w:spacing w:after="240" w:line="240" w:lineRule="auto"/>
        <w:ind w:left="1080" w:hanging="540"/>
        <w:jc w:val="both"/>
        <w:rPr>
          <w:rFonts w:eastAsia="Times New Roman" w:cs="Times New Roman"/>
          <w:color w:val="000000"/>
          <w:spacing w:val="1"/>
          <w:szCs w:val="24"/>
          <w:lang w:eastAsia="ar-SA"/>
        </w:rPr>
      </w:pPr>
      <w:r w:rsidRPr="00EC4EC4">
        <w:rPr>
          <w:rFonts w:eastAsia="Times New Roman" w:cs="Times New Roman"/>
          <w:color w:val="000000"/>
          <w:spacing w:val="1"/>
          <w:szCs w:val="24"/>
          <w:lang w:eastAsia="ar-SA"/>
        </w:rPr>
        <w:t xml:space="preserve">4. </w:t>
      </w:r>
      <w:r w:rsidRPr="00EC4EC4">
        <w:rPr>
          <w:rFonts w:eastAsia="Times New Roman" w:cs="Times New Roman"/>
          <w:color w:val="000000"/>
          <w:spacing w:val="1"/>
          <w:szCs w:val="24"/>
          <w:lang w:eastAsia="ar-SA"/>
        </w:rPr>
        <w:tab/>
        <w:t>An exterior building wall having a [</w:t>
      </w:r>
      <w:r w:rsidRPr="00EC4EC4">
        <w:rPr>
          <w:rFonts w:eastAsia="Times New Roman" w:cs="Times New Roman"/>
          <w:strike/>
          <w:color w:val="000000"/>
          <w:spacing w:val="1"/>
          <w:szCs w:val="24"/>
          <w:lang w:eastAsia="ar-SA"/>
        </w:rPr>
        <w:t>fire resistance</w:t>
      </w:r>
      <w:r w:rsidRPr="00EC4EC4">
        <w:rPr>
          <w:rFonts w:eastAsia="Times New Roman" w:cs="Times New Roman"/>
          <w:color w:val="000000"/>
          <w:spacing w:val="1"/>
          <w:szCs w:val="24"/>
          <w:lang w:eastAsia="ar-SA"/>
        </w:rPr>
        <w:t>]</w:t>
      </w:r>
      <w:r w:rsidRPr="00EC4EC4">
        <w:rPr>
          <w:rFonts w:eastAsia="Times New Roman" w:cs="Times New Roman"/>
          <w:color w:val="000000"/>
          <w:spacing w:val="1"/>
          <w:szCs w:val="24"/>
          <w:u w:val="single"/>
          <w:lang w:eastAsia="ar-SA"/>
        </w:rPr>
        <w:t>fire-resistance</w:t>
      </w:r>
      <w:r w:rsidRPr="00EC4EC4">
        <w:rPr>
          <w:rFonts w:eastAsia="Times New Roman" w:cs="Times New Roman"/>
          <w:color w:val="000000"/>
          <w:spacing w:val="1"/>
          <w:szCs w:val="24"/>
          <w:lang w:eastAsia="ar-SA"/>
        </w:rPr>
        <w:t xml:space="preserve"> rating of not less than 3 hours shall be permitted to serve as a wall of such vault; and</w:t>
      </w:r>
    </w:p>
    <w:p w14:paraId="6771D238" w14:textId="77777777" w:rsidR="00140B7C" w:rsidRDefault="00140B7C" w:rsidP="00140B7C">
      <w:pPr>
        <w:suppressAutoHyphens/>
        <w:spacing w:after="240" w:line="240" w:lineRule="auto"/>
        <w:ind w:left="1080" w:hanging="540"/>
        <w:jc w:val="both"/>
        <w:rPr>
          <w:rFonts w:eastAsia="Times New Roman" w:cs="Times New Roman"/>
          <w:color w:val="000000"/>
          <w:spacing w:val="1"/>
          <w:szCs w:val="24"/>
          <w:lang w:eastAsia="ar-SA"/>
        </w:rPr>
      </w:pPr>
      <w:r w:rsidRPr="00EC4EC4">
        <w:rPr>
          <w:rFonts w:eastAsia="Times New Roman" w:cs="Times New Roman"/>
          <w:color w:val="000000"/>
          <w:spacing w:val="1"/>
          <w:szCs w:val="24"/>
          <w:lang w:eastAsia="ar-SA"/>
        </w:rPr>
        <w:t xml:space="preserve">5. </w:t>
      </w:r>
      <w:r w:rsidRPr="00EC4EC4">
        <w:rPr>
          <w:rFonts w:eastAsia="Times New Roman" w:cs="Times New Roman"/>
          <w:color w:val="000000"/>
          <w:spacing w:val="1"/>
          <w:szCs w:val="24"/>
          <w:lang w:eastAsia="ar-SA"/>
        </w:rPr>
        <w:tab/>
        <w:t>The vault shall be located in a dedicated room or area of the building that is separated vertically and horizontally from other areas of the building by construction having a [</w:t>
      </w:r>
      <w:r w:rsidRPr="00EC4EC4">
        <w:rPr>
          <w:rFonts w:eastAsia="Times New Roman" w:cs="Times New Roman"/>
          <w:strike/>
          <w:color w:val="000000"/>
          <w:spacing w:val="1"/>
          <w:szCs w:val="24"/>
          <w:lang w:eastAsia="ar-SA"/>
        </w:rPr>
        <w:t>fire resistance</w:t>
      </w:r>
      <w:r w:rsidRPr="00EC4EC4">
        <w:rPr>
          <w:rFonts w:eastAsia="Times New Roman" w:cs="Times New Roman"/>
          <w:color w:val="000000"/>
          <w:spacing w:val="1"/>
          <w:szCs w:val="24"/>
          <w:lang w:eastAsia="ar-SA"/>
        </w:rPr>
        <w:t>]</w:t>
      </w:r>
      <w:r w:rsidRPr="00EC4EC4">
        <w:rPr>
          <w:rFonts w:eastAsia="Times New Roman" w:cs="Times New Roman"/>
          <w:color w:val="000000"/>
          <w:spacing w:val="1"/>
          <w:szCs w:val="24"/>
          <w:u w:val="single"/>
          <w:lang w:eastAsia="ar-SA"/>
        </w:rPr>
        <w:t>fire-resistance</w:t>
      </w:r>
      <w:r w:rsidRPr="00EC4EC4">
        <w:rPr>
          <w:rFonts w:eastAsia="Times New Roman" w:cs="Times New Roman"/>
          <w:color w:val="000000"/>
          <w:spacing w:val="1"/>
          <w:szCs w:val="24"/>
          <w:lang w:eastAsia="ar-SA"/>
        </w:rPr>
        <w:t xml:space="preserve"> rating of not less than 2 hours.</w:t>
      </w:r>
    </w:p>
    <w:p w14:paraId="149A9633" w14:textId="0485B8D1"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w:t>
      </w:r>
      <w:r w:rsidR="00592DC4">
        <w:rPr>
          <w:color w:val="000000"/>
          <w:sz w:val="23"/>
          <w:szCs w:val="23"/>
        </w:rPr>
        <w:t>93</w:t>
      </w:r>
      <w:r w:rsidRPr="00EC4EC4">
        <w:rPr>
          <w:color w:val="000000"/>
          <w:sz w:val="23"/>
          <w:szCs w:val="23"/>
        </w:rPr>
        <w:t>. Appendix K 5.1.4</w:t>
      </w:r>
      <w:r w:rsidRPr="00EC4EC4">
        <w:t xml:space="preserve"> of the New York city building code, as added by local law number 126 for the year 2021, is amended to read as follows:</w:t>
      </w:r>
    </w:p>
    <w:p w14:paraId="0980CC91" w14:textId="77777777" w:rsidR="00140B7C" w:rsidRPr="00EC4EC4" w:rsidRDefault="00140B7C" w:rsidP="00140B7C">
      <w:pPr>
        <w:suppressAutoHyphens/>
        <w:spacing w:after="0" w:line="240" w:lineRule="auto"/>
        <w:jc w:val="both"/>
        <w:rPr>
          <w:rFonts w:eastAsia="Times New Roman" w:cs="Times New Roman"/>
          <w:b/>
          <w:color w:val="000000"/>
          <w:spacing w:val="1"/>
          <w:szCs w:val="24"/>
          <w:lang w:eastAsia="ar-SA"/>
        </w:rPr>
      </w:pPr>
    </w:p>
    <w:p w14:paraId="2D348655" w14:textId="77777777" w:rsidR="00140B7C" w:rsidRPr="00EC4EC4" w:rsidRDefault="00140B7C" w:rsidP="00140B7C">
      <w:pPr>
        <w:tabs>
          <w:tab w:val="left" w:pos="180"/>
          <w:tab w:val="left" w:pos="360"/>
          <w:tab w:val="left" w:pos="540"/>
          <w:tab w:val="left" w:pos="720"/>
          <w:tab w:val="left" w:pos="900"/>
        </w:tabs>
        <w:spacing w:after="240" w:line="240" w:lineRule="auto"/>
        <w:jc w:val="both"/>
        <w:rPr>
          <w:rFonts w:eastAsia="Calibri" w:cs="Times New Roman"/>
          <w:b/>
          <w:bCs/>
          <w:szCs w:val="24"/>
        </w:rPr>
      </w:pPr>
      <w:r w:rsidRPr="00EC4EC4">
        <w:rPr>
          <w:rFonts w:eastAsia="Calibri" w:cs="Times New Roman"/>
          <w:b/>
          <w:bCs/>
          <w:szCs w:val="24"/>
        </w:rPr>
        <w:t xml:space="preserve">5.1.4 Antislide device. </w:t>
      </w:r>
    </w:p>
    <w:p w14:paraId="5312326F" w14:textId="77777777" w:rsidR="00140B7C" w:rsidRPr="00EC4EC4" w:rsidRDefault="00140B7C" w:rsidP="00140B7C">
      <w:pPr>
        <w:tabs>
          <w:tab w:val="left" w:pos="180"/>
          <w:tab w:val="left" w:pos="360"/>
          <w:tab w:val="left" w:pos="540"/>
          <w:tab w:val="left" w:pos="720"/>
          <w:tab w:val="left" w:pos="900"/>
        </w:tabs>
        <w:spacing w:after="240" w:line="240" w:lineRule="auto"/>
        <w:jc w:val="both"/>
        <w:rPr>
          <w:rFonts w:eastAsia="Calibri" w:cs="Times New Roman"/>
          <w:szCs w:val="24"/>
        </w:rPr>
      </w:pPr>
      <w:r w:rsidRPr="00EC4EC4">
        <w:rPr>
          <w:rFonts w:eastAsia="Calibri" w:cs="Times New Roman"/>
          <w:szCs w:val="24"/>
        </w:rPr>
        <w:t xml:space="preserve">On high deck balustrades, antislide devices shall be provided on decks or combination of decks when the outer edge of the deck is greater than 12 inches (305 mm) from the centerline of the handrail or on adjacent escalators when the distance between centerline of the handrails is greater than 16 inches (406 mm). </w:t>
      </w:r>
    </w:p>
    <w:p w14:paraId="7C25B811" w14:textId="77777777" w:rsidR="00140B7C" w:rsidRPr="00EC4EC4" w:rsidRDefault="00140B7C" w:rsidP="00140B7C">
      <w:pPr>
        <w:tabs>
          <w:tab w:val="left" w:pos="180"/>
          <w:tab w:val="left" w:pos="360"/>
          <w:tab w:val="left" w:pos="540"/>
          <w:tab w:val="left" w:pos="720"/>
          <w:tab w:val="left" w:pos="900"/>
        </w:tabs>
        <w:spacing w:after="240" w:line="240" w:lineRule="auto"/>
        <w:jc w:val="both"/>
        <w:rPr>
          <w:rFonts w:eastAsia="Calibri" w:cs="Times New Roman"/>
          <w:szCs w:val="24"/>
        </w:rPr>
      </w:pPr>
      <w:r w:rsidRPr="00EC4EC4">
        <w:rPr>
          <w:rFonts w:eastAsia="Calibri" w:cs="Times New Roman"/>
          <w:szCs w:val="24"/>
        </w:rPr>
        <w:t>These devices shall consist of raised objects fastened to the decks, not closer than 4 inches (102 mm) to the handrail and spaced not greater than 78 inches (2000 mm) apart. The height shall be not less than [.75]</w:t>
      </w:r>
      <w:r w:rsidRPr="00EC4EC4">
        <w:rPr>
          <w:rFonts w:eastAsia="Calibri" w:cs="Times New Roman"/>
          <w:szCs w:val="24"/>
          <w:u w:val="single"/>
        </w:rPr>
        <w:t xml:space="preserve">0.75 </w:t>
      </w:r>
      <w:r w:rsidRPr="00EC4EC4">
        <w:rPr>
          <w:rFonts w:eastAsia="Calibri" w:cs="Times New Roman"/>
          <w:szCs w:val="24"/>
        </w:rPr>
        <w:t>inches (19 mm). There shall be no sharp corners or edges.</w:t>
      </w:r>
    </w:p>
    <w:p w14:paraId="4E136C05" w14:textId="1D2F944D"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29</w:t>
      </w:r>
      <w:r w:rsidR="006D7738">
        <w:rPr>
          <w:color w:val="000000"/>
          <w:sz w:val="23"/>
          <w:szCs w:val="23"/>
        </w:rPr>
        <w:t>4</w:t>
      </w:r>
      <w:r w:rsidRPr="00EC4EC4">
        <w:rPr>
          <w:color w:val="000000"/>
          <w:sz w:val="23"/>
          <w:szCs w:val="23"/>
        </w:rPr>
        <w:t>. Appendix K 6.1.6.3.6</w:t>
      </w:r>
      <w:r w:rsidRPr="00EC4EC4">
        <w:t xml:space="preserve"> of the New York city building code, as added by local law number 126 for the year 2021, is amended to read as follows:</w:t>
      </w:r>
    </w:p>
    <w:p w14:paraId="5A23E1CB" w14:textId="77777777" w:rsidR="00140B7C" w:rsidRPr="00EC4EC4" w:rsidRDefault="00140B7C" w:rsidP="00140B7C">
      <w:pPr>
        <w:suppressAutoHyphens/>
        <w:spacing w:after="0" w:line="240" w:lineRule="auto"/>
        <w:jc w:val="both"/>
        <w:rPr>
          <w:rFonts w:eastAsia="Times New Roman" w:cs="Times New Roman"/>
          <w:b/>
          <w:color w:val="000000"/>
          <w:spacing w:val="1"/>
          <w:szCs w:val="24"/>
          <w:lang w:eastAsia="ar-SA"/>
        </w:rPr>
      </w:pPr>
    </w:p>
    <w:p w14:paraId="2D9A0AC1" w14:textId="77777777" w:rsidR="00140B7C" w:rsidRPr="00EC4EC4" w:rsidRDefault="00140B7C" w:rsidP="00140B7C">
      <w:pPr>
        <w:tabs>
          <w:tab w:val="left" w:pos="180"/>
          <w:tab w:val="left" w:pos="360"/>
          <w:tab w:val="left" w:pos="540"/>
          <w:tab w:val="left" w:pos="720"/>
        </w:tabs>
        <w:autoSpaceDE w:val="0"/>
        <w:autoSpaceDN w:val="0"/>
        <w:adjustRightInd w:val="0"/>
        <w:spacing w:after="240" w:line="240" w:lineRule="auto"/>
        <w:jc w:val="both"/>
        <w:rPr>
          <w:rFonts w:eastAsia="Calibri" w:cs="Times New Roman"/>
          <w:szCs w:val="24"/>
        </w:rPr>
      </w:pPr>
      <w:r w:rsidRPr="00EC4EC4">
        <w:rPr>
          <w:rFonts w:eastAsia="Calibri" w:cs="Times New Roman"/>
          <w:b/>
          <w:bCs/>
          <w:szCs w:val="24"/>
        </w:rPr>
        <w:t xml:space="preserve">6.1.6.3.6 Skirt obstruction device. </w:t>
      </w:r>
      <w:r w:rsidRPr="00EC4EC4">
        <w:rPr>
          <w:rFonts w:eastAsia="Calibri" w:cs="Times New Roman"/>
          <w:szCs w:val="24"/>
        </w:rPr>
        <w:t>Means shall be provided to cause the electric power to be removed from the escalator driving machine motor and brake if an object becomes caught between the step and the skirt as the step approaches the upper combplate, intermediate device, or lower combplate. On units having a run of 6 096 mm (20 ft.) or more, intermediate devices shall be provided on both sides of the escalator with devices located at intervals of 3 048 mm (10 ft.) or less. The activation of an intermediate device shall gradually stop the escalator at a rate not greater than 3 ft per sec² [</w:t>
      </w:r>
      <w:r w:rsidRPr="00EC4EC4">
        <w:rPr>
          <w:rFonts w:eastAsia="Calibri" w:cs="Times New Roman"/>
          <w:strike/>
          <w:szCs w:val="24"/>
        </w:rPr>
        <w:t>(0.91 m/s ²)</w:t>
      </w:r>
      <w:r w:rsidRPr="00EC4EC4">
        <w:rPr>
          <w:rFonts w:eastAsia="Calibri" w:cs="Times New Roman"/>
          <w:szCs w:val="24"/>
        </w:rPr>
        <w:t>]</w:t>
      </w:r>
      <w:r w:rsidRPr="00EC4EC4">
        <w:rPr>
          <w:rFonts w:eastAsia="Calibri" w:cs="Times New Roman"/>
          <w:szCs w:val="24"/>
          <w:u w:val="single"/>
        </w:rPr>
        <w:t xml:space="preserve">(0.91 m/s²) </w:t>
      </w:r>
      <w:r w:rsidRPr="00EC4EC4">
        <w:rPr>
          <w:rFonts w:eastAsia="Calibri" w:cs="Times New Roman"/>
          <w:szCs w:val="24"/>
        </w:rPr>
        <w:t>in the direction of travel. The skirt obstruction devices shall be located so that the escalator will stop before that object reaches the combplate. The escalator shall stop before that object reaches the combplate with any load up to full brake rated load with escalator running. The device shall be of the manually reset type.</w:t>
      </w:r>
    </w:p>
    <w:p w14:paraId="099B5812" w14:textId="24766882"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29</w:t>
      </w:r>
      <w:r w:rsidR="00276C7C">
        <w:rPr>
          <w:color w:val="000000"/>
          <w:sz w:val="23"/>
          <w:szCs w:val="23"/>
        </w:rPr>
        <w:t>5</w:t>
      </w:r>
      <w:r w:rsidRPr="00EC4EC4">
        <w:rPr>
          <w:color w:val="000000"/>
          <w:sz w:val="23"/>
          <w:szCs w:val="23"/>
        </w:rPr>
        <w:t>. Appendix K 6.11</w:t>
      </w:r>
      <w:r w:rsidRPr="00EC4EC4">
        <w:t xml:space="preserve"> of the New York city building code, as added by local law number 126 for the year 2021, is amended to read as follows:</w:t>
      </w:r>
    </w:p>
    <w:p w14:paraId="278E68BB" w14:textId="77777777" w:rsidR="00140B7C" w:rsidRPr="00EC4EC4" w:rsidRDefault="00140B7C" w:rsidP="00140B7C">
      <w:pPr>
        <w:tabs>
          <w:tab w:val="left" w:pos="180"/>
          <w:tab w:val="left" w:pos="360"/>
          <w:tab w:val="left" w:pos="540"/>
          <w:tab w:val="left" w:pos="720"/>
        </w:tabs>
        <w:autoSpaceDE w:val="0"/>
        <w:autoSpaceDN w:val="0"/>
        <w:adjustRightInd w:val="0"/>
        <w:spacing w:after="240" w:line="240" w:lineRule="auto"/>
        <w:jc w:val="both"/>
        <w:rPr>
          <w:rFonts w:eastAsia="Calibri" w:cs="Times New Roman"/>
          <w:szCs w:val="24"/>
        </w:rPr>
      </w:pPr>
    </w:p>
    <w:p w14:paraId="1D549EA2" w14:textId="77777777" w:rsidR="00140B7C" w:rsidRPr="00EC4EC4" w:rsidRDefault="00140B7C" w:rsidP="00140B7C">
      <w:pPr>
        <w:pStyle w:val="HeadingUnderline"/>
        <w:rPr>
          <w:rFonts w:eastAsia="Calibri"/>
          <w:b w:val="0"/>
          <w:szCs w:val="24"/>
          <w:u w:val="none"/>
        </w:rPr>
      </w:pPr>
      <w:r w:rsidRPr="00EC4EC4">
        <w:rPr>
          <w:rFonts w:eastAsia="Calibri"/>
          <w:b w:val="0"/>
          <w:szCs w:val="24"/>
          <w:u w:val="none"/>
        </w:rPr>
        <w:t>SECTION 6.11</w:t>
      </w:r>
      <w:r w:rsidRPr="00EC4EC4">
        <w:rPr>
          <w:rFonts w:eastAsia="Calibri"/>
          <w:b w:val="0"/>
          <w:szCs w:val="24"/>
          <w:u w:val="none"/>
        </w:rPr>
        <w:br/>
        <w:t>[</w:t>
      </w:r>
      <w:r w:rsidRPr="00EC4EC4">
        <w:rPr>
          <w:rFonts w:eastAsia="Calibri"/>
          <w:b w:val="0"/>
          <w:strike/>
          <w:szCs w:val="24"/>
          <w:u w:val="none"/>
        </w:rPr>
        <w:t>6.11</w:t>
      </w:r>
      <w:r w:rsidRPr="00EC4EC4">
        <w:rPr>
          <w:rFonts w:eastAsia="Calibri"/>
          <w:b w:val="0"/>
          <w:szCs w:val="24"/>
          <w:u w:val="none"/>
        </w:rPr>
        <w:t>] ROLLER AND WHEEL CONVEYORS</w:t>
      </w:r>
    </w:p>
    <w:p w14:paraId="52567861" w14:textId="622F74C2" w:rsidR="00140B7C" w:rsidRPr="00EC4EC4" w:rsidRDefault="00140B7C" w:rsidP="00140B7C">
      <w:pPr>
        <w:pStyle w:val="DoubleSpaceParagaph"/>
        <w:spacing w:line="240" w:lineRule="auto"/>
        <w:ind w:firstLine="720"/>
      </w:pPr>
      <w:bookmarkStart w:id="222" w:name="_Hlk115772029"/>
      <w:r w:rsidRPr="00EC4EC4">
        <w:rPr>
          <w:color w:val="000000"/>
          <w:sz w:val="23"/>
          <w:szCs w:val="23"/>
        </w:rPr>
        <w:t>§</w:t>
      </w:r>
      <w:r>
        <w:rPr>
          <w:color w:val="000000"/>
          <w:sz w:val="23"/>
          <w:szCs w:val="23"/>
        </w:rPr>
        <w:t>29</w:t>
      </w:r>
      <w:r w:rsidR="00276C7C">
        <w:rPr>
          <w:color w:val="000000"/>
          <w:sz w:val="23"/>
          <w:szCs w:val="23"/>
        </w:rPr>
        <w:t>6</w:t>
      </w:r>
      <w:r w:rsidRPr="00EC4EC4">
        <w:rPr>
          <w:color w:val="000000"/>
          <w:sz w:val="23"/>
          <w:szCs w:val="23"/>
        </w:rPr>
        <w:t>. Appendix K 6.12</w:t>
      </w:r>
      <w:r w:rsidRPr="00EC4EC4">
        <w:t xml:space="preserve"> of the New York city building code, as added by local law number 126 for the year 2021, is amended to read as follows:</w:t>
      </w:r>
    </w:p>
    <w:bookmarkEnd w:id="222"/>
    <w:p w14:paraId="5A54FEAC" w14:textId="77777777" w:rsidR="00140B7C" w:rsidRPr="00EC4EC4" w:rsidRDefault="00140B7C" w:rsidP="00140B7C">
      <w:pPr>
        <w:tabs>
          <w:tab w:val="left" w:pos="180"/>
          <w:tab w:val="left" w:pos="360"/>
          <w:tab w:val="left" w:pos="540"/>
          <w:tab w:val="left" w:pos="720"/>
        </w:tabs>
        <w:autoSpaceDE w:val="0"/>
        <w:autoSpaceDN w:val="0"/>
        <w:adjustRightInd w:val="0"/>
        <w:spacing w:after="240" w:line="240" w:lineRule="auto"/>
        <w:jc w:val="both"/>
        <w:rPr>
          <w:rFonts w:eastAsia="Calibri" w:cs="Times New Roman"/>
          <w:szCs w:val="24"/>
        </w:rPr>
      </w:pPr>
    </w:p>
    <w:p w14:paraId="09BAF9BC" w14:textId="77777777" w:rsidR="00140B7C" w:rsidRPr="00EC4EC4" w:rsidRDefault="00140B7C" w:rsidP="00140B7C">
      <w:pPr>
        <w:pStyle w:val="HeadingUnderline"/>
        <w:rPr>
          <w:rFonts w:eastAsia="Calibri"/>
          <w:b w:val="0"/>
          <w:szCs w:val="24"/>
          <w:u w:val="none"/>
        </w:rPr>
      </w:pPr>
      <w:r w:rsidRPr="00EC4EC4">
        <w:rPr>
          <w:rFonts w:eastAsia="Calibri"/>
          <w:b w:val="0"/>
          <w:szCs w:val="24"/>
          <w:u w:val="none"/>
        </w:rPr>
        <w:t>SECTION 6.12</w:t>
      </w:r>
      <w:r w:rsidRPr="00EC4EC4">
        <w:rPr>
          <w:rFonts w:eastAsia="Calibri"/>
          <w:b w:val="0"/>
          <w:szCs w:val="24"/>
          <w:u w:val="none"/>
        </w:rPr>
        <w:br/>
        <w:t>[</w:t>
      </w:r>
      <w:r w:rsidRPr="00EC4EC4">
        <w:rPr>
          <w:rFonts w:eastAsia="Calibri"/>
          <w:b w:val="0"/>
          <w:strike/>
          <w:szCs w:val="24"/>
          <w:u w:val="none"/>
        </w:rPr>
        <w:t>6.12</w:t>
      </w:r>
      <w:r w:rsidRPr="00EC4EC4">
        <w:rPr>
          <w:rFonts w:eastAsia="Calibri"/>
          <w:b w:val="0"/>
          <w:szCs w:val="24"/>
          <w:u w:val="none"/>
        </w:rPr>
        <w:t>] SAFETY CONSIDERATIONS FOR SCREW CONVEYORS</w:t>
      </w:r>
    </w:p>
    <w:p w14:paraId="650B4E54" w14:textId="5EF9BCD2"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29</w:t>
      </w:r>
      <w:r w:rsidR="00276C7C">
        <w:rPr>
          <w:color w:val="000000"/>
          <w:sz w:val="23"/>
          <w:szCs w:val="23"/>
        </w:rPr>
        <w:t>7</w:t>
      </w:r>
      <w:r w:rsidRPr="00EC4EC4">
        <w:rPr>
          <w:color w:val="000000"/>
          <w:sz w:val="23"/>
          <w:szCs w:val="23"/>
        </w:rPr>
        <w:t>. Appendix K 8.6.4.1.3</w:t>
      </w:r>
      <w:r w:rsidRPr="00EC4EC4">
        <w:t xml:space="preserve"> of the New York city building code, as added by local law number 126 for the year 2021, is amended to read as follows:</w:t>
      </w:r>
    </w:p>
    <w:p w14:paraId="7DC8CCB8" w14:textId="77777777" w:rsidR="00140B7C" w:rsidRPr="00EC4EC4" w:rsidRDefault="00140B7C" w:rsidP="00140B7C">
      <w:pPr>
        <w:tabs>
          <w:tab w:val="left" w:pos="180"/>
          <w:tab w:val="left" w:pos="360"/>
          <w:tab w:val="left" w:pos="540"/>
          <w:tab w:val="left" w:pos="720"/>
        </w:tabs>
        <w:autoSpaceDE w:val="0"/>
        <w:autoSpaceDN w:val="0"/>
        <w:adjustRightInd w:val="0"/>
        <w:spacing w:after="0" w:line="240" w:lineRule="auto"/>
        <w:ind w:left="180"/>
        <w:jc w:val="both"/>
        <w:rPr>
          <w:rFonts w:eastAsia="Calibri" w:cs="Times New Roman"/>
          <w:b/>
          <w:bCs/>
          <w:szCs w:val="24"/>
        </w:rPr>
      </w:pPr>
    </w:p>
    <w:p w14:paraId="1B62B7BE" w14:textId="77777777" w:rsidR="00140B7C" w:rsidRPr="00EC4EC4" w:rsidRDefault="00140B7C" w:rsidP="00140B7C">
      <w:pPr>
        <w:tabs>
          <w:tab w:val="left" w:pos="180"/>
          <w:tab w:val="left" w:pos="360"/>
          <w:tab w:val="left" w:pos="540"/>
          <w:tab w:val="left" w:pos="720"/>
        </w:tabs>
        <w:autoSpaceDE w:val="0"/>
        <w:autoSpaceDN w:val="0"/>
        <w:adjustRightInd w:val="0"/>
        <w:spacing w:after="0" w:line="240" w:lineRule="auto"/>
        <w:jc w:val="both"/>
        <w:rPr>
          <w:rFonts w:eastAsia="Calibri" w:cs="Times New Roman"/>
          <w:szCs w:val="24"/>
        </w:rPr>
      </w:pPr>
      <w:r w:rsidRPr="00EC4EC4">
        <w:rPr>
          <w:rFonts w:eastAsia="Calibri" w:cs="Times New Roman"/>
          <w:b/>
          <w:bCs/>
          <w:szCs w:val="24"/>
        </w:rPr>
        <w:t xml:space="preserve">8.6.4.1.3 </w:t>
      </w:r>
      <w:r w:rsidRPr="00EC4EC4">
        <w:rPr>
          <w:rFonts w:eastAsia="Calibri" w:cs="Times New Roman"/>
          <w:szCs w:val="24"/>
        </w:rPr>
        <w:t>Equal tension shall be maintained between individual suspension members in each set. Suspension members are considered to be equally tensioned when the smallest tension measured is within 10 percent of the highest tension measured. When suspension member tension is checked or adjusted, an anti-rotation [</w:t>
      </w:r>
      <w:r w:rsidRPr="00EC4EC4">
        <w:rPr>
          <w:rFonts w:eastAsia="Calibri" w:cs="Times New Roman"/>
          <w:strike/>
          <w:szCs w:val="24"/>
        </w:rPr>
        <w:t>defvice</w:t>
      </w:r>
      <w:r w:rsidRPr="00EC4EC4">
        <w:rPr>
          <w:rFonts w:eastAsia="Calibri" w:cs="Times New Roman"/>
          <w:szCs w:val="24"/>
        </w:rPr>
        <w:t>]</w:t>
      </w:r>
      <w:r w:rsidRPr="00EC4EC4">
        <w:rPr>
          <w:rFonts w:eastAsia="Calibri" w:cs="Times New Roman"/>
          <w:szCs w:val="24"/>
          <w:u w:val="single"/>
        </w:rPr>
        <w:t>device</w:t>
      </w:r>
      <w:r w:rsidRPr="00EC4EC4">
        <w:rPr>
          <w:rFonts w:eastAsia="Calibri" w:cs="Times New Roman"/>
          <w:szCs w:val="24"/>
        </w:rPr>
        <w:t xml:space="preserve"> conforming to the requirements of Section 2.20.9.8 shall be required.</w:t>
      </w:r>
    </w:p>
    <w:p w14:paraId="352FA21B" w14:textId="77777777" w:rsidR="00140B7C" w:rsidRPr="00EC4EC4" w:rsidRDefault="00140B7C" w:rsidP="00140B7C">
      <w:pPr>
        <w:pStyle w:val="DoubleSpaceParagaph"/>
        <w:spacing w:line="240" w:lineRule="auto"/>
        <w:ind w:firstLine="720"/>
        <w:rPr>
          <w:color w:val="000000"/>
          <w:sz w:val="23"/>
          <w:szCs w:val="23"/>
        </w:rPr>
      </w:pPr>
    </w:p>
    <w:p w14:paraId="7F6AB47B" w14:textId="44DEE229" w:rsidR="00140B7C" w:rsidRPr="00EC4EC4" w:rsidRDefault="00140B7C" w:rsidP="00140B7C">
      <w:pPr>
        <w:pStyle w:val="DoubleSpaceParagaph"/>
        <w:spacing w:line="240" w:lineRule="auto"/>
        <w:ind w:firstLine="720"/>
      </w:pPr>
      <w:r w:rsidRPr="00EC4EC4">
        <w:rPr>
          <w:color w:val="000000"/>
          <w:sz w:val="23"/>
          <w:szCs w:val="23"/>
        </w:rPr>
        <w:lastRenderedPageBreak/>
        <w:t>§</w:t>
      </w:r>
      <w:r>
        <w:rPr>
          <w:color w:val="000000"/>
          <w:sz w:val="23"/>
          <w:szCs w:val="23"/>
        </w:rPr>
        <w:t>29</w:t>
      </w:r>
      <w:r w:rsidR="00276C7C">
        <w:rPr>
          <w:color w:val="000000"/>
          <w:sz w:val="23"/>
          <w:szCs w:val="23"/>
        </w:rPr>
        <w:t>8</w:t>
      </w:r>
      <w:r w:rsidRPr="00EC4EC4">
        <w:rPr>
          <w:color w:val="000000"/>
          <w:sz w:val="23"/>
          <w:szCs w:val="23"/>
        </w:rPr>
        <w:t>. Appendix K 8.7</w:t>
      </w:r>
      <w:r w:rsidRPr="00EC4EC4">
        <w:t xml:space="preserve"> of the New York city building code, as added by local law number 126 for the year 2021, is amended to read as follows:</w:t>
      </w:r>
    </w:p>
    <w:p w14:paraId="3B9AC83F" w14:textId="77777777" w:rsidR="00140B7C" w:rsidRPr="00EC4EC4" w:rsidRDefault="00140B7C" w:rsidP="00140B7C">
      <w:pPr>
        <w:tabs>
          <w:tab w:val="left" w:pos="180"/>
          <w:tab w:val="left" w:pos="360"/>
          <w:tab w:val="left" w:pos="540"/>
          <w:tab w:val="left" w:pos="720"/>
          <w:tab w:val="left" w:pos="900"/>
        </w:tabs>
        <w:spacing w:after="0" w:line="240" w:lineRule="auto"/>
        <w:jc w:val="both"/>
        <w:rPr>
          <w:rFonts w:eastAsia="Calibri" w:cs="Times New Roman"/>
          <w:szCs w:val="24"/>
        </w:rPr>
      </w:pPr>
      <w:r w:rsidRPr="00EC4EC4">
        <w:rPr>
          <w:rFonts w:eastAsia="Calibri" w:cs="Times New Roman"/>
          <w:szCs w:val="24"/>
        </w:rPr>
        <w:t xml:space="preserve"> </w:t>
      </w:r>
    </w:p>
    <w:p w14:paraId="3C00F294" w14:textId="77777777" w:rsidR="00140B7C" w:rsidRPr="00EC4EC4" w:rsidRDefault="00140B7C" w:rsidP="00140B7C">
      <w:pPr>
        <w:tabs>
          <w:tab w:val="left" w:pos="180"/>
          <w:tab w:val="left" w:pos="360"/>
          <w:tab w:val="left" w:pos="540"/>
          <w:tab w:val="left" w:pos="720"/>
          <w:tab w:val="left" w:pos="900"/>
        </w:tabs>
        <w:spacing w:after="0" w:line="240" w:lineRule="auto"/>
        <w:jc w:val="center"/>
        <w:rPr>
          <w:rFonts w:eastAsia="Calibri" w:cs="Times New Roman"/>
          <w:szCs w:val="24"/>
          <w:u w:val="single"/>
        </w:rPr>
      </w:pPr>
      <w:r w:rsidRPr="00EC4EC4">
        <w:rPr>
          <w:rFonts w:eastAsia="Calibri" w:cs="Times New Roman"/>
          <w:szCs w:val="24"/>
          <w:u w:val="single"/>
        </w:rPr>
        <w:t>SECTION 8.7</w:t>
      </w:r>
    </w:p>
    <w:p w14:paraId="0B66DB81" w14:textId="577A7825" w:rsidR="00140B7C" w:rsidRDefault="00140B7C" w:rsidP="00140B7C">
      <w:pPr>
        <w:tabs>
          <w:tab w:val="left" w:pos="180"/>
          <w:tab w:val="left" w:pos="360"/>
          <w:tab w:val="left" w:pos="540"/>
          <w:tab w:val="left" w:pos="720"/>
          <w:tab w:val="left" w:pos="900"/>
        </w:tabs>
        <w:spacing w:after="240" w:line="240" w:lineRule="auto"/>
        <w:jc w:val="center"/>
        <w:rPr>
          <w:rFonts w:eastAsia="Calibri" w:cs="Times New Roman"/>
          <w:szCs w:val="24"/>
          <w:u w:val="single"/>
        </w:rPr>
      </w:pPr>
      <w:r w:rsidRPr="00EC4EC4">
        <w:rPr>
          <w:rFonts w:eastAsia="Calibri" w:cs="Times New Roman"/>
          <w:szCs w:val="24"/>
          <w:u w:val="single"/>
        </w:rPr>
        <w:t>ALTERATIONS</w:t>
      </w:r>
    </w:p>
    <w:p w14:paraId="105FF664" w14:textId="77777777" w:rsidR="00A75748" w:rsidRPr="00EC4EC4" w:rsidRDefault="00A75748" w:rsidP="00A75748">
      <w:pPr>
        <w:tabs>
          <w:tab w:val="left" w:pos="180"/>
          <w:tab w:val="left" w:pos="360"/>
          <w:tab w:val="left" w:pos="540"/>
          <w:tab w:val="left" w:pos="720"/>
          <w:tab w:val="left" w:pos="900"/>
        </w:tabs>
        <w:spacing w:after="240" w:line="240" w:lineRule="auto"/>
        <w:rPr>
          <w:rFonts w:eastAsia="Calibri" w:cs="Times New Roman"/>
          <w:szCs w:val="24"/>
          <w:u w:val="single"/>
        </w:rPr>
      </w:pPr>
    </w:p>
    <w:p w14:paraId="7294F4A6" w14:textId="77777777" w:rsidR="00A75748" w:rsidRDefault="00A75748">
      <w:pPr>
        <w:sectPr w:rsidR="00A75748" w:rsidSect="0071096C">
          <w:headerReference w:type="even" r:id="rId13"/>
          <w:footerReference w:type="even" r:id="rId14"/>
          <w:footerReference w:type="default" r:id="rId15"/>
          <w:headerReference w:type="first" r:id="rId16"/>
          <w:pgSz w:w="12240" w:h="20160" w:code="1"/>
          <w:pgMar w:top="720" w:right="720" w:bottom="720" w:left="720" w:header="720" w:footer="720" w:gutter="0"/>
          <w:lnNumType w:countBy="1"/>
          <w:cols w:space="720"/>
          <w:titlePg/>
          <w:docGrid w:linePitch="326"/>
        </w:sectPr>
      </w:pPr>
    </w:p>
    <w:p w14:paraId="66E34243" w14:textId="6F569844" w:rsidR="00226293" w:rsidRPr="00EC4EC4" w:rsidRDefault="00226293" w:rsidP="00226293">
      <w:pPr>
        <w:pStyle w:val="DoubleSpaceParagaph"/>
        <w:spacing w:line="240" w:lineRule="auto"/>
        <w:ind w:left="4050" w:firstLine="720"/>
      </w:pPr>
      <w:r w:rsidRPr="00EC4EC4">
        <w:rPr>
          <w:color w:val="000000"/>
          <w:sz w:val="23"/>
          <w:szCs w:val="23"/>
        </w:rPr>
        <w:lastRenderedPageBreak/>
        <w:t>§</w:t>
      </w:r>
      <w:r>
        <w:rPr>
          <w:color w:val="000000"/>
          <w:sz w:val="23"/>
          <w:szCs w:val="23"/>
        </w:rPr>
        <w:t>29</w:t>
      </w:r>
      <w:r w:rsidR="00E87C3A">
        <w:rPr>
          <w:color w:val="000000"/>
          <w:sz w:val="23"/>
          <w:szCs w:val="23"/>
        </w:rPr>
        <w:t>9</w:t>
      </w:r>
      <w:r w:rsidRPr="00EC4EC4">
        <w:rPr>
          <w:color w:val="000000"/>
          <w:sz w:val="23"/>
          <w:szCs w:val="23"/>
        </w:rPr>
        <w:t>. Appendix K 8.</w:t>
      </w:r>
      <w:r>
        <w:rPr>
          <w:color w:val="000000"/>
          <w:sz w:val="23"/>
          <w:szCs w:val="23"/>
        </w:rPr>
        <w:t>11</w:t>
      </w:r>
      <w:r w:rsidRPr="00EC4EC4">
        <w:t xml:space="preserve"> of the New York city building code, as </w:t>
      </w:r>
      <w:r>
        <w:t>amended</w:t>
      </w:r>
      <w:r w:rsidRPr="00EC4EC4">
        <w:t xml:space="preserve"> by local law number 126 for the year 2021, is amended to read as follows:</w:t>
      </w:r>
    </w:p>
    <w:p w14:paraId="1D043AE4" w14:textId="77777777" w:rsidR="00A75748" w:rsidRDefault="00A75748" w:rsidP="00A75748"/>
    <w:tbl>
      <w:tblPr>
        <w:tblStyle w:val="TableGrid22"/>
        <w:tblW w:w="5046" w:type="pct"/>
        <w:jc w:val="center"/>
        <w:tblInd w:w="0" w:type="dxa"/>
        <w:tblLook w:val="04A0" w:firstRow="1" w:lastRow="0" w:firstColumn="1" w:lastColumn="0" w:noHBand="0" w:noVBand="1"/>
      </w:tblPr>
      <w:tblGrid>
        <w:gridCol w:w="1371"/>
        <w:gridCol w:w="1683"/>
        <w:gridCol w:w="1338"/>
        <w:gridCol w:w="906"/>
        <w:gridCol w:w="1261"/>
        <w:gridCol w:w="694"/>
        <w:gridCol w:w="1183"/>
        <w:gridCol w:w="1251"/>
        <w:gridCol w:w="1338"/>
        <w:gridCol w:w="1005"/>
        <w:gridCol w:w="1338"/>
        <w:gridCol w:w="1005"/>
        <w:gridCol w:w="1262"/>
        <w:gridCol w:w="695"/>
        <w:gridCol w:w="1262"/>
        <w:gridCol w:w="1300"/>
      </w:tblGrid>
      <w:tr w:rsidR="00A75748" w:rsidRPr="00120864" w14:paraId="466600F7" w14:textId="77777777" w:rsidTr="00BC1087">
        <w:trPr>
          <w:cantSplit/>
          <w:trHeight w:val="565"/>
          <w:tblHeader/>
          <w:jc w:val="center"/>
        </w:trPr>
        <w:tc>
          <w:tcPr>
            <w:tcW w:w="5000" w:type="pct"/>
            <w:gridSpan w:val="16"/>
            <w:tcBorders>
              <w:top w:val="nil"/>
              <w:left w:val="nil"/>
              <w:bottom w:val="nil"/>
              <w:right w:val="nil"/>
            </w:tcBorders>
            <w:hideMark/>
          </w:tcPr>
          <w:p w14:paraId="4653F7F2" w14:textId="77777777" w:rsidR="00A75748" w:rsidRPr="00120864" w:rsidRDefault="00A75748" w:rsidP="00BC1087">
            <w:pPr>
              <w:jc w:val="center"/>
              <w:rPr>
                <w:b/>
                <w:szCs w:val="16"/>
              </w:rPr>
            </w:pPr>
            <w:r w:rsidRPr="00120864">
              <w:rPr>
                <w:b/>
                <w:szCs w:val="24"/>
              </w:rPr>
              <w:br w:type="page"/>
            </w:r>
            <w:bookmarkStart w:id="223" w:name="_Hlk118100500"/>
            <w:r w:rsidRPr="00120864">
              <w:rPr>
                <w:b/>
                <w:szCs w:val="24"/>
              </w:rPr>
              <w:t>T</w:t>
            </w:r>
            <w:r w:rsidRPr="00120864">
              <w:rPr>
                <w:b/>
                <w:szCs w:val="16"/>
              </w:rPr>
              <w:t>ABLE N1</w:t>
            </w:r>
          </w:p>
          <w:p w14:paraId="1E5BE4D2" w14:textId="77777777" w:rsidR="00A75748" w:rsidRPr="00120864" w:rsidRDefault="00A75748" w:rsidP="00BC1087">
            <w:pPr>
              <w:jc w:val="center"/>
              <w:rPr>
                <w:szCs w:val="16"/>
              </w:rPr>
            </w:pPr>
            <w:r w:rsidRPr="00120864">
              <w:rPr>
                <w:b/>
                <w:bCs/>
                <w:szCs w:val="16"/>
              </w:rPr>
              <w:t>REQUIRED INSPECTION AND TEST INTERVALS IN "MONTHS" (1)</w:t>
            </w:r>
          </w:p>
        </w:tc>
      </w:tr>
      <w:tr w:rsidR="00A75748" w:rsidRPr="00120864" w14:paraId="480F6F9E" w14:textId="77777777" w:rsidTr="00BC1087">
        <w:trPr>
          <w:cantSplit/>
          <w:trHeight w:val="607"/>
          <w:tblHeader/>
          <w:jc w:val="center"/>
        </w:trPr>
        <w:tc>
          <w:tcPr>
            <w:tcW w:w="808" w:type="pct"/>
            <w:gridSpan w:val="2"/>
            <w:vMerge w:val="restart"/>
            <w:tcBorders>
              <w:top w:val="nil"/>
              <w:left w:val="nil"/>
              <w:bottom w:val="single" w:sz="4" w:space="0" w:color="auto"/>
              <w:right w:val="single" w:sz="4" w:space="0" w:color="auto"/>
            </w:tcBorders>
            <w:vAlign w:val="center"/>
          </w:tcPr>
          <w:p w14:paraId="523FD1CE" w14:textId="77777777" w:rsidR="00A75748" w:rsidRPr="00120864" w:rsidRDefault="00A75748" w:rsidP="00BC1087">
            <w:pPr>
              <w:jc w:val="center"/>
              <w:rPr>
                <w:sz w:val="20"/>
                <w:szCs w:val="16"/>
              </w:rPr>
            </w:pPr>
          </w:p>
        </w:tc>
        <w:tc>
          <w:tcPr>
            <w:tcW w:w="1756" w:type="pct"/>
            <w:gridSpan w:val="6"/>
            <w:tcBorders>
              <w:top w:val="single" w:sz="2" w:space="0" w:color="auto"/>
              <w:left w:val="single" w:sz="4" w:space="0" w:color="auto"/>
              <w:bottom w:val="single" w:sz="4" w:space="0" w:color="auto"/>
              <w:right w:val="single" w:sz="24" w:space="0" w:color="auto"/>
            </w:tcBorders>
            <w:vAlign w:val="center"/>
            <w:hideMark/>
          </w:tcPr>
          <w:p w14:paraId="7560B003" w14:textId="77777777" w:rsidR="00A75748" w:rsidRPr="00120864" w:rsidRDefault="00A75748" w:rsidP="00BC1087">
            <w:pPr>
              <w:jc w:val="center"/>
              <w:rPr>
                <w:sz w:val="20"/>
                <w:szCs w:val="16"/>
              </w:rPr>
            </w:pPr>
            <w:r w:rsidRPr="00120864">
              <w:rPr>
                <w:sz w:val="20"/>
                <w:szCs w:val="16"/>
              </w:rPr>
              <w:t>Periodic Inspections on Behalf of Owner</w:t>
            </w:r>
            <w:r w:rsidRPr="00120864">
              <w:rPr>
                <w:sz w:val="20"/>
                <w:szCs w:val="16"/>
              </w:rPr>
              <w:br/>
              <w:t>By an Approved Agency (2)</w:t>
            </w:r>
          </w:p>
        </w:tc>
        <w:tc>
          <w:tcPr>
            <w:tcW w:w="2436" w:type="pct"/>
            <w:gridSpan w:val="8"/>
            <w:tcBorders>
              <w:top w:val="single" w:sz="2" w:space="0" w:color="auto"/>
              <w:left w:val="single" w:sz="24" w:space="0" w:color="auto"/>
              <w:bottom w:val="single" w:sz="4" w:space="0" w:color="auto"/>
              <w:right w:val="single" w:sz="4" w:space="0" w:color="auto"/>
            </w:tcBorders>
            <w:vAlign w:val="center"/>
            <w:hideMark/>
          </w:tcPr>
          <w:p w14:paraId="194D5DAD" w14:textId="77777777" w:rsidR="00A75748" w:rsidRPr="00120864" w:rsidRDefault="00A75748" w:rsidP="00BC1087">
            <w:pPr>
              <w:jc w:val="center"/>
              <w:rPr>
                <w:sz w:val="20"/>
                <w:szCs w:val="16"/>
              </w:rPr>
            </w:pPr>
            <w:r w:rsidRPr="00120864">
              <w:rPr>
                <w:sz w:val="20"/>
                <w:szCs w:val="16"/>
              </w:rPr>
              <w:t>Category Tests (3) on Behalf of Owner</w:t>
            </w:r>
            <w:r w:rsidRPr="00120864">
              <w:rPr>
                <w:sz w:val="20"/>
                <w:szCs w:val="16"/>
              </w:rPr>
              <w:br/>
              <w:t>By an Approved Agency (4)</w:t>
            </w:r>
          </w:p>
        </w:tc>
      </w:tr>
      <w:tr w:rsidR="00A75748" w:rsidRPr="00120864" w14:paraId="52214009" w14:textId="77777777" w:rsidTr="00BC1087">
        <w:trPr>
          <w:cantSplit/>
          <w:trHeight w:val="853"/>
          <w:tblHeader/>
          <w:jc w:val="center"/>
        </w:trPr>
        <w:tc>
          <w:tcPr>
            <w:tcW w:w="0" w:type="auto"/>
            <w:gridSpan w:val="2"/>
            <w:vMerge/>
            <w:tcBorders>
              <w:top w:val="nil"/>
              <w:left w:val="nil"/>
              <w:bottom w:val="single" w:sz="4" w:space="0" w:color="auto"/>
              <w:right w:val="single" w:sz="4" w:space="0" w:color="auto"/>
            </w:tcBorders>
            <w:vAlign w:val="center"/>
            <w:hideMark/>
          </w:tcPr>
          <w:p w14:paraId="1339DBF7" w14:textId="77777777" w:rsidR="00A75748" w:rsidRPr="00120864" w:rsidRDefault="00A75748" w:rsidP="00BC1087">
            <w:pPr>
              <w:rPr>
                <w:sz w:val="20"/>
                <w:szCs w:val="16"/>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14:paraId="2DB844DC" w14:textId="77777777" w:rsidR="00A75748" w:rsidRPr="00120864" w:rsidRDefault="00A75748" w:rsidP="00BC1087">
            <w:pPr>
              <w:jc w:val="center"/>
              <w:rPr>
                <w:sz w:val="20"/>
                <w:szCs w:val="16"/>
              </w:rPr>
            </w:pPr>
          </w:p>
        </w:tc>
        <w:tc>
          <w:tcPr>
            <w:tcW w:w="334" w:type="pct"/>
            <w:tcBorders>
              <w:top w:val="single" w:sz="4" w:space="0" w:color="auto"/>
              <w:left w:val="single" w:sz="4" w:space="0" w:color="auto"/>
              <w:bottom w:val="single" w:sz="24" w:space="0" w:color="auto"/>
              <w:right w:val="single" w:sz="4" w:space="0" w:color="auto"/>
            </w:tcBorders>
            <w:vAlign w:val="center"/>
            <w:hideMark/>
          </w:tcPr>
          <w:p w14:paraId="11367342" w14:textId="77777777" w:rsidR="00A75748" w:rsidRPr="00120864" w:rsidRDefault="00A75748" w:rsidP="00BC1087">
            <w:pPr>
              <w:jc w:val="center"/>
              <w:rPr>
                <w:sz w:val="20"/>
                <w:szCs w:val="16"/>
              </w:rPr>
            </w:pPr>
            <w:r w:rsidRPr="00120864">
              <w:rPr>
                <w:sz w:val="20"/>
                <w:szCs w:val="16"/>
              </w:rPr>
              <w:t>Notifications</w:t>
            </w:r>
          </w:p>
        </w:tc>
        <w:tc>
          <w:tcPr>
            <w:tcW w:w="184" w:type="pct"/>
            <w:tcBorders>
              <w:top w:val="single" w:sz="4" w:space="0" w:color="auto"/>
              <w:left w:val="single" w:sz="4" w:space="0" w:color="auto"/>
              <w:bottom w:val="single" w:sz="4" w:space="0" w:color="auto"/>
              <w:right w:val="single" w:sz="4" w:space="0" w:color="auto"/>
            </w:tcBorders>
            <w:vAlign w:val="center"/>
            <w:hideMark/>
          </w:tcPr>
          <w:p w14:paraId="70F05B74" w14:textId="77777777" w:rsidR="00A75748" w:rsidRPr="00120864" w:rsidRDefault="00A75748" w:rsidP="00BC1087">
            <w:pPr>
              <w:jc w:val="center"/>
              <w:rPr>
                <w:sz w:val="20"/>
                <w:szCs w:val="16"/>
              </w:rPr>
            </w:pPr>
            <w:r w:rsidRPr="00120864">
              <w:rPr>
                <w:sz w:val="20"/>
                <w:szCs w:val="16"/>
              </w:rPr>
              <w:t>Filing</w:t>
            </w:r>
          </w:p>
        </w:tc>
        <w:tc>
          <w:tcPr>
            <w:tcW w:w="313" w:type="pct"/>
            <w:tcBorders>
              <w:top w:val="single" w:sz="4" w:space="0" w:color="auto"/>
              <w:left w:val="single" w:sz="4" w:space="0" w:color="auto"/>
              <w:bottom w:val="single" w:sz="4" w:space="0" w:color="auto"/>
              <w:right w:val="single" w:sz="4" w:space="0" w:color="auto"/>
            </w:tcBorders>
            <w:vAlign w:val="center"/>
            <w:hideMark/>
          </w:tcPr>
          <w:p w14:paraId="4FF15EFC" w14:textId="77777777" w:rsidR="00A75748" w:rsidRPr="00120864" w:rsidRDefault="00A75748" w:rsidP="00BC1087">
            <w:pPr>
              <w:jc w:val="center"/>
              <w:rPr>
                <w:sz w:val="20"/>
                <w:szCs w:val="16"/>
              </w:rPr>
            </w:pPr>
            <w:r w:rsidRPr="00120864">
              <w:rPr>
                <w:sz w:val="20"/>
                <w:szCs w:val="16"/>
              </w:rPr>
              <w:t xml:space="preserve">Approved agency </w:t>
            </w:r>
            <w:r w:rsidRPr="00120864">
              <w:rPr>
                <w:sz w:val="20"/>
                <w:szCs w:val="16"/>
              </w:rPr>
              <w:br/>
              <w:t>(Inspecting)</w:t>
            </w:r>
          </w:p>
        </w:tc>
        <w:tc>
          <w:tcPr>
            <w:tcW w:w="331" w:type="pct"/>
            <w:tcBorders>
              <w:top w:val="single" w:sz="4" w:space="0" w:color="auto"/>
              <w:left w:val="single" w:sz="4" w:space="0" w:color="auto"/>
              <w:bottom w:val="single" w:sz="4" w:space="0" w:color="auto"/>
              <w:right w:val="single" w:sz="24" w:space="0" w:color="auto"/>
            </w:tcBorders>
            <w:vAlign w:val="center"/>
            <w:hideMark/>
          </w:tcPr>
          <w:p w14:paraId="79D5CE79" w14:textId="77777777" w:rsidR="00A75748" w:rsidRPr="00120864" w:rsidRDefault="00A75748" w:rsidP="00BC1087">
            <w:pPr>
              <w:jc w:val="center"/>
              <w:rPr>
                <w:sz w:val="20"/>
                <w:szCs w:val="16"/>
              </w:rPr>
            </w:pPr>
            <w:r w:rsidRPr="00120864">
              <w:rPr>
                <w:sz w:val="20"/>
                <w:szCs w:val="16"/>
              </w:rPr>
              <w:t>Approved Agency (Witnessing)</w:t>
            </w:r>
          </w:p>
        </w:tc>
        <w:tc>
          <w:tcPr>
            <w:tcW w:w="620" w:type="pct"/>
            <w:gridSpan w:val="2"/>
            <w:tcBorders>
              <w:top w:val="single" w:sz="4" w:space="0" w:color="auto"/>
              <w:left w:val="single" w:sz="24" w:space="0" w:color="auto"/>
              <w:bottom w:val="single" w:sz="4" w:space="0" w:color="auto"/>
              <w:right w:val="single" w:sz="4" w:space="0" w:color="auto"/>
            </w:tcBorders>
            <w:vAlign w:val="center"/>
            <w:hideMark/>
          </w:tcPr>
          <w:p w14:paraId="1A5EEB80" w14:textId="77777777" w:rsidR="00A75748" w:rsidRPr="00120864" w:rsidRDefault="00A75748" w:rsidP="00BC1087">
            <w:pPr>
              <w:jc w:val="center"/>
              <w:rPr>
                <w:b/>
                <w:sz w:val="20"/>
                <w:szCs w:val="16"/>
              </w:rPr>
            </w:pPr>
            <w:r w:rsidRPr="00120864">
              <w:rPr>
                <w:sz w:val="20"/>
                <w:szCs w:val="16"/>
              </w:rPr>
              <w:t>Category 1</w:t>
            </w:r>
          </w:p>
        </w:tc>
        <w:tc>
          <w:tcPr>
            <w:tcW w:w="620" w:type="pct"/>
            <w:gridSpan w:val="2"/>
            <w:tcBorders>
              <w:top w:val="single" w:sz="4" w:space="0" w:color="auto"/>
              <w:left w:val="single" w:sz="4" w:space="0" w:color="auto"/>
              <w:bottom w:val="single" w:sz="4" w:space="0" w:color="auto"/>
              <w:right w:val="single" w:sz="4" w:space="0" w:color="auto"/>
            </w:tcBorders>
            <w:vAlign w:val="center"/>
            <w:hideMark/>
          </w:tcPr>
          <w:p w14:paraId="467D4492" w14:textId="77777777" w:rsidR="00A75748" w:rsidRPr="00120864" w:rsidRDefault="00A75748" w:rsidP="00BC1087">
            <w:pPr>
              <w:jc w:val="center"/>
              <w:rPr>
                <w:b/>
                <w:sz w:val="20"/>
                <w:szCs w:val="16"/>
              </w:rPr>
            </w:pPr>
            <w:r w:rsidRPr="00120864">
              <w:rPr>
                <w:sz w:val="20"/>
                <w:szCs w:val="16"/>
              </w:rPr>
              <w:t>Category 5</w:t>
            </w:r>
          </w:p>
        </w:tc>
        <w:tc>
          <w:tcPr>
            <w:tcW w:w="334" w:type="pct"/>
            <w:tcBorders>
              <w:top w:val="single" w:sz="4" w:space="0" w:color="auto"/>
              <w:left w:val="single" w:sz="4" w:space="0" w:color="auto"/>
              <w:bottom w:val="single" w:sz="4" w:space="0" w:color="auto"/>
              <w:right w:val="single" w:sz="4" w:space="0" w:color="auto"/>
            </w:tcBorders>
            <w:vAlign w:val="center"/>
            <w:hideMark/>
          </w:tcPr>
          <w:p w14:paraId="4EBC8249" w14:textId="77777777" w:rsidR="00A75748" w:rsidRPr="00120864" w:rsidRDefault="00A75748" w:rsidP="00BC1087">
            <w:pPr>
              <w:jc w:val="center"/>
              <w:rPr>
                <w:sz w:val="20"/>
                <w:szCs w:val="16"/>
              </w:rPr>
            </w:pPr>
            <w:r w:rsidRPr="00120864">
              <w:rPr>
                <w:sz w:val="20"/>
                <w:szCs w:val="16"/>
              </w:rPr>
              <w:t>Notifications</w:t>
            </w:r>
          </w:p>
        </w:tc>
        <w:tc>
          <w:tcPr>
            <w:tcW w:w="184" w:type="pct"/>
            <w:tcBorders>
              <w:top w:val="single" w:sz="4" w:space="0" w:color="auto"/>
              <w:left w:val="single" w:sz="4" w:space="0" w:color="auto"/>
              <w:bottom w:val="single" w:sz="4" w:space="0" w:color="auto"/>
              <w:right w:val="single" w:sz="4" w:space="0" w:color="auto"/>
            </w:tcBorders>
            <w:vAlign w:val="center"/>
            <w:hideMark/>
          </w:tcPr>
          <w:p w14:paraId="30DEFDEA" w14:textId="77777777" w:rsidR="00A75748" w:rsidRPr="00120864" w:rsidRDefault="00A75748" w:rsidP="00BC1087">
            <w:pPr>
              <w:jc w:val="center"/>
              <w:rPr>
                <w:sz w:val="20"/>
                <w:szCs w:val="16"/>
              </w:rPr>
            </w:pPr>
            <w:r w:rsidRPr="00120864">
              <w:rPr>
                <w:sz w:val="20"/>
                <w:szCs w:val="16"/>
              </w:rPr>
              <w:t>Filing</w:t>
            </w:r>
          </w:p>
        </w:tc>
        <w:tc>
          <w:tcPr>
            <w:tcW w:w="334" w:type="pct"/>
            <w:tcBorders>
              <w:top w:val="single" w:sz="4" w:space="0" w:color="auto"/>
              <w:left w:val="single" w:sz="4" w:space="0" w:color="auto"/>
              <w:bottom w:val="single" w:sz="4" w:space="0" w:color="auto"/>
              <w:right w:val="single" w:sz="4" w:space="0" w:color="auto"/>
            </w:tcBorders>
            <w:vAlign w:val="center"/>
            <w:hideMark/>
          </w:tcPr>
          <w:p w14:paraId="75BFDA36" w14:textId="77777777" w:rsidR="00A75748" w:rsidRPr="00120864" w:rsidRDefault="00A75748" w:rsidP="00BC1087">
            <w:pPr>
              <w:jc w:val="center"/>
              <w:rPr>
                <w:sz w:val="20"/>
                <w:szCs w:val="16"/>
              </w:rPr>
            </w:pPr>
            <w:r w:rsidRPr="00120864">
              <w:rPr>
                <w:sz w:val="20"/>
                <w:szCs w:val="16"/>
              </w:rPr>
              <w:t>Approved agency (Performing)</w:t>
            </w:r>
          </w:p>
        </w:tc>
        <w:tc>
          <w:tcPr>
            <w:tcW w:w="344" w:type="pct"/>
            <w:tcBorders>
              <w:top w:val="single" w:sz="4" w:space="0" w:color="auto"/>
              <w:left w:val="single" w:sz="4" w:space="0" w:color="auto"/>
              <w:bottom w:val="single" w:sz="4" w:space="0" w:color="auto"/>
              <w:right w:val="single" w:sz="4" w:space="0" w:color="auto"/>
            </w:tcBorders>
            <w:vAlign w:val="center"/>
            <w:hideMark/>
          </w:tcPr>
          <w:p w14:paraId="5C235283" w14:textId="77777777" w:rsidR="00A75748" w:rsidRPr="00120864" w:rsidRDefault="00A75748" w:rsidP="00BC1087">
            <w:pPr>
              <w:jc w:val="center"/>
              <w:rPr>
                <w:sz w:val="20"/>
                <w:szCs w:val="16"/>
              </w:rPr>
            </w:pPr>
            <w:r w:rsidRPr="00120864">
              <w:rPr>
                <w:sz w:val="20"/>
                <w:szCs w:val="16"/>
              </w:rPr>
              <w:t>Approved Agency (Witnessing)</w:t>
            </w:r>
          </w:p>
        </w:tc>
      </w:tr>
      <w:tr w:rsidR="00A75748" w:rsidRPr="00120864" w14:paraId="3E45477B" w14:textId="77777777" w:rsidTr="00BC1087">
        <w:trPr>
          <w:cantSplit/>
          <w:trHeight w:val="499"/>
          <w:tblHeader/>
          <w:jc w:val="center"/>
        </w:trPr>
        <w:tc>
          <w:tcPr>
            <w:tcW w:w="363" w:type="pct"/>
            <w:tcBorders>
              <w:top w:val="single" w:sz="24" w:space="0" w:color="auto"/>
              <w:left w:val="single" w:sz="4" w:space="0" w:color="auto"/>
              <w:bottom w:val="single" w:sz="4" w:space="0" w:color="auto"/>
              <w:right w:val="single" w:sz="4" w:space="0" w:color="auto"/>
            </w:tcBorders>
            <w:vAlign w:val="center"/>
            <w:hideMark/>
          </w:tcPr>
          <w:p w14:paraId="60A267F1" w14:textId="77777777" w:rsidR="00A75748" w:rsidRPr="00120864" w:rsidRDefault="00A75748" w:rsidP="00BC1087">
            <w:pPr>
              <w:jc w:val="center"/>
              <w:rPr>
                <w:b/>
                <w:sz w:val="20"/>
                <w:szCs w:val="16"/>
              </w:rPr>
            </w:pPr>
            <w:r w:rsidRPr="00120864">
              <w:rPr>
                <w:b/>
                <w:sz w:val="20"/>
                <w:szCs w:val="16"/>
              </w:rPr>
              <w:t>Reference Code</w:t>
            </w:r>
          </w:p>
        </w:tc>
        <w:tc>
          <w:tcPr>
            <w:tcW w:w="445" w:type="pct"/>
            <w:tcBorders>
              <w:top w:val="single" w:sz="24" w:space="0" w:color="auto"/>
              <w:left w:val="single" w:sz="4" w:space="0" w:color="auto"/>
              <w:bottom w:val="single" w:sz="4" w:space="0" w:color="auto"/>
              <w:right w:val="single" w:sz="4" w:space="0" w:color="auto"/>
            </w:tcBorders>
            <w:vAlign w:val="center"/>
            <w:hideMark/>
          </w:tcPr>
          <w:p w14:paraId="517A7E1D" w14:textId="77777777" w:rsidR="00A75748" w:rsidRPr="00120864" w:rsidRDefault="00A75748" w:rsidP="00BC1087">
            <w:pPr>
              <w:jc w:val="center"/>
              <w:rPr>
                <w:b/>
                <w:sz w:val="20"/>
                <w:szCs w:val="16"/>
              </w:rPr>
            </w:pPr>
            <w:r w:rsidRPr="00120864">
              <w:rPr>
                <w:b/>
                <w:sz w:val="20"/>
                <w:szCs w:val="16"/>
              </w:rPr>
              <w:t>Equipment Type (5)</w:t>
            </w:r>
          </w:p>
        </w:tc>
        <w:tc>
          <w:tcPr>
            <w:tcW w:w="354" w:type="pct"/>
            <w:tcBorders>
              <w:top w:val="single" w:sz="24" w:space="0" w:color="auto"/>
              <w:left w:val="single" w:sz="4" w:space="0" w:color="auto"/>
              <w:bottom w:val="single" w:sz="4" w:space="0" w:color="auto"/>
              <w:right w:val="single" w:sz="4" w:space="0" w:color="auto"/>
            </w:tcBorders>
            <w:vAlign w:val="center"/>
            <w:hideMark/>
          </w:tcPr>
          <w:p w14:paraId="6344F826" w14:textId="77777777" w:rsidR="00A75748" w:rsidRPr="00120864" w:rsidRDefault="00A75748" w:rsidP="00BC1087">
            <w:pPr>
              <w:jc w:val="center"/>
              <w:rPr>
                <w:b/>
                <w:sz w:val="20"/>
                <w:szCs w:val="16"/>
              </w:rPr>
            </w:pPr>
            <w:r w:rsidRPr="00120864">
              <w:rPr>
                <w:b/>
                <w:sz w:val="20"/>
                <w:szCs w:val="16"/>
              </w:rPr>
              <w:t>Requirement</w:t>
            </w:r>
          </w:p>
        </w:tc>
        <w:tc>
          <w:tcPr>
            <w:tcW w:w="240" w:type="pct"/>
            <w:tcBorders>
              <w:top w:val="single" w:sz="24" w:space="0" w:color="auto"/>
              <w:left w:val="single" w:sz="4" w:space="0" w:color="auto"/>
              <w:bottom w:val="single" w:sz="4" w:space="0" w:color="auto"/>
              <w:right w:val="single" w:sz="4" w:space="0" w:color="auto"/>
            </w:tcBorders>
            <w:vAlign w:val="center"/>
            <w:hideMark/>
          </w:tcPr>
          <w:p w14:paraId="67F0ACEF" w14:textId="77777777" w:rsidR="00A75748" w:rsidRPr="00120864" w:rsidRDefault="00A75748" w:rsidP="00BC1087">
            <w:pPr>
              <w:jc w:val="center"/>
              <w:rPr>
                <w:b/>
                <w:sz w:val="20"/>
                <w:szCs w:val="16"/>
              </w:rPr>
            </w:pPr>
            <w:r w:rsidRPr="00120864">
              <w:rPr>
                <w:b/>
                <w:sz w:val="20"/>
                <w:szCs w:val="16"/>
              </w:rPr>
              <w:t>Interval</w:t>
            </w:r>
          </w:p>
        </w:tc>
        <w:tc>
          <w:tcPr>
            <w:tcW w:w="1162" w:type="pct"/>
            <w:gridSpan w:val="4"/>
            <w:tcBorders>
              <w:top w:val="single" w:sz="24" w:space="0" w:color="auto"/>
              <w:left w:val="single" w:sz="4" w:space="0" w:color="auto"/>
              <w:bottom w:val="single" w:sz="4" w:space="0" w:color="auto"/>
              <w:right w:val="single" w:sz="24" w:space="0" w:color="auto"/>
            </w:tcBorders>
          </w:tcPr>
          <w:p w14:paraId="17273294" w14:textId="77777777" w:rsidR="00A75748" w:rsidRPr="00120864" w:rsidRDefault="00A75748" w:rsidP="00BC1087">
            <w:pPr>
              <w:jc w:val="center"/>
              <w:rPr>
                <w:b/>
                <w:sz w:val="20"/>
                <w:szCs w:val="16"/>
              </w:rPr>
            </w:pPr>
          </w:p>
        </w:tc>
        <w:tc>
          <w:tcPr>
            <w:tcW w:w="354" w:type="pct"/>
            <w:tcBorders>
              <w:top w:val="single" w:sz="24" w:space="0" w:color="auto"/>
              <w:left w:val="single" w:sz="24" w:space="0" w:color="auto"/>
              <w:bottom w:val="single" w:sz="4" w:space="0" w:color="auto"/>
              <w:right w:val="single" w:sz="4" w:space="0" w:color="auto"/>
            </w:tcBorders>
            <w:vAlign w:val="center"/>
            <w:hideMark/>
          </w:tcPr>
          <w:p w14:paraId="55CC24DE" w14:textId="77777777" w:rsidR="00A75748" w:rsidRPr="00120864" w:rsidRDefault="00A75748" w:rsidP="00BC1087">
            <w:pPr>
              <w:jc w:val="center"/>
              <w:rPr>
                <w:b/>
                <w:sz w:val="20"/>
                <w:szCs w:val="16"/>
              </w:rPr>
            </w:pPr>
            <w:r w:rsidRPr="00120864">
              <w:rPr>
                <w:b/>
                <w:sz w:val="20"/>
                <w:szCs w:val="16"/>
              </w:rPr>
              <w:t>Requirement</w:t>
            </w:r>
          </w:p>
        </w:tc>
        <w:tc>
          <w:tcPr>
            <w:tcW w:w="266" w:type="pct"/>
            <w:tcBorders>
              <w:top w:val="single" w:sz="24" w:space="0" w:color="auto"/>
              <w:left w:val="single" w:sz="4" w:space="0" w:color="auto"/>
              <w:bottom w:val="single" w:sz="4" w:space="0" w:color="auto"/>
              <w:right w:val="single" w:sz="4" w:space="0" w:color="auto"/>
            </w:tcBorders>
            <w:vAlign w:val="center"/>
            <w:hideMark/>
          </w:tcPr>
          <w:p w14:paraId="13AF2EF8" w14:textId="77777777" w:rsidR="00A75748" w:rsidRPr="00120864" w:rsidRDefault="00A75748" w:rsidP="00BC1087">
            <w:pPr>
              <w:jc w:val="center"/>
              <w:rPr>
                <w:b/>
                <w:sz w:val="20"/>
                <w:szCs w:val="16"/>
              </w:rPr>
            </w:pPr>
            <w:r w:rsidRPr="00120864">
              <w:rPr>
                <w:b/>
                <w:sz w:val="20"/>
                <w:szCs w:val="16"/>
              </w:rPr>
              <w:t>Interval</w:t>
            </w:r>
          </w:p>
        </w:tc>
        <w:tc>
          <w:tcPr>
            <w:tcW w:w="354" w:type="pct"/>
            <w:tcBorders>
              <w:top w:val="single" w:sz="24" w:space="0" w:color="auto"/>
              <w:left w:val="single" w:sz="4" w:space="0" w:color="auto"/>
              <w:bottom w:val="single" w:sz="4" w:space="0" w:color="auto"/>
              <w:right w:val="single" w:sz="4" w:space="0" w:color="auto"/>
            </w:tcBorders>
            <w:vAlign w:val="center"/>
            <w:hideMark/>
          </w:tcPr>
          <w:p w14:paraId="42A99D29" w14:textId="77777777" w:rsidR="00A75748" w:rsidRPr="00120864" w:rsidRDefault="00A75748" w:rsidP="00BC1087">
            <w:pPr>
              <w:jc w:val="center"/>
              <w:rPr>
                <w:b/>
                <w:sz w:val="20"/>
                <w:szCs w:val="16"/>
              </w:rPr>
            </w:pPr>
            <w:r w:rsidRPr="00120864">
              <w:rPr>
                <w:b/>
                <w:sz w:val="20"/>
                <w:szCs w:val="16"/>
              </w:rPr>
              <w:t>Requirement</w:t>
            </w:r>
          </w:p>
        </w:tc>
        <w:tc>
          <w:tcPr>
            <w:tcW w:w="266" w:type="pct"/>
            <w:tcBorders>
              <w:top w:val="single" w:sz="24" w:space="0" w:color="auto"/>
              <w:left w:val="single" w:sz="4" w:space="0" w:color="auto"/>
              <w:bottom w:val="single" w:sz="4" w:space="0" w:color="auto"/>
              <w:right w:val="single" w:sz="4" w:space="0" w:color="auto"/>
            </w:tcBorders>
            <w:vAlign w:val="center"/>
            <w:hideMark/>
          </w:tcPr>
          <w:p w14:paraId="7FFF0927" w14:textId="77777777" w:rsidR="00A75748" w:rsidRPr="00120864" w:rsidRDefault="00A75748" w:rsidP="00BC1087">
            <w:pPr>
              <w:jc w:val="center"/>
              <w:rPr>
                <w:b/>
                <w:sz w:val="20"/>
                <w:szCs w:val="16"/>
              </w:rPr>
            </w:pPr>
            <w:r w:rsidRPr="00120864">
              <w:rPr>
                <w:b/>
                <w:sz w:val="20"/>
                <w:szCs w:val="16"/>
              </w:rPr>
              <w:t>Interval</w:t>
            </w:r>
          </w:p>
        </w:tc>
        <w:tc>
          <w:tcPr>
            <w:tcW w:w="1196" w:type="pct"/>
            <w:gridSpan w:val="4"/>
            <w:tcBorders>
              <w:top w:val="single" w:sz="24" w:space="0" w:color="auto"/>
              <w:left w:val="single" w:sz="4" w:space="0" w:color="auto"/>
              <w:bottom w:val="single" w:sz="4" w:space="0" w:color="auto"/>
              <w:right w:val="single" w:sz="4" w:space="0" w:color="auto"/>
            </w:tcBorders>
            <w:vAlign w:val="center"/>
          </w:tcPr>
          <w:p w14:paraId="760F2682" w14:textId="77777777" w:rsidR="00A75748" w:rsidRPr="00120864" w:rsidRDefault="00A75748" w:rsidP="00BC1087">
            <w:pPr>
              <w:jc w:val="center"/>
              <w:rPr>
                <w:sz w:val="20"/>
                <w:szCs w:val="16"/>
              </w:rPr>
            </w:pPr>
          </w:p>
        </w:tc>
      </w:tr>
      <w:tr w:rsidR="00A75748" w:rsidRPr="00120864" w14:paraId="165892C5" w14:textId="77777777" w:rsidTr="00BC1087">
        <w:trPr>
          <w:cantSplit/>
          <w:trHeight w:val="287"/>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02D41613"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1D5F88F5" w14:textId="77777777" w:rsidR="00A75748" w:rsidRPr="00120864" w:rsidRDefault="00A75748" w:rsidP="00BC1087">
            <w:pPr>
              <w:jc w:val="center"/>
              <w:rPr>
                <w:sz w:val="20"/>
                <w:szCs w:val="16"/>
              </w:rPr>
            </w:pPr>
            <w:r w:rsidRPr="00120864">
              <w:rPr>
                <w:sz w:val="20"/>
                <w:szCs w:val="16"/>
              </w:rPr>
              <w:t>Electric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7515DF5E" w14:textId="77777777" w:rsidR="00A75748" w:rsidRPr="00120864" w:rsidRDefault="00A75748" w:rsidP="00BC1087">
            <w:pPr>
              <w:jc w:val="center"/>
              <w:rPr>
                <w:sz w:val="20"/>
                <w:szCs w:val="16"/>
              </w:rPr>
            </w:pPr>
            <w:r w:rsidRPr="00120864">
              <w:rPr>
                <w:sz w:val="20"/>
                <w:szCs w:val="16"/>
              </w:rPr>
              <w:t>8.11.2.1</w:t>
            </w:r>
          </w:p>
        </w:tc>
        <w:tc>
          <w:tcPr>
            <w:tcW w:w="240" w:type="pct"/>
            <w:tcBorders>
              <w:top w:val="single" w:sz="4" w:space="0" w:color="auto"/>
              <w:left w:val="single" w:sz="4" w:space="0" w:color="auto"/>
              <w:bottom w:val="single" w:sz="4" w:space="0" w:color="auto"/>
              <w:right w:val="single" w:sz="4" w:space="0" w:color="auto"/>
            </w:tcBorders>
            <w:vAlign w:val="center"/>
            <w:hideMark/>
          </w:tcPr>
          <w:p w14:paraId="63270B1D"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6BE23C03"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61252F2E"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6A8FEDB9"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2E9FAF45"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3F13B478" w14:textId="77777777" w:rsidR="00A75748" w:rsidRPr="00120864" w:rsidRDefault="00A75748" w:rsidP="00BC1087">
            <w:pPr>
              <w:jc w:val="center"/>
              <w:rPr>
                <w:sz w:val="20"/>
                <w:szCs w:val="16"/>
              </w:rPr>
            </w:pPr>
            <w:r w:rsidRPr="00120864">
              <w:rPr>
                <w:sz w:val="20"/>
                <w:szCs w:val="16"/>
              </w:rPr>
              <w:t>8.6.4.19</w:t>
            </w:r>
          </w:p>
        </w:tc>
        <w:tc>
          <w:tcPr>
            <w:tcW w:w="266" w:type="pct"/>
            <w:tcBorders>
              <w:top w:val="single" w:sz="4" w:space="0" w:color="auto"/>
              <w:left w:val="single" w:sz="4" w:space="0" w:color="auto"/>
              <w:bottom w:val="single" w:sz="4" w:space="0" w:color="auto"/>
              <w:right w:val="single" w:sz="4" w:space="0" w:color="auto"/>
            </w:tcBorders>
            <w:vAlign w:val="center"/>
            <w:hideMark/>
          </w:tcPr>
          <w:p w14:paraId="71FF4797"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696A708D" w14:textId="77777777" w:rsidR="00A75748" w:rsidRPr="00120864" w:rsidRDefault="00A75748" w:rsidP="00BC1087">
            <w:pPr>
              <w:jc w:val="center"/>
              <w:rPr>
                <w:sz w:val="20"/>
                <w:szCs w:val="16"/>
              </w:rPr>
            </w:pPr>
            <w:r w:rsidRPr="00120864">
              <w:rPr>
                <w:sz w:val="20"/>
                <w:szCs w:val="16"/>
              </w:rPr>
              <w:t>8.6.4.20</w:t>
            </w:r>
          </w:p>
        </w:tc>
        <w:tc>
          <w:tcPr>
            <w:tcW w:w="266" w:type="pct"/>
            <w:tcBorders>
              <w:top w:val="single" w:sz="4" w:space="0" w:color="auto"/>
              <w:left w:val="single" w:sz="4" w:space="0" w:color="auto"/>
              <w:bottom w:val="single" w:sz="4" w:space="0" w:color="auto"/>
              <w:right w:val="single" w:sz="4" w:space="0" w:color="auto"/>
            </w:tcBorders>
            <w:vAlign w:val="center"/>
            <w:hideMark/>
          </w:tcPr>
          <w:p w14:paraId="336CC570"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6EDF28F6" w14:textId="77777777" w:rsidR="00A75748" w:rsidRPr="00120864" w:rsidRDefault="00A75748" w:rsidP="00BC1087">
            <w:pPr>
              <w:jc w:val="center"/>
              <w:rPr>
                <w:sz w:val="20"/>
                <w:szCs w:val="16"/>
              </w:rPr>
            </w:pPr>
            <w:r w:rsidRPr="00120864">
              <w:rPr>
                <w:sz w:val="20"/>
                <w:szCs w:val="16"/>
              </w:rPr>
              <w:t>Yes (Cat. 5)</w:t>
            </w:r>
          </w:p>
        </w:tc>
        <w:tc>
          <w:tcPr>
            <w:tcW w:w="184" w:type="pct"/>
            <w:tcBorders>
              <w:top w:val="single" w:sz="4" w:space="0" w:color="auto"/>
              <w:left w:val="single" w:sz="4" w:space="0" w:color="auto"/>
              <w:bottom w:val="single" w:sz="4" w:space="0" w:color="auto"/>
              <w:right w:val="single" w:sz="4" w:space="0" w:color="auto"/>
            </w:tcBorders>
            <w:vAlign w:val="center"/>
            <w:hideMark/>
          </w:tcPr>
          <w:p w14:paraId="023345F4"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040F5A5E"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5C0A6885" w14:textId="77777777" w:rsidR="00A75748" w:rsidRPr="00120864" w:rsidRDefault="00A75748" w:rsidP="00BC1087">
            <w:pPr>
              <w:jc w:val="center"/>
              <w:rPr>
                <w:sz w:val="20"/>
                <w:szCs w:val="16"/>
              </w:rPr>
            </w:pPr>
            <w:r w:rsidRPr="00120864">
              <w:rPr>
                <w:sz w:val="20"/>
                <w:szCs w:val="16"/>
              </w:rPr>
              <w:t>Yes</w:t>
            </w:r>
          </w:p>
        </w:tc>
      </w:tr>
      <w:tr w:rsidR="00A75748" w:rsidRPr="00120864" w14:paraId="0480EF9A" w14:textId="77777777" w:rsidTr="00BC1087">
        <w:trPr>
          <w:cantSplit/>
          <w:trHeight w:val="479"/>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5F035FAA"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1F79DD45" w14:textId="77777777" w:rsidR="00A75748" w:rsidRPr="00120864" w:rsidRDefault="00A75748" w:rsidP="00BC1087">
            <w:pPr>
              <w:jc w:val="center"/>
              <w:rPr>
                <w:sz w:val="20"/>
                <w:szCs w:val="16"/>
              </w:rPr>
            </w:pPr>
            <w:r w:rsidRPr="00120864">
              <w:rPr>
                <w:sz w:val="20"/>
                <w:szCs w:val="16"/>
              </w:rPr>
              <w:t>Hydraulic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212A51BF" w14:textId="77777777" w:rsidR="00A75748" w:rsidRPr="00120864" w:rsidRDefault="00A75748" w:rsidP="00BC1087">
            <w:pPr>
              <w:jc w:val="center"/>
              <w:rPr>
                <w:sz w:val="20"/>
                <w:szCs w:val="16"/>
              </w:rPr>
            </w:pPr>
            <w:r w:rsidRPr="00120864">
              <w:rPr>
                <w:sz w:val="20"/>
                <w:szCs w:val="16"/>
              </w:rPr>
              <w:t>8.11.3.1</w:t>
            </w:r>
          </w:p>
        </w:tc>
        <w:tc>
          <w:tcPr>
            <w:tcW w:w="240" w:type="pct"/>
            <w:tcBorders>
              <w:top w:val="single" w:sz="4" w:space="0" w:color="auto"/>
              <w:left w:val="single" w:sz="4" w:space="0" w:color="auto"/>
              <w:bottom w:val="single" w:sz="4" w:space="0" w:color="auto"/>
              <w:right w:val="single" w:sz="4" w:space="0" w:color="auto"/>
            </w:tcBorders>
            <w:vAlign w:val="center"/>
            <w:hideMark/>
          </w:tcPr>
          <w:p w14:paraId="6F8ED045"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54D8D6A2"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1DAEF087"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5B4E1F31"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5F0F84D3"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71676D50" w14:textId="77777777" w:rsidR="00A75748" w:rsidRPr="00120864" w:rsidRDefault="00A75748" w:rsidP="00BC1087">
            <w:pPr>
              <w:jc w:val="center"/>
              <w:rPr>
                <w:sz w:val="20"/>
                <w:szCs w:val="16"/>
              </w:rPr>
            </w:pPr>
            <w:r w:rsidRPr="00120864">
              <w:rPr>
                <w:sz w:val="20"/>
                <w:szCs w:val="16"/>
              </w:rPr>
              <w:t>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27D98E06"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602A4EAD" w14:textId="77777777" w:rsidR="00A75748" w:rsidRPr="00120864" w:rsidRDefault="00A75748" w:rsidP="00BC1087">
            <w:pPr>
              <w:jc w:val="center"/>
              <w:rPr>
                <w:sz w:val="20"/>
                <w:szCs w:val="16"/>
              </w:rPr>
            </w:pPr>
            <w:r w:rsidRPr="00120864">
              <w:rPr>
                <w:sz w:val="20"/>
                <w:szCs w:val="16"/>
              </w:rPr>
              <w:t>Roped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52191C29"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285A3E84" w14:textId="77777777" w:rsidR="00A75748" w:rsidRPr="00120864" w:rsidRDefault="00A75748" w:rsidP="00BC1087">
            <w:pPr>
              <w:jc w:val="center"/>
              <w:rPr>
                <w:sz w:val="20"/>
                <w:szCs w:val="16"/>
              </w:rPr>
            </w:pPr>
            <w:r w:rsidRPr="00120864">
              <w:rPr>
                <w:sz w:val="20"/>
                <w:szCs w:val="16"/>
              </w:rPr>
              <w:t>Yes (Cat. 5)</w:t>
            </w:r>
          </w:p>
        </w:tc>
        <w:tc>
          <w:tcPr>
            <w:tcW w:w="184" w:type="pct"/>
            <w:tcBorders>
              <w:top w:val="single" w:sz="4" w:space="0" w:color="auto"/>
              <w:left w:val="single" w:sz="4" w:space="0" w:color="auto"/>
              <w:bottom w:val="single" w:sz="4" w:space="0" w:color="auto"/>
              <w:right w:val="single" w:sz="4" w:space="0" w:color="auto"/>
            </w:tcBorders>
            <w:vAlign w:val="center"/>
            <w:hideMark/>
          </w:tcPr>
          <w:p w14:paraId="291D1DD4"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5D0E199E"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00F9A6CE" w14:textId="77777777" w:rsidR="00A75748" w:rsidRPr="00120864" w:rsidRDefault="00A75748" w:rsidP="00BC1087">
            <w:pPr>
              <w:jc w:val="center"/>
              <w:rPr>
                <w:sz w:val="20"/>
                <w:szCs w:val="16"/>
              </w:rPr>
            </w:pPr>
            <w:r w:rsidRPr="00120864">
              <w:rPr>
                <w:sz w:val="20"/>
                <w:szCs w:val="16"/>
              </w:rPr>
              <w:t>Yes</w:t>
            </w:r>
          </w:p>
        </w:tc>
      </w:tr>
      <w:tr w:rsidR="00A75748" w:rsidRPr="00120864" w14:paraId="0F31B0DE" w14:textId="77777777" w:rsidTr="00BC1087">
        <w:trPr>
          <w:cantSplit/>
          <w:trHeight w:val="548"/>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6174945A"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506C28E1" w14:textId="77777777" w:rsidR="00A75748" w:rsidRPr="00120864" w:rsidRDefault="00A75748" w:rsidP="00BC1087">
            <w:pPr>
              <w:jc w:val="center"/>
              <w:rPr>
                <w:sz w:val="20"/>
                <w:szCs w:val="16"/>
              </w:rPr>
            </w:pPr>
            <w:r w:rsidRPr="00120864">
              <w:rPr>
                <w:sz w:val="20"/>
                <w:szCs w:val="16"/>
              </w:rPr>
              <w:t>Escalators &amp; Moving Walks</w:t>
            </w:r>
          </w:p>
        </w:tc>
        <w:tc>
          <w:tcPr>
            <w:tcW w:w="354" w:type="pct"/>
            <w:tcBorders>
              <w:top w:val="single" w:sz="4" w:space="0" w:color="auto"/>
              <w:left w:val="single" w:sz="4" w:space="0" w:color="auto"/>
              <w:bottom w:val="single" w:sz="4" w:space="0" w:color="auto"/>
              <w:right w:val="single" w:sz="4" w:space="0" w:color="auto"/>
            </w:tcBorders>
            <w:vAlign w:val="center"/>
            <w:hideMark/>
          </w:tcPr>
          <w:p w14:paraId="606914B5" w14:textId="77777777" w:rsidR="00A75748" w:rsidRPr="00120864" w:rsidRDefault="00A75748" w:rsidP="00BC1087">
            <w:pPr>
              <w:jc w:val="center"/>
              <w:rPr>
                <w:sz w:val="20"/>
                <w:szCs w:val="16"/>
              </w:rPr>
            </w:pPr>
            <w:r w:rsidRPr="00120864">
              <w:rPr>
                <w:sz w:val="20"/>
                <w:szCs w:val="16"/>
              </w:rPr>
              <w:t>8.11.4.1</w:t>
            </w:r>
          </w:p>
        </w:tc>
        <w:tc>
          <w:tcPr>
            <w:tcW w:w="240" w:type="pct"/>
            <w:tcBorders>
              <w:top w:val="single" w:sz="4" w:space="0" w:color="auto"/>
              <w:left w:val="single" w:sz="4" w:space="0" w:color="auto"/>
              <w:bottom w:val="single" w:sz="4" w:space="0" w:color="auto"/>
              <w:right w:val="single" w:sz="4" w:space="0" w:color="auto"/>
            </w:tcBorders>
            <w:vAlign w:val="center"/>
            <w:hideMark/>
          </w:tcPr>
          <w:p w14:paraId="3A4C3CD8"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19C70330"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02D1FE51"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4D160D8A"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6212561A"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747E14A9" w14:textId="77777777" w:rsidR="00A75748" w:rsidRPr="00120864" w:rsidRDefault="00A75748" w:rsidP="00BC1087">
            <w:pPr>
              <w:jc w:val="center"/>
              <w:rPr>
                <w:sz w:val="20"/>
                <w:szCs w:val="16"/>
              </w:rPr>
            </w:pPr>
            <w:r w:rsidRPr="00120864">
              <w:rPr>
                <w:sz w:val="20"/>
                <w:szCs w:val="16"/>
              </w:rPr>
              <w:t>8.6.8.15</w:t>
            </w:r>
          </w:p>
        </w:tc>
        <w:tc>
          <w:tcPr>
            <w:tcW w:w="266" w:type="pct"/>
            <w:tcBorders>
              <w:top w:val="single" w:sz="4" w:space="0" w:color="auto"/>
              <w:left w:val="single" w:sz="4" w:space="0" w:color="auto"/>
              <w:bottom w:val="single" w:sz="4" w:space="0" w:color="auto"/>
              <w:right w:val="single" w:sz="4" w:space="0" w:color="auto"/>
            </w:tcBorders>
            <w:vAlign w:val="center"/>
            <w:hideMark/>
          </w:tcPr>
          <w:p w14:paraId="23EB82D8"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1D075E3B" w14:textId="77777777" w:rsidR="00A75748" w:rsidRPr="00120864" w:rsidRDefault="00A75748" w:rsidP="00BC1087">
            <w:pPr>
              <w:jc w:val="center"/>
              <w:rPr>
                <w:sz w:val="20"/>
                <w:szCs w:val="16"/>
              </w:rPr>
            </w:pPr>
            <w:r w:rsidRPr="00120864">
              <w:rPr>
                <w:sz w:val="20"/>
                <w:szCs w:val="16"/>
              </w:rPr>
              <w:t>N/A</w:t>
            </w:r>
          </w:p>
        </w:tc>
        <w:tc>
          <w:tcPr>
            <w:tcW w:w="266" w:type="pct"/>
            <w:tcBorders>
              <w:top w:val="single" w:sz="4" w:space="0" w:color="auto"/>
              <w:left w:val="single" w:sz="4" w:space="0" w:color="auto"/>
              <w:bottom w:val="single" w:sz="4" w:space="0" w:color="auto"/>
              <w:right w:val="single" w:sz="4" w:space="0" w:color="auto"/>
            </w:tcBorders>
            <w:vAlign w:val="center"/>
            <w:hideMark/>
          </w:tcPr>
          <w:p w14:paraId="3EB6B508" w14:textId="77777777" w:rsidR="00A75748" w:rsidRPr="00120864" w:rsidRDefault="00A75748" w:rsidP="00BC1087">
            <w:pPr>
              <w:jc w:val="center"/>
              <w:rPr>
                <w:sz w:val="20"/>
                <w:szCs w:val="16"/>
              </w:rPr>
            </w:pPr>
            <w:r w:rsidRPr="00120864">
              <w:rPr>
                <w:sz w:val="20"/>
                <w:szCs w:val="16"/>
              </w:rPr>
              <w:t>N/A</w:t>
            </w:r>
          </w:p>
        </w:tc>
        <w:tc>
          <w:tcPr>
            <w:tcW w:w="334" w:type="pct"/>
            <w:tcBorders>
              <w:top w:val="single" w:sz="4" w:space="0" w:color="auto"/>
              <w:left w:val="single" w:sz="4" w:space="0" w:color="auto"/>
              <w:bottom w:val="single" w:sz="4" w:space="0" w:color="auto"/>
              <w:right w:val="single" w:sz="4" w:space="0" w:color="auto"/>
            </w:tcBorders>
            <w:vAlign w:val="center"/>
            <w:hideMark/>
          </w:tcPr>
          <w:p w14:paraId="024BC535" w14:textId="77777777" w:rsidR="00A75748" w:rsidRPr="00120864" w:rsidRDefault="00A75748" w:rsidP="00BC1087">
            <w:pPr>
              <w:jc w:val="center"/>
              <w:rPr>
                <w:sz w:val="20"/>
                <w:szCs w:val="16"/>
              </w:rPr>
            </w:pPr>
            <w:r w:rsidRPr="00120864">
              <w:rPr>
                <w:sz w:val="20"/>
                <w:szCs w:val="16"/>
              </w:rPr>
              <w:t>Yes (Cat. 1)</w:t>
            </w:r>
          </w:p>
        </w:tc>
        <w:tc>
          <w:tcPr>
            <w:tcW w:w="184" w:type="pct"/>
            <w:tcBorders>
              <w:top w:val="single" w:sz="4" w:space="0" w:color="auto"/>
              <w:left w:val="single" w:sz="4" w:space="0" w:color="auto"/>
              <w:bottom w:val="single" w:sz="4" w:space="0" w:color="auto"/>
              <w:right w:val="single" w:sz="4" w:space="0" w:color="auto"/>
            </w:tcBorders>
            <w:vAlign w:val="center"/>
            <w:hideMark/>
          </w:tcPr>
          <w:p w14:paraId="2FD938CE"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3B64F34E"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2AD6D838" w14:textId="77777777" w:rsidR="00A75748" w:rsidRPr="00120864" w:rsidRDefault="00A75748" w:rsidP="00BC1087">
            <w:pPr>
              <w:jc w:val="center"/>
              <w:rPr>
                <w:sz w:val="20"/>
                <w:szCs w:val="16"/>
              </w:rPr>
            </w:pPr>
            <w:r w:rsidRPr="00120864">
              <w:rPr>
                <w:sz w:val="20"/>
                <w:szCs w:val="16"/>
              </w:rPr>
              <w:t>Yes</w:t>
            </w:r>
          </w:p>
        </w:tc>
      </w:tr>
      <w:tr w:rsidR="00A75748" w:rsidRPr="00120864" w14:paraId="176BD2AA" w14:textId="77777777" w:rsidTr="00BC1087">
        <w:trPr>
          <w:cantSplit/>
          <w:trHeight w:val="44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005AE3EF"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39E6EC8A" w14:textId="77777777" w:rsidR="00A75748" w:rsidRPr="00120864" w:rsidRDefault="00A75748" w:rsidP="00BC1087">
            <w:pPr>
              <w:jc w:val="center"/>
              <w:rPr>
                <w:sz w:val="20"/>
                <w:szCs w:val="16"/>
              </w:rPr>
            </w:pPr>
            <w:r w:rsidRPr="00120864">
              <w:rPr>
                <w:sz w:val="20"/>
                <w:szCs w:val="16"/>
              </w:rPr>
              <w:t>Sidewalk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6B0D441F" w14:textId="77777777" w:rsidR="00A75748" w:rsidRPr="00120864" w:rsidRDefault="00A75748" w:rsidP="00BC1087">
            <w:pPr>
              <w:jc w:val="center"/>
              <w:rPr>
                <w:sz w:val="20"/>
                <w:szCs w:val="16"/>
              </w:rPr>
            </w:pPr>
            <w:r w:rsidRPr="00120864">
              <w:rPr>
                <w:sz w:val="20"/>
                <w:szCs w:val="16"/>
              </w:rPr>
              <w:t>8.11.5.1</w:t>
            </w:r>
          </w:p>
        </w:tc>
        <w:tc>
          <w:tcPr>
            <w:tcW w:w="240" w:type="pct"/>
            <w:tcBorders>
              <w:top w:val="single" w:sz="4" w:space="0" w:color="auto"/>
              <w:left w:val="single" w:sz="4" w:space="0" w:color="auto"/>
              <w:bottom w:val="single" w:sz="4" w:space="0" w:color="auto"/>
              <w:right w:val="single" w:sz="4" w:space="0" w:color="auto"/>
            </w:tcBorders>
            <w:vAlign w:val="center"/>
            <w:hideMark/>
          </w:tcPr>
          <w:p w14:paraId="76FB4741"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20E97B55"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382D22F4"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36A2B186"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1A813514"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69DDFA1C"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03D0E6B5"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002F5BC4" w14:textId="77777777" w:rsidR="00A75748" w:rsidRPr="00120864" w:rsidRDefault="00A75748" w:rsidP="00BC1087">
            <w:pPr>
              <w:jc w:val="center"/>
              <w:rPr>
                <w:strike/>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33E00F8C"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35C1412F" w14:textId="77777777" w:rsidR="00A75748" w:rsidRPr="00120864" w:rsidRDefault="00A75748" w:rsidP="00BC1087">
            <w:pPr>
              <w:jc w:val="center"/>
              <w:rPr>
                <w:sz w:val="20"/>
                <w:szCs w:val="16"/>
              </w:rPr>
            </w:pPr>
            <w:r w:rsidRPr="00120864">
              <w:rPr>
                <w:sz w:val="20"/>
                <w:szCs w:val="16"/>
              </w:rPr>
              <w:t>Yes (Cat. 5)</w:t>
            </w:r>
          </w:p>
        </w:tc>
        <w:tc>
          <w:tcPr>
            <w:tcW w:w="184" w:type="pct"/>
            <w:tcBorders>
              <w:top w:val="single" w:sz="4" w:space="0" w:color="auto"/>
              <w:left w:val="single" w:sz="4" w:space="0" w:color="auto"/>
              <w:bottom w:val="single" w:sz="4" w:space="0" w:color="auto"/>
              <w:right w:val="single" w:sz="4" w:space="0" w:color="auto"/>
            </w:tcBorders>
            <w:vAlign w:val="center"/>
            <w:hideMark/>
          </w:tcPr>
          <w:p w14:paraId="51EE6956"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424BEA19"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7560A376" w14:textId="77777777" w:rsidR="00A75748" w:rsidRPr="00120864" w:rsidRDefault="00A75748" w:rsidP="00BC1087">
            <w:pPr>
              <w:jc w:val="center"/>
              <w:rPr>
                <w:sz w:val="20"/>
                <w:szCs w:val="16"/>
              </w:rPr>
            </w:pPr>
            <w:r w:rsidRPr="00120864">
              <w:rPr>
                <w:sz w:val="20"/>
                <w:szCs w:val="16"/>
              </w:rPr>
              <w:t>Yes</w:t>
            </w:r>
          </w:p>
        </w:tc>
      </w:tr>
      <w:tr w:rsidR="00A75748" w:rsidRPr="00120864" w14:paraId="4CA470FF" w14:textId="77777777" w:rsidTr="00BC1087">
        <w:trPr>
          <w:cantSplit/>
          <w:trHeight w:val="341"/>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1E7D93B5"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52985953" w14:textId="77777777" w:rsidR="00A75748" w:rsidRPr="00120864" w:rsidRDefault="00A75748" w:rsidP="00BC1087">
            <w:pPr>
              <w:jc w:val="center"/>
              <w:rPr>
                <w:sz w:val="20"/>
                <w:szCs w:val="16"/>
              </w:rPr>
            </w:pPr>
            <w:r w:rsidRPr="00120864">
              <w:rPr>
                <w:sz w:val="20"/>
                <w:szCs w:val="16"/>
              </w:rPr>
              <w:t>Dumbwaiters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39A7A570" w14:textId="77777777" w:rsidR="00A75748" w:rsidRPr="00120864" w:rsidRDefault="00A75748" w:rsidP="00BC1087">
            <w:pPr>
              <w:jc w:val="center"/>
              <w:rPr>
                <w:sz w:val="20"/>
                <w:szCs w:val="16"/>
              </w:rPr>
            </w:pPr>
            <w:r w:rsidRPr="00120864">
              <w:rPr>
                <w:sz w:val="20"/>
                <w:szCs w:val="16"/>
              </w:rPr>
              <w:t>8.11.5.4</w:t>
            </w:r>
          </w:p>
        </w:tc>
        <w:tc>
          <w:tcPr>
            <w:tcW w:w="240" w:type="pct"/>
            <w:tcBorders>
              <w:top w:val="single" w:sz="4" w:space="0" w:color="auto"/>
              <w:left w:val="single" w:sz="4" w:space="0" w:color="auto"/>
              <w:bottom w:val="single" w:sz="4" w:space="0" w:color="auto"/>
              <w:right w:val="single" w:sz="4" w:space="0" w:color="auto"/>
            </w:tcBorders>
            <w:vAlign w:val="center"/>
            <w:hideMark/>
          </w:tcPr>
          <w:p w14:paraId="6F827CD2"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7BFB7AE6"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79A6B812"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0BF087BF"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259471F2"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4AE4164C"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2B384318"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2872AF42" w14:textId="77777777" w:rsidR="00A75748" w:rsidRPr="00120864" w:rsidRDefault="00A75748" w:rsidP="00BC1087">
            <w:pPr>
              <w:jc w:val="center"/>
              <w:rPr>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52BA5203"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50E93187"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1D1DEC39"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1FFC1AEE"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25A1D63C" w14:textId="77777777" w:rsidR="00A75748" w:rsidRPr="00120864" w:rsidRDefault="00A75748" w:rsidP="00BC1087">
            <w:pPr>
              <w:jc w:val="center"/>
              <w:rPr>
                <w:sz w:val="20"/>
                <w:szCs w:val="16"/>
              </w:rPr>
            </w:pPr>
            <w:r w:rsidRPr="00120864">
              <w:rPr>
                <w:sz w:val="20"/>
                <w:szCs w:val="16"/>
              </w:rPr>
              <w:t>No</w:t>
            </w:r>
          </w:p>
        </w:tc>
      </w:tr>
      <w:tr w:rsidR="00A75748" w:rsidRPr="00120864" w14:paraId="2D716878" w14:textId="77777777" w:rsidTr="00BC1087">
        <w:trPr>
          <w:cantSplit/>
          <w:trHeight w:val="368"/>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5B8FBF20"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34A41C52" w14:textId="77777777" w:rsidR="00A75748" w:rsidRPr="00120864" w:rsidRDefault="00A75748" w:rsidP="00BC1087">
            <w:pPr>
              <w:jc w:val="center"/>
              <w:rPr>
                <w:sz w:val="20"/>
                <w:szCs w:val="16"/>
              </w:rPr>
            </w:pPr>
            <w:r w:rsidRPr="00120864">
              <w:rPr>
                <w:sz w:val="20"/>
                <w:szCs w:val="16"/>
              </w:rPr>
              <w:t>Material Lifts</w:t>
            </w:r>
          </w:p>
        </w:tc>
        <w:tc>
          <w:tcPr>
            <w:tcW w:w="354" w:type="pct"/>
            <w:tcBorders>
              <w:top w:val="single" w:sz="4" w:space="0" w:color="auto"/>
              <w:left w:val="single" w:sz="4" w:space="0" w:color="auto"/>
              <w:bottom w:val="single" w:sz="4" w:space="0" w:color="auto"/>
              <w:right w:val="single" w:sz="4" w:space="0" w:color="auto"/>
            </w:tcBorders>
            <w:vAlign w:val="center"/>
            <w:hideMark/>
          </w:tcPr>
          <w:p w14:paraId="16DF4CA2" w14:textId="77777777" w:rsidR="00A75748" w:rsidRPr="00120864" w:rsidRDefault="00A75748" w:rsidP="00BC1087">
            <w:pPr>
              <w:jc w:val="center"/>
              <w:rPr>
                <w:sz w:val="20"/>
                <w:szCs w:val="16"/>
              </w:rPr>
            </w:pPr>
            <w:r w:rsidRPr="00120864">
              <w:rPr>
                <w:sz w:val="20"/>
                <w:szCs w:val="16"/>
              </w:rPr>
              <w:t>8.11.5.5</w:t>
            </w:r>
          </w:p>
        </w:tc>
        <w:tc>
          <w:tcPr>
            <w:tcW w:w="240" w:type="pct"/>
            <w:tcBorders>
              <w:top w:val="single" w:sz="4" w:space="0" w:color="auto"/>
              <w:left w:val="single" w:sz="4" w:space="0" w:color="auto"/>
              <w:bottom w:val="single" w:sz="4" w:space="0" w:color="auto"/>
              <w:right w:val="single" w:sz="4" w:space="0" w:color="auto"/>
            </w:tcBorders>
            <w:vAlign w:val="center"/>
            <w:hideMark/>
          </w:tcPr>
          <w:p w14:paraId="0F8BAA56"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7C1263A7"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688609A2"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792C7160"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390674CC"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47BB98F1"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02E71F6F"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77AD9C8B" w14:textId="77777777" w:rsidR="00A75748" w:rsidRPr="00120864" w:rsidRDefault="00A75748" w:rsidP="00BC1087">
            <w:pPr>
              <w:jc w:val="center"/>
              <w:rPr>
                <w:strike/>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5A5B7BAE"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02A4A472"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014561EA"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5DC9FFD6" w14:textId="77777777" w:rsidR="00A75748" w:rsidRPr="00120864" w:rsidRDefault="00A75748" w:rsidP="00BC1087">
            <w:pPr>
              <w:jc w:val="center"/>
              <w:rPr>
                <w:strike/>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29689D90" w14:textId="77777777" w:rsidR="00A75748" w:rsidRPr="00120864" w:rsidRDefault="00A75748" w:rsidP="00BC1087">
            <w:pPr>
              <w:jc w:val="center"/>
              <w:rPr>
                <w:sz w:val="20"/>
                <w:szCs w:val="16"/>
              </w:rPr>
            </w:pPr>
            <w:r w:rsidRPr="00120864">
              <w:rPr>
                <w:sz w:val="20"/>
                <w:szCs w:val="16"/>
              </w:rPr>
              <w:t>No</w:t>
            </w:r>
          </w:p>
        </w:tc>
      </w:tr>
      <w:tr w:rsidR="00A75748" w:rsidRPr="00120864" w14:paraId="1F0432E7" w14:textId="77777777" w:rsidTr="00BC1087">
        <w:trPr>
          <w:cantSplit/>
          <w:trHeight w:val="671"/>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72C17E2F"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0412D2EE" w14:textId="77777777" w:rsidR="00A75748" w:rsidRPr="00120864" w:rsidRDefault="00A75748" w:rsidP="00BC1087">
            <w:pPr>
              <w:jc w:val="center"/>
              <w:rPr>
                <w:sz w:val="20"/>
                <w:szCs w:val="16"/>
              </w:rPr>
            </w:pPr>
            <w:r w:rsidRPr="00120864">
              <w:rPr>
                <w:sz w:val="20"/>
                <w:szCs w:val="16"/>
              </w:rPr>
              <w:t>Special Purpose Personnel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61329FB1" w14:textId="77777777" w:rsidR="00A75748" w:rsidRPr="00120864" w:rsidRDefault="00A75748" w:rsidP="00BC1087">
            <w:pPr>
              <w:jc w:val="center"/>
              <w:rPr>
                <w:sz w:val="20"/>
                <w:szCs w:val="16"/>
              </w:rPr>
            </w:pPr>
            <w:r w:rsidRPr="00120864">
              <w:rPr>
                <w:sz w:val="20"/>
                <w:szCs w:val="16"/>
              </w:rPr>
              <w:t>8.11.5.6</w:t>
            </w:r>
          </w:p>
        </w:tc>
        <w:tc>
          <w:tcPr>
            <w:tcW w:w="240" w:type="pct"/>
            <w:tcBorders>
              <w:top w:val="single" w:sz="4" w:space="0" w:color="auto"/>
              <w:left w:val="single" w:sz="4" w:space="0" w:color="auto"/>
              <w:bottom w:val="single" w:sz="4" w:space="0" w:color="auto"/>
              <w:right w:val="single" w:sz="4" w:space="0" w:color="auto"/>
            </w:tcBorders>
            <w:vAlign w:val="center"/>
            <w:hideMark/>
          </w:tcPr>
          <w:p w14:paraId="6E254215"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26651857"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0F638D10"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79274EEA"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740B585F"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724A2DF8"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22D26DDE"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7DCDB157" w14:textId="77777777" w:rsidR="00A75748" w:rsidRPr="00120864" w:rsidRDefault="00A75748" w:rsidP="00BC1087">
            <w:pPr>
              <w:jc w:val="center"/>
              <w:rPr>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571952B0"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0185FBFD"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0C20C86B"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60B56A7E"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2AC33CE7" w14:textId="77777777" w:rsidR="00A75748" w:rsidRPr="00120864" w:rsidRDefault="00A75748" w:rsidP="00BC1087">
            <w:pPr>
              <w:jc w:val="center"/>
              <w:rPr>
                <w:sz w:val="20"/>
                <w:szCs w:val="16"/>
              </w:rPr>
            </w:pPr>
            <w:r w:rsidRPr="00120864">
              <w:rPr>
                <w:sz w:val="20"/>
                <w:szCs w:val="16"/>
              </w:rPr>
              <w:t>No</w:t>
            </w:r>
          </w:p>
        </w:tc>
      </w:tr>
      <w:tr w:rsidR="00A75748" w:rsidRPr="00120864" w14:paraId="6E4C0C9F" w14:textId="77777777" w:rsidTr="00BC1087">
        <w:trPr>
          <w:cantSplit/>
          <w:trHeight w:val="46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7F21783E"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420EE8CC" w14:textId="77777777" w:rsidR="00A75748" w:rsidRPr="00120864" w:rsidRDefault="00A75748" w:rsidP="00BC1087">
            <w:pPr>
              <w:jc w:val="center"/>
              <w:rPr>
                <w:sz w:val="20"/>
                <w:szCs w:val="16"/>
              </w:rPr>
            </w:pPr>
            <w:r w:rsidRPr="00120864">
              <w:rPr>
                <w:sz w:val="20"/>
                <w:szCs w:val="16"/>
              </w:rPr>
              <w:t>Inclined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5105A0C4" w14:textId="77777777" w:rsidR="00A75748" w:rsidRPr="00120864" w:rsidRDefault="00A75748" w:rsidP="00BC1087">
            <w:pPr>
              <w:jc w:val="center"/>
              <w:rPr>
                <w:sz w:val="20"/>
                <w:szCs w:val="16"/>
              </w:rPr>
            </w:pPr>
            <w:r w:rsidRPr="00120864">
              <w:rPr>
                <w:sz w:val="20"/>
                <w:szCs w:val="16"/>
              </w:rPr>
              <w:t>8.11.5.7</w:t>
            </w:r>
          </w:p>
        </w:tc>
        <w:tc>
          <w:tcPr>
            <w:tcW w:w="240" w:type="pct"/>
            <w:tcBorders>
              <w:top w:val="single" w:sz="4" w:space="0" w:color="auto"/>
              <w:left w:val="single" w:sz="4" w:space="0" w:color="auto"/>
              <w:bottom w:val="single" w:sz="4" w:space="0" w:color="auto"/>
              <w:right w:val="single" w:sz="4" w:space="0" w:color="auto"/>
            </w:tcBorders>
            <w:vAlign w:val="center"/>
            <w:hideMark/>
          </w:tcPr>
          <w:p w14:paraId="5FF5640E"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640C59A8"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48D86370"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306B9E9F"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2BB118EC"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4415E36F"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16C30107"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520B2C01" w14:textId="77777777" w:rsidR="00A75748" w:rsidRPr="00120864" w:rsidRDefault="00A75748" w:rsidP="00BC1087">
            <w:pPr>
              <w:jc w:val="center"/>
              <w:rPr>
                <w:strike/>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11A400A0"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5BB8C0EE"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59CE5D40"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5CDC4494"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093FC3ED" w14:textId="77777777" w:rsidR="00A75748" w:rsidRPr="00120864" w:rsidRDefault="00A75748" w:rsidP="00BC1087">
            <w:pPr>
              <w:jc w:val="center"/>
              <w:rPr>
                <w:sz w:val="20"/>
                <w:szCs w:val="16"/>
              </w:rPr>
            </w:pPr>
            <w:r w:rsidRPr="00120864">
              <w:rPr>
                <w:sz w:val="20"/>
                <w:szCs w:val="16"/>
              </w:rPr>
              <w:t>No</w:t>
            </w:r>
          </w:p>
        </w:tc>
      </w:tr>
      <w:tr w:rsidR="00A75748" w:rsidRPr="00120864" w14:paraId="493F40C9" w14:textId="77777777" w:rsidTr="00BC1087">
        <w:trPr>
          <w:cantSplit/>
          <w:trHeight w:val="469"/>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768D326F"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21D4C423" w14:textId="77777777" w:rsidR="00A75748" w:rsidRPr="00120864" w:rsidRDefault="00A75748" w:rsidP="00BC1087">
            <w:pPr>
              <w:jc w:val="center"/>
              <w:rPr>
                <w:sz w:val="20"/>
                <w:szCs w:val="16"/>
              </w:rPr>
            </w:pPr>
            <w:r w:rsidRPr="00120864">
              <w:rPr>
                <w:sz w:val="20"/>
                <w:szCs w:val="16"/>
              </w:rPr>
              <w:t>Shipboard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7A753745" w14:textId="77777777" w:rsidR="00A75748" w:rsidRPr="00120864" w:rsidRDefault="00A75748" w:rsidP="00BC1087">
            <w:pPr>
              <w:jc w:val="center"/>
              <w:rPr>
                <w:sz w:val="20"/>
                <w:szCs w:val="16"/>
              </w:rPr>
            </w:pPr>
            <w:r w:rsidRPr="00120864">
              <w:rPr>
                <w:sz w:val="20"/>
                <w:szCs w:val="16"/>
              </w:rPr>
              <w:t>8.11.5.8</w:t>
            </w:r>
          </w:p>
        </w:tc>
        <w:tc>
          <w:tcPr>
            <w:tcW w:w="240" w:type="pct"/>
            <w:tcBorders>
              <w:top w:val="single" w:sz="4" w:space="0" w:color="auto"/>
              <w:left w:val="single" w:sz="4" w:space="0" w:color="auto"/>
              <w:bottom w:val="single" w:sz="4" w:space="0" w:color="auto"/>
              <w:right w:val="single" w:sz="4" w:space="0" w:color="auto"/>
            </w:tcBorders>
            <w:vAlign w:val="center"/>
            <w:hideMark/>
          </w:tcPr>
          <w:p w14:paraId="7DD659FC"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23470592"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76AD709A"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76C5B77B"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1A1CED7C"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62CF7501"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4BC881BA"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662598A8" w14:textId="77777777" w:rsidR="00A75748" w:rsidRPr="00120864" w:rsidRDefault="00A75748" w:rsidP="00BC1087">
            <w:pPr>
              <w:jc w:val="center"/>
              <w:rPr>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4B5E47F0"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7AFA9308"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79E799BB"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450196A4"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68FCE738" w14:textId="77777777" w:rsidR="00A75748" w:rsidRPr="00120864" w:rsidRDefault="00A75748" w:rsidP="00BC1087">
            <w:pPr>
              <w:jc w:val="center"/>
              <w:rPr>
                <w:sz w:val="20"/>
                <w:szCs w:val="16"/>
              </w:rPr>
            </w:pPr>
            <w:r w:rsidRPr="00120864">
              <w:rPr>
                <w:sz w:val="20"/>
                <w:szCs w:val="16"/>
              </w:rPr>
              <w:t>No</w:t>
            </w:r>
          </w:p>
        </w:tc>
      </w:tr>
      <w:tr w:rsidR="00A75748" w:rsidRPr="00120864" w14:paraId="7EA81CD0" w14:textId="77777777" w:rsidTr="00BC1087">
        <w:trPr>
          <w:cantSplit/>
          <w:trHeight w:val="584"/>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1AA53903"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4F88E156" w14:textId="77777777" w:rsidR="00A75748" w:rsidRPr="00120864" w:rsidRDefault="00A75748" w:rsidP="00BC1087">
            <w:pPr>
              <w:jc w:val="center"/>
              <w:rPr>
                <w:sz w:val="20"/>
                <w:szCs w:val="16"/>
              </w:rPr>
            </w:pPr>
            <w:r w:rsidRPr="00120864">
              <w:rPr>
                <w:sz w:val="20"/>
                <w:szCs w:val="16"/>
              </w:rPr>
              <w:t>Screw-Column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51397164" w14:textId="77777777" w:rsidR="00A75748" w:rsidRPr="00120864" w:rsidRDefault="00A75748" w:rsidP="00BC1087">
            <w:pPr>
              <w:jc w:val="center"/>
              <w:rPr>
                <w:sz w:val="20"/>
                <w:szCs w:val="16"/>
              </w:rPr>
            </w:pPr>
            <w:r w:rsidRPr="00120864">
              <w:rPr>
                <w:sz w:val="20"/>
                <w:szCs w:val="16"/>
              </w:rPr>
              <w:t>8.11.5.9</w:t>
            </w:r>
          </w:p>
        </w:tc>
        <w:tc>
          <w:tcPr>
            <w:tcW w:w="240" w:type="pct"/>
            <w:tcBorders>
              <w:top w:val="single" w:sz="4" w:space="0" w:color="auto"/>
              <w:left w:val="single" w:sz="4" w:space="0" w:color="auto"/>
              <w:bottom w:val="single" w:sz="4" w:space="0" w:color="auto"/>
              <w:right w:val="single" w:sz="4" w:space="0" w:color="auto"/>
            </w:tcBorders>
            <w:vAlign w:val="center"/>
            <w:hideMark/>
          </w:tcPr>
          <w:p w14:paraId="23BFD84E"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11D9ED0C"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7067AE7D"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549DD60A"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46291560"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3125D240"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12FFBAF1"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77B37348" w14:textId="77777777" w:rsidR="00A75748" w:rsidRPr="00120864" w:rsidRDefault="00A75748" w:rsidP="00BC1087">
            <w:pPr>
              <w:jc w:val="center"/>
              <w:rPr>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3A5A9927"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40B23AB8"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10837E9C"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1F9CF161"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62E4CD62" w14:textId="77777777" w:rsidR="00A75748" w:rsidRPr="00120864" w:rsidRDefault="00A75748" w:rsidP="00BC1087">
            <w:pPr>
              <w:jc w:val="center"/>
              <w:rPr>
                <w:sz w:val="20"/>
                <w:szCs w:val="16"/>
              </w:rPr>
            </w:pPr>
            <w:r w:rsidRPr="00120864">
              <w:rPr>
                <w:sz w:val="20"/>
                <w:szCs w:val="16"/>
              </w:rPr>
              <w:t>No</w:t>
            </w:r>
          </w:p>
        </w:tc>
      </w:tr>
      <w:tr w:rsidR="00A75748" w:rsidRPr="00120864" w14:paraId="6FFD6904" w14:textId="77777777" w:rsidTr="00BC1087">
        <w:trPr>
          <w:cantSplit/>
          <w:trHeight w:val="469"/>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12664D34"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79AC7E42" w14:textId="77777777" w:rsidR="00A75748" w:rsidRPr="00120864" w:rsidRDefault="00A75748" w:rsidP="00BC1087">
            <w:pPr>
              <w:jc w:val="center"/>
              <w:rPr>
                <w:sz w:val="20"/>
                <w:szCs w:val="16"/>
              </w:rPr>
            </w:pPr>
            <w:r w:rsidRPr="00120864">
              <w:rPr>
                <w:sz w:val="20"/>
                <w:szCs w:val="16"/>
              </w:rPr>
              <w:t>Rooftop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697496EC" w14:textId="77777777" w:rsidR="00A75748" w:rsidRPr="00120864" w:rsidRDefault="00A75748" w:rsidP="00BC1087">
            <w:pPr>
              <w:jc w:val="center"/>
              <w:rPr>
                <w:sz w:val="20"/>
                <w:szCs w:val="16"/>
              </w:rPr>
            </w:pPr>
            <w:r w:rsidRPr="00120864">
              <w:rPr>
                <w:sz w:val="20"/>
                <w:szCs w:val="16"/>
              </w:rPr>
              <w:t>8.11.5.10</w:t>
            </w:r>
          </w:p>
        </w:tc>
        <w:tc>
          <w:tcPr>
            <w:tcW w:w="240" w:type="pct"/>
            <w:tcBorders>
              <w:top w:val="single" w:sz="4" w:space="0" w:color="auto"/>
              <w:left w:val="single" w:sz="4" w:space="0" w:color="auto"/>
              <w:bottom w:val="single" w:sz="4" w:space="0" w:color="auto"/>
              <w:right w:val="single" w:sz="4" w:space="0" w:color="auto"/>
            </w:tcBorders>
            <w:vAlign w:val="center"/>
            <w:hideMark/>
          </w:tcPr>
          <w:p w14:paraId="38CEB9C5"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6DB992D4"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0342CE2C"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34EC2AE7"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6336AD3F"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43A125C0"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183204C1"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51ED16F6" w14:textId="77777777" w:rsidR="00A75748" w:rsidRPr="00120864" w:rsidRDefault="00A75748" w:rsidP="00BC1087">
            <w:pPr>
              <w:jc w:val="center"/>
              <w:rPr>
                <w:strike/>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0F96B3B6"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23790684"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74FBAEAC"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7668E994"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31D5BE97" w14:textId="77777777" w:rsidR="00A75748" w:rsidRPr="00120864" w:rsidRDefault="00A75748" w:rsidP="00BC1087">
            <w:pPr>
              <w:jc w:val="center"/>
              <w:rPr>
                <w:sz w:val="20"/>
                <w:szCs w:val="16"/>
              </w:rPr>
            </w:pPr>
            <w:r w:rsidRPr="00120864">
              <w:rPr>
                <w:sz w:val="20"/>
                <w:szCs w:val="16"/>
              </w:rPr>
              <w:t>No</w:t>
            </w:r>
          </w:p>
        </w:tc>
      </w:tr>
      <w:tr w:rsidR="00A75748" w:rsidRPr="00120864" w14:paraId="23B54DA1" w14:textId="77777777" w:rsidTr="00BC1087">
        <w:trPr>
          <w:cantSplit/>
          <w:trHeight w:val="539"/>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67B2A733"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4BC54D55" w14:textId="77777777" w:rsidR="00A75748" w:rsidRPr="00120864" w:rsidRDefault="00A75748" w:rsidP="00BC1087">
            <w:pPr>
              <w:jc w:val="center"/>
              <w:rPr>
                <w:sz w:val="20"/>
                <w:szCs w:val="16"/>
              </w:rPr>
            </w:pPr>
            <w:r w:rsidRPr="00120864">
              <w:rPr>
                <w:sz w:val="20"/>
                <w:szCs w:val="16"/>
              </w:rPr>
              <w:t>Rack and Pinion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6B348EBE" w14:textId="77777777" w:rsidR="00A75748" w:rsidRPr="00120864" w:rsidRDefault="00A75748" w:rsidP="00BC1087">
            <w:pPr>
              <w:jc w:val="center"/>
              <w:rPr>
                <w:sz w:val="20"/>
                <w:szCs w:val="16"/>
              </w:rPr>
            </w:pPr>
            <w:r w:rsidRPr="00120864">
              <w:rPr>
                <w:sz w:val="20"/>
                <w:szCs w:val="16"/>
              </w:rPr>
              <w:t>8.11.5.11</w:t>
            </w:r>
          </w:p>
        </w:tc>
        <w:tc>
          <w:tcPr>
            <w:tcW w:w="240" w:type="pct"/>
            <w:tcBorders>
              <w:top w:val="single" w:sz="4" w:space="0" w:color="auto"/>
              <w:left w:val="single" w:sz="4" w:space="0" w:color="auto"/>
              <w:bottom w:val="single" w:sz="4" w:space="0" w:color="auto"/>
              <w:right w:val="single" w:sz="4" w:space="0" w:color="auto"/>
            </w:tcBorders>
            <w:vAlign w:val="center"/>
            <w:hideMark/>
          </w:tcPr>
          <w:p w14:paraId="5A54F932"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08E8DBD8"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6846976D"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772C2602"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73BB0CC4"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69E5A6B9"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2A39FA39"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0D412F95" w14:textId="77777777" w:rsidR="00A75748" w:rsidRPr="00120864" w:rsidRDefault="00A75748" w:rsidP="00BC1087">
            <w:pPr>
              <w:jc w:val="center"/>
              <w:rPr>
                <w:strike/>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18CB1690"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422D44F7"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5DBB897A"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7E95EDAD"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58CBF650" w14:textId="77777777" w:rsidR="00A75748" w:rsidRPr="00120864" w:rsidRDefault="00A75748" w:rsidP="00BC1087">
            <w:pPr>
              <w:jc w:val="center"/>
              <w:rPr>
                <w:sz w:val="20"/>
                <w:szCs w:val="16"/>
              </w:rPr>
            </w:pPr>
            <w:r w:rsidRPr="00120864">
              <w:rPr>
                <w:sz w:val="20"/>
                <w:szCs w:val="16"/>
              </w:rPr>
              <w:t>No</w:t>
            </w:r>
          </w:p>
        </w:tc>
      </w:tr>
      <w:tr w:rsidR="00A75748" w:rsidRPr="00120864" w14:paraId="4C317819" w14:textId="77777777" w:rsidTr="00BC1087">
        <w:trPr>
          <w:cantSplit/>
          <w:trHeight w:val="1052"/>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7D6FE8E9"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4947212A" w14:textId="77777777" w:rsidR="00A75748" w:rsidRPr="00120864" w:rsidRDefault="00A75748" w:rsidP="00BC1087">
            <w:pPr>
              <w:jc w:val="center"/>
              <w:rPr>
                <w:sz w:val="20"/>
                <w:szCs w:val="16"/>
              </w:rPr>
            </w:pPr>
            <w:r w:rsidRPr="00120864">
              <w:rPr>
                <w:sz w:val="20"/>
                <w:szCs w:val="16"/>
              </w:rPr>
              <w:t>Limited Use-Limited Application Elevators (Commercial Bldgs. Only)</w:t>
            </w:r>
          </w:p>
        </w:tc>
        <w:tc>
          <w:tcPr>
            <w:tcW w:w="354" w:type="pct"/>
            <w:tcBorders>
              <w:top w:val="single" w:sz="4" w:space="0" w:color="auto"/>
              <w:left w:val="single" w:sz="4" w:space="0" w:color="auto"/>
              <w:bottom w:val="single" w:sz="4" w:space="0" w:color="auto"/>
              <w:right w:val="single" w:sz="4" w:space="0" w:color="auto"/>
            </w:tcBorders>
            <w:vAlign w:val="center"/>
            <w:hideMark/>
          </w:tcPr>
          <w:p w14:paraId="48D01F19" w14:textId="77777777" w:rsidR="00A75748" w:rsidRPr="00120864" w:rsidRDefault="00A75748" w:rsidP="00BC1087">
            <w:pPr>
              <w:jc w:val="center"/>
              <w:rPr>
                <w:sz w:val="20"/>
                <w:szCs w:val="16"/>
              </w:rPr>
            </w:pPr>
            <w:r w:rsidRPr="00120864">
              <w:rPr>
                <w:sz w:val="20"/>
                <w:szCs w:val="16"/>
              </w:rPr>
              <w:t>8.11.5.12</w:t>
            </w:r>
          </w:p>
        </w:tc>
        <w:tc>
          <w:tcPr>
            <w:tcW w:w="240" w:type="pct"/>
            <w:tcBorders>
              <w:top w:val="single" w:sz="4" w:space="0" w:color="auto"/>
              <w:left w:val="single" w:sz="4" w:space="0" w:color="auto"/>
              <w:bottom w:val="single" w:sz="4" w:space="0" w:color="auto"/>
              <w:right w:val="single" w:sz="4" w:space="0" w:color="auto"/>
            </w:tcBorders>
            <w:vAlign w:val="center"/>
            <w:hideMark/>
          </w:tcPr>
          <w:p w14:paraId="7345EFED"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5D123BE0"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1F8FE60E"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6E796D37"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435FD7C8"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4EE5F6C9"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673962C5"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1F8F1309" w14:textId="77777777" w:rsidR="00A75748" w:rsidRPr="00120864" w:rsidRDefault="00A75748" w:rsidP="00BC1087">
            <w:pPr>
              <w:jc w:val="center"/>
              <w:rPr>
                <w:strike/>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4ED9F039"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19E19E24" w14:textId="77777777" w:rsidR="00A75748" w:rsidRPr="00120864" w:rsidRDefault="00A75748" w:rsidP="00BC1087">
            <w:pPr>
              <w:jc w:val="center"/>
              <w:rPr>
                <w:sz w:val="20"/>
                <w:szCs w:val="16"/>
              </w:rPr>
            </w:pPr>
            <w:r w:rsidRPr="00120864">
              <w:rPr>
                <w:sz w:val="20"/>
                <w:szCs w:val="16"/>
              </w:rPr>
              <w:t>Yes (Cat. 5)</w:t>
            </w:r>
          </w:p>
        </w:tc>
        <w:tc>
          <w:tcPr>
            <w:tcW w:w="184" w:type="pct"/>
            <w:tcBorders>
              <w:top w:val="single" w:sz="4" w:space="0" w:color="auto"/>
              <w:left w:val="single" w:sz="4" w:space="0" w:color="auto"/>
              <w:bottom w:val="single" w:sz="4" w:space="0" w:color="auto"/>
              <w:right w:val="single" w:sz="4" w:space="0" w:color="auto"/>
            </w:tcBorders>
            <w:vAlign w:val="center"/>
            <w:hideMark/>
          </w:tcPr>
          <w:p w14:paraId="7F7C7FF9"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66467CCC"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392E9C5D" w14:textId="77777777" w:rsidR="00A75748" w:rsidRPr="00120864" w:rsidRDefault="00A75748" w:rsidP="00BC1087">
            <w:pPr>
              <w:jc w:val="center"/>
              <w:rPr>
                <w:sz w:val="20"/>
                <w:szCs w:val="16"/>
              </w:rPr>
            </w:pPr>
            <w:r w:rsidRPr="00120864">
              <w:rPr>
                <w:sz w:val="20"/>
                <w:szCs w:val="16"/>
              </w:rPr>
              <w:t>Yes</w:t>
            </w:r>
          </w:p>
        </w:tc>
      </w:tr>
      <w:tr w:rsidR="00A75748" w:rsidRPr="00120864" w14:paraId="7E9BA5C7" w14:textId="77777777" w:rsidTr="00BC1087">
        <w:trPr>
          <w:cantSplit/>
          <w:trHeight w:val="479"/>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20D92888"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45F4ADE4" w14:textId="77777777" w:rsidR="00A75748" w:rsidRPr="00120864" w:rsidRDefault="00A75748" w:rsidP="00BC1087">
            <w:pPr>
              <w:jc w:val="center"/>
              <w:rPr>
                <w:sz w:val="20"/>
                <w:szCs w:val="16"/>
              </w:rPr>
            </w:pPr>
            <w:r w:rsidRPr="00120864">
              <w:rPr>
                <w:sz w:val="20"/>
                <w:szCs w:val="16"/>
              </w:rPr>
              <w:t>Elevators Used for Construction</w:t>
            </w:r>
          </w:p>
        </w:tc>
        <w:tc>
          <w:tcPr>
            <w:tcW w:w="354" w:type="pct"/>
            <w:tcBorders>
              <w:top w:val="single" w:sz="4" w:space="0" w:color="auto"/>
              <w:left w:val="single" w:sz="4" w:space="0" w:color="auto"/>
              <w:bottom w:val="single" w:sz="4" w:space="0" w:color="auto"/>
              <w:right w:val="single" w:sz="4" w:space="0" w:color="auto"/>
            </w:tcBorders>
            <w:vAlign w:val="center"/>
            <w:hideMark/>
          </w:tcPr>
          <w:p w14:paraId="56BFDE6A" w14:textId="77777777" w:rsidR="00A75748" w:rsidRPr="00120864" w:rsidRDefault="00A75748" w:rsidP="00BC1087">
            <w:pPr>
              <w:jc w:val="center"/>
              <w:rPr>
                <w:sz w:val="20"/>
                <w:szCs w:val="16"/>
              </w:rPr>
            </w:pPr>
            <w:r w:rsidRPr="00120864">
              <w:rPr>
                <w:sz w:val="20"/>
                <w:szCs w:val="16"/>
              </w:rPr>
              <w:t>8.11.5.13</w:t>
            </w:r>
          </w:p>
        </w:tc>
        <w:tc>
          <w:tcPr>
            <w:tcW w:w="240" w:type="pct"/>
            <w:tcBorders>
              <w:top w:val="single" w:sz="4" w:space="0" w:color="auto"/>
              <w:left w:val="single" w:sz="4" w:space="0" w:color="auto"/>
              <w:bottom w:val="single" w:sz="4" w:space="0" w:color="auto"/>
              <w:right w:val="single" w:sz="4" w:space="0" w:color="auto"/>
            </w:tcBorders>
            <w:vAlign w:val="center"/>
            <w:hideMark/>
          </w:tcPr>
          <w:p w14:paraId="19C47981"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2175FA0B"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460649F8"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7A507DFD"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7CFE5D60"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45511F7D"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5431E2BD"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18D44ED2" w14:textId="77777777" w:rsidR="00A75748" w:rsidRPr="00120864" w:rsidRDefault="00A75748" w:rsidP="00BC1087">
            <w:pPr>
              <w:jc w:val="center"/>
              <w:rPr>
                <w:strike/>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23E07FD2"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7694513C"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32FD629C"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3DBCBF3B"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0D011BFE" w14:textId="77777777" w:rsidR="00A75748" w:rsidRPr="00120864" w:rsidRDefault="00A75748" w:rsidP="00BC1087">
            <w:pPr>
              <w:jc w:val="center"/>
              <w:rPr>
                <w:sz w:val="20"/>
                <w:szCs w:val="16"/>
              </w:rPr>
            </w:pPr>
            <w:r w:rsidRPr="00120864">
              <w:rPr>
                <w:sz w:val="20"/>
                <w:szCs w:val="16"/>
              </w:rPr>
              <w:t>Yes</w:t>
            </w:r>
          </w:p>
        </w:tc>
      </w:tr>
      <w:tr w:rsidR="00A75748" w:rsidRPr="00120864" w14:paraId="793ABB5A" w14:textId="77777777" w:rsidTr="00BC1087">
        <w:trPr>
          <w:cantSplit/>
          <w:trHeight w:val="498"/>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3433C093" w14:textId="77777777" w:rsidR="00A75748" w:rsidRPr="00120864" w:rsidRDefault="00A75748" w:rsidP="00BC1087">
            <w:pPr>
              <w:jc w:val="center"/>
              <w:rPr>
                <w:sz w:val="20"/>
                <w:szCs w:val="16"/>
              </w:rPr>
            </w:pPr>
            <w:r w:rsidRPr="00120864">
              <w:rPr>
                <w:sz w:val="20"/>
                <w:szCs w:val="16"/>
              </w:rPr>
              <w:t>ASME A18.1</w:t>
            </w:r>
          </w:p>
        </w:tc>
        <w:tc>
          <w:tcPr>
            <w:tcW w:w="445" w:type="pct"/>
            <w:tcBorders>
              <w:top w:val="single" w:sz="4" w:space="0" w:color="auto"/>
              <w:left w:val="single" w:sz="4" w:space="0" w:color="auto"/>
              <w:bottom w:val="single" w:sz="4" w:space="0" w:color="auto"/>
              <w:right w:val="single" w:sz="4" w:space="0" w:color="auto"/>
            </w:tcBorders>
            <w:vAlign w:val="center"/>
            <w:hideMark/>
          </w:tcPr>
          <w:p w14:paraId="406F95DA" w14:textId="77777777" w:rsidR="00A75748" w:rsidRPr="00120864" w:rsidRDefault="00A75748" w:rsidP="00BC1087">
            <w:pPr>
              <w:jc w:val="center"/>
              <w:rPr>
                <w:sz w:val="20"/>
                <w:szCs w:val="16"/>
              </w:rPr>
            </w:pPr>
            <w:r w:rsidRPr="00120864">
              <w:rPr>
                <w:sz w:val="20"/>
                <w:szCs w:val="16"/>
              </w:rPr>
              <w:t>Platform/Stairway Chair Lifts</w:t>
            </w:r>
          </w:p>
        </w:tc>
        <w:tc>
          <w:tcPr>
            <w:tcW w:w="354" w:type="pct"/>
            <w:tcBorders>
              <w:top w:val="single" w:sz="4" w:space="0" w:color="auto"/>
              <w:left w:val="single" w:sz="4" w:space="0" w:color="auto"/>
              <w:bottom w:val="single" w:sz="4" w:space="0" w:color="auto"/>
              <w:right w:val="single" w:sz="4" w:space="0" w:color="auto"/>
            </w:tcBorders>
            <w:vAlign w:val="center"/>
            <w:hideMark/>
          </w:tcPr>
          <w:p w14:paraId="13D4ACDB" w14:textId="77777777" w:rsidR="00A75748" w:rsidRPr="00120864" w:rsidRDefault="00A75748" w:rsidP="00BC1087">
            <w:pPr>
              <w:jc w:val="center"/>
              <w:rPr>
                <w:sz w:val="20"/>
                <w:szCs w:val="16"/>
              </w:rPr>
            </w:pPr>
            <w:r w:rsidRPr="00120864">
              <w:rPr>
                <w:sz w:val="20"/>
                <w:szCs w:val="16"/>
              </w:rPr>
              <w:t>10.2</w:t>
            </w:r>
          </w:p>
        </w:tc>
        <w:tc>
          <w:tcPr>
            <w:tcW w:w="240" w:type="pct"/>
            <w:tcBorders>
              <w:top w:val="single" w:sz="4" w:space="0" w:color="auto"/>
              <w:left w:val="single" w:sz="4" w:space="0" w:color="auto"/>
              <w:bottom w:val="single" w:sz="4" w:space="0" w:color="auto"/>
              <w:right w:val="single" w:sz="4" w:space="0" w:color="auto"/>
            </w:tcBorders>
            <w:vAlign w:val="center"/>
            <w:hideMark/>
          </w:tcPr>
          <w:p w14:paraId="60F80D2C"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271E32FE"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4C97043A"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588A099F"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42A00FD3"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118BDD2F" w14:textId="77777777" w:rsidR="00A75748" w:rsidRPr="00120864" w:rsidRDefault="00A75748" w:rsidP="00BC1087">
            <w:pPr>
              <w:jc w:val="center"/>
              <w:rPr>
                <w:sz w:val="20"/>
                <w:szCs w:val="16"/>
              </w:rPr>
            </w:pPr>
            <w:r w:rsidRPr="00120864">
              <w:rPr>
                <w:sz w:val="20"/>
                <w:szCs w:val="16"/>
              </w:rPr>
              <w:t>10.3.1</w:t>
            </w:r>
          </w:p>
        </w:tc>
        <w:tc>
          <w:tcPr>
            <w:tcW w:w="266" w:type="pct"/>
            <w:tcBorders>
              <w:top w:val="single" w:sz="4" w:space="0" w:color="auto"/>
              <w:left w:val="single" w:sz="4" w:space="0" w:color="auto"/>
              <w:bottom w:val="single" w:sz="4" w:space="0" w:color="auto"/>
              <w:right w:val="single" w:sz="4" w:space="0" w:color="auto"/>
            </w:tcBorders>
            <w:vAlign w:val="center"/>
            <w:hideMark/>
          </w:tcPr>
          <w:p w14:paraId="3DB10B26"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4C0577B0" w14:textId="77777777" w:rsidR="00A75748" w:rsidRPr="00120864" w:rsidRDefault="00A75748" w:rsidP="00BC1087">
            <w:pPr>
              <w:jc w:val="center"/>
              <w:rPr>
                <w:sz w:val="20"/>
                <w:szCs w:val="16"/>
              </w:rPr>
            </w:pPr>
            <w:r w:rsidRPr="00120864">
              <w:rPr>
                <w:sz w:val="20"/>
                <w:szCs w:val="16"/>
              </w:rPr>
              <w:t>10.3.3</w:t>
            </w:r>
          </w:p>
        </w:tc>
        <w:tc>
          <w:tcPr>
            <w:tcW w:w="266" w:type="pct"/>
            <w:tcBorders>
              <w:top w:val="single" w:sz="4" w:space="0" w:color="auto"/>
              <w:left w:val="single" w:sz="4" w:space="0" w:color="auto"/>
              <w:bottom w:val="single" w:sz="4" w:space="0" w:color="auto"/>
              <w:right w:val="single" w:sz="4" w:space="0" w:color="auto"/>
            </w:tcBorders>
            <w:vAlign w:val="center"/>
            <w:hideMark/>
          </w:tcPr>
          <w:p w14:paraId="08CD6E56"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4C0E9316"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662D9585"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7DCE0A0C"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64645C6D" w14:textId="77777777" w:rsidR="00A75748" w:rsidRPr="00120864" w:rsidRDefault="00A75748" w:rsidP="00BC1087">
            <w:pPr>
              <w:jc w:val="center"/>
              <w:rPr>
                <w:sz w:val="20"/>
                <w:szCs w:val="16"/>
              </w:rPr>
            </w:pPr>
            <w:r w:rsidRPr="00120864">
              <w:rPr>
                <w:sz w:val="20"/>
                <w:szCs w:val="16"/>
              </w:rPr>
              <w:t>No</w:t>
            </w:r>
          </w:p>
        </w:tc>
      </w:tr>
      <w:tr w:rsidR="00A75748" w:rsidRPr="00120864" w14:paraId="7E8D1CE4" w14:textId="77777777" w:rsidTr="00BC1087">
        <w:trPr>
          <w:cantSplit/>
          <w:trHeight w:val="1133"/>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5D327244" w14:textId="77777777" w:rsidR="00A75748" w:rsidRPr="00120864" w:rsidRDefault="00A75748" w:rsidP="00BC1087">
            <w:pPr>
              <w:jc w:val="center"/>
              <w:rPr>
                <w:sz w:val="20"/>
                <w:szCs w:val="16"/>
              </w:rPr>
            </w:pPr>
            <w:r w:rsidRPr="00120864">
              <w:rPr>
                <w:sz w:val="20"/>
                <w:szCs w:val="16"/>
              </w:rPr>
              <w:t>ASME B20.1</w:t>
            </w:r>
          </w:p>
        </w:tc>
        <w:tc>
          <w:tcPr>
            <w:tcW w:w="445" w:type="pct"/>
            <w:tcBorders>
              <w:top w:val="single" w:sz="4" w:space="0" w:color="auto"/>
              <w:left w:val="single" w:sz="4" w:space="0" w:color="auto"/>
              <w:bottom w:val="single" w:sz="4" w:space="0" w:color="auto"/>
              <w:right w:val="single" w:sz="4" w:space="0" w:color="auto"/>
            </w:tcBorders>
            <w:vAlign w:val="center"/>
            <w:hideMark/>
          </w:tcPr>
          <w:p w14:paraId="73567D3B" w14:textId="77777777" w:rsidR="00A75748" w:rsidRPr="00120864" w:rsidRDefault="00A75748" w:rsidP="00BC1087">
            <w:pPr>
              <w:jc w:val="center"/>
              <w:rPr>
                <w:sz w:val="20"/>
                <w:szCs w:val="16"/>
              </w:rPr>
            </w:pPr>
            <w:r w:rsidRPr="00120864">
              <w:rPr>
                <w:sz w:val="20"/>
                <w:szCs w:val="16"/>
              </w:rPr>
              <w:t>Vertical and Inclined Reciprocating Conveyors (VRC) and Tow Conveyors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580F3B2A" w14:textId="77777777" w:rsidR="00A75748" w:rsidRPr="00120864" w:rsidRDefault="00A75748" w:rsidP="00BC1087">
            <w:pPr>
              <w:jc w:val="center"/>
              <w:rPr>
                <w:sz w:val="20"/>
                <w:szCs w:val="16"/>
              </w:rPr>
            </w:pPr>
            <w:r w:rsidRPr="00120864">
              <w:rPr>
                <w:sz w:val="20"/>
                <w:szCs w:val="16"/>
              </w:rPr>
              <w:t>No</w:t>
            </w:r>
          </w:p>
        </w:tc>
        <w:tc>
          <w:tcPr>
            <w:tcW w:w="240" w:type="pct"/>
            <w:tcBorders>
              <w:top w:val="single" w:sz="4" w:space="0" w:color="auto"/>
              <w:left w:val="single" w:sz="4" w:space="0" w:color="auto"/>
              <w:bottom w:val="single" w:sz="4" w:space="0" w:color="auto"/>
              <w:right w:val="single" w:sz="4" w:space="0" w:color="auto"/>
            </w:tcBorders>
            <w:vAlign w:val="center"/>
            <w:hideMark/>
          </w:tcPr>
          <w:p w14:paraId="5B5DA87A" w14:textId="77777777" w:rsidR="00A75748" w:rsidRPr="00120864" w:rsidRDefault="00A75748" w:rsidP="00BC1087">
            <w:pPr>
              <w:jc w:val="center"/>
              <w:rPr>
                <w:sz w:val="20"/>
                <w:szCs w:val="16"/>
              </w:rPr>
            </w:pPr>
            <w:r w:rsidRPr="00120864">
              <w:rPr>
                <w:sz w:val="20"/>
                <w:szCs w:val="16"/>
              </w:rPr>
              <w:t>No</w:t>
            </w:r>
          </w:p>
        </w:tc>
        <w:tc>
          <w:tcPr>
            <w:tcW w:w="334" w:type="pct"/>
            <w:tcBorders>
              <w:top w:val="single" w:sz="4" w:space="0" w:color="auto"/>
              <w:left w:val="single" w:sz="4" w:space="0" w:color="auto"/>
              <w:bottom w:val="single" w:sz="4" w:space="0" w:color="auto"/>
              <w:right w:val="single" w:sz="4" w:space="0" w:color="auto"/>
            </w:tcBorders>
            <w:vAlign w:val="center"/>
            <w:hideMark/>
          </w:tcPr>
          <w:p w14:paraId="33153194"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4F1BCBC3" w14:textId="77777777" w:rsidR="00A75748" w:rsidRPr="00120864" w:rsidRDefault="00A75748" w:rsidP="00BC1087">
            <w:pPr>
              <w:jc w:val="center"/>
              <w:rPr>
                <w:sz w:val="20"/>
                <w:szCs w:val="16"/>
              </w:rPr>
            </w:pPr>
            <w:r w:rsidRPr="00120864">
              <w:rPr>
                <w:sz w:val="20"/>
                <w:szCs w:val="16"/>
              </w:rPr>
              <w:t>No</w:t>
            </w:r>
          </w:p>
        </w:tc>
        <w:tc>
          <w:tcPr>
            <w:tcW w:w="313" w:type="pct"/>
            <w:tcBorders>
              <w:top w:val="single" w:sz="4" w:space="0" w:color="auto"/>
              <w:left w:val="single" w:sz="4" w:space="0" w:color="auto"/>
              <w:bottom w:val="single" w:sz="4" w:space="0" w:color="auto"/>
              <w:right w:val="single" w:sz="4" w:space="0" w:color="auto"/>
            </w:tcBorders>
            <w:vAlign w:val="center"/>
            <w:hideMark/>
          </w:tcPr>
          <w:p w14:paraId="7864DF3D" w14:textId="77777777" w:rsidR="00A75748" w:rsidRPr="00120864" w:rsidRDefault="00A75748" w:rsidP="00BC1087">
            <w:pPr>
              <w:jc w:val="center"/>
              <w:rPr>
                <w:sz w:val="20"/>
                <w:szCs w:val="16"/>
              </w:rPr>
            </w:pPr>
            <w:r w:rsidRPr="00120864">
              <w:rPr>
                <w:sz w:val="20"/>
                <w:szCs w:val="16"/>
              </w:rPr>
              <w:t>No</w:t>
            </w:r>
          </w:p>
        </w:tc>
        <w:tc>
          <w:tcPr>
            <w:tcW w:w="331" w:type="pct"/>
            <w:tcBorders>
              <w:top w:val="single" w:sz="4" w:space="0" w:color="auto"/>
              <w:left w:val="single" w:sz="4" w:space="0" w:color="auto"/>
              <w:bottom w:val="single" w:sz="4" w:space="0" w:color="auto"/>
              <w:right w:val="single" w:sz="24" w:space="0" w:color="auto"/>
            </w:tcBorders>
            <w:vAlign w:val="center"/>
            <w:hideMark/>
          </w:tcPr>
          <w:p w14:paraId="50D51A79"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1A6582C7" w14:textId="77777777" w:rsidR="00A75748" w:rsidRPr="00120864" w:rsidRDefault="00A75748" w:rsidP="00BC1087">
            <w:pPr>
              <w:jc w:val="center"/>
              <w:rPr>
                <w:sz w:val="20"/>
                <w:szCs w:val="16"/>
              </w:rPr>
            </w:pPr>
            <w:r w:rsidRPr="00120864">
              <w:rPr>
                <w:sz w:val="20"/>
                <w:szCs w:val="16"/>
              </w:rPr>
              <w:t>Appendix K2</w:t>
            </w:r>
          </w:p>
        </w:tc>
        <w:tc>
          <w:tcPr>
            <w:tcW w:w="266" w:type="pct"/>
            <w:tcBorders>
              <w:top w:val="single" w:sz="4" w:space="0" w:color="auto"/>
              <w:left w:val="single" w:sz="4" w:space="0" w:color="auto"/>
              <w:bottom w:val="single" w:sz="4" w:space="0" w:color="auto"/>
              <w:right w:val="single" w:sz="4" w:space="0" w:color="auto"/>
            </w:tcBorders>
            <w:vAlign w:val="center"/>
            <w:hideMark/>
          </w:tcPr>
          <w:p w14:paraId="4356D892" w14:textId="77777777" w:rsidR="00A75748" w:rsidRPr="00120864" w:rsidRDefault="00A75748" w:rsidP="00BC1087">
            <w:pPr>
              <w:jc w:val="center"/>
              <w:rPr>
                <w:sz w:val="20"/>
                <w:szCs w:val="16"/>
              </w:rPr>
            </w:pPr>
            <w:r w:rsidRPr="00120864">
              <w:rPr>
                <w:sz w:val="20"/>
                <w:szCs w:val="16"/>
              </w:rPr>
              <w:t>Appendix K2</w:t>
            </w:r>
          </w:p>
        </w:tc>
        <w:tc>
          <w:tcPr>
            <w:tcW w:w="354" w:type="pct"/>
            <w:tcBorders>
              <w:top w:val="single" w:sz="4" w:space="0" w:color="auto"/>
              <w:left w:val="single" w:sz="4" w:space="0" w:color="auto"/>
              <w:bottom w:val="single" w:sz="4" w:space="0" w:color="auto"/>
              <w:right w:val="single" w:sz="4" w:space="0" w:color="auto"/>
            </w:tcBorders>
            <w:vAlign w:val="center"/>
            <w:hideMark/>
          </w:tcPr>
          <w:p w14:paraId="75BF2F6E" w14:textId="77777777" w:rsidR="00A75748" w:rsidRPr="00120864" w:rsidRDefault="00A75748" w:rsidP="00BC1087">
            <w:pPr>
              <w:jc w:val="center"/>
              <w:rPr>
                <w:sz w:val="20"/>
                <w:szCs w:val="16"/>
              </w:rPr>
            </w:pPr>
            <w:r w:rsidRPr="00120864">
              <w:rPr>
                <w:sz w:val="20"/>
                <w:szCs w:val="16"/>
              </w:rPr>
              <w:t>Appendix K2</w:t>
            </w:r>
          </w:p>
        </w:tc>
        <w:tc>
          <w:tcPr>
            <w:tcW w:w="266" w:type="pct"/>
            <w:tcBorders>
              <w:top w:val="single" w:sz="4" w:space="0" w:color="auto"/>
              <w:left w:val="single" w:sz="4" w:space="0" w:color="auto"/>
              <w:bottom w:val="single" w:sz="4" w:space="0" w:color="auto"/>
              <w:right w:val="single" w:sz="4" w:space="0" w:color="auto"/>
            </w:tcBorders>
            <w:vAlign w:val="center"/>
            <w:hideMark/>
          </w:tcPr>
          <w:p w14:paraId="428B795C" w14:textId="77777777" w:rsidR="00A75748" w:rsidRPr="00120864" w:rsidRDefault="00A75748" w:rsidP="00BC1087">
            <w:pPr>
              <w:jc w:val="center"/>
              <w:rPr>
                <w:sz w:val="20"/>
                <w:szCs w:val="16"/>
              </w:rPr>
            </w:pPr>
            <w:r w:rsidRPr="00120864">
              <w:rPr>
                <w:sz w:val="20"/>
                <w:szCs w:val="16"/>
              </w:rPr>
              <w:t>Appendix K2</w:t>
            </w:r>
          </w:p>
        </w:tc>
        <w:tc>
          <w:tcPr>
            <w:tcW w:w="334" w:type="pct"/>
            <w:tcBorders>
              <w:top w:val="single" w:sz="4" w:space="0" w:color="auto"/>
              <w:left w:val="single" w:sz="4" w:space="0" w:color="auto"/>
              <w:bottom w:val="single" w:sz="4" w:space="0" w:color="auto"/>
              <w:right w:val="single" w:sz="4" w:space="0" w:color="auto"/>
            </w:tcBorders>
            <w:vAlign w:val="center"/>
            <w:hideMark/>
          </w:tcPr>
          <w:p w14:paraId="7BBB958F"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666598AA"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629EAC90"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7C4F0559" w14:textId="77777777" w:rsidR="00A75748" w:rsidRPr="00120864" w:rsidRDefault="00A75748" w:rsidP="00BC1087">
            <w:pPr>
              <w:jc w:val="center"/>
              <w:rPr>
                <w:sz w:val="20"/>
                <w:szCs w:val="16"/>
              </w:rPr>
            </w:pPr>
            <w:r w:rsidRPr="00120864">
              <w:rPr>
                <w:sz w:val="20"/>
                <w:szCs w:val="16"/>
              </w:rPr>
              <w:t>No</w:t>
            </w:r>
          </w:p>
        </w:tc>
      </w:tr>
      <w:tr w:rsidR="00A75748" w:rsidRPr="00120864" w14:paraId="46540C72" w14:textId="77777777" w:rsidTr="00BC1087">
        <w:trPr>
          <w:cantSplit/>
          <w:trHeight w:val="395"/>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069A56E2" w14:textId="77777777" w:rsidR="00A75748" w:rsidRPr="00120864" w:rsidRDefault="00A75748" w:rsidP="00BC1087">
            <w:pPr>
              <w:jc w:val="center"/>
              <w:rPr>
                <w:sz w:val="20"/>
                <w:szCs w:val="16"/>
              </w:rPr>
            </w:pPr>
            <w:r w:rsidRPr="00120864">
              <w:rPr>
                <w:sz w:val="20"/>
                <w:szCs w:val="16"/>
              </w:rPr>
              <w:t>ASME A90.1</w:t>
            </w:r>
          </w:p>
        </w:tc>
        <w:tc>
          <w:tcPr>
            <w:tcW w:w="445" w:type="pct"/>
            <w:tcBorders>
              <w:top w:val="single" w:sz="4" w:space="0" w:color="auto"/>
              <w:left w:val="single" w:sz="4" w:space="0" w:color="auto"/>
              <w:bottom w:val="single" w:sz="4" w:space="0" w:color="auto"/>
              <w:right w:val="single" w:sz="4" w:space="0" w:color="auto"/>
            </w:tcBorders>
            <w:vAlign w:val="center"/>
            <w:hideMark/>
          </w:tcPr>
          <w:p w14:paraId="6A03DFE9" w14:textId="77777777" w:rsidR="00A75748" w:rsidRPr="00120864" w:rsidRDefault="00A75748" w:rsidP="00BC1087">
            <w:pPr>
              <w:jc w:val="center"/>
              <w:rPr>
                <w:sz w:val="20"/>
                <w:szCs w:val="16"/>
              </w:rPr>
            </w:pPr>
            <w:r w:rsidRPr="00120864">
              <w:rPr>
                <w:sz w:val="20"/>
                <w:szCs w:val="16"/>
              </w:rPr>
              <w:t>ManLifts</w:t>
            </w:r>
          </w:p>
        </w:tc>
        <w:tc>
          <w:tcPr>
            <w:tcW w:w="354" w:type="pct"/>
            <w:tcBorders>
              <w:top w:val="single" w:sz="4" w:space="0" w:color="auto"/>
              <w:left w:val="single" w:sz="4" w:space="0" w:color="auto"/>
              <w:bottom w:val="single" w:sz="4" w:space="0" w:color="auto"/>
              <w:right w:val="single" w:sz="4" w:space="0" w:color="auto"/>
            </w:tcBorders>
            <w:vAlign w:val="center"/>
            <w:hideMark/>
          </w:tcPr>
          <w:p w14:paraId="31B1D63F" w14:textId="77777777" w:rsidR="00A75748" w:rsidRPr="00120864" w:rsidRDefault="00A75748" w:rsidP="00BC1087">
            <w:pPr>
              <w:jc w:val="center"/>
              <w:rPr>
                <w:sz w:val="20"/>
                <w:szCs w:val="16"/>
              </w:rPr>
            </w:pPr>
            <w:r w:rsidRPr="00120864">
              <w:rPr>
                <w:sz w:val="20"/>
                <w:szCs w:val="16"/>
              </w:rPr>
              <w:t>8.2</w:t>
            </w:r>
          </w:p>
        </w:tc>
        <w:tc>
          <w:tcPr>
            <w:tcW w:w="240" w:type="pct"/>
            <w:tcBorders>
              <w:top w:val="single" w:sz="4" w:space="0" w:color="auto"/>
              <w:left w:val="single" w:sz="4" w:space="0" w:color="auto"/>
              <w:bottom w:val="single" w:sz="4" w:space="0" w:color="auto"/>
              <w:right w:val="single" w:sz="4" w:space="0" w:color="auto"/>
            </w:tcBorders>
            <w:vAlign w:val="center"/>
            <w:hideMark/>
          </w:tcPr>
          <w:p w14:paraId="0E74F83F" w14:textId="77777777" w:rsidR="00A75748" w:rsidRPr="00120864" w:rsidRDefault="00A75748" w:rsidP="00BC1087">
            <w:pPr>
              <w:jc w:val="center"/>
              <w:rPr>
                <w:sz w:val="20"/>
                <w:szCs w:val="16"/>
              </w:rPr>
            </w:pPr>
            <w:r w:rsidRPr="00120864">
              <w:rPr>
                <w:sz w:val="20"/>
                <w:szCs w:val="16"/>
              </w:rPr>
              <w:t>1-1 to 12-31</w:t>
            </w:r>
          </w:p>
        </w:tc>
        <w:tc>
          <w:tcPr>
            <w:tcW w:w="334" w:type="pct"/>
            <w:tcBorders>
              <w:top w:val="single" w:sz="4" w:space="0" w:color="auto"/>
              <w:left w:val="single" w:sz="4" w:space="0" w:color="auto"/>
              <w:bottom w:val="single" w:sz="4" w:space="0" w:color="auto"/>
              <w:right w:val="single" w:sz="4" w:space="0" w:color="auto"/>
            </w:tcBorders>
            <w:vAlign w:val="center"/>
            <w:hideMark/>
          </w:tcPr>
          <w:p w14:paraId="386435B2"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776CB8F7" w14:textId="77777777" w:rsidR="00A75748" w:rsidRPr="00120864" w:rsidRDefault="00A75748" w:rsidP="00BC1087">
            <w:pPr>
              <w:jc w:val="center"/>
              <w:rPr>
                <w:sz w:val="20"/>
                <w:szCs w:val="16"/>
              </w:rPr>
            </w:pPr>
            <w:r w:rsidRPr="00120864">
              <w:rPr>
                <w:sz w:val="20"/>
                <w:szCs w:val="16"/>
              </w:rPr>
              <w:t>Yes</w:t>
            </w:r>
          </w:p>
        </w:tc>
        <w:tc>
          <w:tcPr>
            <w:tcW w:w="313" w:type="pct"/>
            <w:tcBorders>
              <w:top w:val="single" w:sz="4" w:space="0" w:color="auto"/>
              <w:left w:val="single" w:sz="4" w:space="0" w:color="auto"/>
              <w:bottom w:val="single" w:sz="4" w:space="0" w:color="auto"/>
              <w:right w:val="single" w:sz="4" w:space="0" w:color="auto"/>
            </w:tcBorders>
            <w:vAlign w:val="center"/>
            <w:hideMark/>
          </w:tcPr>
          <w:p w14:paraId="2100CAA0" w14:textId="77777777" w:rsidR="00A75748" w:rsidRPr="00120864" w:rsidRDefault="00A75748" w:rsidP="00BC1087">
            <w:pPr>
              <w:jc w:val="center"/>
              <w:rPr>
                <w:sz w:val="20"/>
                <w:szCs w:val="16"/>
              </w:rPr>
            </w:pPr>
            <w:r w:rsidRPr="00120864">
              <w:rPr>
                <w:sz w:val="20"/>
                <w:szCs w:val="16"/>
              </w:rPr>
              <w:t>Yes</w:t>
            </w:r>
          </w:p>
        </w:tc>
        <w:tc>
          <w:tcPr>
            <w:tcW w:w="331" w:type="pct"/>
            <w:tcBorders>
              <w:top w:val="single" w:sz="4" w:space="0" w:color="auto"/>
              <w:left w:val="single" w:sz="4" w:space="0" w:color="auto"/>
              <w:bottom w:val="single" w:sz="4" w:space="0" w:color="auto"/>
              <w:right w:val="single" w:sz="24" w:space="0" w:color="auto"/>
            </w:tcBorders>
            <w:vAlign w:val="center"/>
            <w:hideMark/>
          </w:tcPr>
          <w:p w14:paraId="366A2F5F"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22A821C9" w14:textId="77777777" w:rsidR="00A75748" w:rsidRPr="00120864" w:rsidRDefault="00A75748" w:rsidP="00BC1087">
            <w:pPr>
              <w:jc w:val="center"/>
              <w:rPr>
                <w:sz w:val="20"/>
                <w:szCs w:val="16"/>
              </w:rPr>
            </w:pPr>
            <w:r w:rsidRPr="00120864">
              <w:rPr>
                <w:sz w:val="20"/>
                <w:szCs w:val="16"/>
              </w:rPr>
              <w:t>8.1</w:t>
            </w:r>
          </w:p>
        </w:tc>
        <w:tc>
          <w:tcPr>
            <w:tcW w:w="266" w:type="pct"/>
            <w:tcBorders>
              <w:top w:val="single" w:sz="4" w:space="0" w:color="auto"/>
              <w:left w:val="single" w:sz="4" w:space="0" w:color="auto"/>
              <w:bottom w:val="single" w:sz="4" w:space="0" w:color="auto"/>
              <w:right w:val="single" w:sz="4" w:space="0" w:color="auto"/>
            </w:tcBorders>
            <w:vAlign w:val="center"/>
            <w:hideMark/>
          </w:tcPr>
          <w:p w14:paraId="2724E06E"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4CC2AF95" w14:textId="77777777" w:rsidR="00A75748" w:rsidRPr="00120864" w:rsidRDefault="00A75748" w:rsidP="00BC1087">
            <w:pPr>
              <w:jc w:val="center"/>
              <w:rPr>
                <w:sz w:val="20"/>
                <w:szCs w:val="16"/>
              </w:rPr>
            </w:pPr>
            <w:r w:rsidRPr="00120864">
              <w:rPr>
                <w:sz w:val="20"/>
                <w:szCs w:val="16"/>
              </w:rPr>
              <w:t>N/A</w:t>
            </w:r>
          </w:p>
        </w:tc>
        <w:tc>
          <w:tcPr>
            <w:tcW w:w="266" w:type="pct"/>
            <w:tcBorders>
              <w:top w:val="single" w:sz="4" w:space="0" w:color="auto"/>
              <w:left w:val="single" w:sz="4" w:space="0" w:color="auto"/>
              <w:bottom w:val="single" w:sz="4" w:space="0" w:color="auto"/>
              <w:right w:val="single" w:sz="4" w:space="0" w:color="auto"/>
            </w:tcBorders>
            <w:vAlign w:val="center"/>
            <w:hideMark/>
          </w:tcPr>
          <w:p w14:paraId="63D6B5E0" w14:textId="77777777" w:rsidR="00A75748" w:rsidRPr="00120864" w:rsidRDefault="00A75748" w:rsidP="00BC1087">
            <w:pPr>
              <w:jc w:val="center"/>
              <w:rPr>
                <w:sz w:val="20"/>
                <w:szCs w:val="16"/>
              </w:rPr>
            </w:pPr>
            <w:r w:rsidRPr="00120864">
              <w:rPr>
                <w:sz w:val="20"/>
                <w:szCs w:val="16"/>
              </w:rPr>
              <w:t>N/A</w:t>
            </w:r>
          </w:p>
        </w:tc>
        <w:tc>
          <w:tcPr>
            <w:tcW w:w="334" w:type="pct"/>
            <w:tcBorders>
              <w:top w:val="single" w:sz="4" w:space="0" w:color="auto"/>
              <w:left w:val="single" w:sz="4" w:space="0" w:color="auto"/>
              <w:bottom w:val="single" w:sz="4" w:space="0" w:color="auto"/>
              <w:right w:val="single" w:sz="4" w:space="0" w:color="auto"/>
            </w:tcBorders>
            <w:vAlign w:val="center"/>
            <w:hideMark/>
          </w:tcPr>
          <w:p w14:paraId="3F0C4EE8"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563BEFC6" w14:textId="77777777" w:rsidR="00A75748" w:rsidRPr="00120864" w:rsidRDefault="00A75748" w:rsidP="00BC1087">
            <w:pPr>
              <w:jc w:val="center"/>
              <w:rPr>
                <w:sz w:val="20"/>
                <w:szCs w:val="16"/>
              </w:rPr>
            </w:pPr>
            <w:r w:rsidRPr="00120864">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546A626F" w14:textId="77777777" w:rsidR="00A75748" w:rsidRPr="00120864" w:rsidRDefault="00A75748" w:rsidP="00BC1087">
            <w:pPr>
              <w:jc w:val="center"/>
              <w:rPr>
                <w:sz w:val="20"/>
                <w:szCs w:val="16"/>
              </w:rPr>
            </w:pPr>
            <w:r w:rsidRPr="00120864">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104F1E8F" w14:textId="77777777" w:rsidR="00A75748" w:rsidRPr="00120864" w:rsidRDefault="00A75748" w:rsidP="00BC1087">
            <w:pPr>
              <w:jc w:val="center"/>
              <w:rPr>
                <w:sz w:val="20"/>
                <w:szCs w:val="16"/>
              </w:rPr>
            </w:pPr>
            <w:r w:rsidRPr="00120864">
              <w:rPr>
                <w:sz w:val="20"/>
                <w:szCs w:val="16"/>
              </w:rPr>
              <w:t>Yes</w:t>
            </w:r>
          </w:p>
        </w:tc>
      </w:tr>
      <w:tr w:rsidR="00A75748" w:rsidRPr="003151BF" w14:paraId="2A60C049" w14:textId="77777777" w:rsidTr="00BC1087">
        <w:trPr>
          <w:cantSplit/>
          <w:trHeight w:val="413"/>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216E499B"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1F0A9122" w14:textId="77777777" w:rsidR="00A75748" w:rsidRPr="00120864" w:rsidRDefault="00A75748" w:rsidP="00BC1087">
            <w:pPr>
              <w:jc w:val="center"/>
              <w:rPr>
                <w:sz w:val="20"/>
                <w:szCs w:val="16"/>
              </w:rPr>
            </w:pPr>
            <w:r w:rsidRPr="00120864">
              <w:rPr>
                <w:sz w:val="20"/>
                <w:szCs w:val="16"/>
              </w:rPr>
              <w:t>PR Elevators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736E8650" w14:textId="77777777" w:rsidR="00A75748" w:rsidRPr="003151BF" w:rsidRDefault="00A75748" w:rsidP="00BC1087">
            <w:pPr>
              <w:jc w:val="center"/>
              <w:rPr>
                <w:sz w:val="20"/>
                <w:szCs w:val="16"/>
              </w:rPr>
            </w:pPr>
            <w:r w:rsidRPr="003151BF">
              <w:rPr>
                <w:sz w:val="20"/>
                <w:szCs w:val="16"/>
              </w:rPr>
              <w:t>[</w:t>
            </w:r>
            <w:r w:rsidRPr="003151BF">
              <w:rPr>
                <w:strike/>
                <w:sz w:val="20"/>
                <w:szCs w:val="16"/>
              </w:rPr>
              <w:t>8.11.5.2</w:t>
            </w:r>
            <w:r w:rsidRPr="003151BF">
              <w:rPr>
                <w:sz w:val="20"/>
                <w:szCs w:val="16"/>
              </w:rPr>
              <w:t>]</w:t>
            </w:r>
            <w:r w:rsidRPr="003151BF">
              <w:rPr>
                <w:sz w:val="20"/>
                <w:szCs w:val="16"/>
                <w:u w:val="single"/>
              </w:rPr>
              <w:t>No</w:t>
            </w:r>
          </w:p>
        </w:tc>
        <w:tc>
          <w:tcPr>
            <w:tcW w:w="240" w:type="pct"/>
            <w:tcBorders>
              <w:top w:val="single" w:sz="4" w:space="0" w:color="auto"/>
              <w:left w:val="single" w:sz="4" w:space="0" w:color="auto"/>
              <w:bottom w:val="single" w:sz="4" w:space="0" w:color="auto"/>
              <w:right w:val="single" w:sz="4" w:space="0" w:color="auto"/>
            </w:tcBorders>
            <w:vAlign w:val="center"/>
            <w:hideMark/>
          </w:tcPr>
          <w:p w14:paraId="72239768" w14:textId="77777777" w:rsidR="00A75748" w:rsidRPr="003151BF" w:rsidRDefault="00A75748" w:rsidP="00BC1087">
            <w:pPr>
              <w:jc w:val="center"/>
              <w:rPr>
                <w:sz w:val="20"/>
                <w:szCs w:val="16"/>
              </w:rPr>
            </w:pPr>
            <w:r w:rsidRPr="003151BF">
              <w:rPr>
                <w:sz w:val="20"/>
                <w:szCs w:val="16"/>
              </w:rPr>
              <w:t>[</w:t>
            </w:r>
            <w:r w:rsidRPr="003151BF">
              <w:rPr>
                <w:strike/>
                <w:sz w:val="20"/>
                <w:szCs w:val="16"/>
              </w:rPr>
              <w:t>1-1 to 12-31</w:t>
            </w:r>
            <w:r w:rsidRPr="003151BF">
              <w:rPr>
                <w:sz w:val="20"/>
                <w:szCs w:val="16"/>
              </w:rPr>
              <w:t>]</w:t>
            </w:r>
            <w:r w:rsidRPr="003151BF">
              <w:rPr>
                <w:sz w:val="20"/>
                <w:szCs w:val="16"/>
                <w:u w:val="single"/>
              </w:rPr>
              <w:t>No</w:t>
            </w:r>
          </w:p>
        </w:tc>
        <w:tc>
          <w:tcPr>
            <w:tcW w:w="334" w:type="pct"/>
            <w:tcBorders>
              <w:top w:val="single" w:sz="4" w:space="0" w:color="auto"/>
              <w:left w:val="single" w:sz="4" w:space="0" w:color="auto"/>
              <w:bottom w:val="single" w:sz="4" w:space="0" w:color="auto"/>
              <w:right w:val="single" w:sz="4" w:space="0" w:color="auto"/>
            </w:tcBorders>
            <w:vAlign w:val="center"/>
            <w:hideMark/>
          </w:tcPr>
          <w:p w14:paraId="5A7463CB" w14:textId="77777777" w:rsidR="00A75748" w:rsidRPr="003151BF" w:rsidRDefault="00A75748" w:rsidP="00BC1087">
            <w:pPr>
              <w:jc w:val="center"/>
              <w:rPr>
                <w:sz w:val="20"/>
                <w:szCs w:val="16"/>
              </w:rPr>
            </w:pPr>
            <w:r w:rsidRPr="003151BF">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3E255C0E" w14:textId="77777777" w:rsidR="00A75748" w:rsidRPr="003151BF" w:rsidRDefault="00A75748" w:rsidP="00BC1087">
            <w:pPr>
              <w:jc w:val="center"/>
              <w:rPr>
                <w:sz w:val="20"/>
                <w:szCs w:val="16"/>
              </w:rPr>
            </w:pPr>
            <w:r w:rsidRPr="003151BF">
              <w:rPr>
                <w:sz w:val="20"/>
                <w:szCs w:val="16"/>
              </w:rPr>
              <w:t>No</w:t>
            </w:r>
          </w:p>
        </w:tc>
        <w:tc>
          <w:tcPr>
            <w:tcW w:w="313" w:type="pct"/>
            <w:tcBorders>
              <w:top w:val="single" w:sz="4" w:space="0" w:color="auto"/>
              <w:left w:val="single" w:sz="4" w:space="0" w:color="auto"/>
              <w:bottom w:val="single" w:sz="4" w:space="0" w:color="auto"/>
              <w:right w:val="single" w:sz="4" w:space="0" w:color="auto"/>
            </w:tcBorders>
            <w:vAlign w:val="center"/>
            <w:hideMark/>
          </w:tcPr>
          <w:p w14:paraId="3A4961D9" w14:textId="77777777" w:rsidR="00A75748" w:rsidRPr="003151BF" w:rsidRDefault="00A75748" w:rsidP="00BC1087">
            <w:pPr>
              <w:jc w:val="center"/>
              <w:rPr>
                <w:sz w:val="20"/>
                <w:szCs w:val="16"/>
              </w:rPr>
            </w:pPr>
            <w:r w:rsidRPr="003151BF">
              <w:rPr>
                <w:sz w:val="20"/>
                <w:szCs w:val="16"/>
              </w:rPr>
              <w:t>[</w:t>
            </w:r>
            <w:r w:rsidRPr="003151BF">
              <w:rPr>
                <w:strike/>
                <w:sz w:val="20"/>
                <w:szCs w:val="16"/>
              </w:rPr>
              <w:t>Yes (6)</w:t>
            </w:r>
            <w:r w:rsidRPr="003151BF">
              <w:rPr>
                <w:sz w:val="20"/>
                <w:szCs w:val="16"/>
              </w:rPr>
              <w:t>]</w:t>
            </w:r>
            <w:r w:rsidRPr="003151BF">
              <w:rPr>
                <w:sz w:val="20"/>
                <w:szCs w:val="16"/>
                <w:u w:val="single"/>
              </w:rPr>
              <w:t>No</w:t>
            </w:r>
          </w:p>
        </w:tc>
        <w:tc>
          <w:tcPr>
            <w:tcW w:w="331" w:type="pct"/>
            <w:tcBorders>
              <w:top w:val="single" w:sz="4" w:space="0" w:color="auto"/>
              <w:left w:val="single" w:sz="4" w:space="0" w:color="auto"/>
              <w:bottom w:val="single" w:sz="4" w:space="0" w:color="auto"/>
              <w:right w:val="single" w:sz="24" w:space="0" w:color="auto"/>
            </w:tcBorders>
            <w:vAlign w:val="center"/>
            <w:hideMark/>
          </w:tcPr>
          <w:p w14:paraId="2C3B96BA" w14:textId="77777777" w:rsidR="00A75748" w:rsidRPr="003151BF" w:rsidRDefault="00A75748" w:rsidP="00BC1087">
            <w:pPr>
              <w:jc w:val="center"/>
              <w:rPr>
                <w:sz w:val="20"/>
                <w:szCs w:val="16"/>
              </w:rPr>
            </w:pPr>
            <w:r w:rsidRPr="003151BF">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05122FB2" w14:textId="77777777" w:rsidR="00A75748" w:rsidRPr="003151BF" w:rsidRDefault="00A75748" w:rsidP="00BC1087">
            <w:pPr>
              <w:jc w:val="center"/>
              <w:rPr>
                <w:sz w:val="20"/>
                <w:szCs w:val="16"/>
              </w:rPr>
            </w:pPr>
            <w:r w:rsidRPr="003151BF">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25BC7624" w14:textId="77777777" w:rsidR="00A75748" w:rsidRPr="003151BF" w:rsidRDefault="00A75748" w:rsidP="00BC1087">
            <w:pPr>
              <w:jc w:val="center"/>
              <w:rPr>
                <w:sz w:val="20"/>
                <w:szCs w:val="16"/>
              </w:rPr>
            </w:pPr>
            <w:r w:rsidRPr="003151BF">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4A0CF894" w14:textId="77777777" w:rsidR="00A75748" w:rsidRPr="003151BF" w:rsidRDefault="00A75748" w:rsidP="00BC1087">
            <w:pPr>
              <w:jc w:val="center"/>
              <w:rPr>
                <w:sz w:val="20"/>
                <w:szCs w:val="16"/>
              </w:rPr>
            </w:pPr>
            <w:r w:rsidRPr="003151BF">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6EA913C3" w14:textId="77777777" w:rsidR="00A75748" w:rsidRPr="003151BF" w:rsidRDefault="00A75748" w:rsidP="00BC1087">
            <w:pPr>
              <w:jc w:val="center"/>
              <w:rPr>
                <w:sz w:val="20"/>
                <w:szCs w:val="16"/>
              </w:rPr>
            </w:pPr>
            <w:r w:rsidRPr="003151BF">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67682369" w14:textId="77777777" w:rsidR="00A75748" w:rsidRPr="003151BF" w:rsidRDefault="00A75748" w:rsidP="00BC1087">
            <w:pPr>
              <w:jc w:val="center"/>
              <w:rPr>
                <w:sz w:val="20"/>
                <w:szCs w:val="16"/>
              </w:rPr>
            </w:pPr>
            <w:r w:rsidRPr="003151BF">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212371DA" w14:textId="77777777" w:rsidR="00A75748" w:rsidRPr="003151BF" w:rsidRDefault="00A75748" w:rsidP="00BC1087">
            <w:pPr>
              <w:jc w:val="center"/>
              <w:rPr>
                <w:sz w:val="20"/>
                <w:szCs w:val="16"/>
              </w:rPr>
            </w:pPr>
            <w:r w:rsidRPr="003151BF">
              <w:rPr>
                <w:sz w:val="20"/>
                <w:szCs w:val="16"/>
              </w:rPr>
              <w:t>Yes</w:t>
            </w:r>
          </w:p>
        </w:tc>
        <w:tc>
          <w:tcPr>
            <w:tcW w:w="334" w:type="pct"/>
            <w:tcBorders>
              <w:top w:val="single" w:sz="4" w:space="0" w:color="auto"/>
              <w:left w:val="single" w:sz="4" w:space="0" w:color="auto"/>
              <w:bottom w:val="single" w:sz="4" w:space="0" w:color="auto"/>
              <w:right w:val="single" w:sz="4" w:space="0" w:color="auto"/>
            </w:tcBorders>
            <w:vAlign w:val="center"/>
            <w:hideMark/>
          </w:tcPr>
          <w:p w14:paraId="67D37197" w14:textId="77777777" w:rsidR="00A75748" w:rsidRPr="003151BF" w:rsidRDefault="00A75748" w:rsidP="00BC1087">
            <w:pPr>
              <w:jc w:val="center"/>
              <w:rPr>
                <w:sz w:val="20"/>
                <w:szCs w:val="16"/>
              </w:rPr>
            </w:pPr>
            <w:r w:rsidRPr="003151BF">
              <w:rPr>
                <w:sz w:val="20"/>
                <w:szCs w:val="16"/>
              </w:rPr>
              <w:t>Yes</w:t>
            </w:r>
          </w:p>
        </w:tc>
        <w:tc>
          <w:tcPr>
            <w:tcW w:w="344" w:type="pct"/>
            <w:tcBorders>
              <w:top w:val="single" w:sz="4" w:space="0" w:color="auto"/>
              <w:left w:val="single" w:sz="4" w:space="0" w:color="auto"/>
              <w:bottom w:val="single" w:sz="4" w:space="0" w:color="auto"/>
              <w:right w:val="single" w:sz="4" w:space="0" w:color="auto"/>
            </w:tcBorders>
            <w:vAlign w:val="center"/>
            <w:hideMark/>
          </w:tcPr>
          <w:p w14:paraId="35B98CF1" w14:textId="77777777" w:rsidR="00A75748" w:rsidRPr="003151BF" w:rsidRDefault="00A75748" w:rsidP="00BC1087">
            <w:pPr>
              <w:jc w:val="center"/>
              <w:rPr>
                <w:sz w:val="20"/>
                <w:szCs w:val="16"/>
              </w:rPr>
            </w:pPr>
            <w:r w:rsidRPr="003151BF">
              <w:rPr>
                <w:sz w:val="20"/>
                <w:szCs w:val="16"/>
              </w:rPr>
              <w:t>[</w:t>
            </w:r>
            <w:r w:rsidRPr="003151BF">
              <w:rPr>
                <w:strike/>
                <w:sz w:val="20"/>
                <w:szCs w:val="16"/>
              </w:rPr>
              <w:t>Yes</w:t>
            </w:r>
            <w:r w:rsidRPr="003151BF">
              <w:rPr>
                <w:sz w:val="20"/>
                <w:szCs w:val="16"/>
              </w:rPr>
              <w:t>]</w:t>
            </w:r>
            <w:r w:rsidRPr="003151BF">
              <w:rPr>
                <w:sz w:val="20"/>
                <w:szCs w:val="16"/>
                <w:u w:val="single"/>
              </w:rPr>
              <w:t>No</w:t>
            </w:r>
          </w:p>
        </w:tc>
      </w:tr>
      <w:tr w:rsidR="00A75748" w:rsidRPr="00120864" w14:paraId="45ED16B7" w14:textId="77777777" w:rsidTr="00BC1087">
        <w:trPr>
          <w:cantSplit/>
          <w:trHeight w:val="341"/>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5CBD75FA" w14:textId="77777777" w:rsidR="00A75748" w:rsidRPr="00120864" w:rsidRDefault="00A75748" w:rsidP="00BC1087">
            <w:pPr>
              <w:jc w:val="center"/>
              <w:rPr>
                <w:sz w:val="20"/>
                <w:szCs w:val="16"/>
              </w:rPr>
            </w:pPr>
            <w:r w:rsidRPr="00120864">
              <w:rPr>
                <w:sz w:val="20"/>
                <w:szCs w:val="16"/>
              </w:rPr>
              <w:t>ASME A17.1</w:t>
            </w:r>
          </w:p>
        </w:tc>
        <w:tc>
          <w:tcPr>
            <w:tcW w:w="445" w:type="pct"/>
            <w:tcBorders>
              <w:top w:val="single" w:sz="4" w:space="0" w:color="auto"/>
              <w:left w:val="single" w:sz="4" w:space="0" w:color="auto"/>
              <w:bottom w:val="single" w:sz="4" w:space="0" w:color="auto"/>
              <w:right w:val="single" w:sz="4" w:space="0" w:color="auto"/>
            </w:tcBorders>
            <w:vAlign w:val="center"/>
            <w:hideMark/>
          </w:tcPr>
          <w:p w14:paraId="6B63E045" w14:textId="77777777" w:rsidR="00A75748" w:rsidRPr="00120864" w:rsidRDefault="00A75748" w:rsidP="00BC1087">
            <w:pPr>
              <w:jc w:val="center"/>
              <w:rPr>
                <w:sz w:val="20"/>
                <w:szCs w:val="16"/>
              </w:rPr>
            </w:pPr>
            <w:r w:rsidRPr="00120864">
              <w:rPr>
                <w:sz w:val="20"/>
                <w:szCs w:val="16"/>
              </w:rPr>
              <w:t>PR Dumb-waiters</w:t>
            </w:r>
          </w:p>
        </w:tc>
        <w:tc>
          <w:tcPr>
            <w:tcW w:w="354" w:type="pct"/>
            <w:tcBorders>
              <w:top w:val="single" w:sz="4" w:space="0" w:color="auto"/>
              <w:left w:val="single" w:sz="4" w:space="0" w:color="auto"/>
              <w:bottom w:val="single" w:sz="4" w:space="0" w:color="auto"/>
              <w:right w:val="single" w:sz="4" w:space="0" w:color="auto"/>
            </w:tcBorders>
            <w:vAlign w:val="center"/>
            <w:hideMark/>
          </w:tcPr>
          <w:p w14:paraId="719F98D8" w14:textId="77777777" w:rsidR="00A75748" w:rsidRPr="00120864" w:rsidRDefault="00A75748" w:rsidP="00BC1087">
            <w:pPr>
              <w:jc w:val="center"/>
              <w:rPr>
                <w:sz w:val="20"/>
                <w:szCs w:val="16"/>
              </w:rPr>
            </w:pPr>
            <w:r w:rsidRPr="00120864">
              <w:rPr>
                <w:sz w:val="20"/>
                <w:szCs w:val="16"/>
              </w:rPr>
              <w:t>No</w:t>
            </w:r>
          </w:p>
        </w:tc>
        <w:tc>
          <w:tcPr>
            <w:tcW w:w="240" w:type="pct"/>
            <w:tcBorders>
              <w:top w:val="single" w:sz="4" w:space="0" w:color="auto"/>
              <w:left w:val="single" w:sz="4" w:space="0" w:color="auto"/>
              <w:bottom w:val="single" w:sz="4" w:space="0" w:color="auto"/>
              <w:right w:val="single" w:sz="4" w:space="0" w:color="auto"/>
            </w:tcBorders>
            <w:vAlign w:val="center"/>
            <w:hideMark/>
          </w:tcPr>
          <w:p w14:paraId="12B79853" w14:textId="77777777" w:rsidR="00A75748" w:rsidRPr="00120864" w:rsidRDefault="00A75748" w:rsidP="00BC1087">
            <w:pPr>
              <w:jc w:val="center"/>
              <w:rPr>
                <w:sz w:val="20"/>
                <w:szCs w:val="16"/>
              </w:rPr>
            </w:pPr>
            <w:r w:rsidRPr="00120864">
              <w:rPr>
                <w:sz w:val="20"/>
                <w:szCs w:val="16"/>
              </w:rPr>
              <w:t>No</w:t>
            </w:r>
          </w:p>
        </w:tc>
        <w:tc>
          <w:tcPr>
            <w:tcW w:w="334" w:type="pct"/>
            <w:tcBorders>
              <w:top w:val="single" w:sz="4" w:space="0" w:color="auto"/>
              <w:left w:val="single" w:sz="4" w:space="0" w:color="auto"/>
              <w:bottom w:val="single" w:sz="4" w:space="0" w:color="auto"/>
              <w:right w:val="single" w:sz="4" w:space="0" w:color="auto"/>
            </w:tcBorders>
            <w:vAlign w:val="center"/>
            <w:hideMark/>
          </w:tcPr>
          <w:p w14:paraId="285B5363"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529ACF63" w14:textId="77777777" w:rsidR="00A75748" w:rsidRPr="00120864" w:rsidRDefault="00A75748" w:rsidP="00BC1087">
            <w:pPr>
              <w:jc w:val="center"/>
              <w:rPr>
                <w:sz w:val="20"/>
                <w:szCs w:val="16"/>
              </w:rPr>
            </w:pPr>
            <w:r w:rsidRPr="00120864">
              <w:rPr>
                <w:sz w:val="20"/>
                <w:szCs w:val="16"/>
              </w:rPr>
              <w:t>No</w:t>
            </w:r>
          </w:p>
        </w:tc>
        <w:tc>
          <w:tcPr>
            <w:tcW w:w="313" w:type="pct"/>
            <w:tcBorders>
              <w:top w:val="single" w:sz="4" w:space="0" w:color="auto"/>
              <w:left w:val="single" w:sz="4" w:space="0" w:color="auto"/>
              <w:bottom w:val="single" w:sz="4" w:space="0" w:color="auto"/>
              <w:right w:val="single" w:sz="4" w:space="0" w:color="auto"/>
            </w:tcBorders>
            <w:vAlign w:val="center"/>
            <w:hideMark/>
          </w:tcPr>
          <w:p w14:paraId="1812DB50" w14:textId="77777777" w:rsidR="00A75748" w:rsidRPr="00120864" w:rsidRDefault="00A75748" w:rsidP="00BC1087">
            <w:pPr>
              <w:jc w:val="center"/>
              <w:rPr>
                <w:sz w:val="20"/>
                <w:szCs w:val="16"/>
              </w:rPr>
            </w:pPr>
            <w:r w:rsidRPr="00120864">
              <w:rPr>
                <w:sz w:val="20"/>
                <w:szCs w:val="16"/>
              </w:rPr>
              <w:t>No</w:t>
            </w:r>
          </w:p>
        </w:tc>
        <w:tc>
          <w:tcPr>
            <w:tcW w:w="331" w:type="pct"/>
            <w:tcBorders>
              <w:top w:val="single" w:sz="4" w:space="0" w:color="auto"/>
              <w:left w:val="single" w:sz="4" w:space="0" w:color="auto"/>
              <w:bottom w:val="single" w:sz="4" w:space="0" w:color="auto"/>
              <w:right w:val="single" w:sz="24" w:space="0" w:color="auto"/>
            </w:tcBorders>
            <w:vAlign w:val="center"/>
            <w:hideMark/>
          </w:tcPr>
          <w:p w14:paraId="26745771"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584B598C" w14:textId="77777777" w:rsidR="00A75748" w:rsidRPr="00120864" w:rsidRDefault="00A75748" w:rsidP="00BC1087">
            <w:pPr>
              <w:jc w:val="center"/>
              <w:rPr>
                <w:sz w:val="20"/>
                <w:szCs w:val="16"/>
              </w:rPr>
            </w:pPr>
            <w:r w:rsidRPr="00120864">
              <w:rPr>
                <w:sz w:val="20"/>
                <w:szCs w:val="16"/>
              </w:rPr>
              <w:t>8.6.4.19, 8.6.5.14</w:t>
            </w:r>
          </w:p>
        </w:tc>
        <w:tc>
          <w:tcPr>
            <w:tcW w:w="266" w:type="pct"/>
            <w:tcBorders>
              <w:top w:val="single" w:sz="4" w:space="0" w:color="auto"/>
              <w:left w:val="single" w:sz="4" w:space="0" w:color="auto"/>
              <w:bottom w:val="single" w:sz="4" w:space="0" w:color="auto"/>
              <w:right w:val="single" w:sz="4" w:space="0" w:color="auto"/>
            </w:tcBorders>
            <w:vAlign w:val="center"/>
            <w:hideMark/>
          </w:tcPr>
          <w:p w14:paraId="5DB74558"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5AEC39FA" w14:textId="77777777" w:rsidR="00A75748" w:rsidRPr="00120864" w:rsidRDefault="00A75748" w:rsidP="00BC1087">
            <w:pPr>
              <w:jc w:val="center"/>
              <w:rPr>
                <w:sz w:val="20"/>
                <w:szCs w:val="16"/>
              </w:rPr>
            </w:pPr>
            <w:r w:rsidRPr="00120864">
              <w:rPr>
                <w:sz w:val="20"/>
                <w:szCs w:val="16"/>
              </w:rPr>
              <w:t>8.6.4.20, 8.6.5.16</w:t>
            </w:r>
          </w:p>
        </w:tc>
        <w:tc>
          <w:tcPr>
            <w:tcW w:w="266" w:type="pct"/>
            <w:tcBorders>
              <w:top w:val="single" w:sz="4" w:space="0" w:color="auto"/>
              <w:left w:val="single" w:sz="4" w:space="0" w:color="auto"/>
              <w:bottom w:val="single" w:sz="4" w:space="0" w:color="auto"/>
              <w:right w:val="single" w:sz="4" w:space="0" w:color="auto"/>
            </w:tcBorders>
            <w:vAlign w:val="center"/>
            <w:hideMark/>
          </w:tcPr>
          <w:p w14:paraId="33791313"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46DD7EEB"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3A5ACDFF" w14:textId="77777777" w:rsidR="00A75748" w:rsidRPr="00120864" w:rsidRDefault="00A75748" w:rsidP="00BC1087">
            <w:pPr>
              <w:jc w:val="center"/>
              <w:rPr>
                <w:sz w:val="20"/>
                <w:szCs w:val="16"/>
              </w:rPr>
            </w:pPr>
            <w:r w:rsidRPr="00120864">
              <w:rPr>
                <w:sz w:val="20"/>
                <w:szCs w:val="16"/>
              </w:rPr>
              <w:t>No</w:t>
            </w:r>
          </w:p>
        </w:tc>
        <w:tc>
          <w:tcPr>
            <w:tcW w:w="334" w:type="pct"/>
            <w:tcBorders>
              <w:top w:val="single" w:sz="4" w:space="0" w:color="auto"/>
              <w:left w:val="single" w:sz="4" w:space="0" w:color="auto"/>
              <w:bottom w:val="single" w:sz="4" w:space="0" w:color="auto"/>
              <w:right w:val="single" w:sz="4" w:space="0" w:color="auto"/>
            </w:tcBorders>
            <w:vAlign w:val="center"/>
            <w:hideMark/>
          </w:tcPr>
          <w:p w14:paraId="489D7432" w14:textId="77777777" w:rsidR="00A75748" w:rsidRPr="00120864" w:rsidRDefault="00A75748" w:rsidP="00BC1087">
            <w:pPr>
              <w:jc w:val="center"/>
              <w:rPr>
                <w:sz w:val="20"/>
                <w:szCs w:val="16"/>
              </w:rPr>
            </w:pPr>
            <w:r w:rsidRPr="00120864">
              <w:rPr>
                <w:sz w:val="20"/>
                <w:szCs w:val="16"/>
              </w:rPr>
              <w:t>No</w:t>
            </w:r>
          </w:p>
        </w:tc>
        <w:tc>
          <w:tcPr>
            <w:tcW w:w="344" w:type="pct"/>
            <w:tcBorders>
              <w:top w:val="single" w:sz="4" w:space="0" w:color="auto"/>
              <w:left w:val="single" w:sz="4" w:space="0" w:color="auto"/>
              <w:bottom w:val="single" w:sz="4" w:space="0" w:color="auto"/>
              <w:right w:val="single" w:sz="4" w:space="0" w:color="auto"/>
            </w:tcBorders>
            <w:vAlign w:val="center"/>
            <w:hideMark/>
          </w:tcPr>
          <w:p w14:paraId="5B7F83B8" w14:textId="77777777" w:rsidR="00A75748" w:rsidRPr="00120864" w:rsidRDefault="00A75748" w:rsidP="00BC1087">
            <w:pPr>
              <w:jc w:val="center"/>
              <w:rPr>
                <w:sz w:val="20"/>
                <w:szCs w:val="16"/>
              </w:rPr>
            </w:pPr>
            <w:r w:rsidRPr="00120864">
              <w:rPr>
                <w:sz w:val="20"/>
                <w:szCs w:val="16"/>
              </w:rPr>
              <w:t>No</w:t>
            </w:r>
          </w:p>
        </w:tc>
      </w:tr>
      <w:tr w:rsidR="00A75748" w:rsidRPr="00120864" w14:paraId="131F18DD" w14:textId="77777777" w:rsidTr="00BC1087">
        <w:trPr>
          <w:cantSplit/>
          <w:trHeight w:val="656"/>
          <w:jc w:val="center"/>
        </w:trPr>
        <w:tc>
          <w:tcPr>
            <w:tcW w:w="363" w:type="pct"/>
            <w:tcBorders>
              <w:top w:val="single" w:sz="4" w:space="0" w:color="auto"/>
              <w:left w:val="single" w:sz="4" w:space="0" w:color="auto"/>
              <w:bottom w:val="single" w:sz="4" w:space="0" w:color="auto"/>
              <w:right w:val="single" w:sz="4" w:space="0" w:color="auto"/>
            </w:tcBorders>
            <w:vAlign w:val="center"/>
            <w:hideMark/>
          </w:tcPr>
          <w:p w14:paraId="338D4166" w14:textId="77777777" w:rsidR="00A75748" w:rsidRPr="00120864" w:rsidRDefault="00A75748" w:rsidP="00BC1087">
            <w:pPr>
              <w:jc w:val="center"/>
              <w:rPr>
                <w:sz w:val="20"/>
                <w:szCs w:val="16"/>
              </w:rPr>
            </w:pPr>
            <w:r w:rsidRPr="00120864">
              <w:rPr>
                <w:sz w:val="20"/>
                <w:szCs w:val="16"/>
              </w:rPr>
              <w:t>ASME A18.1</w:t>
            </w:r>
          </w:p>
        </w:tc>
        <w:tc>
          <w:tcPr>
            <w:tcW w:w="445" w:type="pct"/>
            <w:tcBorders>
              <w:top w:val="single" w:sz="4" w:space="0" w:color="auto"/>
              <w:left w:val="single" w:sz="4" w:space="0" w:color="auto"/>
              <w:bottom w:val="single" w:sz="4" w:space="0" w:color="auto"/>
              <w:right w:val="single" w:sz="4" w:space="0" w:color="auto"/>
            </w:tcBorders>
            <w:vAlign w:val="center"/>
            <w:hideMark/>
          </w:tcPr>
          <w:p w14:paraId="4D12B481" w14:textId="77777777" w:rsidR="00A75748" w:rsidRPr="00120864" w:rsidRDefault="00A75748" w:rsidP="00BC1087">
            <w:pPr>
              <w:jc w:val="center"/>
              <w:rPr>
                <w:sz w:val="20"/>
                <w:szCs w:val="16"/>
              </w:rPr>
            </w:pPr>
            <w:r w:rsidRPr="00120864">
              <w:rPr>
                <w:sz w:val="20"/>
                <w:szCs w:val="16"/>
              </w:rPr>
              <w:t>PR Platform/Stairway Chair Lifts</w:t>
            </w:r>
          </w:p>
        </w:tc>
        <w:tc>
          <w:tcPr>
            <w:tcW w:w="354" w:type="pct"/>
            <w:tcBorders>
              <w:top w:val="single" w:sz="4" w:space="0" w:color="auto"/>
              <w:left w:val="single" w:sz="4" w:space="0" w:color="auto"/>
              <w:bottom w:val="single" w:sz="4" w:space="0" w:color="auto"/>
              <w:right w:val="single" w:sz="4" w:space="0" w:color="auto"/>
            </w:tcBorders>
            <w:vAlign w:val="center"/>
            <w:hideMark/>
          </w:tcPr>
          <w:p w14:paraId="61A39985" w14:textId="77777777" w:rsidR="00A75748" w:rsidRPr="00120864" w:rsidRDefault="00A75748" w:rsidP="00BC1087">
            <w:pPr>
              <w:jc w:val="center"/>
              <w:rPr>
                <w:sz w:val="20"/>
                <w:szCs w:val="16"/>
              </w:rPr>
            </w:pPr>
            <w:r w:rsidRPr="00120864">
              <w:rPr>
                <w:sz w:val="20"/>
                <w:szCs w:val="16"/>
              </w:rPr>
              <w:t>No</w:t>
            </w:r>
          </w:p>
        </w:tc>
        <w:tc>
          <w:tcPr>
            <w:tcW w:w="240" w:type="pct"/>
            <w:tcBorders>
              <w:top w:val="single" w:sz="4" w:space="0" w:color="auto"/>
              <w:left w:val="single" w:sz="4" w:space="0" w:color="auto"/>
              <w:bottom w:val="single" w:sz="4" w:space="0" w:color="auto"/>
              <w:right w:val="single" w:sz="4" w:space="0" w:color="auto"/>
            </w:tcBorders>
            <w:vAlign w:val="center"/>
            <w:hideMark/>
          </w:tcPr>
          <w:p w14:paraId="5C45694B" w14:textId="77777777" w:rsidR="00A75748" w:rsidRPr="00120864" w:rsidRDefault="00A75748" w:rsidP="00BC1087">
            <w:pPr>
              <w:jc w:val="center"/>
              <w:rPr>
                <w:sz w:val="20"/>
                <w:szCs w:val="16"/>
              </w:rPr>
            </w:pPr>
            <w:r w:rsidRPr="00120864">
              <w:rPr>
                <w:sz w:val="20"/>
                <w:szCs w:val="16"/>
              </w:rPr>
              <w:t>No</w:t>
            </w:r>
          </w:p>
        </w:tc>
        <w:tc>
          <w:tcPr>
            <w:tcW w:w="334" w:type="pct"/>
            <w:tcBorders>
              <w:top w:val="single" w:sz="4" w:space="0" w:color="auto"/>
              <w:left w:val="single" w:sz="4" w:space="0" w:color="auto"/>
              <w:bottom w:val="single" w:sz="4" w:space="0" w:color="auto"/>
              <w:right w:val="single" w:sz="4" w:space="0" w:color="auto"/>
            </w:tcBorders>
            <w:vAlign w:val="center"/>
            <w:hideMark/>
          </w:tcPr>
          <w:p w14:paraId="6DE54440"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0F783B92" w14:textId="77777777" w:rsidR="00A75748" w:rsidRPr="00120864" w:rsidRDefault="00A75748" w:rsidP="00BC1087">
            <w:pPr>
              <w:jc w:val="center"/>
              <w:rPr>
                <w:sz w:val="20"/>
                <w:szCs w:val="16"/>
              </w:rPr>
            </w:pPr>
            <w:r w:rsidRPr="00120864">
              <w:rPr>
                <w:sz w:val="20"/>
                <w:szCs w:val="16"/>
              </w:rPr>
              <w:t>No</w:t>
            </w:r>
          </w:p>
        </w:tc>
        <w:tc>
          <w:tcPr>
            <w:tcW w:w="313" w:type="pct"/>
            <w:tcBorders>
              <w:top w:val="single" w:sz="4" w:space="0" w:color="auto"/>
              <w:left w:val="single" w:sz="4" w:space="0" w:color="auto"/>
              <w:bottom w:val="single" w:sz="4" w:space="0" w:color="auto"/>
              <w:right w:val="single" w:sz="4" w:space="0" w:color="auto"/>
            </w:tcBorders>
            <w:vAlign w:val="center"/>
            <w:hideMark/>
          </w:tcPr>
          <w:p w14:paraId="12920E4F" w14:textId="77777777" w:rsidR="00A75748" w:rsidRPr="00120864" w:rsidRDefault="00A75748" w:rsidP="00BC1087">
            <w:pPr>
              <w:jc w:val="center"/>
              <w:rPr>
                <w:sz w:val="20"/>
                <w:szCs w:val="16"/>
              </w:rPr>
            </w:pPr>
            <w:r w:rsidRPr="00120864">
              <w:rPr>
                <w:sz w:val="20"/>
                <w:szCs w:val="16"/>
              </w:rPr>
              <w:t>No</w:t>
            </w:r>
          </w:p>
        </w:tc>
        <w:tc>
          <w:tcPr>
            <w:tcW w:w="331" w:type="pct"/>
            <w:tcBorders>
              <w:top w:val="single" w:sz="4" w:space="0" w:color="auto"/>
              <w:left w:val="single" w:sz="4" w:space="0" w:color="auto"/>
              <w:bottom w:val="single" w:sz="4" w:space="0" w:color="auto"/>
              <w:right w:val="single" w:sz="24" w:space="0" w:color="auto"/>
            </w:tcBorders>
            <w:vAlign w:val="center"/>
            <w:hideMark/>
          </w:tcPr>
          <w:p w14:paraId="083B9E01" w14:textId="77777777" w:rsidR="00A75748" w:rsidRPr="00120864" w:rsidRDefault="00A75748" w:rsidP="00BC1087">
            <w:pPr>
              <w:jc w:val="center"/>
              <w:rPr>
                <w:sz w:val="20"/>
                <w:szCs w:val="16"/>
              </w:rPr>
            </w:pPr>
            <w:r w:rsidRPr="00120864">
              <w:rPr>
                <w:sz w:val="20"/>
                <w:szCs w:val="16"/>
              </w:rPr>
              <w:t>No</w:t>
            </w:r>
          </w:p>
        </w:tc>
        <w:tc>
          <w:tcPr>
            <w:tcW w:w="354" w:type="pct"/>
            <w:tcBorders>
              <w:top w:val="single" w:sz="4" w:space="0" w:color="auto"/>
              <w:left w:val="single" w:sz="24" w:space="0" w:color="auto"/>
              <w:bottom w:val="single" w:sz="4" w:space="0" w:color="auto"/>
              <w:right w:val="single" w:sz="4" w:space="0" w:color="auto"/>
            </w:tcBorders>
            <w:vAlign w:val="center"/>
            <w:hideMark/>
          </w:tcPr>
          <w:p w14:paraId="722953C4" w14:textId="77777777" w:rsidR="00A75748" w:rsidRPr="00120864" w:rsidRDefault="00A75748" w:rsidP="00BC1087">
            <w:pPr>
              <w:jc w:val="center"/>
              <w:rPr>
                <w:sz w:val="20"/>
                <w:szCs w:val="16"/>
              </w:rPr>
            </w:pPr>
            <w:r w:rsidRPr="00120864">
              <w:rPr>
                <w:sz w:val="20"/>
                <w:szCs w:val="16"/>
              </w:rPr>
              <w:t>10.3.1</w:t>
            </w:r>
          </w:p>
        </w:tc>
        <w:tc>
          <w:tcPr>
            <w:tcW w:w="266" w:type="pct"/>
            <w:tcBorders>
              <w:top w:val="single" w:sz="4" w:space="0" w:color="auto"/>
              <w:left w:val="single" w:sz="4" w:space="0" w:color="auto"/>
              <w:bottom w:val="single" w:sz="4" w:space="0" w:color="auto"/>
              <w:right w:val="single" w:sz="4" w:space="0" w:color="auto"/>
            </w:tcBorders>
            <w:vAlign w:val="center"/>
            <w:hideMark/>
          </w:tcPr>
          <w:p w14:paraId="367F8A61" w14:textId="77777777" w:rsidR="00A75748" w:rsidRPr="00120864" w:rsidRDefault="00A75748" w:rsidP="00BC1087">
            <w:pPr>
              <w:jc w:val="center"/>
              <w:rPr>
                <w:sz w:val="20"/>
                <w:szCs w:val="16"/>
              </w:rPr>
            </w:pPr>
            <w:r w:rsidRPr="00120864">
              <w:rPr>
                <w:sz w:val="20"/>
                <w:szCs w:val="16"/>
              </w:rPr>
              <w:t>1-1 to 12-31</w:t>
            </w:r>
          </w:p>
        </w:tc>
        <w:tc>
          <w:tcPr>
            <w:tcW w:w="354" w:type="pct"/>
            <w:tcBorders>
              <w:top w:val="single" w:sz="4" w:space="0" w:color="auto"/>
              <w:left w:val="single" w:sz="4" w:space="0" w:color="auto"/>
              <w:bottom w:val="single" w:sz="4" w:space="0" w:color="auto"/>
              <w:right w:val="single" w:sz="4" w:space="0" w:color="auto"/>
            </w:tcBorders>
            <w:vAlign w:val="center"/>
            <w:hideMark/>
          </w:tcPr>
          <w:p w14:paraId="55EC6E99" w14:textId="77777777" w:rsidR="00A75748" w:rsidRPr="00120864" w:rsidRDefault="00A75748" w:rsidP="00BC1087">
            <w:pPr>
              <w:jc w:val="center"/>
              <w:rPr>
                <w:sz w:val="20"/>
                <w:szCs w:val="16"/>
              </w:rPr>
            </w:pPr>
            <w:r w:rsidRPr="00120864">
              <w:rPr>
                <w:sz w:val="20"/>
                <w:szCs w:val="16"/>
              </w:rPr>
              <w:t>10.3.3</w:t>
            </w:r>
          </w:p>
        </w:tc>
        <w:tc>
          <w:tcPr>
            <w:tcW w:w="266" w:type="pct"/>
            <w:tcBorders>
              <w:top w:val="single" w:sz="4" w:space="0" w:color="auto"/>
              <w:left w:val="single" w:sz="4" w:space="0" w:color="auto"/>
              <w:bottom w:val="single" w:sz="4" w:space="0" w:color="auto"/>
              <w:right w:val="single" w:sz="4" w:space="0" w:color="auto"/>
            </w:tcBorders>
            <w:vAlign w:val="center"/>
            <w:hideMark/>
          </w:tcPr>
          <w:p w14:paraId="6A5BC8BC" w14:textId="77777777" w:rsidR="00A75748" w:rsidRPr="00120864" w:rsidRDefault="00A75748" w:rsidP="00BC1087">
            <w:pPr>
              <w:jc w:val="center"/>
              <w:rPr>
                <w:sz w:val="20"/>
                <w:szCs w:val="16"/>
              </w:rPr>
            </w:pPr>
            <w:r w:rsidRPr="00120864">
              <w:rPr>
                <w:sz w:val="20"/>
                <w:szCs w:val="16"/>
              </w:rPr>
              <w:t>60</w:t>
            </w:r>
          </w:p>
        </w:tc>
        <w:tc>
          <w:tcPr>
            <w:tcW w:w="334" w:type="pct"/>
            <w:tcBorders>
              <w:top w:val="single" w:sz="4" w:space="0" w:color="auto"/>
              <w:left w:val="single" w:sz="4" w:space="0" w:color="auto"/>
              <w:bottom w:val="single" w:sz="4" w:space="0" w:color="auto"/>
              <w:right w:val="single" w:sz="4" w:space="0" w:color="auto"/>
            </w:tcBorders>
            <w:vAlign w:val="center"/>
            <w:hideMark/>
          </w:tcPr>
          <w:p w14:paraId="5E30B660" w14:textId="77777777" w:rsidR="00A75748" w:rsidRPr="00120864" w:rsidRDefault="00A75748" w:rsidP="00BC1087">
            <w:pPr>
              <w:jc w:val="center"/>
              <w:rPr>
                <w:sz w:val="20"/>
                <w:szCs w:val="16"/>
              </w:rPr>
            </w:pPr>
            <w:r w:rsidRPr="00120864">
              <w:rPr>
                <w:sz w:val="20"/>
                <w:szCs w:val="16"/>
              </w:rPr>
              <w:t>No</w:t>
            </w:r>
          </w:p>
        </w:tc>
        <w:tc>
          <w:tcPr>
            <w:tcW w:w="184" w:type="pct"/>
            <w:tcBorders>
              <w:top w:val="single" w:sz="4" w:space="0" w:color="auto"/>
              <w:left w:val="single" w:sz="4" w:space="0" w:color="auto"/>
              <w:bottom w:val="single" w:sz="4" w:space="0" w:color="auto"/>
              <w:right w:val="single" w:sz="4" w:space="0" w:color="auto"/>
            </w:tcBorders>
            <w:vAlign w:val="center"/>
            <w:hideMark/>
          </w:tcPr>
          <w:p w14:paraId="0DD1782A" w14:textId="77777777" w:rsidR="00A75748" w:rsidRPr="00120864" w:rsidRDefault="00A75748" w:rsidP="00BC1087">
            <w:pPr>
              <w:jc w:val="center"/>
              <w:rPr>
                <w:sz w:val="20"/>
                <w:szCs w:val="16"/>
              </w:rPr>
            </w:pPr>
            <w:r w:rsidRPr="00120864">
              <w:rPr>
                <w:sz w:val="20"/>
                <w:szCs w:val="16"/>
              </w:rPr>
              <w:t>No</w:t>
            </w:r>
          </w:p>
        </w:tc>
        <w:tc>
          <w:tcPr>
            <w:tcW w:w="334" w:type="pct"/>
            <w:tcBorders>
              <w:top w:val="single" w:sz="4" w:space="0" w:color="auto"/>
              <w:left w:val="single" w:sz="4" w:space="0" w:color="auto"/>
              <w:bottom w:val="single" w:sz="4" w:space="0" w:color="auto"/>
              <w:right w:val="single" w:sz="4" w:space="0" w:color="auto"/>
            </w:tcBorders>
            <w:vAlign w:val="center"/>
            <w:hideMark/>
          </w:tcPr>
          <w:p w14:paraId="37FB9D54" w14:textId="77777777" w:rsidR="00A75748" w:rsidRPr="00120864" w:rsidRDefault="00A75748" w:rsidP="00BC1087">
            <w:pPr>
              <w:jc w:val="center"/>
              <w:rPr>
                <w:sz w:val="20"/>
                <w:szCs w:val="16"/>
              </w:rPr>
            </w:pPr>
            <w:r w:rsidRPr="00120864">
              <w:rPr>
                <w:sz w:val="20"/>
                <w:szCs w:val="16"/>
              </w:rPr>
              <w:t>No</w:t>
            </w:r>
          </w:p>
        </w:tc>
        <w:tc>
          <w:tcPr>
            <w:tcW w:w="344" w:type="pct"/>
            <w:tcBorders>
              <w:top w:val="single" w:sz="4" w:space="0" w:color="auto"/>
              <w:left w:val="single" w:sz="4" w:space="0" w:color="auto"/>
              <w:bottom w:val="single" w:sz="4" w:space="0" w:color="auto"/>
              <w:right w:val="single" w:sz="4" w:space="0" w:color="auto"/>
            </w:tcBorders>
            <w:vAlign w:val="center"/>
            <w:hideMark/>
          </w:tcPr>
          <w:p w14:paraId="4ACF7096" w14:textId="77777777" w:rsidR="00A75748" w:rsidRPr="00120864" w:rsidRDefault="00A75748" w:rsidP="00BC1087">
            <w:pPr>
              <w:jc w:val="center"/>
              <w:rPr>
                <w:sz w:val="20"/>
                <w:szCs w:val="16"/>
              </w:rPr>
            </w:pPr>
            <w:r w:rsidRPr="00120864">
              <w:rPr>
                <w:sz w:val="20"/>
                <w:szCs w:val="16"/>
              </w:rPr>
              <w:t>No</w:t>
            </w:r>
          </w:p>
        </w:tc>
      </w:tr>
    </w:tbl>
    <w:p w14:paraId="2B099F1E" w14:textId="77777777" w:rsidR="00A75748" w:rsidRPr="00120864" w:rsidRDefault="00A75748" w:rsidP="00A75748">
      <w:pPr>
        <w:spacing w:before="120" w:after="120" w:line="240" w:lineRule="auto"/>
        <w:jc w:val="both"/>
        <w:rPr>
          <w:rFonts w:eastAsia="Calibri" w:cs="Times New Roman"/>
          <w:sz w:val="18"/>
        </w:rPr>
      </w:pPr>
      <w:r w:rsidRPr="00120864">
        <w:rPr>
          <w:rFonts w:eastAsia="Calibri" w:cs="Times New Roman"/>
          <w:sz w:val="18"/>
        </w:rPr>
        <w:t>Notes:</w:t>
      </w:r>
    </w:p>
    <w:p w14:paraId="2B2A0AA8" w14:textId="77777777" w:rsidR="00A75748" w:rsidRPr="00120864" w:rsidRDefault="00A75748" w:rsidP="00A75748">
      <w:pPr>
        <w:spacing w:before="120" w:after="120" w:line="240" w:lineRule="auto"/>
        <w:ind w:left="360" w:hanging="360"/>
        <w:jc w:val="both"/>
        <w:rPr>
          <w:rFonts w:eastAsia="Calibri" w:cs="Times New Roman"/>
          <w:sz w:val="18"/>
        </w:rPr>
      </w:pPr>
      <w:r w:rsidRPr="00120864">
        <w:rPr>
          <w:rFonts w:eastAsia="Calibri" w:cs="Times New Roman"/>
          <w:sz w:val="18"/>
        </w:rPr>
        <w:t>(1)</w:t>
      </w:r>
      <w:r w:rsidRPr="00120864">
        <w:rPr>
          <w:rFonts w:eastAsia="Calibri" w:cs="Times New Roman"/>
          <w:sz w:val="18"/>
        </w:rPr>
        <w:tab/>
        <w:t xml:space="preserve">See Article 304.6 of the </w:t>
      </w:r>
      <w:r w:rsidRPr="00120864">
        <w:rPr>
          <w:rFonts w:eastAsia="Calibri" w:cs="Times New Roman"/>
          <w:i/>
          <w:sz w:val="18"/>
        </w:rPr>
        <w:t>New York City Administrative Code</w:t>
      </w:r>
      <w:r w:rsidRPr="00120864">
        <w:rPr>
          <w:rFonts w:eastAsia="Calibri" w:cs="Times New Roman"/>
          <w:sz w:val="18"/>
        </w:rPr>
        <w:t>.</w:t>
      </w:r>
    </w:p>
    <w:p w14:paraId="06E790D2" w14:textId="77777777" w:rsidR="00A75748" w:rsidRPr="00120864" w:rsidRDefault="00A75748" w:rsidP="00A75748">
      <w:pPr>
        <w:spacing w:before="120" w:after="120" w:line="240" w:lineRule="auto"/>
        <w:ind w:left="360" w:hanging="360"/>
        <w:rPr>
          <w:rFonts w:eastAsia="Calibri" w:cs="Times New Roman"/>
          <w:sz w:val="18"/>
        </w:rPr>
      </w:pPr>
      <w:r w:rsidRPr="00120864">
        <w:rPr>
          <w:rFonts w:eastAsia="Calibri" w:cs="Times New Roman"/>
          <w:sz w:val="18"/>
        </w:rPr>
        <w:t>(2)</w:t>
      </w:r>
      <w:r w:rsidRPr="00120864">
        <w:rPr>
          <w:rFonts w:eastAsia="Calibri" w:cs="Times New Roman"/>
          <w:sz w:val="18"/>
        </w:rPr>
        <w:tab/>
        <w:t xml:space="preserve">Periodic inspections, in accordance with Section 28-304.6.1 of the </w:t>
      </w:r>
      <w:r w:rsidRPr="00120864">
        <w:rPr>
          <w:rFonts w:eastAsia="Calibri" w:cs="Times New Roman"/>
          <w:i/>
          <w:sz w:val="18"/>
        </w:rPr>
        <w:t>New York City Administrative Code,</w:t>
      </w:r>
      <w:r w:rsidRPr="00120864">
        <w:rPr>
          <w:rFonts w:eastAsia="Calibri" w:cs="Times New Roman"/>
          <w:sz w:val="18"/>
        </w:rPr>
        <w:t xml:space="preserve"> do not require the presence of a witnessing agency.</w:t>
      </w:r>
    </w:p>
    <w:p w14:paraId="7CAB8E32" w14:textId="77777777" w:rsidR="00A75748" w:rsidRPr="00120864" w:rsidRDefault="00A75748" w:rsidP="00A75748">
      <w:pPr>
        <w:spacing w:before="120" w:after="120" w:line="240" w:lineRule="auto"/>
        <w:ind w:left="360" w:hanging="360"/>
        <w:rPr>
          <w:rFonts w:eastAsia="Calibri" w:cs="Times New Roman"/>
          <w:sz w:val="18"/>
        </w:rPr>
      </w:pPr>
      <w:r w:rsidRPr="00120864">
        <w:rPr>
          <w:rFonts w:eastAsia="Calibri" w:cs="Times New Roman"/>
          <w:sz w:val="18"/>
        </w:rPr>
        <w:t>(3)</w:t>
      </w:r>
      <w:r w:rsidRPr="00120864">
        <w:rPr>
          <w:rFonts w:eastAsia="Calibri" w:cs="Times New Roman"/>
          <w:sz w:val="18"/>
        </w:rPr>
        <w:tab/>
        <w:t>Water-hydraulic elevators shall be tested in accordance with section 8.6.5.15.</w:t>
      </w:r>
    </w:p>
    <w:p w14:paraId="5C7B000F" w14:textId="77777777" w:rsidR="00A75748" w:rsidRPr="00120864" w:rsidRDefault="00A75748" w:rsidP="00A75748">
      <w:pPr>
        <w:spacing w:before="120" w:after="120" w:line="240" w:lineRule="auto"/>
        <w:ind w:left="360" w:hanging="360"/>
        <w:jc w:val="both"/>
        <w:rPr>
          <w:rFonts w:eastAsia="Calibri" w:cs="Times New Roman"/>
          <w:sz w:val="18"/>
        </w:rPr>
      </w:pPr>
      <w:r w:rsidRPr="00120864">
        <w:rPr>
          <w:rFonts w:eastAsia="Calibri" w:cs="Times New Roman"/>
          <w:sz w:val="18"/>
        </w:rPr>
        <w:t>(4)</w:t>
      </w:r>
      <w:r w:rsidRPr="00120864">
        <w:rPr>
          <w:rFonts w:eastAsia="Calibri" w:cs="Times New Roman"/>
          <w:sz w:val="18"/>
        </w:rPr>
        <w:tab/>
        <w:t xml:space="preserve">Where filing with the Department is not required, the owner shall perform category testing and maintain a log of each test performed as required by the </w:t>
      </w:r>
      <w:r w:rsidRPr="00120864">
        <w:rPr>
          <w:rFonts w:eastAsia="Calibri" w:cs="Times New Roman"/>
          <w:i/>
          <w:sz w:val="18"/>
        </w:rPr>
        <w:t>New York City Building Code</w:t>
      </w:r>
      <w:r w:rsidRPr="00120864">
        <w:rPr>
          <w:rFonts w:eastAsia="Calibri" w:cs="Times New Roman"/>
          <w:sz w:val="18"/>
        </w:rPr>
        <w:t>. Such log shall be made available to the Department upon request.</w:t>
      </w:r>
    </w:p>
    <w:p w14:paraId="75BE2EDD" w14:textId="77777777" w:rsidR="00A75748" w:rsidRPr="00120864" w:rsidRDefault="00A75748" w:rsidP="00A75748">
      <w:pPr>
        <w:spacing w:before="120" w:after="120" w:line="240" w:lineRule="auto"/>
        <w:ind w:left="360" w:hanging="360"/>
        <w:rPr>
          <w:rFonts w:eastAsia="Calibri" w:cs="Times New Roman"/>
          <w:sz w:val="18"/>
        </w:rPr>
      </w:pPr>
      <w:r w:rsidRPr="00120864">
        <w:rPr>
          <w:rFonts w:eastAsia="Calibri" w:cs="Times New Roman"/>
          <w:sz w:val="18"/>
        </w:rPr>
        <w:t>(5)</w:t>
      </w:r>
      <w:r w:rsidRPr="00120864">
        <w:rPr>
          <w:rFonts w:eastAsia="Calibri" w:cs="Times New Roman"/>
          <w:sz w:val="18"/>
        </w:rPr>
        <w:tab/>
        <w:t>Dismantled devices do not require Category 1 or 5 tests but do require periodic inspections.</w:t>
      </w:r>
    </w:p>
    <w:p w14:paraId="1C18D850" w14:textId="77777777" w:rsidR="00A75748" w:rsidRPr="002566F5" w:rsidRDefault="00A75748" w:rsidP="00A75748">
      <w:pPr>
        <w:spacing w:before="120" w:after="120" w:line="240" w:lineRule="auto"/>
        <w:ind w:left="360" w:hanging="360"/>
        <w:jc w:val="both"/>
        <w:rPr>
          <w:rFonts w:eastAsia="Calibri" w:cs="Times New Roman"/>
          <w:strike/>
          <w:sz w:val="18"/>
        </w:rPr>
      </w:pPr>
      <w:r w:rsidRPr="002566F5">
        <w:rPr>
          <w:rFonts w:eastAsia="Calibri" w:cs="Times New Roman"/>
          <w:sz w:val="18"/>
        </w:rPr>
        <w:t>[</w:t>
      </w:r>
      <w:r w:rsidRPr="002566F5">
        <w:rPr>
          <w:rFonts w:eastAsia="Calibri" w:cs="Times New Roman"/>
          <w:strike/>
          <w:sz w:val="18"/>
        </w:rPr>
        <w:t>(6)</w:t>
      </w:r>
      <w:r w:rsidRPr="002566F5">
        <w:rPr>
          <w:rFonts w:eastAsia="Calibri" w:cs="Times New Roman"/>
          <w:strike/>
          <w:sz w:val="18"/>
        </w:rPr>
        <w:tab/>
        <w:t>For private residence elevators, periodic inspection and category testing may be performed on the same date.</w:t>
      </w:r>
      <w:bookmarkEnd w:id="223"/>
      <w:r w:rsidRPr="002566F5">
        <w:rPr>
          <w:rFonts w:eastAsia="Calibri" w:cs="Times New Roman"/>
          <w:strike/>
          <w:sz w:val="18"/>
        </w:rPr>
        <w:t>]</w:t>
      </w:r>
    </w:p>
    <w:p w14:paraId="6F9E27F0" w14:textId="216F17C1" w:rsidR="00A75748" w:rsidRDefault="00A75748"/>
    <w:p w14:paraId="2F0FF460" w14:textId="77777777" w:rsidR="00140B7C" w:rsidRPr="00140B7C" w:rsidRDefault="00140B7C" w:rsidP="00140B7C">
      <w:pPr>
        <w:rPr>
          <w:rFonts w:eastAsia="Calibri" w:cs="Times New Roman"/>
          <w:strike/>
          <w:sz w:val="18"/>
        </w:rPr>
      </w:pPr>
    </w:p>
    <w:p w14:paraId="121ED1BB" w14:textId="77777777" w:rsidR="00140B7C" w:rsidRPr="00352A86" w:rsidRDefault="00140B7C" w:rsidP="00140B7C">
      <w:pPr>
        <w:rPr>
          <w:rFonts w:eastAsia="Calibri" w:cs="Times New Roman"/>
          <w:sz w:val="22"/>
          <w:szCs w:val="28"/>
          <w:highlight w:val="yellow"/>
        </w:rPr>
        <w:sectPr w:rsidR="00140B7C" w:rsidRPr="00352A86" w:rsidSect="00A75748">
          <w:pgSz w:w="20160" w:h="12240" w:orient="landscape" w:code="1"/>
          <w:pgMar w:top="720" w:right="720" w:bottom="720" w:left="720" w:header="720" w:footer="720" w:gutter="0"/>
          <w:cols w:space="720"/>
          <w:titlePg/>
          <w:docGrid w:linePitch="326"/>
        </w:sectPr>
      </w:pPr>
    </w:p>
    <w:p w14:paraId="63167ED2" w14:textId="5268A541" w:rsidR="00140B7C" w:rsidRDefault="00140B7C" w:rsidP="00140B7C">
      <w:pPr>
        <w:pStyle w:val="FlushLeft"/>
        <w:ind w:firstLine="720"/>
        <w:rPr>
          <w:sz w:val="23"/>
          <w:szCs w:val="23"/>
        </w:rPr>
      </w:pPr>
      <w:r w:rsidRPr="00EC4EC4">
        <w:rPr>
          <w:sz w:val="23"/>
          <w:szCs w:val="23"/>
        </w:rPr>
        <w:t>§</w:t>
      </w:r>
      <w:r w:rsidR="00E87C3A">
        <w:rPr>
          <w:sz w:val="23"/>
          <w:szCs w:val="23"/>
        </w:rPr>
        <w:t>300</w:t>
      </w:r>
      <w:r w:rsidRPr="00EC4EC4">
        <w:rPr>
          <w:sz w:val="23"/>
          <w:szCs w:val="23"/>
        </w:rPr>
        <w:t xml:space="preserve">. </w:t>
      </w:r>
      <w:r>
        <w:rPr>
          <w:sz w:val="23"/>
          <w:szCs w:val="23"/>
        </w:rPr>
        <w:t xml:space="preserve">Appendix K3, Part X </w:t>
      </w:r>
      <w:r w:rsidRPr="00EC4EC4">
        <w:rPr>
          <w:sz w:val="23"/>
          <w:szCs w:val="23"/>
        </w:rPr>
        <w:t>of the New York city building code, as added by local law number 126 for the year 2021, is amended</w:t>
      </w:r>
      <w:r>
        <w:rPr>
          <w:sz w:val="23"/>
          <w:szCs w:val="23"/>
        </w:rPr>
        <w:t xml:space="preserve"> to read as follows:</w:t>
      </w:r>
    </w:p>
    <w:p w14:paraId="710C27A3" w14:textId="77777777" w:rsidR="00140B7C" w:rsidRPr="00A61D7E" w:rsidRDefault="00140B7C" w:rsidP="00140B7C">
      <w:pPr>
        <w:spacing w:after="0" w:line="240" w:lineRule="auto"/>
        <w:jc w:val="center"/>
        <w:rPr>
          <w:b/>
          <w:bCs/>
          <w:sz w:val="22"/>
        </w:rPr>
      </w:pPr>
      <w:r w:rsidRPr="00A61D7E">
        <w:rPr>
          <w:b/>
          <w:bCs/>
        </w:rPr>
        <w:t>PART X</w:t>
      </w:r>
    </w:p>
    <w:p w14:paraId="7A5980E3" w14:textId="77777777" w:rsidR="00140B7C" w:rsidRPr="00A61D7E" w:rsidRDefault="00140B7C" w:rsidP="00140B7C">
      <w:pPr>
        <w:spacing w:after="0" w:line="240" w:lineRule="auto"/>
        <w:jc w:val="center"/>
        <w:rPr>
          <w:b/>
          <w:bCs/>
        </w:rPr>
      </w:pPr>
      <w:r w:rsidRPr="00A61D7E">
        <w:rPr>
          <w:b/>
          <w:bCs/>
        </w:rPr>
        <w:t>PRIVATE RESIDENCE ELEVATORS</w:t>
      </w:r>
    </w:p>
    <w:p w14:paraId="56B27B3A" w14:textId="77777777" w:rsidR="00140B7C" w:rsidRPr="00A61D7E" w:rsidRDefault="00140B7C" w:rsidP="00140B7C">
      <w:pPr>
        <w:spacing w:after="0" w:line="240" w:lineRule="auto"/>
        <w:rPr>
          <w:b/>
          <w:bCs/>
        </w:rPr>
      </w:pPr>
    </w:p>
    <w:p w14:paraId="182E362A" w14:textId="77777777" w:rsidR="00140B7C" w:rsidRPr="00A61D7E" w:rsidRDefault="00140B7C" w:rsidP="00140B7C">
      <w:pPr>
        <w:rPr>
          <w:b/>
          <w:bCs/>
        </w:rPr>
      </w:pPr>
      <w:r w:rsidRPr="00A61D7E">
        <w:rPr>
          <w:b/>
          <w:bCs/>
        </w:rPr>
        <w:t xml:space="preserve">Delete and revise Part X Scope to read as follows: </w:t>
      </w:r>
    </w:p>
    <w:p w14:paraId="3FE0B7C8" w14:textId="77777777" w:rsidR="00140B7C" w:rsidRPr="00A61D7E" w:rsidRDefault="00140B7C" w:rsidP="00140B7C">
      <w:pPr>
        <w:jc w:val="center"/>
        <w:rPr>
          <w:b/>
          <w:bCs/>
        </w:rPr>
      </w:pPr>
      <w:r w:rsidRPr="00A61D7E">
        <w:rPr>
          <w:b/>
          <w:bCs/>
        </w:rPr>
        <w:t>SCOPE</w:t>
      </w:r>
    </w:p>
    <w:p w14:paraId="2AF75B49" w14:textId="77777777" w:rsidR="00140B7C" w:rsidRDefault="00140B7C" w:rsidP="00140B7C">
      <w:r>
        <w:t xml:space="preserve">This Part applies to power elevators that are limited in size, capacity, rise, and speed and are installed in or at a private residence. This Part also applies to similar elevators installed in buildings as a means of access to private residences within such buildings provided the elevators are so installed that they are not accessible to the general public or to other occupants in the building.  </w:t>
      </w:r>
    </w:p>
    <w:p w14:paraId="6E75BB03" w14:textId="77777777" w:rsidR="00140B7C" w:rsidRDefault="00140B7C" w:rsidP="00140B7C"/>
    <w:p w14:paraId="35944479" w14:textId="77777777" w:rsidR="00140B7C" w:rsidRDefault="00140B7C" w:rsidP="00140B7C">
      <w:r>
        <w:rPr>
          <w:b/>
          <w:bCs/>
        </w:rPr>
        <w:t>NOTE:</w:t>
      </w:r>
      <w:r>
        <w:t xml:space="preserve"> This Part has been developed to provide a minimum standard of safety for private residence elevators. These elevators are installed for the convenience of those persons who are unable to use stairways. Private residence elevators, while they are usually installed in single-family dwellings, may be installed within a separate apartment in a multiple dwelling where they are not accessible to the general public or to other occupants of the building. It is frequently necessary to install such elevators in open stairwells, as the construction of the building may not provide space for an enclosed hoistway.  </w:t>
      </w:r>
    </w:p>
    <w:p w14:paraId="14139C78" w14:textId="77777777" w:rsidR="00140B7C" w:rsidRDefault="00140B7C" w:rsidP="00140B7C">
      <w:r>
        <w:t xml:space="preserve">Since the size, speed, load, rise, and use are limited, it is possible to provide an adequate level of safety without requiring the equipment to meet the standards in other parts of the Code. Equipment installed for use by the general public is subjected to much more severe and frequent service.  </w:t>
      </w:r>
    </w:p>
    <w:p w14:paraId="4F665826" w14:textId="77777777" w:rsidR="00140B7C" w:rsidRDefault="00140B7C" w:rsidP="00140B7C">
      <w:r>
        <w:t xml:space="preserve"> Although private residences are usually exempt from routine inspections, this Code will provide a basis for evaluation of existing equipment during resale or exchange of property. It will also be useful when an “installation placed out of service” is returned to use.  </w:t>
      </w:r>
    </w:p>
    <w:p w14:paraId="24507842" w14:textId="77777777" w:rsidR="00140B7C" w:rsidRDefault="00140B7C" w:rsidP="00140B7C">
      <w:r>
        <w:t xml:space="preserve">It should be noted that the rules of this Part of the Code do not apply to all power elevators installed in private residences, but only to those that meet the definition for “private residence elevator.” All other elevators in private residences are required to comply with all the rules of the other parts of this Code.  </w:t>
      </w:r>
    </w:p>
    <w:p w14:paraId="3E223645" w14:textId="77777777" w:rsidR="00140B7C" w:rsidRPr="00BB0B36" w:rsidRDefault="00140B7C" w:rsidP="00140B7C">
      <w:r>
        <w:t xml:space="preserve">All residential elevators shall comply with the following by </w:t>
      </w:r>
      <w:r w:rsidRPr="00A61D7E">
        <w:t>[</w:t>
      </w:r>
      <w:r w:rsidRPr="00A61D7E">
        <w:rPr>
          <w:strike/>
        </w:rPr>
        <w:t>January 1, 2021</w:t>
      </w:r>
      <w:r w:rsidRPr="00A61D7E">
        <w:t>]</w:t>
      </w:r>
      <w:r w:rsidRPr="00A61D7E">
        <w:rPr>
          <w:u w:val="single"/>
        </w:rPr>
        <w:t>November 7, 2023</w:t>
      </w:r>
      <w:r w:rsidRPr="00A61D7E">
        <w:t>.</w:t>
      </w:r>
    </w:p>
    <w:p w14:paraId="4188DB0B" w14:textId="77777777" w:rsidR="00140B7C" w:rsidRDefault="00140B7C" w:rsidP="00140B7C">
      <w:pPr>
        <w:pStyle w:val="DoubleSpaceParagaph"/>
        <w:spacing w:line="240" w:lineRule="auto"/>
        <w:ind w:firstLine="720"/>
        <w:rPr>
          <w:color w:val="000000"/>
          <w:sz w:val="23"/>
          <w:szCs w:val="23"/>
        </w:rPr>
      </w:pPr>
    </w:p>
    <w:p w14:paraId="3A481701" w14:textId="0FA5970E" w:rsidR="00140B7C" w:rsidRPr="00EC4EC4" w:rsidRDefault="00140B7C" w:rsidP="00140B7C">
      <w:pPr>
        <w:pStyle w:val="DoubleSpaceParagaph"/>
        <w:spacing w:line="240" w:lineRule="auto"/>
        <w:ind w:firstLine="720"/>
      </w:pPr>
      <w:r w:rsidRPr="00EC4EC4">
        <w:rPr>
          <w:color w:val="000000"/>
          <w:sz w:val="23"/>
          <w:szCs w:val="23"/>
        </w:rPr>
        <w:t>§</w:t>
      </w:r>
      <w:r w:rsidR="00E81C10">
        <w:rPr>
          <w:color w:val="000000"/>
          <w:sz w:val="23"/>
          <w:szCs w:val="23"/>
        </w:rPr>
        <w:t>301</w:t>
      </w:r>
      <w:r w:rsidRPr="00EC4EC4">
        <w:rPr>
          <w:color w:val="000000"/>
          <w:sz w:val="23"/>
          <w:szCs w:val="23"/>
        </w:rPr>
        <w:t>. Appendix M103.1</w:t>
      </w:r>
      <w:r w:rsidRPr="00EC4EC4">
        <w:t xml:space="preserve"> of the New York city building code, as added by local law number 126 for the year 2021, is amended to read as follows:</w:t>
      </w:r>
    </w:p>
    <w:p w14:paraId="7AA74B50" w14:textId="77777777" w:rsidR="00140B7C" w:rsidRPr="00EC4EC4" w:rsidRDefault="00140B7C" w:rsidP="00140B7C">
      <w:pPr>
        <w:tabs>
          <w:tab w:val="left" w:pos="180"/>
          <w:tab w:val="left" w:pos="360"/>
          <w:tab w:val="left" w:pos="540"/>
          <w:tab w:val="left" w:pos="720"/>
          <w:tab w:val="left" w:pos="900"/>
        </w:tabs>
        <w:spacing w:after="240" w:line="240" w:lineRule="auto"/>
        <w:jc w:val="center"/>
        <w:rPr>
          <w:rFonts w:eastAsia="Calibri" w:cs="Times New Roman"/>
          <w:szCs w:val="24"/>
          <w:u w:val="single"/>
        </w:rPr>
      </w:pPr>
    </w:p>
    <w:p w14:paraId="7F0146FA" w14:textId="77777777" w:rsidR="00140B7C" w:rsidRPr="00EC4EC4" w:rsidRDefault="00140B7C" w:rsidP="00140B7C">
      <w:pPr>
        <w:kinsoku w:val="0"/>
        <w:spacing w:after="240" w:line="240" w:lineRule="auto"/>
        <w:jc w:val="both"/>
        <w:rPr>
          <w:rFonts w:eastAsia="Times New Roman" w:cs="Times New Roman"/>
          <w:spacing w:val="1"/>
          <w:szCs w:val="24"/>
        </w:rPr>
      </w:pPr>
      <w:r w:rsidRPr="00EC4EC4">
        <w:rPr>
          <w:rFonts w:eastAsia="Times New Roman" w:cs="Times New Roman"/>
          <w:b/>
          <w:szCs w:val="24"/>
        </w:rPr>
        <w:t>M103.1 General.</w:t>
      </w:r>
      <w:r w:rsidRPr="00EC4EC4">
        <w:rPr>
          <w:rFonts w:eastAsia="Times New Roman" w:cs="Times New Roman"/>
          <w:b/>
          <w:bCs/>
          <w:spacing w:val="-1"/>
          <w:szCs w:val="24"/>
        </w:rPr>
        <w:t xml:space="preserve"> </w:t>
      </w:r>
      <w:r w:rsidRPr="00EC4EC4">
        <w:rPr>
          <w:rFonts w:eastAsia="Times New Roman" w:cs="Times New Roman"/>
          <w:spacing w:val="1"/>
          <w:szCs w:val="24"/>
        </w:rPr>
        <w:t>A fire wall shall be provided between build</w:t>
      </w:r>
      <w:r w:rsidRPr="00EC4EC4">
        <w:rPr>
          <w:rFonts w:eastAsia="Times New Roman" w:cs="Times New Roman"/>
          <w:spacing w:val="1"/>
          <w:szCs w:val="24"/>
        </w:rPr>
        <w:softHyphen/>
        <w:t>ings in accordance with Chapter 7. However, attached one- and two-family dwellings of construction Type IIIA, IIIB, VA and VB, where permitted and where each building is not more than three stories in height and not more than 2,100 square feet (195 m</w:t>
      </w:r>
      <w:r w:rsidRPr="00EC4EC4">
        <w:rPr>
          <w:rFonts w:eastAsia="Times New Roman" w:cs="Times New Roman"/>
          <w:spacing w:val="1"/>
          <w:szCs w:val="24"/>
          <w:vertAlign w:val="superscript"/>
        </w:rPr>
        <w:t>2</w:t>
      </w:r>
      <w:r w:rsidRPr="00EC4EC4">
        <w:rPr>
          <w:rFonts w:eastAsia="Times New Roman" w:cs="Times New Roman"/>
          <w:spacing w:val="1"/>
          <w:szCs w:val="24"/>
        </w:rPr>
        <w:t>) on a story, may be separated by party walls constructed in accor</w:t>
      </w:r>
      <w:r w:rsidRPr="00EC4EC4">
        <w:rPr>
          <w:rFonts w:eastAsia="Times New Roman" w:cs="Times New Roman"/>
          <w:spacing w:val="1"/>
          <w:szCs w:val="24"/>
        </w:rPr>
        <w:softHyphen/>
        <w:t>dance with the following and as illustrated in Figures M103(1) and M103(2):</w:t>
      </w:r>
    </w:p>
    <w:p w14:paraId="6F0CDC07" w14:textId="77777777" w:rsidR="00140B7C" w:rsidRPr="00EC4EC4" w:rsidRDefault="00140B7C" w:rsidP="00140B7C">
      <w:pPr>
        <w:kinsoku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If there are three or fewer contiguous attached one- or two-family dwellings, such fire wall shall consist of a solid 1-inch (25 mm) Type X gypsum wall board core covered on each side by a ½-inch (12.7 mm) exterior-grade Type X gypsum wall board, followed by a 1-inch (25 mm) air gap on one side. Such assembly shall be constructed between two independently supported load-bearing stud walls. See Figure M103(1).</w:t>
      </w:r>
    </w:p>
    <w:p w14:paraId="5B61F872" w14:textId="77777777" w:rsidR="00140B7C" w:rsidRPr="00EC4EC4" w:rsidRDefault="00140B7C" w:rsidP="00140B7C">
      <w:pPr>
        <w:kinsoku w:val="0"/>
        <w:spacing w:after="240" w:line="240" w:lineRule="auto"/>
        <w:ind w:left="900" w:hanging="540"/>
        <w:rPr>
          <w:rFonts w:eastAsia="Times New Roman" w:cs="Times New Roman"/>
          <w:bCs/>
          <w:spacing w:val="1"/>
          <w:szCs w:val="24"/>
        </w:rPr>
      </w:pPr>
      <w:r w:rsidRPr="00EC4EC4">
        <w:rPr>
          <w:rFonts w:eastAsia="Times New Roman" w:cs="Times New Roman"/>
          <w:spacing w:val="1"/>
          <w:szCs w:val="24"/>
        </w:rPr>
        <w:t>2.</w:t>
      </w:r>
      <w:r w:rsidRPr="00EC4EC4">
        <w:rPr>
          <w:rFonts w:eastAsia="Times New Roman" w:cs="Times New Roman"/>
          <w:spacing w:val="1"/>
          <w:szCs w:val="24"/>
        </w:rPr>
        <w:tab/>
        <w:t>If there are in excess of three contiguous attached [</w:t>
      </w:r>
      <w:r w:rsidRPr="00EC4EC4">
        <w:rPr>
          <w:rFonts w:eastAsia="Times New Roman" w:cs="Times New Roman"/>
          <w:strike/>
          <w:spacing w:val="1"/>
          <w:szCs w:val="24"/>
        </w:rPr>
        <w:t>one</w:t>
      </w:r>
      <w:r w:rsidRPr="00EC4EC4">
        <w:rPr>
          <w:rFonts w:eastAsia="Times New Roman" w:cs="Times New Roman"/>
          <w:spacing w:val="1"/>
          <w:szCs w:val="24"/>
        </w:rPr>
        <w:t>]</w:t>
      </w:r>
      <w:r w:rsidRPr="00EC4EC4">
        <w:rPr>
          <w:rFonts w:eastAsia="Times New Roman" w:cs="Times New Roman"/>
          <w:spacing w:val="1"/>
          <w:szCs w:val="24"/>
          <w:u w:val="single"/>
        </w:rPr>
        <w:t>one-</w:t>
      </w:r>
      <w:r w:rsidRPr="00EC4EC4">
        <w:rPr>
          <w:rFonts w:eastAsia="Times New Roman" w:cs="Times New Roman"/>
          <w:spacing w:val="1"/>
          <w:szCs w:val="24"/>
        </w:rPr>
        <w:t xml:space="preserve"> or two-family dwellings, the fire wall shall be made of concrete and masonry, and constructed in accordance with Section 706.</w:t>
      </w:r>
    </w:p>
    <w:p w14:paraId="588509A6" w14:textId="77777777" w:rsidR="00140B7C" w:rsidRPr="00EC4EC4" w:rsidRDefault="00140B7C" w:rsidP="00140B7C">
      <w:pPr>
        <w:kinsoku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Such wall shall be continuous between foundations and roofs.</w:t>
      </w:r>
    </w:p>
    <w:p w14:paraId="02D01627" w14:textId="77777777" w:rsidR="00140B7C" w:rsidRPr="00EC4EC4" w:rsidRDefault="00140B7C" w:rsidP="00140B7C">
      <w:pPr>
        <w:kinsoku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When roof construction on the same level is combustible on both sides of the party wall, the party wall shall extend through the roof construction to a height of at least 4 inches (102 mm) above the high point of the roof framing unless a minimum of 18 inches (457 mm) of non-com</w:t>
      </w:r>
      <w:r w:rsidRPr="00EC4EC4">
        <w:rPr>
          <w:rFonts w:eastAsia="Times New Roman" w:cs="Times New Roman"/>
          <w:spacing w:val="1"/>
          <w:szCs w:val="24"/>
        </w:rPr>
        <w:softHyphen/>
        <w:t>bustible roof construction is provided on each side of the party wall.</w:t>
      </w:r>
    </w:p>
    <w:p w14:paraId="03EE786A" w14:textId="77777777" w:rsidR="00140B7C" w:rsidRPr="00EC4EC4" w:rsidRDefault="00140B7C" w:rsidP="00140B7C">
      <w:pPr>
        <w:kinsoku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Such party wall shall be made smoke-tight at junctions with exterior walls. In buildings of construction Type VA or VB, exterior walls shall be constructed of noncombustible materials for a distance of at least 18 inches (457 mm) on each side of the party wall, or the party wall shall project at least 12 inches (305 mm) through the exterior wall.</w:t>
      </w:r>
    </w:p>
    <w:p w14:paraId="6E8E2E5C" w14:textId="10E855B8" w:rsidR="00140B7C" w:rsidRPr="00EC4EC4" w:rsidRDefault="00140B7C" w:rsidP="00140B7C">
      <w:pPr>
        <w:pStyle w:val="DoubleSpaceParagaph"/>
        <w:spacing w:line="240" w:lineRule="auto"/>
        <w:ind w:firstLine="720"/>
      </w:pPr>
      <w:bookmarkStart w:id="224" w:name="_Hlk115772810"/>
      <w:r w:rsidRPr="00EC4EC4">
        <w:rPr>
          <w:color w:val="000000"/>
          <w:sz w:val="23"/>
          <w:szCs w:val="23"/>
        </w:rPr>
        <w:t>§</w:t>
      </w:r>
      <w:r w:rsidR="00BC3D5F">
        <w:rPr>
          <w:color w:val="000000"/>
          <w:sz w:val="23"/>
          <w:szCs w:val="23"/>
        </w:rPr>
        <w:t>302</w:t>
      </w:r>
      <w:r w:rsidRPr="00EC4EC4">
        <w:rPr>
          <w:color w:val="000000"/>
          <w:sz w:val="23"/>
          <w:szCs w:val="23"/>
        </w:rPr>
        <w:t xml:space="preserve">. Appendix Q </w:t>
      </w:r>
      <w:r>
        <w:rPr>
          <w:color w:val="000000"/>
          <w:sz w:val="23"/>
          <w:szCs w:val="23"/>
        </w:rPr>
        <w:t>104</w:t>
      </w:r>
      <w:r w:rsidRPr="00EC4EC4">
        <w:t xml:space="preserve"> of the New York city building code, as added by local law number 126 for the year 2021, is amended to read as follows:</w:t>
      </w:r>
    </w:p>
    <w:p w14:paraId="5F956490" w14:textId="77777777" w:rsidR="00140B7C" w:rsidRPr="00EC4EC4" w:rsidRDefault="00140B7C" w:rsidP="00140B7C">
      <w:pPr>
        <w:tabs>
          <w:tab w:val="left" w:pos="180"/>
          <w:tab w:val="left" w:pos="360"/>
          <w:tab w:val="left" w:pos="540"/>
          <w:tab w:val="left" w:pos="720"/>
          <w:tab w:val="left" w:pos="900"/>
        </w:tabs>
        <w:spacing w:after="0" w:line="240" w:lineRule="auto"/>
        <w:jc w:val="both"/>
        <w:rPr>
          <w:rFonts w:eastAsia="Calibri" w:cs="Times New Roman"/>
          <w:szCs w:val="24"/>
        </w:rPr>
      </w:pPr>
    </w:p>
    <w:p w14:paraId="013FE1A0" w14:textId="77777777" w:rsidR="00140B7C" w:rsidRPr="00EC4EC4" w:rsidRDefault="00140B7C" w:rsidP="00140B7C">
      <w:pPr>
        <w:tabs>
          <w:tab w:val="left" w:pos="3987"/>
        </w:tabs>
        <w:kinsoku w:val="0"/>
        <w:spacing w:after="0" w:line="240" w:lineRule="auto"/>
        <w:jc w:val="both"/>
        <w:rPr>
          <w:rFonts w:eastAsia="Times New Roman" w:cs="Times New Roman"/>
          <w:b/>
          <w:spacing w:val="1"/>
          <w:szCs w:val="24"/>
          <w:u w:val="single"/>
        </w:rPr>
      </w:pPr>
      <w:r w:rsidRPr="00EC4EC4">
        <w:rPr>
          <w:rFonts w:eastAsia="Times New Roman" w:cs="Times New Roman"/>
          <w:b/>
          <w:spacing w:val="1"/>
          <w:szCs w:val="24"/>
        </w:rPr>
        <w:t>3.3.9 Delete</w:t>
      </w:r>
      <w:r w:rsidRPr="00EC4EC4">
        <w:rPr>
          <w:rFonts w:eastAsia="Times New Roman" w:cs="Times New Roman"/>
          <w:spacing w:val="1"/>
          <w:szCs w:val="24"/>
        </w:rPr>
        <w:t xml:space="preserve"> (Use definitions contained in</w:t>
      </w:r>
      <w:r w:rsidRPr="00EC4EC4">
        <w:rPr>
          <w:rFonts w:eastAsia="Times New Roman" w:cs="Times New Roman"/>
          <w:spacing w:val="1"/>
          <w:szCs w:val="24"/>
          <w:u w:val="single"/>
        </w:rPr>
        <w:t xml:space="preserve"> the</w:t>
      </w:r>
      <w:r w:rsidRPr="00EC4EC4">
        <w:rPr>
          <w:rFonts w:eastAsia="Times New Roman" w:cs="Times New Roman"/>
          <w:spacing w:val="1"/>
          <w:szCs w:val="24"/>
        </w:rPr>
        <w:t xml:space="preserve"> </w:t>
      </w:r>
      <w:r w:rsidRPr="00EC4EC4">
        <w:rPr>
          <w:rFonts w:eastAsia="Times New Roman" w:cs="Times New Roman"/>
          <w:i/>
          <w:spacing w:val="1"/>
          <w:szCs w:val="24"/>
        </w:rPr>
        <w:t>New York City Building Code</w:t>
      </w:r>
      <w:r w:rsidRPr="00EC4EC4">
        <w:rPr>
          <w:rFonts w:eastAsia="Times New Roman" w:cs="Times New Roman"/>
          <w:spacing w:val="1"/>
          <w:szCs w:val="24"/>
        </w:rPr>
        <w:t>).</w:t>
      </w:r>
    </w:p>
    <w:p w14:paraId="0ABF6D87" w14:textId="77777777" w:rsidR="00140B7C" w:rsidRPr="00EC4EC4" w:rsidRDefault="00140B7C" w:rsidP="00140B7C">
      <w:pPr>
        <w:pStyle w:val="DoubleSpaceParagaph"/>
        <w:spacing w:line="240" w:lineRule="auto"/>
        <w:ind w:firstLine="720"/>
        <w:rPr>
          <w:color w:val="000000"/>
          <w:sz w:val="23"/>
          <w:szCs w:val="23"/>
        </w:rPr>
      </w:pPr>
    </w:p>
    <w:p w14:paraId="6CD98292" w14:textId="7756FF65" w:rsidR="00140B7C" w:rsidRPr="00EC4EC4" w:rsidRDefault="00140B7C" w:rsidP="00140B7C">
      <w:pPr>
        <w:pStyle w:val="DoubleSpaceParagaph"/>
        <w:spacing w:line="240" w:lineRule="auto"/>
        <w:ind w:firstLine="720"/>
      </w:pPr>
      <w:r w:rsidRPr="00EC4EC4">
        <w:rPr>
          <w:color w:val="000000"/>
          <w:sz w:val="23"/>
          <w:szCs w:val="23"/>
        </w:rPr>
        <w:t>§</w:t>
      </w:r>
      <w:r w:rsidR="00BC3D5F">
        <w:rPr>
          <w:color w:val="000000"/>
          <w:sz w:val="23"/>
          <w:szCs w:val="23"/>
        </w:rPr>
        <w:t>303</w:t>
      </w:r>
      <w:r w:rsidRPr="00EC4EC4">
        <w:rPr>
          <w:color w:val="000000"/>
          <w:sz w:val="23"/>
          <w:szCs w:val="23"/>
        </w:rPr>
        <w:t xml:space="preserve">. Appendix Q </w:t>
      </w:r>
      <w:r>
        <w:rPr>
          <w:color w:val="000000"/>
          <w:sz w:val="23"/>
          <w:szCs w:val="23"/>
        </w:rPr>
        <w:t>105</w:t>
      </w:r>
      <w:r w:rsidRPr="00EC4EC4">
        <w:t xml:space="preserve"> of the New York city building code, as added by local law number 126 for the year 2021, is amended to read as follows:</w:t>
      </w:r>
    </w:p>
    <w:p w14:paraId="6F731F06" w14:textId="77777777" w:rsidR="00140B7C" w:rsidRPr="00EC4EC4" w:rsidRDefault="00140B7C" w:rsidP="00140B7C">
      <w:pPr>
        <w:kinsoku w:val="0"/>
        <w:spacing w:after="0" w:line="240" w:lineRule="auto"/>
        <w:jc w:val="both"/>
        <w:rPr>
          <w:rFonts w:eastAsia="Times New Roman" w:cs="Times New Roman"/>
          <w:b/>
          <w:spacing w:val="1"/>
          <w:szCs w:val="24"/>
        </w:rPr>
      </w:pPr>
    </w:p>
    <w:p w14:paraId="2E7A14B4" w14:textId="77777777" w:rsidR="00140B7C" w:rsidRPr="00EC4EC4" w:rsidRDefault="00140B7C" w:rsidP="00140B7C">
      <w:pPr>
        <w:pStyle w:val="DoubleSpaceParagaph"/>
        <w:spacing w:line="240" w:lineRule="auto"/>
        <w:ind w:firstLine="0"/>
        <w:rPr>
          <w:color w:val="000000"/>
          <w:sz w:val="23"/>
          <w:szCs w:val="23"/>
        </w:rPr>
      </w:pPr>
      <w:r w:rsidRPr="00EC4EC4">
        <w:rPr>
          <w:color w:val="000000"/>
          <w:sz w:val="23"/>
          <w:szCs w:val="23"/>
        </w:rPr>
        <w:t>4.6.2.1 Delete and replace with the following: “Class III Standpipe Hose Stations. Class III standpipe systems shall have 2½[</w:t>
      </w:r>
      <w:r w:rsidRPr="00EC4EC4">
        <w:rPr>
          <w:strike/>
          <w:color w:val="000000"/>
          <w:sz w:val="23"/>
          <w:szCs w:val="23"/>
        </w:rPr>
        <w:t>”</w:t>
      </w:r>
      <w:r w:rsidRPr="00EC4EC4">
        <w:rPr>
          <w:color w:val="000000"/>
          <w:sz w:val="23"/>
          <w:szCs w:val="23"/>
        </w:rPr>
        <w:t>]in. (64 mm) hose connections located as required for Class I standpipes. At each hose connection there shall be a hose station. The hose stations shall be equipped with a minimum of 125 feet (38.1 m), or a maximum of 150 feet (45.7 m), of 1½[</w:t>
      </w:r>
      <w:r w:rsidRPr="00EC4EC4">
        <w:rPr>
          <w:strike/>
          <w:color w:val="000000"/>
          <w:sz w:val="23"/>
          <w:szCs w:val="23"/>
        </w:rPr>
        <w:t>”</w:t>
      </w:r>
      <w:r w:rsidRPr="00EC4EC4">
        <w:rPr>
          <w:color w:val="000000"/>
          <w:sz w:val="23"/>
          <w:szCs w:val="23"/>
        </w:rPr>
        <w:t>]in. (38 mm) fire hose, connected to an adjustable fog nozzle. The hose shall be attached to the hose connection by a 2½[</w:t>
      </w:r>
      <w:r w:rsidRPr="00EC4EC4">
        <w:rPr>
          <w:strike/>
          <w:color w:val="000000"/>
          <w:sz w:val="23"/>
          <w:szCs w:val="23"/>
        </w:rPr>
        <w:t>”</w:t>
      </w:r>
      <w:r w:rsidRPr="00EC4EC4">
        <w:rPr>
          <w:color w:val="000000"/>
          <w:sz w:val="23"/>
          <w:szCs w:val="23"/>
        </w:rPr>
        <w:t>]in. x 1½[</w:t>
      </w:r>
      <w:r w:rsidRPr="00EC4EC4">
        <w:rPr>
          <w:strike/>
          <w:color w:val="000000"/>
          <w:sz w:val="23"/>
          <w:szCs w:val="23"/>
        </w:rPr>
        <w:t>”</w:t>
      </w:r>
      <w:r w:rsidRPr="00EC4EC4">
        <w:rPr>
          <w:color w:val="000000"/>
          <w:sz w:val="23"/>
          <w:szCs w:val="23"/>
        </w:rPr>
        <w:t>]in. (64 mm x 38 mm) non-swivel reducing coupling. A pressure restricting device shall be installed on the 2½[</w:t>
      </w:r>
      <w:r w:rsidRPr="00EC4EC4">
        <w:rPr>
          <w:strike/>
          <w:color w:val="000000"/>
          <w:sz w:val="23"/>
          <w:szCs w:val="23"/>
        </w:rPr>
        <w:t>”</w:t>
      </w:r>
      <w:r w:rsidRPr="00EC4EC4">
        <w:rPr>
          <w:color w:val="000000"/>
          <w:sz w:val="23"/>
          <w:szCs w:val="23"/>
        </w:rPr>
        <w:t>]in. hose connection when required by Appendix Q of the New York City Building Code. The hose shall be mounted on a rack and may be located in a cabinet, in accordance with Section 905.7 of the New York Building Code. The hose, pressure restricting device (when required) and reducing coupling shall be installed in such a manner that they can be readily removable by the Fire Department.”</w:t>
      </w:r>
    </w:p>
    <w:p w14:paraId="1C790A0B" w14:textId="77777777" w:rsidR="00140B7C" w:rsidRPr="00EC4EC4" w:rsidRDefault="00140B7C" w:rsidP="00140B7C">
      <w:pPr>
        <w:pStyle w:val="DoubleSpaceParagaph"/>
        <w:spacing w:line="240" w:lineRule="auto"/>
        <w:ind w:firstLine="720"/>
        <w:rPr>
          <w:color w:val="000000"/>
          <w:sz w:val="23"/>
          <w:szCs w:val="23"/>
        </w:rPr>
      </w:pPr>
    </w:p>
    <w:p w14:paraId="6A831ADD" w14:textId="69401F48"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30</w:t>
      </w:r>
      <w:r w:rsidR="00101309">
        <w:rPr>
          <w:color w:val="000000"/>
          <w:sz w:val="23"/>
          <w:szCs w:val="23"/>
        </w:rPr>
        <w:t>4</w:t>
      </w:r>
      <w:r w:rsidRPr="00EC4EC4">
        <w:rPr>
          <w:color w:val="000000"/>
          <w:sz w:val="23"/>
          <w:szCs w:val="23"/>
        </w:rPr>
        <w:t xml:space="preserve">. Appendix Q </w:t>
      </w:r>
      <w:r>
        <w:rPr>
          <w:color w:val="000000"/>
          <w:sz w:val="23"/>
          <w:szCs w:val="23"/>
        </w:rPr>
        <w:t>105</w:t>
      </w:r>
      <w:r w:rsidRPr="00EC4EC4">
        <w:t xml:space="preserve"> of the New York city building code, as added by local law number 126 for the year 2021, is amended to read as follows:</w:t>
      </w:r>
    </w:p>
    <w:p w14:paraId="42AA8C71" w14:textId="77777777" w:rsidR="00140B7C" w:rsidRPr="00EC4EC4" w:rsidRDefault="00140B7C" w:rsidP="00140B7C">
      <w:pPr>
        <w:kinsoku w:val="0"/>
        <w:spacing w:after="0" w:line="240" w:lineRule="auto"/>
        <w:jc w:val="both"/>
        <w:rPr>
          <w:rFonts w:eastAsia="Times New Roman" w:cs="Times New Roman"/>
          <w:b/>
          <w:spacing w:val="1"/>
          <w:szCs w:val="24"/>
          <w:u w:val="single"/>
        </w:rPr>
      </w:pPr>
    </w:p>
    <w:p w14:paraId="23DAA411" w14:textId="77777777" w:rsidR="00140B7C" w:rsidRPr="00EC4EC4" w:rsidRDefault="00140B7C" w:rsidP="00140B7C">
      <w:pPr>
        <w:pStyle w:val="DoubleSpaceParagaph"/>
        <w:spacing w:line="240" w:lineRule="auto"/>
        <w:ind w:firstLine="0"/>
        <w:rPr>
          <w:color w:val="000000"/>
          <w:sz w:val="23"/>
          <w:szCs w:val="23"/>
        </w:rPr>
      </w:pPr>
      <w:r w:rsidRPr="00EC4EC4">
        <w:rPr>
          <w:color w:val="000000"/>
          <w:sz w:val="23"/>
          <w:szCs w:val="23"/>
        </w:rPr>
        <w:t>5.3.3 Delete and replace with the following: “Class III Systems. Class III standpipe systems shall have 2½[</w:t>
      </w:r>
      <w:r w:rsidRPr="00EC4EC4">
        <w:rPr>
          <w:strike/>
          <w:color w:val="000000"/>
          <w:sz w:val="23"/>
          <w:szCs w:val="23"/>
        </w:rPr>
        <w:t>”</w:t>
      </w:r>
      <w:r w:rsidRPr="00EC4EC4">
        <w:rPr>
          <w:color w:val="000000"/>
          <w:sz w:val="23"/>
          <w:szCs w:val="23"/>
        </w:rPr>
        <w:t>]in. (64 mm) hose connections located as required for Class I standpipes in Section 905.4 of the New York City Building Code. At each hose connection there shall be a hose station. The hose stations shall be equipped with a minimum of 125 feet (38.1 m), or a maximum of 150 feet (45.7 m), of 1½[</w:t>
      </w:r>
      <w:r w:rsidRPr="00EC4EC4">
        <w:rPr>
          <w:strike/>
          <w:color w:val="000000"/>
          <w:sz w:val="23"/>
          <w:szCs w:val="23"/>
        </w:rPr>
        <w:t>”</w:t>
      </w:r>
      <w:r w:rsidRPr="00EC4EC4">
        <w:rPr>
          <w:color w:val="000000"/>
          <w:sz w:val="23"/>
          <w:szCs w:val="23"/>
        </w:rPr>
        <w:t>]in. (38 mm) fire hose, connected to an adjustable fog nozzle. The hose shall be attached to the hose connection by a 2½[</w:t>
      </w:r>
      <w:r w:rsidRPr="00EC4EC4">
        <w:rPr>
          <w:strike/>
          <w:color w:val="000000"/>
          <w:sz w:val="23"/>
          <w:szCs w:val="23"/>
        </w:rPr>
        <w:t>”</w:t>
      </w:r>
      <w:r w:rsidRPr="00EC4EC4">
        <w:rPr>
          <w:color w:val="000000"/>
          <w:sz w:val="23"/>
          <w:szCs w:val="23"/>
        </w:rPr>
        <w:t>]in. x 1½[</w:t>
      </w:r>
      <w:r w:rsidRPr="00EC4EC4">
        <w:rPr>
          <w:strike/>
          <w:color w:val="000000"/>
          <w:sz w:val="23"/>
          <w:szCs w:val="23"/>
        </w:rPr>
        <w:t>”</w:t>
      </w:r>
      <w:r w:rsidRPr="00EC4EC4">
        <w:rPr>
          <w:color w:val="000000"/>
          <w:sz w:val="23"/>
          <w:szCs w:val="23"/>
        </w:rPr>
        <w:t>]in. (64 mm x 38 mm) non-swivel reducing coupling. A pressure restricting device shall be installed on the 2½[</w:t>
      </w:r>
      <w:r w:rsidRPr="00EC4EC4">
        <w:rPr>
          <w:strike/>
          <w:color w:val="000000"/>
          <w:sz w:val="23"/>
          <w:szCs w:val="23"/>
        </w:rPr>
        <w:t>”</w:t>
      </w:r>
      <w:r w:rsidRPr="00EC4EC4">
        <w:rPr>
          <w:color w:val="000000"/>
          <w:sz w:val="23"/>
          <w:szCs w:val="23"/>
        </w:rPr>
        <w:t>]in. hose connection when required by Appendix Q of the New York City Building Code. The hose shall be mounted on a rack, and may be located in a cabinet, in accordance with Section 905.7 of the New York City Building Code. The hose, pressure restricting device (when required) and reducing coupling shall be installed in such a manner that they can be readily removable by the Fire Department.”</w:t>
      </w:r>
    </w:p>
    <w:p w14:paraId="15D4F1ED" w14:textId="77777777" w:rsidR="00140B7C" w:rsidRPr="00EC4EC4" w:rsidRDefault="00140B7C" w:rsidP="00140B7C">
      <w:pPr>
        <w:pStyle w:val="DoubleSpaceParagaph"/>
        <w:spacing w:line="240" w:lineRule="auto"/>
        <w:ind w:firstLine="720"/>
        <w:rPr>
          <w:color w:val="000000"/>
          <w:sz w:val="23"/>
          <w:szCs w:val="23"/>
        </w:rPr>
      </w:pPr>
    </w:p>
    <w:p w14:paraId="2551CB18" w14:textId="13A90E9C"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30</w:t>
      </w:r>
      <w:r w:rsidR="00101309">
        <w:rPr>
          <w:color w:val="000000"/>
          <w:sz w:val="23"/>
          <w:szCs w:val="23"/>
        </w:rPr>
        <w:t>5</w:t>
      </w:r>
      <w:r w:rsidRPr="00EC4EC4">
        <w:rPr>
          <w:color w:val="000000"/>
          <w:sz w:val="23"/>
          <w:szCs w:val="23"/>
        </w:rPr>
        <w:t xml:space="preserve">. Appendix Q </w:t>
      </w:r>
      <w:r>
        <w:rPr>
          <w:color w:val="000000"/>
          <w:sz w:val="23"/>
          <w:szCs w:val="23"/>
        </w:rPr>
        <w:t>105</w:t>
      </w:r>
      <w:r w:rsidRPr="00EC4EC4">
        <w:rPr>
          <w:color w:val="000000"/>
          <w:sz w:val="23"/>
          <w:szCs w:val="23"/>
        </w:rPr>
        <w:t xml:space="preserve"> </w:t>
      </w:r>
      <w:r w:rsidRPr="00EC4EC4">
        <w:t>of the New York city building code, as added by local law number 126 for the year 2021, is amended to read as follows:</w:t>
      </w:r>
    </w:p>
    <w:p w14:paraId="4DE921D3" w14:textId="77777777" w:rsidR="00140B7C" w:rsidRPr="00EC4EC4" w:rsidRDefault="00140B7C" w:rsidP="00140B7C">
      <w:pPr>
        <w:pStyle w:val="DoubleSpaceParagaph"/>
        <w:spacing w:line="240" w:lineRule="auto"/>
        <w:ind w:firstLine="720"/>
        <w:rPr>
          <w:color w:val="000000"/>
          <w:sz w:val="23"/>
          <w:szCs w:val="23"/>
        </w:rPr>
      </w:pPr>
    </w:p>
    <w:p w14:paraId="03C367C9" w14:textId="77777777" w:rsidR="00140B7C" w:rsidRPr="00EC4EC4" w:rsidRDefault="00140B7C" w:rsidP="00140B7C">
      <w:pPr>
        <w:kinsoku w:val="0"/>
        <w:autoSpaceDE w:val="0"/>
        <w:autoSpaceDN w:val="0"/>
        <w:adjustRightInd w:val="0"/>
        <w:spacing w:after="240" w:line="240" w:lineRule="auto"/>
        <w:jc w:val="both"/>
        <w:rPr>
          <w:rFonts w:eastAsia="NewBaskervilleStd-Bold" w:cs="Times New Roman"/>
          <w:bCs/>
          <w:szCs w:val="24"/>
        </w:rPr>
      </w:pPr>
      <w:r w:rsidRPr="00EC4EC4">
        <w:rPr>
          <w:rFonts w:eastAsia="Times New Roman" w:cs="Times New Roman"/>
          <w:b/>
          <w:szCs w:val="24"/>
        </w:rPr>
        <w:t>6.4.5.2</w:t>
      </w:r>
      <w:r w:rsidRPr="00EC4EC4">
        <w:rPr>
          <w:rFonts w:eastAsia="Times New Roman" w:cs="Times New Roman"/>
          <w:szCs w:val="24"/>
        </w:rPr>
        <w:t xml:space="preserve"> Delete and replace with the following: “</w:t>
      </w:r>
      <w:r w:rsidRPr="00EC4EC4">
        <w:rPr>
          <w:rFonts w:eastAsia="NewBaskervilleStd-Bold" w:cs="Times New Roman"/>
          <w:bCs/>
          <w:szCs w:val="24"/>
        </w:rPr>
        <w:t xml:space="preserve">Marking. </w:t>
      </w:r>
      <w:r w:rsidRPr="00EC4EC4">
        <w:rPr>
          <w:rFonts w:eastAsia="Times New Roman" w:cs="Times New Roman"/>
          <w:szCs w:val="24"/>
        </w:rPr>
        <w:t>Each fire department connection shall be marked as follows:”</w:t>
      </w:r>
    </w:p>
    <w:p w14:paraId="7A712C1C" w14:textId="77777777" w:rsidR="00140B7C" w:rsidRPr="00EC4EC4" w:rsidRDefault="00140B7C" w:rsidP="00140B7C">
      <w:pPr>
        <w:autoSpaceDE w:val="0"/>
        <w:autoSpaceDN w:val="0"/>
        <w:adjustRightInd w:val="0"/>
        <w:spacing w:after="240" w:line="240" w:lineRule="auto"/>
        <w:ind w:left="900" w:hanging="540"/>
        <w:jc w:val="both"/>
        <w:rPr>
          <w:rFonts w:eastAsia="NewBaskervilleStd-Bold" w:cs="Times New Roman"/>
          <w:bCs/>
          <w:szCs w:val="24"/>
        </w:rPr>
      </w:pPr>
      <w:r w:rsidRPr="00EC4EC4">
        <w:rPr>
          <w:rFonts w:eastAsia="NewBaskervilleStd-Bold" w:cs="Times New Roman"/>
          <w:bCs/>
          <w:szCs w:val="24"/>
        </w:rPr>
        <w:t>“(1)</w:t>
      </w:r>
      <w:r w:rsidRPr="00EC4EC4">
        <w:rPr>
          <w:rFonts w:eastAsia="NewBaskervilleStd-Bold" w:cs="Times New Roman"/>
          <w:bCs/>
          <w:szCs w:val="24"/>
        </w:rPr>
        <w:tab/>
        <w:t>Each FDC shall be provided with caps painted red, and shall have the word “STANDPIPE” in letters 1 inch (25 mm) high and ⅛ inch (3.2 mm) deep cast in the body or on a nonferrous metal plate secured to the connection or mounted on the wall in a visible location.”</w:t>
      </w:r>
    </w:p>
    <w:p w14:paraId="62B620CF" w14:textId="77777777" w:rsidR="00140B7C" w:rsidRPr="00EC4EC4" w:rsidRDefault="00140B7C" w:rsidP="00140B7C">
      <w:pPr>
        <w:autoSpaceDE w:val="0"/>
        <w:autoSpaceDN w:val="0"/>
        <w:adjustRightInd w:val="0"/>
        <w:spacing w:after="240" w:line="240" w:lineRule="auto"/>
        <w:ind w:left="900" w:hanging="540"/>
        <w:jc w:val="both"/>
        <w:rPr>
          <w:rFonts w:eastAsia="NewBaskervilleStd-Bold" w:cs="Times New Roman"/>
          <w:bCs/>
          <w:szCs w:val="24"/>
        </w:rPr>
      </w:pPr>
      <w:r w:rsidRPr="00EC4EC4">
        <w:rPr>
          <w:rFonts w:eastAsia="NewBaskervilleStd-Bold" w:cs="Times New Roman"/>
          <w:bCs/>
          <w:szCs w:val="24"/>
        </w:rPr>
        <w:t>“(2)</w:t>
      </w:r>
      <w:r w:rsidRPr="00EC4EC4">
        <w:rPr>
          <w:rFonts w:eastAsia="NewBaskervilleStd-Bold" w:cs="Times New Roman"/>
          <w:bCs/>
          <w:szCs w:val="24"/>
        </w:rPr>
        <w:tab/>
        <w:t>Caps of each FDC used for combination standpipe and sprinkler systems shall be painted yellow and the words shall read “COMBINATION STANDPIPE AND SPRINKLER SYSTEMS”.”</w:t>
      </w:r>
    </w:p>
    <w:p w14:paraId="0015A21C" w14:textId="77777777" w:rsidR="00140B7C" w:rsidRPr="00EC4EC4" w:rsidRDefault="00140B7C" w:rsidP="00140B7C">
      <w:pPr>
        <w:autoSpaceDE w:val="0"/>
        <w:autoSpaceDN w:val="0"/>
        <w:adjustRightInd w:val="0"/>
        <w:spacing w:after="240" w:line="240" w:lineRule="auto"/>
        <w:ind w:left="900" w:hanging="540"/>
        <w:jc w:val="both"/>
        <w:rPr>
          <w:rFonts w:eastAsia="NewBaskervilleStd-Bold" w:cs="Times New Roman"/>
          <w:bCs/>
          <w:szCs w:val="24"/>
        </w:rPr>
      </w:pPr>
      <w:r w:rsidRPr="00EC4EC4">
        <w:rPr>
          <w:rFonts w:eastAsia="NewBaskervilleStd-Bold" w:cs="Times New Roman"/>
          <w:bCs/>
          <w:szCs w:val="24"/>
        </w:rPr>
        <w:t>“(3)</w:t>
      </w:r>
      <w:r w:rsidRPr="00EC4EC4">
        <w:rPr>
          <w:rFonts w:eastAsia="NewBaskervilleStd-Bold" w:cs="Times New Roman"/>
          <w:bCs/>
          <w:szCs w:val="24"/>
        </w:rPr>
        <w:tab/>
        <w:t>Where FDCs serve other than the entire building, the connections shall be marked in accordance with the specifications of this section “LOW ZONE” or “HIGH ZONE” and indicate the floors served. If there are more than two FDC zones, [</w:t>
      </w:r>
      <w:r w:rsidRPr="00EC4EC4">
        <w:rPr>
          <w:rFonts w:eastAsia="NewBaskervilleStd-Bold" w:cs="Times New Roman"/>
          <w:bCs/>
          <w:strike/>
          <w:szCs w:val="24"/>
        </w:rPr>
        <w:t>they</w:t>
      </w:r>
      <w:r w:rsidRPr="00EC4EC4">
        <w:rPr>
          <w:rFonts w:eastAsia="NewBaskervilleStd-Bold" w:cs="Times New Roman"/>
          <w:bCs/>
          <w:szCs w:val="24"/>
        </w:rPr>
        <w:t>] the marking shall be approved by the Fire Department.”</w:t>
      </w:r>
    </w:p>
    <w:p w14:paraId="58F8B7C7" w14:textId="77777777" w:rsidR="00140B7C" w:rsidRPr="00EC4EC4" w:rsidRDefault="00140B7C" w:rsidP="00140B7C">
      <w:pPr>
        <w:autoSpaceDE w:val="0"/>
        <w:autoSpaceDN w:val="0"/>
        <w:adjustRightInd w:val="0"/>
        <w:spacing w:after="240" w:line="240" w:lineRule="auto"/>
        <w:ind w:left="900" w:hanging="540"/>
        <w:jc w:val="both"/>
        <w:rPr>
          <w:rFonts w:eastAsia="Times New Roman" w:cs="Times New Roman"/>
          <w:szCs w:val="24"/>
        </w:rPr>
      </w:pPr>
      <w:r w:rsidRPr="00EC4EC4">
        <w:rPr>
          <w:rFonts w:eastAsia="Times New Roman" w:cs="Times New Roman"/>
          <w:szCs w:val="24"/>
        </w:rPr>
        <w:t>“(4)</w:t>
      </w:r>
      <w:r w:rsidRPr="00EC4EC4">
        <w:rPr>
          <w:rFonts w:eastAsia="Times New Roman" w:cs="Times New Roman"/>
          <w:szCs w:val="24"/>
        </w:rPr>
        <w:tab/>
        <w:t>For manual systems, the sign shall also indicate that the system is manual and that it is either wet or dry.”</w:t>
      </w:r>
    </w:p>
    <w:p w14:paraId="58AF428E" w14:textId="034624D5"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30</w:t>
      </w:r>
      <w:r w:rsidR="00101309">
        <w:rPr>
          <w:color w:val="000000"/>
          <w:sz w:val="23"/>
          <w:szCs w:val="23"/>
        </w:rPr>
        <w:t>6</w:t>
      </w:r>
      <w:r w:rsidRPr="00EC4EC4">
        <w:rPr>
          <w:color w:val="000000"/>
          <w:sz w:val="23"/>
          <w:szCs w:val="23"/>
        </w:rPr>
        <w:t xml:space="preserve">. Appendix Q </w:t>
      </w:r>
      <w:r>
        <w:rPr>
          <w:color w:val="000000"/>
          <w:sz w:val="23"/>
          <w:szCs w:val="23"/>
        </w:rPr>
        <w:t>105</w:t>
      </w:r>
      <w:r w:rsidRPr="00EC4EC4">
        <w:t xml:space="preserve"> of the New York city building code, as added by local law number 126 for the year 2021, is amended to read as follows:</w:t>
      </w:r>
    </w:p>
    <w:p w14:paraId="56993353" w14:textId="77777777" w:rsidR="00140B7C" w:rsidRPr="00EC4EC4" w:rsidRDefault="00140B7C" w:rsidP="00140B7C">
      <w:pPr>
        <w:pStyle w:val="DoubleSpaceParagaph"/>
        <w:spacing w:line="240" w:lineRule="auto"/>
        <w:ind w:firstLine="720"/>
        <w:rPr>
          <w:color w:val="000000"/>
          <w:sz w:val="23"/>
          <w:szCs w:val="23"/>
        </w:rPr>
      </w:pPr>
    </w:p>
    <w:p w14:paraId="4E52ED04" w14:textId="77777777" w:rsidR="00140B7C" w:rsidRPr="00EC4EC4" w:rsidRDefault="00140B7C" w:rsidP="00140B7C">
      <w:pPr>
        <w:kinsoku w:val="0"/>
        <w:autoSpaceDE w:val="0"/>
        <w:autoSpaceDN w:val="0"/>
        <w:adjustRightInd w:val="0"/>
        <w:spacing w:after="240" w:line="240" w:lineRule="auto"/>
        <w:jc w:val="both"/>
        <w:rPr>
          <w:rFonts w:eastAsia="NewBaskervilleStd-Roman" w:cs="Times New Roman"/>
          <w:szCs w:val="24"/>
        </w:rPr>
      </w:pPr>
      <w:r w:rsidRPr="00EC4EC4">
        <w:rPr>
          <w:rFonts w:eastAsia="NewBaskervilleStd-Bold" w:cs="Times New Roman"/>
          <w:b/>
          <w:bCs/>
          <w:szCs w:val="24"/>
        </w:rPr>
        <w:t xml:space="preserve">7.2.3.1 </w:t>
      </w:r>
      <w:r w:rsidRPr="00EC4EC4">
        <w:rPr>
          <w:rFonts w:eastAsia="NewBaskervilleStd-Bold" w:cs="Times New Roman"/>
          <w:bCs/>
          <w:szCs w:val="24"/>
        </w:rPr>
        <w:t xml:space="preserve">Delete and replace with the following: </w:t>
      </w:r>
      <w:r w:rsidRPr="00EC4EC4">
        <w:rPr>
          <w:rFonts w:eastAsia="NewBaskervilleStd-Roman" w:cs="Times New Roman"/>
          <w:szCs w:val="24"/>
        </w:rPr>
        <w:t>“Where the residual pressure at the 1½[</w:t>
      </w:r>
      <w:r w:rsidRPr="00EC4EC4">
        <w:rPr>
          <w:rFonts w:eastAsia="NewBaskervilleStd-Roman" w:cs="Times New Roman"/>
          <w:strike/>
          <w:szCs w:val="24"/>
        </w:rPr>
        <w:t>”</w:t>
      </w:r>
      <w:r w:rsidRPr="00EC4EC4">
        <w:rPr>
          <w:rFonts w:eastAsia="NewBaskervilleStd-Roman" w:cs="Times New Roman"/>
          <w:szCs w:val="24"/>
        </w:rPr>
        <w:t>]</w:t>
      </w:r>
      <w:r w:rsidRPr="00EC4EC4">
        <w:rPr>
          <w:rFonts w:eastAsia="NewBaskervilleStd-Roman" w:cs="Times New Roman"/>
          <w:szCs w:val="24"/>
          <w:u w:val="single"/>
        </w:rPr>
        <w:t>in.</w:t>
      </w:r>
      <w:r w:rsidRPr="00EC4EC4">
        <w:rPr>
          <w:rFonts w:eastAsia="NewBaskervilleStd-Roman" w:cs="Times New Roman"/>
          <w:szCs w:val="24"/>
        </w:rPr>
        <w:t xml:space="preserve"> outlet of a Class III hose station exceeds 100 psi (6.9 bar), an approved pressure</w:t>
      </w:r>
      <w:r w:rsidRPr="00EC4EC4">
        <w:rPr>
          <w:rFonts w:eastAsia="Times New Roman" w:cs="Times New Roman"/>
          <w:szCs w:val="24"/>
        </w:rPr>
        <w:t xml:space="preserve"> restricting</w:t>
      </w:r>
      <w:r w:rsidRPr="00EC4EC4">
        <w:rPr>
          <w:rFonts w:eastAsia="NewBaskervilleStd-Roman" w:cs="Times New Roman"/>
          <w:szCs w:val="24"/>
        </w:rPr>
        <w:t xml:space="preserve"> device shall be provided to limit the residual pressure at the flow required by Section 7.10 to 100 psi (6.9 bar). This pressure-restricting device shall be installed on the 2½[</w:t>
      </w:r>
      <w:r w:rsidRPr="00EC4EC4">
        <w:rPr>
          <w:rFonts w:eastAsia="NewBaskervilleStd-Roman" w:cs="Times New Roman"/>
          <w:strike/>
          <w:szCs w:val="24"/>
        </w:rPr>
        <w:t>”</w:t>
      </w:r>
      <w:r w:rsidRPr="00EC4EC4">
        <w:rPr>
          <w:rFonts w:eastAsia="NewBaskervilleStd-Roman" w:cs="Times New Roman"/>
          <w:szCs w:val="24"/>
        </w:rPr>
        <w:t>]</w:t>
      </w:r>
      <w:r w:rsidRPr="00EC4EC4">
        <w:rPr>
          <w:rFonts w:eastAsia="NewBaskervilleStd-Roman" w:cs="Times New Roman"/>
          <w:szCs w:val="24"/>
          <w:u w:val="single"/>
        </w:rPr>
        <w:t>in.</w:t>
      </w:r>
      <w:r w:rsidRPr="00EC4EC4">
        <w:rPr>
          <w:rFonts w:eastAsia="NewBaskervilleStd-Roman" w:cs="Times New Roman"/>
          <w:szCs w:val="24"/>
        </w:rPr>
        <w:t xml:space="preserve"> hose connection outlet between the connection and the hose.” </w:t>
      </w:r>
    </w:p>
    <w:p w14:paraId="5E5B8193" w14:textId="53154F5C" w:rsidR="00140B7C" w:rsidRPr="00EC4EC4" w:rsidRDefault="00140B7C" w:rsidP="00140B7C">
      <w:pPr>
        <w:pStyle w:val="DoubleSpaceParagaph"/>
        <w:spacing w:line="240" w:lineRule="auto"/>
        <w:ind w:firstLine="720"/>
      </w:pPr>
      <w:bookmarkStart w:id="225" w:name="_Hlk115773300"/>
      <w:r w:rsidRPr="00EC4EC4">
        <w:rPr>
          <w:color w:val="000000"/>
          <w:sz w:val="23"/>
          <w:szCs w:val="23"/>
        </w:rPr>
        <w:t>§</w:t>
      </w:r>
      <w:r>
        <w:rPr>
          <w:color w:val="000000"/>
          <w:sz w:val="23"/>
          <w:szCs w:val="23"/>
        </w:rPr>
        <w:t>30</w:t>
      </w:r>
      <w:r w:rsidR="00101309">
        <w:rPr>
          <w:color w:val="000000"/>
          <w:sz w:val="23"/>
          <w:szCs w:val="23"/>
        </w:rPr>
        <w:t>7</w:t>
      </w:r>
      <w:r w:rsidRPr="00EC4EC4">
        <w:rPr>
          <w:color w:val="000000"/>
          <w:sz w:val="23"/>
          <w:szCs w:val="23"/>
        </w:rPr>
        <w:t>. Appendix Q</w:t>
      </w:r>
      <w:r>
        <w:rPr>
          <w:color w:val="000000"/>
          <w:sz w:val="23"/>
          <w:szCs w:val="23"/>
        </w:rPr>
        <w:t xml:space="preserve"> 105</w:t>
      </w:r>
      <w:r w:rsidRPr="00EC4EC4">
        <w:t xml:space="preserve"> of the New York city building code, as added by local law number 126 for the year 2021, is amended to read as follows:</w:t>
      </w:r>
    </w:p>
    <w:bookmarkEnd w:id="224"/>
    <w:bookmarkEnd w:id="225"/>
    <w:p w14:paraId="7786DD69" w14:textId="77777777" w:rsidR="00140B7C" w:rsidRPr="00EC4EC4" w:rsidRDefault="00140B7C" w:rsidP="00140B7C">
      <w:pPr>
        <w:tabs>
          <w:tab w:val="left" w:pos="180"/>
          <w:tab w:val="left" w:pos="360"/>
          <w:tab w:val="left" w:pos="540"/>
          <w:tab w:val="left" w:pos="720"/>
          <w:tab w:val="left" w:pos="900"/>
        </w:tabs>
        <w:spacing w:after="0" w:line="240" w:lineRule="auto"/>
        <w:jc w:val="center"/>
        <w:rPr>
          <w:rFonts w:eastAsia="Calibri" w:cs="Times New Roman"/>
          <w:szCs w:val="24"/>
          <w:u w:val="single"/>
        </w:rPr>
      </w:pPr>
    </w:p>
    <w:p w14:paraId="0BE8EC66" w14:textId="77777777" w:rsidR="00140B7C" w:rsidRPr="00EC4EC4" w:rsidRDefault="00140B7C" w:rsidP="00140B7C">
      <w:pPr>
        <w:kinsoku w:val="0"/>
        <w:autoSpaceDE w:val="0"/>
        <w:autoSpaceDN w:val="0"/>
        <w:adjustRightInd w:val="0"/>
        <w:spacing w:after="240" w:line="240" w:lineRule="auto"/>
        <w:jc w:val="both"/>
        <w:rPr>
          <w:rFonts w:eastAsia="NewBaskervilleStd-Roman" w:cs="Times New Roman"/>
          <w:szCs w:val="24"/>
        </w:rPr>
      </w:pPr>
      <w:r w:rsidRPr="00EC4EC4">
        <w:rPr>
          <w:rFonts w:eastAsia="NewBaskervilleStd-Bold" w:cs="Times New Roman"/>
          <w:b/>
          <w:bCs/>
          <w:szCs w:val="24"/>
        </w:rPr>
        <w:t xml:space="preserve">7.5.1 </w:t>
      </w:r>
      <w:r w:rsidRPr="00EC4EC4">
        <w:rPr>
          <w:rFonts w:eastAsia="NewBaskervilleStd-Bold" w:cs="Times New Roman"/>
          <w:bCs/>
          <w:szCs w:val="24"/>
        </w:rPr>
        <w:t xml:space="preserve">Delete and replace with the following: </w:t>
      </w:r>
      <w:r w:rsidRPr="00EC4EC4">
        <w:rPr>
          <w:rFonts w:eastAsia="NewBaskervilleStd-Roman" w:cs="Times New Roman"/>
          <w:szCs w:val="24"/>
        </w:rPr>
        <w:t>“Where two or more standpipes are installed in the same building or section of building, they shall be interconnected as follows:”</w:t>
      </w:r>
    </w:p>
    <w:p w14:paraId="01C1C439" w14:textId="77777777" w:rsidR="00140B7C" w:rsidRPr="00EC4EC4" w:rsidRDefault="00140B7C" w:rsidP="00140B7C">
      <w:pPr>
        <w:kinsoku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Standpipe systems that include more than one riser shall have all risers cross-connected at, or below, the lowest level of fire department access, except as otherwise provided in this section.</w:t>
      </w:r>
    </w:p>
    <w:p w14:paraId="019176E8" w14:textId="77777777" w:rsidR="00140B7C" w:rsidRPr="00EC4EC4" w:rsidRDefault="00140B7C" w:rsidP="00140B7C">
      <w:pPr>
        <w:kinsoku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Standpipe systems that have one or more standpipe system zone shall be so designed and installed that the risers supplied from each zone will be cross-connected below, or in, the story of the lowest hose outlets from the water source in each zone. Horizontal intermediate check valves shall be installed in the run of each riser continuing into a higher zone in such manner as to permit all upper zones of the system within each FDC zone provided in accordance with 4.8.2.1 to be fed through one riser from the zone below and to prevent any lower zone of the system from being supplied from a zone above, except as otherwise required by this referenced standard. FDC zones shall be interconnected in accordance with 4.8.2.1(l).”</w:t>
      </w:r>
    </w:p>
    <w:p w14:paraId="448B5E9A" w14:textId="77777777" w:rsidR="00140B7C" w:rsidRPr="00EC4EC4" w:rsidRDefault="00140B7C" w:rsidP="00140B7C">
      <w:pPr>
        <w:kinsoku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Risers supplied by an upper level cross connection shall be provided with manual control valves or remote-control valves, so arranged that risers supplied by the upper level cross connections may independently be shut off from the tank supplies.”</w:t>
      </w:r>
    </w:p>
    <w:p w14:paraId="31B90CE3" w14:textId="77777777" w:rsidR="00140B7C" w:rsidRPr="00EC4EC4" w:rsidRDefault="00140B7C" w:rsidP="00140B7C">
      <w:pPr>
        <w:kinsoku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Cross connections shall be at least as large as the largest riser supplied by the cross connection. However, when supplying two, but not more than four 4-inch (102 mm) risers, the cross connection shall not be less than 5 inches (123 mm). The cross connection shall not be less than 6 inches (152 mm) for all other riser combinations.”</w:t>
      </w:r>
    </w:p>
    <w:p w14:paraId="23302A1F" w14:textId="77777777" w:rsidR="00140B7C" w:rsidRPr="00EC4EC4" w:rsidRDefault="00140B7C" w:rsidP="00140B7C">
      <w:pPr>
        <w:kinsoku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Where there is no cellar, cross connections may be hung from the ceiling of the lowest story.”</w:t>
      </w:r>
    </w:p>
    <w:p w14:paraId="09CCAFF2" w14:textId="77777777" w:rsidR="00140B7C" w:rsidRPr="00EC4EC4" w:rsidRDefault="00140B7C" w:rsidP="00140B7C">
      <w:pPr>
        <w:kinsoku w:val="0"/>
        <w:autoSpaceDE w:val="0"/>
        <w:autoSpaceDN w:val="0"/>
        <w:adjustRightInd w:val="0"/>
        <w:spacing w:after="240" w:line="240" w:lineRule="auto"/>
        <w:ind w:left="900" w:hanging="540"/>
        <w:jc w:val="both"/>
        <w:rPr>
          <w:rFonts w:eastAsia="NewBaskervilleStd-Bold" w:cs="Times New Roman"/>
          <w:b/>
          <w:bCs/>
          <w:szCs w:val="24"/>
        </w:rPr>
      </w:pPr>
      <w:r w:rsidRPr="00EC4EC4">
        <w:rPr>
          <w:rFonts w:eastAsia="Times New Roman" w:cs="Times New Roman"/>
          <w:spacing w:val="1"/>
          <w:szCs w:val="24"/>
        </w:rPr>
        <w:t>“(6)</w:t>
      </w:r>
      <w:r w:rsidRPr="00EC4EC4">
        <w:rPr>
          <w:rFonts w:eastAsia="Times New Roman" w:cs="Times New Roman"/>
          <w:spacing w:val="1"/>
          <w:szCs w:val="24"/>
        </w:rPr>
        <w:tab/>
        <w:t>Each FDC shall be connected to a riser or to a cross connection connecting other Fire Department hose connections or risers within each Fire Department zone provided in accordance with 4.8.2.1. The pipe from the FDC to the riser or cross connection shall be [</w:t>
      </w:r>
      <w:r w:rsidRPr="00EC4EC4">
        <w:rPr>
          <w:rFonts w:eastAsia="Times New Roman" w:cs="Times New Roman"/>
          <w:strike/>
          <w:spacing w:val="1"/>
          <w:szCs w:val="24"/>
        </w:rPr>
        <w:t>five-inch</w:t>
      </w:r>
      <w:r w:rsidRPr="00EC4EC4">
        <w:rPr>
          <w:rFonts w:eastAsia="Times New Roman" w:cs="Times New Roman"/>
          <w:spacing w:val="1"/>
          <w:szCs w:val="24"/>
        </w:rPr>
        <w:t>]</w:t>
      </w:r>
      <w:r w:rsidRPr="00EC4EC4">
        <w:rPr>
          <w:rFonts w:eastAsia="Times New Roman" w:cs="Times New Roman"/>
          <w:spacing w:val="1"/>
          <w:szCs w:val="24"/>
          <w:u w:val="single"/>
        </w:rPr>
        <w:t>5-inch</w:t>
      </w:r>
      <w:r w:rsidRPr="00EC4EC4">
        <w:rPr>
          <w:rFonts w:eastAsia="Times New Roman" w:cs="Times New Roman"/>
          <w:spacing w:val="1"/>
          <w:szCs w:val="24"/>
        </w:rPr>
        <w:t xml:space="preserve"> (123 mm) I.P.S., except that a 4-inch (102 mm) pipe shall be sufficient when such pipe supplies a single 4-inch (102 mm) riser system. The pipe from the FDC shall be run as directly as practicable to the riser or cross connection.”</w:t>
      </w:r>
    </w:p>
    <w:p w14:paraId="0C8691BC" w14:textId="77777777" w:rsidR="00140B7C" w:rsidRPr="00EC4EC4" w:rsidRDefault="00140B7C" w:rsidP="00140B7C">
      <w:pPr>
        <w:kinsoku w:val="0"/>
        <w:autoSpaceDE w:val="0"/>
        <w:autoSpaceDN w:val="0"/>
        <w:adjustRightInd w:val="0"/>
        <w:spacing w:after="240" w:line="240" w:lineRule="auto"/>
        <w:ind w:left="900" w:hanging="540"/>
        <w:jc w:val="both"/>
        <w:rPr>
          <w:rFonts w:eastAsia="Times New Roman" w:cs="Times New Roman"/>
          <w:spacing w:val="1"/>
          <w:szCs w:val="24"/>
        </w:rPr>
      </w:pPr>
      <w:r w:rsidRPr="00EC4EC4">
        <w:rPr>
          <w:rFonts w:eastAsia="Times New Roman" w:cs="Times New Roman"/>
          <w:spacing w:val="1"/>
          <w:szCs w:val="24"/>
        </w:rPr>
        <w:t>“(7)</w:t>
      </w:r>
      <w:r w:rsidRPr="00EC4EC4">
        <w:rPr>
          <w:rFonts w:eastAsia="Times New Roman" w:cs="Times New Roman"/>
          <w:spacing w:val="1"/>
          <w:szCs w:val="24"/>
        </w:rPr>
        <w:tab/>
        <w:t>When tanks are used for the primary water supply, the standpipe systems may use separate riser systems serving, respectively, low and high parts of the building. Separate gravity tanks or pressure tanks may supply each zone, but in every case the standpipe system shall be so designed that every hose outlet of the entire system can be supplied through the required cross connections from every FDC within each FDC zone provided in accordance with 4.8.2.1.”</w:t>
      </w:r>
    </w:p>
    <w:p w14:paraId="2191A354" w14:textId="0E5A7FAA" w:rsidR="00140B7C" w:rsidRPr="000B24B5" w:rsidRDefault="00140B7C" w:rsidP="00140B7C">
      <w:pPr>
        <w:kinsoku w:val="0"/>
        <w:autoSpaceDE w:val="0"/>
        <w:autoSpaceDN w:val="0"/>
        <w:adjustRightInd w:val="0"/>
        <w:spacing w:after="240" w:line="240" w:lineRule="auto"/>
        <w:ind w:firstLine="720"/>
        <w:jc w:val="both"/>
        <w:rPr>
          <w:color w:val="000000"/>
          <w:sz w:val="23"/>
          <w:szCs w:val="23"/>
        </w:rPr>
      </w:pPr>
      <w:bookmarkStart w:id="226" w:name="_Hlk119493087"/>
      <w:r w:rsidRPr="000B24B5">
        <w:rPr>
          <w:color w:val="000000"/>
          <w:sz w:val="23"/>
          <w:szCs w:val="23"/>
        </w:rPr>
        <w:t>§30</w:t>
      </w:r>
      <w:r w:rsidR="008769ED">
        <w:rPr>
          <w:color w:val="000000"/>
          <w:sz w:val="23"/>
          <w:szCs w:val="23"/>
        </w:rPr>
        <w:t>8</w:t>
      </w:r>
      <w:r w:rsidRPr="000B24B5">
        <w:rPr>
          <w:color w:val="000000"/>
          <w:sz w:val="23"/>
          <w:szCs w:val="23"/>
        </w:rPr>
        <w:t>. Appendix Q 105 of the New York city building code, as added by local law number 126 for the year 2021, is amended to read as follows:</w:t>
      </w:r>
    </w:p>
    <w:p w14:paraId="6B3392AC" w14:textId="77777777" w:rsidR="00140B7C" w:rsidRPr="000B24B5" w:rsidRDefault="00140B7C" w:rsidP="00140B7C">
      <w:pPr>
        <w:kinsoku w:val="0"/>
        <w:autoSpaceDE w:val="0"/>
        <w:autoSpaceDN w:val="0"/>
        <w:adjustRightInd w:val="0"/>
        <w:spacing w:after="240" w:line="240" w:lineRule="auto"/>
        <w:jc w:val="both"/>
        <w:rPr>
          <w:color w:val="000000"/>
          <w:sz w:val="23"/>
          <w:szCs w:val="23"/>
        </w:rPr>
      </w:pPr>
      <w:r w:rsidRPr="000B24B5">
        <w:rPr>
          <w:b/>
          <w:bCs/>
          <w:color w:val="000000"/>
          <w:sz w:val="23"/>
          <w:szCs w:val="23"/>
        </w:rPr>
        <w:t xml:space="preserve">7.9.1 </w:t>
      </w:r>
      <w:r w:rsidRPr="000B24B5">
        <w:rPr>
          <w:color w:val="000000"/>
          <w:sz w:val="23"/>
          <w:szCs w:val="23"/>
        </w:rPr>
        <w:t>Delete and replace with the following: “</w:t>
      </w:r>
      <w:r w:rsidRPr="000B24B5">
        <w:rPr>
          <w:bCs/>
          <w:color w:val="000000"/>
          <w:sz w:val="23"/>
          <w:szCs w:val="23"/>
        </w:rPr>
        <w:t>M</w:t>
      </w:r>
      <w:r w:rsidRPr="000B24B5">
        <w:rPr>
          <w:color w:val="000000"/>
          <w:sz w:val="23"/>
          <w:szCs w:val="23"/>
        </w:rPr>
        <w:t>aximum Standpipe System Zone Height. The maximum standpipe system zone height for any building shall be 300 feet (91.4 m).</w:t>
      </w:r>
      <w:r w:rsidRPr="000B24B5">
        <w:rPr>
          <w:color w:val="000000"/>
          <w:sz w:val="23"/>
          <w:szCs w:val="23"/>
          <w:u w:val="single"/>
        </w:rPr>
        <w:t xml:space="preserve"> In the lowest zone in a building, such height shall be measured from grade plane</w:t>
      </w:r>
      <w:r w:rsidRPr="000B24B5">
        <w:rPr>
          <w:color w:val="000000"/>
          <w:sz w:val="23"/>
          <w:szCs w:val="23"/>
        </w:rPr>
        <w:t xml:space="preserve"> [Floors below grade plane shall be included in the lowest standpipe system zone], provided that the maximum FDC zone height for the FDC zone that includes the lowest zone is not exceeded</w:t>
      </w:r>
      <w:r w:rsidRPr="000B24B5">
        <w:rPr>
          <w:color w:val="000000"/>
          <w:sz w:val="23"/>
          <w:szCs w:val="23"/>
          <w:u w:val="single"/>
        </w:rPr>
        <w:t>.</w:t>
      </w:r>
      <w:r w:rsidRPr="000B24B5">
        <w:rPr>
          <w:color w:val="000000"/>
          <w:sz w:val="23"/>
          <w:szCs w:val="23"/>
        </w:rPr>
        <w:t xml:space="preserve"> [</w:t>
      </w:r>
      <w:r w:rsidRPr="000B24B5">
        <w:rPr>
          <w:bCs/>
          <w:color w:val="000000"/>
          <w:sz w:val="23"/>
          <w:szCs w:val="23"/>
        </w:rPr>
        <w:t>and the maximum hose connection outlet working pressure in the FDC zone does not exceed 205 pounds per square inch.</w:t>
      </w:r>
      <w:r w:rsidRPr="000B24B5">
        <w:rPr>
          <w:color w:val="000000"/>
          <w:sz w:val="23"/>
          <w:szCs w:val="23"/>
        </w:rPr>
        <w:t xml:space="preserve"> ]FDC zones shall be arranged in accordance with 4.8. Each standpipe system zone requiring pumps or tanks, shall be provided with a separate pump or tank. </w:t>
      </w:r>
      <w:r w:rsidRPr="000B24B5">
        <w:rPr>
          <w:color w:val="000000"/>
          <w:sz w:val="23"/>
          <w:szCs w:val="23"/>
          <w:u w:val="single"/>
        </w:rPr>
        <w:t>The maximum hose connection outlet pressure in the lowest standpipe zone shall not exceed 210 pounds per square inch.</w:t>
      </w:r>
      <w:r w:rsidRPr="000B24B5">
        <w:rPr>
          <w:color w:val="000000"/>
          <w:sz w:val="23"/>
          <w:szCs w:val="23"/>
        </w:rPr>
        <w:t>”</w:t>
      </w:r>
    </w:p>
    <w:bookmarkEnd w:id="226"/>
    <w:p w14:paraId="348EC36D" w14:textId="77777777" w:rsidR="00140B7C" w:rsidRPr="00EC4EC4" w:rsidRDefault="00140B7C" w:rsidP="00140B7C">
      <w:pPr>
        <w:kinsoku w:val="0"/>
        <w:autoSpaceDE w:val="0"/>
        <w:autoSpaceDN w:val="0"/>
        <w:adjustRightInd w:val="0"/>
        <w:spacing w:after="0" w:line="240" w:lineRule="auto"/>
        <w:jc w:val="both"/>
        <w:rPr>
          <w:rFonts w:eastAsia="Times New Roman" w:cs="Times New Roman"/>
          <w:szCs w:val="24"/>
        </w:rPr>
      </w:pPr>
    </w:p>
    <w:p w14:paraId="63EBF8A6" w14:textId="76EBF10E" w:rsidR="00140B7C" w:rsidRPr="00EC4EC4" w:rsidRDefault="00140B7C" w:rsidP="00140B7C">
      <w:pPr>
        <w:pStyle w:val="DoubleSpaceParagaph"/>
        <w:spacing w:line="240" w:lineRule="auto"/>
        <w:ind w:firstLine="720"/>
      </w:pPr>
      <w:r w:rsidRPr="00EC4EC4">
        <w:rPr>
          <w:color w:val="000000"/>
          <w:sz w:val="23"/>
          <w:szCs w:val="23"/>
        </w:rPr>
        <w:t>§</w:t>
      </w:r>
      <w:r>
        <w:rPr>
          <w:color w:val="000000"/>
          <w:sz w:val="23"/>
          <w:szCs w:val="23"/>
        </w:rPr>
        <w:t>30</w:t>
      </w:r>
      <w:r w:rsidR="008769ED">
        <w:rPr>
          <w:color w:val="000000"/>
          <w:sz w:val="23"/>
          <w:szCs w:val="23"/>
        </w:rPr>
        <w:t>9</w:t>
      </w:r>
      <w:r w:rsidRPr="00EC4EC4">
        <w:rPr>
          <w:color w:val="000000"/>
          <w:sz w:val="23"/>
          <w:szCs w:val="23"/>
        </w:rPr>
        <w:t>. Appendix Q</w:t>
      </w:r>
      <w:r>
        <w:rPr>
          <w:color w:val="000000"/>
          <w:sz w:val="23"/>
          <w:szCs w:val="23"/>
        </w:rPr>
        <w:t>102</w:t>
      </w:r>
      <w:r w:rsidRPr="00EC4EC4">
        <w:rPr>
          <w:color w:val="000000"/>
          <w:sz w:val="23"/>
          <w:szCs w:val="23"/>
        </w:rPr>
        <w:t xml:space="preserve"> </w:t>
      </w:r>
      <w:r w:rsidRPr="00EC4EC4">
        <w:t xml:space="preserve"> of the New York city building code, as added by local law number 126 for the year 2021, is amended to read as follows:</w:t>
      </w:r>
    </w:p>
    <w:p w14:paraId="6EAEE027" w14:textId="77777777" w:rsidR="00140B7C" w:rsidRPr="00EC4EC4" w:rsidRDefault="00140B7C" w:rsidP="00140B7C">
      <w:pPr>
        <w:shd w:val="clear" w:color="auto" w:fill="FFFFFF"/>
        <w:kinsoku w:val="0"/>
        <w:spacing w:after="0" w:line="240" w:lineRule="auto"/>
        <w:jc w:val="both"/>
        <w:rPr>
          <w:rFonts w:eastAsia="Times New Roman" w:cs="Times New Roman"/>
          <w:szCs w:val="24"/>
          <w:u w:val="single"/>
        </w:rPr>
      </w:pPr>
    </w:p>
    <w:p w14:paraId="45DA2EEE" w14:textId="77777777" w:rsidR="00140B7C" w:rsidRPr="00EC4EC4" w:rsidRDefault="00140B7C" w:rsidP="00140B7C">
      <w:pPr>
        <w:shd w:val="clear" w:color="auto" w:fill="FFFFFF"/>
        <w:kinsoku w:val="0"/>
        <w:spacing w:after="0" w:line="240" w:lineRule="auto"/>
        <w:jc w:val="both"/>
        <w:rPr>
          <w:rFonts w:eastAsia="Times New Roman" w:cs="Times New Roman"/>
          <w:szCs w:val="24"/>
        </w:rPr>
      </w:pPr>
      <w:r w:rsidRPr="00EC4EC4">
        <w:rPr>
          <w:rFonts w:eastAsia="Times New Roman" w:cs="Times New Roman"/>
          <w:szCs w:val="24"/>
        </w:rPr>
        <w:t xml:space="preserve">Add </w:t>
      </w:r>
      <w:r w:rsidRPr="00EC4EC4">
        <w:rPr>
          <w:rFonts w:eastAsia="Times New Roman" w:cs="Times New Roman"/>
          <w:b/>
          <w:szCs w:val="24"/>
        </w:rPr>
        <w:t>8.17.1.9</w:t>
      </w:r>
      <w:r w:rsidRPr="00EC4EC4">
        <w:rPr>
          <w:rFonts w:eastAsia="Times New Roman" w:cs="Times New Roman"/>
          <w:szCs w:val="24"/>
        </w:rPr>
        <w:t xml:space="preserve"> [</w:t>
      </w:r>
      <w:r w:rsidRPr="00EC4EC4">
        <w:rPr>
          <w:rFonts w:eastAsia="Times New Roman" w:cs="Times New Roman"/>
          <w:b/>
          <w:szCs w:val="24"/>
        </w:rPr>
        <w:t xml:space="preserve">1] </w:t>
      </w:r>
      <w:r w:rsidRPr="00EC4EC4">
        <w:rPr>
          <w:rFonts w:eastAsia="Times New Roman" w:cs="Times New Roman"/>
          <w:szCs w:val="24"/>
        </w:rPr>
        <w:t xml:space="preserve">to read as follows: </w:t>
      </w:r>
      <w:r w:rsidRPr="00EC4EC4">
        <w:rPr>
          <w:rFonts w:eastAsia="Times New Roman" w:cs="Times New Roman"/>
          <w:b/>
          <w:szCs w:val="24"/>
        </w:rPr>
        <w:t>“</w:t>
      </w:r>
      <w:r w:rsidRPr="00EC4EC4">
        <w:rPr>
          <w:rFonts w:eastAsia="Times New Roman" w:cs="Times New Roman"/>
          <w:szCs w:val="24"/>
        </w:rPr>
        <w:t>Drains for Alarm Devices.”</w:t>
      </w:r>
    </w:p>
    <w:p w14:paraId="5E47368D" w14:textId="77777777" w:rsidR="00140B7C" w:rsidRDefault="00140B7C" w:rsidP="00140B7C">
      <w:pPr>
        <w:pStyle w:val="DoubleSpaceParagaph"/>
        <w:spacing w:line="240" w:lineRule="auto"/>
        <w:ind w:firstLine="0"/>
        <w:rPr>
          <w:color w:val="000000"/>
          <w:sz w:val="23"/>
          <w:szCs w:val="23"/>
        </w:rPr>
      </w:pPr>
    </w:p>
    <w:p w14:paraId="6D04B41C" w14:textId="752D4178" w:rsidR="00140B7C" w:rsidRDefault="00140B7C" w:rsidP="00140B7C">
      <w:pPr>
        <w:pStyle w:val="DoubleSpaceParagaph"/>
        <w:spacing w:line="240" w:lineRule="auto"/>
        <w:ind w:firstLine="720"/>
      </w:pPr>
      <w:r>
        <w:rPr>
          <w:color w:val="000000"/>
          <w:sz w:val="23"/>
          <w:szCs w:val="23"/>
        </w:rPr>
        <w:t>§3</w:t>
      </w:r>
      <w:r w:rsidR="008769ED">
        <w:rPr>
          <w:color w:val="000000"/>
          <w:sz w:val="23"/>
          <w:szCs w:val="23"/>
        </w:rPr>
        <w:t>10</w:t>
      </w:r>
      <w:r>
        <w:rPr>
          <w:color w:val="000000"/>
          <w:sz w:val="23"/>
          <w:szCs w:val="23"/>
        </w:rPr>
        <w:t>. Appendix Q107</w:t>
      </w:r>
      <w:r>
        <w:t xml:space="preserve"> of the New York city building code, as added by local law number 126 for the year 2021, is amended to read as follows:</w:t>
      </w:r>
    </w:p>
    <w:p w14:paraId="687E7DCC" w14:textId="77777777" w:rsidR="00140B7C" w:rsidRDefault="00140B7C" w:rsidP="00140B7C">
      <w:pPr>
        <w:spacing w:after="0" w:line="240" w:lineRule="auto"/>
        <w:rPr>
          <w:rFonts w:cs="Times New Roman"/>
          <w:szCs w:val="24"/>
        </w:rPr>
      </w:pPr>
    </w:p>
    <w:p w14:paraId="57ACDD0A" w14:textId="77777777" w:rsidR="00140B7C" w:rsidRDefault="00140B7C" w:rsidP="00140B7C">
      <w:pPr>
        <w:spacing w:after="0" w:line="240" w:lineRule="auto"/>
        <w:jc w:val="both"/>
        <w:rPr>
          <w:rFonts w:cs="Times New Roman"/>
          <w:szCs w:val="24"/>
        </w:rPr>
      </w:pPr>
      <w:r>
        <w:rPr>
          <w:rFonts w:cs="Times New Roman"/>
          <w:b/>
          <w:bCs/>
          <w:szCs w:val="24"/>
        </w:rPr>
        <w:t>Add 24.4.11</w:t>
      </w:r>
      <w:r>
        <w:rPr>
          <w:rFonts w:cs="Times New Roman"/>
          <w:szCs w:val="24"/>
        </w:rPr>
        <w:t xml:space="preserve"> to read as follows: “One-way Emergency Voice Communications Circuits in Group R-2 Occupancies. Where a one-way voice communications circuit is provided, such system shall comply with provisions for notification appliance integrity monitoring including 10.19, 12.6, 23.4 and 23.7 and the notification appliance circuits serving the apartments and stairway speakers shall meet the classifications for Class </w:t>
      </w:r>
      <w:r w:rsidRPr="00BB0B36">
        <w:rPr>
          <w:rFonts w:cs="Times New Roman"/>
          <w:szCs w:val="24"/>
          <w:u w:val="single"/>
        </w:rPr>
        <w:t>“A” or</w:t>
      </w:r>
      <w:r>
        <w:rPr>
          <w:rFonts w:cs="Times New Roman"/>
          <w:szCs w:val="24"/>
        </w:rPr>
        <w:t xml:space="preserve"> “X” Pathway Designation per </w:t>
      </w:r>
      <w:r w:rsidRPr="00BB0B36">
        <w:rPr>
          <w:rFonts w:cs="Times New Roman"/>
          <w:szCs w:val="24"/>
        </w:rPr>
        <w:t>[</w:t>
      </w:r>
      <w:r w:rsidRPr="00BB0B36">
        <w:rPr>
          <w:rFonts w:cs="Times New Roman"/>
          <w:strike/>
          <w:szCs w:val="24"/>
        </w:rPr>
        <w:t>12.3.6</w:t>
      </w:r>
      <w:r w:rsidRPr="00BB0B36">
        <w:rPr>
          <w:rFonts w:cs="Times New Roman"/>
          <w:szCs w:val="24"/>
        </w:rPr>
        <w:t>]</w:t>
      </w:r>
      <w:r w:rsidRPr="00BB0B36">
        <w:rPr>
          <w:rFonts w:cs="Times New Roman"/>
          <w:szCs w:val="24"/>
          <w:u w:val="single"/>
        </w:rPr>
        <w:t xml:space="preserve"> 12.3.1 or 12.3.7</w:t>
      </w:r>
      <w:r>
        <w:rPr>
          <w:rFonts w:cs="Times New Roman"/>
          <w:szCs w:val="24"/>
        </w:rPr>
        <w:t>. Additionally, outgoing and return conductors feeding the same circuit may not be run in the same stairwell.”</w:t>
      </w:r>
    </w:p>
    <w:p w14:paraId="1DA8B1FC" w14:textId="77777777" w:rsidR="00140B7C" w:rsidRPr="00EC4EC4" w:rsidRDefault="00140B7C" w:rsidP="00140B7C">
      <w:pPr>
        <w:spacing w:after="0" w:line="240" w:lineRule="auto"/>
        <w:jc w:val="both"/>
        <w:rPr>
          <w:rFonts w:eastAsia="Calibri" w:cs="Times New Roman"/>
          <w:szCs w:val="24"/>
        </w:rPr>
      </w:pPr>
    </w:p>
    <w:p w14:paraId="6BC0D2DB" w14:textId="009EA5A7" w:rsidR="00140B7C" w:rsidRPr="002B2F87" w:rsidRDefault="00140B7C" w:rsidP="00140B7C">
      <w:pPr>
        <w:kinsoku w:val="0"/>
        <w:spacing w:after="240" w:line="240" w:lineRule="auto"/>
        <w:ind w:firstLine="720"/>
        <w:jc w:val="both"/>
        <w:rPr>
          <w:rFonts w:cs="Times New Roman"/>
          <w:sz w:val="23"/>
          <w:szCs w:val="23"/>
        </w:rPr>
      </w:pPr>
      <w:r w:rsidRPr="002B2F87">
        <w:rPr>
          <w:rFonts w:cs="Times New Roman"/>
          <w:sz w:val="23"/>
          <w:szCs w:val="23"/>
        </w:rPr>
        <w:t>§</w:t>
      </w:r>
      <w:r>
        <w:rPr>
          <w:rFonts w:cs="Times New Roman"/>
          <w:sz w:val="23"/>
          <w:szCs w:val="23"/>
        </w:rPr>
        <w:t>3</w:t>
      </w:r>
      <w:r w:rsidR="00AE6A45">
        <w:rPr>
          <w:rFonts w:cs="Times New Roman"/>
          <w:sz w:val="23"/>
          <w:szCs w:val="23"/>
        </w:rPr>
        <w:t>11</w:t>
      </w:r>
      <w:r w:rsidRPr="002B2F87">
        <w:rPr>
          <w:rFonts w:cs="Times New Roman"/>
          <w:sz w:val="23"/>
          <w:szCs w:val="23"/>
        </w:rPr>
        <w:t>. Section 28-</w:t>
      </w:r>
      <w:r>
        <w:rPr>
          <w:rFonts w:cs="Times New Roman"/>
          <w:sz w:val="23"/>
          <w:szCs w:val="23"/>
        </w:rPr>
        <w:t>8</w:t>
      </w:r>
      <w:r w:rsidRPr="002B2F87">
        <w:rPr>
          <w:rFonts w:cs="Times New Roman"/>
          <w:sz w:val="23"/>
          <w:szCs w:val="23"/>
        </w:rPr>
        <w:t>01.2 of the administrative code of the city of New York, as amended by local law number 141 for the year 2013, is amended to read as follows:</w:t>
      </w:r>
    </w:p>
    <w:p w14:paraId="5F66123E" w14:textId="77777777" w:rsidR="00140B7C" w:rsidRPr="00794E17" w:rsidRDefault="00140B7C" w:rsidP="00140B7C">
      <w:pPr>
        <w:spacing w:after="160" w:line="259" w:lineRule="auto"/>
        <w:ind w:firstLine="720"/>
        <w:rPr>
          <w:rFonts w:cs="Times New Roman"/>
          <w:bCs/>
          <w:szCs w:val="24"/>
        </w:rPr>
      </w:pPr>
      <w:r w:rsidRPr="007705E6">
        <w:rPr>
          <w:rFonts w:cs="Times New Roman"/>
          <w:b/>
          <w:szCs w:val="24"/>
        </w:rPr>
        <w:t xml:space="preserve">§28-801.2 Enactment of the </w:t>
      </w:r>
      <w:r w:rsidRPr="00794E17">
        <w:rPr>
          <w:rFonts w:cs="Times New Roman"/>
          <w:b/>
          <w:szCs w:val="24"/>
        </w:rPr>
        <w:t>New York city mechanical code.</w:t>
      </w:r>
      <w:r w:rsidRPr="003A20AC">
        <w:rPr>
          <w:rFonts w:cs="Times New Roman"/>
          <w:bCs/>
          <w:szCs w:val="24"/>
        </w:rPr>
        <w:t xml:space="preserve"> The New York city mechanical code based on the </w:t>
      </w:r>
      <w:r w:rsidRPr="00805CE3">
        <w:rPr>
          <w:rFonts w:cs="Times New Roman"/>
          <w:bCs/>
          <w:szCs w:val="24"/>
        </w:rPr>
        <w:t>[</w:t>
      </w:r>
      <w:r w:rsidRPr="00805CE3">
        <w:rPr>
          <w:rFonts w:cs="Times New Roman"/>
          <w:bCs/>
          <w:strike/>
          <w:szCs w:val="24"/>
        </w:rPr>
        <w:t>2003</w:t>
      </w:r>
      <w:r w:rsidRPr="00805CE3">
        <w:rPr>
          <w:rFonts w:cs="Times New Roman"/>
          <w:bCs/>
          <w:szCs w:val="24"/>
        </w:rPr>
        <w:t>]</w:t>
      </w:r>
      <w:r w:rsidRPr="00805CE3">
        <w:rPr>
          <w:rFonts w:cs="Times New Roman"/>
          <w:bCs/>
          <w:szCs w:val="24"/>
          <w:u w:val="single"/>
        </w:rPr>
        <w:t>2009</w:t>
      </w:r>
      <w:r w:rsidRPr="007705E6">
        <w:rPr>
          <w:rFonts w:cs="Times New Roman"/>
          <w:bCs/>
          <w:szCs w:val="24"/>
        </w:rPr>
        <w:t xml:space="preserve"> edition of the International Mechanical Code published by the International Code Council, with changes that reflect the unique character of the city and amendments tha</w:t>
      </w:r>
      <w:r w:rsidRPr="00794E17">
        <w:rPr>
          <w:rFonts w:cs="Times New Roman"/>
          <w:bCs/>
          <w:szCs w:val="24"/>
        </w:rPr>
        <w:t>t bring it up to date with the [</w:t>
      </w:r>
      <w:r w:rsidRPr="003A20AC">
        <w:rPr>
          <w:rFonts w:cs="Times New Roman"/>
          <w:bCs/>
          <w:strike/>
          <w:szCs w:val="24"/>
        </w:rPr>
        <w:t>2009</w:t>
      </w:r>
      <w:r w:rsidRPr="003A20AC">
        <w:rPr>
          <w:rFonts w:cs="Times New Roman"/>
          <w:bCs/>
          <w:szCs w:val="24"/>
        </w:rPr>
        <w:t>]</w:t>
      </w:r>
      <w:r w:rsidRPr="00805CE3">
        <w:rPr>
          <w:rFonts w:cs="Times New Roman"/>
          <w:bCs/>
          <w:szCs w:val="24"/>
          <w:u w:val="single"/>
        </w:rPr>
        <w:t>2015</w:t>
      </w:r>
      <w:r w:rsidRPr="007705E6">
        <w:rPr>
          <w:rFonts w:cs="Times New Roman"/>
          <w:bCs/>
          <w:szCs w:val="24"/>
        </w:rPr>
        <w:t xml:space="preserve"> edition of such International Mechanical Code, is hereby adopted to read as follows:</w:t>
      </w:r>
    </w:p>
    <w:p w14:paraId="69D6C9EF" w14:textId="110C589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AE6A45">
        <w:rPr>
          <w:rFonts w:cs="Times New Roman"/>
          <w:sz w:val="23"/>
          <w:szCs w:val="23"/>
        </w:rPr>
        <w:t>12</w:t>
      </w:r>
      <w:r w:rsidRPr="00EC4EC4">
        <w:rPr>
          <w:rFonts w:cs="Times New Roman"/>
          <w:sz w:val="23"/>
          <w:szCs w:val="23"/>
        </w:rPr>
        <w:t xml:space="preserve">. </w:t>
      </w:r>
      <w:r>
        <w:rPr>
          <w:rFonts w:cs="Times New Roman"/>
          <w:sz w:val="23"/>
          <w:szCs w:val="23"/>
        </w:rPr>
        <w:t xml:space="preserve">The definitions of </w:t>
      </w:r>
      <w:r w:rsidRPr="00EC4EC4">
        <w:rPr>
          <w:rFonts w:cs="Times New Roman"/>
          <w:sz w:val="23"/>
          <w:szCs w:val="23"/>
        </w:rPr>
        <w:t xml:space="preserve">“REGISTERED DESIGN PROFESSIONAL OF RECORD” and “REQUIRED” </w:t>
      </w:r>
      <w:r>
        <w:rPr>
          <w:rFonts w:cs="Times New Roman"/>
          <w:sz w:val="23"/>
          <w:szCs w:val="23"/>
        </w:rPr>
        <w:t>set forth in s</w:t>
      </w:r>
      <w:r w:rsidRPr="00EC4EC4">
        <w:rPr>
          <w:rFonts w:cs="Times New Roman"/>
          <w:sz w:val="23"/>
          <w:szCs w:val="23"/>
        </w:rPr>
        <w:t xml:space="preserve">ection 201.3.1 of  the New York city mechanical code, as added by local law number 126 for the year 2021,  </w:t>
      </w:r>
      <w:r>
        <w:rPr>
          <w:rFonts w:cs="Times New Roman"/>
          <w:sz w:val="23"/>
          <w:szCs w:val="23"/>
        </w:rPr>
        <w:t>are</w:t>
      </w:r>
      <w:r w:rsidRPr="00EC4EC4">
        <w:rPr>
          <w:rFonts w:cs="Times New Roman"/>
          <w:sz w:val="23"/>
          <w:szCs w:val="23"/>
        </w:rPr>
        <w:t xml:space="preserve"> amended to read as follows:</w:t>
      </w:r>
    </w:p>
    <w:p w14:paraId="700DC7DD" w14:textId="77777777" w:rsidR="00140B7C" w:rsidRPr="00EC4EC4" w:rsidRDefault="00140B7C" w:rsidP="00140B7C">
      <w:pPr>
        <w:autoSpaceDE w:val="0"/>
        <w:autoSpaceDN w:val="0"/>
        <w:adjustRightInd w:val="0"/>
        <w:spacing w:after="240" w:line="240" w:lineRule="auto"/>
        <w:jc w:val="both"/>
        <w:rPr>
          <w:rFonts w:eastAsia="Times New Roman" w:cs="Times New Roman"/>
          <w:b/>
          <w:bCs/>
          <w:szCs w:val="24"/>
          <w:u w:val="single"/>
        </w:rPr>
      </w:pPr>
      <w:bookmarkStart w:id="227" w:name="_Toc388540992"/>
      <w:r w:rsidRPr="00EC4EC4">
        <w:rPr>
          <w:rFonts w:eastAsia="Times New Roman" w:cs="Times New Roman"/>
          <w:b/>
          <w:szCs w:val="24"/>
        </w:rPr>
        <w:t>REGISTERED DESIGN PROFESSIONAL OF RECORD. [REQUIRED.]</w:t>
      </w:r>
      <w:r w:rsidRPr="00EC4EC4">
        <w:rPr>
          <w:rFonts w:eastAsia="Times New Roman" w:cs="Times New Roman"/>
          <w:b/>
          <w:bCs/>
          <w:szCs w:val="24"/>
          <w:u w:val="single"/>
        </w:rPr>
        <w:t xml:space="preserve"> </w:t>
      </w:r>
    </w:p>
    <w:p w14:paraId="5BB954A8" w14:textId="77777777" w:rsidR="00140B7C" w:rsidRPr="00EC4EC4" w:rsidRDefault="00140B7C" w:rsidP="00140B7C">
      <w:pPr>
        <w:autoSpaceDE w:val="0"/>
        <w:autoSpaceDN w:val="0"/>
        <w:adjustRightInd w:val="0"/>
        <w:spacing w:after="240" w:line="240" w:lineRule="auto"/>
        <w:jc w:val="both"/>
        <w:rPr>
          <w:rFonts w:eastAsia="Times New Roman" w:cs="Times New Roman"/>
          <w:b/>
          <w:szCs w:val="24"/>
          <w:u w:val="single"/>
        </w:rPr>
      </w:pPr>
      <w:r w:rsidRPr="00EC4EC4">
        <w:rPr>
          <w:rFonts w:eastAsia="Times New Roman" w:cs="Times New Roman"/>
          <w:b/>
          <w:szCs w:val="24"/>
          <w:u w:val="single"/>
        </w:rPr>
        <w:t>REQUIRED.</w:t>
      </w:r>
    </w:p>
    <w:bookmarkEnd w:id="227"/>
    <w:p w14:paraId="6FF1961B" w14:textId="6410B997" w:rsidR="00140B7C" w:rsidRPr="00EC4EC4" w:rsidRDefault="00140B7C" w:rsidP="00140B7C">
      <w:pPr>
        <w:kinsoku w:val="0"/>
        <w:spacing w:after="240" w:line="240" w:lineRule="auto"/>
        <w:ind w:firstLine="720"/>
        <w:jc w:val="both"/>
        <w:rPr>
          <w:rFonts w:eastAsia="Times New Roman" w:cs="Times New Roman"/>
          <w:bCs/>
          <w:szCs w:val="24"/>
        </w:rPr>
      </w:pPr>
      <w:r w:rsidRPr="00FF32C3">
        <w:rPr>
          <w:rFonts w:cs="Times New Roman"/>
          <w:sz w:val="23"/>
          <w:szCs w:val="23"/>
        </w:rPr>
        <w:t>§</w:t>
      </w:r>
      <w:r>
        <w:rPr>
          <w:rFonts w:cs="Times New Roman"/>
          <w:sz w:val="23"/>
          <w:szCs w:val="23"/>
        </w:rPr>
        <w:t>3</w:t>
      </w:r>
      <w:r w:rsidR="00AE6A45">
        <w:rPr>
          <w:rFonts w:cs="Times New Roman"/>
          <w:sz w:val="23"/>
          <w:szCs w:val="23"/>
        </w:rPr>
        <w:t>13</w:t>
      </w:r>
      <w:r w:rsidRPr="00FF32C3">
        <w:rPr>
          <w:rFonts w:cs="Times New Roman"/>
          <w:sz w:val="23"/>
          <w:szCs w:val="23"/>
        </w:rPr>
        <w:t xml:space="preserve">. </w:t>
      </w:r>
      <w:r w:rsidRPr="000D741C">
        <w:rPr>
          <w:rFonts w:cs="Times New Roman"/>
          <w:sz w:val="23"/>
          <w:szCs w:val="23"/>
        </w:rPr>
        <w:t>The definition of “INFILTRATION” set forth in section 202 of  the New York city mechanical code, as amended by local law number 126 for the year 2021, shall be ordered in alphabetical order.</w:t>
      </w:r>
    </w:p>
    <w:p w14:paraId="22188B49" w14:textId="2F6973EF" w:rsidR="00140B7C" w:rsidRPr="00EC4EC4" w:rsidRDefault="00140B7C" w:rsidP="00140B7C">
      <w:pPr>
        <w:kinsoku w:val="0"/>
        <w:spacing w:after="240" w:line="240" w:lineRule="auto"/>
        <w:ind w:firstLine="720"/>
        <w:jc w:val="both"/>
        <w:rPr>
          <w:rFonts w:eastAsia="Times New Roman" w:cs="Times New Roman"/>
          <w:b/>
          <w:bCs/>
          <w:szCs w:val="24"/>
        </w:rPr>
      </w:pPr>
      <w:bookmarkStart w:id="228" w:name="_Hlk114648824"/>
      <w:r w:rsidRPr="00EC4EC4">
        <w:rPr>
          <w:rFonts w:cs="Times New Roman"/>
          <w:sz w:val="23"/>
          <w:szCs w:val="23"/>
        </w:rPr>
        <w:t>§</w:t>
      </w:r>
      <w:r>
        <w:rPr>
          <w:rFonts w:cs="Times New Roman"/>
          <w:sz w:val="23"/>
          <w:szCs w:val="23"/>
        </w:rPr>
        <w:t>31</w:t>
      </w:r>
      <w:r w:rsidR="00AE6A45">
        <w:rPr>
          <w:rFonts w:cs="Times New Roman"/>
          <w:sz w:val="23"/>
          <w:szCs w:val="23"/>
        </w:rPr>
        <w:t>4</w:t>
      </w:r>
      <w:r w:rsidRPr="00EC4EC4">
        <w:rPr>
          <w:rFonts w:cs="Times New Roman"/>
          <w:sz w:val="23"/>
          <w:szCs w:val="23"/>
        </w:rPr>
        <w:t xml:space="preserve">. </w:t>
      </w:r>
      <w:r>
        <w:rPr>
          <w:rFonts w:cs="Times New Roman"/>
          <w:sz w:val="23"/>
          <w:szCs w:val="23"/>
        </w:rPr>
        <w:t xml:space="preserve">The </w:t>
      </w:r>
      <w:r w:rsidRPr="00EC4EC4">
        <w:rPr>
          <w:rFonts w:cs="Times New Roman"/>
          <w:sz w:val="23"/>
          <w:szCs w:val="23"/>
        </w:rPr>
        <w:t>definitions of “OCCUPATIONAL EXPOSURE LIMIT (OEL)” and “UNCONFINED SPACE”</w:t>
      </w:r>
      <w:r>
        <w:rPr>
          <w:rFonts w:cs="Times New Roman"/>
          <w:sz w:val="23"/>
          <w:szCs w:val="23"/>
        </w:rPr>
        <w:t xml:space="preserve"> set forth in s</w:t>
      </w:r>
      <w:r w:rsidRPr="00EC4EC4">
        <w:rPr>
          <w:rFonts w:cs="Times New Roman"/>
          <w:sz w:val="23"/>
          <w:szCs w:val="23"/>
        </w:rPr>
        <w:t xml:space="preserve">ection 202 of  the New York city mechanical code, as amended by local law number 126 for the year 2021,  </w:t>
      </w:r>
      <w:r>
        <w:rPr>
          <w:rFonts w:cs="Times New Roman"/>
          <w:sz w:val="23"/>
          <w:szCs w:val="23"/>
        </w:rPr>
        <w:t xml:space="preserve">are </w:t>
      </w:r>
      <w:r w:rsidRPr="00EC4EC4">
        <w:rPr>
          <w:rFonts w:cs="Times New Roman"/>
          <w:sz w:val="23"/>
          <w:szCs w:val="23"/>
        </w:rPr>
        <w:t>amended to read as follows:</w:t>
      </w:r>
    </w:p>
    <w:p w14:paraId="22A44491" w14:textId="77777777" w:rsidR="00140B7C" w:rsidRPr="00EC4EC4" w:rsidRDefault="00140B7C" w:rsidP="00140B7C">
      <w:pPr>
        <w:autoSpaceDE w:val="0"/>
        <w:autoSpaceDN w:val="0"/>
        <w:adjustRightInd w:val="0"/>
        <w:spacing w:after="240" w:line="240" w:lineRule="auto"/>
        <w:jc w:val="both"/>
        <w:rPr>
          <w:rFonts w:eastAsia="Times New Roman" w:cs="Times New Roman"/>
          <w:bCs/>
          <w:szCs w:val="24"/>
        </w:rPr>
      </w:pPr>
      <w:bookmarkStart w:id="229" w:name="_Toc388541192"/>
      <w:bookmarkEnd w:id="228"/>
      <w:r w:rsidRPr="00EC4EC4">
        <w:rPr>
          <w:rFonts w:eastAsia="Times New Roman" w:cs="Times New Roman"/>
          <w:b/>
          <w:bCs/>
          <w:szCs w:val="24"/>
        </w:rPr>
        <w:t>OCCUPATIONAL EXPOSURE LIMIT (OEL).</w:t>
      </w:r>
      <w:bookmarkEnd w:id="229"/>
      <w:r w:rsidRPr="00EC4EC4">
        <w:rPr>
          <w:rFonts w:eastAsia="Times New Roman" w:cs="Times New Roman"/>
          <w:bCs/>
          <w:szCs w:val="24"/>
        </w:rPr>
        <w:t xml:space="preserve"> The timeweighted average (TWA) concentration for a normal [</w:t>
      </w:r>
      <w:r w:rsidRPr="00EC4EC4">
        <w:rPr>
          <w:rFonts w:eastAsia="Times New Roman" w:cs="Times New Roman"/>
          <w:bCs/>
          <w:strike/>
          <w:szCs w:val="24"/>
        </w:rPr>
        <w:t>eight-hour</w:t>
      </w:r>
      <w:r w:rsidRPr="00EC4EC4">
        <w:rPr>
          <w:rFonts w:eastAsia="Times New Roman" w:cs="Times New Roman"/>
          <w:bCs/>
          <w:szCs w:val="24"/>
        </w:rPr>
        <w:t>]</w:t>
      </w:r>
      <w:r w:rsidRPr="00EC4EC4">
        <w:rPr>
          <w:rFonts w:eastAsia="Times New Roman" w:cs="Times New Roman"/>
          <w:bCs/>
          <w:szCs w:val="24"/>
          <w:u w:val="single"/>
        </w:rPr>
        <w:t>8-hour</w:t>
      </w:r>
      <w:r w:rsidRPr="00EC4EC4">
        <w:rPr>
          <w:rFonts w:eastAsia="Times New Roman" w:cs="Times New Roman"/>
          <w:bCs/>
          <w:szCs w:val="24"/>
        </w:rPr>
        <w:t xml:space="preserve"> workday and a 40-hour workweek to which nearly all workers can be repeatedly exposed without adverse effect, based on the OSHA PEL, ACGIH TLV-TWA, AIHA WEEL, or consistent value.</w:t>
      </w:r>
    </w:p>
    <w:p w14:paraId="12E72860" w14:textId="77777777" w:rsidR="00140B7C" w:rsidRPr="00EC4EC4" w:rsidRDefault="00140B7C" w:rsidP="00140B7C">
      <w:pPr>
        <w:autoSpaceDE w:val="0"/>
        <w:autoSpaceDN w:val="0"/>
        <w:adjustRightInd w:val="0"/>
        <w:spacing w:after="240" w:line="240" w:lineRule="auto"/>
        <w:jc w:val="both"/>
        <w:rPr>
          <w:rFonts w:eastAsia="Times New Roman" w:cs="Times New Roman"/>
          <w:spacing w:val="1"/>
          <w:szCs w:val="24"/>
        </w:rPr>
      </w:pPr>
      <w:r w:rsidRPr="00EC4EC4">
        <w:rPr>
          <w:rFonts w:eastAsia="Times New Roman" w:cs="Times New Roman"/>
          <w:b/>
          <w:szCs w:val="24"/>
        </w:rPr>
        <w:t>UNCONFINED SPACE.</w:t>
      </w:r>
      <w:r w:rsidRPr="00EC4EC4">
        <w:rPr>
          <w:rFonts w:eastAsia="Times New Roman" w:cs="Times New Roman"/>
          <w:b/>
          <w:bCs/>
          <w:spacing w:val="-1"/>
          <w:w w:val="105"/>
          <w:szCs w:val="24"/>
        </w:rPr>
        <w:t xml:space="preserve"> </w:t>
      </w:r>
      <w:r w:rsidRPr="00EC4EC4">
        <w:rPr>
          <w:rFonts w:eastAsia="Times New Roman" w:cs="Times New Roman"/>
          <w:spacing w:val="1"/>
          <w:szCs w:val="24"/>
        </w:rPr>
        <w:t>A space having a volume not less than 50 cubic feet per 1,000 Btu/h [</w:t>
      </w:r>
      <w:r w:rsidRPr="00EC4EC4">
        <w:rPr>
          <w:rFonts w:eastAsia="Times New Roman" w:cs="Times New Roman"/>
          <w:strike/>
          <w:spacing w:val="1"/>
          <w:szCs w:val="24"/>
        </w:rPr>
        <w:t>(4.8m</w:t>
      </w:r>
      <w:r w:rsidRPr="00EC4EC4">
        <w:rPr>
          <w:rFonts w:eastAsia="Times New Roman" w:cs="Times New Roman"/>
          <w:strike/>
          <w:spacing w:val="1"/>
          <w:szCs w:val="24"/>
          <w:vertAlign w:val="superscript"/>
        </w:rPr>
        <w:t>3</w:t>
      </w:r>
      <w:r w:rsidRPr="00EC4EC4">
        <w:rPr>
          <w:rFonts w:eastAsia="Times New Roman" w:cs="Times New Roman"/>
          <w:strike/>
          <w:spacing w:val="1"/>
          <w:szCs w:val="24"/>
        </w:rPr>
        <w:t>/kW</w:t>
      </w:r>
      <w:r w:rsidRPr="00EC4EC4">
        <w:rPr>
          <w:rFonts w:eastAsia="Times New Roman" w:cs="Times New Roman"/>
          <w:spacing w:val="1"/>
          <w:szCs w:val="24"/>
        </w:rPr>
        <w:t>)</w:t>
      </w:r>
      <w:r w:rsidRPr="00EC4EC4">
        <w:t>]</w:t>
      </w:r>
      <w:r w:rsidRPr="00EC4EC4">
        <w:rPr>
          <w:rFonts w:eastAsia="Times New Roman" w:cs="Times New Roman"/>
          <w:spacing w:val="1"/>
          <w:szCs w:val="24"/>
          <w:u w:val="single"/>
        </w:rPr>
        <w:t>(4.8 m</w:t>
      </w:r>
      <w:r w:rsidRPr="00EC4EC4">
        <w:rPr>
          <w:rFonts w:eastAsia="Times New Roman" w:cs="Times New Roman"/>
          <w:spacing w:val="1"/>
          <w:szCs w:val="24"/>
          <w:u w:val="single"/>
          <w:vertAlign w:val="superscript"/>
        </w:rPr>
        <w:t>3</w:t>
      </w:r>
      <w:r w:rsidRPr="00EC4EC4">
        <w:rPr>
          <w:rFonts w:eastAsia="Times New Roman" w:cs="Times New Roman"/>
          <w:spacing w:val="1"/>
          <w:szCs w:val="24"/>
          <w:u w:val="single"/>
        </w:rPr>
        <w:t>/kW)</w:t>
      </w:r>
      <w:r w:rsidRPr="00EC4EC4">
        <w:rPr>
          <w:rFonts w:eastAsia="Times New Roman" w:cs="Times New Roman"/>
          <w:spacing w:val="1"/>
          <w:szCs w:val="24"/>
        </w:rPr>
        <w:t xml:space="preserve"> of the aggregate input rating of all appliances installed in that space. Rooms communicating directly with the space in which the appliances are installed, through openings not furnished with doors, are considered a part of the unconfined space.</w:t>
      </w:r>
    </w:p>
    <w:p w14:paraId="4904991B" w14:textId="14D0E34C" w:rsidR="00140B7C" w:rsidRPr="00EC4EC4" w:rsidRDefault="00140B7C" w:rsidP="00140B7C">
      <w:pPr>
        <w:autoSpaceDE w:val="0"/>
        <w:autoSpaceDN w:val="0"/>
        <w:adjustRightInd w:val="0"/>
        <w:spacing w:after="240" w:line="240" w:lineRule="auto"/>
        <w:jc w:val="both"/>
        <w:outlineLvl w:val="0"/>
        <w:rPr>
          <w:rFonts w:eastAsia="Times New Roman" w:cs="Times New Roman"/>
          <w:b/>
          <w:bCs/>
          <w:szCs w:val="24"/>
        </w:rPr>
      </w:pPr>
      <w:bookmarkStart w:id="230" w:name="_Toc388541283"/>
      <w:r w:rsidRPr="00EC4EC4">
        <w:rPr>
          <w:rFonts w:eastAsia="Times New Roman" w:cs="Times New Roman"/>
          <w:szCs w:val="24"/>
        </w:rPr>
        <w:tab/>
      </w:r>
      <w:bookmarkStart w:id="231" w:name="_Toc388541314"/>
      <w:bookmarkEnd w:id="230"/>
      <w:r w:rsidRPr="00EC4EC4">
        <w:rPr>
          <w:rFonts w:cs="Times New Roman"/>
          <w:sz w:val="23"/>
          <w:szCs w:val="23"/>
        </w:rPr>
        <w:t>§</w:t>
      </w:r>
      <w:r>
        <w:rPr>
          <w:rFonts w:cs="Times New Roman"/>
          <w:sz w:val="23"/>
          <w:szCs w:val="23"/>
        </w:rPr>
        <w:t>31</w:t>
      </w:r>
      <w:r w:rsidR="00AE6A45">
        <w:rPr>
          <w:rFonts w:cs="Times New Roman"/>
          <w:sz w:val="23"/>
          <w:szCs w:val="23"/>
        </w:rPr>
        <w:t>5</w:t>
      </w:r>
      <w:r w:rsidRPr="00EC4EC4">
        <w:rPr>
          <w:rFonts w:cs="Times New Roman"/>
          <w:sz w:val="23"/>
          <w:szCs w:val="23"/>
        </w:rPr>
        <w:t>. Section 302.3.2 of the New York city mechanical code, as amended by local law number 126 for the year 2021, is amended to read as follows:</w:t>
      </w:r>
    </w:p>
    <w:p w14:paraId="50727D6B" w14:textId="77777777" w:rsidR="00140B7C" w:rsidRPr="00EC4EC4" w:rsidRDefault="00140B7C" w:rsidP="00140B7C">
      <w:pPr>
        <w:autoSpaceDE w:val="0"/>
        <w:autoSpaceDN w:val="0"/>
        <w:adjustRightInd w:val="0"/>
        <w:spacing w:after="240" w:line="240" w:lineRule="auto"/>
        <w:jc w:val="both"/>
        <w:rPr>
          <w:rFonts w:eastAsia="Times New Roman" w:cs="Times New Roman"/>
          <w:strike/>
          <w:szCs w:val="24"/>
        </w:rPr>
      </w:pPr>
      <w:r w:rsidRPr="00EC4EC4">
        <w:rPr>
          <w:rFonts w:eastAsia="Times New Roman" w:cs="Times New Roman"/>
          <w:b/>
          <w:bCs/>
          <w:szCs w:val="24"/>
        </w:rPr>
        <w:t>302.3.2 Stud cutting and notching.</w:t>
      </w:r>
      <w:bookmarkEnd w:id="231"/>
      <w:r w:rsidRPr="00EC4EC4">
        <w:rPr>
          <w:rFonts w:eastAsia="Times New Roman" w:cs="Times New Roman"/>
          <w:b/>
          <w:bCs/>
          <w:spacing w:val="-6"/>
          <w:w w:val="110"/>
          <w:szCs w:val="24"/>
        </w:rPr>
        <w:t xml:space="preserve"> </w:t>
      </w:r>
      <w:r w:rsidRPr="00EC4EC4">
        <w:rPr>
          <w:rFonts w:eastAsia="Times New Roman" w:cs="Times New Roman"/>
          <w:szCs w:val="24"/>
        </w:rPr>
        <w:t xml:space="preserve">In exterior walls and bearing partitions, wood studs are </w:t>
      </w:r>
      <w:r w:rsidRPr="00EC4EC4">
        <w:rPr>
          <w:rFonts w:eastAsia="Times New Roman" w:cs="Times New Roman"/>
          <w:spacing w:val="1"/>
          <w:szCs w:val="24"/>
        </w:rPr>
        <w:t xml:space="preserve">permitted to </w:t>
      </w:r>
      <w:r w:rsidRPr="00EC4EC4">
        <w:rPr>
          <w:rFonts w:eastAsia="Times New Roman" w:cs="Times New Roman"/>
          <w:szCs w:val="24"/>
        </w:rPr>
        <w:t xml:space="preserve">be cut or notched to a depth </w:t>
      </w:r>
      <w:r w:rsidRPr="00EC4EC4">
        <w:rPr>
          <w:rFonts w:eastAsia="Times New Roman" w:cs="Times New Roman"/>
          <w:spacing w:val="1"/>
          <w:szCs w:val="24"/>
        </w:rPr>
        <w:t xml:space="preserve">not </w:t>
      </w:r>
      <w:r w:rsidRPr="00EC4EC4">
        <w:rPr>
          <w:rFonts w:eastAsia="Times New Roman" w:cs="Times New Roman"/>
          <w:szCs w:val="24"/>
        </w:rPr>
        <w:t>exceeding [</w:t>
      </w:r>
      <w:r w:rsidRPr="00EC4EC4">
        <w:rPr>
          <w:rFonts w:eastAsia="Times New Roman" w:cs="Times New Roman"/>
          <w:strike/>
          <w:szCs w:val="24"/>
        </w:rPr>
        <w:t>than</w:t>
      </w:r>
      <w:r w:rsidRPr="00EC4EC4">
        <w:rPr>
          <w:rFonts w:eastAsia="Times New Roman" w:cs="Times New Roman"/>
          <w:szCs w:val="24"/>
        </w:rPr>
        <w:t xml:space="preserve">] 25 percent of the width of the stud. </w:t>
      </w:r>
      <w:r w:rsidRPr="00EC4EC4">
        <w:rPr>
          <w:rFonts w:eastAsia="Times New Roman" w:cs="Times New Roman"/>
          <w:spacing w:val="1"/>
          <w:szCs w:val="24"/>
        </w:rPr>
        <w:t xml:space="preserve">Cutting or notching of studs to a depth not greater than 40 percent of the width of the stud is permitted in </w:t>
      </w:r>
      <w:r w:rsidRPr="00EC4EC4">
        <w:rPr>
          <w:rFonts w:eastAsia="Times New Roman" w:cs="Times New Roman"/>
          <w:szCs w:val="24"/>
        </w:rPr>
        <w:t xml:space="preserve">nonbearing partitions </w:t>
      </w:r>
      <w:r w:rsidRPr="00EC4EC4">
        <w:rPr>
          <w:rFonts w:eastAsia="Times New Roman" w:cs="Times New Roman"/>
          <w:spacing w:val="1"/>
          <w:szCs w:val="24"/>
        </w:rPr>
        <w:t>supporting no</w:t>
      </w:r>
      <w:r w:rsidRPr="00EC4EC4">
        <w:rPr>
          <w:rFonts w:eastAsia="Times New Roman" w:cs="Times New Roman"/>
          <w:szCs w:val="24"/>
        </w:rPr>
        <w:t xml:space="preserve"> loads other than the weight of the partition. See Figure 2308.5.8 of the </w:t>
      </w:r>
      <w:r w:rsidRPr="00EC4EC4">
        <w:rPr>
          <w:rFonts w:eastAsia="Times New Roman" w:cs="Times New Roman"/>
          <w:i/>
          <w:szCs w:val="24"/>
        </w:rPr>
        <w:t>New York City Building Code</w:t>
      </w:r>
      <w:r w:rsidRPr="00EC4EC4">
        <w:rPr>
          <w:rFonts w:eastAsia="Times New Roman" w:cs="Times New Roman"/>
          <w:szCs w:val="24"/>
        </w:rPr>
        <w:t>.</w:t>
      </w:r>
    </w:p>
    <w:p w14:paraId="53425F31" w14:textId="72EAB2A0" w:rsidR="00140B7C" w:rsidRPr="00EC4EC4" w:rsidRDefault="00140B7C" w:rsidP="00140B7C">
      <w:pPr>
        <w:kinsoku w:val="0"/>
        <w:spacing w:after="240" w:line="240" w:lineRule="auto"/>
        <w:ind w:firstLine="720"/>
        <w:jc w:val="both"/>
        <w:rPr>
          <w:rFonts w:eastAsia="Times New Roman" w:cs="Times New Roman"/>
          <w:b/>
          <w:bCs/>
          <w:szCs w:val="24"/>
        </w:rPr>
      </w:pPr>
      <w:bookmarkStart w:id="232" w:name="_Hlk114649199"/>
      <w:r w:rsidRPr="00EC4EC4">
        <w:rPr>
          <w:rFonts w:cs="Times New Roman"/>
          <w:sz w:val="23"/>
          <w:szCs w:val="23"/>
        </w:rPr>
        <w:t>§</w:t>
      </w:r>
      <w:r>
        <w:rPr>
          <w:rFonts w:cs="Times New Roman"/>
          <w:sz w:val="23"/>
          <w:szCs w:val="23"/>
        </w:rPr>
        <w:t>31</w:t>
      </w:r>
      <w:r w:rsidR="00AE6A45">
        <w:rPr>
          <w:rFonts w:cs="Times New Roman"/>
          <w:sz w:val="23"/>
          <w:szCs w:val="23"/>
        </w:rPr>
        <w:t>6</w:t>
      </w:r>
      <w:r w:rsidRPr="00EC4EC4">
        <w:rPr>
          <w:rFonts w:cs="Times New Roman"/>
          <w:sz w:val="23"/>
          <w:szCs w:val="23"/>
        </w:rPr>
        <w:t>. Section 302.3.5 of  the New York city mechanical code, as added by local law number 126 for the year 2021, is amended to read as follows:</w:t>
      </w:r>
    </w:p>
    <w:bookmarkEnd w:id="232"/>
    <w:p w14:paraId="344AB52A" w14:textId="77777777" w:rsidR="00140B7C" w:rsidRPr="00EC4EC4" w:rsidRDefault="00140B7C" w:rsidP="00140B7C">
      <w:pPr>
        <w:autoSpaceDE w:val="0"/>
        <w:autoSpaceDN w:val="0"/>
        <w:adjustRightInd w:val="0"/>
        <w:spacing w:after="240" w:line="240" w:lineRule="auto"/>
        <w:jc w:val="both"/>
        <w:rPr>
          <w:rFonts w:eastAsia="Times New Roman" w:cs="Times New Roman"/>
          <w:b/>
          <w:bCs/>
          <w:szCs w:val="24"/>
        </w:rPr>
      </w:pPr>
      <w:r w:rsidRPr="00EC4EC4">
        <w:rPr>
          <w:rFonts w:eastAsia="Times New Roman" w:cs="Times New Roman"/>
          <w:b/>
          <w:bCs/>
          <w:szCs w:val="24"/>
        </w:rPr>
        <w:t xml:space="preserve">302.3.5 </w:t>
      </w:r>
      <w:r w:rsidRPr="00EC4EC4">
        <w:rPr>
          <w:rFonts w:eastAsia="Times New Roman" w:cs="Times New Roman"/>
          <w:b/>
          <w:szCs w:val="24"/>
        </w:rPr>
        <w:t xml:space="preserve">Drilling and notching of top plate. </w:t>
      </w:r>
      <w:r w:rsidRPr="00EC4EC4">
        <w:rPr>
          <w:rFonts w:eastAsia="Times New Roman" w:cs="Times New Roman"/>
          <w:szCs w:val="24"/>
        </w:rPr>
        <w:t xml:space="preserve"> When piping or ductwork is placed in or partly in an exterior wall or interior load-bearing wall, necessitating cutting, drilling or notching of the top plate by more than 50 percent of its width, a galvanized metal tie not less than 0.054 inch thick (1.37 mm) (16 ga) and 1½ inches (38.1 mm) wide shall be fastened across and to the plate at each side of the opening with not less than eight 10d (0.148 inch diameter) nails having a minimum length of 1½ inches (38.1 mm) at each side or equivalent. The metal tie must extend a minimum of 6 inches </w:t>
      </w:r>
      <w:r w:rsidRPr="00EC4EC4">
        <w:rPr>
          <w:rFonts w:eastAsia="Times New Roman" w:cs="Times New Roman"/>
          <w:szCs w:val="24"/>
          <w:u w:val="single"/>
        </w:rPr>
        <w:t>(152.4 mm)</w:t>
      </w:r>
      <w:r w:rsidRPr="00EC4EC4">
        <w:rPr>
          <w:rFonts w:eastAsia="Times New Roman" w:cs="Times New Roman"/>
          <w:szCs w:val="24"/>
        </w:rPr>
        <w:t xml:space="preserve">  past the opening. See Figure 2308.5.8 of the </w:t>
      </w:r>
      <w:r w:rsidRPr="00EC4EC4">
        <w:rPr>
          <w:rFonts w:eastAsia="Times New Roman" w:cs="Times New Roman"/>
          <w:i/>
          <w:szCs w:val="24"/>
        </w:rPr>
        <w:t>New York City Building Code</w:t>
      </w:r>
      <w:r w:rsidRPr="00EC4EC4">
        <w:rPr>
          <w:rFonts w:eastAsia="Times New Roman" w:cs="Times New Roman"/>
          <w:szCs w:val="24"/>
        </w:rPr>
        <w:t>.</w:t>
      </w:r>
    </w:p>
    <w:p w14:paraId="3114E859"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szCs w:val="24"/>
        </w:rPr>
      </w:pPr>
      <w:r w:rsidRPr="00EC4EC4">
        <w:rPr>
          <w:rFonts w:eastAsia="Times New Roman" w:cs="Times New Roman"/>
          <w:b/>
          <w:bCs/>
          <w:szCs w:val="24"/>
        </w:rPr>
        <w:t>Exception:</w:t>
      </w:r>
      <w:r w:rsidRPr="00EC4EC4">
        <w:rPr>
          <w:rFonts w:eastAsia="Times New Roman" w:cs="Times New Roman"/>
          <w:szCs w:val="24"/>
        </w:rPr>
        <w:t xml:space="preserve"> When the entire side of the wall with the notch or cut is covered by wood structural panel sheathing additional fastening is not required.</w:t>
      </w:r>
    </w:p>
    <w:p w14:paraId="0A225AE1" w14:textId="4311B3BA" w:rsidR="00140B7C" w:rsidRPr="00EC4EC4" w:rsidRDefault="00140B7C" w:rsidP="00140B7C">
      <w:pPr>
        <w:ind w:firstLine="720"/>
        <w:rPr>
          <w:rFonts w:eastAsia="Times New Roman" w:cs="Times New Roman"/>
          <w:b/>
          <w:bCs/>
          <w:szCs w:val="24"/>
        </w:rPr>
      </w:pPr>
      <w:r w:rsidRPr="00EC4EC4">
        <w:rPr>
          <w:rFonts w:cs="Times New Roman"/>
          <w:sz w:val="23"/>
          <w:szCs w:val="23"/>
        </w:rPr>
        <w:t>§</w:t>
      </w:r>
      <w:r>
        <w:rPr>
          <w:rFonts w:cs="Times New Roman"/>
          <w:sz w:val="23"/>
          <w:szCs w:val="23"/>
        </w:rPr>
        <w:t>31</w:t>
      </w:r>
      <w:r w:rsidR="00AE6A45">
        <w:rPr>
          <w:rFonts w:cs="Times New Roman"/>
          <w:sz w:val="23"/>
          <w:szCs w:val="23"/>
        </w:rPr>
        <w:t>7</w:t>
      </w:r>
      <w:r w:rsidRPr="00EC4EC4">
        <w:rPr>
          <w:rFonts w:cs="Times New Roman"/>
          <w:sz w:val="23"/>
          <w:szCs w:val="23"/>
        </w:rPr>
        <w:t>. Section 313.3.8 of  the New York city mechanical code, as added by local law number 126 for the year 2021, is amended to read as follows:</w:t>
      </w:r>
    </w:p>
    <w:p w14:paraId="63051439" w14:textId="77777777" w:rsidR="00140B7C" w:rsidRDefault="00140B7C" w:rsidP="00140B7C">
      <w:pPr>
        <w:kinsoku w:val="0"/>
        <w:spacing w:after="240" w:line="240" w:lineRule="auto"/>
        <w:jc w:val="both"/>
        <w:rPr>
          <w:rFonts w:eastAsia="Times New Roman" w:cs="Times New Roman"/>
          <w:spacing w:val="1"/>
          <w:szCs w:val="24"/>
        </w:rPr>
      </w:pPr>
      <w:r w:rsidRPr="00EC4EC4">
        <w:rPr>
          <w:rFonts w:eastAsia="Times New Roman" w:cs="Times New Roman"/>
          <w:b/>
          <w:szCs w:val="24"/>
        </w:rPr>
        <w:t>313.3.8 Evaporative condensers.</w:t>
      </w:r>
      <w:r w:rsidRPr="00EC4EC4">
        <w:rPr>
          <w:rFonts w:eastAsia="Times New Roman" w:cs="Times New Roman"/>
          <w:b/>
          <w:bCs/>
          <w:w w:val="110"/>
          <w:szCs w:val="24"/>
        </w:rPr>
        <w:t xml:space="preserve"> </w:t>
      </w:r>
      <w:r w:rsidRPr="00EC4EC4">
        <w:rPr>
          <w:rFonts w:eastAsia="Times New Roman" w:cs="Times New Roman"/>
          <w:spacing w:val="1"/>
          <w:szCs w:val="24"/>
        </w:rPr>
        <w:t>Evaporative and [</w:t>
      </w:r>
      <w:r w:rsidRPr="00EC4EC4">
        <w:rPr>
          <w:rFonts w:eastAsia="Times New Roman" w:cs="Times New Roman"/>
          <w:strike/>
          <w:spacing w:val="1"/>
          <w:szCs w:val="24"/>
        </w:rPr>
        <w:t>air cooled</w:t>
      </w:r>
      <w:r w:rsidRPr="00EC4EC4">
        <w:rPr>
          <w:rFonts w:eastAsia="Times New Roman" w:cs="Times New Roman"/>
          <w:spacing w:val="1"/>
          <w:szCs w:val="24"/>
        </w:rPr>
        <w:t>]</w:t>
      </w:r>
      <w:r w:rsidRPr="00EC4EC4">
        <w:rPr>
          <w:rFonts w:eastAsia="Times New Roman" w:cs="Times New Roman"/>
          <w:spacing w:val="1"/>
          <w:szCs w:val="24"/>
          <w:u w:val="single"/>
        </w:rPr>
        <w:t>air-cooled</w:t>
      </w:r>
      <w:r w:rsidRPr="00EC4EC4">
        <w:rPr>
          <w:rFonts w:eastAsia="Times New Roman" w:cs="Times New Roman"/>
          <w:spacing w:val="1"/>
          <w:szCs w:val="24"/>
        </w:rPr>
        <w:t xml:space="preserve"> condensers located on a roof or floor other than a floor on grade shall be mounted on vibration isolators providing a minimum isolation efficiency of 90 percent at fan rotor rpm with a maximum static deflection of 4 inches (101.6 mm). Each isolator shall incorporate a leveling device and a resilient pad having a minimum thickness of ¼ inch (6.4 mm). Vibration cutoff switches shall be provided on evaporative condensers.</w:t>
      </w:r>
    </w:p>
    <w:p w14:paraId="54E5A82C" w14:textId="18C1C1BD" w:rsidR="00140B7C" w:rsidRPr="00EC4EC4" w:rsidRDefault="00140B7C" w:rsidP="00140B7C">
      <w:pPr>
        <w:autoSpaceDE w:val="0"/>
        <w:autoSpaceDN w:val="0"/>
        <w:adjustRightInd w:val="0"/>
        <w:spacing w:after="240" w:line="240" w:lineRule="auto"/>
        <w:ind w:firstLine="720"/>
        <w:jc w:val="both"/>
        <w:outlineLvl w:val="0"/>
        <w:rPr>
          <w:rFonts w:eastAsia="Times New Roman" w:cs="Times New Roman"/>
          <w:b/>
          <w:bCs/>
          <w:szCs w:val="24"/>
        </w:rPr>
      </w:pPr>
      <w:r w:rsidRPr="00EC4EC4">
        <w:rPr>
          <w:rFonts w:cs="Times New Roman"/>
          <w:sz w:val="23"/>
          <w:szCs w:val="23"/>
        </w:rPr>
        <w:t>§</w:t>
      </w:r>
      <w:r>
        <w:rPr>
          <w:rFonts w:cs="Times New Roman"/>
          <w:sz w:val="23"/>
          <w:szCs w:val="23"/>
        </w:rPr>
        <w:t>31</w:t>
      </w:r>
      <w:r w:rsidR="002410AF">
        <w:rPr>
          <w:rFonts w:cs="Times New Roman"/>
          <w:sz w:val="23"/>
          <w:szCs w:val="23"/>
        </w:rPr>
        <w:t>8</w:t>
      </w:r>
      <w:r w:rsidRPr="00EC4EC4">
        <w:rPr>
          <w:rFonts w:cs="Times New Roman"/>
          <w:sz w:val="23"/>
          <w:szCs w:val="23"/>
        </w:rPr>
        <w:t xml:space="preserve">. Section </w:t>
      </w:r>
      <w:r>
        <w:rPr>
          <w:rFonts w:cs="Times New Roman"/>
          <w:sz w:val="23"/>
          <w:szCs w:val="23"/>
        </w:rPr>
        <w:t>401.4</w:t>
      </w:r>
      <w:r w:rsidRPr="00EC4EC4">
        <w:rPr>
          <w:rFonts w:cs="Times New Roman"/>
          <w:sz w:val="23"/>
          <w:szCs w:val="23"/>
        </w:rPr>
        <w:t xml:space="preserve"> of the New York city mechanical code, as amended by local law number 126 for the year 2021, is amended to read as follows:</w:t>
      </w:r>
    </w:p>
    <w:p w14:paraId="0971752E" w14:textId="77777777" w:rsidR="00140B7C" w:rsidRPr="009A3C82" w:rsidRDefault="00140B7C" w:rsidP="00140B7C">
      <w:pPr>
        <w:autoSpaceDE w:val="0"/>
        <w:autoSpaceDN w:val="0"/>
        <w:adjustRightInd w:val="0"/>
        <w:spacing w:after="240" w:line="240" w:lineRule="auto"/>
        <w:jc w:val="both"/>
        <w:rPr>
          <w:rFonts w:eastAsia="Times New Roman" w:cs="Times New Roman"/>
          <w:szCs w:val="24"/>
        </w:rPr>
      </w:pPr>
      <w:r w:rsidRPr="009A3C82">
        <w:rPr>
          <w:rFonts w:eastAsia="Times New Roman" w:cs="Times New Roman"/>
          <w:b/>
          <w:bCs/>
          <w:szCs w:val="24"/>
        </w:rPr>
        <w:t>401.4 Intake opening location.</w:t>
      </w:r>
      <w:r w:rsidRPr="009A3C82">
        <w:rPr>
          <w:rFonts w:eastAsia="Times New Roman" w:cs="Times New Roman"/>
          <w:b/>
          <w:bCs/>
          <w:spacing w:val="-3"/>
          <w:w w:val="110"/>
          <w:szCs w:val="24"/>
        </w:rPr>
        <w:t xml:space="preserve"> </w:t>
      </w:r>
      <w:r w:rsidRPr="009A3C82">
        <w:rPr>
          <w:rFonts w:eastAsia="Times New Roman" w:cs="Times New Roman"/>
          <w:szCs w:val="24"/>
        </w:rPr>
        <w:t xml:space="preserve">Ventilation air intake openings shall comply with </w:t>
      </w:r>
      <w:r w:rsidRPr="009A3C82">
        <w:rPr>
          <w:rFonts w:eastAsia="Times New Roman" w:cs="Times New Roman"/>
          <w:bCs/>
          <w:szCs w:val="24"/>
        </w:rPr>
        <w:t xml:space="preserve">all of </w:t>
      </w:r>
      <w:r w:rsidRPr="009A3C82">
        <w:rPr>
          <w:rFonts w:eastAsia="Times New Roman" w:cs="Times New Roman"/>
          <w:szCs w:val="24"/>
        </w:rPr>
        <w:t>the following:</w:t>
      </w:r>
    </w:p>
    <w:p w14:paraId="60A92D57" w14:textId="77777777" w:rsidR="00140B7C" w:rsidRPr="009A3C82" w:rsidRDefault="00140B7C" w:rsidP="00140B7C">
      <w:pPr>
        <w:tabs>
          <w:tab w:val="left" w:pos="720"/>
        </w:tabs>
        <w:autoSpaceDE w:val="0"/>
        <w:autoSpaceDN w:val="0"/>
        <w:adjustRightInd w:val="0"/>
        <w:spacing w:after="240" w:line="240" w:lineRule="auto"/>
        <w:ind w:left="720" w:hanging="360"/>
        <w:jc w:val="both"/>
        <w:rPr>
          <w:rFonts w:eastAsia="Times New Roman" w:cs="Times New Roman"/>
          <w:spacing w:val="1"/>
          <w:szCs w:val="24"/>
        </w:rPr>
      </w:pPr>
      <w:r w:rsidRPr="009A3C82">
        <w:rPr>
          <w:rFonts w:eastAsia="Times New Roman" w:cs="Times New Roman"/>
          <w:szCs w:val="24"/>
        </w:rPr>
        <w:t>1.</w:t>
      </w:r>
      <w:r w:rsidRPr="009A3C82">
        <w:rPr>
          <w:rFonts w:eastAsia="Times New Roman" w:cs="Times New Roman"/>
          <w:szCs w:val="24"/>
        </w:rPr>
        <w:tab/>
        <w:t xml:space="preserve">Intake </w:t>
      </w:r>
      <w:r w:rsidRPr="009A3C82">
        <w:rPr>
          <w:rFonts w:eastAsia="Times New Roman" w:cs="Times New Roman"/>
          <w:spacing w:val="1"/>
          <w:szCs w:val="24"/>
        </w:rPr>
        <w:t>openings</w:t>
      </w:r>
      <w:r w:rsidRPr="009A3C82">
        <w:rPr>
          <w:rFonts w:eastAsia="Times New Roman" w:cs="Times New Roman"/>
          <w:szCs w:val="24"/>
        </w:rPr>
        <w:t xml:space="preserve"> shall be located not less than 10 feet (3048 mm) from lot lines or buildings on the same lot. </w:t>
      </w:r>
      <w:r w:rsidRPr="009A3C82">
        <w:rPr>
          <w:rFonts w:eastAsia="Times New Roman" w:cs="Times New Roman"/>
          <w:spacing w:val="1"/>
          <w:szCs w:val="24"/>
        </w:rPr>
        <w:t>For buildings on lots measuring less than 20 feet (6096 mm) in width, intake openings shall be located at the centerline between lot lines. Where openings front on a street or public way, the distance shall be measured to the centerline of the street or public way.</w:t>
      </w:r>
    </w:p>
    <w:p w14:paraId="553D5552" w14:textId="77777777" w:rsidR="00140B7C" w:rsidRPr="009A3C82" w:rsidRDefault="00140B7C" w:rsidP="00140B7C">
      <w:pPr>
        <w:kinsoku w:val="0"/>
        <w:spacing w:after="240" w:line="240" w:lineRule="auto"/>
        <w:ind w:left="720" w:hanging="360"/>
        <w:jc w:val="both"/>
        <w:rPr>
          <w:rFonts w:eastAsia="Times New Roman" w:cs="Times New Roman"/>
          <w:spacing w:val="1"/>
          <w:szCs w:val="24"/>
        </w:rPr>
      </w:pPr>
      <w:r w:rsidRPr="009A3C82">
        <w:rPr>
          <w:rFonts w:eastAsia="Times New Roman" w:cs="Times New Roman"/>
          <w:spacing w:val="1"/>
          <w:szCs w:val="24"/>
        </w:rPr>
        <w:t>2.</w:t>
      </w:r>
      <w:r w:rsidRPr="009A3C82">
        <w:rPr>
          <w:rFonts w:eastAsia="Times New Roman" w:cs="Times New Roman"/>
          <w:spacing w:val="1"/>
          <w:szCs w:val="24"/>
        </w:rPr>
        <w:tab/>
        <w:t>Outdoor air intakes for office occupancies having occupied floors located more than 75 feet (22 860 mm) above the lowest level of fire department vehicle access serving spaces above the second story and serving spaces greater than 10,000 square feet (929 m</w:t>
      </w:r>
      <w:r w:rsidRPr="009A3C82">
        <w:rPr>
          <w:rFonts w:eastAsia="Times New Roman" w:cs="Times New Roman"/>
          <w:spacing w:val="1"/>
          <w:szCs w:val="24"/>
          <w:vertAlign w:val="superscript"/>
        </w:rPr>
        <w:t>2</w:t>
      </w:r>
      <w:r w:rsidRPr="009A3C82">
        <w:rPr>
          <w:rFonts w:eastAsia="Times New Roman" w:cs="Times New Roman"/>
          <w:spacing w:val="1"/>
          <w:szCs w:val="24"/>
        </w:rPr>
        <w:t>) of floor area shall be located at least 20 feet (6096 mm) above ground level, at least 30 feet (9144 mm) from exhaust outlets and other exhaust discharges, and at least 20 feet (6096 mm) from areas that may collect vehicular exhaust, such as off street loading bays.</w:t>
      </w:r>
    </w:p>
    <w:p w14:paraId="2CFF0827" w14:textId="77777777" w:rsidR="00140B7C" w:rsidRPr="009A3C82" w:rsidRDefault="00140B7C" w:rsidP="00140B7C">
      <w:pPr>
        <w:autoSpaceDE w:val="0"/>
        <w:autoSpaceDN w:val="0"/>
        <w:adjustRightInd w:val="0"/>
        <w:spacing w:after="240" w:line="240" w:lineRule="auto"/>
        <w:ind w:left="720" w:hanging="360"/>
        <w:jc w:val="both"/>
        <w:rPr>
          <w:rFonts w:eastAsia="Times New Roman" w:cs="Times New Roman"/>
          <w:szCs w:val="24"/>
        </w:rPr>
      </w:pPr>
      <w:r w:rsidRPr="009A3C82">
        <w:rPr>
          <w:rFonts w:eastAsia="Times New Roman" w:cs="Times New Roman"/>
          <w:szCs w:val="24"/>
        </w:rPr>
        <w:t>3.</w:t>
      </w:r>
      <w:r w:rsidRPr="009A3C82">
        <w:rPr>
          <w:rFonts w:eastAsia="Times New Roman" w:cs="Times New Roman"/>
          <w:szCs w:val="24"/>
        </w:rPr>
        <w:tab/>
        <w:t xml:space="preserve">Mechanical and gravity outdoor air intake openings shall be located not less than 10 feet (3048 mm) horizontally from any hazardous or noxious contaminant source, such as vents, </w:t>
      </w:r>
      <w:r w:rsidRPr="009A3C82">
        <w:rPr>
          <w:rFonts w:eastAsia="Times New Roman" w:cs="Times New Roman"/>
          <w:spacing w:val="1"/>
          <w:szCs w:val="24"/>
        </w:rPr>
        <w:t xml:space="preserve">exhausts (including but not limited to exhaust from dry cleaning establishments, spray booths, and cooling towers), </w:t>
      </w:r>
      <w:r w:rsidRPr="009A3C82">
        <w:rPr>
          <w:rFonts w:eastAsia="Times New Roman" w:cs="Times New Roman"/>
          <w:szCs w:val="24"/>
        </w:rPr>
        <w:t xml:space="preserve">streets, alleys, parking lots and loading docks, except as specified in Item 3 </w:t>
      </w:r>
      <w:r w:rsidRPr="009A3C82">
        <w:rPr>
          <w:rFonts w:eastAsia="Times New Roman" w:cs="Times New Roman"/>
          <w:spacing w:val="1"/>
          <w:szCs w:val="24"/>
        </w:rPr>
        <w:t xml:space="preserve">of </w:t>
      </w:r>
      <w:r w:rsidRPr="009A3C82">
        <w:rPr>
          <w:rFonts w:eastAsia="Times New Roman" w:cs="Times New Roman"/>
          <w:szCs w:val="24"/>
        </w:rPr>
        <w:t xml:space="preserve">Section 501.3.1. Outdoor air intake openings shall be permitted to be located less than 10 feet (3048 mm) horizontally from streets, alleys, parking lots and loading docks provided that the openings are located not less than 25 feet (7620 mm) vertically above such locations. Where openings front on a street or public way, the distance shall be measured </w:t>
      </w:r>
      <w:r w:rsidRPr="00BB0B36">
        <w:rPr>
          <w:rFonts w:eastAsia="Times New Roman" w:cs="Times New Roman"/>
          <w:szCs w:val="24"/>
        </w:rPr>
        <w:t>[</w:t>
      </w:r>
      <w:r w:rsidRPr="00BB0B36">
        <w:rPr>
          <w:rFonts w:eastAsia="Times New Roman" w:cs="Times New Roman"/>
          <w:strike/>
          <w:szCs w:val="24"/>
        </w:rPr>
        <w:t>from the closest edge</w:t>
      </w:r>
      <w:r w:rsidRPr="00BB0B36">
        <w:rPr>
          <w:rFonts w:eastAsia="Times New Roman" w:cs="Times New Roman"/>
          <w:szCs w:val="24"/>
        </w:rPr>
        <w:t>]</w:t>
      </w:r>
      <w:r w:rsidRPr="00BB0B36">
        <w:rPr>
          <w:rFonts w:eastAsia="Times New Roman" w:cs="Times New Roman"/>
          <w:szCs w:val="24"/>
          <w:u w:val="single"/>
        </w:rPr>
        <w:t>to the centerline</w:t>
      </w:r>
      <w:r w:rsidRPr="009A3C82">
        <w:rPr>
          <w:rFonts w:eastAsia="Times New Roman" w:cs="Times New Roman"/>
          <w:szCs w:val="24"/>
        </w:rPr>
        <w:t xml:space="preserve"> of the street or public way. </w:t>
      </w:r>
    </w:p>
    <w:p w14:paraId="4EE88015" w14:textId="77777777" w:rsidR="00140B7C" w:rsidRPr="009A3C82" w:rsidRDefault="00140B7C" w:rsidP="00140B7C">
      <w:pPr>
        <w:tabs>
          <w:tab w:val="left" w:pos="720"/>
        </w:tabs>
        <w:autoSpaceDE w:val="0"/>
        <w:autoSpaceDN w:val="0"/>
        <w:adjustRightInd w:val="0"/>
        <w:spacing w:after="240" w:line="240" w:lineRule="auto"/>
        <w:ind w:left="720" w:hanging="360"/>
        <w:jc w:val="both"/>
        <w:rPr>
          <w:rFonts w:eastAsia="Times New Roman" w:cs="Times New Roman"/>
          <w:szCs w:val="24"/>
        </w:rPr>
      </w:pPr>
      <w:r w:rsidRPr="009A3C82">
        <w:rPr>
          <w:rFonts w:eastAsia="Times New Roman" w:cs="Times New Roman"/>
          <w:szCs w:val="24"/>
        </w:rPr>
        <w:t>4.</w:t>
      </w:r>
      <w:r w:rsidRPr="009A3C82">
        <w:rPr>
          <w:rFonts w:eastAsia="Times New Roman" w:cs="Times New Roman"/>
          <w:szCs w:val="24"/>
        </w:rPr>
        <w:tab/>
      </w:r>
      <w:r w:rsidRPr="009A3C82">
        <w:rPr>
          <w:rFonts w:eastAsia="Times New Roman" w:cs="Times New Roman"/>
          <w:spacing w:val="1"/>
          <w:szCs w:val="24"/>
        </w:rPr>
        <w:t>Where the requirements of Item 3 above cannot be achieved, intake</w:t>
      </w:r>
      <w:r w:rsidRPr="009A3C82">
        <w:rPr>
          <w:rFonts w:eastAsia="Times New Roman" w:cs="Times New Roman"/>
          <w:szCs w:val="24"/>
        </w:rPr>
        <w:t xml:space="preserve"> openings shall be located not less than 3 feet (914</w:t>
      </w:r>
      <w:r>
        <w:rPr>
          <w:rFonts w:eastAsia="Times New Roman" w:cs="Times New Roman"/>
          <w:szCs w:val="24"/>
        </w:rPr>
        <w:t>.4</w:t>
      </w:r>
      <w:r w:rsidRPr="009A3C82">
        <w:rPr>
          <w:rFonts w:eastAsia="Times New Roman" w:cs="Times New Roman"/>
          <w:szCs w:val="24"/>
        </w:rPr>
        <w:t xml:space="preserve"> mm) below contaminant sources where such sources are located within 10 feet (3048 mm) of the opening. </w:t>
      </w:r>
    </w:p>
    <w:p w14:paraId="48867D25" w14:textId="77777777" w:rsidR="00140B7C" w:rsidRPr="009A3C82" w:rsidRDefault="00140B7C" w:rsidP="00140B7C">
      <w:pPr>
        <w:kinsoku w:val="0"/>
        <w:spacing w:after="240" w:line="240" w:lineRule="auto"/>
        <w:ind w:left="720" w:hanging="360"/>
        <w:jc w:val="both"/>
        <w:rPr>
          <w:rFonts w:eastAsia="Times New Roman" w:cs="Times New Roman"/>
          <w:szCs w:val="24"/>
        </w:rPr>
      </w:pPr>
      <w:r w:rsidRPr="009A3C82">
        <w:rPr>
          <w:rFonts w:eastAsia="Times New Roman" w:cs="Times New Roman"/>
          <w:szCs w:val="24"/>
        </w:rPr>
        <w:t>5.</w:t>
      </w:r>
      <w:r w:rsidRPr="009A3C82">
        <w:rPr>
          <w:rFonts w:eastAsia="Times New Roman" w:cs="Times New Roman"/>
          <w:szCs w:val="24"/>
        </w:rPr>
        <w:tab/>
        <w:t>Intake openings in Group I occupancies shall comply with ANSI/ASHRAE/ASHE 170, as required.</w:t>
      </w:r>
    </w:p>
    <w:p w14:paraId="6A7BD446" w14:textId="77777777" w:rsidR="00140B7C" w:rsidRPr="009A3C82" w:rsidRDefault="00140B7C" w:rsidP="00140B7C">
      <w:pPr>
        <w:tabs>
          <w:tab w:val="left" w:pos="-2610"/>
        </w:tabs>
        <w:autoSpaceDE w:val="0"/>
        <w:autoSpaceDN w:val="0"/>
        <w:adjustRightInd w:val="0"/>
        <w:spacing w:after="240" w:line="240" w:lineRule="auto"/>
        <w:ind w:left="720" w:hanging="360"/>
        <w:jc w:val="both"/>
        <w:rPr>
          <w:rFonts w:eastAsia="Times New Roman" w:cs="Times New Roman"/>
          <w:i/>
          <w:szCs w:val="24"/>
        </w:rPr>
      </w:pPr>
      <w:r w:rsidRPr="009A3C82">
        <w:rPr>
          <w:rFonts w:eastAsia="Times New Roman" w:cs="Times New Roman"/>
          <w:szCs w:val="24"/>
        </w:rPr>
        <w:t>6.</w:t>
      </w:r>
      <w:r w:rsidRPr="009A3C82">
        <w:rPr>
          <w:rFonts w:eastAsia="Times New Roman" w:cs="Times New Roman"/>
          <w:szCs w:val="24"/>
        </w:rPr>
        <w:tab/>
        <w:t xml:space="preserve">Intake openings on structures in flood hazard areas shall comply with the additional requirements of Appendix G of the </w:t>
      </w:r>
      <w:r w:rsidRPr="009A3C82">
        <w:rPr>
          <w:rFonts w:eastAsia="Times New Roman" w:cs="Times New Roman"/>
          <w:i/>
          <w:szCs w:val="24"/>
        </w:rPr>
        <w:t>New York City Building Code.</w:t>
      </w:r>
    </w:p>
    <w:p w14:paraId="2B8B677C" w14:textId="77777777" w:rsidR="00140B7C" w:rsidRPr="00BB0B36" w:rsidRDefault="00140B7C" w:rsidP="00140B7C">
      <w:pPr>
        <w:tabs>
          <w:tab w:val="left" w:pos="-2610"/>
        </w:tabs>
        <w:autoSpaceDE w:val="0"/>
        <w:autoSpaceDN w:val="0"/>
        <w:adjustRightInd w:val="0"/>
        <w:spacing w:after="240" w:line="240" w:lineRule="auto"/>
        <w:ind w:left="720"/>
        <w:jc w:val="both"/>
        <w:rPr>
          <w:rFonts w:eastAsia="Times New Roman" w:cs="Times New Roman"/>
          <w:spacing w:val="1"/>
          <w:szCs w:val="24"/>
        </w:rPr>
      </w:pPr>
      <w:r w:rsidRPr="009A3C82">
        <w:rPr>
          <w:rFonts w:eastAsia="Times New Roman" w:cs="Times New Roman"/>
          <w:b/>
          <w:szCs w:val="24"/>
        </w:rPr>
        <w:t xml:space="preserve">Exception: </w:t>
      </w:r>
      <w:r w:rsidRPr="009A3C82">
        <w:rPr>
          <w:rFonts w:eastAsia="Times New Roman" w:cs="Times New Roman"/>
          <w:spacing w:val="1"/>
          <w:szCs w:val="24"/>
        </w:rPr>
        <w:t xml:space="preserve">Group R-3 occupancies are not required to comply with Section 401.4.  </w:t>
      </w:r>
    </w:p>
    <w:p w14:paraId="1E0DC2A9" w14:textId="0E7FD917" w:rsidR="00140B7C" w:rsidRPr="00EC4EC4" w:rsidRDefault="00140B7C" w:rsidP="00140B7C">
      <w:pPr>
        <w:kinsoku w:val="0"/>
        <w:spacing w:after="240" w:line="240" w:lineRule="auto"/>
        <w:ind w:firstLine="720"/>
        <w:jc w:val="both"/>
        <w:rPr>
          <w:rFonts w:eastAsia="Times New Roman" w:cs="Times New Roman"/>
          <w:b/>
          <w:bCs/>
          <w:szCs w:val="24"/>
        </w:rPr>
      </w:pPr>
      <w:bookmarkStart w:id="233" w:name="_Toc388541587"/>
      <w:r w:rsidRPr="00EC4EC4">
        <w:rPr>
          <w:rFonts w:cs="Times New Roman"/>
          <w:sz w:val="23"/>
          <w:szCs w:val="23"/>
        </w:rPr>
        <w:t>§</w:t>
      </w:r>
      <w:r>
        <w:rPr>
          <w:rFonts w:cs="Times New Roman"/>
          <w:sz w:val="23"/>
          <w:szCs w:val="23"/>
        </w:rPr>
        <w:t>31</w:t>
      </w:r>
      <w:r w:rsidR="002410AF">
        <w:rPr>
          <w:rFonts w:cs="Times New Roman"/>
          <w:sz w:val="23"/>
          <w:szCs w:val="23"/>
        </w:rPr>
        <w:t>9</w:t>
      </w:r>
      <w:r w:rsidRPr="00EC4EC4">
        <w:rPr>
          <w:rFonts w:cs="Times New Roman"/>
          <w:sz w:val="23"/>
          <w:szCs w:val="23"/>
        </w:rPr>
        <w:t>. Section 504.10 of the New York city mechanical code, as amended by local law number 126 for the year 2021, is amended to read as follows:</w:t>
      </w:r>
    </w:p>
    <w:p w14:paraId="10F1933B" w14:textId="77777777" w:rsidR="00140B7C" w:rsidRPr="00EC4EC4" w:rsidRDefault="00140B7C" w:rsidP="00140B7C">
      <w:pPr>
        <w:suppressAutoHyphens/>
        <w:spacing w:after="240" w:line="240" w:lineRule="auto"/>
        <w:jc w:val="both"/>
        <w:rPr>
          <w:rFonts w:eastAsia="Times New Roman" w:cs="Times New Roman"/>
          <w:bCs/>
          <w:szCs w:val="24"/>
          <w:lang w:eastAsia="ar-SA"/>
        </w:rPr>
      </w:pPr>
      <w:r w:rsidRPr="00EC4EC4">
        <w:rPr>
          <w:rFonts w:eastAsia="Arial Unicode MS" w:cs="Times New Roman"/>
          <w:b/>
          <w:bCs/>
          <w:szCs w:val="24"/>
          <w:lang w:eastAsia="ar-SA"/>
        </w:rPr>
        <w:t>504.10 Common multistory exhaust systems for clothes dryers.</w:t>
      </w:r>
      <w:bookmarkEnd w:id="233"/>
      <w:r w:rsidRPr="00EC4EC4">
        <w:rPr>
          <w:rFonts w:eastAsia="Arial Unicode MS" w:cs="Times New Roman"/>
          <w:b/>
          <w:bCs/>
          <w:szCs w:val="24"/>
          <w:lang w:eastAsia="ar-SA"/>
        </w:rPr>
        <w:t xml:space="preserve"> </w:t>
      </w:r>
      <w:r w:rsidRPr="00EC4EC4">
        <w:rPr>
          <w:rFonts w:eastAsia="Times New Roman" w:cs="Times New Roman"/>
          <w:szCs w:val="24"/>
          <w:lang w:eastAsia="ar-SA"/>
        </w:rPr>
        <w:t xml:space="preserve">Where a common multistory duct system is designed and installed to convey exhaust from multiple clothes dryers, the construction of the system shall be in accordance with all </w:t>
      </w:r>
      <w:r w:rsidRPr="00EC4EC4">
        <w:rPr>
          <w:rFonts w:eastAsia="Times New Roman" w:cs="Times New Roman"/>
          <w:bCs/>
          <w:szCs w:val="24"/>
          <w:lang w:eastAsia="ar-SA"/>
        </w:rPr>
        <w:t xml:space="preserve">of </w:t>
      </w:r>
      <w:r w:rsidRPr="00EC4EC4">
        <w:rPr>
          <w:rFonts w:eastAsia="Times New Roman" w:cs="Times New Roman"/>
          <w:szCs w:val="24"/>
          <w:lang w:eastAsia="ar-SA"/>
        </w:rPr>
        <w:t>the following:</w:t>
      </w:r>
    </w:p>
    <w:p w14:paraId="1EA9FD00" w14:textId="77777777" w:rsidR="00140B7C" w:rsidRPr="00EC4EC4" w:rsidRDefault="00140B7C" w:rsidP="00140B7C">
      <w:pPr>
        <w:suppressAutoHyphens/>
        <w:spacing w:after="240" w:line="240" w:lineRule="auto"/>
        <w:ind w:left="720" w:hanging="360"/>
        <w:jc w:val="both"/>
        <w:rPr>
          <w:rFonts w:eastAsia="Times New Roman" w:cs="Times New Roman"/>
          <w:szCs w:val="24"/>
          <w:lang w:eastAsia="ar-SA"/>
        </w:rPr>
      </w:pPr>
      <w:r w:rsidRPr="00EC4EC4">
        <w:rPr>
          <w:rFonts w:eastAsia="Times New Roman" w:cs="Times New Roman"/>
          <w:szCs w:val="24"/>
          <w:lang w:eastAsia="ar-SA"/>
        </w:rPr>
        <w:t>1.</w:t>
      </w:r>
      <w:r w:rsidRPr="00EC4EC4">
        <w:rPr>
          <w:rFonts w:eastAsia="Times New Roman" w:cs="Times New Roman"/>
          <w:szCs w:val="24"/>
          <w:lang w:eastAsia="ar-SA"/>
        </w:rPr>
        <w:tab/>
        <w:t xml:space="preserve">The shaft in which the duct is installed shall be constructed and fire-resistance rated as required by the </w:t>
      </w:r>
      <w:r w:rsidRPr="00EC4EC4">
        <w:rPr>
          <w:rFonts w:eastAsia="Times New Roman" w:cs="Times New Roman"/>
          <w:i/>
          <w:spacing w:val="1"/>
          <w:szCs w:val="24"/>
          <w:lang w:eastAsia="ar-SA"/>
        </w:rPr>
        <w:t>New York City</w:t>
      </w:r>
      <w:r w:rsidRPr="00EC4EC4">
        <w:rPr>
          <w:rFonts w:eastAsia="Times New Roman" w:cs="Times New Roman"/>
          <w:i/>
          <w:szCs w:val="24"/>
          <w:lang w:eastAsia="ar-SA"/>
        </w:rPr>
        <w:t xml:space="preserve"> Building Code</w:t>
      </w:r>
      <w:r w:rsidRPr="00EC4EC4">
        <w:rPr>
          <w:rFonts w:eastAsia="Times New Roman" w:cs="Times New Roman"/>
          <w:szCs w:val="24"/>
          <w:lang w:eastAsia="ar-SA"/>
        </w:rPr>
        <w:t>.</w:t>
      </w:r>
    </w:p>
    <w:p w14:paraId="7A5BB62C" w14:textId="77777777" w:rsidR="00140B7C" w:rsidRPr="00EC4EC4" w:rsidRDefault="00140B7C" w:rsidP="00140B7C">
      <w:pPr>
        <w:suppressAutoHyphens/>
        <w:spacing w:after="240" w:line="240" w:lineRule="auto"/>
        <w:ind w:left="720" w:hanging="360"/>
        <w:jc w:val="both"/>
        <w:rPr>
          <w:rFonts w:eastAsia="Times New Roman" w:cs="Times New Roman"/>
          <w:bCs/>
          <w:szCs w:val="24"/>
          <w:lang w:eastAsia="ar-SA"/>
        </w:rPr>
      </w:pPr>
      <w:r w:rsidRPr="00EC4EC4">
        <w:rPr>
          <w:rFonts w:eastAsia="Times New Roman" w:cs="Times New Roman"/>
          <w:szCs w:val="24"/>
          <w:lang w:eastAsia="ar-SA"/>
        </w:rPr>
        <w:t>2.</w:t>
      </w:r>
      <w:r w:rsidRPr="00EC4EC4">
        <w:rPr>
          <w:rFonts w:eastAsia="Times New Roman" w:cs="Times New Roman"/>
          <w:szCs w:val="24"/>
          <w:lang w:eastAsia="ar-SA"/>
        </w:rPr>
        <w:tab/>
        <w:t>Dampers and subducts shall be prohibited in the exhaust duct.</w:t>
      </w:r>
    </w:p>
    <w:p w14:paraId="2B68B9A3" w14:textId="77777777" w:rsidR="00140B7C" w:rsidRPr="00EC4EC4" w:rsidRDefault="00140B7C" w:rsidP="00140B7C">
      <w:pPr>
        <w:suppressAutoHyphens/>
        <w:spacing w:after="240" w:line="240" w:lineRule="auto"/>
        <w:ind w:left="720" w:hanging="360"/>
        <w:jc w:val="both"/>
        <w:rPr>
          <w:rFonts w:eastAsia="Times New Roman" w:cs="Times New Roman"/>
          <w:bCs/>
          <w:szCs w:val="24"/>
          <w:lang w:eastAsia="ar-SA"/>
        </w:rPr>
      </w:pPr>
      <w:r w:rsidRPr="00EC4EC4">
        <w:rPr>
          <w:rFonts w:eastAsia="Times New Roman" w:cs="Times New Roman"/>
          <w:szCs w:val="24"/>
          <w:lang w:eastAsia="ar-SA"/>
        </w:rPr>
        <w:t>3.</w:t>
      </w:r>
      <w:r w:rsidRPr="00EC4EC4">
        <w:rPr>
          <w:rFonts w:eastAsia="Times New Roman" w:cs="Times New Roman"/>
          <w:szCs w:val="24"/>
          <w:lang w:eastAsia="ar-SA"/>
        </w:rPr>
        <w:tab/>
      </w:r>
      <w:r w:rsidRPr="00EC4EC4">
        <w:rPr>
          <w:rFonts w:eastAsia="Arial Unicode MS" w:cs="Times New Roman"/>
          <w:szCs w:val="24"/>
          <w:lang w:eastAsia="ar-SA"/>
        </w:rPr>
        <w:t>Rigid metal ductwork shall be installed within the shaft to convey the exhaust. The ductwork shall be constructed of sheet steel having a minimum thickness of 0.0187 inch (</w:t>
      </w:r>
      <w:r w:rsidRPr="00EC4EC4">
        <w:rPr>
          <w:rFonts w:eastAsia="Arial Unicode MS" w:cs="Times New Roman"/>
          <w:spacing w:val="1"/>
          <w:szCs w:val="24"/>
          <w:lang w:eastAsia="ar-SA"/>
        </w:rPr>
        <w:t>0.</w:t>
      </w:r>
      <w:r w:rsidRPr="00EC4EC4">
        <w:rPr>
          <w:rFonts w:eastAsia="Arial Unicode MS" w:cs="Times New Roman"/>
          <w:szCs w:val="24"/>
          <w:lang w:eastAsia="ar-SA"/>
        </w:rPr>
        <w:t>4712 mm</w:t>
      </w:r>
      <w:r w:rsidRPr="00EC4EC4">
        <w:rPr>
          <w:rFonts w:eastAsia="Arial Unicode MS" w:cs="Times New Roman"/>
          <w:spacing w:val="1"/>
          <w:szCs w:val="24"/>
          <w:lang w:eastAsia="ar-SA"/>
        </w:rPr>
        <w:t>) (</w:t>
      </w:r>
      <w:r w:rsidRPr="00EC4EC4">
        <w:rPr>
          <w:rFonts w:eastAsia="Arial Unicode MS" w:cs="Times New Roman"/>
          <w:szCs w:val="24"/>
          <w:lang w:eastAsia="ar-SA"/>
        </w:rPr>
        <w:t>No. 26 gage) and in accordance with SMACNA/ANSI Duct Construction Standards. The common ductwork ducts shall not be connected or installed with sheet metal screws or other fasteners that will obstruct the exhaust flow.</w:t>
      </w:r>
    </w:p>
    <w:p w14:paraId="6BA65B3C" w14:textId="77777777" w:rsidR="00140B7C" w:rsidRPr="00EC4EC4" w:rsidRDefault="00140B7C" w:rsidP="00140B7C">
      <w:pPr>
        <w:suppressAutoHyphens/>
        <w:spacing w:after="240" w:line="240" w:lineRule="auto"/>
        <w:ind w:left="720" w:hanging="360"/>
        <w:jc w:val="both"/>
        <w:rPr>
          <w:rFonts w:eastAsia="Arial Unicode MS" w:cs="Times New Roman"/>
          <w:bCs/>
          <w:szCs w:val="24"/>
          <w:lang w:eastAsia="ar-SA"/>
        </w:rPr>
      </w:pPr>
      <w:r w:rsidRPr="00EC4EC4">
        <w:rPr>
          <w:rFonts w:eastAsia="Arial Unicode MS" w:cs="Times New Roman"/>
          <w:spacing w:val="1"/>
          <w:szCs w:val="24"/>
          <w:lang w:eastAsia="ar-SA"/>
        </w:rPr>
        <w:t>4.</w:t>
      </w:r>
      <w:r w:rsidRPr="00EC4EC4">
        <w:rPr>
          <w:rFonts w:eastAsia="Arial Unicode MS" w:cs="Times New Roman"/>
          <w:spacing w:val="1"/>
          <w:szCs w:val="24"/>
          <w:lang w:eastAsia="ar-SA"/>
        </w:rPr>
        <w:tab/>
        <w:t>Exhaust ducts 20 square inches (129 cm</w:t>
      </w:r>
      <w:r w:rsidRPr="00EC4EC4">
        <w:rPr>
          <w:rFonts w:eastAsia="Arial Unicode MS" w:cs="Times New Roman"/>
          <w:spacing w:val="1"/>
          <w:szCs w:val="24"/>
          <w:vertAlign w:val="superscript"/>
          <w:lang w:eastAsia="ar-SA"/>
        </w:rPr>
        <w:t>2</w:t>
      </w:r>
      <w:r w:rsidRPr="00EC4EC4">
        <w:rPr>
          <w:rFonts w:eastAsia="Arial Unicode MS" w:cs="Times New Roman"/>
          <w:spacing w:val="1"/>
          <w:szCs w:val="24"/>
          <w:lang w:eastAsia="ar-SA"/>
        </w:rPr>
        <w:t>) or less connected into a common [</w:t>
      </w:r>
      <w:r w:rsidRPr="00EC4EC4">
        <w:rPr>
          <w:rFonts w:eastAsia="Arial Unicode MS" w:cs="Times New Roman"/>
          <w:strike/>
          <w:spacing w:val="1"/>
          <w:szCs w:val="24"/>
          <w:lang w:eastAsia="ar-SA"/>
        </w:rPr>
        <w:t>multi-story</w:t>
      </w:r>
      <w:r w:rsidRPr="00EC4EC4">
        <w:rPr>
          <w:rFonts w:eastAsia="Arial Unicode MS" w:cs="Times New Roman"/>
          <w:spacing w:val="1"/>
          <w:szCs w:val="24"/>
          <w:lang w:eastAsia="ar-SA"/>
        </w:rPr>
        <w:t>]</w:t>
      </w:r>
      <w:r w:rsidRPr="00EC4EC4">
        <w:rPr>
          <w:rFonts w:eastAsia="Arial Unicode MS" w:cs="Times New Roman"/>
          <w:spacing w:val="1"/>
          <w:szCs w:val="24"/>
          <w:u w:val="single"/>
          <w:lang w:eastAsia="ar-SA"/>
        </w:rPr>
        <w:t>multistory</w:t>
      </w:r>
      <w:r w:rsidRPr="00EC4EC4">
        <w:rPr>
          <w:rFonts w:eastAsia="Arial Unicode MS" w:cs="Times New Roman"/>
          <w:spacing w:val="1"/>
          <w:szCs w:val="24"/>
          <w:lang w:eastAsia="ar-SA"/>
        </w:rPr>
        <w:t xml:space="preserve"> exhaust system shall not require fire dampers when the exhaust fan runs continuously. Exhaust ducts greater than 20 square inches (129 cm</w:t>
      </w:r>
      <w:r w:rsidRPr="00EC4EC4">
        <w:rPr>
          <w:rFonts w:eastAsia="Arial Unicode MS" w:cs="Times New Roman"/>
          <w:spacing w:val="1"/>
          <w:szCs w:val="24"/>
          <w:vertAlign w:val="superscript"/>
          <w:lang w:eastAsia="ar-SA"/>
        </w:rPr>
        <w:t>2</w:t>
      </w:r>
      <w:r w:rsidRPr="00EC4EC4">
        <w:rPr>
          <w:rFonts w:eastAsia="Arial Unicode MS" w:cs="Times New Roman"/>
          <w:spacing w:val="1"/>
          <w:szCs w:val="24"/>
          <w:lang w:eastAsia="ar-SA"/>
        </w:rPr>
        <w:t>) shall not be connected into a common [</w:t>
      </w:r>
      <w:r w:rsidRPr="00EC4EC4">
        <w:rPr>
          <w:rFonts w:eastAsia="Arial Unicode MS" w:cs="Times New Roman"/>
          <w:strike/>
          <w:spacing w:val="1"/>
          <w:szCs w:val="24"/>
          <w:lang w:eastAsia="ar-SA"/>
        </w:rPr>
        <w:t>multi-story</w:t>
      </w:r>
      <w:r w:rsidRPr="00EC4EC4">
        <w:rPr>
          <w:rFonts w:eastAsia="Arial Unicode MS" w:cs="Times New Roman"/>
          <w:spacing w:val="1"/>
          <w:szCs w:val="24"/>
          <w:lang w:eastAsia="ar-SA"/>
        </w:rPr>
        <w:t>]</w:t>
      </w:r>
      <w:r w:rsidRPr="00EC4EC4">
        <w:rPr>
          <w:rFonts w:eastAsia="Arial Unicode MS" w:cs="Times New Roman"/>
          <w:spacing w:val="1"/>
          <w:szCs w:val="24"/>
          <w:u w:val="single"/>
          <w:lang w:eastAsia="ar-SA"/>
        </w:rPr>
        <w:t>multistory</w:t>
      </w:r>
      <w:r w:rsidRPr="00EC4EC4">
        <w:rPr>
          <w:rFonts w:eastAsia="Arial Unicode MS" w:cs="Times New Roman"/>
          <w:spacing w:val="1"/>
          <w:szCs w:val="24"/>
          <w:lang w:eastAsia="ar-SA"/>
        </w:rPr>
        <w:t xml:space="preserve"> exhaust system.</w:t>
      </w:r>
    </w:p>
    <w:p w14:paraId="6806EF66" w14:textId="77777777" w:rsidR="00140B7C" w:rsidRPr="00EC4EC4" w:rsidRDefault="00140B7C" w:rsidP="00140B7C">
      <w:pPr>
        <w:suppressAutoHyphens/>
        <w:spacing w:after="240" w:line="240" w:lineRule="auto"/>
        <w:ind w:left="720" w:hanging="360"/>
        <w:jc w:val="both"/>
        <w:rPr>
          <w:rFonts w:eastAsia="Times New Roman" w:cs="Times New Roman"/>
          <w:szCs w:val="24"/>
          <w:lang w:eastAsia="ar-SA"/>
        </w:rPr>
      </w:pPr>
      <w:r w:rsidRPr="00EC4EC4">
        <w:rPr>
          <w:rFonts w:eastAsia="Times New Roman" w:cs="Times New Roman"/>
          <w:szCs w:val="24"/>
          <w:lang w:eastAsia="ar-SA"/>
        </w:rPr>
        <w:t>5.</w:t>
      </w:r>
      <w:r w:rsidRPr="00EC4EC4">
        <w:rPr>
          <w:rFonts w:eastAsia="Times New Roman" w:cs="Times New Roman"/>
          <w:szCs w:val="24"/>
          <w:lang w:eastAsia="ar-SA"/>
        </w:rPr>
        <w:tab/>
        <w:t>The exhaust fan motor design shall be in accordance with Section 503.2.</w:t>
      </w:r>
    </w:p>
    <w:p w14:paraId="6D1B1DC1" w14:textId="77777777" w:rsidR="00140B7C" w:rsidRPr="00EC4EC4" w:rsidRDefault="00140B7C" w:rsidP="00140B7C">
      <w:pPr>
        <w:suppressAutoHyphens/>
        <w:spacing w:after="240" w:line="240" w:lineRule="auto"/>
        <w:ind w:left="720" w:hanging="360"/>
        <w:jc w:val="both"/>
        <w:rPr>
          <w:rFonts w:eastAsia="Times New Roman" w:cs="Times New Roman"/>
          <w:szCs w:val="24"/>
          <w:lang w:eastAsia="ar-SA"/>
        </w:rPr>
      </w:pPr>
      <w:r w:rsidRPr="00EC4EC4">
        <w:rPr>
          <w:rFonts w:eastAsia="Times New Roman" w:cs="Times New Roman"/>
          <w:szCs w:val="24"/>
          <w:lang w:eastAsia="ar-SA"/>
        </w:rPr>
        <w:t>6.</w:t>
      </w:r>
      <w:r w:rsidRPr="00EC4EC4">
        <w:rPr>
          <w:rFonts w:eastAsia="Times New Roman" w:cs="Times New Roman"/>
          <w:szCs w:val="24"/>
          <w:lang w:eastAsia="ar-SA"/>
        </w:rPr>
        <w:tab/>
        <w:t>The exhaust fan motor shall be located outside of the airstream.</w:t>
      </w:r>
    </w:p>
    <w:p w14:paraId="44515F10" w14:textId="77777777" w:rsidR="00140B7C" w:rsidRPr="00EC4EC4" w:rsidRDefault="00140B7C" w:rsidP="00140B7C">
      <w:pPr>
        <w:suppressAutoHyphens/>
        <w:spacing w:after="240" w:line="240" w:lineRule="auto"/>
        <w:ind w:left="720" w:hanging="360"/>
        <w:jc w:val="both"/>
        <w:rPr>
          <w:rFonts w:eastAsia="Times New Roman" w:cs="Times New Roman"/>
          <w:szCs w:val="24"/>
          <w:lang w:eastAsia="ar-SA"/>
        </w:rPr>
      </w:pPr>
      <w:r w:rsidRPr="00EC4EC4">
        <w:rPr>
          <w:rFonts w:eastAsia="Times New Roman" w:cs="Times New Roman"/>
          <w:szCs w:val="24"/>
          <w:lang w:eastAsia="ar-SA"/>
        </w:rPr>
        <w:t>7.</w:t>
      </w:r>
      <w:r w:rsidRPr="00EC4EC4">
        <w:rPr>
          <w:rFonts w:eastAsia="Times New Roman" w:cs="Times New Roman"/>
          <w:szCs w:val="24"/>
          <w:lang w:eastAsia="ar-SA"/>
        </w:rPr>
        <w:tab/>
        <w:t>The exhaust fan shall run continuously, and shall be connected to a standby power source</w:t>
      </w:r>
      <w:r w:rsidRPr="00EC4EC4">
        <w:rPr>
          <w:rFonts w:eastAsia="Times New Roman" w:cs="Times New Roman"/>
          <w:spacing w:val="1"/>
          <w:szCs w:val="24"/>
          <w:lang w:eastAsia="ar-SA"/>
        </w:rPr>
        <w:t xml:space="preserve">, where a building standby power source is required per the </w:t>
      </w:r>
      <w:r w:rsidRPr="00EC4EC4">
        <w:rPr>
          <w:rFonts w:eastAsia="Times New Roman" w:cs="Times New Roman"/>
          <w:i/>
          <w:spacing w:val="1"/>
          <w:szCs w:val="24"/>
          <w:lang w:eastAsia="ar-SA"/>
        </w:rPr>
        <w:t>New York City Building Code</w:t>
      </w:r>
      <w:r w:rsidRPr="00EC4EC4">
        <w:rPr>
          <w:rFonts w:eastAsia="Times New Roman" w:cs="Times New Roman"/>
          <w:i/>
          <w:szCs w:val="24"/>
          <w:lang w:eastAsia="ar-SA"/>
        </w:rPr>
        <w:t>.</w:t>
      </w:r>
    </w:p>
    <w:p w14:paraId="00B8BCA9" w14:textId="77777777" w:rsidR="00140B7C" w:rsidRPr="00EC4EC4" w:rsidRDefault="00140B7C" w:rsidP="00140B7C">
      <w:pPr>
        <w:suppressAutoHyphens/>
        <w:spacing w:after="240" w:line="240" w:lineRule="auto"/>
        <w:ind w:left="720" w:hanging="360"/>
        <w:jc w:val="both"/>
        <w:rPr>
          <w:rFonts w:eastAsia="Times New Roman" w:cs="Times New Roman"/>
          <w:szCs w:val="24"/>
          <w:lang w:eastAsia="ar-SA"/>
        </w:rPr>
      </w:pPr>
      <w:r w:rsidRPr="00EC4EC4">
        <w:rPr>
          <w:rFonts w:eastAsia="Times New Roman" w:cs="Times New Roman"/>
          <w:szCs w:val="24"/>
          <w:lang w:eastAsia="ar-SA"/>
        </w:rPr>
        <w:t>8.</w:t>
      </w:r>
      <w:r w:rsidRPr="00EC4EC4">
        <w:rPr>
          <w:rFonts w:eastAsia="Times New Roman" w:cs="Times New Roman"/>
          <w:szCs w:val="24"/>
          <w:lang w:eastAsia="ar-SA"/>
        </w:rPr>
        <w:tab/>
        <w:t>Exhaust fan operation shall be monitored in an approved location and shall initiate an audible or visual signal when the fan is not in operation.</w:t>
      </w:r>
    </w:p>
    <w:p w14:paraId="4A2A5CB0" w14:textId="77777777" w:rsidR="00140B7C" w:rsidRPr="00EC4EC4" w:rsidRDefault="00140B7C" w:rsidP="00140B7C">
      <w:pPr>
        <w:suppressAutoHyphens/>
        <w:spacing w:after="240" w:line="240" w:lineRule="auto"/>
        <w:ind w:left="720" w:hanging="360"/>
        <w:jc w:val="both"/>
        <w:rPr>
          <w:rFonts w:eastAsia="Times New Roman" w:cs="Times New Roman"/>
          <w:szCs w:val="24"/>
          <w:lang w:eastAsia="ar-SA"/>
        </w:rPr>
      </w:pPr>
      <w:r w:rsidRPr="00EC4EC4">
        <w:rPr>
          <w:rFonts w:eastAsia="Times New Roman" w:cs="Times New Roman"/>
          <w:szCs w:val="24"/>
          <w:lang w:eastAsia="ar-SA"/>
        </w:rPr>
        <w:t>9.</w:t>
      </w:r>
      <w:r w:rsidRPr="00EC4EC4">
        <w:rPr>
          <w:rFonts w:eastAsia="Times New Roman" w:cs="Times New Roman"/>
          <w:szCs w:val="24"/>
          <w:lang w:eastAsia="ar-SA"/>
        </w:rPr>
        <w:tab/>
        <w:t>Makeup air shall be provided for the exhaust system.</w:t>
      </w:r>
    </w:p>
    <w:p w14:paraId="563295BE" w14:textId="77777777" w:rsidR="00140B7C" w:rsidRPr="00EC4EC4" w:rsidRDefault="00140B7C" w:rsidP="00140B7C">
      <w:pPr>
        <w:suppressAutoHyphens/>
        <w:spacing w:after="240" w:line="240" w:lineRule="auto"/>
        <w:ind w:left="720" w:hanging="360"/>
        <w:jc w:val="both"/>
        <w:rPr>
          <w:rFonts w:eastAsia="Times New Roman" w:cs="Times New Roman"/>
          <w:b/>
          <w:bCs/>
          <w:szCs w:val="24"/>
        </w:rPr>
      </w:pPr>
      <w:r w:rsidRPr="00EC4EC4">
        <w:rPr>
          <w:rFonts w:eastAsia="Times New Roman" w:cs="Times New Roman"/>
          <w:szCs w:val="24"/>
          <w:lang w:eastAsia="ar-SA"/>
        </w:rPr>
        <w:t>10.</w:t>
      </w:r>
      <w:r w:rsidRPr="00EC4EC4">
        <w:rPr>
          <w:rFonts w:eastAsia="Times New Roman" w:cs="Times New Roman"/>
          <w:szCs w:val="24"/>
          <w:lang w:eastAsia="ar-SA"/>
        </w:rPr>
        <w:tab/>
        <w:t>A cleanout opening shall be located at the base of the shaft [</w:t>
      </w:r>
      <w:r w:rsidRPr="00EC4EC4">
        <w:rPr>
          <w:rFonts w:eastAsia="Times New Roman" w:cs="Times New Roman"/>
          <w:strike/>
          <w:spacing w:val="1"/>
          <w:szCs w:val="24"/>
          <w:lang w:eastAsia="ar-SA"/>
        </w:rPr>
        <w:t>and</w:t>
      </w:r>
      <w:r w:rsidRPr="00EC4EC4">
        <w:rPr>
          <w:rFonts w:eastAsia="Times New Roman" w:cs="Times New Roman"/>
          <w:spacing w:val="1"/>
          <w:szCs w:val="24"/>
          <w:lang w:eastAsia="ar-SA"/>
        </w:rPr>
        <w:t>], at all offsets and at all changes of direction</w:t>
      </w:r>
      <w:r w:rsidRPr="00EC4EC4">
        <w:rPr>
          <w:rFonts w:eastAsia="Times New Roman" w:cs="Times New Roman"/>
          <w:szCs w:val="24"/>
          <w:lang w:eastAsia="ar-SA"/>
        </w:rPr>
        <w:t xml:space="preserve"> to provide access to the duct to allow for cleaning and inspection. The finished opening shall be not less than 12 inches by 12 inches (304.8 mm by 304.8 mm).</w:t>
      </w:r>
    </w:p>
    <w:p w14:paraId="6DA77C1A" w14:textId="77777777" w:rsidR="00140B7C" w:rsidRPr="00EC4EC4" w:rsidRDefault="00140B7C" w:rsidP="00140B7C">
      <w:pPr>
        <w:suppressAutoHyphens/>
        <w:spacing w:after="240" w:line="240" w:lineRule="auto"/>
        <w:ind w:left="720" w:hanging="360"/>
        <w:jc w:val="both"/>
        <w:rPr>
          <w:rFonts w:eastAsia="Times New Roman" w:cs="Times New Roman"/>
          <w:szCs w:val="24"/>
          <w:lang w:eastAsia="ar-SA"/>
        </w:rPr>
      </w:pPr>
      <w:r w:rsidRPr="00EC4EC4">
        <w:rPr>
          <w:rFonts w:eastAsia="Times New Roman" w:cs="Times New Roman"/>
          <w:szCs w:val="24"/>
          <w:lang w:eastAsia="ar-SA"/>
        </w:rPr>
        <w:t>11.</w:t>
      </w:r>
      <w:r w:rsidRPr="00EC4EC4">
        <w:rPr>
          <w:rFonts w:eastAsia="Times New Roman" w:cs="Times New Roman"/>
          <w:szCs w:val="24"/>
          <w:lang w:eastAsia="ar-SA"/>
        </w:rPr>
        <w:tab/>
        <w:t>Screens shall not be installed at the termination.</w:t>
      </w:r>
    </w:p>
    <w:p w14:paraId="4D50E8BB" w14:textId="77777777" w:rsidR="00140B7C" w:rsidRPr="00EC4EC4" w:rsidRDefault="00140B7C" w:rsidP="00140B7C">
      <w:pPr>
        <w:suppressAutoHyphens/>
        <w:spacing w:after="240" w:line="240" w:lineRule="auto"/>
        <w:ind w:left="720" w:hanging="360"/>
        <w:jc w:val="both"/>
        <w:rPr>
          <w:rFonts w:eastAsia="Times New Roman" w:cs="Times New Roman"/>
          <w:bCs/>
          <w:szCs w:val="24"/>
          <w:lang w:eastAsia="ar-SA"/>
        </w:rPr>
      </w:pPr>
      <w:r w:rsidRPr="00EC4EC4">
        <w:rPr>
          <w:rFonts w:eastAsia="Times New Roman" w:cs="Times New Roman"/>
          <w:szCs w:val="24"/>
          <w:lang w:eastAsia="ar-SA"/>
        </w:rPr>
        <w:t>12.</w:t>
      </w:r>
      <w:r w:rsidRPr="00EC4EC4">
        <w:rPr>
          <w:rFonts w:eastAsia="Times New Roman" w:cs="Times New Roman"/>
          <w:szCs w:val="24"/>
          <w:lang w:eastAsia="ar-SA"/>
        </w:rPr>
        <w:tab/>
        <w:t>The common multistory duct system shall serve only clothes dryers and shall be independent of other exhaust systems.</w:t>
      </w:r>
    </w:p>
    <w:p w14:paraId="33FD2E5E" w14:textId="0D5FC0EB" w:rsidR="00140B7C" w:rsidRPr="00EC4EC4" w:rsidRDefault="00140B7C" w:rsidP="00140B7C">
      <w:pPr>
        <w:kinsoku w:val="0"/>
        <w:spacing w:after="240" w:line="240" w:lineRule="auto"/>
        <w:ind w:firstLine="720"/>
        <w:jc w:val="both"/>
        <w:rPr>
          <w:rFonts w:eastAsia="Times New Roman" w:cs="Times New Roman"/>
          <w:b/>
          <w:bCs/>
          <w:szCs w:val="24"/>
        </w:rPr>
      </w:pPr>
      <w:bookmarkStart w:id="234" w:name="_Hlk114653092"/>
      <w:r w:rsidRPr="00EC4EC4">
        <w:rPr>
          <w:rFonts w:cs="Times New Roman"/>
          <w:sz w:val="23"/>
          <w:szCs w:val="23"/>
        </w:rPr>
        <w:t>§</w:t>
      </w:r>
      <w:r>
        <w:rPr>
          <w:rFonts w:cs="Times New Roman"/>
          <w:sz w:val="23"/>
          <w:szCs w:val="23"/>
        </w:rPr>
        <w:t>3</w:t>
      </w:r>
      <w:r w:rsidR="002410AF">
        <w:rPr>
          <w:rFonts w:cs="Times New Roman"/>
          <w:sz w:val="23"/>
          <w:szCs w:val="23"/>
        </w:rPr>
        <w:t>20</w:t>
      </w:r>
      <w:r w:rsidRPr="00EC4EC4">
        <w:rPr>
          <w:rFonts w:cs="Times New Roman"/>
          <w:sz w:val="23"/>
          <w:szCs w:val="23"/>
        </w:rPr>
        <w:t>. Section 604.3 of the New York city mechanical code, as amended by local law number 126 for the year 2021, is amended to read as follows:</w:t>
      </w:r>
    </w:p>
    <w:bookmarkEnd w:id="234"/>
    <w:p w14:paraId="12E89D39" w14:textId="77777777" w:rsidR="00140B7C" w:rsidRPr="00EC4EC4" w:rsidRDefault="00140B7C" w:rsidP="00140B7C">
      <w:pPr>
        <w:kinsoku w:val="0"/>
        <w:spacing w:after="240" w:line="240" w:lineRule="auto"/>
        <w:jc w:val="both"/>
        <w:rPr>
          <w:rFonts w:eastAsia="Times New Roman" w:cs="Times New Roman"/>
          <w:b/>
          <w:bCs/>
          <w:szCs w:val="24"/>
        </w:rPr>
      </w:pPr>
      <w:r w:rsidRPr="00EC4EC4">
        <w:rPr>
          <w:rFonts w:cs="Times New Roman"/>
          <w:b/>
          <w:szCs w:val="24"/>
        </w:rPr>
        <w:t>604.3 Coverings and linings.</w:t>
      </w:r>
      <w:r w:rsidRPr="00EC4EC4">
        <w:rPr>
          <w:rFonts w:cs="Times New Roman"/>
          <w:b/>
          <w:bCs/>
          <w:spacing w:val="-2"/>
          <w:w w:val="110"/>
          <w:szCs w:val="24"/>
        </w:rPr>
        <w:t xml:space="preserve"> </w:t>
      </w:r>
      <w:r w:rsidRPr="00EC4EC4">
        <w:rPr>
          <w:rFonts w:cs="Times New Roman"/>
          <w:spacing w:val="1"/>
          <w:szCs w:val="24"/>
        </w:rPr>
        <w:t>Coverings and linings, including adhesives where used, shall have a flame spread index not more than 25 and a smoke-developed index not more than 50, when tested in accordance with ASTM E 84 or UL 723, using the specimen preparation and mounting procedures of ASTM E 2231. Duct coverings and linings shall not flame, glow, smolder or smoke when tested in accordance with ASTM C 411 at the temperature to which they are exposed in service. The test temperature shall not fall below 250°F (121.1°C). Coverings and linings shall be listed and [</w:t>
      </w:r>
      <w:r w:rsidRPr="00EC4EC4">
        <w:rPr>
          <w:rFonts w:cs="Times New Roman"/>
          <w:strike/>
          <w:spacing w:val="1"/>
          <w:szCs w:val="24"/>
        </w:rPr>
        <w:t>labelled</w:t>
      </w:r>
      <w:r w:rsidRPr="00EC4EC4">
        <w:rPr>
          <w:rFonts w:cs="Times New Roman"/>
          <w:spacing w:val="1"/>
          <w:szCs w:val="24"/>
        </w:rPr>
        <w:t>]</w:t>
      </w:r>
      <w:r w:rsidRPr="00EC4EC4">
        <w:rPr>
          <w:rFonts w:cs="Times New Roman"/>
          <w:spacing w:val="1"/>
          <w:szCs w:val="24"/>
          <w:u w:val="single"/>
        </w:rPr>
        <w:t>labeled</w:t>
      </w:r>
      <w:r w:rsidRPr="00EC4EC4">
        <w:rPr>
          <w:rFonts w:cs="Times New Roman"/>
          <w:spacing w:val="1"/>
          <w:szCs w:val="24"/>
        </w:rPr>
        <w:t>.</w:t>
      </w:r>
      <w:bookmarkStart w:id="235" w:name="_Toc388541852"/>
    </w:p>
    <w:p w14:paraId="00E45BB8" w14:textId="449736F6" w:rsidR="00140B7C" w:rsidRPr="00EC4EC4" w:rsidRDefault="00140B7C" w:rsidP="00140B7C">
      <w:pPr>
        <w:kinsoku w:val="0"/>
        <w:spacing w:after="240" w:line="240" w:lineRule="auto"/>
        <w:ind w:firstLine="720"/>
        <w:jc w:val="both"/>
        <w:rPr>
          <w:rFonts w:eastAsia="Times New Roman" w:cs="Times New Roman"/>
          <w:b/>
          <w:bCs/>
          <w:szCs w:val="24"/>
        </w:rPr>
      </w:pPr>
      <w:bookmarkStart w:id="236" w:name="_Toc388541923"/>
      <w:bookmarkEnd w:id="235"/>
      <w:r w:rsidRPr="00EC4EC4">
        <w:rPr>
          <w:rFonts w:cs="Times New Roman"/>
          <w:sz w:val="23"/>
          <w:szCs w:val="23"/>
        </w:rPr>
        <w:t>§</w:t>
      </w:r>
      <w:r>
        <w:rPr>
          <w:rFonts w:cs="Times New Roman"/>
          <w:sz w:val="23"/>
          <w:szCs w:val="23"/>
        </w:rPr>
        <w:t>3</w:t>
      </w:r>
      <w:r w:rsidR="002410AF">
        <w:rPr>
          <w:rFonts w:cs="Times New Roman"/>
          <w:sz w:val="23"/>
          <w:szCs w:val="23"/>
        </w:rPr>
        <w:t>21</w:t>
      </w:r>
      <w:r w:rsidRPr="00EC4EC4">
        <w:rPr>
          <w:rFonts w:cs="Times New Roman"/>
          <w:sz w:val="23"/>
          <w:szCs w:val="23"/>
        </w:rPr>
        <w:t>. Section 801.1.1.6 of  the New York city mechanical code, as amended by local law number 126 for the year 2021, is amended to read as follows:</w:t>
      </w:r>
    </w:p>
    <w:p w14:paraId="539F444F" w14:textId="77777777" w:rsidR="00140B7C" w:rsidRPr="00EC4EC4" w:rsidRDefault="00140B7C" w:rsidP="00140B7C">
      <w:pPr>
        <w:spacing w:after="240" w:line="240" w:lineRule="auto"/>
        <w:rPr>
          <w:rFonts w:eastAsia="Times New Roman" w:cs="Times New Roman"/>
          <w:spacing w:val="1"/>
          <w:szCs w:val="24"/>
        </w:rPr>
      </w:pPr>
      <w:r w:rsidRPr="00EC4EC4">
        <w:rPr>
          <w:rFonts w:eastAsia="Times New Roman" w:cs="Times New Roman"/>
          <w:b/>
          <w:szCs w:val="24"/>
        </w:rPr>
        <w:t>801.1.1.6 Procedure.</w:t>
      </w:r>
      <w:r w:rsidRPr="00EC4EC4">
        <w:rPr>
          <w:rFonts w:eastAsia="Times New Roman" w:cs="Times New Roman"/>
          <w:b/>
          <w:bCs/>
          <w:spacing w:val="1"/>
          <w:w w:val="110"/>
          <w:szCs w:val="24"/>
        </w:rPr>
        <w:t xml:space="preserve"> </w:t>
      </w:r>
      <w:bookmarkStart w:id="237" w:name="_Hlk55814893"/>
      <w:r w:rsidRPr="00EC4EC4">
        <w:rPr>
          <w:rFonts w:eastAsia="Times New Roman" w:cs="Times New Roman"/>
          <w:spacing w:val="1"/>
          <w:szCs w:val="24"/>
        </w:rPr>
        <w:t>It shall be the obligation of the owner of the new or altered building to:</w:t>
      </w:r>
    </w:p>
    <w:p w14:paraId="200C79D2" w14:textId="77777777" w:rsidR="00140B7C" w:rsidRPr="00EC4EC4" w:rsidRDefault="00140B7C" w:rsidP="00140B7C">
      <w:pPr>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 xml:space="preserve">Prepare and submit a chimney and vent plan to the department pursuant to Section 107.18 of the </w:t>
      </w:r>
      <w:r w:rsidRPr="00EC4EC4">
        <w:rPr>
          <w:rFonts w:eastAsia="Times New Roman" w:cs="Times New Roman"/>
          <w:i/>
          <w:iCs/>
          <w:spacing w:val="1"/>
          <w:szCs w:val="24"/>
        </w:rPr>
        <w:t>New York City Building Code</w:t>
      </w:r>
      <w:r w:rsidRPr="00EC4EC4">
        <w:rPr>
          <w:rFonts w:eastAsia="Times New Roman" w:cs="Times New Roman"/>
          <w:spacing w:val="1"/>
          <w:szCs w:val="24"/>
        </w:rPr>
        <w:t>[.]</w:t>
      </w:r>
      <w:r w:rsidRPr="00EC4EC4">
        <w:rPr>
          <w:rFonts w:eastAsia="Times New Roman" w:cs="Times New Roman"/>
          <w:spacing w:val="1"/>
          <w:szCs w:val="24"/>
          <w:u w:val="single"/>
        </w:rPr>
        <w:t>;</w:t>
      </w:r>
      <w:r w:rsidRPr="00EC4EC4">
        <w:rPr>
          <w:rFonts w:eastAsia="Times New Roman" w:cs="Times New Roman"/>
          <w:spacing w:val="1"/>
          <w:szCs w:val="24"/>
        </w:rPr>
        <w:t xml:space="preserve"> </w:t>
      </w:r>
    </w:p>
    <w:p w14:paraId="19AA3A8B" w14:textId="77777777" w:rsidR="00140B7C" w:rsidRPr="00EC4EC4" w:rsidRDefault="00140B7C" w:rsidP="00140B7C">
      <w:pPr>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Provide required notification pursuant to Section 801.1.1.3 of this code[.]</w:t>
      </w:r>
      <w:r w:rsidRPr="00EC4EC4">
        <w:rPr>
          <w:rFonts w:eastAsia="Times New Roman" w:cs="Times New Roman"/>
          <w:spacing w:val="1"/>
          <w:szCs w:val="24"/>
          <w:u w:val="single"/>
        </w:rPr>
        <w:t>;</w:t>
      </w:r>
    </w:p>
    <w:p w14:paraId="3294A463" w14:textId="77777777" w:rsidR="00140B7C" w:rsidRPr="00EC4EC4" w:rsidRDefault="00140B7C" w:rsidP="00140B7C">
      <w:pPr>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r>
      <w:bookmarkStart w:id="238" w:name="_Hlk56612124"/>
      <w:r w:rsidRPr="00EC4EC4">
        <w:rPr>
          <w:rFonts w:eastAsia="Times New Roman" w:cs="Times New Roman"/>
          <w:spacing w:val="1"/>
          <w:szCs w:val="24"/>
        </w:rPr>
        <w:t>Provide plans pursuant to Section 801.1.1.3.3 of this code[.</w:t>
      </w:r>
      <w:bookmarkEnd w:id="238"/>
      <w:r w:rsidRPr="00EC4EC4">
        <w:rPr>
          <w:rFonts w:eastAsia="Times New Roman" w:cs="Times New Roman"/>
          <w:spacing w:val="1"/>
          <w:szCs w:val="24"/>
        </w:rPr>
        <w:t>]</w:t>
      </w:r>
      <w:r w:rsidRPr="00EC4EC4">
        <w:rPr>
          <w:rFonts w:eastAsia="Times New Roman" w:cs="Times New Roman"/>
          <w:spacing w:val="1"/>
          <w:szCs w:val="24"/>
          <w:u w:val="single"/>
        </w:rPr>
        <w:t>;</w:t>
      </w:r>
    </w:p>
    <w:p w14:paraId="0B734528" w14:textId="77777777" w:rsidR="00140B7C" w:rsidRPr="00EC4EC4" w:rsidRDefault="00140B7C" w:rsidP="00140B7C">
      <w:pPr>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 xml:space="preserve">Prepare and submit construction documents to the department pursuant to Section 28-104 of the </w:t>
      </w:r>
      <w:r w:rsidRPr="00EC4EC4">
        <w:rPr>
          <w:rFonts w:eastAsia="Times New Roman" w:cs="Times New Roman"/>
          <w:i/>
          <w:iCs/>
          <w:spacing w:val="1"/>
          <w:szCs w:val="24"/>
        </w:rPr>
        <w:t xml:space="preserve">New York City </w:t>
      </w:r>
      <w:r w:rsidRPr="00EC4EC4">
        <w:rPr>
          <w:rFonts w:eastAsia="Times New Roman" w:cs="Times New Roman"/>
          <w:i/>
          <w:spacing w:val="1"/>
          <w:szCs w:val="24"/>
        </w:rPr>
        <w:t>Administrative Code</w:t>
      </w:r>
      <w:r w:rsidRPr="00EC4EC4">
        <w:rPr>
          <w:rFonts w:eastAsia="Times New Roman" w:cs="Times New Roman"/>
          <w:iCs/>
          <w:spacing w:val="1"/>
          <w:szCs w:val="24"/>
        </w:rPr>
        <w:t xml:space="preserve"> for the alteration of existing chimneys or vents</w:t>
      </w:r>
      <w:r w:rsidRPr="00EC4EC4">
        <w:rPr>
          <w:rFonts w:eastAsia="Times New Roman" w:cs="Times New Roman"/>
          <w:i/>
          <w:spacing w:val="1"/>
          <w:szCs w:val="24"/>
        </w:rPr>
        <w:t xml:space="preserve"> </w:t>
      </w:r>
      <w:r w:rsidRPr="00EC4EC4">
        <w:rPr>
          <w:rFonts w:eastAsia="Times New Roman" w:cs="Times New Roman"/>
          <w:spacing w:val="1"/>
          <w:szCs w:val="24"/>
        </w:rPr>
        <w:t>which conform to the requirements of this chapter;</w:t>
      </w:r>
    </w:p>
    <w:p w14:paraId="6030C52E" w14:textId="77777777" w:rsidR="00140B7C" w:rsidRPr="00EC4EC4" w:rsidRDefault="00140B7C" w:rsidP="00140B7C">
      <w:pPr>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 xml:space="preserve">Obtain permit(s) for the proposed work in accordance with Section 28-105 of the </w:t>
      </w:r>
      <w:r w:rsidRPr="00EC4EC4">
        <w:rPr>
          <w:rFonts w:eastAsia="Times New Roman" w:cs="Times New Roman"/>
          <w:i/>
          <w:iCs/>
          <w:spacing w:val="1"/>
          <w:szCs w:val="24"/>
        </w:rPr>
        <w:t xml:space="preserve">New York City </w:t>
      </w:r>
      <w:r w:rsidRPr="00EC4EC4">
        <w:rPr>
          <w:rFonts w:eastAsia="Times New Roman" w:cs="Times New Roman"/>
          <w:i/>
          <w:spacing w:val="1"/>
          <w:szCs w:val="24"/>
        </w:rPr>
        <w:t>Administrative Code</w:t>
      </w:r>
      <w:r w:rsidRPr="00EC4EC4">
        <w:rPr>
          <w:rFonts w:eastAsia="Times New Roman" w:cs="Times New Roman"/>
          <w:spacing w:val="1"/>
          <w:szCs w:val="24"/>
        </w:rPr>
        <w:t>;</w:t>
      </w:r>
    </w:p>
    <w:p w14:paraId="4A0951A6" w14:textId="77777777" w:rsidR="00140B7C" w:rsidRPr="00EC4EC4" w:rsidRDefault="00140B7C" w:rsidP="00140B7C">
      <w:pPr>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6.</w:t>
      </w:r>
      <w:r w:rsidRPr="00EC4EC4">
        <w:rPr>
          <w:rFonts w:eastAsia="Times New Roman" w:cs="Times New Roman"/>
          <w:spacing w:val="1"/>
          <w:szCs w:val="24"/>
        </w:rPr>
        <w:tab/>
        <w:t>Schedule this work so as to create a minimum of disturbance to the occupants of the affected building;</w:t>
      </w:r>
    </w:p>
    <w:p w14:paraId="628E2246" w14:textId="77777777" w:rsidR="00140B7C" w:rsidRPr="00EC4EC4" w:rsidRDefault="00140B7C" w:rsidP="00140B7C">
      <w:pPr>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7. Provide such essential services as are normally supplied by the equipment while it is out of service;</w:t>
      </w:r>
    </w:p>
    <w:p w14:paraId="01C5B086" w14:textId="77777777" w:rsidR="00140B7C" w:rsidRPr="00EC4EC4" w:rsidRDefault="00140B7C" w:rsidP="00140B7C">
      <w:pPr>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 xml:space="preserve">8. Where necessary, support such extended chimneys, vents and equipment from this building or to carry up such chimneys or vents within his or her building; </w:t>
      </w:r>
    </w:p>
    <w:p w14:paraId="1811B709" w14:textId="77777777" w:rsidR="00140B7C" w:rsidRPr="00EC4EC4" w:rsidRDefault="00140B7C" w:rsidP="00140B7C">
      <w:pPr>
        <w:kinsoku w:val="0"/>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 xml:space="preserve">9. Provide for the maintenance, repair, and/or replacement of such extensions and added equipment; </w:t>
      </w:r>
    </w:p>
    <w:p w14:paraId="7AA78A24" w14:textId="77777777" w:rsidR="00140B7C" w:rsidRPr="00EC4EC4" w:rsidRDefault="00140B7C" w:rsidP="00140B7C">
      <w:pPr>
        <w:kinsoku w:val="0"/>
        <w:spacing w:after="240" w:line="240" w:lineRule="auto"/>
        <w:ind w:left="1440" w:hanging="360"/>
        <w:jc w:val="both"/>
        <w:rPr>
          <w:rFonts w:eastAsia="Times New Roman" w:cs="Times New Roman"/>
          <w:b/>
          <w:bCs/>
          <w:szCs w:val="24"/>
        </w:rPr>
      </w:pPr>
      <w:r w:rsidRPr="00EC4EC4">
        <w:rPr>
          <w:rFonts w:eastAsia="Times New Roman" w:cs="Times New Roman"/>
          <w:spacing w:val="1"/>
          <w:szCs w:val="24"/>
        </w:rPr>
        <w:t xml:space="preserve">10. Make such alterations of the same material as the original chimney or vent so as to maintain the same quality and appearance, except where the  owner of the chimney or vent shall give his or her consent to do otherwise. All work shall be done in such fashion as to maintain the architectural aesthetics of the existing building. Where there is practical difficulty in complying strictly with the provisions of this item, the commissioner may permit an equally safe alternative; </w:t>
      </w:r>
    </w:p>
    <w:p w14:paraId="086B8EED" w14:textId="77777777" w:rsidR="00140B7C" w:rsidRPr="00EC4EC4" w:rsidRDefault="00140B7C" w:rsidP="00140B7C">
      <w:pPr>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 xml:space="preserve">11. Comply with the tenant protection plan requirements of Section 28-120 of the </w:t>
      </w:r>
      <w:r w:rsidRPr="00EC4EC4">
        <w:rPr>
          <w:rFonts w:eastAsia="Times New Roman" w:cs="Times New Roman"/>
          <w:i/>
          <w:spacing w:val="1"/>
          <w:szCs w:val="24"/>
        </w:rPr>
        <w:t>New York City Administrative Code</w:t>
      </w:r>
      <w:r w:rsidRPr="00EC4EC4">
        <w:rPr>
          <w:rFonts w:eastAsia="Times New Roman" w:cs="Times New Roman"/>
          <w:spacing w:val="1"/>
          <w:szCs w:val="24"/>
        </w:rPr>
        <w:t>; and</w:t>
      </w:r>
    </w:p>
    <w:p w14:paraId="2156D9B7" w14:textId="77777777" w:rsidR="00140B7C" w:rsidRPr="00EC4EC4" w:rsidRDefault="00140B7C" w:rsidP="00140B7C">
      <w:pPr>
        <w:kinsoku w:val="0"/>
        <w:spacing w:after="240" w:line="240" w:lineRule="auto"/>
        <w:ind w:left="1440" w:hanging="360"/>
        <w:jc w:val="both"/>
        <w:rPr>
          <w:rFonts w:eastAsia="Times New Roman" w:cs="Times New Roman"/>
          <w:spacing w:val="1"/>
          <w:szCs w:val="24"/>
        </w:rPr>
      </w:pPr>
      <w:r w:rsidRPr="00EC4EC4">
        <w:rPr>
          <w:rFonts w:eastAsia="Times New Roman" w:cs="Times New Roman"/>
          <w:spacing w:val="1"/>
          <w:szCs w:val="24"/>
        </w:rPr>
        <w:t xml:space="preserve">12. Comply with inspection and sign-off requirements of Section 28-116 of the </w:t>
      </w:r>
      <w:r w:rsidRPr="00EC4EC4">
        <w:rPr>
          <w:rFonts w:eastAsia="Times New Roman" w:cs="Times New Roman"/>
          <w:i/>
          <w:iCs/>
          <w:spacing w:val="1"/>
          <w:szCs w:val="24"/>
        </w:rPr>
        <w:t xml:space="preserve">New York City </w:t>
      </w:r>
      <w:r w:rsidRPr="00EC4EC4">
        <w:rPr>
          <w:rFonts w:eastAsia="Times New Roman" w:cs="Times New Roman"/>
          <w:i/>
          <w:spacing w:val="1"/>
          <w:szCs w:val="24"/>
        </w:rPr>
        <w:t>Administrative Code</w:t>
      </w:r>
      <w:r w:rsidRPr="00EC4EC4">
        <w:rPr>
          <w:rFonts w:eastAsia="Times New Roman" w:cs="Times New Roman"/>
          <w:spacing w:val="1"/>
          <w:szCs w:val="24"/>
        </w:rPr>
        <w:t>.</w:t>
      </w:r>
      <w:bookmarkEnd w:id="237"/>
    </w:p>
    <w:bookmarkEnd w:id="236"/>
    <w:p w14:paraId="1BEAFD20" w14:textId="32BAA08E" w:rsidR="00140B7C" w:rsidRPr="0090302A" w:rsidRDefault="00140B7C" w:rsidP="00140B7C">
      <w:pPr>
        <w:kinsoku w:val="0"/>
        <w:spacing w:after="240" w:line="240" w:lineRule="auto"/>
        <w:ind w:firstLine="720"/>
        <w:jc w:val="both"/>
        <w:rPr>
          <w:rFonts w:eastAsia="Times New Roman" w:cs="Times New Roman"/>
          <w:b/>
          <w:bCs/>
          <w:szCs w:val="24"/>
        </w:rPr>
      </w:pPr>
      <w:r w:rsidRPr="0090302A">
        <w:rPr>
          <w:rFonts w:cs="Times New Roman"/>
          <w:sz w:val="23"/>
          <w:szCs w:val="23"/>
        </w:rPr>
        <w:t>§3</w:t>
      </w:r>
      <w:r w:rsidR="0063646B">
        <w:rPr>
          <w:rFonts w:cs="Times New Roman"/>
          <w:sz w:val="23"/>
          <w:szCs w:val="23"/>
        </w:rPr>
        <w:t>22</w:t>
      </w:r>
      <w:r w:rsidRPr="0090302A">
        <w:rPr>
          <w:rFonts w:cs="Times New Roman"/>
          <w:sz w:val="23"/>
          <w:szCs w:val="23"/>
        </w:rPr>
        <w:t>. Section 803.10.4 of the New York city mechanical code, as amended by local law number 126 for the year 2021, is amended to read as follows:</w:t>
      </w:r>
    </w:p>
    <w:p w14:paraId="20FD7E95" w14:textId="77777777" w:rsidR="00140B7C" w:rsidRPr="0090302A" w:rsidRDefault="00140B7C" w:rsidP="00140B7C">
      <w:pPr>
        <w:autoSpaceDE w:val="0"/>
        <w:autoSpaceDN w:val="0"/>
        <w:adjustRightInd w:val="0"/>
        <w:spacing w:after="240" w:line="240" w:lineRule="auto"/>
        <w:jc w:val="both"/>
        <w:rPr>
          <w:rFonts w:eastAsia="Times New Roman" w:cs="Times New Roman"/>
          <w:szCs w:val="24"/>
        </w:rPr>
      </w:pPr>
      <w:bookmarkStart w:id="239" w:name="_Toc388541979"/>
      <w:r w:rsidRPr="0090302A">
        <w:rPr>
          <w:rFonts w:eastAsia="Times New Roman" w:cs="Times New Roman"/>
          <w:b/>
          <w:bCs/>
          <w:szCs w:val="24"/>
        </w:rPr>
        <w:t>803.10.4 Connector pass-through.</w:t>
      </w:r>
      <w:bookmarkEnd w:id="239"/>
      <w:r w:rsidRPr="0090302A">
        <w:rPr>
          <w:rFonts w:eastAsia="Times New Roman" w:cs="Times New Roman"/>
          <w:bCs/>
          <w:szCs w:val="24"/>
        </w:rPr>
        <w:t xml:space="preserve"> </w:t>
      </w:r>
      <w:r w:rsidRPr="0090302A">
        <w:rPr>
          <w:rFonts w:eastAsia="Times New Roman" w:cs="Times New Roman"/>
          <w:szCs w:val="24"/>
        </w:rPr>
        <w:t>Chimney connectors shall not pass through any floor or ceiling, nor through a fire-resistance-rated wall assembly. Chimney connectors [</w:t>
      </w:r>
      <w:r w:rsidRPr="0090302A">
        <w:rPr>
          <w:rFonts w:eastAsia="Times New Roman" w:cs="Times New Roman"/>
          <w:strike/>
          <w:szCs w:val="24"/>
        </w:rPr>
        <w:t>for domestic-type appliances</w:t>
      </w:r>
      <w:r w:rsidRPr="0090302A">
        <w:rPr>
          <w:rFonts w:eastAsia="Times New Roman" w:cs="Times New Roman"/>
          <w:szCs w:val="24"/>
        </w:rPr>
        <w:t>] shall not pass through walls or partitions constructed of combustible material to reach a chimney or vent, except where such chimney connector complies with Section 803.10.4.1 or 803.10.4.2.</w:t>
      </w:r>
    </w:p>
    <w:p w14:paraId="37EDD852" w14:textId="3B6D9B57" w:rsidR="00140B7C" w:rsidRPr="0090302A" w:rsidRDefault="00140B7C" w:rsidP="00140B7C">
      <w:pPr>
        <w:kinsoku w:val="0"/>
        <w:spacing w:after="240" w:line="240" w:lineRule="auto"/>
        <w:ind w:firstLine="720"/>
        <w:jc w:val="both"/>
        <w:rPr>
          <w:rFonts w:eastAsia="Times New Roman" w:cs="Times New Roman"/>
          <w:b/>
          <w:bCs/>
          <w:szCs w:val="24"/>
        </w:rPr>
      </w:pPr>
      <w:r w:rsidRPr="0090302A">
        <w:rPr>
          <w:rFonts w:cs="Times New Roman"/>
          <w:sz w:val="23"/>
          <w:szCs w:val="23"/>
        </w:rPr>
        <w:t>§3</w:t>
      </w:r>
      <w:r w:rsidR="0063646B">
        <w:rPr>
          <w:rFonts w:cs="Times New Roman"/>
          <w:sz w:val="23"/>
          <w:szCs w:val="23"/>
        </w:rPr>
        <w:t>23</w:t>
      </w:r>
      <w:r w:rsidRPr="0090302A">
        <w:rPr>
          <w:rFonts w:cs="Times New Roman"/>
          <w:sz w:val="23"/>
          <w:szCs w:val="23"/>
        </w:rPr>
        <w:t>. Section 803.10.4.1 of  the New York city mechanical code, as amended by local law number 126 for the year 2021, is amended to read as follows:</w:t>
      </w:r>
    </w:p>
    <w:p w14:paraId="3A90927D" w14:textId="77777777" w:rsidR="00140B7C" w:rsidRPr="0090302A" w:rsidRDefault="00140B7C" w:rsidP="00140B7C">
      <w:pPr>
        <w:autoSpaceDE w:val="0"/>
        <w:autoSpaceDN w:val="0"/>
        <w:adjustRightInd w:val="0"/>
        <w:spacing w:after="240" w:line="240" w:lineRule="auto"/>
        <w:jc w:val="both"/>
        <w:rPr>
          <w:rFonts w:eastAsia="Times New Roman" w:cs="Times New Roman"/>
          <w:szCs w:val="24"/>
        </w:rPr>
      </w:pPr>
      <w:r w:rsidRPr="0090302A">
        <w:rPr>
          <w:rFonts w:eastAsia="Times New Roman" w:cs="Times New Roman"/>
          <w:b/>
          <w:szCs w:val="24"/>
        </w:rPr>
        <w:t>803.10.4.1</w:t>
      </w:r>
      <w:r w:rsidRPr="0090302A">
        <w:rPr>
          <w:rFonts w:eastAsia="Times New Roman" w:cs="Times New Roman"/>
          <w:b/>
          <w:bCs/>
          <w:szCs w:val="24"/>
        </w:rPr>
        <w:t xml:space="preserve"> Manufactured insulated chimney connectors.</w:t>
      </w:r>
      <w:r w:rsidRPr="0090302A">
        <w:rPr>
          <w:rFonts w:eastAsia="Times New Roman" w:cs="Times New Roman"/>
          <w:szCs w:val="24"/>
        </w:rPr>
        <w:t xml:space="preserve"> Manufactured insulated chimney connectors [</w:t>
      </w:r>
      <w:r w:rsidRPr="0090302A">
        <w:rPr>
          <w:rFonts w:eastAsia="Times New Roman" w:cs="Times New Roman"/>
          <w:strike/>
          <w:szCs w:val="24"/>
        </w:rPr>
        <w:t>for domestic-type appliances</w:t>
      </w:r>
      <w:r w:rsidRPr="0090302A">
        <w:rPr>
          <w:rFonts w:eastAsia="Times New Roman" w:cs="Times New Roman"/>
          <w:szCs w:val="24"/>
        </w:rPr>
        <w:t>] that pass through walls or partitions of combustible construction must comply with the following:</w:t>
      </w:r>
    </w:p>
    <w:p w14:paraId="575090F0" w14:textId="77777777" w:rsidR="00140B7C" w:rsidRPr="0090302A" w:rsidRDefault="00140B7C" w:rsidP="00140B7C">
      <w:pPr>
        <w:autoSpaceDE w:val="0"/>
        <w:autoSpaceDN w:val="0"/>
        <w:adjustRightInd w:val="0"/>
        <w:spacing w:after="240" w:line="240" w:lineRule="auto"/>
        <w:ind w:left="1440" w:hanging="360"/>
        <w:jc w:val="both"/>
        <w:rPr>
          <w:rFonts w:eastAsia="Times New Roman" w:cs="Times New Roman"/>
          <w:szCs w:val="24"/>
        </w:rPr>
      </w:pPr>
      <w:r w:rsidRPr="0090302A">
        <w:rPr>
          <w:rFonts w:eastAsia="Times New Roman" w:cs="Times New Roman"/>
          <w:szCs w:val="24"/>
        </w:rPr>
        <w:t>1.</w:t>
      </w:r>
      <w:r w:rsidRPr="0090302A">
        <w:rPr>
          <w:rFonts w:eastAsia="Times New Roman" w:cs="Times New Roman"/>
          <w:szCs w:val="24"/>
        </w:rPr>
        <w:tab/>
        <w:t>The connector is labeled for wall pass-through and is installed in accordance with the manufacturer’s instructions</w:t>
      </w:r>
      <w:r w:rsidRPr="0090302A">
        <w:rPr>
          <w:rFonts w:eastAsia="Times New Roman" w:cs="Times New Roman"/>
          <w:spacing w:val="1"/>
          <w:szCs w:val="24"/>
        </w:rPr>
        <w:t>; or</w:t>
      </w:r>
    </w:p>
    <w:p w14:paraId="48D5249F" w14:textId="77777777" w:rsidR="00140B7C" w:rsidRPr="0090302A" w:rsidRDefault="00140B7C" w:rsidP="00140B7C">
      <w:pPr>
        <w:autoSpaceDE w:val="0"/>
        <w:autoSpaceDN w:val="0"/>
        <w:adjustRightInd w:val="0"/>
        <w:spacing w:after="240" w:line="240" w:lineRule="auto"/>
        <w:ind w:left="1440" w:hanging="360"/>
        <w:jc w:val="both"/>
        <w:rPr>
          <w:rFonts w:eastAsia="Times New Roman" w:cs="Times New Roman"/>
          <w:szCs w:val="24"/>
        </w:rPr>
      </w:pPr>
      <w:r w:rsidRPr="0090302A">
        <w:rPr>
          <w:rFonts w:eastAsia="Times New Roman" w:cs="Times New Roman"/>
          <w:szCs w:val="24"/>
        </w:rPr>
        <w:t>2.</w:t>
      </w:r>
      <w:r w:rsidRPr="0090302A">
        <w:rPr>
          <w:rFonts w:eastAsia="Times New Roman" w:cs="Times New Roman"/>
          <w:szCs w:val="24"/>
        </w:rPr>
        <w:tab/>
        <w:t>The connector is put through a device labeled for wall pass-through</w:t>
      </w:r>
      <w:r w:rsidRPr="0090302A">
        <w:rPr>
          <w:rFonts w:eastAsia="Times New Roman" w:cs="Times New Roman"/>
          <w:spacing w:val="1"/>
          <w:szCs w:val="24"/>
        </w:rPr>
        <w:t>; or</w:t>
      </w:r>
    </w:p>
    <w:p w14:paraId="52FA811F" w14:textId="1DFD950E" w:rsidR="00140B7C" w:rsidRPr="002D3ED5" w:rsidRDefault="00140B7C" w:rsidP="002D3ED5">
      <w:pPr>
        <w:autoSpaceDE w:val="0"/>
        <w:autoSpaceDN w:val="0"/>
        <w:adjustRightInd w:val="0"/>
        <w:spacing w:after="240" w:line="240" w:lineRule="auto"/>
        <w:ind w:left="1440" w:hanging="360"/>
        <w:jc w:val="both"/>
        <w:rPr>
          <w:rFonts w:eastAsia="Times New Roman" w:cs="Times New Roman"/>
          <w:szCs w:val="24"/>
        </w:rPr>
      </w:pPr>
      <w:r w:rsidRPr="0090302A">
        <w:rPr>
          <w:rFonts w:eastAsia="Times New Roman" w:cs="Times New Roman"/>
          <w:szCs w:val="24"/>
        </w:rPr>
        <w:t>3.</w:t>
      </w:r>
      <w:r w:rsidRPr="0090302A">
        <w:rPr>
          <w:rFonts w:eastAsia="Times New Roman" w:cs="Times New Roman"/>
          <w:szCs w:val="24"/>
        </w:rPr>
        <w:tab/>
        <w:t>The connector has a diameter not larger than 10 inches (254 mm) and is installed in accordance with one of the methods in Table 803.10.4. Concealed metal parts of the pass-through system in contact with flue gases shall be of stainless steel or equivalent material that resists corrosion, softening or cracking up to 1,800</w:t>
      </w:r>
      <w:r w:rsidRPr="0090302A">
        <w:rPr>
          <w:rFonts w:eastAsia="Times New Roman" w:cs="Times New Roman"/>
          <w:spacing w:val="1"/>
          <w:szCs w:val="24"/>
        </w:rPr>
        <w:t>°</w:t>
      </w:r>
      <w:r w:rsidRPr="0090302A">
        <w:rPr>
          <w:rFonts w:eastAsia="Times New Roman" w:cs="Times New Roman"/>
          <w:szCs w:val="24"/>
        </w:rPr>
        <w:t>F (982</w:t>
      </w:r>
      <w:r w:rsidRPr="0090302A">
        <w:rPr>
          <w:rFonts w:eastAsia="Times New Roman" w:cs="Times New Roman"/>
          <w:spacing w:val="1"/>
          <w:szCs w:val="24"/>
        </w:rPr>
        <w:t>°</w:t>
      </w:r>
      <w:r w:rsidRPr="0090302A">
        <w:rPr>
          <w:rFonts w:eastAsia="Times New Roman" w:cs="Times New Roman"/>
          <w:szCs w:val="24"/>
        </w:rPr>
        <w:t>C).</w:t>
      </w:r>
    </w:p>
    <w:tbl>
      <w:tblPr>
        <w:tblW w:w="4958" w:type="pct"/>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ook w:val="0000" w:firstRow="0" w:lastRow="0" w:firstColumn="0" w:lastColumn="0" w:noHBand="0" w:noVBand="0"/>
      </w:tblPr>
      <w:tblGrid>
        <w:gridCol w:w="1801"/>
        <w:gridCol w:w="7480"/>
      </w:tblGrid>
      <w:tr w:rsidR="00140B7C" w:rsidRPr="00EC4EC4" w14:paraId="2B2C8D9E" w14:textId="77777777" w:rsidTr="001548DF">
        <w:trPr>
          <w:cantSplit/>
          <w:tblHeader/>
          <w:jc w:val="center"/>
        </w:trPr>
        <w:tc>
          <w:tcPr>
            <w:tcW w:w="5000" w:type="pct"/>
            <w:gridSpan w:val="2"/>
            <w:tcBorders>
              <w:top w:val="nil"/>
              <w:left w:val="nil"/>
              <w:bottom w:val="single" w:sz="6" w:space="0" w:color="000000"/>
              <w:right w:val="nil"/>
            </w:tcBorders>
            <w:vAlign w:val="center"/>
          </w:tcPr>
          <w:p w14:paraId="6F386278" w14:textId="01035BA3" w:rsidR="00140B7C" w:rsidRDefault="00140B7C" w:rsidP="00BC1087">
            <w:pPr>
              <w:pStyle w:val="FlushLeft"/>
              <w:ind w:firstLine="701"/>
              <w:rPr>
                <w:b/>
                <w:bCs/>
                <w:szCs w:val="24"/>
                <w:u w:val="single"/>
              </w:rPr>
            </w:pPr>
            <w:bookmarkStart w:id="240" w:name="_Toc388541981"/>
            <w:r w:rsidRPr="00EC4EC4">
              <w:rPr>
                <w:sz w:val="23"/>
                <w:szCs w:val="23"/>
              </w:rPr>
              <w:t>§</w:t>
            </w:r>
            <w:r>
              <w:rPr>
                <w:sz w:val="23"/>
                <w:szCs w:val="23"/>
              </w:rPr>
              <w:t>32</w:t>
            </w:r>
            <w:r w:rsidR="0063646B">
              <w:rPr>
                <w:sz w:val="23"/>
                <w:szCs w:val="23"/>
              </w:rPr>
              <w:t>4</w:t>
            </w:r>
            <w:r w:rsidRPr="00EC4EC4">
              <w:rPr>
                <w:sz w:val="23"/>
                <w:szCs w:val="23"/>
              </w:rPr>
              <w:t xml:space="preserve">. </w:t>
            </w:r>
            <w:r>
              <w:rPr>
                <w:sz w:val="23"/>
                <w:szCs w:val="23"/>
              </w:rPr>
              <w:t>S</w:t>
            </w:r>
            <w:r w:rsidRPr="00EC4EC4">
              <w:rPr>
                <w:sz w:val="23"/>
                <w:szCs w:val="23"/>
              </w:rPr>
              <w:t xml:space="preserve">ection </w:t>
            </w:r>
            <w:r>
              <w:rPr>
                <w:sz w:val="23"/>
                <w:szCs w:val="23"/>
              </w:rPr>
              <w:t xml:space="preserve">810.1 </w:t>
            </w:r>
            <w:r w:rsidRPr="00EC4EC4">
              <w:rPr>
                <w:sz w:val="23"/>
                <w:szCs w:val="23"/>
              </w:rPr>
              <w:t xml:space="preserve">of the New York city </w:t>
            </w:r>
            <w:r>
              <w:rPr>
                <w:sz w:val="23"/>
                <w:szCs w:val="23"/>
              </w:rPr>
              <w:t xml:space="preserve">mechanical </w:t>
            </w:r>
            <w:r w:rsidRPr="00EC4EC4">
              <w:rPr>
                <w:sz w:val="23"/>
                <w:szCs w:val="23"/>
              </w:rPr>
              <w:t>code, as a</w:t>
            </w:r>
            <w:r>
              <w:rPr>
                <w:sz w:val="23"/>
                <w:szCs w:val="23"/>
              </w:rPr>
              <w:t xml:space="preserve">mended </w:t>
            </w:r>
            <w:r w:rsidRPr="00EC4EC4">
              <w:rPr>
                <w:sz w:val="23"/>
                <w:szCs w:val="23"/>
              </w:rPr>
              <w:t>by local law number 126 for the year 2021, is amended</w:t>
            </w:r>
            <w:r>
              <w:rPr>
                <w:sz w:val="23"/>
                <w:szCs w:val="23"/>
              </w:rPr>
              <w:t xml:space="preserve"> to read as follows:</w:t>
            </w:r>
          </w:p>
          <w:p w14:paraId="6126781F" w14:textId="77777777" w:rsidR="00140B7C" w:rsidRPr="00A61B75" w:rsidRDefault="00140B7C" w:rsidP="00BC1087">
            <w:pPr>
              <w:kinsoku w:val="0"/>
              <w:spacing w:after="240" w:line="240" w:lineRule="auto"/>
              <w:jc w:val="both"/>
              <w:rPr>
                <w:rFonts w:eastAsia="Times New Roman" w:cs="Times New Roman"/>
                <w:szCs w:val="24"/>
              </w:rPr>
            </w:pPr>
            <w:r w:rsidRPr="00A61B75">
              <w:rPr>
                <w:rFonts w:eastAsia="Times New Roman" w:cs="Times New Roman"/>
                <w:b/>
                <w:bCs/>
                <w:szCs w:val="24"/>
              </w:rPr>
              <w:t>810.1 Test run.</w:t>
            </w:r>
            <w:r w:rsidRPr="00A61B75">
              <w:rPr>
                <w:rFonts w:eastAsia="Times New Roman" w:cs="Times New Roman"/>
                <w:szCs w:val="24"/>
              </w:rPr>
              <w:t xml:space="preserve"> All new and altered chimneys, and chimneys to which a new appliance has been connected, shall be test run under operating conditions to demonstrate fire safety and the complete exhausting of smoke and the products of combustion to the outer air. The test run shall be conducted by a registered design professional or special inspector responsible for the test, and the results of such test run shall be certified as correct by such professional or special inspector and submitted in writing to the department. Refer to Section 1705.32 of the New York City Building Code for additional requirements.</w:t>
            </w:r>
          </w:p>
          <w:p w14:paraId="1BDB3812" w14:textId="77777777" w:rsidR="00140B7C" w:rsidRDefault="00140B7C" w:rsidP="00BC1087">
            <w:pPr>
              <w:kinsoku w:val="0"/>
              <w:spacing w:after="240" w:line="240" w:lineRule="auto"/>
              <w:ind w:left="701"/>
              <w:jc w:val="both"/>
              <w:rPr>
                <w:rFonts w:eastAsia="Times New Roman" w:cs="Times New Roman"/>
                <w:szCs w:val="24"/>
                <w:u w:val="single"/>
              </w:rPr>
            </w:pPr>
            <w:r w:rsidRPr="00A61B75">
              <w:rPr>
                <w:rFonts w:eastAsia="Times New Roman" w:cs="Times New Roman"/>
                <w:b/>
                <w:bCs/>
                <w:szCs w:val="24"/>
                <w:u w:val="single"/>
              </w:rPr>
              <w:t>Exception:</w:t>
            </w:r>
            <w:r w:rsidRPr="00312B5D">
              <w:rPr>
                <w:rFonts w:eastAsia="Times New Roman" w:cs="Times New Roman"/>
                <w:szCs w:val="24"/>
                <w:u w:val="single"/>
              </w:rPr>
              <w:t xml:space="preserve"> A test run in accordance with this section may be conducted and certified to the department by the permit-holder when the work is performed as part of a limited alteration application, as defined in Section 28-101.5 of the Administrative Code.  The test run shall not require a registered design professional or special inspector.</w:t>
            </w:r>
          </w:p>
          <w:p w14:paraId="4402D937" w14:textId="271E14FE" w:rsidR="00140B7C" w:rsidRDefault="00140B7C" w:rsidP="00BC1087">
            <w:pPr>
              <w:pStyle w:val="FlushLeft"/>
              <w:ind w:firstLine="701"/>
              <w:rPr>
                <w:sz w:val="23"/>
                <w:szCs w:val="23"/>
              </w:rPr>
            </w:pPr>
            <w:r w:rsidRPr="00EC4EC4">
              <w:rPr>
                <w:sz w:val="23"/>
                <w:szCs w:val="23"/>
              </w:rPr>
              <w:t>§</w:t>
            </w:r>
            <w:r>
              <w:rPr>
                <w:sz w:val="23"/>
                <w:szCs w:val="23"/>
              </w:rPr>
              <w:t>32</w:t>
            </w:r>
            <w:r w:rsidR="0063646B">
              <w:rPr>
                <w:sz w:val="23"/>
                <w:szCs w:val="23"/>
              </w:rPr>
              <w:t>5</w:t>
            </w:r>
            <w:r w:rsidRPr="00EC4EC4">
              <w:rPr>
                <w:sz w:val="23"/>
                <w:szCs w:val="23"/>
              </w:rPr>
              <w:t xml:space="preserve">. </w:t>
            </w:r>
            <w:r>
              <w:rPr>
                <w:sz w:val="23"/>
                <w:szCs w:val="23"/>
              </w:rPr>
              <w:t>S</w:t>
            </w:r>
            <w:r w:rsidRPr="00EC4EC4">
              <w:rPr>
                <w:sz w:val="23"/>
                <w:szCs w:val="23"/>
              </w:rPr>
              <w:t xml:space="preserve">ection </w:t>
            </w:r>
            <w:r>
              <w:rPr>
                <w:sz w:val="23"/>
                <w:szCs w:val="23"/>
              </w:rPr>
              <w:t xml:space="preserve">810.2 </w:t>
            </w:r>
            <w:r w:rsidRPr="00EC4EC4">
              <w:rPr>
                <w:sz w:val="23"/>
                <w:szCs w:val="23"/>
              </w:rPr>
              <w:t xml:space="preserve">of the New York city </w:t>
            </w:r>
            <w:r>
              <w:rPr>
                <w:sz w:val="23"/>
                <w:szCs w:val="23"/>
              </w:rPr>
              <w:t xml:space="preserve">mechanical </w:t>
            </w:r>
            <w:r w:rsidRPr="00EC4EC4">
              <w:rPr>
                <w:sz w:val="23"/>
                <w:szCs w:val="23"/>
              </w:rPr>
              <w:t>code, as a</w:t>
            </w:r>
            <w:r>
              <w:rPr>
                <w:sz w:val="23"/>
                <w:szCs w:val="23"/>
              </w:rPr>
              <w:t xml:space="preserve">mended </w:t>
            </w:r>
            <w:r w:rsidRPr="00EC4EC4">
              <w:rPr>
                <w:sz w:val="23"/>
                <w:szCs w:val="23"/>
              </w:rPr>
              <w:t>by local law</w:t>
            </w:r>
            <w:r>
              <w:rPr>
                <w:sz w:val="23"/>
                <w:szCs w:val="23"/>
              </w:rPr>
              <w:t xml:space="preserve"> </w:t>
            </w:r>
            <w:r w:rsidRPr="00EC4EC4">
              <w:rPr>
                <w:sz w:val="23"/>
                <w:szCs w:val="23"/>
              </w:rPr>
              <w:t>number 126 for the year 2021, is amended</w:t>
            </w:r>
            <w:r>
              <w:rPr>
                <w:sz w:val="23"/>
                <w:szCs w:val="23"/>
              </w:rPr>
              <w:t xml:space="preserve"> to read as follows:</w:t>
            </w:r>
          </w:p>
          <w:p w14:paraId="3C53E22E" w14:textId="77777777" w:rsidR="00140B7C" w:rsidRDefault="00140B7C" w:rsidP="00BC1087">
            <w:pPr>
              <w:kinsoku w:val="0"/>
              <w:spacing w:after="240" w:line="240" w:lineRule="auto"/>
              <w:jc w:val="both"/>
              <w:rPr>
                <w:rFonts w:eastAsia="Times New Roman" w:cs="Times New Roman"/>
                <w:spacing w:val="1"/>
                <w:szCs w:val="24"/>
              </w:rPr>
            </w:pPr>
            <w:r w:rsidRPr="00A61B75">
              <w:rPr>
                <w:rFonts w:eastAsia="Times New Roman" w:cs="Times New Roman"/>
                <w:b/>
                <w:szCs w:val="24"/>
              </w:rPr>
              <w:t>810.2 Requirement of a smoke test.</w:t>
            </w:r>
            <w:r w:rsidRPr="00A61B75">
              <w:rPr>
                <w:rFonts w:eastAsia="Times New Roman" w:cs="Times New Roman"/>
                <w:b/>
                <w:bCs/>
                <w:spacing w:val="-3"/>
                <w:w w:val="110"/>
                <w:szCs w:val="24"/>
              </w:rPr>
              <w:t xml:space="preserve"> </w:t>
            </w:r>
            <w:r w:rsidRPr="00A61B75">
              <w:rPr>
                <w:rFonts w:eastAsia="Times New Roman" w:cs="Times New Roman"/>
                <w:spacing w:val="1"/>
                <w:szCs w:val="24"/>
              </w:rPr>
              <w:t>A smoke test shall be made as outlined in Section 810.3. Any faults or leaks found shall be corrected. Such smoke test shall be witnessed by a representative of the commissioner. In lieu thereof, the commissioner may accept the test report of a registered design professional or special inspector responsible for the test that shall be submitted in writing to the department.</w:t>
            </w:r>
          </w:p>
          <w:p w14:paraId="7918D852" w14:textId="77777777" w:rsidR="00140B7C" w:rsidRPr="0090302A" w:rsidRDefault="00140B7C" w:rsidP="00BC1087">
            <w:pPr>
              <w:kinsoku w:val="0"/>
              <w:spacing w:after="240" w:line="240" w:lineRule="auto"/>
              <w:ind w:left="521"/>
              <w:jc w:val="both"/>
              <w:rPr>
                <w:rFonts w:eastAsia="Times New Roman" w:cs="Times New Roman"/>
                <w:spacing w:val="1"/>
                <w:szCs w:val="24"/>
                <w:u w:val="single"/>
              </w:rPr>
            </w:pPr>
            <w:r w:rsidRPr="00A61B75">
              <w:rPr>
                <w:rFonts w:eastAsia="Times New Roman" w:cs="Times New Roman"/>
                <w:b/>
                <w:bCs/>
                <w:spacing w:val="1"/>
                <w:szCs w:val="24"/>
                <w:u w:val="single"/>
              </w:rPr>
              <w:t>Exception:</w:t>
            </w:r>
            <w:r w:rsidRPr="00A61B75">
              <w:rPr>
                <w:rFonts w:eastAsia="Times New Roman" w:cs="Times New Roman"/>
                <w:spacing w:val="1"/>
                <w:szCs w:val="24"/>
                <w:u w:val="single"/>
              </w:rPr>
              <w:t xml:space="preserve"> A smoke test may be performed by or under the supervision of a permit-holder when the work is performed as part of a limited alteration application, as defined in Section 28-101.5 of the Administrative Code.  Such test shall not be required to be </w:t>
            </w:r>
            <w:r w:rsidRPr="0090302A">
              <w:rPr>
                <w:rFonts w:eastAsia="Times New Roman" w:cs="Times New Roman"/>
                <w:spacing w:val="1"/>
                <w:szCs w:val="24"/>
                <w:u w:val="single"/>
              </w:rPr>
              <w:t>witnessed by the department, registered design professional, or special inspector.</w:t>
            </w:r>
            <w:r w:rsidRPr="0090302A">
              <w:rPr>
                <w:rFonts w:cs="Times New Roman"/>
                <w:sz w:val="23"/>
                <w:szCs w:val="23"/>
              </w:rPr>
              <w:t xml:space="preserve">     </w:t>
            </w:r>
          </w:p>
          <w:p w14:paraId="05CEC955" w14:textId="77777777" w:rsidR="00730E02" w:rsidRDefault="00730E02" w:rsidP="001548DF">
            <w:pPr>
              <w:kinsoku w:val="0"/>
              <w:spacing w:after="240" w:line="240" w:lineRule="auto"/>
              <w:ind w:firstLine="702"/>
              <w:jc w:val="both"/>
              <w:rPr>
                <w:rFonts w:cs="Times New Roman"/>
                <w:sz w:val="23"/>
                <w:szCs w:val="23"/>
              </w:rPr>
            </w:pPr>
          </w:p>
          <w:p w14:paraId="688E2EB0" w14:textId="77777777" w:rsidR="00730E02" w:rsidRDefault="00730E02" w:rsidP="001548DF">
            <w:pPr>
              <w:kinsoku w:val="0"/>
              <w:spacing w:after="240" w:line="240" w:lineRule="auto"/>
              <w:ind w:firstLine="702"/>
              <w:jc w:val="both"/>
              <w:rPr>
                <w:rFonts w:cs="Times New Roman"/>
                <w:sz w:val="23"/>
                <w:szCs w:val="23"/>
              </w:rPr>
            </w:pPr>
          </w:p>
          <w:p w14:paraId="309D273F" w14:textId="77777777" w:rsidR="00730E02" w:rsidRDefault="00730E02" w:rsidP="001548DF">
            <w:pPr>
              <w:kinsoku w:val="0"/>
              <w:spacing w:after="240" w:line="240" w:lineRule="auto"/>
              <w:ind w:firstLine="702"/>
              <w:jc w:val="both"/>
              <w:rPr>
                <w:rFonts w:cs="Times New Roman"/>
                <w:sz w:val="23"/>
                <w:szCs w:val="23"/>
              </w:rPr>
            </w:pPr>
          </w:p>
          <w:p w14:paraId="07AEFD50" w14:textId="77777777" w:rsidR="00730E02" w:rsidRDefault="00730E02" w:rsidP="001548DF">
            <w:pPr>
              <w:kinsoku w:val="0"/>
              <w:spacing w:after="240" w:line="240" w:lineRule="auto"/>
              <w:ind w:firstLine="702"/>
              <w:jc w:val="both"/>
              <w:rPr>
                <w:rFonts w:cs="Times New Roman"/>
                <w:sz w:val="23"/>
                <w:szCs w:val="23"/>
              </w:rPr>
            </w:pPr>
          </w:p>
          <w:p w14:paraId="180584B7" w14:textId="77777777" w:rsidR="00730E02" w:rsidRDefault="00730E02" w:rsidP="001548DF">
            <w:pPr>
              <w:kinsoku w:val="0"/>
              <w:spacing w:after="240" w:line="240" w:lineRule="auto"/>
              <w:ind w:firstLine="702"/>
              <w:jc w:val="both"/>
              <w:rPr>
                <w:rFonts w:cs="Times New Roman"/>
                <w:sz w:val="23"/>
                <w:szCs w:val="23"/>
              </w:rPr>
            </w:pPr>
          </w:p>
          <w:p w14:paraId="594F825B" w14:textId="77777777" w:rsidR="00730E02" w:rsidRDefault="00730E02" w:rsidP="001548DF">
            <w:pPr>
              <w:kinsoku w:val="0"/>
              <w:spacing w:after="240" w:line="240" w:lineRule="auto"/>
              <w:ind w:firstLine="702"/>
              <w:jc w:val="both"/>
              <w:rPr>
                <w:rFonts w:cs="Times New Roman"/>
                <w:sz w:val="23"/>
                <w:szCs w:val="23"/>
              </w:rPr>
            </w:pPr>
          </w:p>
          <w:p w14:paraId="322D4C45" w14:textId="77777777" w:rsidR="00730E02" w:rsidRDefault="00730E02" w:rsidP="001548DF">
            <w:pPr>
              <w:kinsoku w:val="0"/>
              <w:spacing w:after="240" w:line="240" w:lineRule="auto"/>
              <w:ind w:firstLine="702"/>
              <w:jc w:val="both"/>
              <w:rPr>
                <w:rFonts w:cs="Times New Roman"/>
                <w:sz w:val="23"/>
                <w:szCs w:val="23"/>
              </w:rPr>
            </w:pPr>
          </w:p>
          <w:p w14:paraId="6F6E462F" w14:textId="77777777" w:rsidR="00730E02" w:rsidRDefault="00730E02" w:rsidP="001548DF">
            <w:pPr>
              <w:kinsoku w:val="0"/>
              <w:spacing w:after="240" w:line="240" w:lineRule="auto"/>
              <w:ind w:firstLine="702"/>
              <w:jc w:val="both"/>
              <w:rPr>
                <w:rFonts w:cs="Times New Roman"/>
                <w:sz w:val="23"/>
                <w:szCs w:val="23"/>
              </w:rPr>
            </w:pPr>
          </w:p>
          <w:p w14:paraId="492FCB48" w14:textId="0ED3D3BA" w:rsidR="00140B7C" w:rsidRPr="0090302A" w:rsidRDefault="00140B7C" w:rsidP="001548DF">
            <w:pPr>
              <w:kinsoku w:val="0"/>
              <w:spacing w:after="240" w:line="240" w:lineRule="auto"/>
              <w:ind w:firstLine="702"/>
              <w:jc w:val="both"/>
              <w:rPr>
                <w:rFonts w:eastAsia="Times New Roman" w:cs="Times New Roman"/>
                <w:b/>
                <w:bCs/>
                <w:szCs w:val="24"/>
              </w:rPr>
            </w:pPr>
            <w:r w:rsidRPr="0090302A">
              <w:rPr>
                <w:rFonts w:cs="Times New Roman"/>
                <w:sz w:val="23"/>
                <w:szCs w:val="23"/>
              </w:rPr>
              <w:t>§32</w:t>
            </w:r>
            <w:r w:rsidR="0063646B">
              <w:rPr>
                <w:rFonts w:cs="Times New Roman"/>
                <w:sz w:val="23"/>
                <w:szCs w:val="23"/>
              </w:rPr>
              <w:t>6</w:t>
            </w:r>
            <w:r w:rsidRPr="0090302A">
              <w:rPr>
                <w:rFonts w:cs="Times New Roman"/>
                <w:sz w:val="23"/>
                <w:szCs w:val="23"/>
              </w:rPr>
              <w:t>. Table 803.10.4 of  the New York city mechanical code, as amended by local law number 126 for the year 2021, is amended to read as follows:</w:t>
            </w:r>
          </w:p>
          <w:p w14:paraId="49966EFC" w14:textId="77777777" w:rsidR="00140B7C" w:rsidRPr="00EC4EC4" w:rsidRDefault="00140B7C" w:rsidP="00BC1087">
            <w:pPr>
              <w:pStyle w:val="HeadingCaps"/>
            </w:pPr>
            <w:r w:rsidRPr="0090302A">
              <w:t>TABLE 803.10.4</w:t>
            </w:r>
            <w:r w:rsidRPr="0090302A">
              <w:br/>
              <w:t>CHIMNEY CONNECTOR SYSTEMS AND CLEARANCES</w:t>
            </w:r>
            <w:r w:rsidRPr="0090302A">
              <w:br/>
              <w:t>TO COMBUSTIBLE WALL MATERIALS FOR [</w:t>
            </w:r>
            <w:r w:rsidRPr="0090302A">
              <w:rPr>
                <w:strike/>
              </w:rPr>
              <w:t>DOMESTIC</w:t>
            </w:r>
            <w:r w:rsidRPr="0090302A">
              <w:t>] HEATING APPLIANCES</w:t>
            </w:r>
            <w:r w:rsidRPr="0090302A">
              <w:rPr>
                <w:vertAlign w:val="superscript"/>
              </w:rPr>
              <w:t>a,b,c,d</w:t>
            </w:r>
          </w:p>
        </w:tc>
      </w:tr>
      <w:tr w:rsidR="00140B7C" w:rsidRPr="00EC4EC4" w14:paraId="21D654EC" w14:textId="77777777" w:rsidTr="001548DF">
        <w:trPr>
          <w:cantSplit/>
          <w:jc w:val="center"/>
        </w:trPr>
        <w:tc>
          <w:tcPr>
            <w:tcW w:w="970" w:type="pct"/>
            <w:tcBorders>
              <w:top w:val="single" w:sz="6" w:space="0" w:color="000000"/>
            </w:tcBorders>
            <w:vAlign w:val="center"/>
          </w:tcPr>
          <w:p w14:paraId="6741B898" w14:textId="77777777" w:rsidR="00140B7C" w:rsidRPr="00EC4EC4" w:rsidRDefault="00140B7C" w:rsidP="00BC1087">
            <w:pPr>
              <w:autoSpaceDE w:val="0"/>
              <w:autoSpaceDN w:val="0"/>
              <w:adjustRightInd w:val="0"/>
              <w:spacing w:before="120" w:after="120" w:line="240" w:lineRule="auto"/>
              <w:jc w:val="center"/>
              <w:rPr>
                <w:rFonts w:eastAsia="Times New Roman" w:cs="Times New Roman"/>
                <w:szCs w:val="24"/>
              </w:rPr>
            </w:pPr>
            <w:r w:rsidRPr="00EC4EC4">
              <w:rPr>
                <w:rFonts w:eastAsia="Times New Roman" w:cs="Times New Roman"/>
                <w:b/>
                <w:szCs w:val="24"/>
              </w:rPr>
              <w:t xml:space="preserve">System A </w:t>
            </w:r>
            <w:r w:rsidRPr="00EC4EC4">
              <w:rPr>
                <w:rFonts w:eastAsia="Times New Roman" w:cs="Times New Roman"/>
                <w:szCs w:val="24"/>
              </w:rPr>
              <w:t>(12-inch clearance)</w:t>
            </w:r>
          </w:p>
        </w:tc>
        <w:tc>
          <w:tcPr>
            <w:tcW w:w="4030" w:type="pct"/>
            <w:tcBorders>
              <w:top w:val="single" w:sz="6" w:space="0" w:color="000000"/>
            </w:tcBorders>
            <w:vAlign w:val="center"/>
          </w:tcPr>
          <w:p w14:paraId="5F538306" w14:textId="77777777" w:rsidR="00140B7C" w:rsidRPr="00EC4EC4" w:rsidRDefault="00140B7C" w:rsidP="00BC1087">
            <w:pPr>
              <w:autoSpaceDE w:val="0"/>
              <w:autoSpaceDN w:val="0"/>
              <w:adjustRightInd w:val="0"/>
              <w:spacing w:before="120" w:after="120" w:line="240" w:lineRule="auto"/>
              <w:rPr>
                <w:rFonts w:eastAsia="Times New Roman" w:cs="Times New Roman"/>
                <w:szCs w:val="24"/>
              </w:rPr>
            </w:pPr>
            <w:r w:rsidRPr="00EC4EC4">
              <w:rPr>
                <w:rFonts w:eastAsia="Times New Roman" w:cs="Times New Roman"/>
                <w:szCs w:val="24"/>
              </w:rPr>
              <w:t xml:space="preserve">A 3.5-inch-thick brick wall shall be framed into the combustible wall. </w:t>
            </w:r>
            <w:r w:rsidRPr="00EC4EC4">
              <w:rPr>
                <w:rFonts w:eastAsia="Times New Roman" w:cs="Times New Roman"/>
                <w:spacing w:val="3"/>
                <w:szCs w:val="24"/>
              </w:rPr>
              <w:t>A</w:t>
            </w:r>
            <w:r w:rsidRPr="00EC4EC4">
              <w:rPr>
                <w:rFonts w:eastAsia="Times New Roman" w:cs="Times New Roman"/>
                <w:szCs w:val="24"/>
              </w:rPr>
              <w:t xml:space="preserve"> 0.625-inch-thick fire-clay liner (ASTM C 315 or equivalent)</w:t>
            </w:r>
            <w:r w:rsidRPr="00EC4EC4">
              <w:rPr>
                <w:rFonts w:eastAsia="Times New Roman" w:cs="Times New Roman"/>
                <w:szCs w:val="24"/>
                <w:vertAlign w:val="superscript"/>
              </w:rPr>
              <w:t>e</w:t>
            </w:r>
            <w:r w:rsidRPr="00EC4EC4">
              <w:rPr>
                <w:rFonts w:eastAsia="Times New Roman" w:cs="Times New Roman"/>
                <w:position w:val="7"/>
                <w:szCs w:val="24"/>
              </w:rPr>
              <w:t xml:space="preserve"> </w:t>
            </w:r>
            <w:r w:rsidRPr="00EC4EC4">
              <w:rPr>
                <w:rFonts w:eastAsia="Times New Roman" w:cs="Times New Roman"/>
                <w:szCs w:val="24"/>
              </w:rPr>
              <w:t>shall be firmly cemented in the center of the brick wall maintaining a 12-inch clearance to combustibles. The clay liner shall run from the outer surface of the bricks to the inner surface of the chimney liner.</w:t>
            </w:r>
          </w:p>
        </w:tc>
      </w:tr>
      <w:tr w:rsidR="00140B7C" w:rsidRPr="00EC4EC4" w14:paraId="0C1F1106" w14:textId="77777777" w:rsidTr="001548DF">
        <w:trPr>
          <w:cantSplit/>
          <w:jc w:val="center"/>
        </w:trPr>
        <w:tc>
          <w:tcPr>
            <w:tcW w:w="970" w:type="pct"/>
            <w:vAlign w:val="center"/>
          </w:tcPr>
          <w:p w14:paraId="3684B01C" w14:textId="77777777" w:rsidR="00140B7C" w:rsidRPr="00EC4EC4" w:rsidRDefault="00140B7C" w:rsidP="00BC1087">
            <w:pPr>
              <w:autoSpaceDE w:val="0"/>
              <w:autoSpaceDN w:val="0"/>
              <w:adjustRightInd w:val="0"/>
              <w:spacing w:before="120" w:after="120" w:line="240" w:lineRule="auto"/>
              <w:jc w:val="center"/>
              <w:rPr>
                <w:rFonts w:eastAsia="Times New Roman" w:cs="Times New Roman"/>
                <w:szCs w:val="24"/>
              </w:rPr>
            </w:pPr>
            <w:r w:rsidRPr="00EC4EC4">
              <w:rPr>
                <w:rFonts w:eastAsia="Times New Roman" w:cs="Times New Roman"/>
                <w:b/>
                <w:szCs w:val="24"/>
              </w:rPr>
              <w:t xml:space="preserve">System B </w:t>
            </w:r>
            <w:r w:rsidRPr="00EC4EC4">
              <w:rPr>
                <w:rFonts w:eastAsia="Times New Roman" w:cs="Times New Roman"/>
                <w:szCs w:val="24"/>
              </w:rPr>
              <w:t>(9-inch clearance)</w:t>
            </w:r>
          </w:p>
        </w:tc>
        <w:tc>
          <w:tcPr>
            <w:tcW w:w="4030" w:type="pct"/>
            <w:vAlign w:val="center"/>
          </w:tcPr>
          <w:p w14:paraId="1B64FBDD" w14:textId="77777777" w:rsidR="00140B7C" w:rsidRPr="00EC4EC4" w:rsidRDefault="00140B7C" w:rsidP="00BC1087">
            <w:pPr>
              <w:autoSpaceDE w:val="0"/>
              <w:autoSpaceDN w:val="0"/>
              <w:adjustRightInd w:val="0"/>
              <w:spacing w:before="120" w:after="120" w:line="240" w:lineRule="auto"/>
              <w:rPr>
                <w:rFonts w:eastAsia="Times New Roman" w:cs="Times New Roman"/>
                <w:szCs w:val="24"/>
              </w:rPr>
            </w:pPr>
            <w:r w:rsidRPr="00EC4EC4">
              <w:rPr>
                <w:rFonts w:eastAsia="Times New Roman" w:cs="Times New Roman"/>
                <w:szCs w:val="24"/>
              </w:rPr>
              <w:t xml:space="preserve">A labeled solid-insulated factory-built chimney section (1-inch insulation) the same inside diameter as the connector shall be utilized. Sheet steel supports cut to maintain a 9-inch clearance to combustibles shall be fastened to the wall surface and to the chimney </w:t>
            </w:r>
            <w:r w:rsidRPr="00EC4EC4">
              <w:rPr>
                <w:rFonts w:eastAsia="Times New Roman" w:cs="Times New Roman"/>
                <w:spacing w:val="3"/>
                <w:szCs w:val="24"/>
              </w:rPr>
              <w:t>section</w:t>
            </w:r>
            <w:r w:rsidRPr="00EC4EC4">
              <w:rPr>
                <w:rFonts w:eastAsia="Times New Roman" w:cs="Times New Roman"/>
                <w:szCs w:val="24"/>
              </w:rPr>
              <w:t xml:space="preserve">. Fasteners shall not penetrate the chimney flue liner. The chimney length shall be flush with the masonry chimney liner and sealed to the masonry with water-insoluble refractory cement. Chimney </w:t>
            </w:r>
            <w:r w:rsidRPr="00EC4EC4">
              <w:rPr>
                <w:rFonts w:eastAsia="Times New Roman" w:cs="Times New Roman"/>
                <w:spacing w:val="4"/>
                <w:szCs w:val="24"/>
              </w:rPr>
              <w:t xml:space="preserve">manufacturers’ </w:t>
            </w:r>
            <w:r w:rsidRPr="00EC4EC4">
              <w:rPr>
                <w:rFonts w:eastAsia="Times New Roman" w:cs="Times New Roman"/>
                <w:szCs w:val="24"/>
              </w:rPr>
              <w:t>parts shall be utilized to securely fasten the chimney connector to the chimney section.</w:t>
            </w:r>
          </w:p>
        </w:tc>
      </w:tr>
      <w:tr w:rsidR="00140B7C" w:rsidRPr="00EC4EC4" w14:paraId="5BC99368" w14:textId="77777777" w:rsidTr="001548DF">
        <w:trPr>
          <w:cantSplit/>
          <w:jc w:val="center"/>
        </w:trPr>
        <w:tc>
          <w:tcPr>
            <w:tcW w:w="970" w:type="pct"/>
            <w:vAlign w:val="center"/>
          </w:tcPr>
          <w:p w14:paraId="1EDCCE73" w14:textId="77777777" w:rsidR="00140B7C" w:rsidRPr="00EC4EC4" w:rsidRDefault="00140B7C" w:rsidP="00BC1087">
            <w:pPr>
              <w:autoSpaceDE w:val="0"/>
              <w:autoSpaceDN w:val="0"/>
              <w:adjustRightInd w:val="0"/>
              <w:spacing w:before="120" w:after="120" w:line="240" w:lineRule="auto"/>
              <w:jc w:val="center"/>
              <w:rPr>
                <w:rFonts w:eastAsia="Times New Roman" w:cs="Times New Roman"/>
                <w:szCs w:val="24"/>
              </w:rPr>
            </w:pPr>
            <w:r w:rsidRPr="00EC4EC4">
              <w:rPr>
                <w:rFonts w:eastAsia="Times New Roman" w:cs="Times New Roman"/>
                <w:b/>
                <w:szCs w:val="24"/>
              </w:rPr>
              <w:t xml:space="preserve">System C </w:t>
            </w:r>
            <w:r w:rsidRPr="00EC4EC4">
              <w:rPr>
                <w:rFonts w:eastAsia="Times New Roman" w:cs="Times New Roman"/>
                <w:szCs w:val="24"/>
              </w:rPr>
              <w:t>(6-inch clearance)</w:t>
            </w:r>
          </w:p>
        </w:tc>
        <w:tc>
          <w:tcPr>
            <w:tcW w:w="4030" w:type="pct"/>
            <w:vAlign w:val="center"/>
          </w:tcPr>
          <w:p w14:paraId="17E8DF42" w14:textId="77777777" w:rsidR="00140B7C" w:rsidRPr="00EC4EC4" w:rsidRDefault="00140B7C" w:rsidP="00BC1087">
            <w:pPr>
              <w:autoSpaceDE w:val="0"/>
              <w:autoSpaceDN w:val="0"/>
              <w:adjustRightInd w:val="0"/>
              <w:spacing w:before="120" w:after="120" w:line="240" w:lineRule="auto"/>
              <w:rPr>
                <w:rFonts w:eastAsia="Times New Roman" w:cs="Times New Roman"/>
                <w:szCs w:val="24"/>
              </w:rPr>
            </w:pPr>
            <w:r w:rsidRPr="00EC4EC4">
              <w:rPr>
                <w:rFonts w:eastAsia="Times New Roman" w:cs="Times New Roman"/>
                <w:szCs w:val="24"/>
              </w:rPr>
              <w:t xml:space="preserve">A </w:t>
            </w:r>
            <w:r w:rsidRPr="00EC4EC4">
              <w:rPr>
                <w:rFonts w:eastAsia="Times New Roman" w:cs="Times New Roman"/>
                <w:spacing w:val="4"/>
                <w:szCs w:val="24"/>
              </w:rPr>
              <w:t xml:space="preserve">sheet metal (minimum No. 24 gage) </w:t>
            </w:r>
            <w:r w:rsidRPr="00EC4EC4">
              <w:rPr>
                <w:rFonts w:eastAsia="Times New Roman" w:cs="Times New Roman"/>
                <w:szCs w:val="24"/>
              </w:rPr>
              <w:t>ventilated thimble having a minimum thickness of 0.0236 inch (No. 24 gage) having two 1-inch air channels shall be installed. Steel supports shall be cut to maintain a 6-inch clearance</w:t>
            </w:r>
            <w:r w:rsidRPr="00EC4EC4">
              <w:rPr>
                <w:rFonts w:eastAsia="Times New Roman" w:cs="Times New Roman"/>
                <w:spacing w:val="3"/>
                <w:szCs w:val="24"/>
              </w:rPr>
              <w:t xml:space="preserve"> with a sheet steel chimney connector</w:t>
            </w:r>
            <w:r w:rsidRPr="00EC4EC4">
              <w:rPr>
                <w:rFonts w:eastAsia="Times New Roman" w:cs="Times New Roman"/>
                <w:szCs w:val="24"/>
              </w:rPr>
              <w:t xml:space="preserve"> between the thimble and combustibles. The chimney connector and steel supports shall have a minimum thickness of 0.0236 inch (No. 24 gage). One side of the support shall be fastened to the wall on all sides. Glass-fiber insulation shall fill the 6-inch space between the thimble and the supports.</w:t>
            </w:r>
          </w:p>
        </w:tc>
      </w:tr>
      <w:tr w:rsidR="00140B7C" w:rsidRPr="00EC4EC4" w14:paraId="295E6CCF" w14:textId="77777777" w:rsidTr="001548DF">
        <w:trPr>
          <w:cantSplit/>
          <w:jc w:val="center"/>
        </w:trPr>
        <w:tc>
          <w:tcPr>
            <w:tcW w:w="970" w:type="pct"/>
            <w:vAlign w:val="center"/>
          </w:tcPr>
          <w:p w14:paraId="5F28F1F8" w14:textId="77777777" w:rsidR="00140B7C" w:rsidRPr="00EC4EC4" w:rsidRDefault="00140B7C" w:rsidP="00BC1087">
            <w:pPr>
              <w:autoSpaceDE w:val="0"/>
              <w:autoSpaceDN w:val="0"/>
              <w:adjustRightInd w:val="0"/>
              <w:spacing w:before="120" w:after="120" w:line="240" w:lineRule="auto"/>
              <w:jc w:val="center"/>
              <w:rPr>
                <w:rFonts w:eastAsia="Times New Roman" w:cs="Times New Roman"/>
                <w:szCs w:val="24"/>
              </w:rPr>
            </w:pPr>
            <w:r w:rsidRPr="00EC4EC4">
              <w:rPr>
                <w:rFonts w:eastAsia="Times New Roman" w:cs="Times New Roman"/>
                <w:b/>
                <w:szCs w:val="24"/>
              </w:rPr>
              <w:t xml:space="preserve">System D </w:t>
            </w:r>
            <w:r w:rsidRPr="00EC4EC4">
              <w:rPr>
                <w:rFonts w:eastAsia="Times New Roman" w:cs="Times New Roman"/>
                <w:szCs w:val="24"/>
              </w:rPr>
              <w:t>(2-inch clearance)</w:t>
            </w:r>
          </w:p>
        </w:tc>
        <w:tc>
          <w:tcPr>
            <w:tcW w:w="4030" w:type="pct"/>
            <w:vAlign w:val="center"/>
          </w:tcPr>
          <w:p w14:paraId="40D7943B" w14:textId="77777777" w:rsidR="00140B7C" w:rsidRPr="00EC4EC4" w:rsidRDefault="00140B7C" w:rsidP="00BC1087">
            <w:pPr>
              <w:autoSpaceDE w:val="0"/>
              <w:autoSpaceDN w:val="0"/>
              <w:adjustRightInd w:val="0"/>
              <w:spacing w:before="120" w:after="120" w:line="240" w:lineRule="auto"/>
              <w:rPr>
                <w:rFonts w:eastAsia="Times New Roman" w:cs="Times New Roman"/>
                <w:szCs w:val="24"/>
              </w:rPr>
            </w:pPr>
            <w:r w:rsidRPr="00EC4EC4">
              <w:rPr>
                <w:rFonts w:eastAsia="Times New Roman" w:cs="Times New Roman"/>
                <w:szCs w:val="24"/>
              </w:rPr>
              <w:t>A labeled solid-insulated factory-built chimney section (1-inch insulation) with a diameter 2 inches larger than the chimney connector shall be installed with a steel chimney connector having a minimum thickness of</w:t>
            </w:r>
            <w:r w:rsidRPr="00EC4EC4">
              <w:rPr>
                <w:rFonts w:eastAsia="Times New Roman" w:cs="Times New Roman"/>
                <w:spacing w:val="4"/>
                <w:szCs w:val="24"/>
              </w:rPr>
              <w:t xml:space="preserve"> </w:t>
            </w:r>
            <w:r w:rsidRPr="00EC4EC4">
              <w:rPr>
                <w:rFonts w:eastAsia="Times New Roman" w:cs="Times New Roman"/>
                <w:szCs w:val="24"/>
              </w:rPr>
              <w:t>0.0236 inch (</w:t>
            </w:r>
            <w:r w:rsidRPr="00EC4EC4">
              <w:rPr>
                <w:rFonts w:eastAsia="Times New Roman" w:cs="Times New Roman"/>
                <w:spacing w:val="4"/>
                <w:szCs w:val="24"/>
              </w:rPr>
              <w:t xml:space="preserve">No. </w:t>
            </w:r>
            <w:r w:rsidRPr="00EC4EC4">
              <w:rPr>
                <w:rFonts w:eastAsia="Times New Roman" w:cs="Times New Roman"/>
                <w:szCs w:val="24"/>
              </w:rPr>
              <w:t>24 gage). Sheet steel supports shall be</w:t>
            </w:r>
            <w:r w:rsidRPr="00EC4EC4">
              <w:rPr>
                <w:rFonts w:eastAsia="Times New Roman" w:cs="Times New Roman"/>
                <w:spacing w:val="3"/>
                <w:szCs w:val="24"/>
              </w:rPr>
              <w:t xml:space="preserve"> </w:t>
            </w:r>
            <w:r w:rsidRPr="00EC4EC4">
              <w:rPr>
                <w:rFonts w:eastAsia="Times New Roman" w:cs="Times New Roman"/>
                <w:szCs w:val="24"/>
              </w:rPr>
              <w:t xml:space="preserve">positioned to maintain a 2-inch clearance to </w:t>
            </w:r>
            <w:r w:rsidRPr="00EC4EC4">
              <w:rPr>
                <w:rFonts w:eastAsia="Times New Roman" w:cs="Times New Roman"/>
                <w:spacing w:val="4"/>
                <w:szCs w:val="24"/>
              </w:rPr>
              <w:t xml:space="preserve">combustibles </w:t>
            </w:r>
            <w:r w:rsidRPr="00EC4EC4">
              <w:rPr>
                <w:rFonts w:eastAsia="Times New Roman" w:cs="Times New Roman"/>
                <w:szCs w:val="24"/>
              </w:rPr>
              <w:t xml:space="preserve">and to hold the chimney connector to ensure that a 1-inch airspace surrounds the chimney connector through the chimney section. The steel support shall be fastened to the wall on all sides and the chimney </w:t>
            </w:r>
            <w:r w:rsidRPr="00EC4EC4">
              <w:rPr>
                <w:rFonts w:eastAsia="Times New Roman" w:cs="Times New Roman"/>
                <w:spacing w:val="3"/>
                <w:szCs w:val="24"/>
              </w:rPr>
              <w:t>section</w:t>
            </w:r>
            <w:r w:rsidRPr="00EC4EC4">
              <w:rPr>
                <w:rFonts w:eastAsia="Times New Roman" w:cs="Times New Roman"/>
                <w:szCs w:val="24"/>
              </w:rPr>
              <w:t xml:space="preserve"> shall be fastened to the supports. Fasteners shall not penetrate the liner of the chimney section.</w:t>
            </w:r>
          </w:p>
        </w:tc>
      </w:tr>
    </w:tbl>
    <w:p w14:paraId="2680FEB8"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sz w:val="18"/>
          <w:szCs w:val="18"/>
        </w:rPr>
      </w:pPr>
      <w:r w:rsidRPr="00EC4EC4">
        <w:rPr>
          <w:rFonts w:eastAsia="Times New Roman" w:cs="Times New Roman"/>
          <w:sz w:val="18"/>
          <w:szCs w:val="18"/>
        </w:rPr>
        <w:t xml:space="preserve">For SI: 1 inch = 25.4 mm, 1.0 Btu </w:t>
      </w:r>
      <w:r w:rsidRPr="00EC4EC4">
        <w:rPr>
          <w:rFonts w:eastAsia="Times New Roman" w:cs="Times New Roman"/>
          <w:spacing w:val="7"/>
          <w:sz w:val="18"/>
          <w:szCs w:val="18"/>
        </w:rPr>
        <w:t>×</w:t>
      </w:r>
      <w:r w:rsidRPr="00EC4EC4">
        <w:rPr>
          <w:rFonts w:eastAsia="Times New Roman" w:cs="Times New Roman"/>
          <w:sz w:val="18"/>
          <w:szCs w:val="18"/>
        </w:rPr>
        <w:t xml:space="preserve"> in/ft</w:t>
      </w:r>
      <w:r w:rsidRPr="00EC4EC4">
        <w:rPr>
          <w:rFonts w:eastAsia="Times New Roman" w:cs="Times New Roman"/>
          <w:sz w:val="18"/>
          <w:szCs w:val="18"/>
          <w:vertAlign w:val="superscript"/>
        </w:rPr>
        <w:t xml:space="preserve">2 </w:t>
      </w:r>
      <w:r w:rsidRPr="00EC4EC4">
        <w:rPr>
          <w:rFonts w:eastAsia="Times New Roman" w:cs="Times New Roman"/>
          <w:spacing w:val="7"/>
          <w:sz w:val="18"/>
          <w:szCs w:val="18"/>
        </w:rPr>
        <w:t xml:space="preserve">• </w:t>
      </w:r>
      <w:r w:rsidRPr="00EC4EC4">
        <w:rPr>
          <w:rFonts w:eastAsia="Times New Roman" w:cs="Times New Roman"/>
          <w:sz w:val="18"/>
          <w:szCs w:val="18"/>
        </w:rPr>
        <w:t xml:space="preserve">h </w:t>
      </w:r>
      <w:r w:rsidRPr="00EC4EC4">
        <w:rPr>
          <w:rFonts w:eastAsia="Times New Roman" w:cs="Times New Roman"/>
          <w:spacing w:val="7"/>
          <w:sz w:val="18"/>
          <w:szCs w:val="18"/>
        </w:rPr>
        <w:t xml:space="preserve">• </w:t>
      </w:r>
      <w:r w:rsidRPr="00EC4EC4">
        <w:rPr>
          <w:rFonts w:eastAsia="Times New Roman" w:cs="Times New Roman"/>
          <w:spacing w:val="6"/>
          <w:sz w:val="18"/>
          <w:szCs w:val="18"/>
        </w:rPr>
        <w:t>°</w:t>
      </w:r>
      <w:r w:rsidRPr="00EC4EC4">
        <w:rPr>
          <w:rFonts w:eastAsia="Times New Roman" w:cs="Times New Roman"/>
          <w:sz w:val="18"/>
          <w:szCs w:val="18"/>
        </w:rPr>
        <w:t>F = 0.144 W/m</w:t>
      </w:r>
      <w:r w:rsidRPr="00EC4EC4">
        <w:rPr>
          <w:rFonts w:eastAsia="Times New Roman" w:cs="Times New Roman"/>
          <w:sz w:val="18"/>
          <w:szCs w:val="18"/>
          <w:vertAlign w:val="superscript"/>
        </w:rPr>
        <w:t xml:space="preserve">2 </w:t>
      </w:r>
      <w:r w:rsidRPr="00EC4EC4">
        <w:rPr>
          <w:rFonts w:eastAsia="Times New Roman" w:cs="Times New Roman"/>
          <w:spacing w:val="7"/>
          <w:sz w:val="18"/>
          <w:szCs w:val="18"/>
        </w:rPr>
        <w:t xml:space="preserve">• </w:t>
      </w:r>
      <w:r w:rsidRPr="00EC4EC4">
        <w:rPr>
          <w:rFonts w:eastAsia="Times New Roman" w:cs="Times New Roman"/>
          <w:sz w:val="18"/>
          <w:szCs w:val="18"/>
        </w:rPr>
        <w:t>K.</w:t>
      </w:r>
    </w:p>
    <w:p w14:paraId="3DB89131"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sz w:val="18"/>
          <w:szCs w:val="18"/>
        </w:rPr>
      </w:pPr>
      <w:r w:rsidRPr="00EC4EC4">
        <w:rPr>
          <w:rFonts w:eastAsia="Times New Roman" w:cs="Times New Roman"/>
          <w:sz w:val="18"/>
          <w:szCs w:val="18"/>
        </w:rPr>
        <w:t>a.</w:t>
      </w:r>
      <w:r w:rsidRPr="00EC4EC4">
        <w:rPr>
          <w:rFonts w:eastAsia="Times New Roman" w:cs="Times New Roman"/>
          <w:sz w:val="18"/>
          <w:szCs w:val="18"/>
        </w:rPr>
        <w:tab/>
        <w:t>Insulation material that is part of the wall pass-through system shall be noncombustible and shall have a thermal conductivity of 1.0 Btu × in/ft</w:t>
      </w:r>
      <w:r w:rsidRPr="00EC4EC4">
        <w:rPr>
          <w:rFonts w:eastAsia="Times New Roman" w:cs="Times New Roman"/>
          <w:sz w:val="18"/>
          <w:szCs w:val="18"/>
          <w:vertAlign w:val="superscript"/>
        </w:rPr>
        <w:t>2</w:t>
      </w:r>
      <w:r w:rsidRPr="00EC4EC4">
        <w:rPr>
          <w:rFonts w:eastAsia="Times New Roman" w:cs="Times New Roman"/>
          <w:sz w:val="18"/>
          <w:szCs w:val="18"/>
        </w:rPr>
        <w:t xml:space="preserve"> • h • </w:t>
      </w:r>
      <w:r w:rsidRPr="00EC4EC4">
        <w:rPr>
          <w:rFonts w:eastAsia="Times New Roman" w:cs="Times New Roman"/>
          <w:spacing w:val="6"/>
          <w:sz w:val="18"/>
          <w:szCs w:val="18"/>
        </w:rPr>
        <w:t>°</w:t>
      </w:r>
      <w:r w:rsidRPr="00EC4EC4">
        <w:rPr>
          <w:rFonts w:eastAsia="Times New Roman" w:cs="Times New Roman"/>
          <w:sz w:val="18"/>
          <w:szCs w:val="18"/>
        </w:rPr>
        <w:t>F or less.</w:t>
      </w:r>
    </w:p>
    <w:p w14:paraId="6CA6CF0D"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sz w:val="18"/>
          <w:szCs w:val="18"/>
        </w:rPr>
      </w:pPr>
      <w:r w:rsidRPr="00EC4EC4">
        <w:rPr>
          <w:rFonts w:eastAsia="Times New Roman" w:cs="Times New Roman"/>
          <w:sz w:val="18"/>
          <w:szCs w:val="18"/>
        </w:rPr>
        <w:t>b.</w:t>
      </w:r>
      <w:r w:rsidRPr="00EC4EC4">
        <w:rPr>
          <w:rFonts w:eastAsia="Times New Roman" w:cs="Times New Roman"/>
          <w:sz w:val="18"/>
          <w:szCs w:val="18"/>
        </w:rPr>
        <w:tab/>
        <w:t>All clearances and thicknesses are minimums.</w:t>
      </w:r>
    </w:p>
    <w:p w14:paraId="56622626"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sz w:val="18"/>
          <w:szCs w:val="18"/>
        </w:rPr>
      </w:pPr>
      <w:r w:rsidRPr="00EC4EC4">
        <w:rPr>
          <w:rFonts w:eastAsia="Times New Roman" w:cs="Times New Roman"/>
          <w:sz w:val="18"/>
          <w:szCs w:val="18"/>
        </w:rPr>
        <w:t>c.</w:t>
      </w:r>
      <w:r w:rsidRPr="00EC4EC4">
        <w:rPr>
          <w:rFonts w:eastAsia="Times New Roman" w:cs="Times New Roman"/>
          <w:sz w:val="18"/>
          <w:szCs w:val="18"/>
        </w:rPr>
        <w:tab/>
        <w:t xml:space="preserve">Materials utilized to seal penetrations for the connector shall be </w:t>
      </w:r>
      <w:r w:rsidRPr="00EC4EC4">
        <w:rPr>
          <w:rFonts w:eastAsia="Times New Roman" w:cs="Times New Roman"/>
          <w:spacing w:val="4"/>
          <w:sz w:val="18"/>
          <w:szCs w:val="18"/>
        </w:rPr>
        <w:t>non-combustible</w:t>
      </w:r>
      <w:r w:rsidRPr="00EC4EC4">
        <w:rPr>
          <w:rFonts w:eastAsia="Times New Roman" w:cs="Times New Roman"/>
          <w:sz w:val="18"/>
          <w:szCs w:val="18"/>
        </w:rPr>
        <w:t>.</w:t>
      </w:r>
    </w:p>
    <w:p w14:paraId="0E5E6689"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sz w:val="18"/>
          <w:szCs w:val="18"/>
        </w:rPr>
      </w:pPr>
      <w:r w:rsidRPr="00EC4EC4">
        <w:rPr>
          <w:rFonts w:eastAsia="Times New Roman" w:cs="Times New Roman"/>
          <w:sz w:val="18"/>
          <w:szCs w:val="18"/>
        </w:rPr>
        <w:t>d.</w:t>
      </w:r>
      <w:r w:rsidRPr="00EC4EC4">
        <w:rPr>
          <w:rFonts w:eastAsia="Times New Roman" w:cs="Times New Roman"/>
          <w:sz w:val="18"/>
          <w:szCs w:val="18"/>
        </w:rPr>
        <w:tab/>
        <w:t>Connectors for all systems except System B shall extend through the wall pass-through system to the inner face of the flue liner.</w:t>
      </w:r>
    </w:p>
    <w:p w14:paraId="56904A5E"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sz w:val="18"/>
          <w:szCs w:val="18"/>
        </w:rPr>
      </w:pPr>
      <w:r w:rsidRPr="00EC4EC4">
        <w:rPr>
          <w:rFonts w:eastAsia="Times New Roman" w:cs="Times New Roman"/>
          <w:sz w:val="18"/>
          <w:szCs w:val="18"/>
        </w:rPr>
        <w:t>e.</w:t>
      </w:r>
      <w:r w:rsidRPr="00EC4EC4">
        <w:rPr>
          <w:rFonts w:eastAsia="Times New Roman" w:cs="Times New Roman"/>
          <w:sz w:val="18"/>
          <w:szCs w:val="18"/>
        </w:rPr>
        <w:tab/>
        <w:t>ASTM C 315.</w:t>
      </w:r>
    </w:p>
    <w:p w14:paraId="7881E59E" w14:textId="77777777" w:rsidR="00140B7C" w:rsidRPr="00EC4EC4" w:rsidRDefault="00140B7C" w:rsidP="00140B7C">
      <w:pPr>
        <w:widowControl w:val="0"/>
        <w:autoSpaceDE w:val="0"/>
        <w:autoSpaceDN w:val="0"/>
        <w:adjustRightInd w:val="0"/>
        <w:spacing w:after="0" w:line="240" w:lineRule="auto"/>
        <w:ind w:left="360" w:hanging="360"/>
        <w:rPr>
          <w:rFonts w:eastAsia="Times New Roman" w:cs="Times New Roman"/>
          <w:sz w:val="18"/>
          <w:szCs w:val="18"/>
        </w:rPr>
      </w:pPr>
    </w:p>
    <w:bookmarkEnd w:id="240"/>
    <w:p w14:paraId="2A52C6B3" w14:textId="5BA28F69"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32</w:t>
      </w:r>
      <w:r w:rsidR="00230203">
        <w:rPr>
          <w:rFonts w:cs="Times New Roman"/>
          <w:sz w:val="23"/>
          <w:szCs w:val="23"/>
        </w:rPr>
        <w:t>7</w:t>
      </w:r>
      <w:r w:rsidRPr="00EC4EC4">
        <w:rPr>
          <w:rFonts w:cs="Times New Roman"/>
          <w:sz w:val="23"/>
          <w:szCs w:val="23"/>
        </w:rPr>
        <w:t>. Section 906.1 of  the New York city mechanical code, as amended by local law number 126 for the year 2021, is amended to read as follows:</w:t>
      </w:r>
    </w:p>
    <w:p w14:paraId="449D94DF"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bookmarkStart w:id="241" w:name="_Toc388542026"/>
      <w:r w:rsidRPr="00EC4EC4">
        <w:rPr>
          <w:rFonts w:eastAsia="Times New Roman" w:cs="Times New Roman"/>
          <w:b/>
          <w:bCs/>
          <w:szCs w:val="24"/>
        </w:rPr>
        <w:t>906.1 General.</w:t>
      </w:r>
      <w:bookmarkEnd w:id="241"/>
      <w:r w:rsidRPr="00EC4EC4">
        <w:rPr>
          <w:rFonts w:eastAsia="Times New Roman" w:cs="Times New Roman"/>
          <w:b/>
          <w:bCs/>
          <w:szCs w:val="24"/>
        </w:rPr>
        <w:t xml:space="preserve"> </w:t>
      </w:r>
      <w:r w:rsidRPr="00EC4EC4">
        <w:rPr>
          <w:rFonts w:eastAsia="Times New Roman" w:cs="Times New Roman"/>
          <w:szCs w:val="24"/>
        </w:rPr>
        <w:t>Factory-built barbecue appliances shall be listed and labeled for the use intended and shall be installed in accordance with the manufacturer’s instructions, this chapter</w:t>
      </w:r>
      <w:r w:rsidRPr="00EC4EC4">
        <w:rPr>
          <w:rFonts w:eastAsia="Times New Roman" w:cs="Times New Roman"/>
          <w:spacing w:val="1"/>
          <w:szCs w:val="24"/>
        </w:rPr>
        <w:t>,</w:t>
      </w:r>
      <w:r w:rsidRPr="00EC4EC4">
        <w:rPr>
          <w:rFonts w:eastAsia="Times New Roman" w:cs="Times New Roman"/>
          <w:szCs w:val="24"/>
        </w:rPr>
        <w:t xml:space="preserve"> the </w:t>
      </w:r>
      <w:r w:rsidRPr="00EC4EC4">
        <w:rPr>
          <w:rFonts w:eastAsia="Times New Roman" w:cs="Times New Roman"/>
          <w:i/>
          <w:spacing w:val="1"/>
          <w:szCs w:val="24"/>
        </w:rPr>
        <w:t>New York City</w:t>
      </w:r>
      <w:r w:rsidRPr="00EC4EC4">
        <w:rPr>
          <w:rFonts w:eastAsia="Times New Roman" w:cs="Times New Roman"/>
          <w:i/>
          <w:szCs w:val="24"/>
        </w:rPr>
        <w:t xml:space="preserve"> Fuel Gas Code</w:t>
      </w:r>
      <w:r w:rsidRPr="00EC4EC4">
        <w:rPr>
          <w:rFonts w:eastAsia="Times New Roman" w:cs="Times New Roman"/>
          <w:szCs w:val="24"/>
        </w:rPr>
        <w:t>, and [</w:t>
      </w:r>
      <w:r w:rsidRPr="00EC4EC4">
        <w:rPr>
          <w:rFonts w:eastAsia="Times New Roman" w:cs="Times New Roman"/>
          <w:strike/>
          <w:szCs w:val="24"/>
        </w:rPr>
        <w:t>Chapter</w:t>
      </w:r>
      <w:r w:rsidRPr="00EC4EC4">
        <w:rPr>
          <w:rFonts w:eastAsia="Times New Roman" w:cs="Times New Roman"/>
          <w:szCs w:val="24"/>
        </w:rPr>
        <w:t>]</w:t>
      </w:r>
      <w:r w:rsidRPr="00EC4EC4">
        <w:rPr>
          <w:rFonts w:eastAsia="Times New Roman" w:cs="Times New Roman"/>
          <w:szCs w:val="24"/>
          <w:u w:val="single"/>
        </w:rPr>
        <w:t>Chapters</w:t>
      </w:r>
      <w:r w:rsidRPr="00EC4EC4">
        <w:rPr>
          <w:rFonts w:eastAsia="Times New Roman" w:cs="Times New Roman"/>
          <w:szCs w:val="24"/>
        </w:rPr>
        <w:t xml:space="preserve"> 3, 5, 7, 8 of this code</w:t>
      </w:r>
      <w:r w:rsidRPr="00EC4EC4">
        <w:rPr>
          <w:rFonts w:eastAsia="Times New Roman" w:cs="Times New Roman"/>
          <w:spacing w:val="1"/>
          <w:szCs w:val="24"/>
        </w:rPr>
        <w:t>.</w:t>
      </w:r>
      <w:r w:rsidRPr="00EC4EC4">
        <w:rPr>
          <w:rFonts w:eastAsia="Times New Roman" w:cs="Times New Roman"/>
          <w:szCs w:val="24"/>
        </w:rPr>
        <w:t xml:space="preserve"> The construction and installation of chimneys serving barbeque appliances shall comply with all construction and installation requirements of fireplaces.</w:t>
      </w:r>
    </w:p>
    <w:p w14:paraId="6C6512AA" w14:textId="4C222F52"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32</w:t>
      </w:r>
      <w:r w:rsidR="00624102">
        <w:rPr>
          <w:rFonts w:cs="Times New Roman"/>
          <w:sz w:val="23"/>
          <w:szCs w:val="23"/>
        </w:rPr>
        <w:t>8</w:t>
      </w:r>
      <w:r w:rsidRPr="00EC4EC4">
        <w:rPr>
          <w:rFonts w:cs="Times New Roman"/>
          <w:sz w:val="23"/>
          <w:szCs w:val="23"/>
        </w:rPr>
        <w:t xml:space="preserve">. Section 908.9 of  the New York city mechanical code, as </w:t>
      </w:r>
      <w:r>
        <w:rPr>
          <w:rFonts w:cs="Times New Roman"/>
          <w:sz w:val="23"/>
          <w:szCs w:val="23"/>
        </w:rPr>
        <w:t xml:space="preserve">added </w:t>
      </w:r>
      <w:r w:rsidRPr="00EC4EC4">
        <w:rPr>
          <w:rFonts w:cs="Times New Roman"/>
          <w:sz w:val="23"/>
          <w:szCs w:val="23"/>
        </w:rPr>
        <w:t xml:space="preserve">by </w:t>
      </w:r>
      <w:r>
        <w:rPr>
          <w:rFonts w:cs="Times New Roman"/>
          <w:sz w:val="23"/>
          <w:szCs w:val="23"/>
        </w:rPr>
        <w:t>local law number 126 for the year 2021</w:t>
      </w:r>
      <w:r w:rsidRPr="00EC4EC4">
        <w:rPr>
          <w:rFonts w:cs="Times New Roman"/>
          <w:sz w:val="23"/>
          <w:szCs w:val="23"/>
        </w:rPr>
        <w:t xml:space="preserve"> , is amended to read as follows:</w:t>
      </w:r>
    </w:p>
    <w:p w14:paraId="7C89F3EC" w14:textId="77777777" w:rsidR="00140B7C" w:rsidRPr="00EC4EC4" w:rsidRDefault="00140B7C" w:rsidP="00140B7C">
      <w:pPr>
        <w:spacing w:after="240" w:line="240" w:lineRule="auto"/>
        <w:jc w:val="both"/>
        <w:rPr>
          <w:rFonts w:eastAsia="Times New Roman" w:cs="Times New Roman"/>
          <w:szCs w:val="24"/>
        </w:rPr>
      </w:pPr>
      <w:r w:rsidRPr="00EC4EC4">
        <w:rPr>
          <w:rFonts w:eastAsia="Times New Roman" w:cs="Times New Roman"/>
          <w:b/>
          <w:szCs w:val="24"/>
        </w:rPr>
        <w:t>908.9</w:t>
      </w:r>
      <w:r w:rsidRPr="00EC4EC4">
        <w:rPr>
          <w:rFonts w:eastAsia="Times New Roman" w:cs="Times New Roman"/>
          <w:szCs w:val="24"/>
        </w:rPr>
        <w:t xml:space="preserve"> </w:t>
      </w:r>
      <w:r w:rsidRPr="00EC4EC4">
        <w:rPr>
          <w:rFonts w:eastAsia="Times New Roman" w:cs="Times New Roman"/>
          <w:b/>
          <w:szCs w:val="24"/>
        </w:rPr>
        <w:t xml:space="preserve">Additional requirements. </w:t>
      </w:r>
      <w:r w:rsidRPr="00EC4EC4">
        <w:rPr>
          <w:rFonts w:eastAsia="Times New Roman" w:cs="Times New Roman"/>
          <w:szCs w:val="24"/>
        </w:rPr>
        <w:t>The installation and maintenance of all cooling towers, evaporative condensers, and fluid coolers shall comply with the requirements of Article 317 of Chapter 3 of Title [</w:t>
      </w:r>
      <w:r w:rsidRPr="00EC4EC4">
        <w:rPr>
          <w:rFonts w:eastAsia="Times New Roman" w:cs="Times New Roman"/>
          <w:strike/>
          <w:szCs w:val="24"/>
        </w:rPr>
        <w:t>1</w:t>
      </w:r>
      <w:r w:rsidRPr="00EC4EC4">
        <w:rPr>
          <w:rFonts w:eastAsia="Times New Roman" w:cs="Times New Roman"/>
          <w:szCs w:val="24"/>
        </w:rPr>
        <w:t>]</w:t>
      </w:r>
      <w:r w:rsidRPr="00EC4EC4">
        <w:rPr>
          <w:rFonts w:eastAsia="Times New Roman" w:cs="Times New Roman"/>
          <w:szCs w:val="24"/>
          <w:u w:val="single"/>
        </w:rPr>
        <w:t>28</w:t>
      </w:r>
      <w:r w:rsidRPr="00EC4EC4">
        <w:rPr>
          <w:rFonts w:eastAsia="Times New Roman" w:cs="Times New Roman"/>
          <w:szCs w:val="24"/>
        </w:rPr>
        <w:t xml:space="preserve"> of the </w:t>
      </w:r>
      <w:r w:rsidRPr="00EC4EC4">
        <w:rPr>
          <w:rFonts w:eastAsia="Times New Roman" w:cs="Times New Roman"/>
          <w:i/>
          <w:szCs w:val="24"/>
        </w:rPr>
        <w:t>Administrative Code</w:t>
      </w:r>
      <w:r w:rsidRPr="00EC4EC4">
        <w:rPr>
          <w:rFonts w:eastAsia="Times New Roman" w:cs="Times New Roman"/>
          <w:szCs w:val="24"/>
        </w:rPr>
        <w:t>.</w:t>
      </w:r>
    </w:p>
    <w:p w14:paraId="535FA1CA" w14:textId="41284580"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32</w:t>
      </w:r>
      <w:r w:rsidR="00624102">
        <w:rPr>
          <w:rFonts w:cs="Times New Roman"/>
          <w:sz w:val="23"/>
          <w:szCs w:val="23"/>
        </w:rPr>
        <w:t>9</w:t>
      </w:r>
      <w:r w:rsidRPr="00EC4EC4">
        <w:rPr>
          <w:rFonts w:cs="Times New Roman"/>
          <w:sz w:val="23"/>
          <w:szCs w:val="23"/>
        </w:rPr>
        <w:t>. Section 1011.3 of  the New York city mechanical code, as amended by local law number 126 for the year 2021, is amended to read as follows:</w:t>
      </w:r>
    </w:p>
    <w:p w14:paraId="16CEA25E" w14:textId="77777777" w:rsidR="00140B7C" w:rsidRPr="00EC4EC4" w:rsidRDefault="00140B7C" w:rsidP="00140B7C">
      <w:pPr>
        <w:autoSpaceDE w:val="0"/>
        <w:autoSpaceDN w:val="0"/>
        <w:adjustRightInd w:val="0"/>
        <w:spacing w:after="240" w:line="240" w:lineRule="auto"/>
        <w:jc w:val="both"/>
        <w:rPr>
          <w:rFonts w:eastAsia="Times New Roman" w:cs="Times New Roman"/>
          <w:spacing w:val="1"/>
          <w:szCs w:val="24"/>
        </w:rPr>
      </w:pPr>
      <w:r w:rsidRPr="00EC4EC4">
        <w:rPr>
          <w:rFonts w:eastAsia="Times New Roman" w:cs="Times New Roman"/>
          <w:b/>
          <w:szCs w:val="24"/>
        </w:rPr>
        <w:t>1011.3 Periodic boiler inspections.</w:t>
      </w:r>
      <w:r w:rsidRPr="00EC4EC4">
        <w:rPr>
          <w:rFonts w:eastAsia="Times New Roman" w:cs="Times New Roman"/>
          <w:b/>
          <w:bCs/>
          <w:spacing w:val="-2"/>
          <w:w w:val="110"/>
          <w:szCs w:val="24"/>
        </w:rPr>
        <w:t xml:space="preserve"> </w:t>
      </w:r>
      <w:r w:rsidRPr="00EC4EC4">
        <w:rPr>
          <w:rFonts w:eastAsia="Times New Roman" w:cs="Times New Roman"/>
          <w:spacing w:val="1"/>
          <w:szCs w:val="24"/>
        </w:rPr>
        <w:t>Periodic boiler inspections shall be performed in accordance with [</w:t>
      </w:r>
      <w:r w:rsidRPr="00EC4EC4">
        <w:rPr>
          <w:rFonts w:eastAsia="Times New Roman" w:cs="Times New Roman"/>
          <w:strike/>
          <w:spacing w:val="1"/>
          <w:szCs w:val="24"/>
        </w:rPr>
        <w:t>Section 28-303</w:t>
      </w:r>
      <w:r w:rsidRPr="00EC4EC4">
        <w:rPr>
          <w:rFonts w:eastAsia="Times New Roman" w:cs="Times New Roman"/>
          <w:spacing w:val="1"/>
          <w:szCs w:val="24"/>
        </w:rPr>
        <w:t xml:space="preserve">] Article 303 of Chapter 3 of </w:t>
      </w:r>
      <w:r w:rsidRPr="00EC4EC4">
        <w:rPr>
          <w:rFonts w:eastAsia="Times New Roman" w:cs="Times New Roman"/>
          <w:spacing w:val="1"/>
          <w:szCs w:val="24"/>
          <w:u w:val="single"/>
        </w:rPr>
        <w:t>Title 28 of</w:t>
      </w:r>
      <w:r w:rsidRPr="00EC4EC4">
        <w:rPr>
          <w:rFonts w:eastAsia="Times New Roman" w:cs="Times New Roman"/>
          <w:spacing w:val="1"/>
          <w:szCs w:val="24"/>
        </w:rPr>
        <w:t xml:space="preserve"> the </w:t>
      </w:r>
      <w:r w:rsidRPr="00EC4EC4">
        <w:rPr>
          <w:rFonts w:eastAsia="Times New Roman" w:cs="Times New Roman"/>
          <w:i/>
          <w:spacing w:val="1"/>
          <w:szCs w:val="24"/>
        </w:rPr>
        <w:t xml:space="preserve">Administrative Code </w:t>
      </w:r>
      <w:r w:rsidRPr="00EC4EC4">
        <w:rPr>
          <w:rFonts w:eastAsia="Times New Roman" w:cs="Times New Roman"/>
          <w:iCs/>
          <w:spacing w:val="1"/>
        </w:rPr>
        <w:t>and Section 1007.3 of this code</w:t>
      </w:r>
      <w:r w:rsidRPr="00EC4EC4">
        <w:rPr>
          <w:rFonts w:eastAsia="Times New Roman" w:cs="Times New Roman"/>
          <w:spacing w:val="1"/>
          <w:szCs w:val="24"/>
        </w:rPr>
        <w:t>. In addition, boiler inspections shall:</w:t>
      </w:r>
    </w:p>
    <w:p w14:paraId="1037BDC7" w14:textId="77777777" w:rsidR="00140B7C" w:rsidRPr="00EC4EC4" w:rsidRDefault="00140B7C" w:rsidP="00226293">
      <w:pPr>
        <w:numPr>
          <w:ilvl w:val="0"/>
          <w:numId w:val="29"/>
        </w:numPr>
        <w:kinsoku w:val="0"/>
        <w:autoSpaceDE w:val="0"/>
        <w:autoSpaceDN w:val="0"/>
        <w:adjustRightInd w:val="0"/>
        <w:spacing w:after="240" w:line="240" w:lineRule="auto"/>
        <w:ind w:left="720"/>
        <w:jc w:val="both"/>
        <w:rPr>
          <w:rFonts w:eastAsia="Times New Roman" w:cs="Times New Roman"/>
          <w:spacing w:val="1"/>
          <w:szCs w:val="24"/>
        </w:rPr>
      </w:pPr>
      <w:r w:rsidRPr="00EC4EC4">
        <w:rPr>
          <w:rFonts w:eastAsia="Times New Roman" w:cs="Times New Roman"/>
          <w:spacing w:val="1"/>
          <w:szCs w:val="24"/>
        </w:rPr>
        <w:t xml:space="preserve">Be completed in accordance with the </w:t>
      </w:r>
      <w:r w:rsidRPr="00EC4EC4">
        <w:rPr>
          <w:rFonts w:eastAsia="Times New Roman" w:cs="Times New Roman"/>
          <w:i/>
          <w:spacing w:val="1"/>
          <w:szCs w:val="24"/>
        </w:rPr>
        <w:t>National Board Inspection Code</w:t>
      </w:r>
      <w:r w:rsidRPr="00EC4EC4">
        <w:rPr>
          <w:rFonts w:eastAsia="Times New Roman" w:cs="Times New Roman"/>
          <w:spacing w:val="1"/>
          <w:szCs w:val="24"/>
        </w:rPr>
        <w:t>.</w:t>
      </w:r>
    </w:p>
    <w:p w14:paraId="457835A9" w14:textId="77777777" w:rsidR="00140B7C" w:rsidRPr="00EC4EC4" w:rsidRDefault="00140B7C" w:rsidP="00226293">
      <w:pPr>
        <w:numPr>
          <w:ilvl w:val="0"/>
          <w:numId w:val="29"/>
        </w:numPr>
        <w:kinsoku w:val="0"/>
        <w:autoSpaceDE w:val="0"/>
        <w:autoSpaceDN w:val="0"/>
        <w:adjustRightInd w:val="0"/>
        <w:spacing w:after="240" w:line="240" w:lineRule="auto"/>
        <w:ind w:left="720"/>
        <w:jc w:val="both"/>
        <w:rPr>
          <w:rFonts w:eastAsia="Times New Roman" w:cs="Times New Roman"/>
          <w:spacing w:val="1"/>
          <w:szCs w:val="24"/>
        </w:rPr>
      </w:pPr>
      <w:r w:rsidRPr="00EC4EC4">
        <w:rPr>
          <w:rFonts w:eastAsia="Times New Roman" w:cs="Times New Roman"/>
          <w:spacing w:val="1"/>
          <w:szCs w:val="24"/>
        </w:rPr>
        <w:t>Include the review of testing documentation for all controls and safety devices.</w:t>
      </w:r>
    </w:p>
    <w:p w14:paraId="2FAF8157" w14:textId="77777777" w:rsidR="00140B7C" w:rsidRPr="00EC4EC4" w:rsidRDefault="00140B7C" w:rsidP="00226293">
      <w:pPr>
        <w:numPr>
          <w:ilvl w:val="0"/>
          <w:numId w:val="29"/>
        </w:numPr>
        <w:kinsoku w:val="0"/>
        <w:autoSpaceDE w:val="0"/>
        <w:autoSpaceDN w:val="0"/>
        <w:adjustRightInd w:val="0"/>
        <w:spacing w:after="240" w:line="240" w:lineRule="auto"/>
        <w:ind w:left="720"/>
        <w:jc w:val="both"/>
        <w:rPr>
          <w:rFonts w:eastAsia="Times New Roman" w:cs="Times New Roman"/>
          <w:spacing w:val="1"/>
          <w:szCs w:val="24"/>
        </w:rPr>
      </w:pPr>
      <w:r w:rsidRPr="00EC4EC4">
        <w:rPr>
          <w:rFonts w:eastAsia="Times New Roman" w:cs="Times New Roman"/>
          <w:spacing w:val="1"/>
          <w:szCs w:val="24"/>
        </w:rPr>
        <w:t>Verify that the flue connection from the boiler to the chimney is properly sealed and in good working condition.</w:t>
      </w:r>
    </w:p>
    <w:p w14:paraId="7B01C47D" w14:textId="77777777" w:rsidR="00140B7C" w:rsidRPr="00EC4EC4" w:rsidRDefault="00140B7C" w:rsidP="00226293">
      <w:pPr>
        <w:numPr>
          <w:ilvl w:val="0"/>
          <w:numId w:val="29"/>
        </w:numPr>
        <w:kinsoku w:val="0"/>
        <w:autoSpaceDE w:val="0"/>
        <w:autoSpaceDN w:val="0"/>
        <w:adjustRightInd w:val="0"/>
        <w:spacing w:after="240" w:line="240" w:lineRule="auto"/>
        <w:ind w:left="720"/>
        <w:jc w:val="both"/>
        <w:rPr>
          <w:rFonts w:eastAsia="Times New Roman" w:cs="Times New Roman"/>
          <w:spacing w:val="1"/>
          <w:szCs w:val="24"/>
        </w:rPr>
      </w:pPr>
      <w:r w:rsidRPr="00EC4EC4">
        <w:rPr>
          <w:rFonts w:eastAsia="Times New Roman" w:cs="Times New Roman"/>
          <w:spacing w:val="1"/>
          <w:szCs w:val="24"/>
        </w:rPr>
        <w:t>Verify that the combustion air system as originally designed is operational.</w:t>
      </w:r>
    </w:p>
    <w:p w14:paraId="0DDBE01B" w14:textId="77777777" w:rsidR="00140B7C" w:rsidRPr="00EC4EC4" w:rsidRDefault="00140B7C" w:rsidP="00226293">
      <w:pPr>
        <w:numPr>
          <w:ilvl w:val="0"/>
          <w:numId w:val="29"/>
        </w:numPr>
        <w:kinsoku w:val="0"/>
        <w:autoSpaceDE w:val="0"/>
        <w:autoSpaceDN w:val="0"/>
        <w:adjustRightInd w:val="0"/>
        <w:spacing w:after="240" w:line="240" w:lineRule="auto"/>
        <w:ind w:left="720"/>
        <w:jc w:val="both"/>
        <w:rPr>
          <w:rFonts w:eastAsia="Times New Roman" w:cs="Times New Roman"/>
          <w:spacing w:val="1"/>
          <w:szCs w:val="24"/>
        </w:rPr>
      </w:pPr>
      <w:r w:rsidRPr="00EC4EC4">
        <w:rPr>
          <w:rFonts w:eastAsia="Times New Roman" w:cs="Times New Roman"/>
          <w:spacing w:val="1"/>
          <w:szCs w:val="24"/>
        </w:rPr>
        <w:t>Verify that the High Pressure Operators’ licenses are current and that Low Pressure Operators are qualified per New York State requirements.</w:t>
      </w:r>
    </w:p>
    <w:p w14:paraId="4731267A" w14:textId="77777777" w:rsidR="00140B7C" w:rsidRPr="00EC4EC4" w:rsidRDefault="00140B7C" w:rsidP="00226293">
      <w:pPr>
        <w:numPr>
          <w:ilvl w:val="0"/>
          <w:numId w:val="29"/>
        </w:numPr>
        <w:kinsoku w:val="0"/>
        <w:autoSpaceDE w:val="0"/>
        <w:autoSpaceDN w:val="0"/>
        <w:adjustRightInd w:val="0"/>
        <w:spacing w:after="240" w:line="240" w:lineRule="auto"/>
        <w:ind w:left="720"/>
        <w:jc w:val="both"/>
        <w:rPr>
          <w:rFonts w:eastAsia="Times New Roman" w:cs="Times New Roman"/>
          <w:spacing w:val="1"/>
          <w:szCs w:val="24"/>
        </w:rPr>
      </w:pPr>
      <w:r w:rsidRPr="00EC4EC4">
        <w:rPr>
          <w:rFonts w:eastAsia="Times New Roman" w:cs="Times New Roman"/>
          <w:spacing w:val="1"/>
          <w:szCs w:val="24"/>
        </w:rPr>
        <w:t>Include a permanent record of the visit.</w:t>
      </w:r>
    </w:p>
    <w:p w14:paraId="439DF8C7" w14:textId="77777777" w:rsidR="00140B7C" w:rsidRPr="00EC4EC4" w:rsidRDefault="00140B7C" w:rsidP="00226293">
      <w:pPr>
        <w:numPr>
          <w:ilvl w:val="0"/>
          <w:numId w:val="29"/>
        </w:numPr>
        <w:kinsoku w:val="0"/>
        <w:autoSpaceDE w:val="0"/>
        <w:autoSpaceDN w:val="0"/>
        <w:adjustRightInd w:val="0"/>
        <w:spacing w:after="240" w:line="240" w:lineRule="auto"/>
        <w:ind w:left="720"/>
        <w:jc w:val="both"/>
        <w:rPr>
          <w:rFonts w:eastAsia="Times New Roman" w:cs="Times New Roman"/>
          <w:spacing w:val="1"/>
          <w:szCs w:val="24"/>
        </w:rPr>
      </w:pPr>
      <w:r w:rsidRPr="00EC4EC4">
        <w:rPr>
          <w:rFonts w:eastAsia="Times New Roman" w:cs="Times New Roman"/>
          <w:spacing w:val="1"/>
          <w:szCs w:val="24"/>
        </w:rPr>
        <w:t xml:space="preserve">Be subject to the quality control measures of the department. </w:t>
      </w:r>
    </w:p>
    <w:p w14:paraId="1E5DB7B2" w14:textId="77777777" w:rsidR="00140B7C" w:rsidRPr="00EC4EC4" w:rsidRDefault="00140B7C" w:rsidP="00140B7C">
      <w:pPr>
        <w:kinsoku w:val="0"/>
        <w:spacing w:after="240" w:line="240" w:lineRule="auto"/>
        <w:ind w:firstLine="720"/>
        <w:jc w:val="both"/>
        <w:rPr>
          <w:rFonts w:cs="Times New Roman"/>
          <w:sz w:val="23"/>
          <w:szCs w:val="23"/>
        </w:rPr>
      </w:pPr>
    </w:p>
    <w:p w14:paraId="0C5CF37F" w14:textId="77777777" w:rsidR="00140B7C" w:rsidRPr="00EC4EC4" w:rsidRDefault="00140B7C" w:rsidP="00140B7C">
      <w:pPr>
        <w:kinsoku w:val="0"/>
        <w:spacing w:after="240" w:line="240" w:lineRule="auto"/>
        <w:ind w:firstLine="720"/>
        <w:jc w:val="both"/>
        <w:rPr>
          <w:rFonts w:cs="Times New Roman"/>
          <w:sz w:val="23"/>
          <w:szCs w:val="23"/>
        </w:rPr>
      </w:pPr>
    </w:p>
    <w:p w14:paraId="64F5FBB8" w14:textId="77777777" w:rsidR="00140B7C" w:rsidRPr="00EC4EC4" w:rsidRDefault="00140B7C" w:rsidP="00140B7C">
      <w:pPr>
        <w:kinsoku w:val="0"/>
        <w:spacing w:after="240" w:line="240" w:lineRule="auto"/>
        <w:ind w:firstLine="720"/>
        <w:jc w:val="both"/>
        <w:rPr>
          <w:rFonts w:cs="Times New Roman"/>
          <w:sz w:val="23"/>
          <w:szCs w:val="23"/>
        </w:rPr>
      </w:pPr>
    </w:p>
    <w:p w14:paraId="4BC69E9B" w14:textId="77777777" w:rsidR="00140B7C" w:rsidRPr="00EC4EC4" w:rsidRDefault="00140B7C" w:rsidP="00140B7C">
      <w:pPr>
        <w:kinsoku w:val="0"/>
        <w:spacing w:after="240" w:line="240" w:lineRule="auto"/>
        <w:ind w:firstLine="720"/>
        <w:jc w:val="both"/>
        <w:rPr>
          <w:rFonts w:cs="Times New Roman"/>
          <w:sz w:val="23"/>
          <w:szCs w:val="23"/>
        </w:rPr>
      </w:pPr>
    </w:p>
    <w:p w14:paraId="1DBF7534" w14:textId="77777777" w:rsidR="00140B7C" w:rsidRPr="00EC4EC4" w:rsidRDefault="00140B7C" w:rsidP="00140B7C">
      <w:pPr>
        <w:kinsoku w:val="0"/>
        <w:spacing w:after="240" w:line="240" w:lineRule="auto"/>
        <w:ind w:firstLine="720"/>
        <w:jc w:val="both"/>
        <w:rPr>
          <w:rFonts w:cs="Times New Roman"/>
          <w:sz w:val="23"/>
          <w:szCs w:val="23"/>
        </w:rPr>
      </w:pPr>
    </w:p>
    <w:p w14:paraId="55001E03" w14:textId="689C8411"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C5411D">
        <w:rPr>
          <w:rFonts w:cs="Times New Roman"/>
          <w:sz w:val="23"/>
          <w:szCs w:val="23"/>
        </w:rPr>
        <w:t>30</w:t>
      </w:r>
      <w:r w:rsidRPr="00EC4EC4">
        <w:rPr>
          <w:rFonts w:cs="Times New Roman"/>
          <w:sz w:val="23"/>
          <w:szCs w:val="23"/>
        </w:rPr>
        <w:t xml:space="preserve">. </w:t>
      </w:r>
      <w:r>
        <w:rPr>
          <w:rFonts w:cs="Times New Roman"/>
          <w:sz w:val="23"/>
          <w:szCs w:val="23"/>
        </w:rPr>
        <w:t>Footnote d of t</w:t>
      </w:r>
      <w:r w:rsidRPr="00EC4EC4">
        <w:rPr>
          <w:rFonts w:cs="Times New Roman"/>
          <w:sz w:val="23"/>
          <w:szCs w:val="23"/>
        </w:rPr>
        <w:t>able 1103.1 of  the New York city mechanical code, as amended by local law number 141 for the year 2013, is amended to read as follows:</w:t>
      </w:r>
    </w:p>
    <w:p w14:paraId="008C35EE" w14:textId="77777777" w:rsidR="00140B7C" w:rsidRPr="00EC4EC4" w:rsidRDefault="00140B7C" w:rsidP="00140B7C">
      <w:pPr>
        <w:widowControl w:val="0"/>
        <w:autoSpaceDE w:val="0"/>
        <w:autoSpaceDN w:val="0"/>
        <w:adjustRightInd w:val="0"/>
        <w:spacing w:after="0" w:line="240" w:lineRule="auto"/>
        <w:jc w:val="both"/>
        <w:rPr>
          <w:rFonts w:eastAsia="Times New Roman" w:cs="Times New Roman"/>
          <w:sz w:val="14"/>
          <w:szCs w:val="14"/>
        </w:rPr>
      </w:pPr>
      <w:r w:rsidRPr="00EC4EC4">
        <w:rPr>
          <w:rFonts w:eastAsia="Times New Roman" w:cs="Times New Roman"/>
          <w:sz w:val="14"/>
          <w:szCs w:val="14"/>
        </w:rPr>
        <w:t>For SI: 1 pound = 0.454 kg, 1 cubic foot = 0.0283 m</w:t>
      </w:r>
      <w:r w:rsidRPr="00EC4EC4">
        <w:rPr>
          <w:rFonts w:eastAsia="Times New Roman" w:cs="Times New Roman"/>
          <w:sz w:val="14"/>
          <w:szCs w:val="14"/>
          <w:vertAlign w:val="superscript"/>
        </w:rPr>
        <w:t>3</w:t>
      </w:r>
      <w:r w:rsidRPr="00EC4EC4">
        <w:rPr>
          <w:rFonts w:eastAsia="Times New Roman" w:cs="Times New Roman"/>
          <w:sz w:val="14"/>
          <w:szCs w:val="14"/>
        </w:rPr>
        <w:t>.</w:t>
      </w:r>
    </w:p>
    <w:p w14:paraId="1DFDA0F6" w14:textId="77777777" w:rsidR="00140B7C" w:rsidRPr="00EC4EC4" w:rsidRDefault="00140B7C" w:rsidP="00140B7C">
      <w:pPr>
        <w:widowControl w:val="0"/>
        <w:autoSpaceDE w:val="0"/>
        <w:autoSpaceDN w:val="0"/>
        <w:adjustRightInd w:val="0"/>
        <w:spacing w:after="0" w:line="240" w:lineRule="auto"/>
        <w:ind w:left="270" w:hanging="270"/>
        <w:jc w:val="both"/>
        <w:rPr>
          <w:rFonts w:eastAsia="Times New Roman" w:cs="Times New Roman"/>
          <w:sz w:val="14"/>
          <w:szCs w:val="14"/>
        </w:rPr>
      </w:pPr>
      <w:r w:rsidRPr="00EC4EC4">
        <w:rPr>
          <w:rFonts w:eastAsia="Times New Roman" w:cs="Times New Roman"/>
          <w:sz w:val="14"/>
          <w:szCs w:val="14"/>
        </w:rPr>
        <w:t>a.</w:t>
      </w:r>
      <w:r w:rsidRPr="00EC4EC4">
        <w:rPr>
          <w:rFonts w:eastAsia="Times New Roman" w:cs="Times New Roman"/>
          <w:sz w:val="14"/>
          <w:szCs w:val="14"/>
        </w:rPr>
        <w:tab/>
        <w:t>Data based on ASHRAE 34 including Addenda a through o.  For more complete data</w:t>
      </w:r>
      <w:r w:rsidRPr="00EC4EC4">
        <w:rPr>
          <w:rFonts w:eastAsia="Times New Roman" w:cs="Times New Roman"/>
          <w:sz w:val="14"/>
          <w:szCs w:val="14"/>
          <w:u w:val="single"/>
        </w:rPr>
        <w:t xml:space="preserve">, </w:t>
      </w:r>
      <w:r w:rsidRPr="00EC4EC4">
        <w:rPr>
          <w:rFonts w:eastAsia="Times New Roman" w:cs="Times New Roman"/>
          <w:sz w:val="14"/>
          <w:szCs w:val="14"/>
        </w:rPr>
        <w:t>see ASHRAE 34 and Addenda.  Use of Addenda issued after Addendum o is subject to approval as set forth in Section 1102.2.</w:t>
      </w:r>
    </w:p>
    <w:p w14:paraId="2614CB5F" w14:textId="77777777" w:rsidR="00140B7C" w:rsidRPr="00EC4EC4" w:rsidRDefault="00140B7C" w:rsidP="00140B7C">
      <w:pPr>
        <w:widowControl w:val="0"/>
        <w:autoSpaceDE w:val="0"/>
        <w:autoSpaceDN w:val="0"/>
        <w:adjustRightInd w:val="0"/>
        <w:spacing w:after="0" w:line="240" w:lineRule="auto"/>
        <w:ind w:left="270" w:hanging="270"/>
        <w:jc w:val="both"/>
        <w:rPr>
          <w:rFonts w:eastAsia="Times New Roman" w:cs="Times New Roman"/>
          <w:sz w:val="14"/>
          <w:szCs w:val="14"/>
        </w:rPr>
      </w:pPr>
      <w:r w:rsidRPr="00EC4EC4">
        <w:rPr>
          <w:rFonts w:eastAsia="Times New Roman" w:cs="Times New Roman"/>
          <w:sz w:val="14"/>
          <w:szCs w:val="14"/>
        </w:rPr>
        <w:t>b.</w:t>
      </w:r>
      <w:r w:rsidRPr="00EC4EC4">
        <w:rPr>
          <w:rFonts w:eastAsia="Times New Roman" w:cs="Times New Roman"/>
          <w:sz w:val="14"/>
          <w:szCs w:val="14"/>
        </w:rPr>
        <w:tab/>
        <w:t>Class I ozone depleting refrigerant.  Not permitted for new installations.</w:t>
      </w:r>
    </w:p>
    <w:p w14:paraId="06CABDDD" w14:textId="77777777" w:rsidR="00140B7C" w:rsidRPr="00EC4EC4" w:rsidRDefault="00140B7C" w:rsidP="00140B7C">
      <w:pPr>
        <w:widowControl w:val="0"/>
        <w:autoSpaceDE w:val="0"/>
        <w:autoSpaceDN w:val="0"/>
        <w:adjustRightInd w:val="0"/>
        <w:spacing w:after="0" w:line="240" w:lineRule="auto"/>
        <w:ind w:left="270" w:hanging="270"/>
        <w:jc w:val="both"/>
        <w:rPr>
          <w:rFonts w:eastAsia="Times New Roman" w:cs="Times New Roman"/>
          <w:sz w:val="14"/>
          <w:szCs w:val="14"/>
        </w:rPr>
      </w:pPr>
      <w:r w:rsidRPr="00EC4EC4">
        <w:rPr>
          <w:rFonts w:eastAsia="Times New Roman" w:cs="Times New Roman"/>
          <w:sz w:val="14"/>
          <w:szCs w:val="14"/>
        </w:rPr>
        <w:t>c.</w:t>
      </w:r>
      <w:r w:rsidRPr="00EC4EC4">
        <w:rPr>
          <w:rFonts w:eastAsia="Times New Roman" w:cs="Times New Roman"/>
          <w:sz w:val="14"/>
          <w:szCs w:val="14"/>
        </w:rPr>
        <w:tab/>
        <w:t>Refrigerants in Safety Group “A2L” shall comply with all applicable requirements for “A2” refrigerants.  Refrigerants in Safety Group “B2L” shall comply with all applicable requirements for “B2” refrigerants.</w:t>
      </w:r>
    </w:p>
    <w:p w14:paraId="2AE287EA" w14:textId="77777777" w:rsidR="00140B7C" w:rsidRPr="00EC4EC4" w:rsidRDefault="00140B7C" w:rsidP="00140B7C">
      <w:pPr>
        <w:widowControl w:val="0"/>
        <w:autoSpaceDE w:val="0"/>
        <w:autoSpaceDN w:val="0"/>
        <w:adjustRightInd w:val="0"/>
        <w:spacing w:after="0" w:line="240" w:lineRule="auto"/>
        <w:ind w:left="270" w:hanging="270"/>
        <w:jc w:val="both"/>
        <w:rPr>
          <w:rFonts w:eastAsia="Times New Roman" w:cs="Times New Roman"/>
          <w:sz w:val="14"/>
          <w:szCs w:val="14"/>
        </w:rPr>
      </w:pPr>
      <w:r w:rsidRPr="00EC4EC4">
        <w:rPr>
          <w:rFonts w:eastAsia="Times New Roman" w:cs="Times New Roman"/>
          <w:sz w:val="14"/>
          <w:szCs w:val="14"/>
        </w:rPr>
        <w:t>d.</w:t>
      </w:r>
      <w:r w:rsidRPr="00EC4EC4">
        <w:rPr>
          <w:rFonts w:eastAsia="Times New Roman" w:cs="Times New Roman"/>
          <w:b/>
          <w:bCs/>
          <w:sz w:val="14"/>
          <w:szCs w:val="14"/>
        </w:rPr>
        <w:tab/>
        <w:t xml:space="preserve">OCCUPATIONAL EXPOSURE LIMIT (OEL). </w:t>
      </w:r>
      <w:r w:rsidRPr="00EC4EC4">
        <w:rPr>
          <w:rFonts w:eastAsia="Times New Roman" w:cs="Times New Roman"/>
          <w:sz w:val="14"/>
          <w:szCs w:val="14"/>
        </w:rPr>
        <w:t>The time-weighted average (TWA) concentration for a normal [</w:t>
      </w:r>
      <w:r w:rsidRPr="00EC4EC4">
        <w:rPr>
          <w:rFonts w:eastAsia="Times New Roman" w:cs="Times New Roman"/>
          <w:strike/>
          <w:sz w:val="14"/>
          <w:szCs w:val="14"/>
        </w:rPr>
        <w:t>eight-hour</w:t>
      </w:r>
      <w:r w:rsidRPr="00EC4EC4">
        <w:rPr>
          <w:rFonts w:eastAsia="Times New Roman" w:cs="Times New Roman"/>
          <w:sz w:val="14"/>
          <w:szCs w:val="14"/>
        </w:rPr>
        <w:t>]</w:t>
      </w:r>
      <w:r w:rsidRPr="00EC4EC4">
        <w:rPr>
          <w:rFonts w:eastAsia="Times New Roman" w:cs="Times New Roman"/>
          <w:sz w:val="14"/>
          <w:szCs w:val="14"/>
          <w:u w:val="single"/>
        </w:rPr>
        <w:t>8-hour</w:t>
      </w:r>
      <w:r w:rsidRPr="00EC4EC4">
        <w:rPr>
          <w:rFonts w:eastAsia="Times New Roman" w:cs="Times New Roman"/>
          <w:sz w:val="14"/>
          <w:szCs w:val="14"/>
        </w:rPr>
        <w:t xml:space="preserve"> workday and a 40-hour workweek to which nearly all workers can be repeatedly exposed without adverse effect, based on the OSHA PEL, ACGIH TLV-TWA, AIHA WEEL, or consistent value.</w:t>
      </w:r>
      <w:bookmarkStart w:id="242" w:name="_Toc388542193"/>
    </w:p>
    <w:p w14:paraId="4F84D5D0" w14:textId="77777777" w:rsidR="00140B7C" w:rsidRPr="00EC4EC4" w:rsidRDefault="00140B7C" w:rsidP="00140B7C">
      <w:pPr>
        <w:widowControl w:val="0"/>
        <w:autoSpaceDE w:val="0"/>
        <w:autoSpaceDN w:val="0"/>
        <w:adjustRightInd w:val="0"/>
        <w:spacing w:after="0" w:line="240" w:lineRule="auto"/>
        <w:ind w:left="270" w:hanging="270"/>
        <w:jc w:val="both"/>
        <w:rPr>
          <w:rFonts w:eastAsia="Times New Roman" w:cs="Times New Roman"/>
          <w:sz w:val="14"/>
          <w:szCs w:val="14"/>
        </w:rPr>
      </w:pPr>
    </w:p>
    <w:bookmarkEnd w:id="242"/>
    <w:p w14:paraId="360B7ECB" w14:textId="308E8E66"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C5411D">
        <w:rPr>
          <w:rFonts w:cs="Times New Roman"/>
          <w:sz w:val="23"/>
          <w:szCs w:val="23"/>
        </w:rPr>
        <w:t>31</w:t>
      </w:r>
      <w:r w:rsidRPr="00EC4EC4">
        <w:rPr>
          <w:rFonts w:cs="Times New Roman"/>
          <w:sz w:val="23"/>
          <w:szCs w:val="23"/>
        </w:rPr>
        <w:t>. Section 1105.6.3.1 of  the New York city mechanical code, as amended by local law number 126 for the year 2021, is amended to read as follows:</w:t>
      </w:r>
    </w:p>
    <w:p w14:paraId="720BF507" w14:textId="77777777" w:rsidR="00140B7C" w:rsidRPr="00EC4EC4" w:rsidRDefault="00140B7C" w:rsidP="00140B7C">
      <w:pPr>
        <w:autoSpaceDE w:val="0"/>
        <w:autoSpaceDN w:val="0"/>
        <w:adjustRightInd w:val="0"/>
        <w:spacing w:after="240" w:line="240" w:lineRule="auto"/>
        <w:jc w:val="both"/>
        <w:rPr>
          <w:rFonts w:eastAsia="Times New Roman" w:cs="Times New Roman"/>
          <w:b/>
          <w:bCs/>
          <w:iCs/>
          <w:szCs w:val="24"/>
        </w:rPr>
      </w:pPr>
      <w:bookmarkStart w:id="243" w:name="_Toc388542222"/>
      <w:r w:rsidRPr="00EC4EC4">
        <w:rPr>
          <w:rFonts w:eastAsia="Times New Roman" w:cs="Times New Roman"/>
          <w:b/>
          <w:bCs/>
          <w:iCs/>
          <w:szCs w:val="24"/>
        </w:rPr>
        <w:t>1105.6.3.1 Quantity</w:t>
      </w:r>
      <w:r w:rsidRPr="00EC4EC4">
        <w:rPr>
          <w:rFonts w:eastAsia="Times New Roman" w:cs="Times New Roman"/>
          <w:b/>
          <w:szCs w:val="24"/>
        </w:rPr>
        <w:t>-</w:t>
      </w:r>
      <w:r w:rsidRPr="00EC4EC4">
        <w:rPr>
          <w:rFonts w:eastAsia="Times New Roman" w:cs="Times New Roman"/>
          <w:b/>
          <w:bCs/>
          <w:iCs/>
          <w:szCs w:val="24"/>
        </w:rPr>
        <w:t>normal ventilation.</w:t>
      </w:r>
      <w:bookmarkEnd w:id="243"/>
      <w:r w:rsidRPr="00EC4EC4">
        <w:rPr>
          <w:rFonts w:eastAsia="Times New Roman" w:cs="Times New Roman"/>
          <w:b/>
          <w:bCs/>
          <w:iCs/>
          <w:szCs w:val="24"/>
        </w:rPr>
        <w:t xml:space="preserve"> </w:t>
      </w:r>
      <w:r w:rsidRPr="00EC4EC4">
        <w:rPr>
          <w:rFonts w:eastAsia="Times New Roman" w:cs="Times New Roman"/>
          <w:szCs w:val="24"/>
        </w:rPr>
        <w:t>During occupied conditions, the mechanical ventilation system shall exhaust the larger of the following:</w:t>
      </w:r>
    </w:p>
    <w:p w14:paraId="4FC41217" w14:textId="77777777" w:rsidR="00140B7C" w:rsidRPr="00EC4EC4" w:rsidRDefault="00140B7C" w:rsidP="00140B7C">
      <w:pPr>
        <w:autoSpaceDE w:val="0"/>
        <w:autoSpaceDN w:val="0"/>
        <w:adjustRightInd w:val="0"/>
        <w:spacing w:after="240" w:line="240" w:lineRule="auto"/>
        <w:ind w:left="144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Not less than 0.5 cfm per square foot (</w:t>
      </w:r>
      <w:r w:rsidRPr="00EC4EC4">
        <w:rPr>
          <w:rFonts w:eastAsia="Times New Roman" w:cs="Times New Roman"/>
          <w:spacing w:val="1"/>
          <w:szCs w:val="24"/>
        </w:rPr>
        <w:t>0.0025m</w:t>
      </w:r>
      <w:r w:rsidRPr="00EC4EC4">
        <w:rPr>
          <w:rFonts w:eastAsia="Times New Roman" w:cs="Times New Roman"/>
          <w:spacing w:val="1"/>
          <w:szCs w:val="24"/>
          <w:vertAlign w:val="superscript"/>
        </w:rPr>
        <w:t>3</w:t>
      </w:r>
      <w:r w:rsidRPr="00EC4EC4">
        <w:rPr>
          <w:rFonts w:eastAsia="Times New Roman" w:cs="Times New Roman"/>
          <w:spacing w:val="1"/>
          <w:szCs w:val="24"/>
        </w:rPr>
        <w:t xml:space="preserve">/s </w:t>
      </w:r>
      <w:r w:rsidRPr="00EC4EC4">
        <w:rPr>
          <w:rFonts w:eastAsia="Times New Roman" w:cs="Times New Roman"/>
          <w:spacing w:val="1"/>
          <w:szCs w:val="24"/>
          <w:u w:val="single"/>
        </w:rPr>
        <w:t>x</w:t>
      </w:r>
      <w:r w:rsidRPr="00EC4EC4">
        <w:rPr>
          <w:rFonts w:eastAsia="Times New Roman" w:cs="Times New Roman"/>
          <w:spacing w:val="1"/>
          <w:szCs w:val="24"/>
        </w:rPr>
        <w:t xml:space="preserve"> m</w:t>
      </w:r>
      <w:r w:rsidRPr="00EC4EC4">
        <w:rPr>
          <w:rFonts w:eastAsia="Times New Roman" w:cs="Times New Roman"/>
          <w:spacing w:val="1"/>
          <w:szCs w:val="24"/>
          <w:vertAlign w:val="superscript"/>
        </w:rPr>
        <w:t>2</w:t>
      </w:r>
      <w:r w:rsidRPr="00EC4EC4">
        <w:rPr>
          <w:rFonts w:eastAsia="Times New Roman" w:cs="Times New Roman"/>
          <w:szCs w:val="24"/>
        </w:rPr>
        <w:t>) of machinery room area or 20 cfm (0.009 m</w:t>
      </w:r>
      <w:r w:rsidRPr="00EC4EC4">
        <w:rPr>
          <w:rFonts w:eastAsia="Times New Roman" w:cs="Times New Roman"/>
          <w:szCs w:val="24"/>
          <w:vertAlign w:val="superscript"/>
        </w:rPr>
        <w:t>3</w:t>
      </w:r>
      <w:r w:rsidRPr="00EC4EC4">
        <w:rPr>
          <w:rFonts w:eastAsia="Times New Roman" w:cs="Times New Roman"/>
          <w:szCs w:val="24"/>
        </w:rPr>
        <w:t>/s) per person.</w:t>
      </w:r>
    </w:p>
    <w:p w14:paraId="2FF6E2A2" w14:textId="77777777" w:rsidR="00140B7C" w:rsidRPr="00EC4EC4" w:rsidRDefault="00140B7C" w:rsidP="00140B7C">
      <w:pPr>
        <w:autoSpaceDE w:val="0"/>
        <w:autoSpaceDN w:val="0"/>
        <w:adjustRightInd w:val="0"/>
        <w:spacing w:after="240" w:line="240" w:lineRule="auto"/>
        <w:ind w:left="1440" w:hanging="360"/>
        <w:jc w:val="both"/>
        <w:rPr>
          <w:rFonts w:eastAsia="Times New Roman" w:cs="Times New Roman"/>
          <w:b/>
          <w:bCs/>
          <w:szCs w:val="24"/>
        </w:rPr>
      </w:pPr>
      <w:r w:rsidRPr="00EC4EC4">
        <w:rPr>
          <w:rFonts w:eastAsia="Times New Roman" w:cs="Times New Roman"/>
          <w:szCs w:val="24"/>
        </w:rPr>
        <w:t>2.</w:t>
      </w:r>
      <w:r w:rsidRPr="00EC4EC4">
        <w:rPr>
          <w:rFonts w:eastAsia="Times New Roman" w:cs="Times New Roman"/>
          <w:szCs w:val="24"/>
        </w:rPr>
        <w:tab/>
        <w:t>A volume required to limit the room temperature rise to</w:t>
      </w:r>
      <w:r w:rsidRPr="00EC4EC4">
        <w:rPr>
          <w:rFonts w:eastAsia="Times New Roman" w:cs="Times New Roman"/>
          <w:spacing w:val="1"/>
          <w:szCs w:val="24"/>
        </w:rPr>
        <w:t xml:space="preserve"> 18°F (-7.8°C) </w:t>
      </w:r>
      <w:r w:rsidRPr="00EC4EC4">
        <w:rPr>
          <w:rFonts w:eastAsia="Times New Roman" w:cs="Times New Roman"/>
          <w:szCs w:val="24"/>
        </w:rPr>
        <w:t>taking into account the ambient heating effect of all machinery in the room</w:t>
      </w:r>
      <w:r w:rsidRPr="00EC4EC4">
        <w:rPr>
          <w:rFonts w:eastAsia="Times New Roman" w:cs="Times New Roman"/>
          <w:spacing w:val="1"/>
          <w:szCs w:val="24"/>
        </w:rPr>
        <w:t xml:space="preserve"> but not above a maximum temperature of 122°F (50°C).</w:t>
      </w:r>
      <w:bookmarkStart w:id="244" w:name="_Toc388542223"/>
    </w:p>
    <w:bookmarkEnd w:id="244"/>
    <w:p w14:paraId="2D61385F" w14:textId="12B30035"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C5411D">
        <w:rPr>
          <w:rFonts w:cs="Times New Roman"/>
          <w:sz w:val="23"/>
          <w:szCs w:val="23"/>
        </w:rPr>
        <w:t>32</w:t>
      </w:r>
      <w:r w:rsidRPr="00EC4EC4">
        <w:rPr>
          <w:rFonts w:cs="Times New Roman"/>
          <w:sz w:val="23"/>
          <w:szCs w:val="23"/>
        </w:rPr>
        <w:t>. Section 1105.11 of  the New York city mechanical code, as amended by local law number 126 for the year 2021, is amended to read as follows:</w:t>
      </w:r>
    </w:p>
    <w:p w14:paraId="05BC4DFC" w14:textId="77777777" w:rsidR="00140B7C" w:rsidRPr="00EC4EC4" w:rsidRDefault="00140B7C" w:rsidP="00140B7C">
      <w:pPr>
        <w:autoSpaceDE w:val="0"/>
        <w:autoSpaceDN w:val="0"/>
        <w:adjustRightInd w:val="0"/>
        <w:spacing w:after="240" w:line="240" w:lineRule="auto"/>
        <w:jc w:val="both"/>
        <w:rPr>
          <w:rFonts w:eastAsia="Times New Roman" w:cs="Times New Roman"/>
          <w:spacing w:val="1"/>
          <w:szCs w:val="24"/>
        </w:rPr>
      </w:pPr>
      <w:r w:rsidRPr="00EC4EC4">
        <w:rPr>
          <w:rFonts w:eastAsia="Times New Roman" w:cs="Times New Roman"/>
          <w:b/>
          <w:szCs w:val="24"/>
        </w:rPr>
        <w:t>1105.11 Emergency signs.</w:t>
      </w:r>
      <w:r w:rsidRPr="00EC4EC4">
        <w:rPr>
          <w:rFonts w:eastAsia="Times New Roman" w:cs="Times New Roman"/>
          <w:b/>
          <w:bCs/>
          <w:w w:val="110"/>
          <w:szCs w:val="24"/>
        </w:rPr>
        <w:t xml:space="preserve"> </w:t>
      </w:r>
      <w:r w:rsidRPr="00EC4EC4">
        <w:rPr>
          <w:rFonts w:eastAsia="Times New Roman" w:cs="Times New Roman"/>
          <w:spacing w:val="1"/>
          <w:szCs w:val="24"/>
        </w:rPr>
        <w:t>Signs shall comply with the following:</w:t>
      </w:r>
    </w:p>
    <w:p w14:paraId="24087C3D" w14:textId="77777777" w:rsidR="00140B7C" w:rsidRPr="00EC4EC4" w:rsidRDefault="00140B7C" w:rsidP="00226293">
      <w:pPr>
        <w:numPr>
          <w:ilvl w:val="0"/>
          <w:numId w:val="30"/>
        </w:numPr>
        <w:kinsoku w:val="0"/>
        <w:autoSpaceDE w:val="0"/>
        <w:autoSpaceDN w:val="0"/>
        <w:adjustRightInd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Sections 8.11.8 and 11.2.4 of ASHRAE 15.</w:t>
      </w:r>
    </w:p>
    <w:p w14:paraId="7492F2C5" w14:textId="77777777" w:rsidR="00140B7C" w:rsidRPr="00EC4EC4" w:rsidRDefault="00140B7C" w:rsidP="00140B7C">
      <w:pPr>
        <w:kinsoku w:val="0"/>
        <w:autoSpaceDE w:val="0"/>
        <w:autoSpaceDN w:val="0"/>
        <w:adjustRightInd w:val="0"/>
        <w:spacing w:after="240" w:line="240" w:lineRule="auto"/>
        <w:ind w:left="360"/>
        <w:jc w:val="both"/>
        <w:rPr>
          <w:rFonts w:eastAsia="Times New Roman" w:cs="Times New Roman"/>
          <w:b/>
          <w:bCs/>
          <w:szCs w:val="24"/>
          <w:u w:val="single"/>
        </w:rPr>
      </w:pPr>
      <w:r w:rsidRPr="00EC4EC4">
        <w:rPr>
          <w:rFonts w:eastAsia="Times New Roman" w:cs="Times New Roman"/>
          <w:spacing w:val="1"/>
          <w:szCs w:val="24"/>
        </w:rPr>
        <w:t>[</w:t>
      </w:r>
      <w:r w:rsidRPr="00EC4EC4">
        <w:rPr>
          <w:rFonts w:eastAsia="Times New Roman" w:cs="Times New Roman"/>
          <w:strike/>
          <w:spacing w:val="1"/>
          <w:szCs w:val="24"/>
        </w:rPr>
        <w:t>2.</w:t>
      </w:r>
      <w:r w:rsidRPr="00EC4EC4">
        <w:rPr>
          <w:rFonts w:eastAsia="Times New Roman" w:cs="Times New Roman"/>
          <w:spacing w:val="1"/>
          <w:szCs w:val="24"/>
        </w:rPr>
        <w:t xml:space="preserve">] </w:t>
      </w:r>
      <w:r w:rsidRPr="00EC4EC4">
        <w:rPr>
          <w:rFonts w:eastAsia="Times New Roman" w:cs="Times New Roman"/>
          <w:spacing w:val="1"/>
          <w:szCs w:val="24"/>
          <w:u w:val="single"/>
        </w:rPr>
        <w:t>2.</w:t>
      </w:r>
      <w:r w:rsidRPr="00EC4EC4">
        <w:rPr>
          <w:rFonts w:eastAsia="Times New Roman" w:cs="Times New Roman"/>
          <w:spacing w:val="1"/>
          <w:szCs w:val="24"/>
        </w:rPr>
        <w:t xml:space="preserve"> Refrigeration units or systems having a refrigerant circuit containing more than 220 pounds (99.8 kg) of Group A1 or 30 pounds (13.6 kg) of any other group refrigerant shall be provided with approved emergency signs, charts, and labels in accordance with NFPA 704.</w:t>
      </w:r>
    </w:p>
    <w:p w14:paraId="44785BC3" w14:textId="746934DF" w:rsidR="00140B7C" w:rsidRPr="00EC4EC4" w:rsidRDefault="00140B7C" w:rsidP="00140B7C">
      <w:pPr>
        <w:ind w:firstLine="720"/>
        <w:rPr>
          <w:rFonts w:eastAsia="Times New Roman" w:cs="Times New Roman"/>
          <w:b/>
          <w:bCs/>
          <w:szCs w:val="24"/>
        </w:rPr>
      </w:pPr>
      <w:bookmarkStart w:id="245" w:name="_Toc388542368"/>
      <w:r w:rsidRPr="00EC4EC4">
        <w:rPr>
          <w:rFonts w:cs="Times New Roman"/>
          <w:sz w:val="23"/>
          <w:szCs w:val="23"/>
        </w:rPr>
        <w:t>§</w:t>
      </w:r>
      <w:r>
        <w:rPr>
          <w:rFonts w:cs="Times New Roman"/>
          <w:sz w:val="23"/>
          <w:szCs w:val="23"/>
        </w:rPr>
        <w:t>3</w:t>
      </w:r>
      <w:r w:rsidR="00C5411D">
        <w:rPr>
          <w:rFonts w:cs="Times New Roman"/>
          <w:sz w:val="23"/>
          <w:szCs w:val="23"/>
        </w:rPr>
        <w:t>33</w:t>
      </w:r>
      <w:r w:rsidRPr="00EC4EC4">
        <w:rPr>
          <w:rFonts w:cs="Times New Roman"/>
          <w:sz w:val="23"/>
          <w:szCs w:val="23"/>
        </w:rPr>
        <w:t>. Section 1210.6.5 of  the New York city mechanical code, as added by local law number 126 for the year 2021, is amended to read as follows:</w:t>
      </w:r>
    </w:p>
    <w:p w14:paraId="58652CC4" w14:textId="77777777" w:rsidR="00140B7C" w:rsidRPr="00EC4EC4" w:rsidRDefault="00140B7C" w:rsidP="00140B7C">
      <w:pPr>
        <w:autoSpaceDE w:val="0"/>
        <w:autoSpaceDN w:val="0"/>
        <w:adjustRightInd w:val="0"/>
        <w:spacing w:after="240" w:line="240" w:lineRule="auto"/>
        <w:jc w:val="both"/>
        <w:rPr>
          <w:rFonts w:eastAsia="Times New Roman" w:cs="Times New Roman"/>
          <w:b/>
          <w:bCs/>
          <w:szCs w:val="24"/>
          <w:u w:val="single"/>
        </w:rPr>
      </w:pPr>
      <w:r w:rsidRPr="00EC4EC4">
        <w:rPr>
          <w:rFonts w:eastAsia="Times New Roman" w:cs="Times New Roman"/>
          <w:b/>
          <w:bCs/>
          <w:szCs w:val="24"/>
        </w:rPr>
        <w:t xml:space="preserve">1210.6.5 Cross-linked polyethylene (PEX) plastic tubing. </w:t>
      </w:r>
      <w:r w:rsidRPr="00EC4EC4">
        <w:rPr>
          <w:rFonts w:eastAsia="Times New Roman" w:cs="Times New Roman"/>
          <w:bCs/>
          <w:szCs w:val="24"/>
        </w:rPr>
        <w:t>Joints between cross-linked polyethylene plastic tubing and fittings shall comply with [</w:t>
      </w:r>
      <w:r w:rsidRPr="00EC4EC4">
        <w:rPr>
          <w:rFonts w:eastAsia="Times New Roman" w:cs="Times New Roman"/>
          <w:bCs/>
          <w:strike/>
          <w:szCs w:val="24"/>
        </w:rPr>
        <w:t>Sections</w:t>
      </w:r>
      <w:r w:rsidRPr="00EC4EC4">
        <w:rPr>
          <w:rFonts w:eastAsia="Times New Roman" w:cs="Times New Roman"/>
          <w:bCs/>
          <w:szCs w:val="24"/>
        </w:rPr>
        <w:t>]Section 1210.6.5.1 [</w:t>
      </w:r>
      <w:r w:rsidRPr="00EC4EC4">
        <w:rPr>
          <w:rFonts w:eastAsia="Times New Roman" w:cs="Times New Roman"/>
          <w:bCs/>
          <w:strike/>
          <w:szCs w:val="24"/>
        </w:rPr>
        <w:t>and 1210.6.5.2</w:t>
      </w:r>
      <w:r w:rsidRPr="00EC4EC4">
        <w:rPr>
          <w:rFonts w:eastAsia="Times New Roman" w:cs="Times New Roman"/>
          <w:bCs/>
          <w:szCs w:val="24"/>
        </w:rPr>
        <w:t>]. Mechanical joints shall comply with Section 1210.6.3.</w:t>
      </w:r>
      <w:bookmarkEnd w:id="245"/>
    </w:p>
    <w:p w14:paraId="3C734EBE" w14:textId="7BA53BC5" w:rsidR="00140B7C" w:rsidRPr="00EC4EC4" w:rsidRDefault="00140B7C" w:rsidP="00C5411D">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33</w:t>
      </w:r>
      <w:r w:rsidR="0044372B">
        <w:rPr>
          <w:rFonts w:cs="Times New Roman"/>
          <w:sz w:val="23"/>
          <w:szCs w:val="23"/>
        </w:rPr>
        <w:t>4</w:t>
      </w:r>
      <w:r w:rsidRPr="00EC4EC4">
        <w:rPr>
          <w:rFonts w:cs="Times New Roman"/>
          <w:sz w:val="23"/>
          <w:szCs w:val="23"/>
        </w:rPr>
        <w:t>. Section 1302.9.1 of  the New York city mechanical code, as amended by local law number 126 for the year 2021, is amended to read as follows:</w:t>
      </w:r>
    </w:p>
    <w:p w14:paraId="2EA0AC4F" w14:textId="77777777" w:rsidR="00140B7C" w:rsidRPr="00EC4EC4" w:rsidRDefault="00140B7C" w:rsidP="00140B7C">
      <w:pPr>
        <w:autoSpaceDE w:val="0"/>
        <w:autoSpaceDN w:val="0"/>
        <w:adjustRightInd w:val="0"/>
        <w:spacing w:after="240" w:line="240" w:lineRule="auto"/>
        <w:jc w:val="both"/>
        <w:rPr>
          <w:rFonts w:eastAsia="Times New Roman" w:cs="Times New Roman"/>
          <w:spacing w:val="1"/>
          <w:szCs w:val="24"/>
        </w:rPr>
      </w:pPr>
      <w:r w:rsidRPr="00EC4EC4">
        <w:rPr>
          <w:rFonts w:eastAsia="Times New Roman" w:cs="Times New Roman"/>
          <w:b/>
          <w:bCs/>
          <w:szCs w:val="24"/>
        </w:rPr>
        <w:t>1302</w:t>
      </w:r>
      <w:r w:rsidRPr="00EC4EC4">
        <w:rPr>
          <w:rFonts w:eastAsia="Times New Roman" w:cs="Times New Roman"/>
          <w:spacing w:val="1"/>
          <w:szCs w:val="24"/>
        </w:rPr>
        <w:t>.</w:t>
      </w:r>
      <w:r w:rsidRPr="00EC4EC4">
        <w:rPr>
          <w:rFonts w:eastAsia="Times New Roman" w:cs="Times New Roman"/>
          <w:b/>
          <w:spacing w:val="1"/>
          <w:szCs w:val="24"/>
        </w:rPr>
        <w:t>9.1</w:t>
      </w:r>
      <w:r w:rsidRPr="00EC4EC4">
        <w:rPr>
          <w:rFonts w:eastAsia="Times New Roman" w:cs="Times New Roman"/>
          <w:spacing w:val="1"/>
          <w:szCs w:val="24"/>
        </w:rPr>
        <w:t xml:space="preserve"> </w:t>
      </w:r>
      <w:r w:rsidRPr="00EC4EC4">
        <w:rPr>
          <w:rFonts w:eastAsia="Times New Roman" w:cs="Times New Roman"/>
          <w:b/>
          <w:spacing w:val="1"/>
          <w:szCs w:val="24"/>
        </w:rPr>
        <w:t>Listing[:]</w:t>
      </w:r>
      <w:r w:rsidRPr="00EC4EC4">
        <w:rPr>
          <w:rFonts w:eastAsia="Times New Roman" w:cs="Times New Roman"/>
          <w:b/>
          <w:spacing w:val="1"/>
          <w:szCs w:val="24"/>
          <w:u w:val="single"/>
        </w:rPr>
        <w:t>.</w:t>
      </w:r>
      <w:r w:rsidRPr="00EC4EC4">
        <w:rPr>
          <w:rFonts w:eastAsia="Times New Roman" w:cs="Times New Roman"/>
          <w:spacing w:val="1"/>
          <w:szCs w:val="24"/>
        </w:rPr>
        <w:t xml:space="preserve"> Flexible fuel-oil piping systems with continuous leak detection shall be [</w:t>
      </w:r>
      <w:r w:rsidRPr="00EC4EC4">
        <w:rPr>
          <w:rFonts w:eastAsia="Times New Roman" w:cs="Times New Roman"/>
          <w:strike/>
          <w:spacing w:val="1"/>
          <w:szCs w:val="24"/>
        </w:rPr>
        <w:t>tested and evaluated</w:t>
      </w:r>
      <w:r w:rsidRPr="00EC4EC4">
        <w:rPr>
          <w:rFonts w:eastAsia="Times New Roman" w:cs="Times New Roman"/>
          <w:spacing w:val="1"/>
          <w:szCs w:val="24"/>
        </w:rPr>
        <w:t xml:space="preserve">] </w:t>
      </w:r>
      <w:r w:rsidRPr="00EC4EC4">
        <w:rPr>
          <w:rFonts w:eastAsia="Times New Roman" w:cs="Times New Roman"/>
          <w:spacing w:val="1"/>
          <w:szCs w:val="24"/>
          <w:u w:val="single"/>
        </w:rPr>
        <w:t>listed and labeled</w:t>
      </w:r>
      <w:r w:rsidRPr="00EC4EC4">
        <w:rPr>
          <w:rFonts w:eastAsia="Times New Roman" w:cs="Times New Roman"/>
          <w:spacing w:val="1"/>
          <w:szCs w:val="24"/>
        </w:rPr>
        <w:t xml:space="preserve"> in accordance with [</w:t>
      </w:r>
      <w:r w:rsidRPr="00EC4EC4">
        <w:rPr>
          <w:rFonts w:eastAsia="Times New Roman" w:cs="Times New Roman"/>
          <w:strike/>
          <w:spacing w:val="1"/>
          <w:szCs w:val="24"/>
        </w:rPr>
        <w:t>ULC-S667 and shall be listed and labeled by an approved agency</w:t>
      </w:r>
      <w:r w:rsidRPr="00EC4EC4">
        <w:rPr>
          <w:rFonts w:eastAsia="Times New Roman" w:cs="Times New Roman"/>
          <w:spacing w:val="1"/>
          <w:szCs w:val="24"/>
        </w:rPr>
        <w:t xml:space="preserve">] </w:t>
      </w:r>
      <w:r w:rsidRPr="00EC4EC4">
        <w:rPr>
          <w:rFonts w:eastAsia="Times New Roman" w:cs="Times New Roman"/>
          <w:spacing w:val="1"/>
          <w:szCs w:val="24"/>
          <w:u w:val="single"/>
        </w:rPr>
        <w:t>UL 1369</w:t>
      </w:r>
      <w:r w:rsidRPr="00EC4EC4">
        <w:rPr>
          <w:rFonts w:eastAsia="Times New Roman" w:cs="Times New Roman"/>
          <w:spacing w:val="1"/>
          <w:szCs w:val="24"/>
        </w:rPr>
        <w:t>.</w:t>
      </w:r>
    </w:p>
    <w:p w14:paraId="64FF3202" w14:textId="5D6A9D9B" w:rsidR="00140B7C" w:rsidRPr="00EC4EC4" w:rsidRDefault="00140B7C" w:rsidP="0044372B">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33</w:t>
      </w:r>
      <w:r w:rsidR="0044372B">
        <w:rPr>
          <w:rFonts w:cs="Times New Roman"/>
          <w:sz w:val="23"/>
          <w:szCs w:val="23"/>
        </w:rPr>
        <w:t>5</w:t>
      </w:r>
      <w:r w:rsidRPr="00EC4EC4">
        <w:rPr>
          <w:rFonts w:cs="Times New Roman"/>
          <w:sz w:val="23"/>
          <w:szCs w:val="23"/>
        </w:rPr>
        <w:t>. Section 1302.9.2 of  the New York city mechanical code, as added by local law number 126 for the year 2021, is amended to read as follows:</w:t>
      </w:r>
    </w:p>
    <w:p w14:paraId="2D2E525E" w14:textId="77777777" w:rsidR="00140B7C" w:rsidRPr="00EC4EC4" w:rsidRDefault="00140B7C" w:rsidP="00140B7C">
      <w:pPr>
        <w:autoSpaceDE w:val="0"/>
        <w:autoSpaceDN w:val="0"/>
        <w:adjustRightInd w:val="0"/>
        <w:spacing w:after="240" w:line="240" w:lineRule="auto"/>
        <w:jc w:val="both"/>
        <w:rPr>
          <w:rFonts w:eastAsia="Times New Roman" w:cs="Times New Roman"/>
          <w:b/>
          <w:bCs/>
          <w:szCs w:val="24"/>
        </w:rPr>
      </w:pPr>
      <w:r w:rsidRPr="00EC4EC4">
        <w:rPr>
          <w:rFonts w:eastAsia="Times New Roman" w:cs="Times New Roman"/>
          <w:b/>
          <w:spacing w:val="1"/>
          <w:szCs w:val="24"/>
        </w:rPr>
        <w:t>1302.9.2 Design and [</w:t>
      </w:r>
      <w:r w:rsidRPr="00EC4EC4">
        <w:rPr>
          <w:rFonts w:eastAsia="Times New Roman" w:cs="Times New Roman"/>
          <w:b/>
          <w:strike/>
          <w:spacing w:val="1"/>
          <w:szCs w:val="24"/>
        </w:rPr>
        <w:t>Installation</w:t>
      </w:r>
      <w:r w:rsidRPr="00EC4EC4">
        <w:rPr>
          <w:rFonts w:eastAsia="Times New Roman" w:cs="Times New Roman"/>
          <w:b/>
          <w:spacing w:val="1"/>
          <w:szCs w:val="24"/>
        </w:rPr>
        <w:t>]</w:t>
      </w:r>
      <w:r w:rsidRPr="00EC4EC4">
        <w:rPr>
          <w:rFonts w:eastAsia="Times New Roman" w:cs="Times New Roman"/>
          <w:b/>
          <w:spacing w:val="1"/>
          <w:szCs w:val="24"/>
          <w:u w:val="single"/>
        </w:rPr>
        <w:t>installation</w:t>
      </w:r>
      <w:r w:rsidRPr="00EC4EC4">
        <w:rPr>
          <w:rFonts w:eastAsia="Times New Roman" w:cs="Times New Roman"/>
          <w:b/>
          <w:spacing w:val="1"/>
          <w:szCs w:val="24"/>
        </w:rPr>
        <w:t>.</w:t>
      </w:r>
      <w:r w:rsidRPr="00EC4EC4">
        <w:rPr>
          <w:rFonts w:eastAsia="Times New Roman" w:cs="Times New Roman"/>
          <w:spacing w:val="1"/>
          <w:szCs w:val="24"/>
        </w:rPr>
        <w:t xml:space="preserve"> Flexible fuel-oil piping systems with continuous leak detection shall comply with the requirements of Sections 1302.9.2.1 through 1302.9.2.6.</w:t>
      </w:r>
    </w:p>
    <w:p w14:paraId="651A993E" w14:textId="067BAD2F" w:rsidR="00140B7C" w:rsidRPr="00EC4EC4" w:rsidRDefault="00140B7C" w:rsidP="00140B7C">
      <w:pPr>
        <w:kinsoku w:val="0"/>
        <w:spacing w:after="240" w:line="240" w:lineRule="auto"/>
        <w:ind w:firstLine="720"/>
        <w:jc w:val="both"/>
        <w:rPr>
          <w:rFonts w:eastAsia="Times New Roman" w:cs="Times New Roman"/>
          <w:b/>
          <w:bCs/>
          <w:szCs w:val="24"/>
        </w:rPr>
      </w:pPr>
      <w:bookmarkStart w:id="246" w:name="_Hlk111631797"/>
      <w:r w:rsidRPr="00EC4EC4">
        <w:rPr>
          <w:rFonts w:cs="Times New Roman"/>
          <w:sz w:val="23"/>
          <w:szCs w:val="23"/>
        </w:rPr>
        <w:t>§</w:t>
      </w:r>
      <w:r>
        <w:rPr>
          <w:rFonts w:cs="Times New Roman"/>
          <w:sz w:val="23"/>
          <w:szCs w:val="23"/>
        </w:rPr>
        <w:t>33</w:t>
      </w:r>
      <w:r w:rsidR="0044372B">
        <w:rPr>
          <w:rFonts w:cs="Times New Roman"/>
          <w:sz w:val="23"/>
          <w:szCs w:val="23"/>
        </w:rPr>
        <w:t>6</w:t>
      </w:r>
      <w:r w:rsidRPr="00EC4EC4">
        <w:rPr>
          <w:rFonts w:cs="Times New Roman"/>
          <w:sz w:val="23"/>
          <w:szCs w:val="23"/>
        </w:rPr>
        <w:t>. Section 1305.9.13 of  the New York city mechanical code, as amended by local law number 126 for the year 2021, is amended to read as follows:</w:t>
      </w:r>
    </w:p>
    <w:bookmarkEnd w:id="246"/>
    <w:p w14:paraId="4875C919" w14:textId="77777777" w:rsidR="00140B7C" w:rsidRPr="00EC4EC4" w:rsidRDefault="00140B7C" w:rsidP="00140B7C">
      <w:pPr>
        <w:autoSpaceDE w:val="0"/>
        <w:autoSpaceDN w:val="0"/>
        <w:adjustRightInd w:val="0"/>
        <w:spacing w:after="240" w:line="240" w:lineRule="auto"/>
        <w:ind w:right="36"/>
        <w:jc w:val="both"/>
        <w:rPr>
          <w:rFonts w:eastAsia="Times New Roman" w:cs="Times New Roman"/>
          <w:b/>
          <w:bCs/>
          <w:szCs w:val="24"/>
        </w:rPr>
      </w:pPr>
      <w:r w:rsidRPr="00EC4EC4">
        <w:rPr>
          <w:rFonts w:eastAsia="Times New Roman" w:cs="Times New Roman"/>
          <w:b/>
          <w:bCs/>
          <w:szCs w:val="24"/>
        </w:rPr>
        <w:t>1305.9.13 Outdoor fuel-oil piping in existing buildings.</w:t>
      </w:r>
      <w:r w:rsidRPr="00EC4EC4">
        <w:rPr>
          <w:rFonts w:eastAsia="Times New Roman" w:cs="Times New Roman"/>
          <w:szCs w:val="24"/>
        </w:rPr>
        <w:t xml:space="preserve"> Outdoor fuel-oil piping in existing buildings, including vertical piping, utilizing pumps to transfer fuel oil to appliances at levels above the lowest floor or to storage tanks at levels above the lowest floor in buildings shall additionally comply with the following:</w:t>
      </w:r>
    </w:p>
    <w:p w14:paraId="69B09B4C"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Piping shall be located a minimum of 10 feet (3048 mm) from lot lines or a 2-hour fire-rated-enclosure shall be provided.</w:t>
      </w:r>
    </w:p>
    <w:p w14:paraId="37429CEF"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b/>
          <w:bCs/>
          <w:szCs w:val="24"/>
        </w:rPr>
      </w:pPr>
      <w:r w:rsidRPr="00EC4EC4">
        <w:rPr>
          <w:rFonts w:eastAsia="Times New Roman" w:cs="Times New Roman"/>
          <w:szCs w:val="24"/>
        </w:rPr>
        <w:t>2.</w:t>
      </w:r>
      <w:r w:rsidRPr="00EC4EC4">
        <w:rPr>
          <w:rFonts w:eastAsia="Times New Roman" w:cs="Times New Roman"/>
          <w:szCs w:val="24"/>
        </w:rPr>
        <w:tab/>
        <w:t>Piping shall be located a minimum of 3 feet (914.4 mm) from building openings and combustible construction.</w:t>
      </w:r>
    </w:p>
    <w:p w14:paraId="118B4D00"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3.</w:t>
      </w:r>
      <w:r w:rsidRPr="00EC4EC4">
        <w:rPr>
          <w:rFonts w:eastAsia="Times New Roman" w:cs="Times New Roman"/>
          <w:szCs w:val="24"/>
        </w:rPr>
        <w:tab/>
        <w:t>Vertical outdoor fuel-oil piping shall be enclosed in a fully welded outer containment of at least No. 10 standard Gage steel sized in accordance with Section 1305.9.3.2.</w:t>
      </w:r>
    </w:p>
    <w:p w14:paraId="2815BA1D"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b/>
          <w:bCs/>
          <w:szCs w:val="24"/>
        </w:rPr>
      </w:pPr>
      <w:r w:rsidRPr="00EC4EC4">
        <w:rPr>
          <w:rFonts w:eastAsia="Times New Roman" w:cs="Times New Roman"/>
          <w:szCs w:val="24"/>
        </w:rPr>
        <w:t>4.</w:t>
      </w:r>
      <w:r w:rsidRPr="00EC4EC4">
        <w:rPr>
          <w:rFonts w:eastAsia="Times New Roman" w:cs="Times New Roman"/>
          <w:szCs w:val="24"/>
        </w:rPr>
        <w:tab/>
        <w:t>Horizontal outdoor fuel-oil piping shall comply with Section 1305.9.3.</w:t>
      </w:r>
    </w:p>
    <w:p w14:paraId="6491BE74"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b/>
          <w:bCs/>
          <w:szCs w:val="24"/>
        </w:rPr>
      </w:pPr>
      <w:r w:rsidRPr="00EC4EC4">
        <w:rPr>
          <w:rFonts w:eastAsia="Times New Roman" w:cs="Times New Roman"/>
          <w:szCs w:val="24"/>
        </w:rPr>
        <w:t>5.</w:t>
      </w:r>
      <w:r w:rsidRPr="00EC4EC4">
        <w:rPr>
          <w:rFonts w:eastAsia="Times New Roman" w:cs="Times New Roman"/>
          <w:szCs w:val="24"/>
        </w:rPr>
        <w:tab/>
        <w:t>In addition to the requirement of Section 1305.9.4, a drain pipe shall also be provided from the lowest point in the vertical outdoor containment enclosure to a minimum 55-gallon (208.2 L) container with a leak detection alarm, arranged so as to sound an alarm and stop the transfer pump.  The container may be located immediately inside the building.</w:t>
      </w:r>
    </w:p>
    <w:p w14:paraId="464452C3"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6.</w:t>
      </w:r>
      <w:r w:rsidRPr="00EC4EC4">
        <w:rPr>
          <w:rFonts w:eastAsia="Times New Roman" w:cs="Times New Roman"/>
          <w:szCs w:val="24"/>
        </w:rPr>
        <w:tab/>
        <w:t>Materials and supports directly exposed to the weather shall be stainless steel or other corrosion resistive material.</w:t>
      </w:r>
    </w:p>
    <w:p w14:paraId="4627EEE3"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7.</w:t>
      </w:r>
      <w:r w:rsidRPr="00EC4EC4">
        <w:rPr>
          <w:rFonts w:eastAsia="Times New Roman" w:cs="Times New Roman"/>
          <w:szCs w:val="24"/>
        </w:rPr>
        <w:tab/>
        <w:t>Details shall be provided for piping supports and connections to building structure.</w:t>
      </w:r>
    </w:p>
    <w:p w14:paraId="05045176"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8.</w:t>
      </w:r>
      <w:r w:rsidRPr="00EC4EC4">
        <w:rPr>
          <w:rFonts w:eastAsia="Times New Roman" w:cs="Times New Roman"/>
          <w:szCs w:val="24"/>
        </w:rPr>
        <w:tab/>
        <w:t xml:space="preserve">Penetrations of building walls shall be encased in a protective pipe sleeve. The annular space between the piping and the sleeve shall be sealed in accordance with the </w:t>
      </w:r>
      <w:r w:rsidRPr="00EC4EC4">
        <w:rPr>
          <w:rFonts w:eastAsia="Times New Roman" w:cs="Times New Roman"/>
          <w:i/>
          <w:szCs w:val="24"/>
        </w:rPr>
        <w:t>New York City Building Code</w:t>
      </w:r>
      <w:r w:rsidRPr="00EC4EC4">
        <w:rPr>
          <w:rFonts w:eastAsia="Times New Roman" w:cs="Times New Roman"/>
          <w:szCs w:val="24"/>
        </w:rPr>
        <w:t>.</w:t>
      </w:r>
    </w:p>
    <w:p w14:paraId="11B5CAED"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9.</w:t>
      </w:r>
      <w:r w:rsidRPr="00EC4EC4">
        <w:rPr>
          <w:rFonts w:eastAsia="Times New Roman" w:cs="Times New Roman"/>
          <w:szCs w:val="24"/>
        </w:rPr>
        <w:tab/>
        <w:t xml:space="preserve">Piping shall be grounded in accordance with the </w:t>
      </w:r>
      <w:r w:rsidRPr="00EC4EC4">
        <w:rPr>
          <w:rFonts w:eastAsia="Times New Roman" w:cs="Times New Roman"/>
          <w:i/>
          <w:szCs w:val="24"/>
        </w:rPr>
        <w:t>New York City Electrical Code</w:t>
      </w:r>
      <w:r w:rsidRPr="00EC4EC4">
        <w:rPr>
          <w:rFonts w:eastAsia="Times New Roman" w:cs="Times New Roman"/>
          <w:szCs w:val="24"/>
        </w:rPr>
        <w:t xml:space="preserve"> Section 250.104 (B).</w:t>
      </w:r>
    </w:p>
    <w:p w14:paraId="06369C46"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10.</w:t>
      </w:r>
      <w:r w:rsidRPr="00EC4EC4">
        <w:rPr>
          <w:rFonts w:eastAsia="Times New Roman" w:cs="Times New Roman"/>
          <w:szCs w:val="24"/>
        </w:rPr>
        <w:tab/>
        <w:t>Piping shall be protected from vehicle impact and physical damage.</w:t>
      </w:r>
    </w:p>
    <w:p w14:paraId="7815E96A"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b/>
          <w:bCs/>
          <w:szCs w:val="24"/>
        </w:rPr>
      </w:pPr>
      <w:r w:rsidRPr="00EC4EC4">
        <w:rPr>
          <w:rFonts w:eastAsia="Times New Roman" w:cs="Times New Roman"/>
          <w:szCs w:val="24"/>
        </w:rPr>
        <w:t>11.</w:t>
      </w:r>
      <w:r w:rsidRPr="00EC4EC4">
        <w:rPr>
          <w:rFonts w:eastAsia="Times New Roman" w:cs="Times New Roman"/>
          <w:szCs w:val="24"/>
        </w:rPr>
        <w:tab/>
        <w:t xml:space="preserve">Flexible fuel-oil piping systems </w:t>
      </w:r>
      <w:r w:rsidRPr="00EC4EC4">
        <w:rPr>
          <w:rFonts w:eastAsia="Times New Roman" w:cs="Times New Roman"/>
          <w:szCs w:val="24"/>
          <w:u w:val="single"/>
        </w:rPr>
        <w:t>other than in accordance with Section 1302.9</w:t>
      </w:r>
      <w:r w:rsidRPr="00EC4EC4">
        <w:rPr>
          <w:rFonts w:eastAsia="Times New Roman" w:cs="Times New Roman"/>
          <w:szCs w:val="24"/>
        </w:rPr>
        <w:t xml:space="preserve"> shall not be utilized.</w:t>
      </w:r>
    </w:p>
    <w:p w14:paraId="7BA88C5A"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12.</w:t>
      </w:r>
      <w:r w:rsidRPr="00EC4EC4">
        <w:rPr>
          <w:rFonts w:eastAsia="Times New Roman" w:cs="Times New Roman"/>
          <w:szCs w:val="24"/>
        </w:rPr>
        <w:tab/>
        <w:t>Egress paths shall not be obstructed.</w:t>
      </w:r>
    </w:p>
    <w:p w14:paraId="0C1D5AD9"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13.</w:t>
      </w:r>
      <w:r w:rsidRPr="00EC4EC4">
        <w:rPr>
          <w:rFonts w:eastAsia="Times New Roman" w:cs="Times New Roman"/>
          <w:szCs w:val="24"/>
        </w:rPr>
        <w:tab/>
        <w:t>Roof access shall comply with Section 306.5.</w:t>
      </w:r>
    </w:p>
    <w:p w14:paraId="5D32FDF0" w14:textId="77777777" w:rsidR="00140B7C" w:rsidRPr="00EC4EC4" w:rsidRDefault="00140B7C" w:rsidP="00140B7C">
      <w:pPr>
        <w:autoSpaceDE w:val="0"/>
        <w:autoSpaceDN w:val="0"/>
        <w:adjustRightInd w:val="0"/>
        <w:spacing w:after="240" w:line="240" w:lineRule="auto"/>
        <w:ind w:left="1080" w:right="36" w:hanging="360"/>
        <w:jc w:val="both"/>
        <w:rPr>
          <w:rFonts w:eastAsia="Times New Roman" w:cs="Times New Roman"/>
          <w:szCs w:val="24"/>
        </w:rPr>
      </w:pPr>
      <w:r w:rsidRPr="00EC4EC4">
        <w:rPr>
          <w:rFonts w:eastAsia="Times New Roman" w:cs="Times New Roman"/>
          <w:szCs w:val="24"/>
        </w:rPr>
        <w:t>14.</w:t>
      </w:r>
      <w:r w:rsidRPr="00EC4EC4">
        <w:rPr>
          <w:rFonts w:eastAsia="Times New Roman" w:cs="Times New Roman"/>
          <w:szCs w:val="24"/>
        </w:rPr>
        <w:tab/>
        <w:t>Piping shall be identified by a permanent label or tag at intervals not more than 40 feet (12 192 mm) in length and at all changes of direction. The label or tag shall be located outside of the enclosure.</w:t>
      </w:r>
    </w:p>
    <w:p w14:paraId="0844C87E" w14:textId="1FA529B4" w:rsidR="00140B7C" w:rsidRPr="00EC4EC4" w:rsidRDefault="00140B7C" w:rsidP="00140B7C">
      <w:pPr>
        <w:kinsoku w:val="0"/>
        <w:spacing w:after="240" w:line="240" w:lineRule="auto"/>
        <w:ind w:firstLine="720"/>
        <w:jc w:val="both"/>
        <w:rPr>
          <w:rFonts w:eastAsia="Times New Roman" w:cs="Times New Roman"/>
          <w:b/>
          <w:bCs/>
          <w:szCs w:val="24"/>
        </w:rPr>
      </w:pPr>
      <w:r w:rsidRPr="003D53AC">
        <w:rPr>
          <w:rFonts w:cs="Times New Roman"/>
          <w:sz w:val="23"/>
          <w:szCs w:val="23"/>
        </w:rPr>
        <w:t>§</w:t>
      </w:r>
      <w:r>
        <w:rPr>
          <w:rFonts w:cs="Times New Roman"/>
          <w:sz w:val="23"/>
          <w:szCs w:val="23"/>
        </w:rPr>
        <w:t>33</w:t>
      </w:r>
      <w:r w:rsidR="00B43C98">
        <w:rPr>
          <w:rFonts w:cs="Times New Roman"/>
          <w:sz w:val="23"/>
          <w:szCs w:val="23"/>
        </w:rPr>
        <w:t>7</w:t>
      </w:r>
      <w:r w:rsidRPr="003D53AC">
        <w:rPr>
          <w:rFonts w:cs="Times New Roman"/>
          <w:sz w:val="23"/>
          <w:szCs w:val="23"/>
        </w:rPr>
        <w:t>. Section 1305.11.1.2 of  the New York city mechanical code, as amended by local law number 126 for the year 2021, is amended to read as follows:</w:t>
      </w:r>
    </w:p>
    <w:p w14:paraId="51CC3741" w14:textId="77777777" w:rsidR="00140B7C" w:rsidRPr="00EC4EC4" w:rsidRDefault="00140B7C" w:rsidP="00140B7C">
      <w:pPr>
        <w:autoSpaceDE w:val="0"/>
        <w:autoSpaceDN w:val="0"/>
        <w:adjustRightInd w:val="0"/>
        <w:spacing w:after="240" w:line="240" w:lineRule="auto"/>
        <w:jc w:val="both"/>
        <w:rPr>
          <w:rFonts w:eastAsia="Times New Roman" w:cs="Times New Roman"/>
          <w:b/>
          <w:bCs/>
          <w:szCs w:val="24"/>
        </w:rPr>
      </w:pPr>
      <w:r w:rsidRPr="00EC4EC4">
        <w:rPr>
          <w:rFonts w:eastAsia="Times New Roman" w:cs="Times New Roman"/>
          <w:b/>
          <w:szCs w:val="24"/>
        </w:rPr>
        <w:t>1305.11.1.2 Inside of buildings; above ground on the lowest floor.</w:t>
      </w:r>
      <w:r w:rsidRPr="00EC4EC4">
        <w:rPr>
          <w:rFonts w:eastAsia="Times New Roman" w:cs="Times New Roman"/>
          <w:bCs/>
          <w:spacing w:val="6"/>
          <w:w w:val="110"/>
          <w:szCs w:val="24"/>
        </w:rPr>
        <w:t xml:space="preserve"> </w:t>
      </w:r>
      <w:r w:rsidRPr="00EC4EC4">
        <w:rPr>
          <w:rFonts w:eastAsia="Times New Roman" w:cs="Times New Roman"/>
          <w:spacing w:val="1"/>
          <w:szCs w:val="24"/>
        </w:rPr>
        <w:t>Fuel-oil storage tanks installed above ground on the lowest floor of a building shall be mounted on and anchored by adequate noncombustible supports. The maximum size of each individual tank shall be 660 gallons (2498.4 L), and a total of not more than [</w:t>
      </w:r>
      <w:r w:rsidRPr="00EC4EC4">
        <w:rPr>
          <w:rFonts w:eastAsia="Times New Roman" w:cs="Times New Roman"/>
          <w:strike/>
          <w:spacing w:val="1"/>
          <w:szCs w:val="24"/>
        </w:rPr>
        <w:t>1375</w:t>
      </w:r>
      <w:r w:rsidRPr="00EC4EC4">
        <w:rPr>
          <w:rFonts w:eastAsia="Times New Roman" w:cs="Times New Roman"/>
          <w:spacing w:val="1"/>
          <w:szCs w:val="24"/>
        </w:rPr>
        <w:t>]</w:t>
      </w:r>
      <w:r w:rsidRPr="00EC4EC4">
        <w:rPr>
          <w:rFonts w:eastAsia="Times New Roman" w:cs="Times New Roman"/>
          <w:spacing w:val="1"/>
          <w:szCs w:val="24"/>
          <w:u w:val="single"/>
        </w:rPr>
        <w:t>1,375</w:t>
      </w:r>
      <w:r w:rsidRPr="00EC4EC4">
        <w:rPr>
          <w:rFonts w:eastAsia="Times New Roman" w:cs="Times New Roman"/>
          <w:spacing w:val="1"/>
          <w:szCs w:val="24"/>
        </w:rPr>
        <w:t xml:space="preserve"> gallons (5204.9 L) shall be stored within the same 2-hour fire and smoke barrier construction.</w:t>
      </w:r>
    </w:p>
    <w:p w14:paraId="22709C45" w14:textId="77777777" w:rsidR="00140B7C" w:rsidRPr="00EC4EC4" w:rsidRDefault="00140B7C" w:rsidP="00140B7C">
      <w:pPr>
        <w:autoSpaceDE w:val="0"/>
        <w:autoSpaceDN w:val="0"/>
        <w:adjustRightInd w:val="0"/>
        <w:spacing w:after="240" w:line="240" w:lineRule="auto"/>
        <w:ind w:left="1080"/>
        <w:jc w:val="both"/>
        <w:rPr>
          <w:rFonts w:eastAsia="Times New Roman" w:cs="Times New Roman"/>
          <w:b/>
          <w:bCs/>
          <w:szCs w:val="24"/>
        </w:rPr>
      </w:pPr>
      <w:r w:rsidRPr="00EC4EC4">
        <w:rPr>
          <w:rFonts w:eastAsia="Times New Roman" w:cs="Times New Roman"/>
          <w:b/>
          <w:szCs w:val="24"/>
        </w:rPr>
        <w:t>Exceptions.</w:t>
      </w:r>
      <w:r w:rsidRPr="00EC4EC4">
        <w:rPr>
          <w:rFonts w:eastAsia="Times New Roman" w:cs="Times New Roman"/>
          <w:bCs/>
          <w:w w:val="110"/>
          <w:szCs w:val="24"/>
        </w:rPr>
        <w:t xml:space="preserve"> </w:t>
      </w:r>
      <w:r w:rsidRPr="00EC4EC4">
        <w:rPr>
          <w:rFonts w:eastAsia="Times New Roman" w:cs="Times New Roman"/>
          <w:spacing w:val="1"/>
          <w:szCs w:val="24"/>
        </w:rPr>
        <w:t>Fuel-oil storage tanks shall be permitted to exceed 660 gallons (2498.4 L), and the total quantity within a fire area shall be permitted to exceed [</w:t>
      </w:r>
      <w:r w:rsidRPr="00EC4EC4">
        <w:rPr>
          <w:rFonts w:eastAsia="Times New Roman" w:cs="Times New Roman"/>
          <w:strike/>
          <w:spacing w:val="1"/>
          <w:szCs w:val="24"/>
        </w:rPr>
        <w:t>1375</w:t>
      </w:r>
      <w:r w:rsidRPr="00EC4EC4">
        <w:rPr>
          <w:rFonts w:eastAsia="Times New Roman" w:cs="Times New Roman"/>
          <w:spacing w:val="1"/>
          <w:szCs w:val="24"/>
        </w:rPr>
        <w:t>]</w:t>
      </w:r>
      <w:r w:rsidRPr="00EC4EC4">
        <w:rPr>
          <w:rFonts w:eastAsia="Times New Roman" w:cs="Times New Roman"/>
          <w:spacing w:val="1"/>
          <w:szCs w:val="24"/>
          <w:u w:val="single"/>
        </w:rPr>
        <w:t>1,375</w:t>
      </w:r>
      <w:r w:rsidRPr="00EC4EC4">
        <w:rPr>
          <w:rFonts w:eastAsia="Times New Roman" w:cs="Times New Roman"/>
          <w:spacing w:val="1"/>
          <w:szCs w:val="24"/>
        </w:rPr>
        <w:t xml:space="preserve"> gallons (5204.9 L) in accordance with any one of the following options:</w:t>
      </w:r>
    </w:p>
    <w:p w14:paraId="5527CCDF" w14:textId="77777777" w:rsidR="00140B7C" w:rsidRPr="00EC4EC4" w:rsidRDefault="00140B7C" w:rsidP="00140B7C">
      <w:pPr>
        <w:kinsoku w:val="0"/>
        <w:spacing w:after="240" w:line="240" w:lineRule="auto"/>
        <w:ind w:left="1800" w:hanging="360"/>
        <w:jc w:val="both"/>
        <w:rPr>
          <w:rFonts w:eastAsia="Times New Roman" w:cs="Times New Roman"/>
          <w:b/>
          <w:bCs/>
          <w:szCs w:val="24"/>
        </w:rPr>
      </w:pPr>
      <w:r w:rsidRPr="00EC4EC4">
        <w:rPr>
          <w:rFonts w:eastAsia="Times New Roman" w:cs="Times New Roman"/>
          <w:bCs/>
          <w:szCs w:val="24"/>
        </w:rPr>
        <w:t>1.</w:t>
      </w:r>
      <w:r w:rsidRPr="00EC4EC4">
        <w:rPr>
          <w:rFonts w:eastAsia="Times New Roman" w:cs="Times New Roman"/>
          <w:bCs/>
          <w:szCs w:val="24"/>
        </w:rPr>
        <w:tab/>
      </w:r>
      <w:r w:rsidRPr="00EC4EC4">
        <w:rPr>
          <w:rFonts w:eastAsia="Times New Roman" w:cs="Times New Roman"/>
          <w:b/>
          <w:szCs w:val="24"/>
        </w:rPr>
        <w:t>Buildings of Type I, II, IIIA, IV or VA con</w:t>
      </w:r>
      <w:r w:rsidRPr="00EC4EC4">
        <w:rPr>
          <w:rFonts w:eastAsia="Times New Roman" w:cs="Times New Roman"/>
          <w:b/>
          <w:szCs w:val="24"/>
        </w:rPr>
        <w:softHyphen/>
        <w:t>struction with a total limit of 15,000 gallons (56 781.1 L).</w:t>
      </w:r>
      <w:r w:rsidRPr="00EC4EC4">
        <w:rPr>
          <w:rFonts w:eastAsia="Times New Roman" w:cs="Times New Roman"/>
          <w:bCs/>
          <w:spacing w:val="-12"/>
          <w:w w:val="110"/>
          <w:szCs w:val="24"/>
        </w:rPr>
        <w:t xml:space="preserve"> </w:t>
      </w:r>
      <w:r w:rsidRPr="00EC4EC4">
        <w:rPr>
          <w:rFonts w:eastAsia="Times New Roman" w:cs="Times New Roman"/>
          <w:spacing w:val="1"/>
          <w:szCs w:val="24"/>
        </w:rPr>
        <w:t>The maximum size of each individual tank shall be 15,000 gallons (56 781.1 L) provided that all such tanks are located in a room or enclosure dedicated to oil storage that is separated from the rest of the building by fire and smoke barrier construction of at least 3 hours. Notwithstanding Section 1305.11.1, in such cases, the maximum total quantity in the building shall be limited to 15,000 gallons (56 781.1 L).</w:t>
      </w:r>
    </w:p>
    <w:p w14:paraId="72EB5DA0" w14:textId="77777777" w:rsidR="00140B7C" w:rsidRPr="00EC4EC4" w:rsidRDefault="00140B7C" w:rsidP="00140B7C">
      <w:pPr>
        <w:kinsoku w:val="0"/>
        <w:spacing w:after="240" w:line="240" w:lineRule="auto"/>
        <w:ind w:left="1800" w:hanging="360"/>
        <w:jc w:val="both"/>
        <w:rPr>
          <w:rFonts w:eastAsia="Times New Roman" w:cs="Times New Roman"/>
          <w:b/>
          <w:bCs/>
          <w:szCs w:val="24"/>
        </w:rPr>
      </w:pPr>
      <w:r w:rsidRPr="00EC4EC4">
        <w:rPr>
          <w:rFonts w:eastAsia="Times New Roman" w:cs="Times New Roman"/>
          <w:bCs/>
          <w:szCs w:val="24"/>
        </w:rPr>
        <w:t>2.</w:t>
      </w:r>
      <w:r w:rsidRPr="00EC4EC4">
        <w:rPr>
          <w:rFonts w:eastAsia="Times New Roman" w:cs="Times New Roman"/>
          <w:b/>
          <w:szCs w:val="24"/>
        </w:rPr>
        <w:tab/>
        <w:t>Buildings of Type IIIB or VB construction with a total limit of 10,000 gallons (37 854.1 L).</w:t>
      </w:r>
      <w:r w:rsidRPr="00EC4EC4">
        <w:rPr>
          <w:rFonts w:eastAsia="Times New Roman" w:cs="Times New Roman"/>
          <w:bCs/>
          <w:spacing w:val="-12"/>
          <w:w w:val="110"/>
          <w:szCs w:val="24"/>
        </w:rPr>
        <w:t xml:space="preserve"> </w:t>
      </w:r>
      <w:r w:rsidRPr="00EC4EC4">
        <w:rPr>
          <w:rFonts w:eastAsia="Times New Roman" w:cs="Times New Roman"/>
          <w:spacing w:val="1"/>
          <w:szCs w:val="24"/>
        </w:rPr>
        <w:t>The maximum size of each individual tank shall be 10,000 gallons (37 854.1 L) provided that all such tanks are located in a room or enclosure dedicated to oil storage that is separated from the rest of the building by fire and smoke barrier construction of at least 3 hours. Notwithstanding Section 1305.11.1, in such cases, the maximum total quantity in the building shall be limited to 10,000 gallons (37 854.1 L).</w:t>
      </w:r>
    </w:p>
    <w:p w14:paraId="4A73C26E" w14:textId="77777777" w:rsidR="00140B7C" w:rsidRPr="00EC4EC4" w:rsidRDefault="00140B7C" w:rsidP="00140B7C">
      <w:pPr>
        <w:kinsoku w:val="0"/>
        <w:spacing w:after="240" w:line="240" w:lineRule="auto"/>
        <w:ind w:left="1800" w:hanging="360"/>
        <w:jc w:val="both"/>
        <w:rPr>
          <w:rFonts w:eastAsia="Times New Roman" w:cs="Times New Roman"/>
          <w:b/>
          <w:bCs/>
          <w:szCs w:val="24"/>
        </w:rPr>
      </w:pPr>
      <w:r w:rsidRPr="00EC4EC4">
        <w:rPr>
          <w:rFonts w:eastAsia="Times New Roman" w:cs="Times New Roman"/>
          <w:bCs/>
          <w:szCs w:val="24"/>
        </w:rPr>
        <w:t>3.</w:t>
      </w:r>
      <w:r w:rsidRPr="00EC4EC4">
        <w:rPr>
          <w:rFonts w:eastAsia="Times New Roman" w:cs="Times New Roman"/>
          <w:b/>
          <w:szCs w:val="24"/>
        </w:rPr>
        <w:tab/>
        <w:t>Buildings of any type construction with a total limit of 100,000 gallons (378 541.8 L).</w:t>
      </w:r>
      <w:r w:rsidRPr="00EC4EC4">
        <w:rPr>
          <w:rFonts w:eastAsia="Times New Roman" w:cs="Times New Roman"/>
          <w:bCs/>
          <w:spacing w:val="-6"/>
          <w:w w:val="110"/>
          <w:szCs w:val="24"/>
        </w:rPr>
        <w:t xml:space="preserve"> </w:t>
      </w:r>
      <w:r w:rsidRPr="00EC4EC4">
        <w:rPr>
          <w:rFonts w:eastAsia="Times New Roman" w:cs="Times New Roman"/>
          <w:spacing w:val="1"/>
          <w:szCs w:val="24"/>
        </w:rPr>
        <w:t xml:space="preserve">The maximum size of each individual tank shall be 25,000 gallons  (94 635.3 L) provided that all such tanks are enclosed in a vault (i) with walls, floor, and top having a fire and smoke barrier construction of not less than 3 hours, (ii) with such walls bonded to the floor, and (iii) with such top and walls of the vault independent of the building structure. An exterior building wall having a fire and smoke barrier construction of not less than 3 hours shall be permitted to serve as a wall of the vault. The vault shall be located in a dedicated room or area of the building that is cut off vertically and horizontally from other areas and floors of the building by assemblies having a fire and smoke barrier construction of not less than 2 hours. Where the aggregate fuel-oil storage on the lowest level of the building exceeds 50,000 gallons (189 270.6 L), such storage shall be protected with an alternate extinguishing system complying with the </w:t>
      </w:r>
      <w:r w:rsidRPr="00EC4EC4">
        <w:rPr>
          <w:rFonts w:eastAsia="Times New Roman" w:cs="Times New Roman"/>
          <w:i/>
          <w:iCs/>
          <w:spacing w:val="1"/>
          <w:szCs w:val="24"/>
        </w:rPr>
        <w:t>New York City Fire Code</w:t>
      </w:r>
      <w:r w:rsidRPr="00EC4EC4">
        <w:rPr>
          <w:rFonts w:eastAsia="Times New Roman" w:cs="Times New Roman"/>
          <w:spacing w:val="1"/>
          <w:szCs w:val="24"/>
        </w:rPr>
        <w:t xml:space="preserve"> and Section 904 of the </w:t>
      </w:r>
      <w:r w:rsidRPr="00EC4EC4">
        <w:rPr>
          <w:rFonts w:eastAsia="Times New Roman" w:cs="Times New Roman"/>
          <w:i/>
          <w:spacing w:val="1"/>
          <w:szCs w:val="24"/>
        </w:rPr>
        <w:t>New York City Building Code.</w:t>
      </w:r>
    </w:p>
    <w:p w14:paraId="55F6C0D0" w14:textId="3E957AD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33</w:t>
      </w:r>
      <w:r w:rsidR="00B43C98">
        <w:rPr>
          <w:rFonts w:cs="Times New Roman"/>
          <w:sz w:val="23"/>
          <w:szCs w:val="23"/>
        </w:rPr>
        <w:t>8</w:t>
      </w:r>
      <w:r w:rsidRPr="00EC4EC4">
        <w:rPr>
          <w:rFonts w:cs="Times New Roman"/>
          <w:sz w:val="23"/>
          <w:szCs w:val="23"/>
        </w:rPr>
        <w:t>. Section 1305.12.2 of  the New York city mechanical code, as amended by local law number 126 for the year 2021, is amended to read as follows:</w:t>
      </w:r>
    </w:p>
    <w:p w14:paraId="764FD702" w14:textId="77777777" w:rsidR="00140B7C" w:rsidRPr="00EC4EC4" w:rsidRDefault="00140B7C" w:rsidP="00140B7C">
      <w:pPr>
        <w:autoSpaceDE w:val="0"/>
        <w:autoSpaceDN w:val="0"/>
        <w:adjustRightInd w:val="0"/>
        <w:spacing w:after="240" w:line="240" w:lineRule="auto"/>
        <w:jc w:val="both"/>
        <w:rPr>
          <w:rFonts w:eastAsia="Times New Roman" w:cs="Times New Roman"/>
          <w:spacing w:val="1"/>
          <w:szCs w:val="24"/>
        </w:rPr>
      </w:pPr>
      <w:r w:rsidRPr="00EC4EC4">
        <w:rPr>
          <w:rFonts w:eastAsia="Times New Roman" w:cs="Times New Roman"/>
          <w:b/>
          <w:szCs w:val="24"/>
        </w:rPr>
        <w:t>1305.12.2 Above ground.</w:t>
      </w:r>
      <w:r w:rsidRPr="00EC4EC4">
        <w:rPr>
          <w:rFonts w:eastAsia="Times New Roman" w:cs="Times New Roman"/>
          <w:bCs/>
          <w:spacing w:val="-2"/>
          <w:w w:val="110"/>
          <w:szCs w:val="24"/>
        </w:rPr>
        <w:t xml:space="preserve"> </w:t>
      </w:r>
      <w:r w:rsidRPr="00EC4EC4">
        <w:rPr>
          <w:rFonts w:eastAsia="Times New Roman" w:cs="Times New Roman"/>
          <w:spacing w:val="1"/>
          <w:szCs w:val="24"/>
        </w:rPr>
        <w:t>Tanks located above ground, inside or outside of buildings, shall comply with any one of the following design standards, as appropriate for the specific installation as determined by the engineer:</w:t>
      </w:r>
    </w:p>
    <w:p w14:paraId="6FF853B2"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1.</w:t>
      </w:r>
      <w:r w:rsidRPr="00EC4EC4">
        <w:rPr>
          <w:rFonts w:eastAsia="Times New Roman" w:cs="Times New Roman"/>
          <w:spacing w:val="1"/>
          <w:szCs w:val="24"/>
        </w:rPr>
        <w:tab/>
        <w:t>UL 80; such tanks shall be listed and labeled;</w:t>
      </w:r>
    </w:p>
    <w:p w14:paraId="24AFCA21"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UL 142; such tanks shall be listed and labeled;</w:t>
      </w:r>
    </w:p>
    <w:p w14:paraId="06EA0E36"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zCs w:val="24"/>
        </w:rPr>
        <w:t>3.</w:t>
      </w:r>
      <w:r w:rsidRPr="00EC4EC4">
        <w:rPr>
          <w:rFonts w:eastAsia="Times New Roman" w:cs="Times New Roman"/>
          <w:szCs w:val="24"/>
        </w:rPr>
        <w:tab/>
        <w:t>UL 2258; such tanks shall be installed only in [</w:t>
      </w:r>
      <w:r w:rsidRPr="00EC4EC4">
        <w:rPr>
          <w:rFonts w:eastAsia="Times New Roman" w:cs="Times New Roman"/>
          <w:strike/>
          <w:szCs w:val="24"/>
        </w:rPr>
        <w:t>one</w:t>
      </w:r>
      <w:r w:rsidRPr="00EC4EC4">
        <w:rPr>
          <w:rFonts w:eastAsia="Times New Roman" w:cs="Times New Roman"/>
          <w:szCs w:val="24"/>
        </w:rPr>
        <w:t>]</w:t>
      </w:r>
      <w:r w:rsidRPr="00EC4EC4">
        <w:rPr>
          <w:rFonts w:eastAsia="Times New Roman" w:cs="Times New Roman"/>
          <w:szCs w:val="24"/>
          <w:u w:val="single"/>
        </w:rPr>
        <w:t>one-</w:t>
      </w:r>
      <w:r w:rsidRPr="00EC4EC4">
        <w:rPr>
          <w:rFonts w:eastAsia="Times New Roman" w:cs="Times New Roman"/>
          <w:szCs w:val="24"/>
        </w:rPr>
        <w:t xml:space="preserve"> or two-family dwellings in accordance with Section 1305.15 and shall be listed and labeled</w:t>
      </w:r>
      <w:r w:rsidRPr="00EC4EC4">
        <w:rPr>
          <w:rFonts w:eastAsia="Times New Roman" w:cs="Times New Roman"/>
          <w:bCs/>
          <w:szCs w:val="24"/>
        </w:rPr>
        <w:t>;</w:t>
      </w:r>
    </w:p>
    <w:p w14:paraId="5C2FE643"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ASME Boiler and Pressure Vessel Code, Section VIII, Division 1 or 2; such tanks shall be labeled; or</w:t>
      </w:r>
    </w:p>
    <w:p w14:paraId="34A17E78"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Alternate tank design and construction standards contained in Section 1305.14.</w:t>
      </w:r>
    </w:p>
    <w:p w14:paraId="327D8B2D" w14:textId="319E9467"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33</w:t>
      </w:r>
      <w:r w:rsidR="00B43C98">
        <w:rPr>
          <w:rFonts w:cs="Times New Roman"/>
          <w:sz w:val="23"/>
          <w:szCs w:val="23"/>
        </w:rPr>
        <w:t>9</w:t>
      </w:r>
      <w:r w:rsidRPr="00EC4EC4">
        <w:rPr>
          <w:rFonts w:cs="Times New Roman"/>
          <w:sz w:val="23"/>
          <w:szCs w:val="23"/>
        </w:rPr>
        <w:t>. Section 1305.15.3 of  the New York city mechanical code, as added by local law number 126 for the year 2021, is amended to read as follows:</w:t>
      </w:r>
    </w:p>
    <w:p w14:paraId="1550FF10" w14:textId="77777777" w:rsidR="00140B7C" w:rsidRPr="00EC4EC4" w:rsidRDefault="00140B7C" w:rsidP="00140B7C">
      <w:pPr>
        <w:spacing w:after="240" w:line="240" w:lineRule="auto"/>
        <w:jc w:val="both"/>
        <w:rPr>
          <w:rFonts w:eastAsia="Times New Roman" w:cs="Times New Roman"/>
          <w:bCs/>
          <w:szCs w:val="24"/>
        </w:rPr>
      </w:pPr>
      <w:r w:rsidRPr="00EC4EC4">
        <w:rPr>
          <w:rFonts w:eastAsia="Times New Roman" w:cs="Times New Roman"/>
          <w:b/>
          <w:bCs/>
          <w:szCs w:val="24"/>
        </w:rPr>
        <w:t>1305.15.3 Construction [</w:t>
      </w:r>
      <w:r w:rsidRPr="00EC4EC4">
        <w:rPr>
          <w:rFonts w:eastAsia="Times New Roman" w:cs="Times New Roman"/>
          <w:b/>
          <w:bCs/>
          <w:strike/>
          <w:szCs w:val="24"/>
        </w:rPr>
        <w:t>Standards</w:t>
      </w:r>
      <w:r w:rsidRPr="00EC4EC4">
        <w:rPr>
          <w:rFonts w:eastAsia="Times New Roman" w:cs="Times New Roman"/>
          <w:b/>
          <w:bCs/>
          <w:szCs w:val="24"/>
        </w:rPr>
        <w:t>]</w:t>
      </w:r>
      <w:r w:rsidRPr="00EC4EC4">
        <w:rPr>
          <w:rFonts w:eastAsia="Times New Roman" w:cs="Times New Roman"/>
          <w:b/>
          <w:bCs/>
          <w:szCs w:val="24"/>
          <w:u w:val="single"/>
        </w:rPr>
        <w:t>standards</w:t>
      </w:r>
      <w:r w:rsidRPr="00EC4EC4">
        <w:rPr>
          <w:rFonts w:eastAsia="Times New Roman" w:cs="Times New Roman"/>
          <w:b/>
          <w:bCs/>
          <w:szCs w:val="24"/>
        </w:rPr>
        <w:t>.</w:t>
      </w:r>
      <w:r w:rsidRPr="00EC4EC4">
        <w:rPr>
          <w:rFonts w:eastAsia="Times New Roman" w:cs="Times New Roman"/>
          <w:bCs/>
          <w:szCs w:val="24"/>
        </w:rPr>
        <w:t xml:space="preserve"> Nonmetallic tanks shall be constructed per Sections 7, 8, 9, 10, 11 and 12 of UL 2258 and Chapter 7 of NFPA 31 and shall consist of a non-metallic primary tank and a metallic secondary tank.</w:t>
      </w:r>
    </w:p>
    <w:p w14:paraId="5F55C7C0" w14:textId="182B138D"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B43C98">
        <w:rPr>
          <w:rFonts w:cs="Times New Roman"/>
          <w:sz w:val="23"/>
          <w:szCs w:val="23"/>
        </w:rPr>
        <w:t>40</w:t>
      </w:r>
      <w:r w:rsidRPr="00EC4EC4">
        <w:rPr>
          <w:rFonts w:cs="Times New Roman"/>
          <w:sz w:val="23"/>
          <w:szCs w:val="23"/>
        </w:rPr>
        <w:t>. Section 1502 of  the New York city mechanical code, as amended by local law number 126 for the year 2021, is amended to read as follows:</w:t>
      </w:r>
    </w:p>
    <w:p w14:paraId="78DD00C4" w14:textId="77777777" w:rsidR="00140B7C" w:rsidRPr="00EC4EC4" w:rsidRDefault="00140B7C" w:rsidP="00140B7C">
      <w:pPr>
        <w:widowControl w:val="0"/>
        <w:autoSpaceDE w:val="0"/>
        <w:autoSpaceDN w:val="0"/>
        <w:adjustRightInd w:val="0"/>
        <w:spacing w:before="120" w:after="120" w:line="240" w:lineRule="auto"/>
        <w:rPr>
          <w:rFonts w:eastAsia="Times New Roman" w:cs="Times New Roman"/>
          <w:szCs w:val="24"/>
        </w:rPr>
        <w:sectPr w:rsidR="00140B7C" w:rsidRPr="00EC4EC4" w:rsidSect="00B64953">
          <w:headerReference w:type="even" r:id="rId17"/>
          <w:footerReference w:type="even" r:id="rId18"/>
          <w:headerReference w:type="first" r:id="rId19"/>
          <w:footerReference w:type="first" r:id="rId20"/>
          <w:pgSz w:w="12240" w:h="15840" w:code="1"/>
          <w:pgMar w:top="1440" w:right="1440" w:bottom="1440" w:left="1440" w:header="720" w:footer="720" w:gutter="0"/>
          <w:lnNumType w:countBy="1"/>
          <w:cols w:space="720"/>
          <w:titlePg/>
          <w:docGrid w:linePitch="360"/>
        </w:sectPr>
      </w:pPr>
    </w:p>
    <w:tbl>
      <w:tblPr>
        <w:tblW w:w="53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530"/>
        <w:gridCol w:w="2123"/>
      </w:tblGrid>
      <w:tr w:rsidR="00140B7C" w:rsidRPr="00EC4EC4" w14:paraId="7BF86DFA" w14:textId="77777777" w:rsidTr="00BC1087">
        <w:trPr>
          <w:cantSplit/>
          <w:trHeight w:val="665"/>
          <w:tblHeader/>
        </w:trPr>
        <w:tc>
          <w:tcPr>
            <w:tcW w:w="977" w:type="pct"/>
          </w:tcPr>
          <w:p w14:paraId="51734E3F"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b/>
                <w:bCs/>
                <w:sz w:val="40"/>
                <w:szCs w:val="40"/>
              </w:rPr>
              <w:t>UL</w:t>
            </w:r>
          </w:p>
        </w:tc>
        <w:tc>
          <w:tcPr>
            <w:tcW w:w="3036" w:type="pct"/>
          </w:tcPr>
          <w:p w14:paraId="4F8DA838"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UL LLC</w:t>
            </w:r>
            <w:r w:rsidRPr="00EC4EC4">
              <w:rPr>
                <w:rFonts w:eastAsia="Times New Roman" w:cs="Times New Roman"/>
                <w:szCs w:val="24"/>
              </w:rPr>
              <w:br/>
              <w:t>333 Pfingsten Road</w:t>
            </w:r>
            <w:r w:rsidRPr="00EC4EC4">
              <w:rPr>
                <w:rFonts w:eastAsia="Times New Roman" w:cs="Times New Roman"/>
                <w:szCs w:val="24"/>
              </w:rPr>
              <w:br/>
              <w:t>Northbrook, IL 60062-2096</w:t>
            </w:r>
          </w:p>
        </w:tc>
        <w:tc>
          <w:tcPr>
            <w:tcW w:w="987" w:type="pct"/>
            <w:vAlign w:val="bottom"/>
          </w:tcPr>
          <w:p w14:paraId="087B4450"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u w:val="single"/>
              </w:rPr>
            </w:pPr>
          </w:p>
        </w:tc>
      </w:tr>
      <w:tr w:rsidR="00140B7C" w:rsidRPr="00EC4EC4" w14:paraId="4FFBE9DB" w14:textId="77777777" w:rsidTr="00BC1087">
        <w:trPr>
          <w:cantSplit/>
        </w:trPr>
        <w:tc>
          <w:tcPr>
            <w:tcW w:w="977" w:type="pct"/>
          </w:tcPr>
          <w:p w14:paraId="04A00383"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834—04</w:t>
            </w:r>
          </w:p>
        </w:tc>
        <w:tc>
          <w:tcPr>
            <w:tcW w:w="3036" w:type="pct"/>
          </w:tcPr>
          <w:p w14:paraId="09B37D74"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Heating, Water Supply and Power Boilers Electric—with revisions through January 2013</w:t>
            </w:r>
          </w:p>
        </w:tc>
        <w:tc>
          <w:tcPr>
            <w:tcW w:w="987" w:type="pct"/>
            <w:vAlign w:val="bottom"/>
          </w:tcPr>
          <w:p w14:paraId="45E07BD8"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u w:val="single"/>
              </w:rPr>
            </w:pPr>
            <w:r w:rsidRPr="00EC4EC4">
              <w:rPr>
                <w:rFonts w:eastAsia="Times New Roman" w:cs="Times New Roman"/>
                <w:szCs w:val="24"/>
                <w:u w:val="single"/>
              </w:rPr>
              <w:t>1004.1</w:t>
            </w:r>
          </w:p>
        </w:tc>
      </w:tr>
      <w:tr w:rsidR="00140B7C" w:rsidRPr="00EC4EC4" w14:paraId="21C989BE" w14:textId="77777777" w:rsidTr="00BC1087">
        <w:trPr>
          <w:cantSplit/>
        </w:trPr>
        <w:tc>
          <w:tcPr>
            <w:tcW w:w="977" w:type="pct"/>
          </w:tcPr>
          <w:p w14:paraId="0E474EFA"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842—07</w:t>
            </w:r>
          </w:p>
        </w:tc>
        <w:tc>
          <w:tcPr>
            <w:tcW w:w="3036" w:type="pct"/>
          </w:tcPr>
          <w:p w14:paraId="60AD8D2F"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Valves for Flammable Fluids—with revisions through October 2012</w:t>
            </w:r>
          </w:p>
        </w:tc>
        <w:tc>
          <w:tcPr>
            <w:tcW w:w="987" w:type="pct"/>
            <w:vAlign w:val="bottom"/>
          </w:tcPr>
          <w:p w14:paraId="7D0E1F09"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1307.1</w:t>
            </w:r>
          </w:p>
        </w:tc>
      </w:tr>
      <w:tr w:rsidR="00140B7C" w:rsidRPr="00EC4EC4" w14:paraId="01BBBA71" w14:textId="77777777" w:rsidTr="00BC1087">
        <w:trPr>
          <w:cantSplit/>
        </w:trPr>
        <w:tc>
          <w:tcPr>
            <w:tcW w:w="977" w:type="pct"/>
          </w:tcPr>
          <w:p w14:paraId="4BB60009"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858—05</w:t>
            </w:r>
          </w:p>
        </w:tc>
        <w:tc>
          <w:tcPr>
            <w:tcW w:w="3036" w:type="pct"/>
          </w:tcPr>
          <w:p w14:paraId="202C3416"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Household Electric Ranges—with revisions through April 2012</w:t>
            </w:r>
          </w:p>
        </w:tc>
        <w:tc>
          <w:tcPr>
            <w:tcW w:w="987" w:type="pct"/>
            <w:vAlign w:val="bottom"/>
          </w:tcPr>
          <w:p w14:paraId="5AD6E929"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917.1</w:t>
            </w:r>
          </w:p>
        </w:tc>
      </w:tr>
      <w:tr w:rsidR="00140B7C" w:rsidRPr="00EC4EC4" w14:paraId="5AB70049" w14:textId="77777777" w:rsidTr="00BC1087">
        <w:trPr>
          <w:cantSplit/>
          <w:trHeight w:val="467"/>
        </w:trPr>
        <w:tc>
          <w:tcPr>
            <w:tcW w:w="977" w:type="pct"/>
          </w:tcPr>
          <w:p w14:paraId="19EC2DC9" w14:textId="77777777" w:rsidR="00140B7C" w:rsidRPr="00EC4EC4" w:rsidRDefault="00140B7C" w:rsidP="00BC1087">
            <w:pPr>
              <w:widowControl w:val="0"/>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867—2011</w:t>
            </w:r>
          </w:p>
        </w:tc>
        <w:tc>
          <w:tcPr>
            <w:tcW w:w="3036" w:type="pct"/>
          </w:tcPr>
          <w:p w14:paraId="14A53C5C"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Electrostatic Air Cleaners—with revisions through February 2013</w:t>
            </w:r>
          </w:p>
        </w:tc>
        <w:tc>
          <w:tcPr>
            <w:tcW w:w="987" w:type="pct"/>
            <w:vAlign w:val="bottom"/>
          </w:tcPr>
          <w:p w14:paraId="220952B7" w14:textId="77777777" w:rsidR="00140B7C" w:rsidRPr="00EC4EC4" w:rsidRDefault="00140B7C" w:rsidP="00BC1087">
            <w:pPr>
              <w:widowControl w:val="0"/>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605.2</w:t>
            </w:r>
          </w:p>
        </w:tc>
      </w:tr>
      <w:tr w:rsidR="00140B7C" w:rsidRPr="00EC4EC4" w14:paraId="302596AE" w14:textId="77777777" w:rsidTr="00BC1087">
        <w:trPr>
          <w:cantSplit/>
        </w:trPr>
        <w:tc>
          <w:tcPr>
            <w:tcW w:w="977" w:type="pct"/>
            <w:tcBorders>
              <w:bottom w:val="single" w:sz="4" w:space="0" w:color="auto"/>
            </w:tcBorders>
          </w:tcPr>
          <w:p w14:paraId="3992C723"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875—09</w:t>
            </w:r>
          </w:p>
        </w:tc>
        <w:tc>
          <w:tcPr>
            <w:tcW w:w="3036" w:type="pct"/>
            <w:tcBorders>
              <w:bottom w:val="single" w:sz="4" w:space="0" w:color="auto"/>
            </w:tcBorders>
          </w:tcPr>
          <w:p w14:paraId="4EEE62A7"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Electric Dry Bath Heater—with revisions through November 2011</w:t>
            </w:r>
          </w:p>
        </w:tc>
        <w:tc>
          <w:tcPr>
            <w:tcW w:w="987" w:type="pct"/>
            <w:tcBorders>
              <w:bottom w:val="single" w:sz="4" w:space="0" w:color="auto"/>
            </w:tcBorders>
            <w:vAlign w:val="bottom"/>
          </w:tcPr>
          <w:p w14:paraId="2A4B91D0"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914.2</w:t>
            </w:r>
          </w:p>
        </w:tc>
      </w:tr>
      <w:tr w:rsidR="00140B7C" w:rsidRPr="00EC4EC4" w14:paraId="2DCB1F43"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77" w:type="pct"/>
            <w:tcBorders>
              <w:top w:val="single" w:sz="4" w:space="0" w:color="auto"/>
              <w:left w:val="single" w:sz="4" w:space="0" w:color="auto"/>
              <w:bottom w:val="single" w:sz="4" w:space="0" w:color="auto"/>
              <w:right w:val="single" w:sz="4" w:space="0" w:color="auto"/>
            </w:tcBorders>
          </w:tcPr>
          <w:p w14:paraId="2D125AF1"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896—93</w:t>
            </w:r>
          </w:p>
        </w:tc>
        <w:tc>
          <w:tcPr>
            <w:tcW w:w="3036" w:type="pct"/>
            <w:tcBorders>
              <w:top w:val="single" w:sz="4" w:space="0" w:color="auto"/>
              <w:left w:val="single" w:sz="4" w:space="0" w:color="auto"/>
              <w:bottom w:val="single" w:sz="4" w:space="0" w:color="auto"/>
              <w:right w:val="single" w:sz="4" w:space="0" w:color="auto"/>
            </w:tcBorders>
          </w:tcPr>
          <w:p w14:paraId="34379F33"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Oil-burning Stoves—with revisions through August 2012</w:t>
            </w:r>
          </w:p>
        </w:tc>
        <w:tc>
          <w:tcPr>
            <w:tcW w:w="987" w:type="pct"/>
            <w:tcBorders>
              <w:top w:val="single" w:sz="4" w:space="0" w:color="auto"/>
              <w:left w:val="single" w:sz="4" w:space="0" w:color="auto"/>
              <w:bottom w:val="single" w:sz="4" w:space="0" w:color="auto"/>
              <w:right w:val="single" w:sz="4" w:space="0" w:color="auto"/>
            </w:tcBorders>
            <w:vAlign w:val="bottom"/>
          </w:tcPr>
          <w:p w14:paraId="54E34496"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917.1</w:t>
            </w:r>
          </w:p>
        </w:tc>
      </w:tr>
      <w:tr w:rsidR="00140B7C" w:rsidRPr="00EC4EC4" w14:paraId="4CD1BE01" w14:textId="77777777" w:rsidTr="00BC1087">
        <w:trPr>
          <w:cantSplit/>
        </w:trPr>
        <w:tc>
          <w:tcPr>
            <w:tcW w:w="977" w:type="pct"/>
          </w:tcPr>
          <w:p w14:paraId="647B0EFA"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900—04</w:t>
            </w:r>
          </w:p>
        </w:tc>
        <w:tc>
          <w:tcPr>
            <w:tcW w:w="3036" w:type="pct"/>
          </w:tcPr>
          <w:p w14:paraId="5FFA6B27"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Air Filter Units—with revisions through February 2012</w:t>
            </w:r>
          </w:p>
        </w:tc>
        <w:tc>
          <w:tcPr>
            <w:tcW w:w="987" w:type="pct"/>
            <w:vAlign w:val="bottom"/>
          </w:tcPr>
          <w:p w14:paraId="24EDAB4F"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605.2</w:t>
            </w:r>
          </w:p>
        </w:tc>
      </w:tr>
      <w:tr w:rsidR="00140B7C" w:rsidRPr="00EC4EC4" w14:paraId="595A6804" w14:textId="77777777" w:rsidTr="00BC1087">
        <w:trPr>
          <w:cantSplit/>
        </w:trPr>
        <w:tc>
          <w:tcPr>
            <w:tcW w:w="977" w:type="pct"/>
          </w:tcPr>
          <w:p w14:paraId="25731112"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907—94</w:t>
            </w:r>
          </w:p>
        </w:tc>
        <w:tc>
          <w:tcPr>
            <w:tcW w:w="3036" w:type="pct"/>
          </w:tcPr>
          <w:p w14:paraId="4A6297CF"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Fireplace Accessories—with revisions through April 2010</w:t>
            </w:r>
          </w:p>
        </w:tc>
        <w:tc>
          <w:tcPr>
            <w:tcW w:w="987" w:type="pct"/>
            <w:vAlign w:val="bottom"/>
          </w:tcPr>
          <w:p w14:paraId="4366C9D9"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902.2</w:t>
            </w:r>
          </w:p>
        </w:tc>
      </w:tr>
      <w:tr w:rsidR="00140B7C" w:rsidRPr="00EC4EC4" w14:paraId="5D2D8D77" w14:textId="77777777" w:rsidTr="00BC1087">
        <w:trPr>
          <w:cantSplit/>
        </w:trPr>
        <w:tc>
          <w:tcPr>
            <w:tcW w:w="977" w:type="pct"/>
          </w:tcPr>
          <w:p w14:paraId="7C5547A7"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923—2013</w:t>
            </w:r>
          </w:p>
        </w:tc>
        <w:tc>
          <w:tcPr>
            <w:tcW w:w="3036" w:type="pct"/>
          </w:tcPr>
          <w:p w14:paraId="6EAAC894"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Microwave Cooking Appliances-</w:t>
            </w:r>
            <w:r w:rsidRPr="00EC4EC4" w:rsidDel="000053E9">
              <w:rPr>
                <w:rFonts w:eastAsia="Times New Roman" w:cs="Times New Roman"/>
                <w:szCs w:val="24"/>
              </w:rPr>
              <w:t xml:space="preserve"> </w:t>
            </w:r>
          </w:p>
        </w:tc>
        <w:tc>
          <w:tcPr>
            <w:tcW w:w="987" w:type="pct"/>
            <w:vAlign w:val="bottom"/>
          </w:tcPr>
          <w:p w14:paraId="28DDB9CC"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917.1</w:t>
            </w:r>
          </w:p>
        </w:tc>
      </w:tr>
      <w:tr w:rsidR="00140B7C" w:rsidRPr="00EC4EC4" w14:paraId="32DBBE26" w14:textId="77777777" w:rsidTr="00BC1087">
        <w:trPr>
          <w:cantSplit/>
        </w:trPr>
        <w:tc>
          <w:tcPr>
            <w:tcW w:w="977" w:type="pct"/>
          </w:tcPr>
          <w:p w14:paraId="3798FD93"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959—2010</w:t>
            </w:r>
          </w:p>
        </w:tc>
        <w:tc>
          <w:tcPr>
            <w:tcW w:w="3036" w:type="pct"/>
          </w:tcPr>
          <w:p w14:paraId="0344C719"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Medium Heat Appliance Factory-Built Chimneys</w:t>
            </w:r>
          </w:p>
        </w:tc>
        <w:tc>
          <w:tcPr>
            <w:tcW w:w="987" w:type="pct"/>
            <w:vAlign w:val="bottom"/>
          </w:tcPr>
          <w:p w14:paraId="0096C3A2"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805.5</w:t>
            </w:r>
          </w:p>
        </w:tc>
      </w:tr>
      <w:tr w:rsidR="00140B7C" w:rsidRPr="00EC4EC4" w14:paraId="031558FC" w14:textId="77777777" w:rsidTr="00BC1087">
        <w:trPr>
          <w:cantSplit/>
        </w:trPr>
        <w:tc>
          <w:tcPr>
            <w:tcW w:w="977" w:type="pct"/>
          </w:tcPr>
          <w:p w14:paraId="331A8D4B"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1046—2010</w:t>
            </w:r>
          </w:p>
        </w:tc>
        <w:tc>
          <w:tcPr>
            <w:tcW w:w="3036" w:type="pct"/>
          </w:tcPr>
          <w:p w14:paraId="1CAB469C"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Grease Filters for Exhaust Ducts—with revisions through January 2012</w:t>
            </w:r>
          </w:p>
        </w:tc>
        <w:tc>
          <w:tcPr>
            <w:tcW w:w="987" w:type="pct"/>
            <w:vAlign w:val="bottom"/>
          </w:tcPr>
          <w:p w14:paraId="71C08E05"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507.2.8</w:t>
            </w:r>
          </w:p>
        </w:tc>
      </w:tr>
      <w:tr w:rsidR="00140B7C" w:rsidRPr="00EC4EC4" w14:paraId="43B1B775" w14:textId="77777777" w:rsidTr="00BC1087">
        <w:trPr>
          <w:cantSplit/>
        </w:trPr>
        <w:tc>
          <w:tcPr>
            <w:tcW w:w="977" w:type="pct"/>
          </w:tcPr>
          <w:p w14:paraId="65035A7E"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1240—2012</w:t>
            </w:r>
          </w:p>
        </w:tc>
        <w:tc>
          <w:tcPr>
            <w:tcW w:w="3036" w:type="pct"/>
          </w:tcPr>
          <w:p w14:paraId="4CB36E4A"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Electric Commercial Clothes—Drying Equipment—with revisions through October 2012</w:t>
            </w:r>
          </w:p>
        </w:tc>
        <w:tc>
          <w:tcPr>
            <w:tcW w:w="987" w:type="pct"/>
            <w:vAlign w:val="bottom"/>
          </w:tcPr>
          <w:p w14:paraId="1A9AE78C"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913.1</w:t>
            </w:r>
          </w:p>
        </w:tc>
      </w:tr>
      <w:tr w:rsidR="00140B7C" w:rsidRPr="00EC4EC4" w14:paraId="27564A3F" w14:textId="77777777" w:rsidTr="00BC1087">
        <w:trPr>
          <w:cantSplit/>
        </w:trPr>
        <w:tc>
          <w:tcPr>
            <w:tcW w:w="977" w:type="pct"/>
          </w:tcPr>
          <w:p w14:paraId="13D7D5EE"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1261—01</w:t>
            </w:r>
          </w:p>
        </w:tc>
        <w:tc>
          <w:tcPr>
            <w:tcW w:w="3036" w:type="pct"/>
          </w:tcPr>
          <w:p w14:paraId="5A36B771"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Electric Water Heaters for Pools and Tubs—with revisions through July 2012</w:t>
            </w:r>
          </w:p>
        </w:tc>
        <w:tc>
          <w:tcPr>
            <w:tcW w:w="987" w:type="pct"/>
            <w:vAlign w:val="bottom"/>
          </w:tcPr>
          <w:p w14:paraId="00285BCC"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916.1</w:t>
            </w:r>
          </w:p>
        </w:tc>
      </w:tr>
      <w:tr w:rsidR="00140B7C" w:rsidRPr="00EC4EC4" w14:paraId="09B30940" w14:textId="77777777" w:rsidTr="00BC1087">
        <w:trPr>
          <w:cantSplit/>
          <w:trHeight w:val="70"/>
        </w:trPr>
        <w:tc>
          <w:tcPr>
            <w:tcW w:w="977" w:type="pct"/>
          </w:tcPr>
          <w:p w14:paraId="346B2203"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1316—94</w:t>
            </w:r>
          </w:p>
        </w:tc>
        <w:tc>
          <w:tcPr>
            <w:tcW w:w="3036" w:type="pct"/>
          </w:tcPr>
          <w:p w14:paraId="0D04AE20"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Glass-Fiber Reinforced Plastic Underground Storage Tanks for Petroleum Products, Alcohols, and Alcohol-Gasoline Mixtures.</w:t>
            </w:r>
          </w:p>
        </w:tc>
        <w:tc>
          <w:tcPr>
            <w:tcW w:w="987" w:type="pct"/>
            <w:vAlign w:val="bottom"/>
          </w:tcPr>
          <w:p w14:paraId="0798BDB9"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pacing w:val="3"/>
                <w:szCs w:val="24"/>
              </w:rPr>
              <w:t>1305.12.1, 1305.14</w:t>
            </w:r>
          </w:p>
        </w:tc>
      </w:tr>
      <w:tr w:rsidR="00140B7C" w:rsidRPr="00EC4EC4" w14:paraId="4256C451" w14:textId="77777777" w:rsidTr="00BC1087">
        <w:trPr>
          <w:cantSplit/>
          <w:trHeight w:val="620"/>
        </w:trPr>
        <w:tc>
          <w:tcPr>
            <w:tcW w:w="977" w:type="pct"/>
          </w:tcPr>
          <w:p w14:paraId="347681B7"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u w:val="single"/>
              </w:rPr>
            </w:pPr>
            <w:r w:rsidRPr="00EC4EC4">
              <w:rPr>
                <w:rFonts w:eastAsia="Times New Roman" w:cs="Times New Roman"/>
                <w:szCs w:val="24"/>
                <w:u w:val="single"/>
              </w:rPr>
              <w:t>1369-2018</w:t>
            </w:r>
          </w:p>
        </w:tc>
        <w:tc>
          <w:tcPr>
            <w:tcW w:w="3036" w:type="pct"/>
          </w:tcPr>
          <w:p w14:paraId="415B1C6D"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u w:val="single"/>
              </w:rPr>
            </w:pPr>
            <w:r w:rsidRPr="00EC4EC4">
              <w:rPr>
                <w:rFonts w:eastAsia="Times New Roman" w:cs="Times New Roman"/>
                <w:szCs w:val="24"/>
                <w:u w:val="single"/>
              </w:rPr>
              <w:t>Standard For Aboveground Piping For Flammable And Combustible Liquids</w:t>
            </w:r>
          </w:p>
        </w:tc>
        <w:tc>
          <w:tcPr>
            <w:tcW w:w="987" w:type="pct"/>
            <w:vAlign w:val="bottom"/>
          </w:tcPr>
          <w:p w14:paraId="5F5E5E5B"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pacing w:val="3"/>
                <w:szCs w:val="24"/>
                <w:u w:val="single"/>
              </w:rPr>
            </w:pPr>
            <w:r w:rsidRPr="00EC4EC4">
              <w:rPr>
                <w:rFonts w:eastAsia="Times New Roman" w:cs="Times New Roman"/>
                <w:spacing w:val="3"/>
                <w:szCs w:val="24"/>
              </w:rPr>
              <w:t xml:space="preserve">                </w:t>
            </w:r>
            <w:r w:rsidRPr="00EC4EC4">
              <w:rPr>
                <w:rFonts w:eastAsia="Times New Roman" w:cs="Times New Roman"/>
                <w:spacing w:val="3"/>
                <w:szCs w:val="24"/>
                <w:u w:val="single"/>
              </w:rPr>
              <w:t>1302.9.1</w:t>
            </w:r>
          </w:p>
        </w:tc>
      </w:tr>
      <w:tr w:rsidR="00140B7C" w:rsidRPr="00EC4EC4" w:rsidDel="00CF6E69" w14:paraId="10910D0C" w14:textId="77777777" w:rsidTr="00BC1087">
        <w:trPr>
          <w:cantSplit/>
          <w:trHeight w:val="233"/>
        </w:trPr>
        <w:tc>
          <w:tcPr>
            <w:tcW w:w="977" w:type="pct"/>
          </w:tcPr>
          <w:p w14:paraId="15B6298D" w14:textId="77777777" w:rsidR="00140B7C" w:rsidRPr="00EC4EC4" w:rsidDel="00CF6E69" w:rsidRDefault="00140B7C" w:rsidP="00BC1087">
            <w:pPr>
              <w:widowControl w:val="0"/>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1453—04</w:t>
            </w:r>
          </w:p>
        </w:tc>
        <w:tc>
          <w:tcPr>
            <w:tcW w:w="3036" w:type="pct"/>
          </w:tcPr>
          <w:p w14:paraId="0864BCB3" w14:textId="77777777" w:rsidR="00140B7C" w:rsidRPr="00EC4EC4" w:rsidDel="00CF6E69"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 xml:space="preserve">Electric Booster and Commercial Storage Tank Water Heaters— with revisions through July 2011 </w:t>
            </w:r>
          </w:p>
        </w:tc>
        <w:tc>
          <w:tcPr>
            <w:tcW w:w="987" w:type="pct"/>
            <w:vAlign w:val="bottom"/>
          </w:tcPr>
          <w:p w14:paraId="1BA7D487" w14:textId="77777777" w:rsidR="00140B7C" w:rsidRPr="00EC4EC4" w:rsidDel="00CF6E69" w:rsidRDefault="00140B7C" w:rsidP="00BC1087">
            <w:pPr>
              <w:widowControl w:val="0"/>
              <w:pBdr>
                <w:bar w:val="single" w:sz="4" w:color="auto"/>
              </w:pBdr>
              <w:autoSpaceDE w:val="0"/>
              <w:autoSpaceDN w:val="0"/>
              <w:adjustRightInd w:val="0"/>
              <w:spacing w:after="0" w:line="240" w:lineRule="auto"/>
              <w:jc w:val="right"/>
              <w:rPr>
                <w:rFonts w:eastAsia="Times New Roman" w:cs="Times New Roman"/>
                <w:spacing w:val="3"/>
                <w:szCs w:val="24"/>
              </w:rPr>
            </w:pPr>
            <w:r w:rsidRPr="00EC4EC4">
              <w:rPr>
                <w:rFonts w:eastAsia="Times New Roman" w:cs="Times New Roman"/>
                <w:szCs w:val="24"/>
              </w:rPr>
              <w:t>1002.1</w:t>
            </w:r>
          </w:p>
        </w:tc>
      </w:tr>
      <w:tr w:rsidR="00140B7C" w:rsidRPr="00EC4EC4" w14:paraId="2DC7A0E8" w14:textId="77777777" w:rsidTr="00BC1087">
        <w:trPr>
          <w:cantSplit/>
        </w:trPr>
        <w:tc>
          <w:tcPr>
            <w:tcW w:w="977" w:type="pct"/>
            <w:tcBorders>
              <w:bottom w:val="single" w:sz="4" w:space="0" w:color="auto"/>
            </w:tcBorders>
          </w:tcPr>
          <w:p w14:paraId="27AE3C35"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1479—03</w:t>
            </w:r>
          </w:p>
        </w:tc>
        <w:tc>
          <w:tcPr>
            <w:tcW w:w="3036" w:type="pct"/>
            <w:tcBorders>
              <w:bottom w:val="single" w:sz="4" w:space="0" w:color="auto"/>
            </w:tcBorders>
          </w:tcPr>
          <w:p w14:paraId="62489598"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Fire Tests of Through-penetration Firestops—with revisions through October 2012</w:t>
            </w:r>
          </w:p>
        </w:tc>
        <w:tc>
          <w:tcPr>
            <w:tcW w:w="987" w:type="pct"/>
            <w:tcBorders>
              <w:bottom w:val="single" w:sz="4" w:space="0" w:color="auto"/>
            </w:tcBorders>
            <w:vAlign w:val="bottom"/>
          </w:tcPr>
          <w:p w14:paraId="159FC7FB"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506.3.11.2, 506.3.11.3</w:t>
            </w:r>
          </w:p>
        </w:tc>
      </w:tr>
      <w:tr w:rsidR="00140B7C" w:rsidRPr="00EC4EC4" w14:paraId="41864680" w14:textId="77777777" w:rsidTr="00BC10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5"/>
        </w:trPr>
        <w:tc>
          <w:tcPr>
            <w:tcW w:w="977" w:type="pct"/>
            <w:tcBorders>
              <w:top w:val="single" w:sz="4" w:space="0" w:color="auto"/>
              <w:left w:val="single" w:sz="4" w:space="0" w:color="auto"/>
              <w:bottom w:val="single" w:sz="4" w:space="0" w:color="auto"/>
              <w:right w:val="single" w:sz="4" w:space="0" w:color="auto"/>
            </w:tcBorders>
          </w:tcPr>
          <w:p w14:paraId="5E74AB03"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1482—2011</w:t>
            </w:r>
          </w:p>
        </w:tc>
        <w:tc>
          <w:tcPr>
            <w:tcW w:w="3036" w:type="pct"/>
            <w:tcBorders>
              <w:top w:val="single" w:sz="4" w:space="0" w:color="auto"/>
              <w:left w:val="single" w:sz="4" w:space="0" w:color="auto"/>
              <w:bottom w:val="single" w:sz="4" w:space="0" w:color="auto"/>
              <w:right w:val="single" w:sz="4" w:space="0" w:color="auto"/>
            </w:tcBorders>
          </w:tcPr>
          <w:p w14:paraId="3CD17DEA"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w:t>
            </w:r>
            <w:r w:rsidRPr="00EC4EC4">
              <w:rPr>
                <w:rFonts w:eastAsia="Times New Roman" w:cs="Times New Roman"/>
                <w:strike/>
                <w:szCs w:val="24"/>
              </w:rPr>
              <w:t>Solid-fuel Type Room Heaters with</w:t>
            </w:r>
            <w:r w:rsidRPr="00EC4EC4">
              <w:rPr>
                <w:rFonts w:eastAsia="Times New Roman" w:cs="Times New Roman"/>
                <w:szCs w:val="24"/>
              </w:rPr>
              <w:t xml:space="preserve">] </w:t>
            </w:r>
            <w:r w:rsidRPr="00EC4EC4">
              <w:rPr>
                <w:rFonts w:eastAsia="Times New Roman" w:cs="Times New Roman"/>
                <w:szCs w:val="24"/>
                <w:u w:val="single"/>
              </w:rPr>
              <w:t>Standard for Safety Solid-Fuel Type Room Heaters.</w:t>
            </w:r>
          </w:p>
        </w:tc>
        <w:tc>
          <w:tcPr>
            <w:tcW w:w="987" w:type="pct"/>
            <w:tcBorders>
              <w:top w:val="single" w:sz="4" w:space="0" w:color="auto"/>
              <w:left w:val="single" w:sz="4" w:space="0" w:color="auto"/>
              <w:bottom w:val="single" w:sz="4" w:space="0" w:color="auto"/>
              <w:right w:val="single" w:sz="4" w:space="0" w:color="auto"/>
            </w:tcBorders>
          </w:tcPr>
          <w:p w14:paraId="4BD83C18"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905.1</w:t>
            </w:r>
          </w:p>
        </w:tc>
      </w:tr>
      <w:tr w:rsidR="00140B7C" w:rsidRPr="00EC4EC4" w14:paraId="6212178E" w14:textId="77777777" w:rsidTr="00BC1087">
        <w:trPr>
          <w:cantSplit/>
        </w:trPr>
        <w:tc>
          <w:tcPr>
            <w:tcW w:w="977" w:type="pct"/>
            <w:tcBorders>
              <w:top w:val="single" w:sz="4" w:space="0" w:color="auto"/>
            </w:tcBorders>
          </w:tcPr>
          <w:p w14:paraId="574B77E9"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1618—09</w:t>
            </w:r>
          </w:p>
        </w:tc>
        <w:tc>
          <w:tcPr>
            <w:tcW w:w="3036" w:type="pct"/>
            <w:tcBorders>
              <w:top w:val="single" w:sz="4" w:space="0" w:color="auto"/>
            </w:tcBorders>
          </w:tcPr>
          <w:p w14:paraId="05441691"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Wall Protectors, Floor Protectors and Hearth Extensions— with revisions through May 2013</w:t>
            </w:r>
          </w:p>
        </w:tc>
        <w:tc>
          <w:tcPr>
            <w:tcW w:w="987" w:type="pct"/>
            <w:tcBorders>
              <w:top w:val="single" w:sz="4" w:space="0" w:color="auto"/>
            </w:tcBorders>
            <w:vAlign w:val="bottom"/>
          </w:tcPr>
          <w:p w14:paraId="202261E3"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903.2, 905.3</w:t>
            </w:r>
          </w:p>
        </w:tc>
      </w:tr>
      <w:tr w:rsidR="00140B7C" w:rsidRPr="00EC4EC4" w14:paraId="0F71CACD" w14:textId="77777777" w:rsidTr="00BC1087">
        <w:trPr>
          <w:cantSplit/>
        </w:trPr>
        <w:tc>
          <w:tcPr>
            <w:tcW w:w="977" w:type="pct"/>
          </w:tcPr>
          <w:p w14:paraId="6B1E9779"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1738—10</w:t>
            </w:r>
          </w:p>
        </w:tc>
        <w:tc>
          <w:tcPr>
            <w:tcW w:w="3036" w:type="pct"/>
          </w:tcPr>
          <w:p w14:paraId="0FA5E496"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Standard for Venting Systems for Gas-Burning  Appliances, Categories II, III, and IV</w:t>
            </w:r>
          </w:p>
        </w:tc>
        <w:tc>
          <w:tcPr>
            <w:tcW w:w="987" w:type="pct"/>
            <w:vAlign w:val="bottom"/>
          </w:tcPr>
          <w:p w14:paraId="6A3F0A0F"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811.1</w:t>
            </w:r>
          </w:p>
        </w:tc>
      </w:tr>
      <w:tr w:rsidR="00140B7C" w:rsidRPr="00EC4EC4" w14:paraId="58D7217E" w14:textId="77777777" w:rsidTr="00BC1087">
        <w:trPr>
          <w:cantSplit/>
          <w:trHeight w:val="305"/>
        </w:trPr>
        <w:tc>
          <w:tcPr>
            <w:tcW w:w="977" w:type="pct"/>
          </w:tcPr>
          <w:p w14:paraId="1B7DDCC9"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1777—2007</w:t>
            </w:r>
          </w:p>
        </w:tc>
        <w:tc>
          <w:tcPr>
            <w:tcW w:w="3036" w:type="pct"/>
          </w:tcPr>
          <w:p w14:paraId="468BDB58"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Chimney Liners— with revisions through July 2009</w:t>
            </w:r>
          </w:p>
        </w:tc>
        <w:tc>
          <w:tcPr>
            <w:tcW w:w="987" w:type="pct"/>
            <w:vAlign w:val="bottom"/>
          </w:tcPr>
          <w:p w14:paraId="7E6A8E04"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801.16.1, 801.18.4</w:t>
            </w:r>
          </w:p>
        </w:tc>
      </w:tr>
      <w:tr w:rsidR="00140B7C" w:rsidRPr="00EC4EC4" w14:paraId="67086E84" w14:textId="77777777" w:rsidTr="00BC1087">
        <w:trPr>
          <w:cantSplit/>
        </w:trPr>
        <w:tc>
          <w:tcPr>
            <w:tcW w:w="977" w:type="pct"/>
          </w:tcPr>
          <w:p w14:paraId="502CCA4B"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1812—2013</w:t>
            </w:r>
          </w:p>
        </w:tc>
        <w:tc>
          <w:tcPr>
            <w:tcW w:w="3036" w:type="pct"/>
          </w:tcPr>
          <w:p w14:paraId="6159922F"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Standard for Ducted Heat Recovery Ventilators</w:t>
            </w:r>
          </w:p>
        </w:tc>
        <w:tc>
          <w:tcPr>
            <w:tcW w:w="987" w:type="pct"/>
            <w:vAlign w:val="bottom"/>
          </w:tcPr>
          <w:p w14:paraId="444A0757"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514.1</w:t>
            </w:r>
          </w:p>
        </w:tc>
      </w:tr>
      <w:tr w:rsidR="00140B7C" w:rsidRPr="00EC4EC4" w14:paraId="60872F23" w14:textId="77777777" w:rsidTr="00BC1087">
        <w:trPr>
          <w:cantSplit/>
        </w:trPr>
        <w:tc>
          <w:tcPr>
            <w:tcW w:w="977" w:type="pct"/>
          </w:tcPr>
          <w:p w14:paraId="4984BCF5"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1815—2012</w:t>
            </w:r>
          </w:p>
        </w:tc>
        <w:tc>
          <w:tcPr>
            <w:tcW w:w="3036" w:type="pct"/>
          </w:tcPr>
          <w:p w14:paraId="0451D847" w14:textId="77777777" w:rsidR="00140B7C" w:rsidRPr="00EC4EC4" w:rsidRDefault="00140B7C" w:rsidP="00BC1087">
            <w:pPr>
              <w:pBdr>
                <w:bar w:val="single" w:sz="4" w:color="auto"/>
              </w:pBdr>
              <w:autoSpaceDE w:val="0"/>
              <w:autoSpaceDN w:val="0"/>
              <w:adjustRightInd w:val="0"/>
              <w:spacing w:after="0" w:line="240" w:lineRule="auto"/>
              <w:rPr>
                <w:rFonts w:eastAsia="Times New Roman" w:cs="Times New Roman"/>
                <w:szCs w:val="24"/>
              </w:rPr>
            </w:pPr>
            <w:r w:rsidRPr="00EC4EC4">
              <w:rPr>
                <w:rFonts w:eastAsia="Times New Roman" w:cs="Times New Roman"/>
                <w:szCs w:val="24"/>
              </w:rPr>
              <w:t>Standard for Nonducted Heat Recovery Ventilators</w:t>
            </w:r>
          </w:p>
        </w:tc>
        <w:tc>
          <w:tcPr>
            <w:tcW w:w="987" w:type="pct"/>
            <w:vAlign w:val="bottom"/>
          </w:tcPr>
          <w:p w14:paraId="52E2C407" w14:textId="77777777" w:rsidR="00140B7C" w:rsidRPr="00EC4EC4" w:rsidRDefault="00140B7C" w:rsidP="00BC1087">
            <w:pPr>
              <w:pBdr>
                <w:bar w:val="single" w:sz="4" w:color="auto"/>
              </w:pBdr>
              <w:autoSpaceDE w:val="0"/>
              <w:autoSpaceDN w:val="0"/>
              <w:adjustRightInd w:val="0"/>
              <w:spacing w:after="0" w:line="240" w:lineRule="auto"/>
              <w:jc w:val="right"/>
              <w:rPr>
                <w:rFonts w:eastAsia="Times New Roman" w:cs="Times New Roman"/>
                <w:szCs w:val="24"/>
              </w:rPr>
            </w:pPr>
            <w:r w:rsidRPr="00EC4EC4">
              <w:rPr>
                <w:rFonts w:eastAsia="Times New Roman" w:cs="Times New Roman"/>
                <w:szCs w:val="24"/>
              </w:rPr>
              <w:t>514.1</w:t>
            </w:r>
          </w:p>
        </w:tc>
      </w:tr>
    </w:tbl>
    <w:p w14:paraId="3D282F73" w14:textId="77777777" w:rsidR="00140B7C" w:rsidRPr="00EC4EC4" w:rsidRDefault="00140B7C" w:rsidP="00140B7C">
      <w:pPr>
        <w:widowControl w:val="0"/>
        <w:autoSpaceDE w:val="0"/>
        <w:autoSpaceDN w:val="0"/>
        <w:adjustRightInd w:val="0"/>
        <w:spacing w:before="120" w:after="120" w:line="240" w:lineRule="auto"/>
        <w:jc w:val="center"/>
        <w:rPr>
          <w:rFonts w:eastAsia="Times New Roman" w:cs="Times New Roman"/>
          <w:b/>
          <w:w w:val="105"/>
          <w:szCs w:val="24"/>
          <w:u w:val="single"/>
        </w:rPr>
      </w:pPr>
      <w:bookmarkStart w:id="247" w:name="_Toc388542506"/>
    </w:p>
    <w:bookmarkEnd w:id="247"/>
    <w:p w14:paraId="49B13188" w14:textId="5397E80F" w:rsidR="00140B7C" w:rsidRDefault="00140B7C" w:rsidP="00140B7C">
      <w:pPr>
        <w:kinsoku w:val="0"/>
        <w:spacing w:after="240" w:line="240" w:lineRule="auto"/>
        <w:ind w:firstLine="720"/>
        <w:jc w:val="both"/>
        <w:rPr>
          <w:rFonts w:cs="Times New Roman"/>
          <w:sz w:val="23"/>
          <w:szCs w:val="23"/>
        </w:rPr>
      </w:pPr>
      <w:r w:rsidRPr="00523660">
        <w:rPr>
          <w:rFonts w:cs="Times New Roman"/>
          <w:sz w:val="23"/>
          <w:szCs w:val="23"/>
        </w:rPr>
        <w:t>§</w:t>
      </w:r>
      <w:r>
        <w:rPr>
          <w:rFonts w:cs="Times New Roman"/>
          <w:sz w:val="23"/>
          <w:szCs w:val="23"/>
        </w:rPr>
        <w:t>3</w:t>
      </w:r>
      <w:r w:rsidR="00FA0763">
        <w:rPr>
          <w:rFonts w:cs="Times New Roman"/>
          <w:sz w:val="23"/>
          <w:szCs w:val="23"/>
        </w:rPr>
        <w:t>41</w:t>
      </w:r>
      <w:r w:rsidRPr="00523660">
        <w:rPr>
          <w:rFonts w:cs="Times New Roman"/>
          <w:sz w:val="23"/>
          <w:szCs w:val="23"/>
        </w:rPr>
        <w:t>. Section 28-</w:t>
      </w:r>
      <w:r>
        <w:rPr>
          <w:rFonts w:cs="Times New Roman"/>
          <w:sz w:val="23"/>
          <w:szCs w:val="23"/>
        </w:rPr>
        <w:t>9</w:t>
      </w:r>
      <w:r w:rsidRPr="00523660">
        <w:rPr>
          <w:rFonts w:cs="Times New Roman"/>
          <w:sz w:val="23"/>
          <w:szCs w:val="23"/>
        </w:rPr>
        <w:t>01.2 of the administrative code of the city of New York, as amended by local law number 141 for the year 2013, is amended to read as follows:</w:t>
      </w:r>
    </w:p>
    <w:p w14:paraId="2DC617AF" w14:textId="77777777" w:rsidR="00140B7C" w:rsidRPr="00C848A8" w:rsidRDefault="00140B7C" w:rsidP="00140B7C">
      <w:pPr>
        <w:spacing w:after="160" w:line="259" w:lineRule="auto"/>
        <w:ind w:firstLine="720"/>
        <w:rPr>
          <w:rFonts w:cs="Times New Roman"/>
          <w:bCs/>
          <w:szCs w:val="24"/>
        </w:rPr>
      </w:pPr>
      <w:r w:rsidRPr="007705E6">
        <w:rPr>
          <w:rFonts w:cs="Times New Roman"/>
          <w:b/>
          <w:szCs w:val="24"/>
        </w:rPr>
        <w:t>§28-901.2 Enactment of the New York city fuel gas code.</w:t>
      </w:r>
      <w:r w:rsidRPr="00794E17">
        <w:rPr>
          <w:rFonts w:cs="Times New Roman"/>
          <w:bCs/>
          <w:szCs w:val="24"/>
        </w:rPr>
        <w:t xml:space="preserve"> The New York city fuel gas code based on the </w:t>
      </w:r>
      <w:r w:rsidRPr="00805CE3">
        <w:rPr>
          <w:rFonts w:cs="Times New Roman"/>
          <w:bCs/>
          <w:szCs w:val="24"/>
        </w:rPr>
        <w:t>[</w:t>
      </w:r>
      <w:r w:rsidRPr="00805CE3">
        <w:rPr>
          <w:rFonts w:cs="Times New Roman"/>
          <w:bCs/>
          <w:strike/>
          <w:szCs w:val="24"/>
        </w:rPr>
        <w:t>2003</w:t>
      </w:r>
      <w:r w:rsidRPr="00805CE3">
        <w:rPr>
          <w:rFonts w:cs="Times New Roman"/>
          <w:bCs/>
          <w:szCs w:val="24"/>
        </w:rPr>
        <w:t>]</w:t>
      </w:r>
      <w:r w:rsidRPr="00805CE3">
        <w:rPr>
          <w:rFonts w:cs="Times New Roman"/>
          <w:bCs/>
          <w:szCs w:val="24"/>
          <w:u w:val="single"/>
        </w:rPr>
        <w:t>2009</w:t>
      </w:r>
      <w:r w:rsidRPr="007705E6">
        <w:rPr>
          <w:rFonts w:cs="Times New Roman"/>
          <w:bCs/>
          <w:szCs w:val="24"/>
        </w:rPr>
        <w:t xml:space="preserve"> edition of the International Fuel Gas Code published by the International Code Council, with changes that reflect the unique character of the city and amendments that bring it up to date with the </w:t>
      </w:r>
      <w:r w:rsidRPr="00805CE3">
        <w:rPr>
          <w:rFonts w:cs="Times New Roman"/>
          <w:bCs/>
          <w:szCs w:val="24"/>
        </w:rPr>
        <w:t>[</w:t>
      </w:r>
      <w:r w:rsidRPr="00805CE3">
        <w:rPr>
          <w:rFonts w:cs="Times New Roman"/>
          <w:bCs/>
          <w:strike/>
          <w:szCs w:val="24"/>
        </w:rPr>
        <w:t>2009</w:t>
      </w:r>
      <w:r w:rsidRPr="00805CE3">
        <w:rPr>
          <w:rFonts w:cs="Times New Roman"/>
          <w:bCs/>
          <w:szCs w:val="24"/>
        </w:rPr>
        <w:t>]</w:t>
      </w:r>
      <w:r w:rsidRPr="00805CE3">
        <w:rPr>
          <w:rFonts w:cs="Times New Roman"/>
          <w:bCs/>
          <w:szCs w:val="24"/>
          <w:u w:val="single"/>
        </w:rPr>
        <w:t>2015</w:t>
      </w:r>
      <w:r w:rsidRPr="007705E6">
        <w:rPr>
          <w:rFonts w:cs="Times New Roman"/>
          <w:bCs/>
          <w:szCs w:val="24"/>
          <w:u w:val="single"/>
        </w:rPr>
        <w:t xml:space="preserve"> </w:t>
      </w:r>
      <w:r w:rsidRPr="00794E17">
        <w:rPr>
          <w:rFonts w:cs="Times New Roman"/>
          <w:bCs/>
          <w:szCs w:val="24"/>
        </w:rPr>
        <w:t>edition of such International Fuel Gas Code, is hereby adopted to read as follows:</w:t>
      </w:r>
    </w:p>
    <w:p w14:paraId="23874FEB" w14:textId="3599D005"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FA0763">
        <w:rPr>
          <w:rFonts w:cs="Times New Roman"/>
          <w:sz w:val="23"/>
          <w:szCs w:val="23"/>
        </w:rPr>
        <w:t>42</w:t>
      </w:r>
      <w:r w:rsidRPr="00EC4EC4">
        <w:rPr>
          <w:rFonts w:cs="Times New Roman"/>
          <w:sz w:val="23"/>
          <w:szCs w:val="23"/>
        </w:rPr>
        <w:t>. Section 107.5 of  the New York city fuel gas code, as amended by local law number 126 for the year 2021, is amended to read as follows:</w:t>
      </w:r>
    </w:p>
    <w:p w14:paraId="1911BED1" w14:textId="77777777" w:rsidR="00140B7C" w:rsidRPr="00EC4EC4" w:rsidRDefault="00140B7C" w:rsidP="00140B7C">
      <w:pPr>
        <w:kinsoku w:val="0"/>
        <w:spacing w:after="240" w:line="240" w:lineRule="auto"/>
        <w:jc w:val="both"/>
        <w:rPr>
          <w:rFonts w:eastAsia="Times New Roman" w:cs="Times New Roman"/>
          <w:spacing w:val="1"/>
          <w:szCs w:val="24"/>
        </w:rPr>
      </w:pPr>
      <w:r w:rsidRPr="00EC4EC4">
        <w:rPr>
          <w:rFonts w:eastAsia="Times New Roman" w:cs="Times New Roman"/>
          <w:b/>
          <w:szCs w:val="24"/>
        </w:rPr>
        <w:t>107.5 Fuel-gas-burning appliance and fuel-gas piping plans.</w:t>
      </w:r>
      <w:r w:rsidRPr="00EC4EC4">
        <w:rPr>
          <w:rFonts w:eastAsia="Times New Roman" w:cs="Times New Roman"/>
          <w:b/>
          <w:bCs/>
          <w:spacing w:val="3"/>
          <w:w w:val="110"/>
          <w:szCs w:val="24"/>
        </w:rPr>
        <w:t xml:space="preserve"> </w:t>
      </w:r>
      <w:r w:rsidRPr="00EC4EC4">
        <w:rPr>
          <w:rFonts w:eastAsia="Times New Roman" w:cs="Times New Roman"/>
          <w:spacing w:val="1"/>
          <w:szCs w:val="24"/>
        </w:rPr>
        <w:t>Construction documents for fuel-gas-burning appliances and fuel-gas piping shall contain plans that include the following data and information:</w:t>
      </w:r>
    </w:p>
    <w:p w14:paraId="58D22699" w14:textId="77777777" w:rsidR="00140B7C" w:rsidRPr="00EC4EC4" w:rsidRDefault="00140B7C" w:rsidP="00226293">
      <w:pPr>
        <w:numPr>
          <w:ilvl w:val="0"/>
          <w:numId w:val="31"/>
        </w:numPr>
        <w:kinsoku w:val="0"/>
        <w:spacing w:after="240" w:line="240" w:lineRule="auto"/>
        <w:jc w:val="both"/>
        <w:rPr>
          <w:rFonts w:eastAsia="Times New Roman" w:cs="Times New Roman"/>
          <w:spacing w:val="1"/>
          <w:szCs w:val="24"/>
        </w:rPr>
      </w:pPr>
      <w:r w:rsidRPr="00EC4EC4">
        <w:rPr>
          <w:rFonts w:eastAsia="Times New Roman" w:cs="Times New Roman"/>
          <w:spacing w:val="1"/>
          <w:szCs w:val="24"/>
        </w:rPr>
        <w:t>Riser diagrams showing the story heights, the gas riser diameter, operating pressure, gas meter piping and related appliances.</w:t>
      </w:r>
    </w:p>
    <w:p w14:paraId="111FB126" w14:textId="77777777" w:rsidR="00140B7C" w:rsidRPr="00EC4EC4" w:rsidRDefault="00140B7C" w:rsidP="00226293">
      <w:pPr>
        <w:numPr>
          <w:ilvl w:val="0"/>
          <w:numId w:val="31"/>
        </w:numPr>
        <w:kinsoku w:val="0"/>
        <w:spacing w:after="240" w:line="240" w:lineRule="auto"/>
        <w:jc w:val="both"/>
        <w:rPr>
          <w:rFonts w:eastAsia="Times New Roman" w:cs="Times New Roman"/>
          <w:spacing w:val="1"/>
          <w:szCs w:val="24"/>
        </w:rPr>
      </w:pPr>
      <w:r w:rsidRPr="00EC4EC4">
        <w:rPr>
          <w:rFonts w:eastAsia="Times New Roman" w:cs="Times New Roman"/>
          <w:spacing w:val="1"/>
          <w:szCs w:val="24"/>
        </w:rPr>
        <w:t>Diagrammatic floor plans showing the size, location, and material for all gas distribution piping and related appliances.</w:t>
      </w:r>
    </w:p>
    <w:p w14:paraId="07DBB20F" w14:textId="77777777" w:rsidR="00140B7C" w:rsidRPr="00EC4EC4" w:rsidRDefault="00140B7C" w:rsidP="00140B7C">
      <w:pPr>
        <w:kinsoku w:val="0"/>
        <w:spacing w:after="240" w:line="240" w:lineRule="auto"/>
        <w:ind w:left="360"/>
        <w:jc w:val="both"/>
        <w:rPr>
          <w:rFonts w:eastAsia="Times New Roman" w:cs="Times New Roman"/>
          <w:b/>
          <w:bCs/>
          <w:szCs w:val="24"/>
          <w:u w:val="single"/>
        </w:rPr>
      </w:pPr>
      <w:r w:rsidRPr="00EC4EC4">
        <w:rPr>
          <w:rFonts w:eastAsia="Times New Roman" w:cs="Times New Roman"/>
          <w:spacing w:val="1"/>
          <w:szCs w:val="24"/>
        </w:rPr>
        <w:t>[</w:t>
      </w:r>
      <w:r w:rsidRPr="00EC4EC4">
        <w:rPr>
          <w:rFonts w:eastAsia="Times New Roman" w:cs="Times New Roman"/>
          <w:strike/>
          <w:spacing w:val="1"/>
          <w:szCs w:val="24"/>
        </w:rPr>
        <w:t>3.</w:t>
      </w:r>
      <w:r w:rsidRPr="00EC4EC4">
        <w:rPr>
          <w:rFonts w:eastAsia="Times New Roman" w:cs="Times New Roman"/>
          <w:spacing w:val="1"/>
          <w:szCs w:val="24"/>
        </w:rPr>
        <w:t xml:space="preserve">] </w:t>
      </w:r>
      <w:r w:rsidRPr="00EC4EC4">
        <w:rPr>
          <w:rFonts w:eastAsia="Times New Roman" w:cs="Times New Roman"/>
          <w:spacing w:val="1"/>
          <w:szCs w:val="24"/>
          <w:u w:val="single"/>
        </w:rPr>
        <w:t>3.</w:t>
      </w:r>
      <w:r w:rsidRPr="00EC4EC4">
        <w:rPr>
          <w:rFonts w:eastAsia="Times New Roman" w:cs="Times New Roman"/>
          <w:spacing w:val="1"/>
          <w:szCs w:val="24"/>
        </w:rPr>
        <w:t xml:space="preserve"> Floor plans or partial floor plans showing the location, operating pressure, layout, size, and listing information for all gas meter piping, gas distribution piping, fuel-gas burning appliances, gas vents, and chimneys, with the riser numbers coordinated with other plans and diagrams. The floor plans shall indicate locations of meters and shutoff valves, including the outside gas cut-off required by Appendix E, Section E6. The plans shall also indicate the method or means of providing air to the appliance space, including duct and opening sizes, or means of direct venting.</w:t>
      </w:r>
    </w:p>
    <w:p w14:paraId="124AA638" w14:textId="77777777" w:rsidR="00140B7C" w:rsidRPr="00EC4EC4" w:rsidRDefault="00140B7C" w:rsidP="00226293">
      <w:pPr>
        <w:numPr>
          <w:ilvl w:val="0"/>
          <w:numId w:val="31"/>
        </w:numPr>
        <w:kinsoku w:val="0"/>
        <w:spacing w:after="240" w:line="240" w:lineRule="auto"/>
        <w:jc w:val="both"/>
        <w:rPr>
          <w:rFonts w:eastAsia="Times New Roman" w:cs="Times New Roman"/>
          <w:spacing w:val="1"/>
          <w:szCs w:val="24"/>
        </w:rPr>
      </w:pPr>
      <w:r w:rsidRPr="00EC4EC4">
        <w:rPr>
          <w:rFonts w:eastAsia="Times New Roman" w:cs="Times New Roman"/>
          <w:spacing w:val="1"/>
          <w:szCs w:val="24"/>
        </w:rPr>
        <w:t>Plans indicating the location and type of any relevant smoke and heat detectors, alarm and fire-extinguishing systems.</w:t>
      </w:r>
    </w:p>
    <w:p w14:paraId="54D771BB" w14:textId="77777777" w:rsidR="00140B7C" w:rsidRPr="00EC4EC4" w:rsidRDefault="00140B7C" w:rsidP="00226293">
      <w:pPr>
        <w:numPr>
          <w:ilvl w:val="0"/>
          <w:numId w:val="31"/>
        </w:numPr>
        <w:kinsoku w:val="0"/>
        <w:spacing w:after="240" w:line="240" w:lineRule="auto"/>
        <w:jc w:val="both"/>
        <w:rPr>
          <w:rFonts w:eastAsia="Times New Roman" w:cs="Times New Roman"/>
          <w:i/>
          <w:spacing w:val="1"/>
          <w:szCs w:val="24"/>
        </w:rPr>
      </w:pPr>
      <w:r w:rsidRPr="00EC4EC4">
        <w:rPr>
          <w:rFonts w:eastAsia="Times New Roman" w:cs="Times New Roman"/>
          <w:spacing w:val="1"/>
          <w:szCs w:val="24"/>
        </w:rPr>
        <w:t xml:space="preserve">Seismic protection and restraint details for piping and appliances as required by Chapter 16 of the </w:t>
      </w:r>
      <w:r w:rsidRPr="00EC4EC4">
        <w:rPr>
          <w:rFonts w:eastAsia="Times New Roman" w:cs="Times New Roman"/>
          <w:i/>
          <w:spacing w:val="1"/>
          <w:szCs w:val="24"/>
        </w:rPr>
        <w:t>New York City Building Code.</w:t>
      </w:r>
    </w:p>
    <w:p w14:paraId="68330665" w14:textId="77777777" w:rsidR="00140B7C" w:rsidRPr="00EC4EC4" w:rsidRDefault="00140B7C" w:rsidP="00226293">
      <w:pPr>
        <w:numPr>
          <w:ilvl w:val="0"/>
          <w:numId w:val="31"/>
        </w:numPr>
        <w:kinsoku w:val="0"/>
        <w:spacing w:after="240" w:line="240" w:lineRule="auto"/>
        <w:jc w:val="both"/>
        <w:rPr>
          <w:rFonts w:eastAsia="Times New Roman" w:cs="Times New Roman"/>
          <w:spacing w:val="1"/>
          <w:szCs w:val="24"/>
        </w:rPr>
      </w:pPr>
      <w:r w:rsidRPr="00EC4EC4">
        <w:rPr>
          <w:rFonts w:eastAsia="Times New Roman" w:cs="Times New Roman"/>
          <w:spacing w:val="1"/>
          <w:szCs w:val="24"/>
        </w:rPr>
        <w:t>Details indicating the location, size and materials for all breechings; the thickness and type of insulation materials; and the clearances from combustible walls, partitions and ceiling; and the fire-resistive ratings of rooms and spaces containing the appliances.</w:t>
      </w:r>
    </w:p>
    <w:p w14:paraId="08894D60" w14:textId="77777777" w:rsidR="00140B7C" w:rsidRPr="00EC4EC4" w:rsidRDefault="00140B7C" w:rsidP="00226293">
      <w:pPr>
        <w:numPr>
          <w:ilvl w:val="0"/>
          <w:numId w:val="31"/>
        </w:numPr>
        <w:kinsoku w:val="0"/>
        <w:spacing w:after="240" w:line="240" w:lineRule="auto"/>
        <w:jc w:val="both"/>
        <w:rPr>
          <w:rFonts w:eastAsia="Times New Roman" w:cs="Times New Roman"/>
          <w:spacing w:val="1"/>
          <w:szCs w:val="24"/>
        </w:rPr>
      </w:pPr>
      <w:r w:rsidRPr="00EC4EC4">
        <w:rPr>
          <w:rFonts w:eastAsia="Times New Roman" w:cs="Times New Roman"/>
          <w:spacing w:val="1"/>
          <w:szCs w:val="24"/>
        </w:rPr>
        <w:t>Details describing the type, material, listing information, height, and termination distances to adjacent properties and structures for chimneys and gas vents.</w:t>
      </w:r>
    </w:p>
    <w:p w14:paraId="166A18F2" w14:textId="77777777" w:rsidR="00140B7C" w:rsidRPr="00EC4EC4" w:rsidRDefault="00140B7C" w:rsidP="00226293">
      <w:pPr>
        <w:numPr>
          <w:ilvl w:val="0"/>
          <w:numId w:val="31"/>
        </w:numPr>
        <w:kinsoku w:val="0"/>
        <w:spacing w:after="240" w:line="240" w:lineRule="auto"/>
        <w:jc w:val="both"/>
        <w:rPr>
          <w:rFonts w:eastAsia="Times New Roman" w:cs="Times New Roman"/>
          <w:spacing w:val="1"/>
          <w:szCs w:val="24"/>
        </w:rPr>
      </w:pPr>
      <w:r w:rsidRPr="00EC4EC4">
        <w:rPr>
          <w:rFonts w:eastAsia="Times New Roman" w:cs="Times New Roman"/>
          <w:spacing w:val="1"/>
          <w:szCs w:val="24"/>
        </w:rPr>
        <w:t>Details showing structural supports for fuel-gas-burning equipment where required.</w:t>
      </w:r>
    </w:p>
    <w:p w14:paraId="7F4BB0CF" w14:textId="77777777" w:rsidR="00140B7C" w:rsidRPr="00EC4EC4" w:rsidRDefault="00140B7C" w:rsidP="00226293">
      <w:pPr>
        <w:numPr>
          <w:ilvl w:val="0"/>
          <w:numId w:val="31"/>
        </w:numPr>
        <w:kinsoku w:val="0"/>
        <w:spacing w:after="240" w:line="240" w:lineRule="auto"/>
        <w:jc w:val="both"/>
        <w:rPr>
          <w:rFonts w:eastAsia="Times New Roman" w:cs="Times New Roman"/>
          <w:i/>
          <w:spacing w:val="1"/>
          <w:szCs w:val="24"/>
        </w:rPr>
      </w:pPr>
      <w:r w:rsidRPr="00EC4EC4">
        <w:rPr>
          <w:rFonts w:eastAsia="Times New Roman" w:cs="Times New Roman"/>
          <w:spacing w:val="1"/>
          <w:szCs w:val="24"/>
        </w:rPr>
        <w:t xml:space="preserve">In flood hazard areas, construction documents shall comply with Appendix G of the </w:t>
      </w:r>
      <w:r w:rsidRPr="00EC4EC4">
        <w:rPr>
          <w:rFonts w:eastAsia="Times New Roman" w:cs="Times New Roman"/>
          <w:i/>
          <w:spacing w:val="1"/>
          <w:szCs w:val="24"/>
        </w:rPr>
        <w:t>New York City Building Code.</w:t>
      </w:r>
    </w:p>
    <w:p w14:paraId="15CAFE8C" w14:textId="31A73D3F" w:rsidR="00140B7C" w:rsidRPr="00704681" w:rsidRDefault="00140B7C" w:rsidP="00140B7C">
      <w:pPr>
        <w:kinsoku w:val="0"/>
        <w:spacing w:after="240" w:line="240" w:lineRule="auto"/>
        <w:ind w:firstLine="720"/>
        <w:jc w:val="both"/>
        <w:rPr>
          <w:rFonts w:cs="Times New Roman"/>
          <w:sz w:val="23"/>
          <w:szCs w:val="23"/>
        </w:rPr>
      </w:pPr>
      <w:r w:rsidRPr="00EC4EC4">
        <w:rPr>
          <w:rFonts w:cs="Times New Roman"/>
          <w:sz w:val="23"/>
          <w:szCs w:val="23"/>
        </w:rPr>
        <w:t>§</w:t>
      </w:r>
      <w:r>
        <w:rPr>
          <w:rFonts w:cs="Times New Roman"/>
          <w:sz w:val="23"/>
          <w:szCs w:val="23"/>
        </w:rPr>
        <w:t>3</w:t>
      </w:r>
      <w:r w:rsidR="00FA0763">
        <w:rPr>
          <w:rFonts w:cs="Times New Roman"/>
          <w:sz w:val="23"/>
          <w:szCs w:val="23"/>
        </w:rPr>
        <w:t>43</w:t>
      </w:r>
      <w:r w:rsidRPr="00EC4EC4">
        <w:rPr>
          <w:rFonts w:cs="Times New Roman"/>
          <w:sz w:val="23"/>
          <w:szCs w:val="23"/>
        </w:rPr>
        <w:t xml:space="preserve">. </w:t>
      </w:r>
      <w:r w:rsidRPr="00704681">
        <w:rPr>
          <w:rFonts w:cs="Times New Roman"/>
          <w:sz w:val="23"/>
          <w:szCs w:val="23"/>
        </w:rPr>
        <w:t xml:space="preserve">The definition of “CHARTER” set forth in section </w:t>
      </w:r>
      <w:r>
        <w:rPr>
          <w:rFonts w:cs="Times New Roman"/>
          <w:sz w:val="23"/>
          <w:szCs w:val="23"/>
        </w:rPr>
        <w:t>201.3.1</w:t>
      </w:r>
      <w:r w:rsidRPr="00704681">
        <w:rPr>
          <w:rFonts w:cs="Times New Roman"/>
          <w:sz w:val="23"/>
          <w:szCs w:val="23"/>
        </w:rPr>
        <w:t xml:space="preserve"> of the New York</w:t>
      </w:r>
      <w:r>
        <w:rPr>
          <w:rFonts w:cs="Times New Roman"/>
          <w:sz w:val="23"/>
          <w:szCs w:val="23"/>
        </w:rPr>
        <w:t xml:space="preserve"> city fuel gas code</w:t>
      </w:r>
      <w:r w:rsidRPr="00704681">
        <w:rPr>
          <w:rFonts w:cs="Times New Roman"/>
          <w:sz w:val="23"/>
          <w:szCs w:val="23"/>
        </w:rPr>
        <w:t>, as amended by local law number 126 for the year 2021, shall be ordered in alphabetical order.</w:t>
      </w:r>
    </w:p>
    <w:p w14:paraId="2793F264" w14:textId="371FC90E"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34</w:t>
      </w:r>
      <w:r w:rsidR="00FA0763">
        <w:rPr>
          <w:rFonts w:cs="Times New Roman"/>
          <w:sz w:val="23"/>
          <w:szCs w:val="23"/>
        </w:rPr>
        <w:t>4</w:t>
      </w:r>
      <w:r w:rsidRPr="00EC4EC4">
        <w:rPr>
          <w:rFonts w:cs="Times New Roman"/>
          <w:sz w:val="23"/>
          <w:szCs w:val="23"/>
        </w:rPr>
        <w:t xml:space="preserve">. </w:t>
      </w:r>
      <w:r>
        <w:rPr>
          <w:rFonts w:cs="Times New Roman"/>
          <w:sz w:val="23"/>
          <w:szCs w:val="23"/>
        </w:rPr>
        <w:t xml:space="preserve">The </w:t>
      </w:r>
      <w:r w:rsidRPr="00EC4EC4">
        <w:rPr>
          <w:rFonts w:cs="Times New Roman"/>
          <w:sz w:val="23"/>
          <w:szCs w:val="23"/>
        </w:rPr>
        <w:t xml:space="preserve">definitions of “AIR, EXHAUST,” “CONCEALED PIPING,” “READY ACCESS (TO)” and “VENT CONNECTOR” </w:t>
      </w:r>
      <w:r>
        <w:rPr>
          <w:rFonts w:cs="Times New Roman"/>
          <w:sz w:val="23"/>
          <w:szCs w:val="23"/>
        </w:rPr>
        <w:t>set forth in s</w:t>
      </w:r>
      <w:r w:rsidRPr="00EC4EC4">
        <w:rPr>
          <w:rFonts w:cs="Times New Roman"/>
          <w:sz w:val="23"/>
          <w:szCs w:val="23"/>
        </w:rPr>
        <w:t>ection 202 of  the New York city fuel gas code, as amended by local law number 126 for the year 2021, are amended to read as follows:</w:t>
      </w:r>
    </w:p>
    <w:p w14:paraId="71C69C46" w14:textId="77777777" w:rsidR="00140B7C" w:rsidRPr="00EC4EC4" w:rsidRDefault="00140B7C" w:rsidP="00140B7C">
      <w:pPr>
        <w:autoSpaceDE w:val="0"/>
        <w:autoSpaceDN w:val="0"/>
        <w:adjustRightInd w:val="0"/>
        <w:spacing w:after="240" w:line="240" w:lineRule="auto"/>
        <w:jc w:val="both"/>
        <w:rPr>
          <w:rFonts w:eastAsia="Times New Roman" w:cs="Times New Roman"/>
          <w:bCs/>
          <w:szCs w:val="24"/>
        </w:rPr>
      </w:pPr>
      <w:bookmarkStart w:id="248" w:name="_Toc388002519"/>
      <w:r w:rsidRPr="00EC4EC4">
        <w:rPr>
          <w:rFonts w:eastAsia="Times New Roman" w:cs="Times New Roman"/>
          <w:b/>
          <w:bCs/>
          <w:szCs w:val="24"/>
        </w:rPr>
        <w:t>AIR, EXHAUST.</w:t>
      </w:r>
      <w:bookmarkEnd w:id="248"/>
      <w:r w:rsidRPr="00EC4EC4">
        <w:rPr>
          <w:rFonts w:eastAsia="Times New Roman" w:cs="Times New Roman"/>
          <w:b/>
          <w:bCs/>
          <w:szCs w:val="24"/>
        </w:rPr>
        <w:t xml:space="preserve"> </w:t>
      </w:r>
      <w:r w:rsidRPr="00EC4EC4">
        <w:rPr>
          <w:rFonts w:eastAsia="Times New Roman" w:cs="Times New Roman"/>
          <w:bCs/>
          <w:szCs w:val="24"/>
        </w:rPr>
        <w:t>See “Exhaust</w:t>
      </w:r>
      <w:r w:rsidRPr="00EC4EC4">
        <w:rPr>
          <w:rFonts w:eastAsia="Times New Roman" w:cs="Times New Roman"/>
          <w:bCs/>
          <w:szCs w:val="24"/>
          <w:u w:val="single"/>
        </w:rPr>
        <w:t>.</w:t>
      </w:r>
      <w:r w:rsidRPr="00EC4EC4">
        <w:rPr>
          <w:rFonts w:eastAsia="Times New Roman" w:cs="Times New Roman"/>
          <w:bCs/>
          <w:szCs w:val="24"/>
        </w:rPr>
        <w:t>”[</w:t>
      </w:r>
      <w:r w:rsidRPr="00EC4EC4">
        <w:rPr>
          <w:rFonts w:eastAsia="Times New Roman" w:cs="Times New Roman"/>
          <w:bCs/>
          <w:strike/>
          <w:szCs w:val="24"/>
        </w:rPr>
        <w:t>.</w:t>
      </w:r>
      <w:r w:rsidRPr="00EC4EC4">
        <w:rPr>
          <w:rFonts w:eastAsia="Times New Roman" w:cs="Times New Roman"/>
          <w:bCs/>
          <w:szCs w:val="24"/>
        </w:rPr>
        <w:t>]</w:t>
      </w:r>
      <w:r w:rsidRPr="00EC4EC4">
        <w:rPr>
          <w:rFonts w:eastAsia="Times New Roman" w:cs="Times New Roman"/>
          <w:b/>
          <w:bCs/>
          <w:szCs w:val="24"/>
        </w:rPr>
        <w:t xml:space="preserve">  </w:t>
      </w:r>
    </w:p>
    <w:p w14:paraId="6B66213D" w14:textId="77777777" w:rsidR="00140B7C" w:rsidRPr="00EC4EC4" w:rsidRDefault="00140B7C" w:rsidP="00140B7C">
      <w:pPr>
        <w:autoSpaceDE w:val="0"/>
        <w:autoSpaceDN w:val="0"/>
        <w:adjustRightInd w:val="0"/>
        <w:spacing w:after="240" w:line="240" w:lineRule="auto"/>
        <w:jc w:val="both"/>
        <w:rPr>
          <w:rFonts w:eastAsia="Times New Roman" w:cs="Times New Roman"/>
          <w:spacing w:val="1"/>
          <w:szCs w:val="24"/>
        </w:rPr>
      </w:pPr>
      <w:bookmarkStart w:id="249" w:name="_Toc388002566"/>
      <w:r w:rsidRPr="00EC4EC4">
        <w:rPr>
          <w:rFonts w:eastAsia="Times New Roman" w:cs="Times New Roman"/>
          <w:b/>
          <w:bCs/>
          <w:szCs w:val="24"/>
        </w:rPr>
        <w:t>CONCEALED PIPING.</w:t>
      </w:r>
      <w:bookmarkEnd w:id="249"/>
      <w:r w:rsidRPr="00EC4EC4">
        <w:rPr>
          <w:rFonts w:eastAsia="Times New Roman" w:cs="Times New Roman"/>
          <w:b/>
          <w:bCs/>
          <w:szCs w:val="24"/>
        </w:rPr>
        <w:t xml:space="preserve"> </w:t>
      </w:r>
      <w:r w:rsidRPr="00EC4EC4">
        <w:rPr>
          <w:rFonts w:eastAsia="Times New Roman" w:cs="Times New Roman"/>
          <w:szCs w:val="24"/>
        </w:rPr>
        <w:t>Piping that is located in a concealed location (see “Concealed [</w:t>
      </w:r>
      <w:r w:rsidRPr="00EC4EC4">
        <w:rPr>
          <w:rFonts w:eastAsia="Times New Roman" w:cs="Times New Roman"/>
          <w:strike/>
          <w:spacing w:val="1"/>
          <w:szCs w:val="24"/>
        </w:rPr>
        <w:t>Location</w:t>
      </w:r>
      <w:r w:rsidRPr="00EC4EC4">
        <w:rPr>
          <w:rFonts w:eastAsia="Times New Roman" w:cs="Times New Roman"/>
          <w:spacing w:val="1"/>
          <w:szCs w:val="24"/>
        </w:rPr>
        <w:t>]</w:t>
      </w:r>
      <w:r w:rsidRPr="00EC4EC4">
        <w:rPr>
          <w:rFonts w:eastAsia="Times New Roman" w:cs="Times New Roman"/>
          <w:spacing w:val="1"/>
          <w:szCs w:val="24"/>
          <w:u w:val="single"/>
        </w:rPr>
        <w:t>location</w:t>
      </w:r>
      <w:r w:rsidRPr="00EC4EC4">
        <w:rPr>
          <w:rFonts w:eastAsia="Times New Roman" w:cs="Times New Roman"/>
          <w:spacing w:val="1"/>
          <w:szCs w:val="24"/>
        </w:rPr>
        <w:t>”).</w:t>
      </w:r>
    </w:p>
    <w:p w14:paraId="48160C15"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bookmarkStart w:id="250" w:name="_Toc388002670"/>
      <w:r w:rsidRPr="00EC4EC4">
        <w:rPr>
          <w:rFonts w:eastAsia="Times New Roman" w:cs="Times New Roman"/>
          <w:b/>
          <w:bCs/>
          <w:szCs w:val="24"/>
        </w:rPr>
        <w:t>READY ACCESS (TO).</w:t>
      </w:r>
      <w:bookmarkEnd w:id="250"/>
      <w:r w:rsidRPr="00EC4EC4">
        <w:rPr>
          <w:rFonts w:eastAsia="Times New Roman" w:cs="Times New Roman"/>
          <w:b/>
          <w:bCs/>
          <w:szCs w:val="24"/>
        </w:rPr>
        <w:t xml:space="preserve"> </w:t>
      </w:r>
      <w:r w:rsidRPr="00EC4EC4">
        <w:rPr>
          <w:rFonts w:eastAsia="Times New Roman" w:cs="Times New Roman"/>
          <w:szCs w:val="24"/>
        </w:rPr>
        <w:t xml:space="preserve">That which enables a device, fixture, </w:t>
      </w:r>
      <w:r w:rsidRPr="00EC4EC4">
        <w:rPr>
          <w:rFonts w:eastAsia="Times New Roman" w:cs="Times New Roman"/>
          <w:bCs/>
          <w:iCs/>
          <w:szCs w:val="24"/>
        </w:rPr>
        <w:t>appliance</w:t>
      </w:r>
      <w:r w:rsidRPr="00EC4EC4">
        <w:rPr>
          <w:rFonts w:eastAsia="Times New Roman" w:cs="Times New Roman"/>
          <w:szCs w:val="24"/>
        </w:rPr>
        <w:t xml:space="preserve"> or equipment to be directly reached, without requiring the removal or movement of any panel, door or similar obstruction. (see “Access (to)[</w:t>
      </w:r>
      <w:r w:rsidRPr="00EC4EC4">
        <w:rPr>
          <w:rFonts w:eastAsia="Times New Roman" w:cs="Times New Roman"/>
          <w:strike/>
          <w:szCs w:val="24"/>
        </w:rPr>
        <w:t>.</w:t>
      </w:r>
      <w:r w:rsidRPr="00EC4EC4">
        <w:rPr>
          <w:rFonts w:eastAsia="Times New Roman" w:cs="Times New Roman"/>
          <w:szCs w:val="24"/>
        </w:rPr>
        <w:t>]”).</w:t>
      </w:r>
    </w:p>
    <w:p w14:paraId="10DA6344" w14:textId="77777777" w:rsidR="00140B7C" w:rsidRPr="00EC4EC4" w:rsidRDefault="00140B7C" w:rsidP="00140B7C">
      <w:pPr>
        <w:autoSpaceDE w:val="0"/>
        <w:autoSpaceDN w:val="0"/>
        <w:adjustRightInd w:val="0"/>
        <w:spacing w:after="240" w:line="240" w:lineRule="auto"/>
        <w:jc w:val="both"/>
        <w:rPr>
          <w:rFonts w:eastAsia="Times New Roman" w:cs="Times New Roman"/>
          <w:bCs/>
          <w:szCs w:val="24"/>
        </w:rPr>
      </w:pPr>
      <w:bookmarkStart w:id="251" w:name="_Toc388002721"/>
      <w:r w:rsidRPr="00EC4EC4">
        <w:rPr>
          <w:rFonts w:eastAsia="Times New Roman" w:cs="Times New Roman"/>
          <w:b/>
          <w:bCs/>
          <w:szCs w:val="24"/>
        </w:rPr>
        <w:t>VENT CONNECTOR.</w:t>
      </w:r>
      <w:bookmarkEnd w:id="251"/>
      <w:r w:rsidRPr="00EC4EC4">
        <w:rPr>
          <w:rFonts w:eastAsia="Times New Roman" w:cs="Times New Roman"/>
          <w:spacing w:val="-6"/>
          <w:w w:val="105"/>
          <w:szCs w:val="24"/>
        </w:rPr>
        <w:t xml:space="preserve"> </w:t>
      </w:r>
      <w:r w:rsidRPr="00EC4EC4">
        <w:rPr>
          <w:rFonts w:eastAsia="Times New Roman" w:cs="Times New Roman"/>
          <w:spacing w:val="1"/>
          <w:szCs w:val="24"/>
        </w:rPr>
        <w:t>See “Connector</w:t>
      </w:r>
      <w:r w:rsidRPr="00EC4EC4">
        <w:rPr>
          <w:rFonts w:eastAsia="Times New Roman" w:cs="Times New Roman"/>
          <w:spacing w:val="1"/>
          <w:szCs w:val="24"/>
          <w:u w:val="single"/>
        </w:rPr>
        <w:t>.</w:t>
      </w:r>
      <w:r w:rsidRPr="00EC4EC4">
        <w:rPr>
          <w:rFonts w:eastAsia="Times New Roman" w:cs="Times New Roman"/>
          <w:spacing w:val="1"/>
          <w:szCs w:val="24"/>
        </w:rPr>
        <w:t>” [</w:t>
      </w:r>
      <w:r w:rsidRPr="00EC4EC4">
        <w:rPr>
          <w:rFonts w:eastAsia="Times New Roman" w:cs="Times New Roman"/>
          <w:strike/>
          <w:spacing w:val="1"/>
          <w:szCs w:val="24"/>
        </w:rPr>
        <w:t>.</w:t>
      </w:r>
      <w:r w:rsidRPr="00EC4EC4">
        <w:rPr>
          <w:rFonts w:eastAsia="Times New Roman" w:cs="Times New Roman"/>
          <w:spacing w:val="1"/>
          <w:szCs w:val="24"/>
        </w:rPr>
        <w:t>]</w:t>
      </w:r>
    </w:p>
    <w:p w14:paraId="251ECED1" w14:textId="729DC968" w:rsidR="00140B7C" w:rsidRPr="00EC4EC4" w:rsidRDefault="00140B7C" w:rsidP="00140B7C">
      <w:pPr>
        <w:kinsoku w:val="0"/>
        <w:spacing w:after="240" w:line="240" w:lineRule="auto"/>
        <w:ind w:firstLine="720"/>
        <w:jc w:val="both"/>
        <w:rPr>
          <w:rFonts w:eastAsia="Times New Roman" w:cs="Times New Roman"/>
          <w:b/>
          <w:bCs/>
          <w:szCs w:val="24"/>
        </w:rPr>
      </w:pPr>
      <w:bookmarkStart w:id="252" w:name="_Toc388002771"/>
      <w:r w:rsidRPr="00EC4EC4">
        <w:rPr>
          <w:rFonts w:cs="Times New Roman"/>
          <w:sz w:val="23"/>
          <w:szCs w:val="23"/>
        </w:rPr>
        <w:t>§</w:t>
      </w:r>
      <w:r>
        <w:rPr>
          <w:rFonts w:cs="Times New Roman"/>
          <w:sz w:val="23"/>
          <w:szCs w:val="23"/>
        </w:rPr>
        <w:t>34</w:t>
      </w:r>
      <w:r w:rsidR="00D662C6">
        <w:rPr>
          <w:rFonts w:cs="Times New Roman"/>
          <w:sz w:val="23"/>
          <w:szCs w:val="23"/>
        </w:rPr>
        <w:t>5</w:t>
      </w:r>
      <w:r w:rsidRPr="00EC4EC4">
        <w:rPr>
          <w:rFonts w:cs="Times New Roman"/>
          <w:sz w:val="23"/>
          <w:szCs w:val="23"/>
        </w:rPr>
        <w:t>. Section 302.3.3 of  the New York city fuel gas code, as amended by local law number 126 for the year 2021, is amended to read as follows:</w:t>
      </w:r>
    </w:p>
    <w:p w14:paraId="29F0FAB9" w14:textId="77777777" w:rsidR="00140B7C" w:rsidRPr="00EC4EC4" w:rsidRDefault="00140B7C" w:rsidP="00140B7C">
      <w:pPr>
        <w:spacing w:after="240" w:line="240" w:lineRule="auto"/>
        <w:jc w:val="both"/>
        <w:rPr>
          <w:rFonts w:eastAsia="Times New Roman" w:cs="Times New Roman"/>
          <w:szCs w:val="24"/>
        </w:rPr>
      </w:pPr>
      <w:r w:rsidRPr="00EC4EC4">
        <w:rPr>
          <w:rFonts w:eastAsia="Times New Roman" w:cs="Times New Roman"/>
          <w:b/>
          <w:bCs/>
          <w:szCs w:val="24"/>
        </w:rPr>
        <w:t>302.3.3 Bored holes in studs.</w:t>
      </w:r>
      <w:bookmarkEnd w:id="252"/>
      <w:r w:rsidRPr="00EC4EC4">
        <w:rPr>
          <w:rFonts w:eastAsia="Times New Roman" w:cs="Times New Roman"/>
          <w:b/>
          <w:bCs/>
          <w:spacing w:val="-5"/>
          <w:w w:val="110"/>
          <w:szCs w:val="24"/>
        </w:rPr>
        <w:t xml:space="preserve"> </w:t>
      </w:r>
      <w:r w:rsidRPr="00EC4EC4">
        <w:rPr>
          <w:rFonts w:eastAsia="Times New Roman" w:cs="Times New Roman"/>
          <w:spacing w:val="1"/>
          <w:szCs w:val="24"/>
        </w:rPr>
        <w:t>Bored holes not greater</w:t>
      </w:r>
      <w:r w:rsidRPr="00EC4EC4">
        <w:rPr>
          <w:rFonts w:eastAsia="Times New Roman" w:cs="Times New Roman"/>
          <w:szCs w:val="24"/>
        </w:rPr>
        <w:t xml:space="preserve"> </w:t>
      </w:r>
      <w:r w:rsidRPr="00EC4EC4">
        <w:rPr>
          <w:rFonts w:eastAsia="Times New Roman" w:cs="Times New Roman"/>
          <w:spacing w:val="1"/>
          <w:szCs w:val="24"/>
        </w:rPr>
        <w:t>than</w:t>
      </w:r>
      <w:r w:rsidRPr="00EC4EC4">
        <w:rPr>
          <w:rFonts w:eastAsia="Times New Roman" w:cs="Times New Roman"/>
          <w:szCs w:val="24"/>
        </w:rPr>
        <w:t xml:space="preserve"> 40 percent of the stud</w:t>
      </w:r>
      <w:r w:rsidRPr="00EC4EC4">
        <w:rPr>
          <w:rFonts w:eastAsia="Times New Roman" w:cs="Times New Roman"/>
          <w:spacing w:val="1"/>
          <w:szCs w:val="24"/>
        </w:rPr>
        <w:t xml:space="preserve"> </w:t>
      </w:r>
      <w:r w:rsidRPr="00EC4EC4">
        <w:rPr>
          <w:rFonts w:eastAsia="Times New Roman" w:cs="Times New Roman"/>
          <w:szCs w:val="24"/>
        </w:rPr>
        <w:t>width are</w:t>
      </w:r>
      <w:r w:rsidRPr="00EC4EC4">
        <w:rPr>
          <w:rFonts w:eastAsia="Times New Roman" w:cs="Times New Roman"/>
          <w:spacing w:val="1"/>
          <w:szCs w:val="24"/>
        </w:rPr>
        <w:t xml:space="preserve"> permitted to be</w:t>
      </w:r>
      <w:r w:rsidRPr="00EC4EC4">
        <w:rPr>
          <w:rFonts w:eastAsia="Times New Roman" w:cs="Times New Roman"/>
          <w:szCs w:val="24"/>
        </w:rPr>
        <w:t xml:space="preserve"> bored in </w:t>
      </w:r>
      <w:r w:rsidRPr="00EC4EC4">
        <w:rPr>
          <w:rFonts w:eastAsia="Times New Roman" w:cs="Times New Roman"/>
          <w:spacing w:val="1"/>
          <w:szCs w:val="24"/>
        </w:rPr>
        <w:t xml:space="preserve">any </w:t>
      </w:r>
      <w:r w:rsidRPr="00EC4EC4">
        <w:rPr>
          <w:rFonts w:eastAsia="Times New Roman" w:cs="Times New Roman"/>
          <w:szCs w:val="24"/>
        </w:rPr>
        <w:t xml:space="preserve">wood </w:t>
      </w:r>
      <w:r w:rsidRPr="00EC4EC4">
        <w:rPr>
          <w:rFonts w:eastAsia="Times New Roman" w:cs="Times New Roman"/>
          <w:spacing w:val="1"/>
          <w:szCs w:val="24"/>
        </w:rPr>
        <w:t>stud. Bored holes</w:t>
      </w:r>
      <w:r w:rsidRPr="00EC4EC4">
        <w:rPr>
          <w:rFonts w:eastAsia="Times New Roman" w:cs="Times New Roman"/>
          <w:szCs w:val="24"/>
        </w:rPr>
        <w:t xml:space="preserve"> not </w:t>
      </w:r>
      <w:r w:rsidRPr="00EC4EC4">
        <w:rPr>
          <w:rFonts w:eastAsia="Times New Roman" w:cs="Times New Roman"/>
          <w:spacing w:val="1"/>
          <w:szCs w:val="24"/>
        </w:rPr>
        <w:t>greater than</w:t>
      </w:r>
      <w:r w:rsidRPr="00EC4EC4">
        <w:rPr>
          <w:rFonts w:eastAsia="Times New Roman" w:cs="Times New Roman"/>
          <w:szCs w:val="24"/>
        </w:rPr>
        <w:t xml:space="preserve"> 60 percent of the [</w:t>
      </w:r>
      <w:r w:rsidRPr="00EC4EC4">
        <w:rPr>
          <w:rFonts w:eastAsia="Times New Roman" w:cs="Times New Roman"/>
          <w:strike/>
          <w:szCs w:val="24"/>
        </w:rPr>
        <w:t>the</w:t>
      </w:r>
      <w:r w:rsidRPr="00EC4EC4">
        <w:rPr>
          <w:rFonts w:eastAsia="Times New Roman" w:cs="Times New Roman"/>
          <w:szCs w:val="24"/>
        </w:rPr>
        <w:t xml:space="preserve">] stud width </w:t>
      </w:r>
      <w:r w:rsidRPr="00EC4EC4">
        <w:rPr>
          <w:rFonts w:eastAsia="Times New Roman" w:cs="Times New Roman"/>
          <w:spacing w:val="1"/>
          <w:szCs w:val="24"/>
        </w:rPr>
        <w:t>are permitted in nonbearing partitions or</w:t>
      </w:r>
      <w:r w:rsidRPr="00EC4EC4">
        <w:rPr>
          <w:rFonts w:eastAsia="Times New Roman" w:cs="Times New Roman"/>
          <w:szCs w:val="24"/>
        </w:rPr>
        <w:t xml:space="preserve"> in any wall where each </w:t>
      </w:r>
      <w:r w:rsidRPr="00EC4EC4">
        <w:rPr>
          <w:rFonts w:eastAsia="Times New Roman" w:cs="Times New Roman"/>
          <w:spacing w:val="1"/>
          <w:szCs w:val="24"/>
        </w:rPr>
        <w:t xml:space="preserve">bored </w:t>
      </w:r>
      <w:r w:rsidRPr="00EC4EC4">
        <w:rPr>
          <w:rFonts w:eastAsia="Times New Roman" w:cs="Times New Roman"/>
          <w:szCs w:val="24"/>
        </w:rPr>
        <w:t xml:space="preserve">stud is doubled, provided not more than two such successive doubled studs are so bored. </w:t>
      </w:r>
      <w:r w:rsidRPr="00EC4EC4">
        <w:rPr>
          <w:rFonts w:eastAsia="Times New Roman" w:cs="Times New Roman"/>
          <w:spacing w:val="1"/>
          <w:szCs w:val="24"/>
        </w:rPr>
        <w:t>In no case shall the</w:t>
      </w:r>
      <w:r w:rsidRPr="00EC4EC4">
        <w:rPr>
          <w:rFonts w:eastAsia="Times New Roman" w:cs="Times New Roman"/>
          <w:szCs w:val="24"/>
        </w:rPr>
        <w:t xml:space="preserve"> edge of the bored hole be </w:t>
      </w:r>
      <w:r w:rsidRPr="00EC4EC4">
        <w:rPr>
          <w:rFonts w:eastAsia="Times New Roman" w:cs="Times New Roman"/>
          <w:spacing w:val="1"/>
          <w:szCs w:val="24"/>
        </w:rPr>
        <w:t>nearer</w:t>
      </w:r>
      <w:r w:rsidRPr="00EC4EC4">
        <w:rPr>
          <w:rFonts w:eastAsia="Times New Roman" w:cs="Times New Roman"/>
          <w:szCs w:val="24"/>
        </w:rPr>
        <w:t xml:space="preserve"> than </w:t>
      </w:r>
      <w:r w:rsidRPr="00EC4EC4">
        <w:rPr>
          <w:rFonts w:eastAsia="Calibri" w:cs="Times New Roman"/>
          <w:szCs w:val="24"/>
        </w:rPr>
        <w:t>⅝</w:t>
      </w:r>
      <w:r w:rsidRPr="00EC4EC4">
        <w:rPr>
          <w:rFonts w:eastAsia="Times New Roman" w:cs="Times New Roman"/>
          <w:szCs w:val="24"/>
        </w:rPr>
        <w:t xml:space="preserve"> inch (15.9 mm) to the edge of the stud. Bored holes shall not be located at the same section of stud as a cut or notch. See Figure 2308.5.8 of the </w:t>
      </w:r>
      <w:r w:rsidRPr="00EC4EC4">
        <w:rPr>
          <w:rFonts w:eastAsia="Times New Roman" w:cs="Times New Roman"/>
          <w:i/>
          <w:szCs w:val="24"/>
        </w:rPr>
        <w:t>New York City Building Code</w:t>
      </w:r>
      <w:r w:rsidRPr="00EC4EC4">
        <w:rPr>
          <w:rFonts w:eastAsia="Times New Roman" w:cs="Times New Roman"/>
          <w:szCs w:val="24"/>
        </w:rPr>
        <w:t>.</w:t>
      </w:r>
    </w:p>
    <w:p w14:paraId="1CCF5A09" w14:textId="23E693B6" w:rsidR="00140B7C" w:rsidRPr="00EC4EC4" w:rsidRDefault="00140B7C" w:rsidP="00140B7C">
      <w:pPr>
        <w:kinsoku w:val="0"/>
        <w:spacing w:after="240" w:line="240" w:lineRule="auto"/>
        <w:ind w:firstLine="720"/>
        <w:jc w:val="both"/>
        <w:rPr>
          <w:rFonts w:eastAsia="Times New Roman" w:cs="Times New Roman"/>
          <w:b/>
          <w:bCs/>
          <w:szCs w:val="24"/>
        </w:rPr>
      </w:pPr>
      <w:bookmarkStart w:id="253" w:name="_Toc388002788"/>
      <w:r w:rsidRPr="00EC4EC4">
        <w:rPr>
          <w:rFonts w:cs="Times New Roman"/>
          <w:sz w:val="23"/>
          <w:szCs w:val="23"/>
        </w:rPr>
        <w:t>§</w:t>
      </w:r>
      <w:r>
        <w:rPr>
          <w:rFonts w:cs="Times New Roman"/>
          <w:sz w:val="23"/>
          <w:szCs w:val="23"/>
        </w:rPr>
        <w:t>34</w:t>
      </w:r>
      <w:r w:rsidR="00D662C6">
        <w:rPr>
          <w:rFonts w:cs="Times New Roman"/>
          <w:sz w:val="23"/>
          <w:szCs w:val="23"/>
        </w:rPr>
        <w:t>6</w:t>
      </w:r>
      <w:r w:rsidRPr="00EC4EC4">
        <w:rPr>
          <w:rFonts w:cs="Times New Roman"/>
          <w:sz w:val="23"/>
          <w:szCs w:val="23"/>
        </w:rPr>
        <w:t xml:space="preserve">. Section 304.4.1 of  the New York city fuel gas code, as </w:t>
      </w:r>
      <w:r>
        <w:rPr>
          <w:rFonts w:cs="Times New Roman"/>
          <w:sz w:val="23"/>
          <w:szCs w:val="23"/>
        </w:rPr>
        <w:t>amended</w:t>
      </w:r>
      <w:r w:rsidRPr="00EC4EC4">
        <w:rPr>
          <w:rFonts w:cs="Times New Roman"/>
          <w:sz w:val="23"/>
          <w:szCs w:val="23"/>
        </w:rPr>
        <w:t xml:space="preserve"> by local law number </w:t>
      </w:r>
      <w:r>
        <w:rPr>
          <w:rFonts w:cs="Times New Roman"/>
          <w:sz w:val="23"/>
          <w:szCs w:val="23"/>
        </w:rPr>
        <w:t>126</w:t>
      </w:r>
      <w:r w:rsidRPr="00EC4EC4">
        <w:rPr>
          <w:rFonts w:cs="Times New Roman"/>
          <w:sz w:val="23"/>
          <w:szCs w:val="23"/>
        </w:rPr>
        <w:t xml:space="preserve"> for the year </w:t>
      </w:r>
      <w:r>
        <w:rPr>
          <w:rFonts w:cs="Times New Roman"/>
          <w:sz w:val="23"/>
          <w:szCs w:val="23"/>
        </w:rPr>
        <w:t>2021</w:t>
      </w:r>
      <w:r w:rsidRPr="00EC4EC4">
        <w:rPr>
          <w:rFonts w:cs="Times New Roman"/>
          <w:sz w:val="23"/>
          <w:szCs w:val="23"/>
        </w:rPr>
        <w:t>, is amended to read as follows:</w:t>
      </w:r>
    </w:p>
    <w:p w14:paraId="59BDC20A" w14:textId="77777777" w:rsidR="00140B7C" w:rsidRPr="00EC4EC4" w:rsidRDefault="00140B7C" w:rsidP="00140B7C">
      <w:pPr>
        <w:spacing w:after="240" w:line="240" w:lineRule="auto"/>
        <w:jc w:val="both"/>
        <w:rPr>
          <w:rFonts w:eastAsia="Times New Roman" w:cs="Times New Roman"/>
          <w:szCs w:val="24"/>
        </w:rPr>
      </w:pPr>
      <w:bookmarkStart w:id="254" w:name="_Toc388002789"/>
      <w:bookmarkEnd w:id="253"/>
      <w:r w:rsidRPr="00EC4EC4">
        <w:rPr>
          <w:rFonts w:eastAsia="Times New Roman" w:cs="Times New Roman"/>
          <w:b/>
          <w:szCs w:val="24"/>
        </w:rPr>
        <w:t>304.4.1 Makeup air for [</w:t>
      </w:r>
      <w:r w:rsidRPr="00EC4EC4">
        <w:rPr>
          <w:rFonts w:eastAsia="Times New Roman" w:cs="Times New Roman"/>
          <w:b/>
          <w:strike/>
          <w:szCs w:val="24"/>
        </w:rPr>
        <w:t>fuel burning</w:t>
      </w:r>
      <w:r w:rsidRPr="00EC4EC4">
        <w:rPr>
          <w:rFonts w:eastAsia="Times New Roman" w:cs="Times New Roman"/>
          <w:b/>
          <w:szCs w:val="24"/>
        </w:rPr>
        <w:t>]</w:t>
      </w:r>
      <w:r w:rsidRPr="00EC4EC4">
        <w:rPr>
          <w:rFonts w:eastAsia="Times New Roman" w:cs="Times New Roman"/>
          <w:b/>
          <w:szCs w:val="24"/>
          <w:u w:val="single"/>
        </w:rPr>
        <w:t>fuel-burning</w:t>
      </w:r>
      <w:r w:rsidRPr="00EC4EC4">
        <w:rPr>
          <w:rFonts w:eastAsia="Times New Roman" w:cs="Times New Roman"/>
          <w:b/>
          <w:szCs w:val="24"/>
        </w:rPr>
        <w:t xml:space="preserve"> devices.</w:t>
      </w:r>
      <w:r w:rsidRPr="00EC4EC4">
        <w:rPr>
          <w:rFonts w:eastAsia="Times New Roman" w:cs="Times New Roman"/>
          <w:szCs w:val="24"/>
        </w:rPr>
        <w:t xml:space="preserve"> Where exhaust fans are installed, makeup air shall be provided to replace the exhausted air. Calculations shall be provided on the construction documents to validate the use of the exhaust fan(s) and compliance with this [</w:t>
      </w:r>
      <w:r w:rsidRPr="00EC4EC4">
        <w:rPr>
          <w:rFonts w:eastAsia="Times New Roman" w:cs="Times New Roman"/>
          <w:strike/>
          <w:szCs w:val="24"/>
        </w:rPr>
        <w:t>Chapter</w:t>
      </w:r>
      <w:r w:rsidRPr="00EC4EC4">
        <w:rPr>
          <w:rFonts w:eastAsia="Times New Roman" w:cs="Times New Roman"/>
          <w:szCs w:val="24"/>
        </w:rPr>
        <w:t>]</w:t>
      </w:r>
      <w:r w:rsidRPr="00EC4EC4">
        <w:rPr>
          <w:rFonts w:eastAsia="Times New Roman" w:cs="Times New Roman"/>
          <w:szCs w:val="24"/>
          <w:u w:val="single"/>
        </w:rPr>
        <w:t>chapter</w:t>
      </w:r>
      <w:r w:rsidRPr="00EC4EC4">
        <w:rPr>
          <w:rFonts w:eastAsia="Times New Roman" w:cs="Times New Roman"/>
          <w:szCs w:val="24"/>
        </w:rPr>
        <w:t>.</w:t>
      </w:r>
    </w:p>
    <w:p w14:paraId="5FC9F15E" w14:textId="01F578F4" w:rsidR="00140B7C" w:rsidRPr="00EC4EC4" w:rsidRDefault="00140B7C" w:rsidP="00140B7C">
      <w:pPr>
        <w:kinsoku w:val="0"/>
        <w:spacing w:after="240" w:line="240" w:lineRule="auto"/>
        <w:ind w:firstLine="720"/>
        <w:jc w:val="both"/>
        <w:rPr>
          <w:rFonts w:eastAsia="Times New Roman" w:cs="Times New Roman"/>
          <w:b/>
          <w:bCs/>
          <w:szCs w:val="24"/>
        </w:rPr>
      </w:pPr>
      <w:bookmarkStart w:id="255" w:name="_Hlk114643891"/>
      <w:r w:rsidRPr="00EC4EC4">
        <w:rPr>
          <w:rFonts w:cs="Times New Roman"/>
          <w:sz w:val="23"/>
          <w:szCs w:val="23"/>
        </w:rPr>
        <w:t>§</w:t>
      </w:r>
      <w:r>
        <w:rPr>
          <w:rFonts w:cs="Times New Roman"/>
          <w:sz w:val="23"/>
          <w:szCs w:val="23"/>
        </w:rPr>
        <w:t>34</w:t>
      </w:r>
      <w:r w:rsidR="00D662C6">
        <w:rPr>
          <w:rFonts w:cs="Times New Roman"/>
          <w:sz w:val="23"/>
          <w:szCs w:val="23"/>
        </w:rPr>
        <w:t>7</w:t>
      </w:r>
      <w:r w:rsidRPr="00EC4EC4">
        <w:rPr>
          <w:rFonts w:cs="Times New Roman"/>
          <w:sz w:val="23"/>
          <w:szCs w:val="23"/>
        </w:rPr>
        <w:t xml:space="preserve">. Section 304.4.2 of  the New York city fuel gas code, as </w:t>
      </w:r>
      <w:r>
        <w:rPr>
          <w:rFonts w:cs="Times New Roman"/>
          <w:sz w:val="23"/>
          <w:szCs w:val="23"/>
        </w:rPr>
        <w:t>amended</w:t>
      </w:r>
      <w:r w:rsidRPr="00EC4EC4">
        <w:rPr>
          <w:rFonts w:cs="Times New Roman"/>
          <w:sz w:val="23"/>
          <w:szCs w:val="23"/>
        </w:rPr>
        <w:t xml:space="preserve"> by local law number </w:t>
      </w:r>
      <w:r>
        <w:rPr>
          <w:rFonts w:cs="Times New Roman"/>
          <w:sz w:val="23"/>
          <w:szCs w:val="23"/>
        </w:rPr>
        <w:t>126</w:t>
      </w:r>
      <w:r w:rsidRPr="00EC4EC4">
        <w:rPr>
          <w:rFonts w:cs="Times New Roman"/>
          <w:sz w:val="23"/>
          <w:szCs w:val="23"/>
        </w:rPr>
        <w:t xml:space="preserve"> for the year </w:t>
      </w:r>
      <w:r>
        <w:rPr>
          <w:rFonts w:cs="Times New Roman"/>
          <w:sz w:val="23"/>
          <w:szCs w:val="23"/>
        </w:rPr>
        <w:t>2021</w:t>
      </w:r>
      <w:r w:rsidRPr="00EC4EC4">
        <w:rPr>
          <w:rFonts w:cs="Times New Roman"/>
          <w:sz w:val="23"/>
          <w:szCs w:val="23"/>
        </w:rPr>
        <w:t>, is amended to read as follows:</w:t>
      </w:r>
    </w:p>
    <w:bookmarkEnd w:id="255"/>
    <w:p w14:paraId="613D8707" w14:textId="77777777" w:rsidR="00140B7C" w:rsidRPr="00EC4EC4" w:rsidRDefault="00140B7C" w:rsidP="00140B7C">
      <w:pPr>
        <w:spacing w:after="240" w:line="240" w:lineRule="auto"/>
        <w:jc w:val="both"/>
        <w:rPr>
          <w:rFonts w:eastAsia="Times New Roman" w:cs="Times New Roman"/>
          <w:spacing w:val="1"/>
          <w:szCs w:val="24"/>
        </w:rPr>
        <w:sectPr w:rsidR="00140B7C" w:rsidRPr="00EC4EC4" w:rsidSect="00B64953">
          <w:footerReference w:type="default" r:id="rId21"/>
          <w:footerReference w:type="first" r:id="rId22"/>
          <w:pgSz w:w="12240" w:h="15840" w:code="1"/>
          <w:pgMar w:top="1440" w:right="1080" w:bottom="1440" w:left="1080" w:header="720" w:footer="720" w:gutter="0"/>
          <w:lnNumType w:countBy="1"/>
          <w:pgNumType w:start="2698"/>
          <w:cols w:space="720"/>
          <w:titlePg/>
          <w:docGrid w:linePitch="326"/>
        </w:sectPr>
      </w:pPr>
      <w:r w:rsidRPr="00EC4EC4">
        <w:rPr>
          <w:rFonts w:eastAsia="Times New Roman" w:cs="Times New Roman"/>
          <w:b/>
          <w:szCs w:val="24"/>
        </w:rPr>
        <w:t>304.4.2 Ventilation air for [</w:t>
      </w:r>
      <w:r w:rsidRPr="00EC4EC4">
        <w:rPr>
          <w:rFonts w:eastAsia="Times New Roman" w:cs="Times New Roman"/>
          <w:b/>
          <w:strike/>
          <w:szCs w:val="24"/>
        </w:rPr>
        <w:t>fuel burning</w:t>
      </w:r>
      <w:r w:rsidRPr="00EC4EC4">
        <w:rPr>
          <w:rFonts w:eastAsia="Times New Roman" w:cs="Times New Roman"/>
          <w:b/>
          <w:szCs w:val="24"/>
        </w:rPr>
        <w:t>]</w:t>
      </w:r>
      <w:r w:rsidRPr="00EC4EC4">
        <w:rPr>
          <w:rFonts w:eastAsia="Times New Roman" w:cs="Times New Roman"/>
          <w:b/>
          <w:szCs w:val="24"/>
          <w:u w:val="single"/>
        </w:rPr>
        <w:t>fuel-burning</w:t>
      </w:r>
      <w:r w:rsidRPr="00EC4EC4">
        <w:rPr>
          <w:rFonts w:eastAsia="Times New Roman" w:cs="Times New Roman"/>
          <w:b/>
          <w:szCs w:val="24"/>
        </w:rPr>
        <w:t xml:space="preserve"> devices.</w:t>
      </w:r>
      <w:r w:rsidRPr="00EC4EC4">
        <w:rPr>
          <w:rFonts w:eastAsia="Times New Roman" w:cs="Times New Roman"/>
          <w:szCs w:val="24"/>
        </w:rPr>
        <w:t xml:space="preserve"> Where ventilation air is brought in by mechanical means for heat generation mitigation, provisions must be made for proper air balance to prevent a negative or positive pressure in the boiler room and to discharge the ventilation directly to the outside</w:t>
      </w:r>
      <w:bookmarkEnd w:id="254"/>
    </w:p>
    <w:p w14:paraId="1071F641" w14:textId="144040A8" w:rsidR="00140B7C" w:rsidRPr="00EC4EC4" w:rsidRDefault="00140B7C" w:rsidP="00140B7C">
      <w:pPr>
        <w:kinsoku w:val="0"/>
        <w:spacing w:after="240" w:line="240" w:lineRule="auto"/>
        <w:ind w:left="-360" w:firstLine="720"/>
        <w:jc w:val="both"/>
        <w:rPr>
          <w:rFonts w:eastAsia="Times New Roman" w:cs="Times New Roman"/>
          <w:b/>
          <w:bCs/>
          <w:szCs w:val="24"/>
        </w:rPr>
      </w:pPr>
      <w:bookmarkStart w:id="256" w:name="_Toc388003006"/>
      <w:r w:rsidRPr="00EC4EC4">
        <w:rPr>
          <w:rFonts w:cs="Times New Roman"/>
          <w:sz w:val="23"/>
          <w:szCs w:val="23"/>
        </w:rPr>
        <w:t>§</w:t>
      </w:r>
      <w:r>
        <w:rPr>
          <w:rFonts w:cs="Times New Roman"/>
          <w:sz w:val="23"/>
          <w:szCs w:val="23"/>
        </w:rPr>
        <w:t>34</w:t>
      </w:r>
      <w:r w:rsidR="00D662C6">
        <w:rPr>
          <w:rFonts w:cs="Times New Roman"/>
          <w:sz w:val="23"/>
          <w:szCs w:val="23"/>
        </w:rPr>
        <w:t>8</w:t>
      </w:r>
      <w:r w:rsidRPr="00EC4EC4">
        <w:rPr>
          <w:rFonts w:cs="Times New Roman"/>
          <w:sz w:val="23"/>
          <w:szCs w:val="23"/>
        </w:rPr>
        <w:t>. Section 404.15 of the New York city fuel gas code, as amended by local law number 126 for the year 2021, is amended to read as follows:</w:t>
      </w:r>
    </w:p>
    <w:p w14:paraId="7F00E5DD" w14:textId="77777777" w:rsidR="00140B7C" w:rsidRPr="00EC4EC4" w:rsidRDefault="00140B7C" w:rsidP="00140B7C">
      <w:pPr>
        <w:autoSpaceDE w:val="0"/>
        <w:autoSpaceDN w:val="0"/>
        <w:adjustRightInd w:val="0"/>
        <w:spacing w:after="240" w:line="240" w:lineRule="auto"/>
        <w:ind w:left="-360"/>
        <w:jc w:val="both"/>
        <w:rPr>
          <w:rFonts w:eastAsia="Calibri" w:cs="Times New Roman"/>
          <w:bCs/>
          <w:szCs w:val="24"/>
        </w:rPr>
      </w:pPr>
      <w:r w:rsidRPr="00EC4EC4">
        <w:rPr>
          <w:rFonts w:eastAsia="Times New Roman" w:cs="Times New Roman"/>
          <w:b/>
          <w:szCs w:val="24"/>
        </w:rPr>
        <w:t xml:space="preserve">404.15 </w:t>
      </w:r>
      <w:r w:rsidRPr="00EC4EC4">
        <w:rPr>
          <w:rFonts w:eastAsia="Times New Roman" w:cs="Times New Roman"/>
          <w:b/>
          <w:bCs/>
          <w:szCs w:val="24"/>
        </w:rPr>
        <w:t>Outlet closures.</w:t>
      </w:r>
      <w:bookmarkEnd w:id="256"/>
      <w:r w:rsidRPr="00EC4EC4">
        <w:rPr>
          <w:rFonts w:eastAsia="Calibri" w:cs="Times New Roman"/>
          <w:b/>
          <w:bCs/>
          <w:szCs w:val="24"/>
        </w:rPr>
        <w:t xml:space="preserve"> </w:t>
      </w:r>
      <w:r w:rsidRPr="00EC4EC4">
        <w:rPr>
          <w:rFonts w:eastAsia="Calibri" w:cs="Times New Roman"/>
          <w:bCs/>
          <w:szCs w:val="24"/>
        </w:rPr>
        <w:t>Gas outlets shall be permitted only under the following conditions:</w:t>
      </w:r>
    </w:p>
    <w:p w14:paraId="607F4FB6" w14:textId="77777777" w:rsidR="00140B7C" w:rsidRPr="00EC4EC4" w:rsidRDefault="00140B7C" w:rsidP="00140B7C">
      <w:pPr>
        <w:autoSpaceDE w:val="0"/>
        <w:autoSpaceDN w:val="0"/>
        <w:adjustRightInd w:val="0"/>
        <w:spacing w:after="240" w:line="240" w:lineRule="auto"/>
        <w:ind w:left="720" w:hanging="360"/>
        <w:jc w:val="both"/>
        <w:rPr>
          <w:rFonts w:eastAsia="Calibri" w:cs="Times New Roman"/>
          <w:bCs/>
          <w:szCs w:val="24"/>
        </w:rPr>
      </w:pPr>
      <w:r w:rsidRPr="00EC4EC4">
        <w:rPr>
          <w:rFonts w:eastAsia="Calibri" w:cs="Times New Roman"/>
          <w:bCs/>
          <w:szCs w:val="24"/>
        </w:rPr>
        <w:t>1.</w:t>
      </w:r>
      <w:r w:rsidRPr="00EC4EC4">
        <w:rPr>
          <w:rFonts w:eastAsia="Calibri" w:cs="Times New Roman"/>
          <w:bCs/>
          <w:szCs w:val="24"/>
        </w:rPr>
        <w:tab/>
        <w:t>Valved and capped gas tight outlets for appliance outlets listed on approved applications.</w:t>
      </w:r>
    </w:p>
    <w:p w14:paraId="0F21DFD9" w14:textId="77777777" w:rsidR="00140B7C" w:rsidRPr="00EC4EC4" w:rsidRDefault="00140B7C" w:rsidP="00140B7C">
      <w:pPr>
        <w:autoSpaceDE w:val="0"/>
        <w:autoSpaceDN w:val="0"/>
        <w:adjustRightInd w:val="0"/>
        <w:spacing w:after="240" w:line="240" w:lineRule="auto"/>
        <w:ind w:left="720" w:hanging="360"/>
        <w:jc w:val="both"/>
        <w:rPr>
          <w:rFonts w:eastAsia="Calibri" w:cs="Times New Roman"/>
          <w:bCs/>
          <w:szCs w:val="24"/>
        </w:rPr>
      </w:pPr>
      <w:r w:rsidRPr="00EC4EC4">
        <w:rPr>
          <w:rFonts w:eastAsia="Calibri" w:cs="Times New Roman"/>
          <w:bCs/>
          <w:szCs w:val="24"/>
        </w:rPr>
        <w:t>2.</w:t>
      </w:r>
      <w:r w:rsidRPr="00EC4EC4">
        <w:rPr>
          <w:rFonts w:eastAsia="Calibri" w:cs="Times New Roman"/>
          <w:bCs/>
          <w:szCs w:val="24"/>
        </w:rPr>
        <w:tab/>
        <w:t>Valved and capped outlets on each floor in nonproduction laboratory buildings for future laboratories.</w:t>
      </w:r>
    </w:p>
    <w:p w14:paraId="21953C6F"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bCs/>
          <w:szCs w:val="24"/>
        </w:rPr>
      </w:pPr>
      <w:r w:rsidRPr="00EC4EC4">
        <w:rPr>
          <w:rFonts w:eastAsia="Calibri" w:cs="Times New Roman"/>
          <w:bCs/>
          <w:szCs w:val="24"/>
        </w:rPr>
        <w:t>3.</w:t>
      </w:r>
      <w:r w:rsidRPr="00EC4EC4">
        <w:rPr>
          <w:rFonts w:eastAsia="Calibri" w:cs="Times New Roman"/>
          <w:bCs/>
          <w:szCs w:val="24"/>
        </w:rPr>
        <w:tab/>
        <w:t>Listed and labeled flush-mounted-type quick disconnect devices and listed and labeled gas convenience outlets installed in accordance with the manufacturer’s instructions.</w:t>
      </w:r>
    </w:p>
    <w:p w14:paraId="753C356E" w14:textId="77777777" w:rsidR="00140B7C" w:rsidRPr="00EC4EC4" w:rsidRDefault="00140B7C" w:rsidP="00140B7C">
      <w:pPr>
        <w:autoSpaceDE w:val="0"/>
        <w:autoSpaceDN w:val="0"/>
        <w:adjustRightInd w:val="0"/>
        <w:spacing w:after="240" w:line="240" w:lineRule="auto"/>
        <w:ind w:left="1080"/>
        <w:jc w:val="both"/>
        <w:rPr>
          <w:rFonts w:eastAsia="Calibri" w:cs="Times New Roman"/>
          <w:bCs/>
          <w:szCs w:val="24"/>
        </w:rPr>
      </w:pPr>
      <w:r w:rsidRPr="00EC4EC4">
        <w:rPr>
          <w:rFonts w:eastAsia="Calibri" w:cs="Times New Roman"/>
          <w:b/>
          <w:bCs/>
          <w:szCs w:val="24"/>
        </w:rPr>
        <w:t>Exceptions:</w:t>
      </w:r>
    </w:p>
    <w:p w14:paraId="21DAA543" w14:textId="77777777" w:rsidR="00140B7C" w:rsidRPr="00EC4EC4" w:rsidRDefault="00140B7C" w:rsidP="00140B7C">
      <w:pPr>
        <w:autoSpaceDE w:val="0"/>
        <w:autoSpaceDN w:val="0"/>
        <w:adjustRightInd w:val="0"/>
        <w:spacing w:after="240" w:line="240" w:lineRule="auto"/>
        <w:ind w:left="1800" w:hanging="360"/>
        <w:jc w:val="both"/>
        <w:rPr>
          <w:rFonts w:eastAsia="Calibri" w:cs="Times New Roman"/>
          <w:bCs/>
          <w:szCs w:val="24"/>
        </w:rPr>
      </w:pPr>
      <w:r w:rsidRPr="00EC4EC4">
        <w:rPr>
          <w:rFonts w:eastAsia="Calibri" w:cs="Times New Roman"/>
          <w:bCs/>
          <w:szCs w:val="24"/>
        </w:rPr>
        <w:t>1.</w:t>
      </w:r>
      <w:r w:rsidRPr="00EC4EC4">
        <w:rPr>
          <w:rFonts w:eastAsia="Calibri" w:cs="Times New Roman"/>
          <w:bCs/>
          <w:szCs w:val="24"/>
        </w:rPr>
        <w:tab/>
        <w:t>Test ports for gas riser valves installed downstream of a riser control valve.</w:t>
      </w:r>
    </w:p>
    <w:p w14:paraId="5C02CF2F" w14:textId="77777777" w:rsidR="00140B7C" w:rsidRPr="00EC4EC4" w:rsidRDefault="00140B7C" w:rsidP="00140B7C">
      <w:pPr>
        <w:autoSpaceDE w:val="0"/>
        <w:autoSpaceDN w:val="0"/>
        <w:adjustRightInd w:val="0"/>
        <w:spacing w:after="240" w:line="240" w:lineRule="auto"/>
        <w:ind w:left="1800" w:hanging="360"/>
        <w:jc w:val="both"/>
        <w:rPr>
          <w:rFonts w:eastAsia="Times New Roman" w:cs="Times New Roman"/>
          <w:bCs/>
          <w:szCs w:val="24"/>
        </w:rPr>
      </w:pPr>
      <w:r w:rsidRPr="00EC4EC4">
        <w:rPr>
          <w:rFonts w:eastAsia="Calibri" w:cs="Times New Roman"/>
          <w:bCs/>
          <w:szCs w:val="24"/>
        </w:rPr>
        <w:t>2.</w:t>
      </w:r>
      <w:r w:rsidRPr="00EC4EC4">
        <w:rPr>
          <w:rFonts w:eastAsia="Calibri" w:cs="Times New Roman"/>
          <w:bCs/>
          <w:szCs w:val="24"/>
        </w:rPr>
        <w:tab/>
        <w:t>Outlets for pressure sensors and gauges installed in conjunction with gas appliances or equipment installed [</w:t>
      </w:r>
      <w:r w:rsidRPr="00EC4EC4">
        <w:rPr>
          <w:rFonts w:eastAsia="Calibri" w:cs="Times New Roman"/>
          <w:bCs/>
          <w:strike/>
          <w:szCs w:val="24"/>
        </w:rPr>
        <w:t>as per</w:t>
      </w:r>
      <w:r w:rsidRPr="00EC4EC4">
        <w:rPr>
          <w:rFonts w:eastAsia="Calibri" w:cs="Times New Roman"/>
          <w:bCs/>
          <w:szCs w:val="24"/>
        </w:rPr>
        <w:t>]</w:t>
      </w:r>
      <w:r w:rsidRPr="00EC4EC4">
        <w:rPr>
          <w:rFonts w:eastAsia="Calibri" w:cs="Times New Roman"/>
          <w:bCs/>
          <w:szCs w:val="24"/>
          <w:u w:val="single"/>
        </w:rPr>
        <w:t>in accordance with</w:t>
      </w:r>
      <w:r w:rsidRPr="00EC4EC4">
        <w:rPr>
          <w:rFonts w:eastAsia="Calibri" w:cs="Times New Roman"/>
          <w:bCs/>
          <w:szCs w:val="24"/>
        </w:rPr>
        <w:t xml:space="preserve"> the manufacturer’s instructions.</w:t>
      </w:r>
    </w:p>
    <w:p w14:paraId="72D321BA" w14:textId="300B07EA" w:rsidR="00140B7C" w:rsidRPr="00EC4EC4" w:rsidRDefault="00140B7C" w:rsidP="00140B7C">
      <w:pPr>
        <w:kinsoku w:val="0"/>
        <w:spacing w:after="240" w:line="240" w:lineRule="auto"/>
        <w:ind w:firstLine="720"/>
        <w:jc w:val="both"/>
        <w:rPr>
          <w:rFonts w:eastAsia="Times New Roman" w:cs="Times New Roman"/>
          <w:b/>
          <w:bCs/>
          <w:szCs w:val="24"/>
        </w:rPr>
      </w:pPr>
      <w:bookmarkStart w:id="257" w:name="_Toc388003015"/>
      <w:bookmarkStart w:id="258" w:name="_Hlk119499401"/>
      <w:r w:rsidRPr="00EC4EC4">
        <w:rPr>
          <w:rFonts w:cs="Times New Roman"/>
          <w:sz w:val="23"/>
          <w:szCs w:val="23"/>
        </w:rPr>
        <w:t>§</w:t>
      </w:r>
      <w:r>
        <w:rPr>
          <w:rFonts w:cs="Times New Roman"/>
          <w:sz w:val="23"/>
          <w:szCs w:val="23"/>
        </w:rPr>
        <w:t>34</w:t>
      </w:r>
      <w:r w:rsidR="00D662C6">
        <w:rPr>
          <w:rFonts w:cs="Times New Roman"/>
          <w:sz w:val="23"/>
          <w:szCs w:val="23"/>
        </w:rPr>
        <w:t>9</w:t>
      </w:r>
      <w:r w:rsidRPr="00EC4EC4">
        <w:rPr>
          <w:rFonts w:cs="Times New Roman"/>
          <w:sz w:val="23"/>
          <w:szCs w:val="23"/>
        </w:rPr>
        <w:t xml:space="preserve">. Section 405 of  the New York city fuel gas code, as amended by local law number </w:t>
      </w:r>
      <w:r>
        <w:rPr>
          <w:rFonts w:cs="Times New Roman"/>
          <w:sz w:val="23"/>
          <w:szCs w:val="23"/>
        </w:rPr>
        <w:t>126</w:t>
      </w:r>
      <w:r w:rsidRPr="00EC4EC4">
        <w:rPr>
          <w:rFonts w:cs="Times New Roman"/>
          <w:sz w:val="23"/>
          <w:szCs w:val="23"/>
        </w:rPr>
        <w:t xml:space="preserve"> for the year </w:t>
      </w:r>
      <w:r>
        <w:rPr>
          <w:rFonts w:cs="Times New Roman"/>
          <w:sz w:val="23"/>
          <w:szCs w:val="23"/>
        </w:rPr>
        <w:t>2021</w:t>
      </w:r>
      <w:r w:rsidRPr="00EC4EC4">
        <w:rPr>
          <w:rFonts w:cs="Times New Roman"/>
          <w:sz w:val="23"/>
          <w:szCs w:val="23"/>
        </w:rPr>
        <w:t>, is amended to read as follows:</w:t>
      </w:r>
    </w:p>
    <w:p w14:paraId="28C1CCBD" w14:textId="77777777" w:rsidR="00140B7C" w:rsidRPr="00EC4EC4" w:rsidRDefault="00140B7C" w:rsidP="00140B7C">
      <w:pPr>
        <w:pStyle w:val="HeadingCaps"/>
        <w:spacing w:after="0"/>
        <w:rPr>
          <w:b w:val="0"/>
          <w:szCs w:val="24"/>
        </w:rPr>
      </w:pPr>
      <w:r w:rsidRPr="00EC4EC4">
        <w:rPr>
          <w:b w:val="0"/>
          <w:szCs w:val="24"/>
        </w:rPr>
        <w:t xml:space="preserve">SECTION </w:t>
      </w:r>
      <w:r w:rsidRPr="00EC4EC4">
        <w:rPr>
          <w:b w:val="0"/>
          <w:iCs/>
          <w:spacing w:val="-8"/>
          <w:w w:val="105"/>
          <w:szCs w:val="24"/>
        </w:rPr>
        <w:t>FGC</w:t>
      </w:r>
      <w:r w:rsidRPr="00EC4EC4">
        <w:rPr>
          <w:b w:val="0"/>
          <w:spacing w:val="-8"/>
          <w:w w:val="105"/>
          <w:szCs w:val="24"/>
        </w:rPr>
        <w:t xml:space="preserve"> </w:t>
      </w:r>
      <w:r w:rsidRPr="00EC4EC4">
        <w:rPr>
          <w:b w:val="0"/>
          <w:szCs w:val="24"/>
        </w:rPr>
        <w:t xml:space="preserve">405 </w:t>
      </w:r>
    </w:p>
    <w:p w14:paraId="2DD8455B" w14:textId="77777777" w:rsidR="00140B7C" w:rsidRPr="00EC4EC4" w:rsidRDefault="00140B7C" w:rsidP="00140B7C">
      <w:pPr>
        <w:pStyle w:val="HeadingCaps"/>
        <w:spacing w:after="0"/>
        <w:rPr>
          <w:szCs w:val="24"/>
        </w:rPr>
      </w:pPr>
      <w:r w:rsidRPr="00EC4EC4">
        <w:rPr>
          <w:b w:val="0"/>
          <w:szCs w:val="24"/>
        </w:rPr>
        <w:t>[</w:t>
      </w:r>
      <w:r w:rsidRPr="00EC4EC4">
        <w:rPr>
          <w:b w:val="0"/>
          <w:strike/>
          <w:szCs w:val="24"/>
        </w:rPr>
        <w:t>RESERVED</w:t>
      </w:r>
      <w:r w:rsidRPr="00EC4EC4">
        <w:rPr>
          <w:b w:val="0"/>
          <w:szCs w:val="24"/>
        </w:rPr>
        <w:t>]</w:t>
      </w:r>
      <w:r w:rsidRPr="00EC4EC4">
        <w:rPr>
          <w:b w:val="0"/>
          <w:spacing w:val="-8"/>
          <w:w w:val="105"/>
          <w:szCs w:val="24"/>
        </w:rPr>
        <w:br/>
      </w:r>
      <w:r w:rsidRPr="00EC4EC4">
        <w:rPr>
          <w:b w:val="0"/>
          <w:szCs w:val="24"/>
        </w:rPr>
        <w:t>PIPING BENDS AND CHANGES IN DIRECTION</w:t>
      </w:r>
      <w:bookmarkEnd w:id="257"/>
    </w:p>
    <w:bookmarkEnd w:id="258"/>
    <w:p w14:paraId="5CE96D9A" w14:textId="77777777" w:rsidR="00140B7C" w:rsidRPr="00EC4EC4" w:rsidRDefault="00140B7C" w:rsidP="00140B7C">
      <w:pPr>
        <w:kinsoku w:val="0"/>
        <w:spacing w:after="240" w:line="240" w:lineRule="auto"/>
        <w:jc w:val="both"/>
        <w:rPr>
          <w:rFonts w:eastAsia="Times New Roman" w:cs="Times New Roman"/>
          <w:b/>
          <w:bCs/>
          <w:szCs w:val="24"/>
          <w:u w:val="single"/>
        </w:rPr>
      </w:pPr>
    </w:p>
    <w:p w14:paraId="021E99F8" w14:textId="3B2D4499" w:rsidR="00140B7C" w:rsidRPr="00EC4EC4" w:rsidRDefault="00140B7C" w:rsidP="00140B7C">
      <w:pPr>
        <w:kinsoku w:val="0"/>
        <w:spacing w:after="240" w:line="240" w:lineRule="auto"/>
        <w:ind w:firstLine="720"/>
        <w:jc w:val="both"/>
        <w:rPr>
          <w:rFonts w:eastAsia="Times New Roman" w:cs="Times New Roman"/>
          <w:b/>
          <w:bCs/>
          <w:szCs w:val="24"/>
        </w:rPr>
      </w:pPr>
      <w:bookmarkStart w:id="259" w:name="_Hlk113360937"/>
      <w:r w:rsidRPr="00EC4EC4">
        <w:rPr>
          <w:rFonts w:cs="Times New Roman"/>
          <w:sz w:val="23"/>
          <w:szCs w:val="23"/>
        </w:rPr>
        <w:t>§</w:t>
      </w:r>
      <w:r>
        <w:rPr>
          <w:rFonts w:cs="Times New Roman"/>
          <w:sz w:val="23"/>
          <w:szCs w:val="23"/>
        </w:rPr>
        <w:t>3</w:t>
      </w:r>
      <w:r w:rsidR="00D662C6">
        <w:rPr>
          <w:rFonts w:cs="Times New Roman"/>
          <w:sz w:val="23"/>
          <w:szCs w:val="23"/>
        </w:rPr>
        <w:t>50</w:t>
      </w:r>
      <w:r w:rsidRPr="00EC4EC4">
        <w:rPr>
          <w:rFonts w:cs="Times New Roman"/>
          <w:sz w:val="23"/>
          <w:szCs w:val="23"/>
        </w:rPr>
        <w:t>. Section 406.4.5 of the New York city fuel gas code, as amended by local law number 126 for the year 2021, is amended to read as follows:</w:t>
      </w:r>
    </w:p>
    <w:bookmarkEnd w:id="259"/>
    <w:p w14:paraId="6B057D95" w14:textId="77777777" w:rsidR="00140B7C" w:rsidRPr="00EC4EC4" w:rsidRDefault="00140B7C" w:rsidP="00140B7C">
      <w:pPr>
        <w:autoSpaceDE w:val="0"/>
        <w:autoSpaceDN w:val="0"/>
        <w:adjustRightInd w:val="0"/>
        <w:spacing w:after="240" w:line="240" w:lineRule="auto"/>
        <w:jc w:val="both"/>
        <w:rPr>
          <w:rFonts w:eastAsia="Times New Roman" w:cs="Times New Roman"/>
          <w:spacing w:val="1"/>
          <w:szCs w:val="24"/>
        </w:rPr>
      </w:pPr>
      <w:r w:rsidRPr="00EC4EC4">
        <w:rPr>
          <w:rFonts w:eastAsia="Times New Roman" w:cs="Times New Roman"/>
          <w:b/>
          <w:szCs w:val="24"/>
        </w:rPr>
        <w:t>406.4.5 Witnessing tests of [</w:t>
      </w:r>
      <w:r w:rsidRPr="00EC4EC4">
        <w:rPr>
          <w:rFonts w:eastAsia="Times New Roman" w:cs="Times New Roman"/>
          <w:b/>
          <w:strike/>
          <w:szCs w:val="24"/>
        </w:rPr>
        <w:t>gas-piping</w:t>
      </w:r>
      <w:r w:rsidRPr="00EC4EC4">
        <w:rPr>
          <w:rFonts w:eastAsia="Times New Roman" w:cs="Times New Roman"/>
          <w:b/>
          <w:szCs w:val="24"/>
        </w:rPr>
        <w:t>]</w:t>
      </w:r>
      <w:r w:rsidRPr="00EC4EC4">
        <w:rPr>
          <w:rFonts w:eastAsia="Times New Roman" w:cs="Times New Roman"/>
          <w:b/>
          <w:szCs w:val="24"/>
          <w:u w:val="single"/>
        </w:rPr>
        <w:t>gas piping</w:t>
      </w:r>
      <w:r w:rsidRPr="00EC4EC4">
        <w:rPr>
          <w:rFonts w:eastAsia="Times New Roman" w:cs="Times New Roman"/>
          <w:b/>
          <w:szCs w:val="24"/>
        </w:rPr>
        <w:t xml:space="preserve"> systems.</w:t>
      </w:r>
      <w:r w:rsidRPr="00EC4EC4">
        <w:rPr>
          <w:rFonts w:eastAsia="Times New Roman" w:cs="Times New Roman"/>
          <w:b/>
          <w:bCs/>
          <w:spacing w:val="-6"/>
          <w:w w:val="110"/>
          <w:szCs w:val="24"/>
        </w:rPr>
        <w:t xml:space="preserve"> </w:t>
      </w:r>
      <w:r w:rsidRPr="00EC4EC4">
        <w:rPr>
          <w:rFonts w:eastAsia="Times New Roman" w:cs="Times New Roman"/>
          <w:spacing w:val="1"/>
          <w:szCs w:val="24"/>
        </w:rPr>
        <w:t xml:space="preserve">Tests of gas piping systems in accordance with this code shall be witnessed by department plumbing inspectors. </w:t>
      </w:r>
    </w:p>
    <w:p w14:paraId="4CAFA9B4" w14:textId="40A8D41F"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D662C6">
        <w:rPr>
          <w:rFonts w:cs="Times New Roman"/>
          <w:sz w:val="23"/>
          <w:szCs w:val="23"/>
        </w:rPr>
        <w:t>51</w:t>
      </w:r>
      <w:r w:rsidRPr="00EC4EC4">
        <w:rPr>
          <w:rFonts w:cs="Times New Roman"/>
          <w:sz w:val="23"/>
          <w:szCs w:val="23"/>
        </w:rPr>
        <w:t>. Section 406.4.6 of the New York city fuel gas code, as amended by local law number 126 for the year 2021, is amended to read as follows:</w:t>
      </w:r>
    </w:p>
    <w:p w14:paraId="0A0E3071" w14:textId="77777777" w:rsidR="00140B7C" w:rsidRPr="00EC4EC4" w:rsidRDefault="00140B7C" w:rsidP="00140B7C">
      <w:pPr>
        <w:autoSpaceDE w:val="0"/>
        <w:autoSpaceDN w:val="0"/>
        <w:adjustRightInd w:val="0"/>
        <w:spacing w:after="240" w:line="240" w:lineRule="auto"/>
        <w:jc w:val="both"/>
        <w:rPr>
          <w:rFonts w:eastAsia="Times New Roman" w:cs="Times New Roman"/>
          <w:b/>
          <w:bCs/>
          <w:szCs w:val="24"/>
        </w:rPr>
      </w:pPr>
      <w:r w:rsidRPr="00EC4EC4">
        <w:rPr>
          <w:rFonts w:eastAsia="Times New Roman" w:cs="Times New Roman"/>
          <w:b/>
          <w:spacing w:val="2"/>
          <w:szCs w:val="24"/>
        </w:rPr>
        <w:t>406.4.6 Conducting tests of [</w:t>
      </w:r>
      <w:r w:rsidRPr="00EC4EC4">
        <w:rPr>
          <w:rFonts w:eastAsia="Times New Roman" w:cs="Times New Roman"/>
          <w:b/>
          <w:strike/>
          <w:spacing w:val="2"/>
          <w:szCs w:val="24"/>
        </w:rPr>
        <w:t>gas-piping</w:t>
      </w:r>
      <w:r w:rsidRPr="00EC4EC4">
        <w:rPr>
          <w:rFonts w:eastAsia="Times New Roman" w:cs="Times New Roman"/>
          <w:b/>
          <w:spacing w:val="2"/>
          <w:szCs w:val="24"/>
        </w:rPr>
        <w:t>]</w:t>
      </w:r>
      <w:r w:rsidRPr="00EC4EC4">
        <w:rPr>
          <w:rFonts w:eastAsia="Times New Roman" w:cs="Times New Roman"/>
          <w:b/>
          <w:spacing w:val="2"/>
          <w:szCs w:val="24"/>
          <w:u w:val="single"/>
        </w:rPr>
        <w:t>gas piping</w:t>
      </w:r>
      <w:r w:rsidRPr="00EC4EC4">
        <w:rPr>
          <w:rFonts w:eastAsia="Times New Roman" w:cs="Times New Roman"/>
          <w:b/>
          <w:spacing w:val="2"/>
          <w:szCs w:val="24"/>
        </w:rPr>
        <w:t xml:space="preserve"> systems.</w:t>
      </w:r>
      <w:r w:rsidRPr="00EC4EC4">
        <w:rPr>
          <w:rFonts w:eastAsia="Times New Roman" w:cs="Times New Roman"/>
          <w:spacing w:val="2"/>
          <w:szCs w:val="24"/>
        </w:rPr>
        <w:t xml:space="preserve">  Tests of gas piping systems in accordance with this code shall be conducted by an individual with not less than five years’ experience in gas work.</w:t>
      </w:r>
    </w:p>
    <w:p w14:paraId="5D650E8E" w14:textId="75E8F76B"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D662C6">
        <w:rPr>
          <w:rFonts w:cs="Times New Roman"/>
          <w:sz w:val="23"/>
          <w:szCs w:val="23"/>
        </w:rPr>
        <w:t>52</w:t>
      </w:r>
      <w:r w:rsidRPr="00EC4EC4">
        <w:rPr>
          <w:rFonts w:cs="Times New Roman"/>
          <w:sz w:val="23"/>
          <w:szCs w:val="23"/>
        </w:rPr>
        <w:t>. Section 501.12 of  the New York city fuel gas code, as amended by local law number 126 for the year 2021, is amended to read as follows:</w:t>
      </w:r>
    </w:p>
    <w:p w14:paraId="08EC3D93"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r w:rsidRPr="00EC4EC4">
        <w:rPr>
          <w:rFonts w:eastAsia="Times New Roman" w:cs="Times New Roman"/>
          <w:b/>
          <w:bCs/>
          <w:szCs w:val="24"/>
        </w:rPr>
        <w:t xml:space="preserve">501.12 Residential and low-heat appliances flue lining systems. </w:t>
      </w:r>
      <w:r w:rsidRPr="00EC4EC4">
        <w:rPr>
          <w:rFonts w:eastAsia="Times New Roman" w:cs="Times New Roman"/>
          <w:szCs w:val="24"/>
        </w:rPr>
        <w:t>Flue lining systems for use with residential-type and low-heat appliances shall be limited to the following:</w:t>
      </w:r>
    </w:p>
    <w:p w14:paraId="6A02D7AA"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zCs w:val="24"/>
        </w:rPr>
      </w:pPr>
      <w:r w:rsidRPr="00EC4EC4">
        <w:rPr>
          <w:rFonts w:eastAsia="Times New Roman" w:cs="Times New Roman"/>
          <w:szCs w:val="24"/>
        </w:rPr>
        <w:t>1.</w:t>
      </w:r>
      <w:r w:rsidRPr="00EC4EC4">
        <w:rPr>
          <w:rFonts w:eastAsia="Times New Roman" w:cs="Times New Roman"/>
          <w:szCs w:val="24"/>
        </w:rPr>
        <w:tab/>
        <w:t xml:space="preserve">Clay flue lining complying with the requirements of ASTM C 315 or equivalent. Clay flue lining shall be installed in accordance with the </w:t>
      </w:r>
      <w:r w:rsidRPr="00EC4EC4">
        <w:rPr>
          <w:rFonts w:eastAsia="Times New Roman" w:cs="Times New Roman"/>
          <w:i/>
          <w:spacing w:val="1"/>
          <w:szCs w:val="24"/>
        </w:rPr>
        <w:t>New York City</w:t>
      </w:r>
      <w:r w:rsidRPr="00EC4EC4">
        <w:rPr>
          <w:rFonts w:eastAsia="Times New Roman" w:cs="Times New Roman"/>
          <w:i/>
          <w:szCs w:val="24"/>
        </w:rPr>
        <w:t xml:space="preserve"> Building Code.</w:t>
      </w:r>
    </w:p>
    <w:p w14:paraId="0A18757E"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Listed chimney lining systems complying with UL 1777</w:t>
      </w:r>
      <w:r w:rsidRPr="00EC4EC4">
        <w:rPr>
          <w:rFonts w:eastAsia="Times New Roman" w:cs="Times New Roman"/>
          <w:spacing w:val="1"/>
          <w:szCs w:val="24"/>
        </w:rPr>
        <w:t xml:space="preserve"> (new and existing chimneys) or ULC-S635 (existing chimneys) or ULC-S640 (new chimneys).</w:t>
      </w:r>
    </w:p>
    <w:p w14:paraId="6760295B"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b/>
          <w:bCs/>
          <w:szCs w:val="24"/>
        </w:rPr>
      </w:pPr>
      <w:r w:rsidRPr="00EC4EC4">
        <w:rPr>
          <w:rFonts w:eastAsia="Times New Roman" w:cs="Times New Roman"/>
          <w:szCs w:val="24"/>
        </w:rPr>
        <w:t>3.</w:t>
      </w:r>
      <w:r w:rsidRPr="00EC4EC4">
        <w:rPr>
          <w:rFonts w:eastAsia="Times New Roman" w:cs="Times New Roman"/>
          <w:szCs w:val="24"/>
        </w:rPr>
        <w:tab/>
        <w:t>Other approved materials that will resist, without cracking, softening or corrosion, flue gases and condensate at temperatures up to 1,800°F ([</w:t>
      </w:r>
      <w:r w:rsidRPr="00EC4EC4">
        <w:rPr>
          <w:rFonts w:eastAsia="Times New Roman" w:cs="Times New Roman"/>
          <w:strike/>
          <w:szCs w:val="24"/>
        </w:rPr>
        <w:t>182.2</w:t>
      </w:r>
      <w:r w:rsidRPr="00EC4EC4">
        <w:rPr>
          <w:rFonts w:eastAsia="Times New Roman" w:cs="Times New Roman"/>
          <w:szCs w:val="24"/>
        </w:rPr>
        <w:t xml:space="preserve">] </w:t>
      </w:r>
      <w:r w:rsidRPr="00EC4EC4">
        <w:rPr>
          <w:rFonts w:eastAsia="Times New Roman" w:cs="Times New Roman"/>
          <w:szCs w:val="24"/>
          <w:u w:val="single"/>
        </w:rPr>
        <w:t>982.2</w:t>
      </w:r>
      <w:r w:rsidRPr="00EC4EC4">
        <w:rPr>
          <w:rFonts w:eastAsia="Times New Roman" w:cs="Times New Roman"/>
          <w:szCs w:val="24"/>
        </w:rPr>
        <w:t>°C).</w:t>
      </w:r>
    </w:p>
    <w:p w14:paraId="6F1F65F1" w14:textId="54257BF6" w:rsidR="00140B7C" w:rsidRPr="00EC4EC4" w:rsidRDefault="00140B7C" w:rsidP="00140B7C">
      <w:pPr>
        <w:kinsoku w:val="0"/>
        <w:spacing w:after="240" w:line="240" w:lineRule="auto"/>
        <w:ind w:firstLine="720"/>
        <w:jc w:val="both"/>
        <w:rPr>
          <w:rFonts w:eastAsia="Times New Roman" w:cs="Times New Roman"/>
          <w:b/>
          <w:bCs/>
          <w:szCs w:val="24"/>
        </w:rPr>
      </w:pPr>
      <w:bookmarkStart w:id="260" w:name="_Hlk114644666"/>
      <w:bookmarkStart w:id="261" w:name="_Toc388003223"/>
      <w:r w:rsidRPr="00EC4EC4">
        <w:rPr>
          <w:rFonts w:cs="Times New Roman"/>
          <w:sz w:val="23"/>
          <w:szCs w:val="23"/>
        </w:rPr>
        <w:t>§</w:t>
      </w:r>
      <w:r>
        <w:rPr>
          <w:rFonts w:cs="Times New Roman"/>
          <w:sz w:val="23"/>
          <w:szCs w:val="23"/>
        </w:rPr>
        <w:t>3</w:t>
      </w:r>
      <w:r w:rsidR="00D662C6">
        <w:rPr>
          <w:rFonts w:cs="Times New Roman"/>
          <w:sz w:val="23"/>
          <w:szCs w:val="23"/>
        </w:rPr>
        <w:t>53</w:t>
      </w:r>
      <w:r w:rsidRPr="00EC4EC4">
        <w:rPr>
          <w:rFonts w:cs="Times New Roman"/>
          <w:sz w:val="23"/>
          <w:szCs w:val="23"/>
        </w:rPr>
        <w:t>. Section 503.5.4 of  the New York city fuel gas code, as amended by local law number 126 for the year 2021, is amended to read as follows:</w:t>
      </w:r>
    </w:p>
    <w:bookmarkEnd w:id="260"/>
    <w:p w14:paraId="2296BF3F"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r w:rsidRPr="00EC4EC4">
        <w:rPr>
          <w:rFonts w:eastAsia="Times New Roman" w:cs="Times New Roman"/>
          <w:b/>
          <w:bCs/>
          <w:szCs w:val="24"/>
        </w:rPr>
        <w:t>503.5.4 Chimney termination.</w:t>
      </w:r>
      <w:bookmarkEnd w:id="261"/>
      <w:r w:rsidRPr="00EC4EC4">
        <w:rPr>
          <w:rFonts w:eastAsia="Times New Roman" w:cs="Times New Roman"/>
          <w:b/>
          <w:bCs/>
          <w:spacing w:val="7"/>
          <w:w w:val="110"/>
          <w:szCs w:val="24"/>
        </w:rPr>
        <w:t xml:space="preserve"> </w:t>
      </w:r>
      <w:r w:rsidRPr="00EC4EC4">
        <w:rPr>
          <w:rFonts w:eastAsia="Times New Roman" w:cs="Times New Roman"/>
          <w:szCs w:val="24"/>
        </w:rPr>
        <w:t>Chimneys serving gas-fired equipment shall comply with the appliance listing, the manufacturer’s instructions, Figure 503.5.4 and the following requirements:</w:t>
      </w:r>
    </w:p>
    <w:p w14:paraId="0C338E8F"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b/>
          <w:bCs/>
          <w:szCs w:val="24"/>
        </w:rPr>
      </w:pPr>
      <w:r w:rsidRPr="00EC4EC4">
        <w:rPr>
          <w:rFonts w:eastAsia="Times New Roman" w:cs="Times New Roman"/>
          <w:spacing w:val="14"/>
          <w:szCs w:val="24"/>
        </w:rPr>
        <w:t>1.</w:t>
      </w:r>
      <w:r w:rsidRPr="00EC4EC4">
        <w:rPr>
          <w:rFonts w:eastAsia="Times New Roman" w:cs="Times New Roman"/>
          <w:spacing w:val="14"/>
          <w:szCs w:val="24"/>
        </w:rPr>
        <w:tab/>
      </w:r>
      <w:r w:rsidRPr="00EC4EC4">
        <w:rPr>
          <w:rFonts w:eastAsia="Times New Roman" w:cs="Times New Roman"/>
          <w:szCs w:val="24"/>
        </w:rPr>
        <w:t>Chimneys, vents and flues serving appliances or fireplaces with outlet temperatures less than 600°F (315.6 °C) shall extend not less than 3 feet (914.4 mm) above the highest construction, such as a roof ridge, parapet wall, or penthouse within 10 feet (3048 mm) of the chimney, vent or flue outlet, whether the construction is on the same building as the chimney or on another building. However, such constructions do not include other chimneys, vents, or open structural framing. Any chimneys, vents or flues located beyond 10 feet (3048 mm) from such construction, but not more than the distance determined by Equation 5-1, shall be at least as high as the construction.</w:t>
      </w:r>
    </w:p>
    <w:p w14:paraId="30F0C00B" w14:textId="77777777" w:rsidR="00140B7C" w:rsidRPr="00EC4EC4" w:rsidRDefault="00140B7C" w:rsidP="00140B7C">
      <w:pPr>
        <w:kinsoku w:val="0"/>
        <w:spacing w:after="240" w:line="240" w:lineRule="auto"/>
        <w:ind w:left="1080" w:hanging="360"/>
        <w:jc w:val="both"/>
        <w:rPr>
          <w:rFonts w:eastAsia="Times New Roman" w:cs="Times New Roman"/>
          <w:szCs w:val="24"/>
        </w:rPr>
      </w:pPr>
      <w:r w:rsidRPr="00EC4EC4">
        <w:rPr>
          <w:rFonts w:eastAsia="Times New Roman" w:cs="Times New Roman"/>
          <w:szCs w:val="24"/>
        </w:rPr>
        <w:t>2.</w:t>
      </w:r>
      <w:r w:rsidRPr="00EC4EC4">
        <w:rPr>
          <w:rFonts w:eastAsia="Times New Roman" w:cs="Times New Roman"/>
          <w:szCs w:val="24"/>
        </w:rPr>
        <w:tab/>
        <w:t>Chimneys serving appliances or fireplaces with outlet temperatures between 600°F (315.6°C) and 1000°F (537.8°C) shall extend not less than 10 feet (3048 mm) above the highest construction, such as a roof ridge, or parapet wall or penthouse within 20 feet (6096 mm) of the chimney outlet, whether the construction is on the same building as the chimney or on another building. However, such constructions do not include other chimneys, and vents or open structural framing. Any chimneys located beyond 20 feet (6096 mm) from such construction, but not more than the distance determined by Equation 5-1, shall be at least as high as the construction.</w:t>
      </w:r>
    </w:p>
    <w:p w14:paraId="1F043366" w14:textId="77777777" w:rsidR="00140B7C" w:rsidRPr="00EC4EC4" w:rsidRDefault="00140B7C" w:rsidP="00140B7C">
      <w:pPr>
        <w:kinsoku w:val="0"/>
        <w:spacing w:after="240" w:line="240" w:lineRule="auto"/>
        <w:ind w:left="1080" w:hanging="360"/>
        <w:jc w:val="both"/>
        <w:rPr>
          <w:rFonts w:eastAsia="Times New Roman" w:cs="Times New Roman"/>
          <w:b/>
          <w:bCs/>
          <w:szCs w:val="24"/>
        </w:rPr>
      </w:pPr>
      <w:r w:rsidRPr="00EC4EC4">
        <w:rPr>
          <w:rFonts w:eastAsia="Times New Roman" w:cs="Times New Roman"/>
          <w:spacing w:val="1"/>
          <w:szCs w:val="24"/>
        </w:rPr>
        <w:t>3.</w:t>
      </w:r>
      <w:r w:rsidRPr="00EC4EC4">
        <w:rPr>
          <w:rFonts w:eastAsia="Times New Roman" w:cs="Times New Roman"/>
          <w:spacing w:val="1"/>
          <w:szCs w:val="24"/>
        </w:rPr>
        <w:tab/>
        <w:t xml:space="preserve">Chimneys serving appliances or fireplaces </w:t>
      </w:r>
      <w:r w:rsidRPr="00EC4EC4">
        <w:rPr>
          <w:rFonts w:eastAsia="Times New Roman" w:cs="Times New Roman"/>
          <w:szCs w:val="24"/>
        </w:rPr>
        <w:t xml:space="preserve">with outlet temperatures </w:t>
      </w:r>
      <w:r w:rsidRPr="00EC4EC4">
        <w:rPr>
          <w:rFonts w:eastAsia="Times New Roman" w:cs="Times New Roman"/>
          <w:spacing w:val="1"/>
          <w:szCs w:val="24"/>
        </w:rPr>
        <w:t>greater than 1000°F (537.8°C) shall extend</w:t>
      </w:r>
      <w:r w:rsidRPr="00EC4EC4">
        <w:rPr>
          <w:rFonts w:eastAsia="Times New Roman" w:cs="Times New Roman"/>
          <w:szCs w:val="24"/>
        </w:rPr>
        <w:t xml:space="preserve"> not less than</w:t>
      </w:r>
      <w:r w:rsidRPr="00EC4EC4">
        <w:rPr>
          <w:rFonts w:eastAsia="Times New Roman" w:cs="Times New Roman"/>
          <w:spacing w:val="1"/>
          <w:szCs w:val="24"/>
        </w:rPr>
        <w:t xml:space="preserve"> 20 feet (6096 mm) above the highest construction, such as roof ridge, parapet wall, penthouse, or other obstruction within 50 feet (15 240 mm) of the chimney outlet, whether the construction is on the same building as the chimney or in another building. However, such constructions do not include other chimneys, vents, or open structural framing. Any chimneys located beyond 50 feet (15 240 mm) from such construction</w:t>
      </w:r>
      <w:r w:rsidRPr="00EC4EC4">
        <w:rPr>
          <w:rFonts w:eastAsia="Times New Roman" w:cs="Times New Roman"/>
          <w:szCs w:val="24"/>
        </w:rPr>
        <w:t>,</w:t>
      </w:r>
      <w:r w:rsidRPr="00EC4EC4">
        <w:rPr>
          <w:rFonts w:eastAsia="Times New Roman" w:cs="Times New Roman"/>
          <w:spacing w:val="1"/>
          <w:szCs w:val="24"/>
        </w:rPr>
        <w:t xml:space="preserve"> but not more than the distance determined by Equation 5-1</w:t>
      </w:r>
      <w:r w:rsidRPr="00EC4EC4">
        <w:rPr>
          <w:rFonts w:eastAsia="Times New Roman" w:cs="Times New Roman"/>
          <w:szCs w:val="24"/>
        </w:rPr>
        <w:t>,</w:t>
      </w:r>
      <w:r w:rsidRPr="00EC4EC4">
        <w:rPr>
          <w:rFonts w:eastAsia="Times New Roman" w:cs="Times New Roman"/>
          <w:spacing w:val="1"/>
          <w:szCs w:val="24"/>
        </w:rPr>
        <w:t xml:space="preserve"> shall be at least as high as the construction.</w:t>
      </w:r>
    </w:p>
    <w:p w14:paraId="7F349BE1" w14:textId="77777777" w:rsidR="00140B7C" w:rsidRPr="00EC4EC4" w:rsidRDefault="00140B7C" w:rsidP="00140B7C">
      <w:pPr>
        <w:kinsoku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4.</w:t>
      </w:r>
      <w:r w:rsidRPr="00EC4EC4">
        <w:rPr>
          <w:rFonts w:eastAsia="Times New Roman" w:cs="Times New Roman"/>
          <w:spacing w:val="1"/>
          <w:szCs w:val="24"/>
        </w:rPr>
        <w:tab/>
        <w:t xml:space="preserve">Termination caps shall not be permitted. A drain shall be installed in accordance with Section 801.22 of the </w:t>
      </w:r>
      <w:r w:rsidRPr="00EC4EC4">
        <w:rPr>
          <w:rFonts w:eastAsia="Times New Roman" w:cs="Times New Roman"/>
          <w:i/>
          <w:spacing w:val="1"/>
          <w:szCs w:val="24"/>
        </w:rPr>
        <w:t>New York City Mechanical Code.</w:t>
      </w:r>
      <w:r w:rsidRPr="00EC4EC4">
        <w:rPr>
          <w:rFonts w:eastAsia="Times New Roman" w:cs="Times New Roman"/>
          <w:spacing w:val="1"/>
          <w:szCs w:val="24"/>
        </w:rPr>
        <w:t xml:space="preserve"> A positive means shall be provided to prevent water from entering the appliance.</w:t>
      </w:r>
    </w:p>
    <w:p w14:paraId="204D000D" w14:textId="77777777" w:rsidR="00140B7C" w:rsidRPr="00EC4EC4" w:rsidRDefault="00140B7C" w:rsidP="00140B7C">
      <w:pPr>
        <w:autoSpaceDE w:val="0"/>
        <w:autoSpaceDN w:val="0"/>
        <w:adjustRightInd w:val="0"/>
        <w:spacing w:after="240" w:line="240" w:lineRule="auto"/>
        <w:ind w:left="1080"/>
        <w:jc w:val="both"/>
        <w:rPr>
          <w:rFonts w:eastAsia="Times New Roman" w:cs="Times New Roman"/>
          <w:spacing w:val="3"/>
          <w:szCs w:val="24"/>
        </w:rPr>
      </w:pPr>
      <w:r w:rsidRPr="00EC4EC4">
        <w:rPr>
          <w:rFonts w:eastAsia="Times New Roman" w:cs="Times New Roman"/>
          <w:b/>
          <w:szCs w:val="24"/>
        </w:rPr>
        <w:t>Exception:</w:t>
      </w:r>
      <w:r w:rsidRPr="00EC4EC4">
        <w:rPr>
          <w:rFonts w:eastAsia="Times New Roman" w:cs="Times New Roman"/>
          <w:b/>
          <w:bCs/>
          <w:spacing w:val="3"/>
          <w:w w:val="110"/>
          <w:szCs w:val="24"/>
        </w:rPr>
        <w:t xml:space="preserve"> </w:t>
      </w:r>
      <w:r w:rsidRPr="00EC4EC4">
        <w:rPr>
          <w:rFonts w:eastAsia="Times New Roman" w:cs="Times New Roman"/>
          <w:spacing w:val="3"/>
          <w:szCs w:val="24"/>
        </w:rPr>
        <w:t xml:space="preserve">Termination caps shall be permitted on listed factory-built chimneys unless otherwise prohibited by the </w:t>
      </w:r>
      <w:r w:rsidRPr="00EC4EC4">
        <w:rPr>
          <w:rFonts w:eastAsia="Times New Roman" w:cs="Times New Roman"/>
          <w:i/>
          <w:spacing w:val="3"/>
          <w:szCs w:val="24"/>
        </w:rPr>
        <w:t>New York City Air Pollution Control Code</w:t>
      </w:r>
      <w:r w:rsidRPr="00EC4EC4">
        <w:rPr>
          <w:rFonts w:eastAsia="Times New Roman" w:cs="Times New Roman"/>
          <w:spacing w:val="3"/>
          <w:szCs w:val="24"/>
        </w:rPr>
        <w:t>.</w:t>
      </w:r>
    </w:p>
    <w:p w14:paraId="4507A932"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pacing w:val="1"/>
          <w:szCs w:val="24"/>
        </w:rPr>
      </w:pPr>
      <w:r w:rsidRPr="00EC4EC4">
        <w:rPr>
          <w:rFonts w:eastAsia="Times New Roman" w:cs="Times New Roman"/>
          <w:spacing w:val="1"/>
          <w:szCs w:val="24"/>
        </w:rPr>
        <w:t>5.</w:t>
      </w:r>
      <w:r w:rsidRPr="00EC4EC4">
        <w:rPr>
          <w:rFonts w:eastAsia="Times New Roman" w:cs="Times New Roman"/>
          <w:spacing w:val="1"/>
          <w:szCs w:val="24"/>
        </w:rPr>
        <w:tab/>
        <w:t>Decorative shrouds shall not be installed at the termination of factory-built chimneys except where such shrouds are listed and labeled for use with the specific factory-built chimney system and are installed in accordance with the manufacturers’instructions.</w:t>
      </w:r>
    </w:p>
    <w:p w14:paraId="51F2BF06" w14:textId="77777777" w:rsidR="00140B7C" w:rsidRPr="00EC4EC4" w:rsidRDefault="00140B7C" w:rsidP="00140B7C">
      <w:pPr>
        <w:autoSpaceDE w:val="0"/>
        <w:autoSpaceDN w:val="0"/>
        <w:adjustRightInd w:val="0"/>
        <w:spacing w:after="240" w:line="240" w:lineRule="auto"/>
        <w:ind w:left="1080" w:hanging="360"/>
        <w:jc w:val="both"/>
        <w:rPr>
          <w:rFonts w:eastAsia="Times New Roman" w:cs="Times New Roman"/>
          <w:szCs w:val="24"/>
        </w:rPr>
      </w:pPr>
      <w:r w:rsidRPr="00EC4EC4">
        <w:rPr>
          <w:rFonts w:eastAsia="Times New Roman" w:cs="Times New Roman"/>
          <w:spacing w:val="2"/>
          <w:szCs w:val="24"/>
        </w:rPr>
        <w:t>6.</w:t>
      </w:r>
      <w:r w:rsidRPr="00EC4EC4">
        <w:rPr>
          <w:rFonts w:eastAsia="Times New Roman" w:cs="Times New Roman"/>
          <w:spacing w:val="2"/>
          <w:szCs w:val="24"/>
        </w:rPr>
        <w:tab/>
        <w:t xml:space="preserve">The following equation shall be used for determining </w:t>
      </w:r>
      <w:r w:rsidRPr="00EC4EC4">
        <w:rPr>
          <w:rFonts w:eastAsia="Times New Roman" w:cs="Times New Roman"/>
          <w:spacing w:val="-1"/>
          <w:szCs w:val="24"/>
        </w:rPr>
        <w:t>the distances referred to in Items 1, 2 and 3 of this sec</w:t>
      </w:r>
      <w:r w:rsidRPr="00EC4EC4">
        <w:rPr>
          <w:rFonts w:eastAsia="Times New Roman" w:cs="Times New Roman"/>
          <w:szCs w:val="24"/>
        </w:rPr>
        <w:t>tion.</w:t>
      </w:r>
    </w:p>
    <w:p w14:paraId="68973D8B" w14:textId="77777777" w:rsidR="00140B7C" w:rsidRPr="00EC4EC4" w:rsidRDefault="00140B7C" w:rsidP="00140B7C">
      <w:pPr>
        <w:widowControl w:val="0"/>
        <w:tabs>
          <w:tab w:val="right" w:pos="9360"/>
        </w:tabs>
        <w:autoSpaceDE w:val="0"/>
        <w:autoSpaceDN w:val="0"/>
        <w:adjustRightInd w:val="0"/>
        <w:spacing w:before="120" w:after="120" w:line="240" w:lineRule="auto"/>
        <w:ind w:left="720"/>
        <w:rPr>
          <w:rFonts w:eastAsia="Times New Roman" w:cs="Times New Roman"/>
          <w:b/>
          <w:spacing w:val="5"/>
          <w:szCs w:val="24"/>
        </w:rPr>
      </w:pPr>
      <m:oMath>
        <m:r>
          <m:rPr>
            <m:sty m:val="p"/>
          </m:rPr>
          <w:rPr>
            <w:rFonts w:ascii="Cambria Math" w:eastAsia="Times New Roman" w:hAnsi="Cambria Math" w:cs="Times New Roman"/>
            <w:spacing w:val="5"/>
            <w:szCs w:val="24"/>
          </w:rPr>
          <m:t>D=F ×</m:t>
        </m:r>
        <m:rad>
          <m:radPr>
            <m:degHide m:val="1"/>
            <m:ctrlPr>
              <w:rPr>
                <w:rFonts w:ascii="Cambria Math" w:eastAsia="Times New Roman" w:hAnsi="Cambria Math" w:cs="Times New Roman"/>
                <w:spacing w:val="5"/>
                <w:szCs w:val="24"/>
              </w:rPr>
            </m:ctrlPr>
          </m:radPr>
          <m:deg/>
          <m:e>
            <m:r>
              <m:rPr>
                <m:sty m:val="p"/>
              </m:rPr>
              <w:rPr>
                <w:rFonts w:ascii="Cambria Math" w:eastAsia="Times New Roman" w:hAnsi="Cambria Math" w:cs="Times New Roman"/>
                <w:spacing w:val="5"/>
                <w:szCs w:val="24"/>
              </w:rPr>
              <m:t>A</m:t>
            </m:r>
          </m:e>
        </m:rad>
      </m:oMath>
      <w:r w:rsidRPr="00EC4EC4">
        <w:rPr>
          <w:rFonts w:eastAsia="Times New Roman" w:cs="Times New Roman"/>
          <w:b/>
          <w:spacing w:val="5"/>
          <w:szCs w:val="24"/>
        </w:rPr>
        <w:tab/>
        <w:t>(Equation 5-1)</w:t>
      </w:r>
    </w:p>
    <w:p w14:paraId="0D20DAB6" w14:textId="77777777" w:rsidR="00140B7C" w:rsidRPr="00EC4EC4" w:rsidRDefault="00140B7C" w:rsidP="00140B7C">
      <w:pPr>
        <w:widowControl w:val="0"/>
        <w:autoSpaceDE w:val="0"/>
        <w:autoSpaceDN w:val="0"/>
        <w:adjustRightInd w:val="0"/>
        <w:spacing w:before="120" w:after="120" w:line="240" w:lineRule="auto"/>
        <w:ind w:left="1080"/>
        <w:rPr>
          <w:rFonts w:eastAsia="Times New Roman" w:cs="Times New Roman"/>
          <w:szCs w:val="24"/>
        </w:rPr>
      </w:pPr>
      <w:r w:rsidRPr="00EC4EC4">
        <w:rPr>
          <w:rFonts w:eastAsia="Times New Roman" w:cs="Times New Roman"/>
          <w:szCs w:val="24"/>
        </w:rPr>
        <w:t>where:</w:t>
      </w:r>
    </w:p>
    <w:p w14:paraId="40732A18" w14:textId="77777777" w:rsidR="00140B7C" w:rsidRPr="00EC4EC4" w:rsidRDefault="00140B7C" w:rsidP="00140B7C">
      <w:pPr>
        <w:autoSpaceDE w:val="0"/>
        <w:autoSpaceDN w:val="0"/>
        <w:adjustRightInd w:val="0"/>
        <w:spacing w:after="240" w:line="240" w:lineRule="auto"/>
        <w:ind w:left="1987" w:hanging="547"/>
        <w:jc w:val="both"/>
        <w:rPr>
          <w:rFonts w:eastAsia="Times New Roman" w:cs="Times New Roman"/>
          <w:szCs w:val="24"/>
        </w:rPr>
      </w:pPr>
      <m:oMath>
        <m:r>
          <m:rPr>
            <m:sty m:val="p"/>
          </m:rPr>
          <w:rPr>
            <w:rFonts w:ascii="Cambria Math" w:eastAsia="Times New Roman" w:hAnsi="Cambria Math" w:cs="Times New Roman"/>
            <w:spacing w:val="1"/>
            <w:szCs w:val="24"/>
          </w:rPr>
          <m:t>D =</m:t>
        </m:r>
      </m:oMath>
      <w:r w:rsidRPr="00EC4EC4">
        <w:rPr>
          <w:rFonts w:eastAsia="Times New Roman" w:cs="Times New Roman"/>
          <w:iCs/>
          <w:spacing w:val="1"/>
          <w:szCs w:val="24"/>
        </w:rPr>
        <w:tab/>
      </w:r>
      <w:r w:rsidRPr="00EC4EC4">
        <w:rPr>
          <w:rFonts w:eastAsia="Times New Roman" w:cs="Times New Roman"/>
          <w:spacing w:val="1"/>
          <w:szCs w:val="24"/>
        </w:rPr>
        <w:t xml:space="preserve">Distance, in feet, measured from the center of the </w:t>
      </w:r>
      <w:r w:rsidRPr="00EC4EC4">
        <w:rPr>
          <w:rFonts w:eastAsia="Times New Roman" w:cs="Times New Roman"/>
          <w:szCs w:val="24"/>
        </w:rPr>
        <w:t>chimney, vent or flue outlet to the nearest edge of the construction. If a single chimney is divided into multiple smaller flues or chimneys, measure from the center of the chimney outlet that is closest to the nearest edge of the construction.</w:t>
      </w:r>
    </w:p>
    <w:p w14:paraId="1D22BA7B" w14:textId="77777777" w:rsidR="00140B7C" w:rsidRPr="00EC4EC4" w:rsidRDefault="00140B7C" w:rsidP="00140B7C">
      <w:pPr>
        <w:autoSpaceDE w:val="0"/>
        <w:autoSpaceDN w:val="0"/>
        <w:adjustRightInd w:val="0"/>
        <w:spacing w:after="240" w:line="240" w:lineRule="auto"/>
        <w:ind w:left="1987" w:hanging="547"/>
        <w:jc w:val="both"/>
        <w:rPr>
          <w:rFonts w:eastAsia="Times New Roman" w:cs="Times New Roman"/>
          <w:spacing w:val="5"/>
          <w:szCs w:val="24"/>
        </w:rPr>
      </w:pPr>
      <m:oMath>
        <m:r>
          <m:rPr>
            <m:sty m:val="p"/>
          </m:rPr>
          <w:rPr>
            <w:rFonts w:ascii="Cambria Math" w:eastAsia="Times New Roman" w:hAnsi="Cambria Math" w:cs="Times New Roman"/>
            <w:spacing w:val="5"/>
            <w:szCs w:val="24"/>
          </w:rPr>
          <m:t>F =</m:t>
        </m:r>
      </m:oMath>
      <w:r w:rsidRPr="00EC4EC4">
        <w:rPr>
          <w:rFonts w:eastAsia="Times New Roman" w:cs="Times New Roman"/>
          <w:iCs/>
          <w:spacing w:val="5"/>
          <w:szCs w:val="24"/>
        </w:rPr>
        <w:tab/>
      </w:r>
      <w:r w:rsidRPr="00EC4EC4">
        <w:rPr>
          <w:rFonts w:eastAsia="Times New Roman" w:cs="Times New Roman"/>
          <w:spacing w:val="5"/>
          <w:szCs w:val="24"/>
        </w:rPr>
        <w:t>Value determined from table below.</w:t>
      </w:r>
    </w:p>
    <w:p w14:paraId="5858B967" w14:textId="77777777" w:rsidR="00140B7C" w:rsidRPr="00EC4EC4" w:rsidRDefault="00140B7C" w:rsidP="00140B7C">
      <w:pPr>
        <w:autoSpaceDE w:val="0"/>
        <w:autoSpaceDN w:val="0"/>
        <w:adjustRightInd w:val="0"/>
        <w:spacing w:after="240" w:line="240" w:lineRule="auto"/>
        <w:ind w:left="1987" w:hanging="547"/>
        <w:jc w:val="both"/>
        <w:rPr>
          <w:rFonts w:eastAsia="Times New Roman" w:cs="Times New Roman"/>
          <w:szCs w:val="24"/>
        </w:rPr>
      </w:pPr>
      <m:oMath>
        <m:r>
          <m:rPr>
            <m:sty m:val="p"/>
          </m:rPr>
          <w:rPr>
            <w:rFonts w:ascii="Cambria Math" w:eastAsia="Times New Roman" w:hAnsi="Cambria Math" w:cs="Times New Roman"/>
            <w:spacing w:val="2"/>
            <w:szCs w:val="24"/>
          </w:rPr>
          <m:t>A =</m:t>
        </m:r>
      </m:oMath>
      <w:r w:rsidRPr="00EC4EC4">
        <w:rPr>
          <w:rFonts w:eastAsia="Times New Roman" w:cs="Times New Roman"/>
          <w:iCs/>
          <w:spacing w:val="2"/>
          <w:szCs w:val="24"/>
        </w:rPr>
        <w:tab/>
      </w:r>
      <w:r w:rsidRPr="00EC4EC4">
        <w:rPr>
          <w:rFonts w:eastAsia="Times New Roman" w:cs="Times New Roman"/>
          <w:spacing w:val="2"/>
          <w:szCs w:val="24"/>
        </w:rPr>
        <w:t xml:space="preserve">Free area, in square inches, of chimney flue </w:t>
      </w:r>
      <w:r w:rsidRPr="00EC4EC4">
        <w:rPr>
          <w:rFonts w:eastAsia="Times New Roman" w:cs="Times New Roman"/>
          <w:szCs w:val="24"/>
        </w:rPr>
        <w:t>space outlet. If a single chimney is divided into multiple smaller flues or chimneys, the total aggregate free area of such flue and chimney outlets shall be used to calculate “A”.</w:t>
      </w:r>
    </w:p>
    <w:tbl>
      <w:tblPr>
        <w:tblW w:w="5000" w:type="pct"/>
        <w:jc w:val="center"/>
        <w:tblCellMar>
          <w:left w:w="0" w:type="dxa"/>
          <w:right w:w="0" w:type="dxa"/>
        </w:tblCellMar>
        <w:tblLook w:val="04A0" w:firstRow="1" w:lastRow="0" w:firstColumn="1" w:lastColumn="0" w:noHBand="0" w:noVBand="1"/>
      </w:tblPr>
      <w:tblGrid>
        <w:gridCol w:w="2103"/>
        <w:gridCol w:w="2372"/>
        <w:gridCol w:w="2299"/>
        <w:gridCol w:w="2580"/>
      </w:tblGrid>
      <w:tr w:rsidR="00140B7C" w:rsidRPr="00EC4EC4" w14:paraId="0F543A6A" w14:textId="77777777" w:rsidTr="00BC1087">
        <w:trPr>
          <w:cantSplit/>
          <w:trHeight w:val="326"/>
          <w:tblHeader/>
          <w:jc w:val="center"/>
        </w:trPr>
        <w:tc>
          <w:tcPr>
            <w:tcW w:w="5000" w:type="pct"/>
            <w:gridSpan w:val="4"/>
            <w:tcBorders>
              <w:top w:val="single" w:sz="2" w:space="0" w:color="auto"/>
              <w:left w:val="single" w:sz="2" w:space="0" w:color="auto"/>
              <w:bottom w:val="single" w:sz="2" w:space="0" w:color="auto"/>
              <w:right w:val="single" w:sz="2" w:space="0" w:color="auto"/>
            </w:tcBorders>
            <w:vAlign w:val="bottom"/>
            <w:hideMark/>
          </w:tcPr>
          <w:p w14:paraId="5ECD9183"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sz w:val="20"/>
                <w:szCs w:val="20"/>
              </w:rPr>
            </w:pPr>
            <w:r w:rsidRPr="00EC4EC4">
              <w:rPr>
                <w:rFonts w:eastAsia="Times New Roman" w:cs="Times New Roman"/>
                <w:b/>
                <w:bCs/>
                <w:sz w:val="20"/>
                <w:szCs w:val="20"/>
              </w:rPr>
              <w:t xml:space="preserve"> “F” FACTOR FOR DETERMINING CHIMNEY DISTANCES</w:t>
            </w:r>
          </w:p>
        </w:tc>
      </w:tr>
      <w:tr w:rsidR="00140B7C" w:rsidRPr="00EC4EC4" w14:paraId="749D2669" w14:textId="77777777" w:rsidTr="00BC1087">
        <w:trPr>
          <w:cantSplit/>
          <w:trHeight w:hRule="exact" w:val="317"/>
          <w:tblHeader/>
          <w:jc w:val="center"/>
        </w:trPr>
        <w:tc>
          <w:tcPr>
            <w:tcW w:w="1124" w:type="pct"/>
            <w:tcBorders>
              <w:top w:val="single" w:sz="2" w:space="0" w:color="auto"/>
              <w:left w:val="single" w:sz="2" w:space="0" w:color="auto"/>
              <w:bottom w:val="single" w:sz="2" w:space="0" w:color="auto"/>
              <w:right w:val="single" w:sz="2" w:space="0" w:color="auto"/>
            </w:tcBorders>
            <w:vAlign w:val="bottom"/>
            <w:hideMark/>
          </w:tcPr>
          <w:p w14:paraId="2D51B699"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sz w:val="20"/>
                <w:szCs w:val="20"/>
              </w:rPr>
            </w:pPr>
            <w:r w:rsidRPr="00EC4EC4">
              <w:rPr>
                <w:rFonts w:eastAsia="Times New Roman" w:cs="Times New Roman"/>
                <w:b/>
                <w:bCs/>
                <w:sz w:val="20"/>
                <w:szCs w:val="20"/>
              </w:rPr>
              <w:t>Type of Fuel</w:t>
            </w:r>
          </w:p>
        </w:tc>
        <w:tc>
          <w:tcPr>
            <w:tcW w:w="3876" w:type="pct"/>
            <w:gridSpan w:val="3"/>
            <w:tcBorders>
              <w:top w:val="single" w:sz="2" w:space="0" w:color="auto"/>
              <w:left w:val="single" w:sz="2" w:space="0" w:color="auto"/>
              <w:bottom w:val="single" w:sz="2" w:space="0" w:color="auto"/>
              <w:right w:val="single" w:sz="2" w:space="0" w:color="auto"/>
            </w:tcBorders>
            <w:vAlign w:val="bottom"/>
            <w:hideMark/>
          </w:tcPr>
          <w:p w14:paraId="32D6C700"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sz w:val="20"/>
                <w:szCs w:val="20"/>
              </w:rPr>
            </w:pPr>
            <w:r w:rsidRPr="00EC4EC4">
              <w:rPr>
                <w:rFonts w:eastAsia="Times New Roman" w:cs="Times New Roman"/>
                <w:b/>
                <w:bCs/>
                <w:sz w:val="20"/>
                <w:szCs w:val="20"/>
              </w:rPr>
              <w:t>“F” Factor</w:t>
            </w:r>
          </w:p>
        </w:tc>
      </w:tr>
      <w:tr w:rsidR="00140B7C" w:rsidRPr="00EC4EC4" w14:paraId="4EB6C149" w14:textId="77777777" w:rsidTr="00BC1087">
        <w:trPr>
          <w:cantSplit/>
          <w:trHeight w:hRule="exact" w:val="932"/>
          <w:tblHeader/>
          <w:jc w:val="center"/>
        </w:trPr>
        <w:tc>
          <w:tcPr>
            <w:tcW w:w="1124" w:type="pct"/>
            <w:tcBorders>
              <w:top w:val="single" w:sz="2" w:space="0" w:color="auto"/>
              <w:left w:val="single" w:sz="2" w:space="0" w:color="auto"/>
              <w:bottom w:val="single" w:sz="2" w:space="0" w:color="auto"/>
              <w:right w:val="single" w:sz="2" w:space="0" w:color="auto"/>
            </w:tcBorders>
            <w:vAlign w:val="bottom"/>
          </w:tcPr>
          <w:p w14:paraId="4BD77B10"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sz w:val="20"/>
                <w:szCs w:val="20"/>
              </w:rPr>
            </w:pPr>
          </w:p>
        </w:tc>
        <w:tc>
          <w:tcPr>
            <w:tcW w:w="1268" w:type="pct"/>
            <w:tcBorders>
              <w:top w:val="single" w:sz="2" w:space="0" w:color="auto"/>
              <w:left w:val="single" w:sz="2" w:space="0" w:color="auto"/>
              <w:bottom w:val="single" w:sz="2" w:space="0" w:color="auto"/>
              <w:right w:val="single" w:sz="2" w:space="0" w:color="auto"/>
            </w:tcBorders>
            <w:vAlign w:val="bottom"/>
            <w:hideMark/>
          </w:tcPr>
          <w:p w14:paraId="2498E477"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sz w:val="20"/>
                <w:szCs w:val="20"/>
              </w:rPr>
            </w:pPr>
            <w:r w:rsidRPr="00EC4EC4">
              <w:rPr>
                <w:rFonts w:eastAsia="Times New Roman" w:cs="Times New Roman"/>
                <w:b/>
                <w:bCs/>
                <w:sz w:val="20"/>
                <w:szCs w:val="20"/>
              </w:rPr>
              <w:t>600°F (315.6°C )</w:t>
            </w:r>
            <w:r w:rsidRPr="00EC4EC4">
              <w:rPr>
                <w:rFonts w:eastAsia="Times New Roman" w:cs="Times New Roman"/>
                <w:b/>
                <w:bCs/>
                <w:sz w:val="20"/>
                <w:szCs w:val="20"/>
              </w:rPr>
              <w:br/>
              <w:t>and less</w:t>
            </w:r>
          </w:p>
        </w:tc>
        <w:tc>
          <w:tcPr>
            <w:tcW w:w="1229" w:type="pct"/>
            <w:tcBorders>
              <w:top w:val="single" w:sz="2" w:space="0" w:color="auto"/>
              <w:left w:val="single" w:sz="2" w:space="0" w:color="auto"/>
              <w:bottom w:val="single" w:sz="2" w:space="0" w:color="auto"/>
              <w:right w:val="single" w:sz="2" w:space="0" w:color="auto"/>
            </w:tcBorders>
            <w:vAlign w:val="bottom"/>
            <w:hideMark/>
          </w:tcPr>
          <w:p w14:paraId="18815FEE"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b/>
                <w:bCs/>
                <w:sz w:val="20"/>
                <w:szCs w:val="20"/>
              </w:rPr>
            </w:pPr>
            <w:r w:rsidRPr="00EC4EC4">
              <w:rPr>
                <w:rFonts w:eastAsia="Times New Roman" w:cs="Times New Roman"/>
                <w:b/>
                <w:bCs/>
                <w:sz w:val="20"/>
                <w:szCs w:val="20"/>
              </w:rPr>
              <w:t>600°F ([315,6]</w:t>
            </w:r>
            <w:r w:rsidRPr="00EC4EC4">
              <w:rPr>
                <w:rFonts w:eastAsia="Times New Roman" w:cs="Times New Roman"/>
                <w:b/>
                <w:bCs/>
                <w:sz w:val="20"/>
                <w:szCs w:val="20"/>
                <w:u w:val="single"/>
              </w:rPr>
              <w:t>315.6</w:t>
            </w:r>
            <w:r w:rsidRPr="00EC4EC4">
              <w:rPr>
                <w:rFonts w:eastAsia="Times New Roman" w:cs="Times New Roman"/>
                <w:b/>
                <w:bCs/>
                <w:sz w:val="20"/>
                <w:szCs w:val="20"/>
              </w:rPr>
              <w:t>°C ) to</w:t>
            </w:r>
            <w:r w:rsidRPr="00EC4EC4">
              <w:rPr>
                <w:rFonts w:eastAsia="Times New Roman" w:cs="Times New Roman"/>
                <w:b/>
                <w:bCs/>
                <w:sz w:val="20"/>
                <w:szCs w:val="20"/>
              </w:rPr>
              <w:br/>
              <w:t>1000°F (537.8°C)</w:t>
            </w:r>
          </w:p>
        </w:tc>
        <w:tc>
          <w:tcPr>
            <w:tcW w:w="1379" w:type="pct"/>
            <w:tcBorders>
              <w:top w:val="single" w:sz="2" w:space="0" w:color="auto"/>
              <w:left w:val="single" w:sz="2" w:space="0" w:color="auto"/>
              <w:bottom w:val="single" w:sz="2" w:space="0" w:color="auto"/>
              <w:right w:val="single" w:sz="2" w:space="0" w:color="auto"/>
            </w:tcBorders>
            <w:vAlign w:val="bottom"/>
            <w:hideMark/>
          </w:tcPr>
          <w:p w14:paraId="3649F7DE" w14:textId="77777777" w:rsidR="00140B7C" w:rsidRPr="00EC4EC4" w:rsidRDefault="00140B7C" w:rsidP="00BC1087">
            <w:pPr>
              <w:widowControl w:val="0"/>
              <w:autoSpaceDE w:val="0"/>
              <w:autoSpaceDN w:val="0"/>
              <w:adjustRightInd w:val="0"/>
              <w:spacing w:after="0" w:line="240" w:lineRule="auto"/>
              <w:ind w:left="108" w:right="144" w:firstLine="72"/>
              <w:jc w:val="center"/>
              <w:rPr>
                <w:rFonts w:eastAsia="Times New Roman" w:cs="Times New Roman"/>
                <w:b/>
                <w:bCs/>
                <w:spacing w:val="-4"/>
                <w:sz w:val="20"/>
                <w:szCs w:val="20"/>
              </w:rPr>
            </w:pPr>
            <w:r w:rsidRPr="00EC4EC4">
              <w:rPr>
                <w:rFonts w:eastAsia="Times New Roman" w:cs="Times New Roman"/>
                <w:b/>
                <w:bCs/>
                <w:sz w:val="20"/>
                <w:szCs w:val="20"/>
              </w:rPr>
              <w:t xml:space="preserve">Greater than </w:t>
            </w:r>
            <w:r w:rsidRPr="00EC4EC4">
              <w:rPr>
                <w:rFonts w:eastAsia="Times New Roman" w:cs="Times New Roman"/>
                <w:b/>
                <w:bCs/>
                <w:spacing w:val="-4"/>
                <w:sz w:val="20"/>
                <w:szCs w:val="20"/>
              </w:rPr>
              <w:t>1000°F (537.8°C)</w:t>
            </w:r>
          </w:p>
        </w:tc>
      </w:tr>
      <w:tr w:rsidR="00140B7C" w:rsidRPr="00EC4EC4" w14:paraId="3B4AAEF3" w14:textId="77777777" w:rsidTr="00BC1087">
        <w:trPr>
          <w:trHeight w:hRule="exact" w:val="370"/>
          <w:jc w:val="center"/>
        </w:trPr>
        <w:tc>
          <w:tcPr>
            <w:tcW w:w="1124" w:type="pct"/>
            <w:tcBorders>
              <w:top w:val="single" w:sz="2" w:space="0" w:color="auto"/>
              <w:left w:val="single" w:sz="2" w:space="0" w:color="auto"/>
              <w:bottom w:val="single" w:sz="2" w:space="0" w:color="auto"/>
              <w:right w:val="single" w:sz="2" w:space="0" w:color="auto"/>
            </w:tcBorders>
            <w:vAlign w:val="center"/>
            <w:hideMark/>
          </w:tcPr>
          <w:p w14:paraId="5421EBDA"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sz w:val="20"/>
                <w:szCs w:val="20"/>
              </w:rPr>
            </w:pPr>
            <w:r w:rsidRPr="00EC4EC4">
              <w:rPr>
                <w:rFonts w:eastAsia="Times New Roman" w:cs="Times New Roman"/>
                <w:sz w:val="20"/>
                <w:szCs w:val="20"/>
              </w:rPr>
              <w:t>Gas</w:t>
            </w:r>
          </w:p>
        </w:tc>
        <w:tc>
          <w:tcPr>
            <w:tcW w:w="1268" w:type="pct"/>
            <w:tcBorders>
              <w:top w:val="single" w:sz="2" w:space="0" w:color="auto"/>
              <w:left w:val="single" w:sz="2" w:space="0" w:color="auto"/>
              <w:bottom w:val="single" w:sz="2" w:space="0" w:color="auto"/>
              <w:right w:val="single" w:sz="2" w:space="0" w:color="auto"/>
            </w:tcBorders>
            <w:vAlign w:val="center"/>
            <w:hideMark/>
          </w:tcPr>
          <w:p w14:paraId="3461FE56"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sz w:val="20"/>
                <w:szCs w:val="20"/>
              </w:rPr>
            </w:pPr>
            <w:r w:rsidRPr="00EC4EC4">
              <w:rPr>
                <w:rFonts w:eastAsia="Times New Roman" w:cs="Times New Roman"/>
                <w:sz w:val="20"/>
                <w:szCs w:val="20"/>
              </w:rPr>
              <w:t>2</w:t>
            </w:r>
          </w:p>
        </w:tc>
        <w:tc>
          <w:tcPr>
            <w:tcW w:w="1229" w:type="pct"/>
            <w:tcBorders>
              <w:top w:val="single" w:sz="2" w:space="0" w:color="auto"/>
              <w:left w:val="single" w:sz="2" w:space="0" w:color="auto"/>
              <w:bottom w:val="single" w:sz="2" w:space="0" w:color="auto"/>
              <w:right w:val="single" w:sz="2" w:space="0" w:color="auto"/>
            </w:tcBorders>
            <w:vAlign w:val="center"/>
            <w:hideMark/>
          </w:tcPr>
          <w:p w14:paraId="2E66F18D"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sz w:val="20"/>
                <w:szCs w:val="20"/>
              </w:rPr>
            </w:pPr>
            <w:r w:rsidRPr="00EC4EC4">
              <w:rPr>
                <w:rFonts w:eastAsia="Times New Roman" w:cs="Times New Roman"/>
                <w:sz w:val="20"/>
                <w:szCs w:val="20"/>
              </w:rPr>
              <w:t>2</w:t>
            </w:r>
          </w:p>
        </w:tc>
        <w:tc>
          <w:tcPr>
            <w:tcW w:w="1379" w:type="pct"/>
            <w:tcBorders>
              <w:top w:val="single" w:sz="2" w:space="0" w:color="auto"/>
              <w:left w:val="single" w:sz="2" w:space="0" w:color="auto"/>
              <w:bottom w:val="single" w:sz="2" w:space="0" w:color="auto"/>
              <w:right w:val="single" w:sz="2" w:space="0" w:color="auto"/>
            </w:tcBorders>
            <w:vAlign w:val="center"/>
            <w:hideMark/>
          </w:tcPr>
          <w:p w14:paraId="3E4D6C90" w14:textId="77777777" w:rsidR="00140B7C" w:rsidRPr="00EC4EC4" w:rsidRDefault="00140B7C" w:rsidP="00BC1087">
            <w:pPr>
              <w:widowControl w:val="0"/>
              <w:autoSpaceDE w:val="0"/>
              <w:autoSpaceDN w:val="0"/>
              <w:adjustRightInd w:val="0"/>
              <w:spacing w:after="0" w:line="240" w:lineRule="auto"/>
              <w:jc w:val="center"/>
              <w:rPr>
                <w:rFonts w:eastAsia="Times New Roman" w:cs="Times New Roman"/>
                <w:sz w:val="20"/>
                <w:szCs w:val="20"/>
              </w:rPr>
            </w:pPr>
            <w:r w:rsidRPr="00EC4EC4">
              <w:rPr>
                <w:rFonts w:eastAsia="Times New Roman" w:cs="Times New Roman"/>
                <w:sz w:val="20"/>
                <w:szCs w:val="20"/>
              </w:rPr>
              <w:t>3</w:t>
            </w:r>
          </w:p>
        </w:tc>
      </w:tr>
    </w:tbl>
    <w:p w14:paraId="3B266390" w14:textId="77777777" w:rsidR="00140B7C" w:rsidRPr="00EC4EC4" w:rsidRDefault="00140B7C" w:rsidP="00140B7C">
      <w:pPr>
        <w:autoSpaceDE w:val="0"/>
        <w:autoSpaceDN w:val="0"/>
        <w:adjustRightInd w:val="0"/>
        <w:spacing w:after="240" w:line="240" w:lineRule="auto"/>
        <w:jc w:val="both"/>
        <w:rPr>
          <w:rFonts w:eastAsia="Times New Roman" w:cs="Times New Roman"/>
          <w:b/>
          <w:bCs/>
          <w:szCs w:val="24"/>
          <w:u w:val="single"/>
        </w:rPr>
      </w:pPr>
    </w:p>
    <w:p w14:paraId="4AC6697F" w14:textId="77777777" w:rsidR="00140B7C" w:rsidRPr="00EC4EC4" w:rsidRDefault="00140B7C" w:rsidP="00140B7C">
      <w:pPr>
        <w:spacing w:after="0" w:line="240" w:lineRule="auto"/>
        <w:rPr>
          <w:rFonts w:eastAsia="Times New Roman" w:cs="Times New Roman"/>
          <w:bCs/>
          <w:spacing w:val="-6"/>
          <w:w w:val="110"/>
          <w:szCs w:val="24"/>
        </w:rPr>
        <w:sectPr w:rsidR="00140B7C" w:rsidRPr="00EC4EC4" w:rsidSect="00E809C7">
          <w:footerReference w:type="default" r:id="rId23"/>
          <w:type w:val="continuous"/>
          <w:pgSz w:w="12240" w:h="15840" w:code="1"/>
          <w:pgMar w:top="1440" w:right="1440" w:bottom="1440" w:left="1440" w:header="720" w:footer="720" w:gutter="0"/>
          <w:lnNumType w:countBy="1"/>
          <w:cols w:space="720"/>
          <w:titlePg/>
          <w:docGrid w:linePitch="326"/>
        </w:sectPr>
      </w:pPr>
    </w:p>
    <w:p w14:paraId="38CA1357" w14:textId="77777777" w:rsidR="00140B7C" w:rsidRDefault="00140B7C" w:rsidP="00140B7C">
      <w:pPr>
        <w:pStyle w:val="FlushLeft"/>
        <w:spacing w:after="0"/>
        <w:rPr>
          <w:sz w:val="23"/>
          <w:szCs w:val="23"/>
        </w:rPr>
      </w:pPr>
    </w:p>
    <w:p w14:paraId="3B54C127" w14:textId="36A30183" w:rsidR="00140B7C" w:rsidRDefault="00140B7C" w:rsidP="00140B7C">
      <w:pPr>
        <w:pStyle w:val="FlushLeft"/>
        <w:spacing w:after="0"/>
        <w:ind w:firstLine="720"/>
        <w:rPr>
          <w:b/>
          <w:bCs/>
          <w:szCs w:val="24"/>
          <w:u w:val="single"/>
        </w:rPr>
      </w:pPr>
      <w:r w:rsidRPr="00EC4EC4">
        <w:rPr>
          <w:sz w:val="23"/>
          <w:szCs w:val="23"/>
        </w:rPr>
        <w:t>§</w:t>
      </w:r>
      <w:r>
        <w:rPr>
          <w:sz w:val="23"/>
          <w:szCs w:val="23"/>
        </w:rPr>
        <w:t>35</w:t>
      </w:r>
      <w:r w:rsidR="00D254C4">
        <w:rPr>
          <w:sz w:val="23"/>
          <w:szCs w:val="23"/>
        </w:rPr>
        <w:t>4</w:t>
      </w:r>
      <w:r w:rsidRPr="00EC4EC4">
        <w:rPr>
          <w:sz w:val="23"/>
          <w:szCs w:val="23"/>
        </w:rPr>
        <w:t xml:space="preserve">. </w:t>
      </w:r>
      <w:r>
        <w:rPr>
          <w:sz w:val="23"/>
          <w:szCs w:val="23"/>
        </w:rPr>
        <w:t>S</w:t>
      </w:r>
      <w:r w:rsidRPr="00EC4EC4">
        <w:rPr>
          <w:sz w:val="23"/>
          <w:szCs w:val="23"/>
        </w:rPr>
        <w:t xml:space="preserve">ection </w:t>
      </w:r>
      <w:r>
        <w:rPr>
          <w:sz w:val="23"/>
          <w:szCs w:val="23"/>
        </w:rPr>
        <w:t xml:space="preserve">503.5.6.4 </w:t>
      </w:r>
      <w:r w:rsidRPr="00EC4EC4">
        <w:rPr>
          <w:sz w:val="23"/>
          <w:szCs w:val="23"/>
        </w:rPr>
        <w:t xml:space="preserve">of the New York city </w:t>
      </w:r>
      <w:r>
        <w:rPr>
          <w:sz w:val="23"/>
          <w:szCs w:val="23"/>
        </w:rPr>
        <w:t xml:space="preserve">fuel gas </w:t>
      </w:r>
      <w:r w:rsidRPr="00EC4EC4">
        <w:rPr>
          <w:sz w:val="23"/>
          <w:szCs w:val="23"/>
        </w:rPr>
        <w:t>code, as a</w:t>
      </w:r>
      <w:r>
        <w:rPr>
          <w:sz w:val="23"/>
          <w:szCs w:val="23"/>
        </w:rPr>
        <w:t xml:space="preserve">mended </w:t>
      </w:r>
      <w:r w:rsidRPr="00EC4EC4">
        <w:rPr>
          <w:sz w:val="23"/>
          <w:szCs w:val="23"/>
        </w:rPr>
        <w:t xml:space="preserve">by local law number </w:t>
      </w:r>
      <w:r>
        <w:rPr>
          <w:sz w:val="23"/>
          <w:szCs w:val="23"/>
        </w:rPr>
        <w:t>126</w:t>
      </w:r>
      <w:r w:rsidRPr="00EC4EC4">
        <w:rPr>
          <w:sz w:val="23"/>
          <w:szCs w:val="23"/>
        </w:rPr>
        <w:t xml:space="preserve"> for the year </w:t>
      </w:r>
      <w:r>
        <w:rPr>
          <w:sz w:val="23"/>
          <w:szCs w:val="23"/>
        </w:rPr>
        <w:t>2021</w:t>
      </w:r>
      <w:r w:rsidRPr="00EC4EC4">
        <w:rPr>
          <w:sz w:val="23"/>
          <w:szCs w:val="23"/>
        </w:rPr>
        <w:t>, is amended</w:t>
      </w:r>
      <w:r>
        <w:rPr>
          <w:sz w:val="23"/>
          <w:szCs w:val="23"/>
        </w:rPr>
        <w:t xml:space="preserve"> to read as follows:</w:t>
      </w:r>
    </w:p>
    <w:p w14:paraId="3D82D91F" w14:textId="77777777" w:rsidR="00140B7C" w:rsidRDefault="00140B7C" w:rsidP="00140B7C">
      <w:pPr>
        <w:autoSpaceDE w:val="0"/>
        <w:autoSpaceDN w:val="0"/>
        <w:adjustRightInd w:val="0"/>
        <w:spacing w:after="0" w:line="240" w:lineRule="auto"/>
        <w:jc w:val="both"/>
        <w:rPr>
          <w:rFonts w:eastAsia="Times New Roman" w:cs="Times New Roman"/>
          <w:b/>
          <w:szCs w:val="24"/>
        </w:rPr>
      </w:pPr>
    </w:p>
    <w:p w14:paraId="5FD05FF0" w14:textId="77777777" w:rsidR="00140B7C" w:rsidRDefault="00140B7C" w:rsidP="00140B7C">
      <w:pPr>
        <w:autoSpaceDE w:val="0"/>
        <w:autoSpaceDN w:val="0"/>
        <w:adjustRightInd w:val="0"/>
        <w:spacing w:after="240" w:line="240" w:lineRule="auto"/>
        <w:jc w:val="both"/>
        <w:rPr>
          <w:rFonts w:eastAsia="Times New Roman" w:cs="Times New Roman"/>
          <w:spacing w:val="1"/>
          <w:szCs w:val="24"/>
        </w:rPr>
      </w:pPr>
      <w:r w:rsidRPr="0051638E">
        <w:rPr>
          <w:rFonts w:eastAsia="Times New Roman" w:cs="Times New Roman"/>
          <w:b/>
          <w:szCs w:val="24"/>
        </w:rPr>
        <w:t>503.5.6.4 Test run.</w:t>
      </w:r>
      <w:r w:rsidRPr="0051638E">
        <w:rPr>
          <w:rFonts w:eastAsia="Times New Roman" w:cs="Times New Roman"/>
          <w:b/>
          <w:bCs/>
          <w:spacing w:val="-5"/>
          <w:w w:val="110"/>
          <w:szCs w:val="24"/>
        </w:rPr>
        <w:t xml:space="preserve"> </w:t>
      </w:r>
      <w:r w:rsidRPr="0051638E">
        <w:rPr>
          <w:rFonts w:eastAsia="Times New Roman" w:cs="Times New Roman"/>
          <w:spacing w:val="1"/>
          <w:szCs w:val="24"/>
        </w:rPr>
        <w:t>All new chimneys shall be test run by the registered design professional responsible for the testing under operating conditions to demonstrate fire safety and the complete exhausting of smoke and the products of combustion to the outer air. The results of such test run shall be certified as correct by the registered design professional responsible for the test and shall be submitted in writing to the department.</w:t>
      </w:r>
    </w:p>
    <w:p w14:paraId="57FD66AF" w14:textId="77777777" w:rsidR="00140B7C" w:rsidRDefault="00140B7C" w:rsidP="00140B7C">
      <w:pPr>
        <w:autoSpaceDE w:val="0"/>
        <w:autoSpaceDN w:val="0"/>
        <w:adjustRightInd w:val="0"/>
        <w:spacing w:after="240" w:line="240" w:lineRule="auto"/>
        <w:ind w:left="720"/>
        <w:jc w:val="both"/>
        <w:rPr>
          <w:rFonts w:eastAsia="Times New Roman" w:cs="Times New Roman"/>
          <w:spacing w:val="1"/>
          <w:szCs w:val="24"/>
          <w:u w:val="single"/>
        </w:rPr>
      </w:pPr>
      <w:r w:rsidRPr="00A61B75">
        <w:rPr>
          <w:rFonts w:eastAsia="Times New Roman" w:cs="Times New Roman"/>
          <w:b/>
          <w:bCs/>
          <w:spacing w:val="1"/>
          <w:szCs w:val="24"/>
          <w:u w:val="single"/>
        </w:rPr>
        <w:t>Exception:</w:t>
      </w:r>
      <w:r w:rsidRPr="00A61B75">
        <w:rPr>
          <w:rFonts w:eastAsia="Times New Roman" w:cs="Times New Roman"/>
          <w:spacing w:val="1"/>
          <w:szCs w:val="24"/>
          <w:u w:val="single"/>
        </w:rPr>
        <w:t xml:space="preserve"> A test run in accordance with this section may be conducted and certified to the department by the permit-holder when the work is performed as part of a limited alteration application, as defined in  Section 28-101.5 of the Administrative Code.  The test run shall not require a registered design professional or special inspector.</w:t>
      </w:r>
    </w:p>
    <w:p w14:paraId="2F592204" w14:textId="450FE3B1" w:rsidR="00140B7C" w:rsidRDefault="00140B7C" w:rsidP="00140B7C">
      <w:pPr>
        <w:pStyle w:val="FlushLeft"/>
        <w:spacing w:after="0"/>
        <w:ind w:firstLine="720"/>
        <w:rPr>
          <w:sz w:val="23"/>
          <w:szCs w:val="23"/>
        </w:rPr>
      </w:pPr>
      <w:r w:rsidRPr="00EC4EC4">
        <w:rPr>
          <w:sz w:val="23"/>
          <w:szCs w:val="23"/>
        </w:rPr>
        <w:t>§</w:t>
      </w:r>
      <w:r>
        <w:rPr>
          <w:sz w:val="23"/>
          <w:szCs w:val="23"/>
        </w:rPr>
        <w:t>35</w:t>
      </w:r>
      <w:r w:rsidR="00D254C4">
        <w:rPr>
          <w:sz w:val="23"/>
          <w:szCs w:val="23"/>
        </w:rPr>
        <w:t>5</w:t>
      </w:r>
      <w:r w:rsidRPr="00EC4EC4">
        <w:rPr>
          <w:sz w:val="23"/>
          <w:szCs w:val="23"/>
        </w:rPr>
        <w:t xml:space="preserve">. </w:t>
      </w:r>
      <w:r>
        <w:rPr>
          <w:sz w:val="23"/>
          <w:szCs w:val="23"/>
        </w:rPr>
        <w:t>S</w:t>
      </w:r>
      <w:r w:rsidRPr="00EC4EC4">
        <w:rPr>
          <w:sz w:val="23"/>
          <w:szCs w:val="23"/>
        </w:rPr>
        <w:t xml:space="preserve">ection </w:t>
      </w:r>
      <w:r>
        <w:rPr>
          <w:sz w:val="23"/>
          <w:szCs w:val="23"/>
        </w:rPr>
        <w:t xml:space="preserve">503.5.6.5 </w:t>
      </w:r>
      <w:r w:rsidRPr="00EC4EC4">
        <w:rPr>
          <w:sz w:val="23"/>
          <w:szCs w:val="23"/>
        </w:rPr>
        <w:t xml:space="preserve">of the New York city </w:t>
      </w:r>
      <w:r>
        <w:rPr>
          <w:sz w:val="23"/>
          <w:szCs w:val="23"/>
        </w:rPr>
        <w:t xml:space="preserve">fuel gas </w:t>
      </w:r>
      <w:r w:rsidRPr="00EC4EC4">
        <w:rPr>
          <w:sz w:val="23"/>
          <w:szCs w:val="23"/>
        </w:rPr>
        <w:t>code, as a</w:t>
      </w:r>
      <w:r>
        <w:rPr>
          <w:sz w:val="23"/>
          <w:szCs w:val="23"/>
        </w:rPr>
        <w:t xml:space="preserve">mended </w:t>
      </w:r>
      <w:r w:rsidRPr="00EC4EC4">
        <w:rPr>
          <w:sz w:val="23"/>
          <w:szCs w:val="23"/>
        </w:rPr>
        <w:t>by local law number 126 for the year 2021, is amended</w:t>
      </w:r>
      <w:r>
        <w:rPr>
          <w:sz w:val="23"/>
          <w:szCs w:val="23"/>
        </w:rPr>
        <w:t xml:space="preserve"> to read as follows:</w:t>
      </w:r>
    </w:p>
    <w:p w14:paraId="097AB026" w14:textId="77777777" w:rsidR="00140B7C" w:rsidRDefault="00140B7C" w:rsidP="00140B7C">
      <w:pPr>
        <w:pStyle w:val="FlushLeft"/>
        <w:spacing w:after="0"/>
        <w:rPr>
          <w:sz w:val="23"/>
          <w:szCs w:val="23"/>
        </w:rPr>
      </w:pPr>
    </w:p>
    <w:p w14:paraId="42C45A3A" w14:textId="77777777" w:rsidR="00140B7C" w:rsidRPr="001E06D3" w:rsidRDefault="00140B7C" w:rsidP="00140B7C">
      <w:pPr>
        <w:pStyle w:val="FlushLeft"/>
        <w:spacing w:after="0"/>
        <w:rPr>
          <w:szCs w:val="24"/>
        </w:rPr>
      </w:pPr>
      <w:r w:rsidRPr="001E06D3">
        <w:rPr>
          <w:b/>
          <w:bCs/>
          <w:szCs w:val="24"/>
        </w:rPr>
        <w:t>503.5.6.5 Requirement of a smoke test.</w:t>
      </w:r>
      <w:r w:rsidRPr="001E06D3">
        <w:rPr>
          <w:szCs w:val="24"/>
        </w:rPr>
        <w:t xml:space="preserve"> A smoke test shall be made as outlined below. Any faults or leaks found shall be corrected. Such smoke test shall be witnessed by a representative of the commissioner. In lieu thereof, the commissioner may accept the test report of the registered design professional or special inspector responsible for the test that shall be submitted in writing to the department.</w:t>
      </w:r>
    </w:p>
    <w:p w14:paraId="01C6344C" w14:textId="77777777" w:rsidR="00140B7C" w:rsidRDefault="00140B7C" w:rsidP="00140B7C">
      <w:pPr>
        <w:pStyle w:val="FlushLeft"/>
        <w:spacing w:after="0"/>
        <w:rPr>
          <w:b/>
          <w:bCs/>
          <w:szCs w:val="24"/>
          <w:u w:val="single"/>
        </w:rPr>
      </w:pPr>
    </w:p>
    <w:p w14:paraId="2BD0F731" w14:textId="77777777" w:rsidR="00140B7C" w:rsidRPr="001E06D3" w:rsidRDefault="00140B7C" w:rsidP="00140B7C">
      <w:pPr>
        <w:pStyle w:val="FlushLeft"/>
        <w:spacing w:after="0"/>
        <w:ind w:left="720"/>
        <w:rPr>
          <w:szCs w:val="24"/>
          <w:u w:val="single"/>
        </w:rPr>
      </w:pPr>
      <w:r w:rsidRPr="001E06D3">
        <w:rPr>
          <w:b/>
          <w:bCs/>
          <w:szCs w:val="24"/>
          <w:u w:val="single"/>
        </w:rPr>
        <w:t>Exception:</w:t>
      </w:r>
      <w:r w:rsidRPr="001E06D3">
        <w:rPr>
          <w:szCs w:val="24"/>
          <w:u w:val="single"/>
        </w:rPr>
        <w:t xml:space="preserve"> A smoke test may be performed by or under the supervision of a permit-holder when the work is performed as part of a limited alteration application, as defined in  Section 28-101.5 of the Administrative Code.  Such test shall not be required to be witnessed by the department, registered design professional, or special inspector.</w:t>
      </w:r>
    </w:p>
    <w:p w14:paraId="0AA7D365" w14:textId="77777777" w:rsidR="00140B7C" w:rsidRDefault="00140B7C" w:rsidP="00140B7C">
      <w:pPr>
        <w:kinsoku w:val="0"/>
        <w:spacing w:after="240" w:line="240" w:lineRule="auto"/>
        <w:ind w:firstLine="720"/>
        <w:jc w:val="both"/>
        <w:rPr>
          <w:rFonts w:cs="Times New Roman"/>
          <w:sz w:val="23"/>
          <w:szCs w:val="23"/>
        </w:rPr>
      </w:pPr>
    </w:p>
    <w:p w14:paraId="636583D5" w14:textId="77777777" w:rsidR="00140B7C" w:rsidRDefault="00140B7C" w:rsidP="00140B7C">
      <w:pPr>
        <w:kinsoku w:val="0"/>
        <w:spacing w:after="240" w:line="240" w:lineRule="auto"/>
        <w:ind w:firstLine="720"/>
        <w:jc w:val="both"/>
        <w:rPr>
          <w:rFonts w:cs="Times New Roman"/>
          <w:sz w:val="23"/>
          <w:szCs w:val="23"/>
        </w:rPr>
      </w:pPr>
    </w:p>
    <w:p w14:paraId="487F80C8" w14:textId="23DB18CB"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35</w:t>
      </w:r>
      <w:r w:rsidR="00D254C4">
        <w:rPr>
          <w:rFonts w:cs="Times New Roman"/>
          <w:sz w:val="23"/>
          <w:szCs w:val="23"/>
        </w:rPr>
        <w:t>6</w:t>
      </w:r>
      <w:r w:rsidRPr="00EC4EC4">
        <w:rPr>
          <w:rFonts w:cs="Times New Roman"/>
          <w:sz w:val="23"/>
          <w:szCs w:val="23"/>
        </w:rPr>
        <w:t>. Section 503.8 of  the New York city fuel gas code, as amended by local law number 126 for the year 2021, is amended to read as follows:</w:t>
      </w:r>
    </w:p>
    <w:p w14:paraId="5E7C62E7" w14:textId="77777777" w:rsidR="00140B7C" w:rsidRPr="00EC4EC4" w:rsidRDefault="00140B7C" w:rsidP="00140B7C">
      <w:pPr>
        <w:autoSpaceDE w:val="0"/>
        <w:autoSpaceDN w:val="0"/>
        <w:adjustRightInd w:val="0"/>
        <w:spacing w:after="240" w:line="240" w:lineRule="auto"/>
        <w:jc w:val="both"/>
        <w:rPr>
          <w:rFonts w:eastAsia="Times New Roman" w:cs="Times New Roman"/>
          <w:szCs w:val="24"/>
        </w:rPr>
      </w:pPr>
      <w:bookmarkStart w:id="262" w:name="_Toc388003273"/>
      <w:r w:rsidRPr="00EC4EC4">
        <w:rPr>
          <w:rFonts w:eastAsia="Times New Roman" w:cs="Times New Roman"/>
          <w:b/>
          <w:bCs/>
          <w:szCs w:val="24"/>
        </w:rPr>
        <w:t>503.8 Venting system termination location.</w:t>
      </w:r>
      <w:bookmarkEnd w:id="262"/>
      <w:r w:rsidRPr="00EC4EC4">
        <w:rPr>
          <w:rFonts w:eastAsia="Times New Roman" w:cs="Times New Roman"/>
          <w:b/>
          <w:bCs/>
          <w:spacing w:val="-5"/>
          <w:w w:val="110"/>
          <w:szCs w:val="24"/>
        </w:rPr>
        <w:t xml:space="preserve"> </w:t>
      </w:r>
      <w:r w:rsidRPr="00EC4EC4">
        <w:rPr>
          <w:rFonts w:eastAsia="Times New Roman" w:cs="Times New Roman"/>
          <w:szCs w:val="24"/>
        </w:rPr>
        <w:t>The location of venting system terminations shall comply with the following:</w:t>
      </w:r>
    </w:p>
    <w:p w14:paraId="64EB277C"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b/>
          <w:bCs/>
          <w:szCs w:val="24"/>
        </w:rPr>
      </w:pPr>
      <w:r w:rsidRPr="00EC4EC4">
        <w:rPr>
          <w:rFonts w:eastAsia="Times New Roman" w:cs="Times New Roman"/>
          <w:szCs w:val="24"/>
        </w:rPr>
        <w:t>1.</w:t>
      </w:r>
      <w:r w:rsidRPr="00EC4EC4">
        <w:rPr>
          <w:rFonts w:eastAsia="Times New Roman" w:cs="Times New Roman"/>
          <w:szCs w:val="24"/>
        </w:rPr>
        <w:tab/>
        <w:t>Gas venting systems shall be extended at least 3 feet (914.4 mm) above the highest construction, such as a roof ridge, parapet wall, or penthouse, within 10 feet (3048 mm) of the vent outlet whether the construction is on the same building as the chimney or on another building. However, such constructions do not include chimneys or other vents, or open structural framing. The vent shall be as high as such construction which is located beyond 10 feet (3048 mm) from the vent and up to and including the distance determined by Equation 5-2.</w:t>
      </w:r>
    </w:p>
    <w:p w14:paraId="2C56ABA5" w14:textId="77777777" w:rsidR="00140B7C" w:rsidRPr="00EC4EC4" w:rsidRDefault="00140B7C" w:rsidP="00140B7C">
      <w:pPr>
        <w:autoSpaceDE w:val="0"/>
        <w:autoSpaceDN w:val="0"/>
        <w:adjustRightInd w:val="0"/>
        <w:spacing w:after="240" w:line="240" w:lineRule="auto"/>
        <w:ind w:left="720"/>
        <w:jc w:val="both"/>
        <w:rPr>
          <w:rFonts w:eastAsia="Times New Roman" w:cs="Times New Roman"/>
          <w:szCs w:val="24"/>
        </w:rPr>
      </w:pPr>
      <w:r w:rsidRPr="00EC4EC4">
        <w:rPr>
          <w:rFonts w:eastAsia="Times New Roman" w:cs="Times New Roman"/>
          <w:b/>
          <w:szCs w:val="24"/>
        </w:rPr>
        <w:t>Exception:</w:t>
      </w:r>
      <w:r w:rsidRPr="00EC4EC4">
        <w:rPr>
          <w:rFonts w:eastAsia="Times New Roman" w:cs="Times New Roman"/>
          <w:szCs w:val="24"/>
        </w:rPr>
        <w:t xml:space="preserve"> Horizontally terminated</w:t>
      </w:r>
      <w:r w:rsidRPr="00EC4EC4">
        <w:rPr>
          <w:rFonts w:eastAsia="Times New Roman" w:cs="Times New Roman"/>
          <w:b/>
          <w:bCs/>
          <w:spacing w:val="-2"/>
          <w:w w:val="110"/>
          <w:szCs w:val="24"/>
        </w:rPr>
        <w:t xml:space="preserve"> </w:t>
      </w:r>
      <w:r w:rsidRPr="00EC4EC4">
        <w:rPr>
          <w:rFonts w:eastAsia="Times New Roman" w:cs="Times New Roman"/>
          <w:szCs w:val="24"/>
        </w:rPr>
        <w:t>direct-vent appliances and integral vent appliances approved by the commissioner and installed in accordance with the manufacturer’s instructions and Section 503.8, Item 3.</w:t>
      </w:r>
    </w:p>
    <w:p w14:paraId="1403AC7D"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pacing w:val="1"/>
          <w:szCs w:val="24"/>
        </w:rPr>
      </w:pPr>
      <w:r w:rsidRPr="00EC4EC4">
        <w:rPr>
          <w:rFonts w:eastAsia="Times New Roman" w:cs="Times New Roman"/>
          <w:szCs w:val="24"/>
        </w:rPr>
        <w:t>2.</w:t>
      </w:r>
      <w:r w:rsidRPr="00EC4EC4">
        <w:rPr>
          <w:rFonts w:eastAsia="Times New Roman" w:cs="Times New Roman"/>
          <w:spacing w:val="1"/>
          <w:szCs w:val="24"/>
        </w:rPr>
        <w:tab/>
      </w:r>
      <w:r w:rsidRPr="00EC4EC4">
        <w:rPr>
          <w:rFonts w:eastAsia="Times New Roman" w:cs="Times New Roman"/>
          <w:szCs w:val="24"/>
        </w:rPr>
        <w:t>Where permitted, through-the-wall vents for Category I, II, III and IV appliances and noncategorized condensing appliances shall not terminate over public walkways or over an area where condensate or vapor could create a nuisance or hazard or could be detrimental to the operation of regulators, relief valves or other equipment.</w:t>
      </w:r>
    </w:p>
    <w:p w14:paraId="6BFCFF30" w14:textId="77777777" w:rsidR="00140B7C" w:rsidRPr="00EC4EC4" w:rsidRDefault="00140B7C" w:rsidP="00140B7C">
      <w:pPr>
        <w:autoSpaceDE w:val="0"/>
        <w:autoSpaceDN w:val="0"/>
        <w:adjustRightInd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3.</w:t>
      </w:r>
      <w:r w:rsidRPr="00EC4EC4">
        <w:rPr>
          <w:rFonts w:eastAsia="Times New Roman" w:cs="Times New Roman"/>
          <w:spacing w:val="1"/>
          <w:szCs w:val="24"/>
        </w:rPr>
        <w:tab/>
        <w:t>Horizontal terminations shall only be allowed if they are in a nonhazardous location and if the appliance has a sealed combustion chamber (direct vent) or integral vent in accordance with the appliance listing and manufacturer’s instructions. In addition, horizontal terminations shall comply with the following requirements:</w:t>
      </w:r>
    </w:p>
    <w:p w14:paraId="63D6D516"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spacing w:val="1"/>
          <w:szCs w:val="24"/>
        </w:rPr>
      </w:pPr>
      <w:r w:rsidRPr="00EC4EC4">
        <w:rPr>
          <w:rFonts w:eastAsia="Times New Roman" w:cs="Times New Roman"/>
          <w:spacing w:val="1"/>
          <w:szCs w:val="24"/>
        </w:rPr>
        <w:t>3.1.</w:t>
      </w:r>
      <w:r w:rsidRPr="00EC4EC4">
        <w:rPr>
          <w:rFonts w:eastAsia="Times New Roman" w:cs="Times New Roman"/>
          <w:spacing w:val="1"/>
          <w:szCs w:val="24"/>
        </w:rPr>
        <w:tab/>
        <w:t>Where located adjacent to walkways, the termination shall be not less than 7 feet ( 2133.6 mm) above the level of the walkway.</w:t>
      </w:r>
    </w:p>
    <w:p w14:paraId="43B9A88D" w14:textId="77777777" w:rsidR="00140B7C" w:rsidRPr="00EC4EC4" w:rsidRDefault="00140B7C" w:rsidP="00140B7C">
      <w:pPr>
        <w:autoSpaceDE w:val="0"/>
        <w:autoSpaceDN w:val="0"/>
        <w:adjustRightInd w:val="0"/>
        <w:spacing w:after="240" w:line="240" w:lineRule="auto"/>
        <w:jc w:val="both"/>
        <w:rPr>
          <w:rFonts w:eastAsia="Times New Roman" w:cs="Times New Roman"/>
          <w:b/>
          <w:bCs/>
          <w:szCs w:val="24"/>
        </w:rPr>
      </w:pPr>
    </w:p>
    <w:p w14:paraId="4483F0DB"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b/>
          <w:bCs/>
          <w:szCs w:val="24"/>
        </w:rPr>
      </w:pPr>
      <w:r w:rsidRPr="00EC4EC4">
        <w:rPr>
          <w:rFonts w:eastAsia="Times New Roman" w:cs="Times New Roman"/>
          <w:spacing w:val="1"/>
          <w:szCs w:val="24"/>
        </w:rPr>
        <w:t>3.2.</w:t>
      </w:r>
      <w:r w:rsidRPr="00EC4EC4">
        <w:rPr>
          <w:rFonts w:eastAsia="Times New Roman" w:cs="Times New Roman"/>
          <w:spacing w:val="1"/>
          <w:szCs w:val="24"/>
        </w:rPr>
        <w:tab/>
        <w:t>Vents shall terminate at least 3 feet (</w:t>
      </w:r>
      <w:r w:rsidRPr="00EC4EC4">
        <w:rPr>
          <w:rFonts w:eastAsia="Times New Roman" w:cs="Times New Roman"/>
          <w:szCs w:val="24"/>
        </w:rPr>
        <w:t>914.4</w:t>
      </w:r>
      <w:r w:rsidRPr="00EC4EC4">
        <w:rPr>
          <w:rFonts w:eastAsia="Times New Roman" w:cs="Times New Roman"/>
          <w:spacing w:val="1"/>
          <w:szCs w:val="24"/>
        </w:rPr>
        <w:t xml:space="preserve"> mm) above any forced air inlet, other than the forced air inlet for the subject direct vent or integral vent appliance, located within 10 feet (3048 mm).</w:t>
      </w:r>
    </w:p>
    <w:p w14:paraId="14BBCDEA"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b/>
          <w:bCs/>
          <w:szCs w:val="24"/>
        </w:rPr>
      </w:pPr>
      <w:r w:rsidRPr="00EC4EC4">
        <w:rPr>
          <w:rFonts w:eastAsia="Times New Roman" w:cs="Times New Roman"/>
          <w:spacing w:val="1"/>
          <w:szCs w:val="24"/>
        </w:rPr>
        <w:t>3.3.</w:t>
      </w:r>
      <w:r w:rsidRPr="00EC4EC4">
        <w:rPr>
          <w:rFonts w:eastAsia="Times New Roman" w:cs="Times New Roman"/>
          <w:spacing w:val="1"/>
          <w:szCs w:val="24"/>
        </w:rPr>
        <w:tab/>
        <w:t>The vent system shall terminate at least 4 feet (1219.2 mm) below, 4 feet (1219.2  mm) horizontally from or 1 foot (</w:t>
      </w:r>
      <w:r w:rsidRPr="00EC4EC4">
        <w:rPr>
          <w:rFonts w:eastAsia="Times New Roman" w:cs="Times New Roman"/>
          <w:szCs w:val="24"/>
        </w:rPr>
        <w:t>304.8</w:t>
      </w:r>
      <w:r w:rsidRPr="00EC4EC4">
        <w:rPr>
          <w:rFonts w:eastAsia="Times New Roman" w:cs="Times New Roman"/>
          <w:spacing w:val="1"/>
          <w:szCs w:val="24"/>
        </w:rPr>
        <w:t xml:space="preserve"> mm) above any door, window or gravity air inlet into the building.</w:t>
      </w:r>
    </w:p>
    <w:p w14:paraId="03D74102"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b/>
          <w:bCs/>
          <w:szCs w:val="24"/>
        </w:rPr>
      </w:pPr>
      <w:r w:rsidRPr="00EC4EC4">
        <w:rPr>
          <w:rFonts w:eastAsia="Times New Roman" w:cs="Times New Roman"/>
          <w:spacing w:val="1"/>
          <w:szCs w:val="24"/>
        </w:rPr>
        <w:t>3.4.</w:t>
      </w:r>
      <w:r w:rsidRPr="00EC4EC4">
        <w:rPr>
          <w:rFonts w:eastAsia="Times New Roman" w:cs="Times New Roman"/>
          <w:spacing w:val="1"/>
          <w:szCs w:val="24"/>
        </w:rPr>
        <w:tab/>
        <w:t>The vent termination point shall not be located closer than 3 feet (914.4 mm) to an interior corner formed by two walls perpendicular to each other.</w:t>
      </w:r>
    </w:p>
    <w:p w14:paraId="73E5A9A3"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b/>
          <w:bCs/>
          <w:szCs w:val="24"/>
        </w:rPr>
      </w:pPr>
      <w:r w:rsidRPr="00EC4EC4">
        <w:rPr>
          <w:rFonts w:eastAsia="Times New Roman" w:cs="Times New Roman"/>
          <w:spacing w:val="1"/>
          <w:szCs w:val="24"/>
        </w:rPr>
        <w:t>3.5.</w:t>
      </w:r>
      <w:r w:rsidRPr="00EC4EC4">
        <w:rPr>
          <w:rFonts w:eastAsia="Times New Roman" w:cs="Times New Roman"/>
          <w:spacing w:val="1"/>
          <w:szCs w:val="24"/>
        </w:rPr>
        <w:tab/>
        <w:t>The vent termination shall not be mounted directly above or within 3 feet (</w:t>
      </w:r>
      <w:r w:rsidRPr="00EC4EC4">
        <w:rPr>
          <w:rFonts w:eastAsia="Times New Roman" w:cs="Times New Roman"/>
          <w:szCs w:val="24"/>
        </w:rPr>
        <w:t>914.4</w:t>
      </w:r>
      <w:r w:rsidRPr="00EC4EC4">
        <w:rPr>
          <w:rFonts w:eastAsia="Times New Roman" w:cs="Times New Roman"/>
          <w:spacing w:val="1"/>
          <w:szCs w:val="24"/>
        </w:rPr>
        <w:t xml:space="preserve"> mm) horizontally from any gas or electric metering, regulating, venting relief equipment or other building opening.</w:t>
      </w:r>
    </w:p>
    <w:p w14:paraId="4CA9D018"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b/>
          <w:bCs/>
          <w:szCs w:val="24"/>
        </w:rPr>
      </w:pPr>
      <w:r w:rsidRPr="005C0E8D">
        <w:rPr>
          <w:rFonts w:eastAsia="Times New Roman" w:cs="Times New Roman"/>
          <w:spacing w:val="1"/>
          <w:szCs w:val="24"/>
        </w:rPr>
        <w:t>3.6.</w:t>
      </w:r>
      <w:r w:rsidRPr="005C0E8D">
        <w:rPr>
          <w:rFonts w:eastAsia="Times New Roman" w:cs="Times New Roman"/>
          <w:spacing w:val="1"/>
          <w:szCs w:val="24"/>
        </w:rPr>
        <w:tab/>
        <w:t>The bottom of the vent termination shall be located at least [</w:t>
      </w:r>
      <w:r w:rsidRPr="005C0E8D">
        <w:rPr>
          <w:rFonts w:eastAsia="Times New Roman" w:cs="Times New Roman"/>
          <w:strike/>
          <w:spacing w:val="1"/>
          <w:szCs w:val="24"/>
        </w:rPr>
        <w:t>24 inches (609.6 mm)</w:t>
      </w:r>
      <w:r w:rsidRPr="005C0E8D">
        <w:rPr>
          <w:rFonts w:eastAsia="Times New Roman" w:cs="Times New Roman"/>
          <w:spacing w:val="1"/>
          <w:szCs w:val="24"/>
        </w:rPr>
        <w:t xml:space="preserve">] </w:t>
      </w:r>
      <w:r w:rsidRPr="005C0E8D">
        <w:rPr>
          <w:rFonts w:eastAsia="Times New Roman" w:cs="Times New Roman"/>
          <w:spacing w:val="1"/>
          <w:szCs w:val="24"/>
          <w:u w:val="single"/>
        </w:rPr>
        <w:t>36 inches (914.4 mm)</w:t>
      </w:r>
      <w:r w:rsidRPr="005C0E8D">
        <w:rPr>
          <w:rFonts w:eastAsia="Times New Roman" w:cs="Times New Roman"/>
          <w:spacing w:val="1"/>
          <w:szCs w:val="24"/>
        </w:rPr>
        <w:t xml:space="preserve"> above finished grade.</w:t>
      </w:r>
    </w:p>
    <w:p w14:paraId="29A1088E"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b/>
          <w:bCs/>
          <w:szCs w:val="24"/>
        </w:rPr>
      </w:pPr>
      <w:r w:rsidRPr="00EC4EC4">
        <w:rPr>
          <w:rFonts w:eastAsia="Times New Roman" w:cs="Times New Roman"/>
          <w:spacing w:val="1"/>
          <w:szCs w:val="24"/>
        </w:rPr>
        <w:t>3.7.</w:t>
      </w:r>
      <w:r w:rsidRPr="00EC4EC4">
        <w:rPr>
          <w:rFonts w:eastAsia="Times New Roman" w:cs="Times New Roman"/>
          <w:spacing w:val="1"/>
          <w:szCs w:val="24"/>
        </w:rPr>
        <w:tab/>
        <w:t>The maximum heat input of an appliance served by single horizontal vent termination shall be 350,000 Btu/h (102.6 kW), unless otherwise approved by the commissioner.</w:t>
      </w:r>
    </w:p>
    <w:p w14:paraId="21D1EF47"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b/>
          <w:bCs/>
          <w:szCs w:val="24"/>
        </w:rPr>
      </w:pPr>
      <w:r w:rsidRPr="00EC4EC4">
        <w:rPr>
          <w:rFonts w:eastAsia="Times New Roman" w:cs="Times New Roman"/>
          <w:spacing w:val="1"/>
          <w:szCs w:val="24"/>
        </w:rPr>
        <w:t>3.8.</w:t>
      </w:r>
      <w:r w:rsidRPr="00EC4EC4">
        <w:rPr>
          <w:rFonts w:eastAsia="Times New Roman" w:cs="Times New Roman"/>
          <w:spacing w:val="1"/>
          <w:szCs w:val="24"/>
        </w:rPr>
        <w:tab/>
        <w:t>The maximum heat input of all appliances served by horizontal vent terminations located within a 10 feet (3048 mm) radius shall be 350,000 Btu/h (102.6 kW), unless otherwise approved by the commissioner.</w:t>
      </w:r>
    </w:p>
    <w:p w14:paraId="0DD53968" w14:textId="77777777" w:rsidR="00140B7C" w:rsidRPr="00EC4EC4" w:rsidRDefault="00140B7C" w:rsidP="00140B7C">
      <w:pPr>
        <w:autoSpaceDE w:val="0"/>
        <w:autoSpaceDN w:val="0"/>
        <w:adjustRightInd w:val="0"/>
        <w:spacing w:after="240" w:line="240" w:lineRule="auto"/>
        <w:ind w:left="1260" w:hanging="540"/>
        <w:jc w:val="both"/>
        <w:rPr>
          <w:rFonts w:eastAsia="Times New Roman" w:cs="Times New Roman"/>
          <w:b/>
          <w:bCs/>
          <w:szCs w:val="24"/>
        </w:rPr>
      </w:pPr>
      <w:r w:rsidRPr="00EC4EC4">
        <w:rPr>
          <w:rFonts w:eastAsia="Times New Roman" w:cs="Times New Roman"/>
          <w:spacing w:val="1"/>
          <w:szCs w:val="24"/>
        </w:rPr>
        <w:t>3.9.</w:t>
      </w:r>
      <w:r w:rsidRPr="00EC4EC4">
        <w:rPr>
          <w:rFonts w:eastAsia="Times New Roman" w:cs="Times New Roman"/>
          <w:spacing w:val="1"/>
          <w:szCs w:val="24"/>
        </w:rPr>
        <w:tab/>
        <w:t>The vent termination shall be located a minimum of 4 feet (1219.2 mm) from the lot line or from adjacent buildings. The termination shall be installed in accordance with the gas vent manufacturer’s listing and instructions.</w:t>
      </w:r>
      <w:bookmarkStart w:id="263" w:name="_Toc388003274"/>
    </w:p>
    <w:bookmarkEnd w:id="263"/>
    <w:p w14:paraId="4808109D" w14:textId="31900670" w:rsidR="00140B7C" w:rsidRPr="006F1EC6" w:rsidRDefault="00140B7C" w:rsidP="00140B7C">
      <w:pPr>
        <w:kinsoku w:val="0"/>
        <w:spacing w:after="240" w:line="240" w:lineRule="auto"/>
        <w:ind w:firstLine="720"/>
        <w:jc w:val="both"/>
        <w:rPr>
          <w:rFonts w:eastAsia="Times New Roman" w:cs="Times New Roman"/>
          <w:b/>
          <w:bCs/>
          <w:szCs w:val="24"/>
        </w:rPr>
      </w:pPr>
      <w:r w:rsidRPr="006F1EC6">
        <w:rPr>
          <w:rFonts w:cs="Times New Roman"/>
          <w:sz w:val="23"/>
          <w:szCs w:val="23"/>
        </w:rPr>
        <w:t>§35</w:t>
      </w:r>
      <w:r w:rsidR="00D254C4">
        <w:rPr>
          <w:rFonts w:cs="Times New Roman"/>
          <w:sz w:val="23"/>
          <w:szCs w:val="23"/>
        </w:rPr>
        <w:t>7</w:t>
      </w:r>
      <w:r w:rsidRPr="006F1EC6">
        <w:rPr>
          <w:rFonts w:cs="Times New Roman"/>
          <w:sz w:val="23"/>
          <w:szCs w:val="23"/>
        </w:rPr>
        <w:t>. Section 503.10.2.3 of  the New York city fuel gas code, as amended by local law number 126 for the year 2021, is amended to read as follows:</w:t>
      </w:r>
    </w:p>
    <w:p w14:paraId="78723BF6" w14:textId="77777777" w:rsidR="00140B7C" w:rsidRPr="006F1EC6" w:rsidRDefault="00140B7C" w:rsidP="00140B7C">
      <w:pPr>
        <w:autoSpaceDE w:val="0"/>
        <w:autoSpaceDN w:val="0"/>
        <w:adjustRightInd w:val="0"/>
        <w:spacing w:after="240" w:line="240" w:lineRule="auto"/>
        <w:jc w:val="both"/>
        <w:rPr>
          <w:rFonts w:eastAsia="Times New Roman" w:cs="Times New Roman"/>
          <w:iCs/>
          <w:szCs w:val="24"/>
          <w:u w:val="single"/>
        </w:rPr>
      </w:pPr>
      <w:bookmarkStart w:id="264" w:name="_Toc388003280"/>
      <w:r w:rsidRPr="006F1EC6">
        <w:rPr>
          <w:rFonts w:eastAsia="Times New Roman" w:cs="Times New Roman"/>
          <w:b/>
          <w:bCs/>
          <w:iCs/>
          <w:szCs w:val="24"/>
          <w:u w:val="single"/>
        </w:rPr>
        <w:t xml:space="preserve">503.10.2.3 Vent connector installation. </w:t>
      </w:r>
      <w:r w:rsidRPr="006F1EC6">
        <w:rPr>
          <w:rFonts w:eastAsia="Times New Roman" w:cs="Times New Roman"/>
          <w:iCs/>
          <w:szCs w:val="24"/>
          <w:u w:val="single"/>
        </w:rPr>
        <w:t xml:space="preserve"> Vent connectors shall be installed in accordance with one of the following:</w:t>
      </w:r>
    </w:p>
    <w:p w14:paraId="51733FE8"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iCs/>
          <w:szCs w:val="24"/>
          <w:u w:val="single"/>
        </w:rPr>
      </w:pPr>
      <w:r w:rsidRPr="006F1EC6">
        <w:rPr>
          <w:rFonts w:eastAsia="Times New Roman" w:cs="Times New Roman"/>
          <w:iCs/>
          <w:szCs w:val="24"/>
          <w:u w:val="single"/>
        </w:rPr>
        <w:t>1.</w:t>
      </w:r>
      <w:r w:rsidRPr="006F1EC6">
        <w:rPr>
          <w:rFonts w:eastAsia="Times New Roman" w:cs="Times New Roman"/>
          <w:iCs/>
          <w:szCs w:val="24"/>
          <w:u w:val="single"/>
        </w:rPr>
        <w:tab/>
        <w:t>Connectors with flue gas temperatures less than 500°F (260°C) that pass through walls or partitions of combustible construction shall be installed in accordance with the terms of their listing, the manufacturer’s instructions and Section 803.10.4 of the New York City Mechanical Code.</w:t>
      </w:r>
    </w:p>
    <w:p w14:paraId="4D6784B7"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iCs/>
          <w:szCs w:val="24"/>
          <w:u w:val="single"/>
        </w:rPr>
      </w:pPr>
      <w:r w:rsidRPr="006F1EC6">
        <w:rPr>
          <w:rFonts w:eastAsia="Times New Roman" w:cs="Times New Roman"/>
          <w:iCs/>
          <w:szCs w:val="24"/>
          <w:u w:val="single"/>
        </w:rPr>
        <w:t>2.</w:t>
      </w:r>
      <w:r w:rsidRPr="006F1EC6">
        <w:rPr>
          <w:rFonts w:eastAsia="Times New Roman" w:cs="Times New Roman"/>
          <w:iCs/>
          <w:szCs w:val="24"/>
          <w:u w:val="single"/>
        </w:rPr>
        <w:tab/>
        <w:t>Connectors of appliances with flue gas temperatures less than 500°F (260°C) that pass through walls or partitions of combustible construction shall be insulated with a field-applied wrap assembly in accordance with Section 803.10.4.2 of the New York City Mechanical Code.</w:t>
      </w:r>
    </w:p>
    <w:p w14:paraId="175B4DBB"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iCs/>
          <w:szCs w:val="24"/>
          <w:u w:val="single"/>
        </w:rPr>
      </w:pPr>
      <w:r w:rsidRPr="006F1EC6">
        <w:rPr>
          <w:rFonts w:eastAsia="Times New Roman" w:cs="Times New Roman"/>
          <w:iCs/>
          <w:szCs w:val="24"/>
          <w:u w:val="single"/>
        </w:rPr>
        <w:t>3.</w:t>
      </w:r>
      <w:r w:rsidRPr="006F1EC6">
        <w:rPr>
          <w:rFonts w:eastAsia="Times New Roman" w:cs="Times New Roman"/>
          <w:iCs/>
          <w:szCs w:val="24"/>
          <w:u w:val="single"/>
        </w:rPr>
        <w:tab/>
        <w:t>Residential-type appliance connectors installed in accordance with Section 503.10.2.3.1.</w:t>
      </w:r>
    </w:p>
    <w:p w14:paraId="24C1ABF8"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iCs/>
          <w:szCs w:val="24"/>
          <w:u w:val="single"/>
        </w:rPr>
      </w:pPr>
      <w:r w:rsidRPr="006F1EC6">
        <w:rPr>
          <w:rFonts w:eastAsia="Times New Roman" w:cs="Times New Roman"/>
          <w:iCs/>
          <w:szCs w:val="24"/>
          <w:u w:val="single"/>
        </w:rPr>
        <w:t>4.</w:t>
      </w:r>
      <w:r w:rsidRPr="006F1EC6">
        <w:rPr>
          <w:rFonts w:eastAsia="Times New Roman" w:cs="Times New Roman"/>
          <w:iCs/>
          <w:szCs w:val="24"/>
          <w:u w:val="single"/>
        </w:rPr>
        <w:tab/>
        <w:t>Low-heat appliance connectors installed in accordance with Section 503.10.2.3.2.</w:t>
      </w:r>
    </w:p>
    <w:p w14:paraId="34EF02F0" w14:textId="77777777" w:rsidR="00140B7C" w:rsidRPr="00EC4EC4" w:rsidRDefault="00140B7C" w:rsidP="00140B7C">
      <w:pPr>
        <w:autoSpaceDE w:val="0"/>
        <w:autoSpaceDN w:val="0"/>
        <w:adjustRightInd w:val="0"/>
        <w:spacing w:after="240" w:line="240" w:lineRule="auto"/>
        <w:ind w:left="1440" w:hanging="360"/>
        <w:jc w:val="both"/>
        <w:rPr>
          <w:rFonts w:eastAsia="Times New Roman" w:cs="Times New Roman"/>
          <w:iCs/>
          <w:szCs w:val="24"/>
          <w:u w:val="single"/>
        </w:rPr>
      </w:pPr>
      <w:r w:rsidRPr="006F1EC6">
        <w:rPr>
          <w:rFonts w:eastAsia="Times New Roman" w:cs="Times New Roman"/>
          <w:iCs/>
          <w:szCs w:val="24"/>
          <w:u w:val="single"/>
        </w:rPr>
        <w:t>5.</w:t>
      </w:r>
      <w:r w:rsidRPr="006F1EC6">
        <w:rPr>
          <w:rFonts w:eastAsia="Times New Roman" w:cs="Times New Roman"/>
          <w:iCs/>
          <w:szCs w:val="24"/>
          <w:u w:val="single"/>
        </w:rPr>
        <w:tab/>
        <w:t>Medium-heat appliance connectors installed in accordance with Section 503.10.2.3.3.</w:t>
      </w:r>
    </w:p>
    <w:p w14:paraId="505093B8" w14:textId="12F80247" w:rsidR="00140B7C" w:rsidRPr="006F1EC6" w:rsidRDefault="00140B7C" w:rsidP="00140B7C">
      <w:pPr>
        <w:kinsoku w:val="0"/>
        <w:spacing w:after="240" w:line="240" w:lineRule="auto"/>
        <w:ind w:firstLine="720"/>
        <w:jc w:val="both"/>
        <w:rPr>
          <w:rFonts w:eastAsia="Times New Roman" w:cs="Times New Roman"/>
          <w:b/>
          <w:bCs/>
          <w:szCs w:val="24"/>
        </w:rPr>
      </w:pPr>
      <w:r w:rsidRPr="006F1EC6">
        <w:rPr>
          <w:rFonts w:cs="Times New Roman"/>
          <w:sz w:val="23"/>
          <w:szCs w:val="23"/>
        </w:rPr>
        <w:t>§35</w:t>
      </w:r>
      <w:r w:rsidR="00D254C4">
        <w:rPr>
          <w:rFonts w:cs="Times New Roman"/>
          <w:sz w:val="23"/>
          <w:szCs w:val="23"/>
        </w:rPr>
        <w:t>8</w:t>
      </w:r>
      <w:r w:rsidRPr="006F1EC6">
        <w:rPr>
          <w:rFonts w:cs="Times New Roman"/>
          <w:sz w:val="23"/>
          <w:szCs w:val="23"/>
        </w:rPr>
        <w:t>. Section 503.10.2.3.1 of  the New York city fuel gas code, as amended by local law number 126 for the year 2021, is amended to read as follows:</w:t>
      </w:r>
    </w:p>
    <w:p w14:paraId="3E3FCE37" w14:textId="77777777" w:rsidR="00140B7C" w:rsidRPr="006F1EC6" w:rsidRDefault="00140B7C" w:rsidP="00140B7C">
      <w:pPr>
        <w:autoSpaceDE w:val="0"/>
        <w:autoSpaceDN w:val="0"/>
        <w:adjustRightInd w:val="0"/>
        <w:spacing w:after="240" w:line="240" w:lineRule="auto"/>
        <w:jc w:val="both"/>
        <w:rPr>
          <w:rFonts w:eastAsia="Times New Roman" w:cs="Times New Roman"/>
          <w:szCs w:val="24"/>
        </w:rPr>
      </w:pPr>
      <w:r w:rsidRPr="006F1EC6">
        <w:rPr>
          <w:rFonts w:eastAsia="Times New Roman" w:cs="Times New Roman"/>
          <w:b/>
          <w:bCs/>
          <w:iCs/>
          <w:szCs w:val="24"/>
        </w:rPr>
        <w:t>[</w:t>
      </w:r>
      <w:r w:rsidRPr="006F1EC6">
        <w:rPr>
          <w:rFonts w:eastAsia="Times New Roman" w:cs="Times New Roman"/>
          <w:b/>
          <w:bCs/>
          <w:iCs/>
          <w:strike/>
          <w:szCs w:val="24"/>
        </w:rPr>
        <w:t>503.10.2.3</w:t>
      </w:r>
      <w:r w:rsidRPr="006F1EC6">
        <w:rPr>
          <w:rFonts w:eastAsia="Times New Roman" w:cs="Times New Roman"/>
          <w:b/>
          <w:bCs/>
          <w:iCs/>
          <w:szCs w:val="24"/>
        </w:rPr>
        <w:t xml:space="preserve">] </w:t>
      </w:r>
      <w:r w:rsidRPr="006F1EC6">
        <w:rPr>
          <w:rFonts w:eastAsia="Times New Roman" w:cs="Times New Roman"/>
          <w:b/>
          <w:bCs/>
          <w:iCs/>
          <w:szCs w:val="24"/>
          <w:u w:val="single"/>
        </w:rPr>
        <w:t>503.10.2.3.1</w:t>
      </w:r>
      <w:r w:rsidRPr="006F1EC6">
        <w:rPr>
          <w:rFonts w:eastAsia="Times New Roman" w:cs="Times New Roman"/>
          <w:b/>
          <w:bCs/>
          <w:iCs/>
          <w:szCs w:val="24"/>
        </w:rPr>
        <w:t xml:space="preserve"> Residential-type appliance connectors.</w:t>
      </w:r>
      <w:bookmarkEnd w:id="264"/>
      <w:r w:rsidRPr="006F1EC6">
        <w:rPr>
          <w:rFonts w:eastAsia="Times New Roman" w:cs="Times New Roman"/>
          <w:b/>
          <w:bCs/>
          <w:iCs/>
          <w:szCs w:val="24"/>
        </w:rPr>
        <w:t xml:space="preserve"> </w:t>
      </w:r>
      <w:r w:rsidRPr="006F1EC6">
        <w:rPr>
          <w:rFonts w:eastAsia="Times New Roman" w:cs="Times New Roman"/>
          <w:szCs w:val="24"/>
        </w:rPr>
        <w:t>Where vent connectors for residential-type appliances are not installed in attics or other unconditioned spaces, connectors for listed appliances having draft hoods, appliances having draft hoods and equipped with listed conversion burners and Category I appliances shall be one of the following:</w:t>
      </w:r>
    </w:p>
    <w:p w14:paraId="30D6DBB0"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szCs w:val="24"/>
        </w:rPr>
      </w:pPr>
      <w:r w:rsidRPr="006F1EC6">
        <w:rPr>
          <w:rFonts w:eastAsia="Times New Roman" w:cs="Times New Roman"/>
          <w:szCs w:val="24"/>
        </w:rPr>
        <w:t>1.</w:t>
      </w:r>
      <w:r w:rsidRPr="006F1EC6">
        <w:rPr>
          <w:rFonts w:eastAsia="Times New Roman" w:cs="Times New Roman"/>
          <w:szCs w:val="24"/>
        </w:rPr>
        <w:tab/>
        <w:t xml:space="preserve">Type B or </w:t>
      </w:r>
      <w:r w:rsidRPr="006F1EC6">
        <w:rPr>
          <w:rFonts w:eastAsia="Times New Roman" w:cs="Times New Roman"/>
          <w:spacing w:val="1"/>
          <w:szCs w:val="24"/>
        </w:rPr>
        <w:t xml:space="preserve">Type </w:t>
      </w:r>
      <w:r w:rsidRPr="006F1EC6">
        <w:rPr>
          <w:rFonts w:eastAsia="Times New Roman" w:cs="Times New Roman"/>
          <w:szCs w:val="24"/>
        </w:rPr>
        <w:t>L vent material</w:t>
      </w:r>
      <w:r w:rsidRPr="006F1EC6">
        <w:rPr>
          <w:rFonts w:eastAsia="Times New Roman" w:cs="Times New Roman"/>
          <w:spacing w:val="1"/>
          <w:szCs w:val="24"/>
          <w:u w:val="single"/>
        </w:rPr>
        <w:t>.</w:t>
      </w:r>
    </w:p>
    <w:p w14:paraId="3DB6C242"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szCs w:val="24"/>
        </w:rPr>
      </w:pPr>
      <w:r w:rsidRPr="006F1EC6">
        <w:rPr>
          <w:rFonts w:eastAsia="Times New Roman" w:cs="Times New Roman"/>
          <w:szCs w:val="24"/>
        </w:rPr>
        <w:t>2.</w:t>
      </w:r>
      <w:r w:rsidRPr="006F1EC6">
        <w:rPr>
          <w:rFonts w:eastAsia="Times New Roman" w:cs="Times New Roman"/>
          <w:szCs w:val="24"/>
        </w:rPr>
        <w:tab/>
        <w:t>Galvanized sheet steel not less than 0.018 inch (0.46 mm) thick</w:t>
      </w:r>
      <w:r w:rsidRPr="006F1EC6">
        <w:rPr>
          <w:rFonts w:eastAsia="Times New Roman" w:cs="Times New Roman"/>
          <w:spacing w:val="1"/>
          <w:szCs w:val="24"/>
          <w:u w:val="single"/>
        </w:rPr>
        <w:t>.</w:t>
      </w:r>
    </w:p>
    <w:p w14:paraId="27473738"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szCs w:val="24"/>
        </w:rPr>
      </w:pPr>
      <w:r w:rsidRPr="006F1EC6">
        <w:rPr>
          <w:rFonts w:eastAsia="Times New Roman" w:cs="Times New Roman"/>
          <w:szCs w:val="24"/>
        </w:rPr>
        <w:t>3.</w:t>
      </w:r>
      <w:r w:rsidRPr="006F1EC6">
        <w:rPr>
          <w:rFonts w:eastAsia="Times New Roman" w:cs="Times New Roman"/>
          <w:szCs w:val="24"/>
        </w:rPr>
        <w:tab/>
        <w:t>Aluminum (1100 or 3003 alloy or equivalent) sheet not less than 0.027 inch (0.69 mm) thick</w:t>
      </w:r>
      <w:r w:rsidRPr="006F1EC6">
        <w:rPr>
          <w:rFonts w:eastAsia="Times New Roman" w:cs="Times New Roman"/>
          <w:spacing w:val="1"/>
          <w:szCs w:val="24"/>
          <w:u w:val="single"/>
        </w:rPr>
        <w:t>.</w:t>
      </w:r>
    </w:p>
    <w:p w14:paraId="721E1FA1"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szCs w:val="24"/>
        </w:rPr>
      </w:pPr>
      <w:r w:rsidRPr="006F1EC6">
        <w:rPr>
          <w:rFonts w:eastAsia="Times New Roman" w:cs="Times New Roman"/>
          <w:szCs w:val="24"/>
        </w:rPr>
        <w:t>4.</w:t>
      </w:r>
      <w:r w:rsidRPr="006F1EC6">
        <w:rPr>
          <w:rFonts w:eastAsia="Times New Roman" w:cs="Times New Roman"/>
          <w:szCs w:val="24"/>
        </w:rPr>
        <w:tab/>
        <w:t>Stainless steel sheet not less than 0.012 inch (0.31 mm) thick</w:t>
      </w:r>
      <w:r w:rsidRPr="006F1EC6">
        <w:rPr>
          <w:rFonts w:eastAsia="Times New Roman" w:cs="Times New Roman"/>
          <w:spacing w:val="1"/>
          <w:szCs w:val="24"/>
          <w:u w:val="single"/>
        </w:rPr>
        <w:t>.</w:t>
      </w:r>
    </w:p>
    <w:p w14:paraId="08B05DDA"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szCs w:val="24"/>
        </w:rPr>
      </w:pPr>
      <w:r w:rsidRPr="006F1EC6">
        <w:rPr>
          <w:rFonts w:eastAsia="Times New Roman" w:cs="Times New Roman"/>
          <w:szCs w:val="24"/>
        </w:rPr>
        <w:t>5.</w:t>
      </w:r>
      <w:r w:rsidRPr="006F1EC6">
        <w:rPr>
          <w:rFonts w:eastAsia="Times New Roman" w:cs="Times New Roman"/>
          <w:szCs w:val="24"/>
        </w:rPr>
        <w:tab/>
        <w:t>Smooth interior wall metal pipe having resistance to heat and corrosion equal to or greater than that of Item 2, 3 or 4</w:t>
      </w:r>
      <w:r w:rsidRPr="006F1EC6">
        <w:rPr>
          <w:rFonts w:eastAsia="Times New Roman" w:cs="Times New Roman"/>
          <w:spacing w:val="1"/>
          <w:szCs w:val="24"/>
          <w:u w:val="single"/>
        </w:rPr>
        <w:t>.</w:t>
      </w:r>
    </w:p>
    <w:p w14:paraId="710D1922"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szCs w:val="24"/>
        </w:rPr>
      </w:pPr>
      <w:r w:rsidRPr="006F1EC6">
        <w:rPr>
          <w:rFonts w:eastAsia="Times New Roman" w:cs="Times New Roman"/>
          <w:szCs w:val="24"/>
        </w:rPr>
        <w:t>6.</w:t>
      </w:r>
      <w:r w:rsidRPr="006F1EC6">
        <w:rPr>
          <w:rFonts w:eastAsia="Times New Roman" w:cs="Times New Roman"/>
          <w:szCs w:val="24"/>
        </w:rPr>
        <w:tab/>
        <w:t>A listed vent connector.</w:t>
      </w:r>
      <w:r w:rsidRPr="006F1EC6">
        <w:rPr>
          <w:rFonts w:eastAsia="Times New Roman" w:cs="Times New Roman"/>
          <w:spacing w:val="1"/>
          <w:szCs w:val="24"/>
        </w:rPr>
        <w:t xml:space="preserve"> </w:t>
      </w:r>
    </w:p>
    <w:p w14:paraId="1E8A1C3F" w14:textId="77777777" w:rsidR="00140B7C" w:rsidRPr="006F1EC6" w:rsidRDefault="00140B7C" w:rsidP="00140B7C">
      <w:pPr>
        <w:autoSpaceDE w:val="0"/>
        <w:autoSpaceDN w:val="0"/>
        <w:adjustRightInd w:val="0"/>
        <w:spacing w:after="240" w:line="240" w:lineRule="auto"/>
        <w:ind w:left="720" w:firstLine="360"/>
        <w:jc w:val="both"/>
        <w:rPr>
          <w:rFonts w:eastAsia="Times New Roman" w:cs="Times New Roman"/>
          <w:szCs w:val="24"/>
        </w:rPr>
      </w:pPr>
      <w:r w:rsidRPr="006F1EC6">
        <w:rPr>
          <w:rFonts w:eastAsia="Times New Roman" w:cs="Times New Roman"/>
          <w:szCs w:val="24"/>
        </w:rPr>
        <w:t>Vent connectors shall not be covered with insulation.</w:t>
      </w:r>
    </w:p>
    <w:p w14:paraId="336A7022" w14:textId="77777777" w:rsidR="00140B7C" w:rsidRPr="006F1EC6" w:rsidRDefault="00140B7C" w:rsidP="00140B7C">
      <w:pPr>
        <w:autoSpaceDE w:val="0"/>
        <w:autoSpaceDN w:val="0"/>
        <w:adjustRightInd w:val="0"/>
        <w:spacing w:after="240" w:line="240" w:lineRule="auto"/>
        <w:ind w:left="1080"/>
        <w:jc w:val="both"/>
        <w:rPr>
          <w:rFonts w:eastAsia="Times New Roman" w:cs="Times New Roman"/>
          <w:szCs w:val="24"/>
        </w:rPr>
      </w:pPr>
      <w:r w:rsidRPr="006F1EC6">
        <w:rPr>
          <w:rFonts w:eastAsia="Times New Roman" w:cs="Times New Roman"/>
          <w:b/>
          <w:szCs w:val="24"/>
        </w:rPr>
        <w:t>[</w:t>
      </w:r>
      <w:r w:rsidRPr="006F1EC6">
        <w:rPr>
          <w:rFonts w:eastAsia="Times New Roman" w:cs="Times New Roman"/>
          <w:b/>
          <w:strike/>
          <w:szCs w:val="24"/>
        </w:rPr>
        <w:t>Exception:</w:t>
      </w:r>
      <w:r w:rsidRPr="006F1EC6">
        <w:rPr>
          <w:rFonts w:eastAsia="Times New Roman" w:cs="Times New Roman"/>
          <w:strike/>
          <w:szCs w:val="24"/>
        </w:rPr>
        <w:t xml:space="preserve"> Listed insulated vent connectors shall be installed </w:t>
      </w:r>
      <w:r w:rsidRPr="006F1EC6">
        <w:rPr>
          <w:rFonts w:eastAsia="Times New Roman" w:cs="Times New Roman"/>
          <w:strike/>
          <w:spacing w:val="1"/>
          <w:szCs w:val="24"/>
        </w:rPr>
        <w:t>according to the terms of their listing,</w:t>
      </w:r>
      <w:r w:rsidRPr="006F1EC6">
        <w:rPr>
          <w:rFonts w:eastAsia="Times New Roman" w:cs="Times New Roman"/>
          <w:strike/>
          <w:szCs w:val="24"/>
        </w:rPr>
        <w:t xml:space="preserve"> the manufacturer’s instructions and Section 803.10.4 of the </w:t>
      </w:r>
      <w:r w:rsidRPr="006F1EC6">
        <w:rPr>
          <w:rFonts w:eastAsia="Times New Roman" w:cs="Times New Roman"/>
          <w:i/>
          <w:strike/>
          <w:szCs w:val="24"/>
        </w:rPr>
        <w:t>New York City Mechanical Code</w:t>
      </w:r>
      <w:r w:rsidRPr="006F1EC6">
        <w:rPr>
          <w:rFonts w:eastAsia="Times New Roman" w:cs="Times New Roman"/>
          <w:strike/>
          <w:szCs w:val="24"/>
        </w:rPr>
        <w:t>.</w:t>
      </w:r>
      <w:r w:rsidRPr="006F1EC6">
        <w:rPr>
          <w:rFonts w:eastAsia="Times New Roman" w:cs="Times New Roman"/>
          <w:szCs w:val="24"/>
        </w:rPr>
        <w:t>]</w:t>
      </w:r>
    </w:p>
    <w:p w14:paraId="155C9AA0" w14:textId="187B4674" w:rsidR="00140B7C" w:rsidRPr="006F1EC6" w:rsidRDefault="00140B7C" w:rsidP="00140B7C">
      <w:pPr>
        <w:kinsoku w:val="0"/>
        <w:spacing w:after="240" w:line="240" w:lineRule="auto"/>
        <w:ind w:firstLine="720"/>
        <w:jc w:val="both"/>
        <w:rPr>
          <w:rFonts w:eastAsia="Times New Roman" w:cs="Times New Roman"/>
          <w:b/>
          <w:bCs/>
          <w:szCs w:val="24"/>
        </w:rPr>
      </w:pPr>
      <w:r w:rsidRPr="006F1EC6">
        <w:rPr>
          <w:rFonts w:cs="Times New Roman"/>
          <w:sz w:val="23"/>
          <w:szCs w:val="23"/>
        </w:rPr>
        <w:t>§35</w:t>
      </w:r>
      <w:r w:rsidR="00A246DC">
        <w:rPr>
          <w:rFonts w:cs="Times New Roman"/>
          <w:sz w:val="23"/>
          <w:szCs w:val="23"/>
        </w:rPr>
        <w:t>9</w:t>
      </w:r>
      <w:r w:rsidRPr="006F1EC6">
        <w:rPr>
          <w:rFonts w:cs="Times New Roman"/>
          <w:sz w:val="23"/>
          <w:szCs w:val="23"/>
        </w:rPr>
        <w:t>. Section 503.10.2.4 of  the New York city fuel gas code, as amended by local law number 126 for the year 2021, is amended to read as follows:</w:t>
      </w:r>
    </w:p>
    <w:p w14:paraId="1CA4B089" w14:textId="77777777" w:rsidR="00140B7C" w:rsidRPr="006F1EC6" w:rsidRDefault="00140B7C" w:rsidP="00140B7C">
      <w:pPr>
        <w:autoSpaceDE w:val="0"/>
        <w:autoSpaceDN w:val="0"/>
        <w:adjustRightInd w:val="0"/>
        <w:spacing w:after="240" w:line="240" w:lineRule="auto"/>
        <w:jc w:val="both"/>
        <w:rPr>
          <w:rFonts w:eastAsia="Times New Roman" w:cs="Times New Roman"/>
          <w:spacing w:val="1"/>
          <w:szCs w:val="24"/>
        </w:rPr>
      </w:pPr>
      <w:bookmarkStart w:id="265" w:name="_Toc388003281"/>
      <w:r w:rsidRPr="006F1EC6">
        <w:rPr>
          <w:rFonts w:eastAsia="Times New Roman" w:cs="Times New Roman"/>
          <w:b/>
          <w:bCs/>
          <w:iCs/>
          <w:szCs w:val="24"/>
        </w:rPr>
        <w:t>[</w:t>
      </w:r>
      <w:r w:rsidRPr="006F1EC6">
        <w:rPr>
          <w:rFonts w:eastAsia="Times New Roman" w:cs="Times New Roman"/>
          <w:b/>
          <w:bCs/>
          <w:iCs/>
          <w:strike/>
          <w:szCs w:val="24"/>
        </w:rPr>
        <w:t>503.10.2.4</w:t>
      </w:r>
      <w:r w:rsidRPr="006F1EC6">
        <w:rPr>
          <w:rFonts w:eastAsia="Times New Roman" w:cs="Times New Roman"/>
          <w:b/>
          <w:bCs/>
          <w:iCs/>
          <w:szCs w:val="24"/>
        </w:rPr>
        <w:t>]</w:t>
      </w:r>
      <w:r w:rsidRPr="006F1EC6">
        <w:rPr>
          <w:rFonts w:eastAsia="Times New Roman" w:cs="Times New Roman"/>
          <w:b/>
          <w:bCs/>
          <w:iCs/>
          <w:szCs w:val="24"/>
          <w:u w:val="single"/>
        </w:rPr>
        <w:t>503.10.2.3.2</w:t>
      </w:r>
      <w:r w:rsidRPr="006F1EC6">
        <w:rPr>
          <w:rFonts w:eastAsia="Times New Roman" w:cs="Times New Roman"/>
          <w:b/>
          <w:bCs/>
          <w:iCs/>
          <w:szCs w:val="24"/>
        </w:rPr>
        <w:t xml:space="preserve"> Low-heat [</w:t>
      </w:r>
      <w:r w:rsidRPr="006F1EC6">
        <w:rPr>
          <w:rFonts w:eastAsia="Times New Roman" w:cs="Times New Roman"/>
          <w:b/>
          <w:bCs/>
          <w:iCs/>
          <w:strike/>
          <w:szCs w:val="24"/>
        </w:rPr>
        <w:t>equipment</w:t>
      </w:r>
      <w:r w:rsidRPr="006F1EC6">
        <w:rPr>
          <w:rFonts w:eastAsia="Times New Roman" w:cs="Times New Roman"/>
          <w:b/>
          <w:bCs/>
          <w:iCs/>
          <w:szCs w:val="24"/>
        </w:rPr>
        <w:t xml:space="preserve">] </w:t>
      </w:r>
      <w:r w:rsidRPr="006F1EC6">
        <w:rPr>
          <w:rFonts w:eastAsia="Times New Roman" w:cs="Times New Roman"/>
          <w:b/>
          <w:bCs/>
          <w:iCs/>
          <w:szCs w:val="24"/>
          <w:u w:val="single"/>
        </w:rPr>
        <w:t>appliances</w:t>
      </w:r>
      <w:r w:rsidRPr="006F1EC6">
        <w:rPr>
          <w:rFonts w:eastAsia="Times New Roman" w:cs="Times New Roman"/>
          <w:b/>
          <w:bCs/>
          <w:iCs/>
          <w:szCs w:val="24"/>
        </w:rPr>
        <w:t>.</w:t>
      </w:r>
      <w:bookmarkEnd w:id="265"/>
      <w:r w:rsidRPr="006F1EC6">
        <w:rPr>
          <w:rFonts w:eastAsia="Times New Roman" w:cs="Times New Roman"/>
          <w:b/>
          <w:bCs/>
          <w:spacing w:val="-5"/>
          <w:w w:val="110"/>
          <w:szCs w:val="24"/>
        </w:rPr>
        <w:t xml:space="preserve"> </w:t>
      </w:r>
      <w:r w:rsidRPr="006F1EC6">
        <w:rPr>
          <w:rFonts w:eastAsia="Times New Roman" w:cs="Times New Roman"/>
          <w:szCs w:val="24"/>
        </w:rPr>
        <w:t>A vent connector for [</w:t>
      </w:r>
      <w:r w:rsidRPr="006F1EC6">
        <w:rPr>
          <w:rFonts w:eastAsia="Times New Roman" w:cs="Times New Roman"/>
          <w:strike/>
          <w:szCs w:val="24"/>
        </w:rPr>
        <w:t>a nonresidential,</w:t>
      </w:r>
      <w:r w:rsidRPr="006F1EC6">
        <w:rPr>
          <w:rFonts w:eastAsia="Times New Roman" w:cs="Times New Roman"/>
          <w:szCs w:val="24"/>
        </w:rPr>
        <w:t>] low-heat  [</w:t>
      </w:r>
      <w:r w:rsidRPr="006F1EC6">
        <w:rPr>
          <w:rFonts w:eastAsia="Times New Roman" w:cs="Times New Roman"/>
          <w:strike/>
          <w:szCs w:val="24"/>
        </w:rPr>
        <w:t>appliance</w:t>
      </w:r>
      <w:r w:rsidRPr="006F1EC6">
        <w:rPr>
          <w:rFonts w:eastAsia="Times New Roman" w:cs="Times New Roman"/>
          <w:szCs w:val="24"/>
        </w:rPr>
        <w:t xml:space="preserve">] </w:t>
      </w:r>
      <w:r w:rsidRPr="006F1EC6">
        <w:rPr>
          <w:rFonts w:eastAsia="Times New Roman" w:cs="Times New Roman"/>
          <w:szCs w:val="24"/>
          <w:u w:val="single"/>
        </w:rPr>
        <w:t>appliances</w:t>
      </w:r>
      <w:r w:rsidRPr="006F1EC6">
        <w:rPr>
          <w:rFonts w:eastAsia="Times New Roman" w:cs="Times New Roman"/>
          <w:szCs w:val="24"/>
        </w:rPr>
        <w:t xml:space="preserve"> shall be a </w:t>
      </w:r>
      <w:r w:rsidRPr="006F1EC6">
        <w:rPr>
          <w:rFonts w:eastAsia="Times New Roman" w:cs="Times New Roman"/>
          <w:spacing w:val="1"/>
          <w:szCs w:val="24"/>
        </w:rPr>
        <w:t>factory-built</w:t>
      </w:r>
      <w:r w:rsidRPr="006F1EC6">
        <w:rPr>
          <w:rFonts w:eastAsia="Times New Roman" w:cs="Times New Roman"/>
          <w:szCs w:val="24"/>
        </w:rPr>
        <w:t xml:space="preserve"> chimney section or steel pipe having resistance to heat and corrosion equivalent to that for the appropriate galvanized pipe as specified in Table 503.10.2.4. Factory-built chimney sections shall be joined together in accordance with the chimney manufacturer’s instruction</w:t>
      </w:r>
      <w:r w:rsidRPr="006F1EC6">
        <w:rPr>
          <w:rFonts w:eastAsia="Times New Roman" w:cs="Times New Roman"/>
          <w:spacing w:val="1"/>
          <w:szCs w:val="24"/>
        </w:rPr>
        <w:t>s.</w:t>
      </w:r>
    </w:p>
    <w:p w14:paraId="75154B63" w14:textId="7447DE17" w:rsidR="00140B7C" w:rsidRPr="006F1EC6" w:rsidRDefault="00140B7C" w:rsidP="00140B7C">
      <w:pPr>
        <w:kinsoku w:val="0"/>
        <w:spacing w:after="240" w:line="240" w:lineRule="auto"/>
        <w:ind w:firstLine="720"/>
        <w:jc w:val="both"/>
        <w:rPr>
          <w:rFonts w:eastAsia="Times New Roman" w:cs="Times New Roman"/>
          <w:b/>
          <w:bCs/>
          <w:szCs w:val="24"/>
        </w:rPr>
      </w:pPr>
      <w:bookmarkStart w:id="266" w:name="_Toc388003283"/>
      <w:r w:rsidRPr="006F1EC6">
        <w:rPr>
          <w:rFonts w:cs="Times New Roman"/>
          <w:sz w:val="23"/>
          <w:szCs w:val="23"/>
        </w:rPr>
        <w:t>§3</w:t>
      </w:r>
      <w:r w:rsidR="00A246DC">
        <w:rPr>
          <w:rFonts w:cs="Times New Roman"/>
          <w:sz w:val="23"/>
          <w:szCs w:val="23"/>
        </w:rPr>
        <w:t>60</w:t>
      </w:r>
      <w:r w:rsidRPr="006F1EC6">
        <w:rPr>
          <w:rFonts w:cs="Times New Roman"/>
          <w:sz w:val="23"/>
          <w:szCs w:val="23"/>
        </w:rPr>
        <w:t>. Section 503.10.2.5 of  the New York city fuel gas code, as amended by local law number 126 for the year 2021, is amended to read as follows:</w:t>
      </w:r>
    </w:p>
    <w:p w14:paraId="4CFA0A14" w14:textId="77777777" w:rsidR="00140B7C" w:rsidRPr="006F1EC6" w:rsidRDefault="00140B7C" w:rsidP="00140B7C">
      <w:pPr>
        <w:autoSpaceDE w:val="0"/>
        <w:autoSpaceDN w:val="0"/>
        <w:adjustRightInd w:val="0"/>
        <w:spacing w:after="240" w:line="240" w:lineRule="auto"/>
        <w:jc w:val="both"/>
        <w:rPr>
          <w:rFonts w:eastAsia="Times New Roman" w:cs="Times New Roman"/>
          <w:b/>
          <w:bCs/>
          <w:szCs w:val="24"/>
          <w:u w:val="single"/>
        </w:rPr>
      </w:pPr>
      <w:r w:rsidRPr="006F1EC6">
        <w:rPr>
          <w:rFonts w:eastAsia="Times New Roman" w:cs="Times New Roman"/>
          <w:b/>
          <w:bCs/>
          <w:iCs/>
          <w:szCs w:val="24"/>
        </w:rPr>
        <w:t>[</w:t>
      </w:r>
      <w:r w:rsidRPr="006F1EC6">
        <w:rPr>
          <w:rFonts w:eastAsia="Times New Roman" w:cs="Times New Roman"/>
          <w:b/>
          <w:bCs/>
          <w:iCs/>
          <w:strike/>
          <w:szCs w:val="24"/>
        </w:rPr>
        <w:t>503.10.2.5</w:t>
      </w:r>
      <w:r w:rsidRPr="006F1EC6">
        <w:rPr>
          <w:rFonts w:eastAsia="Times New Roman" w:cs="Times New Roman"/>
          <w:b/>
          <w:bCs/>
          <w:iCs/>
          <w:szCs w:val="24"/>
        </w:rPr>
        <w:t>]</w:t>
      </w:r>
      <w:r w:rsidRPr="006F1EC6">
        <w:rPr>
          <w:rFonts w:eastAsia="Times New Roman" w:cs="Times New Roman"/>
          <w:b/>
          <w:bCs/>
          <w:iCs/>
          <w:szCs w:val="24"/>
          <w:u w:val="single"/>
        </w:rPr>
        <w:t>503.10.2.3.3</w:t>
      </w:r>
      <w:r w:rsidRPr="006F1EC6">
        <w:rPr>
          <w:rFonts w:eastAsia="Times New Roman" w:cs="Times New Roman"/>
          <w:b/>
          <w:bCs/>
          <w:iCs/>
          <w:szCs w:val="24"/>
        </w:rPr>
        <w:t xml:space="preserve"> Medium-heat appliances</w:t>
      </w:r>
      <w:bookmarkEnd w:id="266"/>
      <w:r w:rsidRPr="006F1EC6">
        <w:rPr>
          <w:rFonts w:eastAsia="Times New Roman" w:cs="Times New Roman"/>
          <w:b/>
          <w:szCs w:val="24"/>
        </w:rPr>
        <w:t>.</w:t>
      </w:r>
      <w:r w:rsidRPr="006F1EC6">
        <w:rPr>
          <w:rFonts w:eastAsia="Times New Roman" w:cs="Times New Roman"/>
          <w:b/>
          <w:bCs/>
          <w:spacing w:val="-4"/>
          <w:w w:val="110"/>
          <w:szCs w:val="24"/>
        </w:rPr>
        <w:t xml:space="preserve"> </w:t>
      </w:r>
      <w:r w:rsidRPr="006F1EC6">
        <w:rPr>
          <w:rFonts w:eastAsia="Times New Roman" w:cs="Times New Roman"/>
          <w:szCs w:val="24"/>
        </w:rPr>
        <w:t>Vent connectors for medium-heat appliances</w:t>
      </w:r>
      <w:r w:rsidRPr="006F1EC6">
        <w:rPr>
          <w:rFonts w:eastAsia="Times New Roman" w:cs="Times New Roman"/>
          <w:spacing w:val="1"/>
          <w:szCs w:val="24"/>
        </w:rPr>
        <w:t xml:space="preserve"> </w:t>
      </w:r>
      <w:r w:rsidRPr="006F1EC6">
        <w:rPr>
          <w:rFonts w:eastAsia="Times New Roman" w:cs="Times New Roman"/>
          <w:szCs w:val="24"/>
        </w:rPr>
        <w:t>shall be constructed of factory-built medium-heat chimney sections or steel of a thickness not less than that specified in Table 503.10.2.5 and shall comply with the following</w:t>
      </w:r>
      <w:r w:rsidRPr="006F1EC6">
        <w:rPr>
          <w:rFonts w:eastAsia="Times New Roman" w:cs="Times New Roman"/>
          <w:spacing w:val="1"/>
          <w:szCs w:val="24"/>
        </w:rPr>
        <w:t>:</w:t>
      </w:r>
    </w:p>
    <w:p w14:paraId="2F617782"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b/>
          <w:bCs/>
          <w:szCs w:val="24"/>
          <w:u w:val="single"/>
        </w:rPr>
      </w:pPr>
      <w:r w:rsidRPr="006F1EC6">
        <w:rPr>
          <w:rFonts w:eastAsia="Times New Roman" w:cs="Times New Roman"/>
          <w:szCs w:val="24"/>
        </w:rPr>
        <w:t>1.</w:t>
      </w:r>
      <w:r w:rsidRPr="006F1EC6">
        <w:rPr>
          <w:rFonts w:eastAsia="Times New Roman" w:cs="Times New Roman"/>
          <w:szCs w:val="24"/>
        </w:rPr>
        <w:tab/>
        <w:t xml:space="preserve">A steel vent connector for an </w:t>
      </w:r>
      <w:r w:rsidRPr="006F1EC6">
        <w:rPr>
          <w:rFonts w:eastAsia="Times New Roman" w:cs="Times New Roman"/>
          <w:spacing w:val="1"/>
          <w:szCs w:val="24"/>
        </w:rPr>
        <w:t>appliance with</w:t>
      </w:r>
      <w:r w:rsidRPr="006F1EC6">
        <w:rPr>
          <w:rFonts w:eastAsia="Times New Roman" w:cs="Times New Roman"/>
          <w:szCs w:val="24"/>
        </w:rPr>
        <w:t xml:space="preserve"> a vent gas temperature in excess of </w:t>
      </w:r>
      <w:r w:rsidRPr="006F1EC6">
        <w:rPr>
          <w:rFonts w:eastAsia="Times New Roman" w:cs="Times New Roman"/>
          <w:spacing w:val="1"/>
          <w:szCs w:val="24"/>
        </w:rPr>
        <w:t>1000</w:t>
      </w:r>
      <w:r w:rsidRPr="006F1EC6">
        <w:rPr>
          <w:rFonts w:eastAsia="Times New Roman" w:cs="Times New Roman"/>
          <w:szCs w:val="24"/>
        </w:rPr>
        <w:t>°F (537.8°C</w:t>
      </w:r>
      <w:r w:rsidRPr="006F1EC6">
        <w:rPr>
          <w:rFonts w:eastAsia="Times New Roman" w:cs="Times New Roman"/>
          <w:spacing w:val="1"/>
          <w:szCs w:val="24"/>
        </w:rPr>
        <w:t xml:space="preserve">) </w:t>
      </w:r>
      <w:r w:rsidRPr="006F1EC6">
        <w:rPr>
          <w:rFonts w:eastAsia="Times New Roman" w:cs="Times New Roman"/>
          <w:szCs w:val="24"/>
        </w:rPr>
        <w:t>measured at the entrance to the connector shall be lined with medium-duty fire brick (ASTM C 64, Type F), or the equivalent.</w:t>
      </w:r>
    </w:p>
    <w:p w14:paraId="493292B0"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b/>
          <w:bCs/>
          <w:szCs w:val="24"/>
        </w:rPr>
      </w:pPr>
      <w:r w:rsidRPr="006F1EC6">
        <w:rPr>
          <w:rFonts w:eastAsia="Times New Roman" w:cs="Times New Roman"/>
          <w:szCs w:val="24"/>
        </w:rPr>
        <w:t>2.</w:t>
      </w:r>
      <w:r w:rsidRPr="006F1EC6">
        <w:rPr>
          <w:rFonts w:eastAsia="Times New Roman" w:cs="Times New Roman"/>
          <w:szCs w:val="24"/>
        </w:rPr>
        <w:tab/>
        <w:t>The lining shall be</w:t>
      </w:r>
      <w:r w:rsidRPr="006F1EC6">
        <w:rPr>
          <w:rFonts w:eastAsia="Times New Roman" w:cs="Times New Roman"/>
          <w:spacing w:val="1"/>
          <w:szCs w:val="24"/>
        </w:rPr>
        <w:t xml:space="preserve"> not less than 2½ inches (63.5 mm) </w:t>
      </w:r>
      <w:r w:rsidRPr="006F1EC6">
        <w:rPr>
          <w:rFonts w:eastAsia="Times New Roman" w:cs="Times New Roman"/>
          <w:szCs w:val="24"/>
        </w:rPr>
        <w:t>thick for a vent connector having a diameter or greatest cross-sectional dimension of 18 inches (457.2 mm) or less</w:t>
      </w:r>
      <w:r w:rsidRPr="006F1EC6">
        <w:rPr>
          <w:rFonts w:eastAsia="Times New Roman" w:cs="Times New Roman"/>
          <w:szCs w:val="24"/>
          <w:u w:val="single"/>
        </w:rPr>
        <w:t>.</w:t>
      </w:r>
      <w:r w:rsidRPr="006F1EC6">
        <w:rPr>
          <w:rFonts w:eastAsia="Times New Roman" w:cs="Times New Roman"/>
          <w:szCs w:val="24"/>
        </w:rPr>
        <w:t xml:space="preserve"> </w:t>
      </w:r>
      <w:r w:rsidRPr="006F1EC6">
        <w:rPr>
          <w:rFonts w:eastAsia="Times New Roman" w:cs="Times New Roman"/>
          <w:spacing w:val="1"/>
          <w:szCs w:val="24"/>
        </w:rPr>
        <w:t xml:space="preserve"> </w:t>
      </w:r>
    </w:p>
    <w:p w14:paraId="34324952" w14:textId="77777777" w:rsidR="00140B7C" w:rsidRPr="006F1EC6" w:rsidRDefault="00140B7C" w:rsidP="00140B7C">
      <w:pPr>
        <w:autoSpaceDE w:val="0"/>
        <w:autoSpaceDN w:val="0"/>
        <w:adjustRightInd w:val="0"/>
        <w:spacing w:after="240" w:line="240" w:lineRule="auto"/>
        <w:ind w:left="1440" w:hanging="360"/>
        <w:jc w:val="both"/>
        <w:rPr>
          <w:rFonts w:eastAsia="Times New Roman" w:cs="Times New Roman"/>
          <w:b/>
          <w:bCs/>
          <w:szCs w:val="24"/>
        </w:rPr>
      </w:pPr>
      <w:r w:rsidRPr="006F1EC6">
        <w:rPr>
          <w:rFonts w:eastAsia="Times New Roman" w:cs="Times New Roman"/>
          <w:szCs w:val="24"/>
        </w:rPr>
        <w:t>3.</w:t>
      </w:r>
      <w:r w:rsidRPr="006F1EC6">
        <w:rPr>
          <w:rFonts w:eastAsia="Times New Roman" w:cs="Times New Roman"/>
          <w:szCs w:val="24"/>
        </w:rPr>
        <w:tab/>
        <w:t>The lining shall be</w:t>
      </w:r>
      <w:r w:rsidRPr="006F1EC6">
        <w:rPr>
          <w:rFonts w:eastAsia="Times New Roman" w:cs="Times New Roman"/>
          <w:spacing w:val="1"/>
          <w:szCs w:val="24"/>
        </w:rPr>
        <w:t xml:space="preserve"> </w:t>
      </w:r>
      <w:r w:rsidRPr="006F1EC6">
        <w:rPr>
          <w:rFonts w:eastAsia="Times New Roman" w:cs="Times New Roman"/>
          <w:szCs w:val="24"/>
        </w:rPr>
        <w:t>not less than 4½</w:t>
      </w:r>
      <w:r w:rsidRPr="006F1EC6">
        <w:rPr>
          <w:rFonts w:eastAsia="Calibri" w:cs="Times New Roman"/>
          <w:szCs w:val="24"/>
        </w:rPr>
        <w:t xml:space="preserve"> </w:t>
      </w:r>
      <w:r w:rsidRPr="006F1EC6">
        <w:rPr>
          <w:rFonts w:eastAsia="Times New Roman" w:cs="Times New Roman"/>
          <w:szCs w:val="24"/>
        </w:rPr>
        <w:t>inches (</w:t>
      </w:r>
      <w:r w:rsidRPr="006F1EC6">
        <w:rPr>
          <w:rFonts w:eastAsia="Times New Roman" w:cs="Times New Roman"/>
          <w:spacing w:val="1"/>
          <w:szCs w:val="24"/>
        </w:rPr>
        <w:t>114.3 mm</w:t>
      </w:r>
      <w:r w:rsidRPr="006F1EC6">
        <w:rPr>
          <w:rFonts w:eastAsia="Times New Roman" w:cs="Times New Roman"/>
          <w:szCs w:val="24"/>
        </w:rPr>
        <w:t xml:space="preserve">) thick laid on the </w:t>
      </w:r>
      <w:r w:rsidRPr="006F1EC6">
        <w:rPr>
          <w:rFonts w:eastAsia="Times New Roman" w:cs="Times New Roman"/>
          <w:spacing w:val="1"/>
          <w:szCs w:val="24"/>
        </w:rPr>
        <w:t>4</w:t>
      </w:r>
      <w:r w:rsidRPr="006F1EC6">
        <w:rPr>
          <w:rFonts w:eastAsia="Times New Roman" w:cs="Times New Roman"/>
          <w:szCs w:val="24"/>
        </w:rPr>
        <w:t>½</w:t>
      </w:r>
      <w:r w:rsidRPr="006F1EC6">
        <w:rPr>
          <w:rFonts w:eastAsia="Times New Roman" w:cs="Times New Roman"/>
          <w:spacing w:val="1"/>
          <w:szCs w:val="24"/>
        </w:rPr>
        <w:t>-</w:t>
      </w:r>
      <w:r w:rsidRPr="006F1EC6">
        <w:rPr>
          <w:rFonts w:eastAsia="Times New Roman" w:cs="Times New Roman"/>
          <w:szCs w:val="24"/>
        </w:rPr>
        <w:t>inch (114.3 mm) bed for a vent connector having a diameter or greatest cross</w:t>
      </w:r>
      <w:r w:rsidRPr="006F1EC6">
        <w:rPr>
          <w:rFonts w:eastAsia="Times New Roman" w:cs="Times New Roman"/>
          <w:spacing w:val="1"/>
          <w:szCs w:val="24"/>
        </w:rPr>
        <w:t xml:space="preserve">-sectional </w:t>
      </w:r>
      <w:r w:rsidRPr="006F1EC6">
        <w:rPr>
          <w:rFonts w:eastAsia="Times New Roman" w:cs="Times New Roman"/>
          <w:szCs w:val="24"/>
        </w:rPr>
        <w:t>dimension greater than 18 inches (457.2 mm</w:t>
      </w:r>
      <w:r w:rsidRPr="006F1EC6">
        <w:rPr>
          <w:rFonts w:eastAsia="Times New Roman" w:cs="Times New Roman"/>
          <w:spacing w:val="1"/>
          <w:szCs w:val="24"/>
        </w:rPr>
        <w:t>).</w:t>
      </w:r>
    </w:p>
    <w:p w14:paraId="0833B166" w14:textId="77777777" w:rsidR="00140B7C" w:rsidRPr="00EC4EC4" w:rsidRDefault="00140B7C" w:rsidP="00140B7C">
      <w:pPr>
        <w:autoSpaceDE w:val="0"/>
        <w:autoSpaceDN w:val="0"/>
        <w:adjustRightInd w:val="0"/>
        <w:spacing w:after="240" w:line="240" w:lineRule="auto"/>
        <w:ind w:left="1440" w:hanging="360"/>
        <w:jc w:val="both"/>
        <w:rPr>
          <w:rFonts w:eastAsia="Times New Roman" w:cs="Times New Roman"/>
          <w:spacing w:val="1"/>
          <w:szCs w:val="24"/>
        </w:rPr>
      </w:pPr>
      <w:r w:rsidRPr="006F1EC6">
        <w:rPr>
          <w:rFonts w:eastAsia="Times New Roman" w:cs="Times New Roman"/>
          <w:szCs w:val="24"/>
        </w:rPr>
        <w:t>4.</w:t>
      </w:r>
      <w:r w:rsidRPr="006F1EC6">
        <w:rPr>
          <w:rFonts w:eastAsia="Times New Roman" w:cs="Times New Roman"/>
          <w:szCs w:val="24"/>
        </w:rPr>
        <w:tab/>
        <w:t xml:space="preserve">Factory-built chimney sections, if employed, shall be joined </w:t>
      </w:r>
      <w:r w:rsidRPr="006F1EC6">
        <w:rPr>
          <w:rFonts w:eastAsia="Times New Roman" w:cs="Times New Roman"/>
          <w:spacing w:val="1"/>
          <w:szCs w:val="24"/>
        </w:rPr>
        <w:t>together in</w:t>
      </w:r>
      <w:r w:rsidRPr="006F1EC6">
        <w:rPr>
          <w:rFonts w:eastAsia="Times New Roman" w:cs="Times New Roman"/>
          <w:szCs w:val="24"/>
        </w:rPr>
        <w:t xml:space="preserve"> accordance with the chimney manufacturer’s instructions</w:t>
      </w:r>
      <w:r w:rsidRPr="006F1EC6">
        <w:rPr>
          <w:rFonts w:eastAsia="Times New Roman" w:cs="Times New Roman"/>
          <w:spacing w:val="1"/>
          <w:szCs w:val="24"/>
        </w:rPr>
        <w:t>.</w:t>
      </w:r>
    </w:p>
    <w:p w14:paraId="42294B07" w14:textId="3C107F1B"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A246DC">
        <w:rPr>
          <w:rFonts w:cs="Times New Roman"/>
          <w:sz w:val="23"/>
          <w:szCs w:val="23"/>
        </w:rPr>
        <w:t>61</w:t>
      </w:r>
      <w:r w:rsidRPr="00EC4EC4">
        <w:rPr>
          <w:rFonts w:cs="Times New Roman"/>
          <w:sz w:val="23"/>
          <w:szCs w:val="23"/>
        </w:rPr>
        <w:t>. Appendix E.3 of  the New York city fuel gas code, as amended by local law number 126 for the year 2021, is amended to read as follows:</w:t>
      </w:r>
    </w:p>
    <w:p w14:paraId="4530357E" w14:textId="77777777" w:rsidR="00140B7C" w:rsidRPr="00EC4EC4" w:rsidRDefault="00140B7C" w:rsidP="00140B7C">
      <w:pPr>
        <w:kinsoku w:val="0"/>
        <w:spacing w:after="240" w:line="240" w:lineRule="auto"/>
        <w:rPr>
          <w:rFonts w:eastAsia="Times New Roman" w:cs="Times New Roman"/>
          <w:spacing w:val="1"/>
          <w:szCs w:val="24"/>
        </w:rPr>
      </w:pPr>
      <w:r w:rsidRPr="00EC4EC4">
        <w:rPr>
          <w:rFonts w:eastAsia="Times New Roman" w:cs="Times New Roman"/>
          <w:b/>
          <w:szCs w:val="24"/>
        </w:rPr>
        <w:t>E.3 Gas meter location.</w:t>
      </w:r>
      <w:r w:rsidRPr="00EC4EC4">
        <w:rPr>
          <w:rFonts w:eastAsia="Times New Roman" w:cs="Times New Roman"/>
          <w:b/>
          <w:bCs/>
          <w:spacing w:val="-3"/>
          <w:w w:val="110"/>
          <w:szCs w:val="24"/>
        </w:rPr>
        <w:t xml:space="preserve"> </w:t>
      </w:r>
      <w:r w:rsidRPr="00EC4EC4">
        <w:rPr>
          <w:rFonts w:eastAsia="Times New Roman" w:cs="Times New Roman"/>
          <w:spacing w:val="1"/>
          <w:szCs w:val="24"/>
        </w:rPr>
        <w:t>Gas meter location shall comply with the following:</w:t>
      </w:r>
    </w:p>
    <w:p w14:paraId="6580F677" w14:textId="77777777" w:rsidR="00140B7C" w:rsidRPr="00EC4EC4" w:rsidRDefault="00140B7C" w:rsidP="00140B7C">
      <w:pPr>
        <w:kinsoku w:val="0"/>
        <w:spacing w:after="240" w:line="240" w:lineRule="auto"/>
        <w:ind w:left="720" w:hanging="360"/>
        <w:jc w:val="both"/>
        <w:rPr>
          <w:rFonts w:eastAsia="Times New Roman" w:cs="Times New Roman"/>
          <w:b/>
          <w:bCs/>
          <w:szCs w:val="24"/>
        </w:rPr>
      </w:pPr>
      <w:r w:rsidRPr="00EC4EC4">
        <w:rPr>
          <w:rFonts w:eastAsia="Times New Roman" w:cs="Times New Roman"/>
          <w:spacing w:val="1"/>
          <w:szCs w:val="24"/>
        </w:rPr>
        <w:t>1.</w:t>
      </w:r>
      <w:r w:rsidRPr="00EC4EC4">
        <w:rPr>
          <w:rFonts w:eastAsia="Times New Roman" w:cs="Times New Roman"/>
          <w:spacing w:val="1"/>
          <w:szCs w:val="24"/>
        </w:rPr>
        <w:tab/>
        <w:t>When located inside the building, meters shall be located as near as practicable to the point of entrance of the ser</w:t>
      </w:r>
      <w:r w:rsidRPr="00EC4EC4">
        <w:rPr>
          <w:rFonts w:eastAsia="Times New Roman" w:cs="Times New Roman"/>
          <w:spacing w:val="1"/>
          <w:szCs w:val="24"/>
        </w:rPr>
        <w:softHyphen/>
        <w:t>vice and, where possible, the meters shall be located in the cellar or basement unless otherwise permitted by the commissioner. The meter location shall be clean, dry, and free of refuse, steam or chemical fumes and located not less than 3 feet (</w:t>
      </w:r>
      <w:r w:rsidRPr="00EC4EC4">
        <w:rPr>
          <w:rFonts w:eastAsia="Times New Roman" w:cs="Times New Roman"/>
          <w:szCs w:val="24"/>
        </w:rPr>
        <w:t>914.4</w:t>
      </w:r>
      <w:r w:rsidRPr="00EC4EC4">
        <w:rPr>
          <w:rFonts w:eastAsia="Times New Roman" w:cs="Times New Roman"/>
          <w:spacing w:val="1"/>
          <w:szCs w:val="24"/>
        </w:rPr>
        <w:t xml:space="preserve"> mm) from any source of ignition or any source of heat which might cause damage to the meter. Meters shall be adequately protected against extreme cold or heat and shall be readily accessible for reading and inspection. The area in which the meter is located shall be properly ventilated as per Section E.4. Notwithstanding the fore</w:t>
      </w:r>
      <w:r w:rsidRPr="00EC4EC4">
        <w:rPr>
          <w:rFonts w:eastAsia="Times New Roman" w:cs="Times New Roman"/>
          <w:spacing w:val="1"/>
          <w:szCs w:val="24"/>
        </w:rPr>
        <w:softHyphen/>
        <w:t>going, outside meter installation shall be permitted in areas where the utility company certifies that dry gas is being distributed.</w:t>
      </w:r>
    </w:p>
    <w:p w14:paraId="1F7C2F50" w14:textId="77777777" w:rsidR="00140B7C" w:rsidRPr="00EC4EC4" w:rsidRDefault="00140B7C" w:rsidP="00140B7C">
      <w:pPr>
        <w:kinsoku w:val="0"/>
        <w:spacing w:after="240" w:line="240" w:lineRule="auto"/>
        <w:ind w:left="1080"/>
        <w:jc w:val="both"/>
        <w:rPr>
          <w:rFonts w:eastAsia="Times New Roman" w:cs="Times New Roman"/>
          <w:spacing w:val="1"/>
          <w:szCs w:val="24"/>
        </w:rPr>
      </w:pPr>
      <w:r w:rsidRPr="00EC4EC4">
        <w:rPr>
          <w:rFonts w:eastAsia="Times New Roman" w:cs="Times New Roman"/>
          <w:b/>
          <w:spacing w:val="1"/>
          <w:szCs w:val="24"/>
        </w:rPr>
        <w:t>Exception[</w:t>
      </w:r>
      <w:r w:rsidRPr="00EC4EC4">
        <w:rPr>
          <w:rFonts w:eastAsia="Times New Roman" w:cs="Times New Roman"/>
          <w:b/>
          <w:strike/>
          <w:spacing w:val="1"/>
          <w:szCs w:val="24"/>
        </w:rPr>
        <w:t>.</w:t>
      </w:r>
      <w:r w:rsidRPr="00EC4EC4">
        <w:rPr>
          <w:rFonts w:eastAsia="Times New Roman" w:cs="Times New Roman"/>
          <w:b/>
          <w:spacing w:val="1"/>
          <w:szCs w:val="24"/>
        </w:rPr>
        <w:t>]</w:t>
      </w:r>
      <w:r w:rsidRPr="00EC4EC4">
        <w:rPr>
          <w:rFonts w:eastAsia="Times New Roman" w:cs="Times New Roman"/>
          <w:b/>
          <w:spacing w:val="1"/>
          <w:szCs w:val="24"/>
          <w:u w:val="single"/>
        </w:rPr>
        <w:t>:</w:t>
      </w:r>
      <w:r w:rsidRPr="00EC4EC4">
        <w:rPr>
          <w:rFonts w:eastAsia="Times New Roman" w:cs="Times New Roman"/>
          <w:b/>
          <w:spacing w:val="1"/>
          <w:szCs w:val="24"/>
        </w:rPr>
        <w:t xml:space="preserve"> </w:t>
      </w:r>
      <w:r w:rsidRPr="00EC4EC4">
        <w:rPr>
          <w:rFonts w:eastAsia="Times New Roman" w:cs="Times New Roman"/>
          <w:spacing w:val="1"/>
          <w:szCs w:val="24"/>
        </w:rPr>
        <w:t>Gas meter locations in one- and two-family dwellings shall not require ventilation.</w:t>
      </w:r>
    </w:p>
    <w:p w14:paraId="7A2FE21B" w14:textId="77777777" w:rsidR="00140B7C" w:rsidRPr="00EC4EC4" w:rsidRDefault="00140B7C" w:rsidP="00140B7C">
      <w:pPr>
        <w:kinsoku w:val="0"/>
        <w:spacing w:after="240" w:line="240" w:lineRule="auto"/>
        <w:ind w:left="720" w:hanging="360"/>
        <w:jc w:val="both"/>
        <w:rPr>
          <w:rFonts w:eastAsia="Times New Roman" w:cs="Times New Roman"/>
          <w:spacing w:val="1"/>
          <w:szCs w:val="24"/>
        </w:rPr>
      </w:pPr>
      <w:r w:rsidRPr="00EC4EC4">
        <w:rPr>
          <w:rFonts w:eastAsia="Times New Roman" w:cs="Times New Roman"/>
          <w:spacing w:val="1"/>
          <w:szCs w:val="24"/>
        </w:rPr>
        <w:t>2.</w:t>
      </w:r>
      <w:r w:rsidRPr="00EC4EC4">
        <w:rPr>
          <w:rFonts w:eastAsia="Times New Roman" w:cs="Times New Roman"/>
          <w:spacing w:val="1"/>
          <w:szCs w:val="24"/>
        </w:rPr>
        <w:tab/>
        <w:t xml:space="preserve">No gas meter, other than the replacement of an existing meter shall be located in any boiler room or other room or space containing a heating boiler, in any stair hall, nor in any public hall above the cellar or above the lowest story if there is no cellar.  </w:t>
      </w:r>
    </w:p>
    <w:p w14:paraId="1A02220B" w14:textId="77777777" w:rsidR="00140B7C" w:rsidRPr="00EC4EC4" w:rsidRDefault="00140B7C" w:rsidP="00226293">
      <w:pPr>
        <w:numPr>
          <w:ilvl w:val="0"/>
          <w:numId w:val="32"/>
        </w:numPr>
        <w:tabs>
          <w:tab w:val="left" w:pos="720"/>
        </w:tabs>
        <w:kinsoku w:val="0"/>
        <w:spacing w:after="240" w:line="240" w:lineRule="auto"/>
        <w:ind w:left="720" w:hanging="360"/>
        <w:jc w:val="both"/>
        <w:rPr>
          <w:rFonts w:eastAsia="Times New Roman" w:cs="Times New Roman"/>
          <w:b/>
          <w:bCs/>
          <w:szCs w:val="24"/>
        </w:rPr>
      </w:pPr>
      <w:r w:rsidRPr="00EC4EC4">
        <w:rPr>
          <w:rFonts w:eastAsia="Times New Roman" w:cs="Times New Roman"/>
          <w:spacing w:val="1"/>
          <w:szCs w:val="24"/>
        </w:rPr>
        <w:t>Gas meter rooms, when provided, shall at all times be kept clear of all rubbish; and shall not be used in any way for storage purposes, including material or equipment of any kind. A legible sign reading “Gas meter room—No storage permitted” shall be permanently and conspicu</w:t>
      </w:r>
      <w:r w:rsidRPr="00EC4EC4">
        <w:rPr>
          <w:rFonts w:eastAsia="Times New Roman" w:cs="Times New Roman"/>
          <w:spacing w:val="1"/>
          <w:szCs w:val="24"/>
        </w:rPr>
        <w:softHyphen/>
        <w:t>ously posted on the exterior of the meter room door, except that the sign may be posted on the interior of the meter room door in Occupancy Group R-3. The lettering of such signs shall be of bold type at least 1 inch (</w:t>
      </w:r>
      <w:r w:rsidRPr="00EC4EC4">
        <w:rPr>
          <w:rFonts w:eastAsia="Times New Roman" w:cs="Times New Roman"/>
          <w:szCs w:val="24"/>
        </w:rPr>
        <w:t>25.4</w:t>
      </w:r>
      <w:r w:rsidRPr="00EC4EC4">
        <w:rPr>
          <w:rFonts w:eastAsia="Times New Roman" w:cs="Times New Roman"/>
          <w:spacing w:val="1"/>
          <w:szCs w:val="24"/>
        </w:rPr>
        <w:t xml:space="preserve"> mm) in height and shall be properly spaced to provide good legibility. The lettering and background shall be of con</w:t>
      </w:r>
      <w:r w:rsidRPr="00EC4EC4">
        <w:rPr>
          <w:rFonts w:eastAsia="Times New Roman" w:cs="Times New Roman"/>
          <w:spacing w:val="1"/>
          <w:szCs w:val="24"/>
        </w:rPr>
        <w:softHyphen/>
        <w:t>trasting colors. Where gas meters and related equipment are not located in a separate room but are located in an open floor area, no combustible material shall be stored or kept within 5 feet (1524 mm) of such equipment; nor shall the gas meter be within 3 feet (</w:t>
      </w:r>
      <w:r w:rsidRPr="00EC4EC4">
        <w:rPr>
          <w:rFonts w:eastAsia="Times New Roman" w:cs="Times New Roman"/>
          <w:szCs w:val="24"/>
        </w:rPr>
        <w:t>914.4</w:t>
      </w:r>
      <w:r w:rsidRPr="00EC4EC4">
        <w:rPr>
          <w:rFonts w:eastAsia="Times New Roman" w:cs="Times New Roman"/>
          <w:spacing w:val="1"/>
          <w:szCs w:val="24"/>
        </w:rPr>
        <w:t xml:space="preserve"> mm) of any heat</w:t>
      </w:r>
      <w:r w:rsidRPr="00EC4EC4">
        <w:rPr>
          <w:rFonts w:eastAsia="Times New Roman" w:cs="Times New Roman"/>
          <w:spacing w:val="1"/>
          <w:szCs w:val="24"/>
        </w:rPr>
        <w:softHyphen/>
        <w:t>ing boiler or sources of ignition and, except Occupancy Group R-3, there shall be a physical barrier required if the room is also used for storage purposes or the like.</w:t>
      </w:r>
    </w:p>
    <w:p w14:paraId="5EE0B9C4" w14:textId="77777777" w:rsidR="00140B7C" w:rsidRPr="00EC4EC4" w:rsidRDefault="00140B7C" w:rsidP="00226293">
      <w:pPr>
        <w:numPr>
          <w:ilvl w:val="0"/>
          <w:numId w:val="32"/>
        </w:numPr>
        <w:kinsoku w:val="0"/>
        <w:spacing w:after="240" w:line="240" w:lineRule="auto"/>
        <w:jc w:val="both"/>
        <w:rPr>
          <w:rFonts w:eastAsia="Times New Roman" w:cs="Times New Roman"/>
          <w:spacing w:val="1"/>
          <w:szCs w:val="24"/>
        </w:rPr>
      </w:pPr>
      <w:r w:rsidRPr="00EC4EC4">
        <w:rPr>
          <w:rFonts w:eastAsia="Times New Roman" w:cs="Times New Roman"/>
          <w:spacing w:val="1"/>
          <w:szCs w:val="24"/>
        </w:rPr>
        <w:t>The installation of gas meter piping shall be made in accordance with the requirements of this code and the local utility company.</w:t>
      </w:r>
    </w:p>
    <w:p w14:paraId="6E436FC3" w14:textId="77777777" w:rsidR="00140B7C" w:rsidRPr="00EC4EC4" w:rsidRDefault="00140B7C" w:rsidP="00226293">
      <w:pPr>
        <w:numPr>
          <w:ilvl w:val="0"/>
          <w:numId w:val="32"/>
        </w:numPr>
        <w:kinsoku w:val="0"/>
        <w:spacing w:after="240" w:line="240" w:lineRule="auto"/>
        <w:jc w:val="both"/>
        <w:rPr>
          <w:rFonts w:eastAsia="Times New Roman" w:cs="Times New Roman"/>
          <w:spacing w:val="1"/>
          <w:szCs w:val="24"/>
        </w:rPr>
      </w:pPr>
      <w:r w:rsidRPr="00EC4EC4">
        <w:rPr>
          <w:rFonts w:eastAsia="Times New Roman" w:cs="Times New Roman"/>
          <w:spacing w:val="1"/>
          <w:szCs w:val="24"/>
        </w:rPr>
        <w:t>Piping containing gas with a pressure exceeding ½ psig (3.4 kPa gauge) and the gas service pressure regulator which may be subjected to accidental vehicular impact shall be suitably protected.</w:t>
      </w:r>
    </w:p>
    <w:p w14:paraId="2C238AB2" w14:textId="127695FB" w:rsidR="00140B7C" w:rsidRPr="00EC4EC4" w:rsidRDefault="00140B7C" w:rsidP="00140B7C">
      <w:pPr>
        <w:kinsoku w:val="0"/>
        <w:spacing w:after="240" w:line="240" w:lineRule="auto"/>
        <w:ind w:firstLine="720"/>
        <w:jc w:val="both"/>
        <w:rPr>
          <w:rFonts w:eastAsia="Times New Roman" w:cs="Times New Roman"/>
          <w:b/>
          <w:bCs/>
          <w:szCs w:val="24"/>
        </w:rPr>
      </w:pPr>
      <w:r w:rsidRPr="00EC4EC4">
        <w:rPr>
          <w:rFonts w:cs="Times New Roman"/>
          <w:sz w:val="23"/>
          <w:szCs w:val="23"/>
        </w:rPr>
        <w:t>§</w:t>
      </w:r>
      <w:r>
        <w:rPr>
          <w:rFonts w:cs="Times New Roman"/>
          <w:sz w:val="23"/>
          <w:szCs w:val="23"/>
        </w:rPr>
        <w:t>3</w:t>
      </w:r>
      <w:r w:rsidR="00A246DC">
        <w:rPr>
          <w:rFonts w:cs="Times New Roman"/>
          <w:sz w:val="23"/>
          <w:szCs w:val="23"/>
        </w:rPr>
        <w:t>62</w:t>
      </w:r>
      <w:r w:rsidRPr="00EC4EC4">
        <w:rPr>
          <w:rFonts w:cs="Times New Roman"/>
          <w:sz w:val="23"/>
          <w:szCs w:val="23"/>
        </w:rPr>
        <w:t>. Appendix G.5.1 of  the New York city fuel gas code, as amended by local law number 126 for the year 2021, is amended to read as follows:</w:t>
      </w:r>
    </w:p>
    <w:p w14:paraId="6A8C9612" w14:textId="77777777" w:rsidR="00140B7C" w:rsidRDefault="00140B7C" w:rsidP="00140B7C">
      <w:pPr>
        <w:spacing w:after="240" w:line="240" w:lineRule="auto"/>
        <w:jc w:val="both"/>
        <w:rPr>
          <w:rFonts w:eastAsia="Times New Roman" w:cs="Times New Roman"/>
          <w:szCs w:val="24"/>
          <w:u w:val="single"/>
        </w:rPr>
      </w:pPr>
      <w:r w:rsidRPr="00EC4EC4">
        <w:rPr>
          <w:rFonts w:eastAsia="Times New Roman" w:cs="Times New Roman"/>
          <w:b/>
          <w:szCs w:val="24"/>
        </w:rPr>
        <w:t xml:space="preserve">G.5.1 Piping material. </w:t>
      </w:r>
      <w:r w:rsidRPr="00EC4EC4">
        <w:rPr>
          <w:rFonts w:eastAsia="Times New Roman" w:cs="Times New Roman"/>
          <w:szCs w:val="24"/>
        </w:rPr>
        <w:t>Installations of natural gas piping operating at pressures of 125 psig (861.8 kPa gauge) and above shall comply with the requirements of [</w:t>
      </w:r>
      <w:r w:rsidRPr="00EC4EC4">
        <w:rPr>
          <w:rFonts w:eastAsia="Times New Roman" w:cs="Times New Roman"/>
          <w:strike/>
          <w:szCs w:val="24"/>
        </w:rPr>
        <w:t>ASME B 31.1</w:t>
      </w:r>
      <w:r w:rsidRPr="00EC4EC4">
        <w:rPr>
          <w:rFonts w:eastAsia="Times New Roman" w:cs="Times New Roman"/>
          <w:szCs w:val="24"/>
        </w:rPr>
        <w:t>]</w:t>
      </w:r>
      <w:r w:rsidRPr="00EC4EC4">
        <w:rPr>
          <w:rFonts w:eastAsia="Times New Roman" w:cs="Times New Roman"/>
          <w:szCs w:val="24"/>
          <w:u w:val="single"/>
        </w:rPr>
        <w:t>ASME B31.1</w:t>
      </w:r>
    </w:p>
    <w:p w14:paraId="2E660E5A" w14:textId="3811C0E9" w:rsidR="00140B7C" w:rsidRPr="007257CC" w:rsidRDefault="00140B7C" w:rsidP="00140B7C">
      <w:pPr>
        <w:spacing w:after="240" w:line="240" w:lineRule="auto"/>
        <w:ind w:firstLine="720"/>
        <w:jc w:val="both"/>
        <w:rPr>
          <w:rFonts w:eastAsia="Times New Roman" w:cs="Times New Roman"/>
          <w:szCs w:val="24"/>
        </w:rPr>
      </w:pPr>
      <w:r w:rsidRPr="007257CC">
        <w:rPr>
          <w:rFonts w:cs="Times New Roman"/>
          <w:sz w:val="23"/>
          <w:szCs w:val="23"/>
        </w:rPr>
        <w:t>§</w:t>
      </w:r>
      <w:r w:rsidRPr="007257CC">
        <w:rPr>
          <w:rFonts w:eastAsia="Times New Roman" w:cs="Times New Roman"/>
          <w:szCs w:val="24"/>
        </w:rPr>
        <w:t>3</w:t>
      </w:r>
      <w:r w:rsidR="00A246DC">
        <w:rPr>
          <w:rFonts w:eastAsia="Times New Roman" w:cs="Times New Roman"/>
          <w:szCs w:val="24"/>
        </w:rPr>
        <w:t>63</w:t>
      </w:r>
      <w:r w:rsidRPr="007257CC">
        <w:rPr>
          <w:rFonts w:eastAsia="Times New Roman" w:cs="Times New Roman"/>
          <w:szCs w:val="24"/>
        </w:rPr>
        <w:t>.  Notwithstanding any inconsistent provision of section 5 of local law number 126 for the year 2021, the amendments to section 28-110.1 of the administrative code of the city of New York made by section 1 of part A of local law number 126 for the year 2021 and the amendments to chapter 33 of the New York city building code made by sections 32 through 50 of part C of local law number 126 for the year 2021 do not apply to work for which a site safety plan was filed on or before November 6, 2022.</w:t>
      </w:r>
    </w:p>
    <w:p w14:paraId="0F22B5BB" w14:textId="1009BB3C" w:rsidR="00AF540A" w:rsidRPr="00866681" w:rsidRDefault="00140B7C" w:rsidP="00866681">
      <w:pPr>
        <w:kinsoku w:val="0"/>
        <w:spacing w:after="240" w:line="240" w:lineRule="auto"/>
        <w:jc w:val="both"/>
        <w:rPr>
          <w:rFonts w:cs="Times New Roman"/>
          <w:sz w:val="23"/>
          <w:szCs w:val="23"/>
        </w:rPr>
      </w:pPr>
      <w:r w:rsidRPr="00075730">
        <w:rPr>
          <w:rFonts w:eastAsia="Times New Roman" w:cs="Times New Roman"/>
          <w:spacing w:val="1"/>
          <w:szCs w:val="24"/>
        </w:rPr>
        <w:tab/>
      </w:r>
      <w:r w:rsidRPr="006F1EC6">
        <w:rPr>
          <w:rFonts w:cs="Times New Roman"/>
          <w:sz w:val="23"/>
          <w:szCs w:val="23"/>
        </w:rPr>
        <w:t>§3</w:t>
      </w:r>
      <w:r w:rsidR="00A246DC">
        <w:rPr>
          <w:rFonts w:cs="Times New Roman"/>
          <w:sz w:val="23"/>
          <w:szCs w:val="23"/>
        </w:rPr>
        <w:t>64</w:t>
      </w:r>
      <w:r w:rsidRPr="006F1EC6">
        <w:rPr>
          <w:rFonts w:cs="Times New Roman"/>
          <w:sz w:val="23"/>
          <w:szCs w:val="23"/>
        </w:rPr>
        <w:t>. This local law takes effect immediately, except that</w:t>
      </w:r>
      <w:r>
        <w:rPr>
          <w:rFonts w:cs="Times New Roman"/>
          <w:sz w:val="23"/>
          <w:szCs w:val="23"/>
        </w:rPr>
        <w:t xml:space="preserve"> </w:t>
      </w:r>
      <w:r w:rsidRPr="006F1EC6">
        <w:rPr>
          <w:rFonts w:cs="Times New Roman"/>
          <w:sz w:val="23"/>
          <w:szCs w:val="23"/>
        </w:rPr>
        <w:t xml:space="preserve">section </w:t>
      </w:r>
      <w:r>
        <w:rPr>
          <w:rFonts w:cs="Times New Roman"/>
          <w:sz w:val="23"/>
          <w:szCs w:val="23"/>
        </w:rPr>
        <w:t xml:space="preserve">three hundred and </w:t>
      </w:r>
      <w:r w:rsidR="00A246DC">
        <w:rPr>
          <w:rFonts w:cs="Times New Roman"/>
          <w:sz w:val="23"/>
          <w:szCs w:val="23"/>
        </w:rPr>
        <w:t>sixty-three</w:t>
      </w:r>
      <w:r w:rsidRPr="006F1EC6">
        <w:rPr>
          <w:rFonts w:cs="Times New Roman"/>
          <w:sz w:val="23"/>
          <w:szCs w:val="23"/>
        </w:rPr>
        <w:t xml:space="preserve"> of this local law is retroactive to and deemed to have been in effect as of November 7, 2022</w:t>
      </w:r>
      <w:r>
        <w:rPr>
          <w:rFonts w:cs="Times New Roman"/>
          <w:sz w:val="23"/>
          <w:szCs w:val="23"/>
        </w:rPr>
        <w:t>.</w:t>
      </w:r>
    </w:p>
    <w:sectPr w:rsidR="00AF540A" w:rsidRPr="00866681" w:rsidSect="00066AE5">
      <w:footerReference w:type="default" r:id="rId24"/>
      <w:type w:val="continuous"/>
      <w:pgSz w:w="12240" w:h="15840" w:code="1"/>
      <w:pgMar w:top="1440" w:right="1440" w:bottom="1440" w:left="1440" w:header="720" w:footer="720" w:gutter="0"/>
      <w:lnNumType w:countBy="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00147" w14:textId="77777777" w:rsidR="00A71CE7" w:rsidRDefault="00A71CE7">
      <w:pPr>
        <w:spacing w:after="0" w:line="240" w:lineRule="auto"/>
      </w:pPr>
      <w:r>
        <w:separator/>
      </w:r>
    </w:p>
  </w:endnote>
  <w:endnote w:type="continuationSeparator" w:id="0">
    <w:p w14:paraId="062AD65F" w14:textId="77777777" w:rsidR="00A71CE7" w:rsidRDefault="00A71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Dingbats">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NewBaskervilleStd-Bold">
    <w:altName w:val="MS Mincho"/>
    <w:panose1 w:val="00000000000000000000"/>
    <w:charset w:val="80"/>
    <w:family w:val="roman"/>
    <w:notTrueType/>
    <w:pitch w:val="default"/>
    <w:sig w:usb0="00000001" w:usb1="08070000" w:usb2="00000010" w:usb3="00000000" w:csb0="00020001" w:csb1="00000000"/>
  </w:font>
  <w:font w:name="NewBaskervilleStd-Roman">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247944"/>
      <w:docPartObj>
        <w:docPartGallery w:val="Page Numbers (Bottom of Page)"/>
        <w:docPartUnique/>
      </w:docPartObj>
    </w:sdtPr>
    <w:sdtEndPr>
      <w:rPr>
        <w:noProof/>
      </w:rPr>
    </w:sdtEndPr>
    <w:sdtContent>
      <w:p w14:paraId="608E005B" w14:textId="660ABFBB" w:rsidR="002C5247" w:rsidRDefault="00226293">
        <w:pPr>
          <w:pStyle w:val="Footer"/>
          <w:jc w:val="center"/>
        </w:pPr>
        <w:r>
          <w:fldChar w:fldCharType="begin"/>
        </w:r>
        <w:r>
          <w:instrText xml:space="preserve"> PAGE   \* MERGEFORMAT </w:instrText>
        </w:r>
        <w:r>
          <w:fldChar w:fldCharType="separate"/>
        </w:r>
        <w:r w:rsidR="007172C6">
          <w:rPr>
            <w:noProof/>
          </w:rPr>
          <w:t>110</w:t>
        </w:r>
        <w:r>
          <w:rPr>
            <w:noProof/>
          </w:rPr>
          <w:fldChar w:fldCharType="end"/>
        </w:r>
      </w:p>
    </w:sdtContent>
  </w:sdt>
  <w:p w14:paraId="42B07D6C" w14:textId="77777777" w:rsidR="002C5247" w:rsidRPr="004D3C69" w:rsidRDefault="00A71CE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06F5" w14:textId="41155E1D" w:rsidR="002C5247" w:rsidRDefault="00A71CE7" w:rsidP="00285DD6">
    <w:pPr>
      <w:pStyle w:val="Footer"/>
    </w:pPr>
  </w:p>
  <w:p w14:paraId="2979C9DC" w14:textId="77777777" w:rsidR="002C5247" w:rsidRDefault="00A71CE7">
    <w:pPr>
      <w:autoSpaceDE w:val="0"/>
      <w:autoSpaceDN w:val="0"/>
      <w:adjustRightInd w:val="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294220"/>
      <w:docPartObj>
        <w:docPartGallery w:val="Page Numbers (Bottom of Page)"/>
        <w:docPartUnique/>
      </w:docPartObj>
    </w:sdtPr>
    <w:sdtEndPr>
      <w:rPr>
        <w:noProof/>
      </w:rPr>
    </w:sdtEndPr>
    <w:sdtContent>
      <w:p w14:paraId="302350B2" w14:textId="1F68D9F3" w:rsidR="002C5247" w:rsidRDefault="00226293">
        <w:pPr>
          <w:pStyle w:val="Footer"/>
          <w:jc w:val="center"/>
        </w:pPr>
        <w:r>
          <w:fldChar w:fldCharType="begin"/>
        </w:r>
        <w:r>
          <w:instrText xml:space="preserve"> PAGE   \* MERGEFORMAT </w:instrText>
        </w:r>
        <w:r>
          <w:fldChar w:fldCharType="separate"/>
        </w:r>
        <w:r w:rsidR="007172C6">
          <w:rPr>
            <w:noProof/>
          </w:rPr>
          <w:t>111</w:t>
        </w:r>
        <w:r>
          <w:rPr>
            <w:noProof/>
          </w:rPr>
          <w:fldChar w:fldCharType="end"/>
        </w:r>
      </w:p>
    </w:sdtContent>
  </w:sdt>
  <w:p w14:paraId="55DB8D83" w14:textId="77777777" w:rsidR="002C5247" w:rsidRDefault="00A71C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D40B6" w14:textId="77777777" w:rsidR="00140B7C" w:rsidRDefault="00140B7C">
    <w:pPr>
      <w:rPr>
        <w:sz w:val="16"/>
        <w:szCs w:val="16"/>
      </w:rPr>
    </w:pPr>
    <w:r>
      <w:rPr>
        <w:noProof/>
      </w:rPr>
      <mc:AlternateContent>
        <mc:Choice Requires="wps">
          <w:drawing>
            <wp:anchor distT="0" distB="0" distL="0" distR="0" simplePos="0" relativeHeight="251660288" behindDoc="0" locked="0" layoutInCell="0" allowOverlap="1" wp14:anchorId="08E10D43" wp14:editId="3CC67E3C">
              <wp:simplePos x="0" y="0"/>
              <wp:positionH relativeFrom="page">
                <wp:posOffset>533400</wp:posOffset>
              </wp:positionH>
              <wp:positionV relativeFrom="paragraph">
                <wp:posOffset>0</wp:posOffset>
              </wp:positionV>
              <wp:extent cx="6724015" cy="107950"/>
              <wp:effectExtent l="0" t="9525" r="635" b="6350"/>
              <wp:wrapSquare wrapText="bothSides"/>
              <wp:docPr id="1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015" cy="107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B234D" w14:textId="77777777" w:rsidR="00140B7C" w:rsidRDefault="00140B7C">
                          <w:pPr>
                            <w:keepNext/>
                            <w:keepLines/>
                            <w:tabs>
                              <w:tab w:val="right" w:pos="10444"/>
                            </w:tabs>
                            <w:ind w:left="216"/>
                            <w:rPr>
                              <w:b/>
                              <w:bCs/>
                              <w:sz w:val="16"/>
                              <w:szCs w:val="16"/>
                            </w:rPr>
                          </w:pPr>
                          <w:r>
                            <w:rPr>
                              <w:b/>
                              <w:bCs/>
                              <w:spacing w:val="-2"/>
                              <w:sz w:val="16"/>
                              <w:szCs w:val="16"/>
                            </w:rPr>
                            <w:t>2008 NEW YORK CITY BUILDING CODE</w:t>
                          </w:r>
                          <w:r>
                            <w:rPr>
                              <w:b/>
                              <w:bCs/>
                              <w:spacing w:val="-2"/>
                              <w:sz w:val="16"/>
                              <w:szCs w:val="16"/>
                            </w:rPr>
                            <w:tab/>
                          </w:r>
                          <w:r>
                            <w:rPr>
                              <w:b/>
                              <w:bCs/>
                              <w:sz w:val="16"/>
                              <w:szCs w:val="16"/>
                            </w:rPr>
                            <w:fldChar w:fldCharType="begin"/>
                          </w:r>
                          <w:r>
                            <w:rPr>
                              <w:b/>
                              <w:bCs/>
                              <w:sz w:val="16"/>
                              <w:szCs w:val="16"/>
                            </w:rPr>
                            <w:instrText xml:space="preserve"> PAGE </w:instrText>
                          </w:r>
                          <w:r>
                            <w:rPr>
                              <w:b/>
                              <w:bCs/>
                              <w:sz w:val="16"/>
                              <w:szCs w:val="16"/>
                            </w:rPr>
                            <w:fldChar w:fldCharType="separate"/>
                          </w:r>
                          <w:r>
                            <w:rPr>
                              <w:b/>
                              <w:bCs/>
                              <w:noProof/>
                              <w:sz w:val="16"/>
                              <w:szCs w:val="16"/>
                            </w:rPr>
                            <w:t>658</w:t>
                          </w:r>
                          <w:r>
                            <w:rPr>
                              <w:b/>
                              <w:bCs/>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10D43" id="_x0000_t202" coordsize="21600,21600" o:spt="202" path="m,l,21600r21600,l21600,xe">
              <v:stroke joinstyle="miter"/>
              <v:path gradientshapeok="t" o:connecttype="rect"/>
            </v:shapetype>
            <v:shape id="Text Box 99" o:spid="_x0000_s1027" type="#_x0000_t202" style="position:absolute;margin-left:42pt;margin-top:0;width:529.45pt;height: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" o:allowincell="f" stroked="f">
              <v:fill opacity="0"/>
              <v:textbox inset="0,0,0,0">
                <w:txbxContent>
                  <w:p w14:paraId="44AB234D" w14:textId="77777777" w:rsidR="00140B7C" w:rsidRDefault="00140B7C">
                    <w:pPr>
                      <w:keepNext/>
                      <w:keepLines/>
                      <w:tabs>
                        <w:tab w:val="right" w:pos="10444"/>
                      </w:tabs>
                      <w:ind w:left="216"/>
                      <w:rPr>
                        <w:b/>
                        <w:bCs/>
                        <w:sz w:val="16"/>
                        <w:szCs w:val="16"/>
                      </w:rPr>
                    </w:pPr>
                    <w:r>
                      <w:rPr>
                        <w:b/>
                        <w:bCs/>
                        <w:spacing w:val="-2"/>
                        <w:sz w:val="16"/>
                        <w:szCs w:val="16"/>
                      </w:rPr>
                      <w:t>2008 NEW YORK CITY BUILDING CODE</w:t>
                    </w:r>
                    <w:r>
                      <w:rPr>
                        <w:b/>
                        <w:bCs/>
                        <w:spacing w:val="-2"/>
                        <w:sz w:val="16"/>
                        <w:szCs w:val="16"/>
                      </w:rPr>
                      <w:tab/>
                    </w:r>
                    <w:r>
                      <w:rPr>
                        <w:b/>
                        <w:bCs/>
                        <w:sz w:val="16"/>
                        <w:szCs w:val="16"/>
                      </w:rPr>
                      <w:fldChar w:fldCharType="begin"/>
                    </w:r>
                    <w:r>
                      <w:rPr>
                        <w:b/>
                        <w:bCs/>
                        <w:sz w:val="16"/>
                        <w:szCs w:val="16"/>
                      </w:rPr>
                      <w:instrText xml:space="preserve"> PAGE </w:instrText>
                    </w:r>
                    <w:r>
                      <w:rPr>
                        <w:b/>
                        <w:bCs/>
                        <w:sz w:val="16"/>
                        <w:szCs w:val="16"/>
                      </w:rPr>
                      <w:fldChar w:fldCharType="separate"/>
                    </w:r>
                    <w:r>
                      <w:rPr>
                        <w:b/>
                        <w:bCs/>
                        <w:noProof/>
                        <w:sz w:val="16"/>
                        <w:szCs w:val="16"/>
                      </w:rPr>
                      <w:t>658</w:t>
                    </w:r>
                    <w:r>
                      <w:rPr>
                        <w:b/>
                        <w:bCs/>
                        <w:sz w:val="16"/>
                        <w:szCs w:val="16"/>
                      </w:rPr>
                      <w:fldChar w:fldCharType="end"/>
                    </w:r>
                  </w:p>
                </w:txbxContent>
              </v:textbox>
              <w10:wrap type="square" anchorx="page"/>
            </v:shape>
          </w:pict>
        </mc:Fallback>
      </mc:AlternateContent>
    </w:r>
  </w:p>
  <w:p w14:paraId="29B85BC3" w14:textId="77777777" w:rsidR="00140B7C" w:rsidRDefault="00140B7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619057"/>
      <w:docPartObj>
        <w:docPartGallery w:val="Page Numbers (Bottom of Page)"/>
        <w:docPartUnique/>
      </w:docPartObj>
    </w:sdtPr>
    <w:sdtEndPr>
      <w:rPr>
        <w:noProof/>
      </w:rPr>
    </w:sdtEndPr>
    <w:sdtContent>
      <w:p w14:paraId="77D39B5B" w14:textId="7490CA21" w:rsidR="00140B7C" w:rsidRDefault="00140B7C">
        <w:pPr>
          <w:pStyle w:val="Footer"/>
          <w:jc w:val="center"/>
        </w:pPr>
        <w:r>
          <w:fldChar w:fldCharType="begin"/>
        </w:r>
        <w:r>
          <w:instrText xml:space="preserve"> PAGE   \* MERGEFORMAT </w:instrText>
        </w:r>
        <w:r>
          <w:fldChar w:fldCharType="separate"/>
        </w:r>
        <w:r w:rsidR="007172C6">
          <w:rPr>
            <w:noProof/>
          </w:rPr>
          <w:t>146</w:t>
        </w:r>
        <w:r>
          <w:rPr>
            <w:noProof/>
          </w:rPr>
          <w:fldChar w:fldCharType="end"/>
        </w:r>
      </w:p>
    </w:sdtContent>
  </w:sdt>
  <w:p w14:paraId="0BFBF809" w14:textId="77777777" w:rsidR="00140B7C" w:rsidRDefault="00140B7C">
    <w:pPr>
      <w:pStyle w:val="Footer"/>
    </w:pPr>
  </w:p>
  <w:p w14:paraId="5C671C0D" w14:textId="77777777" w:rsidR="00140B7C" w:rsidRDefault="00140B7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6573" w14:textId="77777777" w:rsidR="00140B7C" w:rsidRDefault="00140B7C" w:rsidP="00794C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37675" w14:textId="77777777" w:rsidR="00140B7C" w:rsidRPr="0051638E" w:rsidRDefault="00140B7C" w:rsidP="00794C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9AD5A" w14:textId="77777777" w:rsidR="00140B7C" w:rsidRDefault="00140B7C">
    <w:pPr>
      <w:pStyle w:val="Footer"/>
      <w:jc w:val="center"/>
    </w:pPr>
  </w:p>
  <w:p w14:paraId="0AEC3AED" w14:textId="77777777" w:rsidR="00140B7C" w:rsidRDefault="00140B7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3E3D2" w14:textId="77777777" w:rsidR="00140B7C" w:rsidRDefault="00140B7C">
    <w:pPr>
      <w:pStyle w:val="Footer"/>
      <w:jc w:val="center"/>
    </w:pPr>
  </w:p>
  <w:p w14:paraId="2127D019" w14:textId="77777777" w:rsidR="00140B7C" w:rsidRPr="00615AF1" w:rsidRDefault="00140B7C" w:rsidP="00794C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4C9F" w14:textId="77777777" w:rsidR="00140B7C" w:rsidRDefault="00140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211F8" w14:textId="77777777" w:rsidR="00A71CE7" w:rsidRDefault="00A71CE7">
      <w:pPr>
        <w:spacing w:after="0" w:line="240" w:lineRule="auto"/>
      </w:pPr>
      <w:r>
        <w:separator/>
      </w:r>
    </w:p>
  </w:footnote>
  <w:footnote w:type="continuationSeparator" w:id="0">
    <w:p w14:paraId="44C14BB3" w14:textId="77777777" w:rsidR="00A71CE7" w:rsidRDefault="00A71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8B39" w14:textId="77777777" w:rsidR="00140B7C" w:rsidRDefault="00140B7C">
    <w:pPr>
      <w:rPr>
        <w:sz w:val="16"/>
        <w:szCs w:val="16"/>
      </w:rPr>
    </w:pPr>
    <w:r>
      <w:rPr>
        <w:noProof/>
      </w:rPr>
      <mc:AlternateContent>
        <mc:Choice Requires="wps">
          <w:drawing>
            <wp:anchor distT="0" distB="0" distL="0" distR="0" simplePos="0" relativeHeight="251659264" behindDoc="0" locked="0" layoutInCell="0" allowOverlap="1" wp14:anchorId="6ED370B2" wp14:editId="40975693">
              <wp:simplePos x="0" y="0"/>
              <wp:positionH relativeFrom="page">
                <wp:posOffset>533400</wp:posOffset>
              </wp:positionH>
              <wp:positionV relativeFrom="paragraph">
                <wp:posOffset>0</wp:posOffset>
              </wp:positionV>
              <wp:extent cx="6720840" cy="107950"/>
              <wp:effectExtent l="0" t="9525" r="3810" b="6350"/>
              <wp:wrapSquare wrapText="bothSides"/>
              <wp:docPr id="27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05D6C" w14:textId="77777777" w:rsidR="00140B7C" w:rsidRDefault="00140B7C">
                          <w:pPr>
                            <w:keepNext/>
                            <w:keepLines/>
                            <w:jc w:val="right"/>
                            <w:rPr>
                              <w:b/>
                              <w:bCs/>
                              <w:sz w:val="16"/>
                              <w:szCs w:val="16"/>
                            </w:rPr>
                          </w:pPr>
                          <w:r>
                            <w:rPr>
                              <w:b/>
                              <w:bCs/>
                              <w:sz w:val="16"/>
                              <w:szCs w:val="16"/>
                            </w:rPr>
                            <w:t>SAFEGUARDS DURING CONSTRUCTION OR DEMOLITION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370B2" id="_x0000_t202" coordsize="21600,21600" o:spt="202" path="m,l,21600r21600,l21600,xe">
              <v:stroke joinstyle="miter"/>
              <v:path gradientshapeok="t" o:connecttype="rect"/>
            </v:shapetype>
            <v:shape id="Text Box 97" o:spid="_x0000_s1026" type="#_x0000_t202" style="position:absolute;margin-left:42pt;margin-top:0;width:529.2pt;height:8.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" o:allowincell="f" stroked="f">
              <v:fill opacity="0"/>
              <v:textbox inset="0,0,0,0">
                <w:txbxContent>
                  <w:p w14:paraId="70805D6C" w14:textId="77777777" w:rsidR="00140B7C" w:rsidRDefault="00140B7C">
                    <w:pPr>
                      <w:keepNext/>
                      <w:keepLines/>
                      <w:jc w:val="right"/>
                      <w:rPr>
                        <w:b/>
                        <w:bCs/>
                        <w:sz w:val="16"/>
                        <w:szCs w:val="16"/>
                      </w:rPr>
                    </w:pPr>
                    <w:r>
                      <w:rPr>
                        <w:b/>
                        <w:bCs/>
                        <w:sz w:val="16"/>
                        <w:szCs w:val="16"/>
                      </w:rPr>
                      <w:t>SAFEGUARDS DURING CONSTRUCTION OR DEMOLITION</w:t>
                    </w:r>
                  </w:p>
                </w:txbxContent>
              </v:textbox>
              <w10:wrap type="square" anchorx="page"/>
            </v:shape>
          </w:pict>
        </mc:Fallback>
      </mc:AlternateContent>
    </w:r>
  </w:p>
  <w:p w14:paraId="6411FCDF" w14:textId="77777777" w:rsidR="00140B7C" w:rsidRDefault="00140B7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A6E86" w14:textId="77777777" w:rsidR="00140B7C" w:rsidRPr="00222E43" w:rsidRDefault="00140B7C" w:rsidP="00120864">
    <w:pPr>
      <w:spacing w:after="0" w:line="240" w:lineRule="auto"/>
      <w:jc w:val="right"/>
      <w:rPr>
        <w:rFonts w:cs="Times New Roman"/>
        <w:b/>
        <w:bCs/>
        <w:sz w:val="20"/>
        <w:szCs w:val="20"/>
      </w:rPr>
    </w:pPr>
    <w:r w:rsidRPr="00222E43">
      <w:rPr>
        <w:rFonts w:cs="Times New Roman"/>
        <w:b/>
        <w:bCs/>
        <w:sz w:val="20"/>
        <w:szCs w:val="20"/>
      </w:rPr>
      <w:t>Clean Up Bill Additional Items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F3C3E" w14:textId="77777777" w:rsidR="00140B7C" w:rsidRDefault="00140B7C" w:rsidP="00794C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9A3E8" w14:textId="77777777" w:rsidR="00140B7C" w:rsidRPr="0051638E" w:rsidRDefault="00140B7C" w:rsidP="00794C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9"/>
    <w:lvl w:ilvl="0">
      <w:start w:val="1"/>
      <w:numFmt w:val="decimal"/>
      <w:lvlText w:val="%1."/>
      <w:lvlJc w:val="left"/>
      <w:pPr>
        <w:tabs>
          <w:tab w:val="num" w:pos="720"/>
        </w:tabs>
        <w:ind w:left="576" w:hanging="288"/>
      </w:pPr>
      <w:rPr>
        <w:rFonts w:cs="Arial"/>
        <w:b/>
        <w:color w:val="00000A"/>
        <w:spacing w:val="14"/>
        <w:sz w:val="22"/>
        <w:szCs w:val="22"/>
      </w:rPr>
    </w:lvl>
    <w:lvl w:ilvl="1">
      <w:start w:val="1"/>
      <w:numFmt w:val="decimal"/>
      <w:lvlText w:val="%2."/>
      <w:lvlJc w:val="left"/>
      <w:pPr>
        <w:tabs>
          <w:tab w:val="num" w:pos="1980"/>
        </w:tabs>
        <w:ind w:left="19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Num24"/>
    <w:lvl w:ilvl="0">
      <w:start w:val="1"/>
      <w:numFmt w:val="decimal"/>
      <w:lvlText w:val="%1."/>
      <w:lvlJc w:val="left"/>
      <w:pPr>
        <w:tabs>
          <w:tab w:val="num" w:pos="288"/>
        </w:tabs>
        <w:ind w:left="576" w:hanging="288"/>
      </w:pPr>
      <w:rPr>
        <w:rFonts w:cs="Arial"/>
        <w:spacing w:val="1"/>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B"/>
    <w:multiLevelType w:val="multilevel"/>
    <w:tmpl w:val="815654E6"/>
    <w:name w:val="WW8Num12"/>
    <w:lvl w:ilvl="0">
      <w:start w:val="1"/>
      <w:numFmt w:val="decimal"/>
      <w:lvlText w:val="%1."/>
      <w:lvlJc w:val="left"/>
      <w:pPr>
        <w:tabs>
          <w:tab w:val="num" w:pos="864"/>
        </w:tabs>
        <w:ind w:left="1368" w:hanging="288"/>
      </w:pPr>
      <w:rPr>
        <w:rFonts w:cs="Arial"/>
        <w:b w:val="0"/>
        <w:color w:val="00000A"/>
        <w:spacing w:val="-2"/>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0"/>
    <w:multiLevelType w:val="multilevel"/>
    <w:tmpl w:val="00000010"/>
    <w:name w:val="WW8Num17"/>
    <w:lvl w:ilvl="0">
      <w:start w:val="1"/>
      <w:numFmt w:val="decimal"/>
      <w:lvlText w:val="%1."/>
      <w:lvlJc w:val="left"/>
      <w:pPr>
        <w:tabs>
          <w:tab w:val="num" w:pos="288"/>
        </w:tabs>
        <w:ind w:left="576" w:hanging="288"/>
      </w:pPr>
      <w:rPr>
        <w:rFonts w:cs="Arial"/>
        <w:spacing w:val="1"/>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AF74DB"/>
    <w:multiLevelType w:val="hybridMultilevel"/>
    <w:tmpl w:val="54D282B8"/>
    <w:lvl w:ilvl="0" w:tplc="9D08C3E8">
      <w:start w:val="1"/>
      <w:numFmt w:val="low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 w15:restartNumberingAfterBreak="0">
    <w:nsid w:val="00FC0F65"/>
    <w:multiLevelType w:val="multilevel"/>
    <w:tmpl w:val="C7A20BD0"/>
    <w:lvl w:ilvl="0">
      <w:start w:val="1"/>
      <w:numFmt w:val="decimal"/>
      <w:lvlText w:val="%1."/>
      <w:lvlJc w:val="left"/>
      <w:pPr>
        <w:tabs>
          <w:tab w:val="num" w:pos="288"/>
        </w:tabs>
        <w:ind w:left="576" w:hanging="216"/>
      </w:pPr>
      <w:rPr>
        <w:rFonts w:ascii="Times New Roman" w:hAnsi="Times New Roman" w:cs="Times New Roman" w:hint="default"/>
        <w:snapToGrid/>
        <w:spacing w:val="9"/>
        <w:sz w:val="24"/>
        <w:szCs w:val="24"/>
      </w:rPr>
    </w:lvl>
    <w:lvl w:ilvl="1">
      <w:start w:val="2"/>
      <w:numFmt w:val="decimal"/>
      <w:isLgl/>
      <w:lvlText w:val="%1.%2"/>
      <w:lvlJc w:val="left"/>
      <w:pPr>
        <w:ind w:left="648" w:hanging="36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2088" w:hanging="1800"/>
      </w:pPr>
      <w:rPr>
        <w:rFonts w:hint="default"/>
      </w:rPr>
    </w:lvl>
  </w:abstractNum>
  <w:abstractNum w:abstractNumId="6" w15:restartNumberingAfterBreak="0">
    <w:nsid w:val="014CBBD2"/>
    <w:multiLevelType w:val="singleLevel"/>
    <w:tmpl w:val="FB847B58"/>
    <w:lvl w:ilvl="0">
      <w:start w:val="1"/>
      <w:numFmt w:val="decimal"/>
      <w:lvlText w:val="%1."/>
      <w:lvlJc w:val="left"/>
      <w:pPr>
        <w:tabs>
          <w:tab w:val="num" w:pos="216"/>
        </w:tabs>
        <w:ind w:left="864" w:hanging="216"/>
      </w:pPr>
      <w:rPr>
        <w:rFonts w:ascii="Times New Roman" w:hAnsi="Times New Roman" w:cs="Times New Roman" w:hint="default"/>
        <w:snapToGrid/>
        <w:sz w:val="22"/>
        <w:szCs w:val="22"/>
      </w:rPr>
    </w:lvl>
  </w:abstractNum>
  <w:abstractNum w:abstractNumId="7" w15:restartNumberingAfterBreak="0">
    <w:nsid w:val="0224297D"/>
    <w:multiLevelType w:val="singleLevel"/>
    <w:tmpl w:val="3DC03FF0"/>
    <w:lvl w:ilvl="0">
      <w:start w:val="1"/>
      <w:numFmt w:val="lowerLetter"/>
      <w:pStyle w:val="Indenta-1"/>
      <w:lvlText w:val="%1."/>
      <w:lvlJc w:val="left"/>
      <w:pPr>
        <w:tabs>
          <w:tab w:val="num" w:pos="144"/>
        </w:tabs>
        <w:ind w:left="72"/>
      </w:pPr>
      <w:rPr>
        <w:rFonts w:ascii="Times New Roman" w:hAnsi="Times New Roman" w:cs="Times New Roman" w:hint="default"/>
        <w:snapToGrid/>
        <w:spacing w:val="2"/>
        <w:sz w:val="18"/>
        <w:szCs w:val="18"/>
      </w:rPr>
    </w:lvl>
  </w:abstractNum>
  <w:abstractNum w:abstractNumId="8" w15:restartNumberingAfterBreak="0">
    <w:nsid w:val="03539EB4"/>
    <w:multiLevelType w:val="singleLevel"/>
    <w:tmpl w:val="12FC980C"/>
    <w:lvl w:ilvl="0">
      <w:start w:val="1"/>
      <w:numFmt w:val="decimal"/>
      <w:pStyle w:val="Indent1-"/>
      <w:lvlText w:val="%1."/>
      <w:lvlJc w:val="left"/>
      <w:pPr>
        <w:tabs>
          <w:tab w:val="num" w:pos="288"/>
        </w:tabs>
        <w:ind w:left="648" w:hanging="288"/>
      </w:pPr>
      <w:rPr>
        <w:rFonts w:ascii="Times" w:hAnsi="Times" w:cs="Times" w:hint="default"/>
        <w:snapToGrid/>
        <w:spacing w:val="-1"/>
        <w:sz w:val="24"/>
        <w:szCs w:val="24"/>
        <w:u w:val="single"/>
      </w:rPr>
    </w:lvl>
  </w:abstractNum>
  <w:abstractNum w:abstractNumId="9" w15:restartNumberingAfterBreak="0">
    <w:nsid w:val="04229D9F"/>
    <w:multiLevelType w:val="singleLevel"/>
    <w:tmpl w:val="64D47EE0"/>
    <w:lvl w:ilvl="0">
      <w:start w:val="1"/>
      <w:numFmt w:val="decimal"/>
      <w:pStyle w:val="Heading8"/>
      <w:lvlText w:val="%1."/>
      <w:lvlJc w:val="left"/>
      <w:pPr>
        <w:tabs>
          <w:tab w:val="num" w:pos="288"/>
        </w:tabs>
        <w:ind w:left="792" w:hanging="288"/>
      </w:pPr>
      <w:rPr>
        <w:rFonts w:ascii="Arial" w:hAnsi="Arial" w:cs="Arial" w:hint="default"/>
        <w:snapToGrid/>
        <w:spacing w:val="2"/>
        <w:sz w:val="22"/>
        <w:szCs w:val="22"/>
      </w:rPr>
    </w:lvl>
  </w:abstractNum>
  <w:abstractNum w:abstractNumId="10" w15:restartNumberingAfterBreak="0">
    <w:nsid w:val="04FF6733"/>
    <w:multiLevelType w:val="singleLevel"/>
    <w:tmpl w:val="2A6A9B38"/>
    <w:lvl w:ilvl="0">
      <w:start w:val="3"/>
      <w:numFmt w:val="decimal"/>
      <w:lvlText w:val="%1."/>
      <w:lvlJc w:val="left"/>
      <w:pPr>
        <w:tabs>
          <w:tab w:val="num" w:pos="216"/>
        </w:tabs>
        <w:ind w:left="504" w:hanging="216"/>
      </w:pPr>
      <w:rPr>
        <w:rFonts w:ascii="Times New Roman" w:hAnsi="Times New Roman" w:cs="Times New Roman" w:hint="default"/>
        <w:b w:val="0"/>
        <w:bCs w:val="0"/>
        <w:color w:val="auto"/>
        <w:spacing w:val="3"/>
        <w:sz w:val="24"/>
        <w:szCs w:val="24"/>
      </w:rPr>
    </w:lvl>
  </w:abstractNum>
  <w:abstractNum w:abstractNumId="11" w15:restartNumberingAfterBreak="0">
    <w:nsid w:val="06C5B930"/>
    <w:multiLevelType w:val="singleLevel"/>
    <w:tmpl w:val="5DF8540C"/>
    <w:lvl w:ilvl="0">
      <w:start w:val="1"/>
      <w:numFmt w:val="decimal"/>
      <w:lvlText w:val="%1."/>
      <w:lvlJc w:val="left"/>
      <w:pPr>
        <w:tabs>
          <w:tab w:val="num" w:pos="216"/>
        </w:tabs>
        <w:ind w:left="864" w:hanging="216"/>
      </w:pPr>
      <w:rPr>
        <w:rFonts w:ascii="Times New Roman" w:hAnsi="Times New Roman" w:cs="Times New Roman" w:hint="default"/>
        <w:snapToGrid/>
        <w:sz w:val="24"/>
        <w:szCs w:val="24"/>
      </w:rPr>
    </w:lvl>
  </w:abstractNum>
  <w:abstractNum w:abstractNumId="12" w15:restartNumberingAfterBreak="0">
    <w:nsid w:val="079086E1"/>
    <w:multiLevelType w:val="singleLevel"/>
    <w:tmpl w:val="1D3AC37A"/>
    <w:styleLink w:val="ArticleSection1"/>
    <w:lvl w:ilvl="0">
      <w:start w:val="1"/>
      <w:numFmt w:val="decimal"/>
      <w:lvlText w:val="%1."/>
      <w:lvlJc w:val="left"/>
      <w:pPr>
        <w:tabs>
          <w:tab w:val="num" w:pos="216"/>
        </w:tabs>
        <w:ind w:left="1008" w:hanging="216"/>
      </w:pPr>
      <w:rPr>
        <w:rFonts w:ascii="Times New Roman" w:hAnsi="Times New Roman" w:cs="Times New Roman" w:hint="default"/>
        <w:snapToGrid/>
        <w:spacing w:val="5"/>
        <w:sz w:val="22"/>
        <w:szCs w:val="22"/>
      </w:rPr>
    </w:lvl>
  </w:abstractNum>
  <w:abstractNum w:abstractNumId="13" w15:restartNumberingAfterBreak="0">
    <w:nsid w:val="0C1C32DD"/>
    <w:multiLevelType w:val="multilevel"/>
    <w:tmpl w:val="83586218"/>
    <w:styleLink w:val="Style2"/>
    <w:lvl w:ilvl="0">
      <w:start w:val="2"/>
      <w:numFmt w:val="decimal"/>
      <w:lvlText w:val="%1.1"/>
      <w:lvlJc w:val="left"/>
      <w:pPr>
        <w:ind w:left="360" w:hanging="360"/>
      </w:pPr>
      <w:rPr>
        <w:rFonts w:hint="default"/>
      </w:rPr>
    </w:lvl>
    <w:lvl w:ilvl="1">
      <w:start w:val="3"/>
      <w:numFmt w:val="decimal"/>
      <w:lvlText w:val="%1.%2."/>
      <w:lvlJc w:val="left"/>
      <w:pPr>
        <w:ind w:left="106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1D00EFA"/>
    <w:multiLevelType w:val="multilevel"/>
    <w:tmpl w:val="0409001F"/>
    <w:styleLink w:val="Style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0001AD"/>
    <w:multiLevelType w:val="hybridMultilevel"/>
    <w:tmpl w:val="0A6E6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F578E"/>
    <w:multiLevelType w:val="hybridMultilevel"/>
    <w:tmpl w:val="11B461DA"/>
    <w:lvl w:ilvl="0" w:tplc="838615CA">
      <w:start w:val="1"/>
      <w:numFmt w:val="decimal"/>
      <w:lvlText w:val="%1."/>
      <w:lvlJc w:val="left"/>
      <w:pPr>
        <w:ind w:left="990" w:hanging="360"/>
      </w:pPr>
      <w:rPr>
        <w:u w:val="single"/>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7" w15:restartNumberingAfterBreak="0">
    <w:nsid w:val="1AF568E8"/>
    <w:multiLevelType w:val="hybridMultilevel"/>
    <w:tmpl w:val="65F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B762CC"/>
    <w:multiLevelType w:val="multilevel"/>
    <w:tmpl w:val="6A5233F6"/>
    <w:lvl w:ilvl="0">
      <w:start w:val="1"/>
      <w:numFmt w:val="decimal"/>
      <w:lvlText w:val="%1."/>
      <w:lvlJc w:val="left"/>
      <w:pPr>
        <w:ind w:left="2160" w:hanging="360"/>
      </w:pPr>
      <w:rPr>
        <w:rFonts w:cs="Times New Roman" w:hint="default"/>
      </w:rPr>
    </w:lvl>
    <w:lvl w:ilvl="1">
      <w:start w:val="1"/>
      <w:numFmt w:val="decimal"/>
      <w:lvlText w:val="%1.%2."/>
      <w:lvlJc w:val="left"/>
      <w:pPr>
        <w:ind w:left="1962" w:hanging="432"/>
      </w:pPr>
      <w:rPr>
        <w:rFonts w:cs="Times New Roman" w:hint="default"/>
        <w:u w:val="none"/>
      </w:rPr>
    </w:lvl>
    <w:lvl w:ilvl="2">
      <w:start w:val="1"/>
      <w:numFmt w:val="decimal"/>
      <w:lvlText w:val="%1.%2.%3."/>
      <w:lvlJc w:val="left"/>
      <w:pPr>
        <w:ind w:left="3024" w:hanging="504"/>
      </w:pPr>
      <w:rPr>
        <w:rFonts w:cs="Times New Roman" w:hint="default"/>
      </w:rPr>
    </w:lvl>
    <w:lvl w:ilvl="3">
      <w:start w:val="1"/>
      <w:numFmt w:val="decimal"/>
      <w:lvlText w:val="%1.%2.%3.%4."/>
      <w:lvlJc w:val="left"/>
      <w:pPr>
        <w:ind w:left="3528" w:hanging="648"/>
      </w:pPr>
      <w:rPr>
        <w:rFonts w:cs="Times New Roman" w:hint="default"/>
      </w:rPr>
    </w:lvl>
    <w:lvl w:ilvl="4">
      <w:start w:val="1"/>
      <w:numFmt w:val="decimal"/>
      <w:lvlText w:val="%1.%2.%3.%4.%5."/>
      <w:lvlJc w:val="left"/>
      <w:pPr>
        <w:ind w:left="4032" w:hanging="792"/>
      </w:pPr>
      <w:rPr>
        <w:rFonts w:cs="Times New Roman" w:hint="default"/>
      </w:rPr>
    </w:lvl>
    <w:lvl w:ilvl="5">
      <w:start w:val="1"/>
      <w:numFmt w:val="decimal"/>
      <w:lvlText w:val="%1.%2.%3.%4.%5.%6."/>
      <w:lvlJc w:val="left"/>
      <w:pPr>
        <w:ind w:left="4536" w:hanging="936"/>
      </w:pPr>
      <w:rPr>
        <w:rFonts w:cs="Times New Roman" w:hint="default"/>
      </w:rPr>
    </w:lvl>
    <w:lvl w:ilvl="6">
      <w:start w:val="1"/>
      <w:numFmt w:val="decimal"/>
      <w:lvlText w:val="%1.%2.%3.%4.%5.%6.%7."/>
      <w:lvlJc w:val="left"/>
      <w:pPr>
        <w:ind w:left="5040" w:hanging="1080"/>
      </w:pPr>
      <w:rPr>
        <w:rFonts w:cs="Times New Roman" w:hint="default"/>
      </w:rPr>
    </w:lvl>
    <w:lvl w:ilvl="7">
      <w:start w:val="1"/>
      <w:numFmt w:val="decimal"/>
      <w:lvlText w:val="%1.%2.%3.%4.%5.%6.%7.%8."/>
      <w:lvlJc w:val="left"/>
      <w:pPr>
        <w:ind w:left="5544" w:hanging="1224"/>
      </w:pPr>
      <w:rPr>
        <w:rFonts w:cs="Times New Roman" w:hint="default"/>
      </w:rPr>
    </w:lvl>
    <w:lvl w:ilvl="8">
      <w:start w:val="1"/>
      <w:numFmt w:val="decimal"/>
      <w:lvlText w:val="%1.%2.%3.%4.%5.%6.%7.%8.%9."/>
      <w:lvlJc w:val="left"/>
      <w:pPr>
        <w:ind w:left="6120" w:hanging="1440"/>
      </w:pPr>
      <w:rPr>
        <w:rFonts w:cs="Times New Roman" w:hint="default"/>
      </w:rPr>
    </w:lvl>
  </w:abstractNum>
  <w:abstractNum w:abstractNumId="19" w15:restartNumberingAfterBreak="0">
    <w:nsid w:val="258F1701"/>
    <w:multiLevelType w:val="hybridMultilevel"/>
    <w:tmpl w:val="CA64F3F6"/>
    <w:lvl w:ilvl="0" w:tplc="B642778A">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7FE63F0"/>
    <w:multiLevelType w:val="multilevel"/>
    <w:tmpl w:val="D1B22D76"/>
    <w:lvl w:ilvl="0">
      <w:start w:val="1"/>
      <w:numFmt w:val="decimal"/>
      <w:lvlText w:val="%1."/>
      <w:lvlJc w:val="left"/>
      <w:pPr>
        <w:ind w:left="117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1" w15:restartNumberingAfterBreak="0">
    <w:nsid w:val="2A2C25AB"/>
    <w:multiLevelType w:val="hybridMultilevel"/>
    <w:tmpl w:val="924E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A94405"/>
    <w:multiLevelType w:val="hybridMultilevel"/>
    <w:tmpl w:val="94089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981B7D"/>
    <w:multiLevelType w:val="multilevel"/>
    <w:tmpl w:val="2A8CAD1A"/>
    <w:lvl w:ilvl="0">
      <w:start w:val="1"/>
      <w:numFmt w:val="upperRoman"/>
      <w:pStyle w:val="a2st"/>
      <w:lvlText w:val="A %1."/>
      <w:lvlJc w:val="left"/>
      <w:pPr>
        <w:tabs>
          <w:tab w:val="num" w:pos="1440"/>
        </w:tabs>
      </w:pPr>
      <w:rPr>
        <w:rFonts w:ascii="Arial" w:hAnsi="Arial" w:cs="Times New Roman" w:hint="default"/>
        <w:sz w:val="28"/>
      </w:rPr>
    </w:lvl>
    <w:lvl w:ilvl="1">
      <w:numFmt w:val="decimalZero"/>
      <w:isLgl/>
      <w:lvlText w:val="A I.%1."/>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4" w15:restartNumberingAfterBreak="0">
    <w:nsid w:val="30AB53D7"/>
    <w:multiLevelType w:val="multilevel"/>
    <w:tmpl w:val="72C0AF76"/>
    <w:styleLink w:val="ArticleSection"/>
    <w:lvl w:ilvl="0">
      <w:start w:val="1"/>
      <w:numFmt w:val="upperRoman"/>
      <w:lvlText w:val="A %1."/>
      <w:lvlJc w:val="left"/>
      <w:pPr>
        <w:tabs>
          <w:tab w:val="num" w:pos="1440"/>
        </w:tabs>
      </w:pPr>
      <w:rPr>
        <w:rFonts w:ascii="Arial" w:hAnsi="Arial" w:cs="Times New Roman"/>
        <w:b/>
        <w:sz w:val="28"/>
      </w:rPr>
    </w:lvl>
    <w:lvl w:ilvl="1">
      <w:start w:val="1"/>
      <w:numFmt w:val="decimalZero"/>
      <w:isLgl/>
      <w:lvlText w:val="Section %1.%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5" w15:restartNumberingAfterBreak="0">
    <w:nsid w:val="317D4D79"/>
    <w:multiLevelType w:val="multilevel"/>
    <w:tmpl w:val="0409001F"/>
    <w:styleLink w:val="Style1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17F0E64"/>
    <w:multiLevelType w:val="hybridMultilevel"/>
    <w:tmpl w:val="0220DCAA"/>
    <w:lvl w:ilvl="0" w:tplc="ED3E2860">
      <w:start w:val="1"/>
      <w:numFmt w:val="decimal"/>
      <w:lvlText w:val="%1."/>
      <w:lvlJc w:val="left"/>
      <w:pPr>
        <w:ind w:left="1440" w:hanging="360"/>
      </w:pPr>
      <w:rPr>
        <w:u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15:restartNumberingAfterBreak="0">
    <w:nsid w:val="325E0EF7"/>
    <w:multiLevelType w:val="singleLevel"/>
    <w:tmpl w:val="DB12FE20"/>
    <w:lvl w:ilvl="0">
      <w:start w:val="1"/>
      <w:numFmt w:val="decimal"/>
      <w:lvlText w:val="%1."/>
      <w:lvlJc w:val="left"/>
      <w:pPr>
        <w:tabs>
          <w:tab w:val="num" w:pos="216"/>
        </w:tabs>
        <w:ind w:left="576" w:hanging="216"/>
      </w:pPr>
      <w:rPr>
        <w:rFonts w:ascii="Times New Roman" w:hAnsi="Times New Roman" w:cs="Times New Roman" w:hint="default"/>
        <w:i w:val="0"/>
        <w:snapToGrid/>
        <w:spacing w:val="6"/>
        <w:sz w:val="14"/>
        <w:szCs w:val="14"/>
      </w:rPr>
    </w:lvl>
  </w:abstractNum>
  <w:abstractNum w:abstractNumId="28" w15:restartNumberingAfterBreak="0">
    <w:nsid w:val="35F95498"/>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20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C000247"/>
    <w:multiLevelType w:val="hybridMultilevel"/>
    <w:tmpl w:val="1B0E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B16A92"/>
    <w:multiLevelType w:val="hybridMultilevel"/>
    <w:tmpl w:val="99B6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86750C"/>
    <w:multiLevelType w:val="hybridMultilevel"/>
    <w:tmpl w:val="1EB6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E45E62"/>
    <w:multiLevelType w:val="hybridMultilevel"/>
    <w:tmpl w:val="9C0ABB2E"/>
    <w:lvl w:ilvl="0" w:tplc="8F14709C">
      <w:start w:val="5"/>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3" w15:restartNumberingAfterBreak="0">
    <w:nsid w:val="472D5892"/>
    <w:multiLevelType w:val="hybridMultilevel"/>
    <w:tmpl w:val="96E8DCCE"/>
    <w:styleLink w:val="ArticleSection2"/>
    <w:lvl w:ilvl="0" w:tplc="4C9C905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6E1021"/>
    <w:multiLevelType w:val="hybridMultilevel"/>
    <w:tmpl w:val="1D8A816E"/>
    <w:lvl w:ilvl="0" w:tplc="14F2DF24">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DCF2996"/>
    <w:multiLevelType w:val="hybridMultilevel"/>
    <w:tmpl w:val="2A3CB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05975"/>
    <w:multiLevelType w:val="multilevel"/>
    <w:tmpl w:val="EEA4C420"/>
    <w:lvl w:ilvl="0">
      <w:start w:val="1"/>
      <w:numFmt w:val="decimal"/>
      <w:pStyle w:val="Indent1-0"/>
      <w:lvlText w:val="%1."/>
      <w:lvlJc w:val="left"/>
      <w:pPr>
        <w:tabs>
          <w:tab w:val="num" w:pos="720"/>
        </w:tabs>
        <w:ind w:left="720" w:hanging="720"/>
      </w:pPr>
      <w:rPr>
        <w:rFonts w:cs="ZDingbats" w:hint="default"/>
        <w:u w:val="single"/>
      </w:rPr>
    </w:lvl>
    <w:lvl w:ilvl="1">
      <w:start w:val="1"/>
      <w:numFmt w:val="decimal"/>
      <w:lvlText w:val="%2."/>
      <w:lvlJc w:val="left"/>
      <w:pPr>
        <w:tabs>
          <w:tab w:val="num" w:pos="1440"/>
        </w:tabs>
        <w:ind w:left="1440" w:hanging="720"/>
      </w:pPr>
      <w:rPr>
        <w:rFonts w:cs="ZDingbats" w:hint="default"/>
        <w:u w:val="single"/>
      </w:rPr>
    </w:lvl>
    <w:lvl w:ilvl="2">
      <w:start w:val="1"/>
      <w:numFmt w:val="decimal"/>
      <w:lvlText w:val="%3."/>
      <w:lvlJc w:val="left"/>
      <w:pPr>
        <w:tabs>
          <w:tab w:val="num" w:pos="2160"/>
        </w:tabs>
        <w:ind w:left="2160" w:hanging="720"/>
      </w:pPr>
      <w:rPr>
        <w:rFonts w:cs="ZDingbats" w:hint="default"/>
      </w:rPr>
    </w:lvl>
    <w:lvl w:ilvl="3">
      <w:start w:val="1"/>
      <w:numFmt w:val="decimal"/>
      <w:lvlText w:val="%4."/>
      <w:lvlJc w:val="left"/>
      <w:pPr>
        <w:tabs>
          <w:tab w:val="num" w:pos="2880"/>
        </w:tabs>
        <w:ind w:left="2880" w:hanging="720"/>
      </w:pPr>
      <w:rPr>
        <w:rFonts w:cs="ZDingbats" w:hint="default"/>
      </w:rPr>
    </w:lvl>
    <w:lvl w:ilvl="4">
      <w:start w:val="1"/>
      <w:numFmt w:val="decimal"/>
      <w:lvlText w:val="%5."/>
      <w:lvlJc w:val="left"/>
      <w:pPr>
        <w:tabs>
          <w:tab w:val="num" w:pos="3600"/>
        </w:tabs>
        <w:ind w:left="3600" w:hanging="720"/>
      </w:pPr>
      <w:rPr>
        <w:rFonts w:cs="ZDingbats" w:hint="default"/>
      </w:rPr>
    </w:lvl>
    <w:lvl w:ilvl="5">
      <w:start w:val="1"/>
      <w:numFmt w:val="decimal"/>
      <w:lvlText w:val="%6."/>
      <w:lvlJc w:val="left"/>
      <w:pPr>
        <w:tabs>
          <w:tab w:val="num" w:pos="4320"/>
        </w:tabs>
        <w:ind w:left="4320" w:hanging="720"/>
      </w:pPr>
      <w:rPr>
        <w:rFonts w:cs="ZDingbats" w:hint="default"/>
      </w:rPr>
    </w:lvl>
    <w:lvl w:ilvl="6">
      <w:start w:val="1"/>
      <w:numFmt w:val="decimal"/>
      <w:lvlText w:val="%7."/>
      <w:lvlJc w:val="left"/>
      <w:pPr>
        <w:tabs>
          <w:tab w:val="num" w:pos="5040"/>
        </w:tabs>
        <w:ind w:left="5040" w:hanging="720"/>
      </w:pPr>
      <w:rPr>
        <w:rFonts w:cs="ZDingbats" w:hint="default"/>
      </w:rPr>
    </w:lvl>
    <w:lvl w:ilvl="7">
      <w:start w:val="1"/>
      <w:numFmt w:val="decimal"/>
      <w:lvlText w:val="%8."/>
      <w:lvlJc w:val="left"/>
      <w:pPr>
        <w:tabs>
          <w:tab w:val="num" w:pos="5760"/>
        </w:tabs>
        <w:ind w:left="5760" w:hanging="720"/>
      </w:pPr>
      <w:rPr>
        <w:rFonts w:cs="ZDingbats" w:hint="default"/>
      </w:rPr>
    </w:lvl>
    <w:lvl w:ilvl="8">
      <w:start w:val="1"/>
      <w:numFmt w:val="decimal"/>
      <w:lvlText w:val="%9."/>
      <w:lvlJc w:val="left"/>
      <w:pPr>
        <w:tabs>
          <w:tab w:val="num" w:pos="6480"/>
        </w:tabs>
        <w:ind w:left="6480" w:hanging="720"/>
      </w:pPr>
      <w:rPr>
        <w:rFonts w:cs="ZDingbats" w:hint="default"/>
      </w:rPr>
    </w:lvl>
  </w:abstractNum>
  <w:abstractNum w:abstractNumId="37" w15:restartNumberingAfterBreak="0">
    <w:nsid w:val="5FDF2793"/>
    <w:multiLevelType w:val="hybridMultilevel"/>
    <w:tmpl w:val="66E85E30"/>
    <w:lvl w:ilvl="0" w:tplc="02FE0176">
      <w:start w:val="1"/>
      <w:numFmt w:val="decimal"/>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68AB4481"/>
    <w:multiLevelType w:val="hybridMultilevel"/>
    <w:tmpl w:val="BD005A1A"/>
    <w:lvl w:ilvl="0" w:tplc="1A2425B2">
      <w:start w:val="1"/>
      <w:numFmt w:val="decimal"/>
      <w:lvlText w:val="%1."/>
      <w:lvlJc w:val="left"/>
      <w:pPr>
        <w:ind w:left="960" w:hanging="360"/>
      </w:pPr>
      <w:rPr>
        <w:rFonts w:ascii="Times New Roman" w:hAnsi="Times New Roman" w:cs="Times New Roman" w:hint="default"/>
        <w:b w:val="0"/>
        <w:sz w:val="24"/>
        <w:szCs w:val="24"/>
      </w:rPr>
    </w:lvl>
    <w:lvl w:ilvl="1" w:tplc="04090019">
      <w:start w:val="1"/>
      <w:numFmt w:val="lowerLetter"/>
      <w:lvlText w:val="%2."/>
      <w:lvlJc w:val="left"/>
      <w:pPr>
        <w:ind w:left="1680" w:hanging="360"/>
      </w:pPr>
      <w:rPr>
        <w:rFonts w:cs="Times New Roman"/>
      </w:rPr>
    </w:lvl>
    <w:lvl w:ilvl="2" w:tplc="0409001B" w:tentative="1">
      <w:start w:val="1"/>
      <w:numFmt w:val="lowerRoman"/>
      <w:lvlText w:val="%3."/>
      <w:lvlJc w:val="right"/>
      <w:pPr>
        <w:ind w:left="2400" w:hanging="180"/>
      </w:pPr>
      <w:rPr>
        <w:rFonts w:cs="Times New Roman"/>
      </w:rPr>
    </w:lvl>
    <w:lvl w:ilvl="3" w:tplc="0409000F" w:tentative="1">
      <w:start w:val="1"/>
      <w:numFmt w:val="decimal"/>
      <w:lvlText w:val="%4."/>
      <w:lvlJc w:val="left"/>
      <w:pPr>
        <w:ind w:left="3120" w:hanging="360"/>
      </w:pPr>
      <w:rPr>
        <w:rFonts w:cs="Times New Roman"/>
      </w:rPr>
    </w:lvl>
    <w:lvl w:ilvl="4" w:tplc="04090019" w:tentative="1">
      <w:start w:val="1"/>
      <w:numFmt w:val="lowerLetter"/>
      <w:lvlText w:val="%5."/>
      <w:lvlJc w:val="left"/>
      <w:pPr>
        <w:ind w:left="3840" w:hanging="360"/>
      </w:pPr>
      <w:rPr>
        <w:rFonts w:cs="Times New Roman"/>
      </w:rPr>
    </w:lvl>
    <w:lvl w:ilvl="5" w:tplc="0409001B" w:tentative="1">
      <w:start w:val="1"/>
      <w:numFmt w:val="lowerRoman"/>
      <w:lvlText w:val="%6."/>
      <w:lvlJc w:val="right"/>
      <w:pPr>
        <w:ind w:left="4560" w:hanging="180"/>
      </w:pPr>
      <w:rPr>
        <w:rFonts w:cs="Times New Roman"/>
      </w:rPr>
    </w:lvl>
    <w:lvl w:ilvl="6" w:tplc="0409000F" w:tentative="1">
      <w:start w:val="1"/>
      <w:numFmt w:val="decimal"/>
      <w:lvlText w:val="%7."/>
      <w:lvlJc w:val="left"/>
      <w:pPr>
        <w:ind w:left="5280" w:hanging="360"/>
      </w:pPr>
      <w:rPr>
        <w:rFonts w:cs="Times New Roman"/>
      </w:rPr>
    </w:lvl>
    <w:lvl w:ilvl="7" w:tplc="04090019" w:tentative="1">
      <w:start w:val="1"/>
      <w:numFmt w:val="lowerLetter"/>
      <w:lvlText w:val="%8."/>
      <w:lvlJc w:val="left"/>
      <w:pPr>
        <w:ind w:left="6000" w:hanging="360"/>
      </w:pPr>
      <w:rPr>
        <w:rFonts w:cs="Times New Roman"/>
      </w:rPr>
    </w:lvl>
    <w:lvl w:ilvl="8" w:tplc="0409001B" w:tentative="1">
      <w:start w:val="1"/>
      <w:numFmt w:val="lowerRoman"/>
      <w:lvlText w:val="%9."/>
      <w:lvlJc w:val="right"/>
      <w:pPr>
        <w:ind w:left="6720" w:hanging="180"/>
      </w:pPr>
      <w:rPr>
        <w:rFonts w:cs="Times New Roman"/>
      </w:rPr>
    </w:lvl>
  </w:abstractNum>
  <w:abstractNum w:abstractNumId="39" w15:restartNumberingAfterBreak="0">
    <w:nsid w:val="693031D6"/>
    <w:multiLevelType w:val="hybridMultilevel"/>
    <w:tmpl w:val="38D6D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642808"/>
    <w:multiLevelType w:val="multilevel"/>
    <w:tmpl w:val="9BBE6B10"/>
    <w:styleLink w:val="Style13"/>
    <w:lvl w:ilvl="0">
      <w:start w:val="4"/>
      <w:numFmt w:val="decimal"/>
      <w:lvlText w:val="%1."/>
      <w:lvlJc w:val="left"/>
      <w:pPr>
        <w:ind w:left="360" w:hanging="360"/>
      </w:pPr>
      <w:rPr>
        <w:b w:val="0"/>
        <w:bCs/>
        <w:spacing w:val="-8"/>
        <w:w w:val="110"/>
        <w:sz w:val="22"/>
        <w:szCs w:val="22"/>
      </w:rPr>
    </w:lvl>
    <w:lvl w:ilvl="1">
      <w:start w:val="1"/>
      <w:numFmt w:val="decimal"/>
      <w:lvlText w:val="%1.%2."/>
      <w:lvlJc w:val="left"/>
      <w:pPr>
        <w:ind w:left="1242" w:hanging="432"/>
      </w:pPr>
      <w:rPr>
        <w:b w:val="0"/>
      </w:rPr>
    </w:lvl>
    <w:lvl w:ilvl="2">
      <w:numFmt w:val="none"/>
      <w:lvlText w:val=""/>
      <w:lvlJc w:val="left"/>
      <w:pPr>
        <w:tabs>
          <w:tab w:val="num" w:pos="360"/>
        </w:tabs>
        <w:ind w:left="0" w:firstLine="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A8B019E"/>
    <w:multiLevelType w:val="hybridMultilevel"/>
    <w:tmpl w:val="A644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833192"/>
    <w:multiLevelType w:val="hybridMultilevel"/>
    <w:tmpl w:val="DEA4DFC6"/>
    <w:lvl w:ilvl="0" w:tplc="9304877A">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8"/>
  </w:num>
  <w:num w:numId="3">
    <w:abstractNumId w:val="13"/>
  </w:num>
  <w:num w:numId="4">
    <w:abstractNumId w:val="27"/>
  </w:num>
  <w:num w:numId="5">
    <w:abstractNumId w:val="33"/>
  </w:num>
  <w:num w:numId="6">
    <w:abstractNumId w:val="6"/>
  </w:num>
  <w:num w:numId="7">
    <w:abstractNumId w:val="11"/>
  </w:num>
  <w:num w:numId="8">
    <w:abstractNumId w:val="31"/>
  </w:num>
  <w:num w:numId="9">
    <w:abstractNumId w:val="9"/>
  </w:num>
  <w:num w:numId="10">
    <w:abstractNumId w:val="8"/>
  </w:num>
  <w:num w:numId="11">
    <w:abstractNumId w:val="7"/>
  </w:num>
  <w:num w:numId="12">
    <w:abstractNumId w:val="36"/>
  </w:num>
  <w:num w:numId="13">
    <w:abstractNumId w:val="24"/>
  </w:num>
  <w:num w:numId="14">
    <w:abstractNumId w:val="23"/>
  </w:num>
  <w:num w:numId="15">
    <w:abstractNumId w:val="4"/>
  </w:num>
  <w:num w:numId="16">
    <w:abstractNumId w:val="14"/>
  </w:num>
  <w:num w:numId="17">
    <w:abstractNumId w:val="18"/>
  </w:num>
  <w:num w:numId="18">
    <w:abstractNumId w:val="20"/>
  </w:num>
  <w:num w:numId="19">
    <w:abstractNumId w:val="30"/>
  </w:num>
  <w:num w:numId="20">
    <w:abstractNumId w:val="22"/>
  </w:num>
  <w:num w:numId="21">
    <w:abstractNumId w:val="17"/>
  </w:num>
  <w:num w:numId="22">
    <w:abstractNumId w:val="15"/>
  </w:num>
  <w:num w:numId="23">
    <w:abstractNumId w:val="35"/>
  </w:num>
  <w:num w:numId="24">
    <w:abstractNumId w:val="39"/>
  </w:num>
  <w:num w:numId="25">
    <w:abstractNumId w:val="29"/>
  </w:num>
  <w:num w:numId="26">
    <w:abstractNumId w:val="41"/>
  </w:num>
  <w:num w:numId="27">
    <w:abstractNumId w:val="38"/>
  </w:num>
  <w:num w:numId="28">
    <w:abstractNumId w:val="25"/>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3"/>
    </w:lvlOverride>
  </w:num>
  <w:num w:numId="33">
    <w:abstractNumId w:val="40"/>
  </w:num>
  <w:num w:numId="34">
    <w:abstractNumId w:val="19"/>
  </w:num>
  <w:num w:numId="35">
    <w:abstractNumId w:val="42"/>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37"/>
  </w:num>
  <w:num w:numId="39">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B7C"/>
    <w:rsid w:val="00030ED7"/>
    <w:rsid w:val="00044800"/>
    <w:rsid w:val="00046546"/>
    <w:rsid w:val="00066AE5"/>
    <w:rsid w:val="0009559A"/>
    <w:rsid w:val="000D2CED"/>
    <w:rsid w:val="000E5037"/>
    <w:rsid w:val="000F59EB"/>
    <w:rsid w:val="00101309"/>
    <w:rsid w:val="00101550"/>
    <w:rsid w:val="00105DF7"/>
    <w:rsid w:val="00114DB8"/>
    <w:rsid w:val="00140B7C"/>
    <w:rsid w:val="001548DF"/>
    <w:rsid w:val="00186D2C"/>
    <w:rsid w:val="001953A0"/>
    <w:rsid w:val="001B3EB0"/>
    <w:rsid w:val="001E529A"/>
    <w:rsid w:val="00225FAA"/>
    <w:rsid w:val="00226293"/>
    <w:rsid w:val="00227F3C"/>
    <w:rsid w:val="00230203"/>
    <w:rsid w:val="002410AF"/>
    <w:rsid w:val="002564F1"/>
    <w:rsid w:val="002566F5"/>
    <w:rsid w:val="00260EE7"/>
    <w:rsid w:val="00262C28"/>
    <w:rsid w:val="00270107"/>
    <w:rsid w:val="00276C7C"/>
    <w:rsid w:val="00285DD6"/>
    <w:rsid w:val="00292F63"/>
    <w:rsid w:val="002C5F31"/>
    <w:rsid w:val="002D3ED5"/>
    <w:rsid w:val="003151BF"/>
    <w:rsid w:val="003179D9"/>
    <w:rsid w:val="003A252A"/>
    <w:rsid w:val="00426399"/>
    <w:rsid w:val="0044372B"/>
    <w:rsid w:val="004840DD"/>
    <w:rsid w:val="004E78AB"/>
    <w:rsid w:val="004F4C0E"/>
    <w:rsid w:val="004F546B"/>
    <w:rsid w:val="00500235"/>
    <w:rsid w:val="00510C83"/>
    <w:rsid w:val="00527D84"/>
    <w:rsid w:val="00555520"/>
    <w:rsid w:val="00565A2D"/>
    <w:rsid w:val="00587763"/>
    <w:rsid w:val="00592DC4"/>
    <w:rsid w:val="00596927"/>
    <w:rsid w:val="005A646E"/>
    <w:rsid w:val="005C30F3"/>
    <w:rsid w:val="005F4F59"/>
    <w:rsid w:val="005F67E2"/>
    <w:rsid w:val="00605A1C"/>
    <w:rsid w:val="00624102"/>
    <w:rsid w:val="0063646B"/>
    <w:rsid w:val="00636C21"/>
    <w:rsid w:val="00674D6A"/>
    <w:rsid w:val="006833AA"/>
    <w:rsid w:val="006C4965"/>
    <w:rsid w:val="006D382F"/>
    <w:rsid w:val="006D5252"/>
    <w:rsid w:val="006D7738"/>
    <w:rsid w:val="006E1C9F"/>
    <w:rsid w:val="007009C8"/>
    <w:rsid w:val="0071096C"/>
    <w:rsid w:val="00712795"/>
    <w:rsid w:val="007172C6"/>
    <w:rsid w:val="00721660"/>
    <w:rsid w:val="007253FA"/>
    <w:rsid w:val="007257CC"/>
    <w:rsid w:val="00730E02"/>
    <w:rsid w:val="00732EE8"/>
    <w:rsid w:val="0073503A"/>
    <w:rsid w:val="007734EE"/>
    <w:rsid w:val="007C342D"/>
    <w:rsid w:val="007E3B12"/>
    <w:rsid w:val="007F0F4B"/>
    <w:rsid w:val="007F1B8D"/>
    <w:rsid w:val="007F6982"/>
    <w:rsid w:val="008058E1"/>
    <w:rsid w:val="00814EF1"/>
    <w:rsid w:val="0083145D"/>
    <w:rsid w:val="00843968"/>
    <w:rsid w:val="00847C97"/>
    <w:rsid w:val="00866681"/>
    <w:rsid w:val="008769ED"/>
    <w:rsid w:val="00896D28"/>
    <w:rsid w:val="008A6E6C"/>
    <w:rsid w:val="008B65AA"/>
    <w:rsid w:val="008E3636"/>
    <w:rsid w:val="0090770B"/>
    <w:rsid w:val="009163AC"/>
    <w:rsid w:val="009348C2"/>
    <w:rsid w:val="009455B3"/>
    <w:rsid w:val="0095716E"/>
    <w:rsid w:val="00992B00"/>
    <w:rsid w:val="009A5563"/>
    <w:rsid w:val="009F6F5F"/>
    <w:rsid w:val="00A246DC"/>
    <w:rsid w:val="00A71CE7"/>
    <w:rsid w:val="00A75748"/>
    <w:rsid w:val="00A83722"/>
    <w:rsid w:val="00AE6A45"/>
    <w:rsid w:val="00AF540A"/>
    <w:rsid w:val="00B24A3A"/>
    <w:rsid w:val="00B43C98"/>
    <w:rsid w:val="00B50E8C"/>
    <w:rsid w:val="00B52056"/>
    <w:rsid w:val="00B57C76"/>
    <w:rsid w:val="00B64953"/>
    <w:rsid w:val="00B75929"/>
    <w:rsid w:val="00B90EF8"/>
    <w:rsid w:val="00B97078"/>
    <w:rsid w:val="00BC3D5F"/>
    <w:rsid w:val="00C16874"/>
    <w:rsid w:val="00C23ECB"/>
    <w:rsid w:val="00C44872"/>
    <w:rsid w:val="00C5411D"/>
    <w:rsid w:val="00C6279B"/>
    <w:rsid w:val="00CD5EB7"/>
    <w:rsid w:val="00CD7F4F"/>
    <w:rsid w:val="00D109C6"/>
    <w:rsid w:val="00D254C4"/>
    <w:rsid w:val="00D25B3D"/>
    <w:rsid w:val="00D40926"/>
    <w:rsid w:val="00D462E6"/>
    <w:rsid w:val="00D47FBB"/>
    <w:rsid w:val="00D662C6"/>
    <w:rsid w:val="00D70482"/>
    <w:rsid w:val="00D828DA"/>
    <w:rsid w:val="00D9168A"/>
    <w:rsid w:val="00DA5662"/>
    <w:rsid w:val="00E22B39"/>
    <w:rsid w:val="00E56987"/>
    <w:rsid w:val="00E57609"/>
    <w:rsid w:val="00E72B45"/>
    <w:rsid w:val="00E73567"/>
    <w:rsid w:val="00E809C7"/>
    <w:rsid w:val="00E81C10"/>
    <w:rsid w:val="00E87C3A"/>
    <w:rsid w:val="00E919CF"/>
    <w:rsid w:val="00E97307"/>
    <w:rsid w:val="00EF38BE"/>
    <w:rsid w:val="00F02F52"/>
    <w:rsid w:val="00F57F57"/>
    <w:rsid w:val="00F7098D"/>
    <w:rsid w:val="00F87445"/>
    <w:rsid w:val="00FA0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055FC"/>
  <w15:chartTrackingRefBased/>
  <w15:docId w15:val="{7791B18E-6365-479C-B9CD-C1B8FE44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B7C"/>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140B7C"/>
    <w:pPr>
      <w:keepNext/>
      <w:widowControl w:val="0"/>
      <w:tabs>
        <w:tab w:val="num" w:pos="288"/>
      </w:tabs>
      <w:autoSpaceDE w:val="0"/>
      <w:autoSpaceDN w:val="0"/>
      <w:adjustRightInd w:val="0"/>
      <w:spacing w:before="240" w:after="60" w:line="360" w:lineRule="auto"/>
      <w:ind w:left="792" w:hanging="288"/>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uiPriority w:val="9"/>
    <w:qFormat/>
    <w:rsid w:val="00140B7C"/>
    <w:pPr>
      <w:keepNext/>
      <w:widowControl w:val="0"/>
      <w:numPr>
        <w:ilvl w:val="1"/>
        <w:numId w:val="9"/>
      </w:numPr>
      <w:autoSpaceDE w:val="0"/>
      <w:autoSpaceDN w:val="0"/>
      <w:adjustRightInd w:val="0"/>
      <w:spacing w:before="240" w:after="60" w:line="360" w:lineRule="auto"/>
      <w:outlineLvl w:val="1"/>
    </w:pPr>
    <w:rPr>
      <w:rFonts w:ascii="Arial" w:eastAsia="Times New Roman" w:hAnsi="Arial" w:cs="Times New Roman"/>
      <w:b/>
      <w:bCs/>
      <w:iCs/>
      <w:szCs w:val="28"/>
    </w:rPr>
  </w:style>
  <w:style w:type="paragraph" w:styleId="Heading3">
    <w:name w:val="heading 3"/>
    <w:basedOn w:val="Normal"/>
    <w:next w:val="Normal"/>
    <w:link w:val="Heading3Char"/>
    <w:uiPriority w:val="9"/>
    <w:qFormat/>
    <w:rsid w:val="00140B7C"/>
    <w:pPr>
      <w:keepNext/>
      <w:widowControl w:val="0"/>
      <w:numPr>
        <w:ilvl w:val="2"/>
        <w:numId w:val="9"/>
      </w:numPr>
      <w:autoSpaceDE w:val="0"/>
      <w:autoSpaceDN w:val="0"/>
      <w:adjustRightInd w:val="0"/>
      <w:spacing w:before="240" w:after="60" w:line="240" w:lineRule="auto"/>
      <w:outlineLvl w:val="2"/>
    </w:pPr>
    <w:rPr>
      <w:rFonts w:ascii="Arial" w:eastAsia="Times New Roman" w:hAnsi="Arial" w:cs="Times New Roman"/>
      <w:b/>
      <w:bCs/>
      <w:szCs w:val="26"/>
    </w:rPr>
  </w:style>
  <w:style w:type="paragraph" w:styleId="Heading4">
    <w:name w:val="heading 4"/>
    <w:basedOn w:val="Normal"/>
    <w:next w:val="Normal"/>
    <w:link w:val="Heading4Char"/>
    <w:uiPriority w:val="9"/>
    <w:qFormat/>
    <w:rsid w:val="00140B7C"/>
    <w:pPr>
      <w:keepNext/>
      <w:widowControl w:val="0"/>
      <w:numPr>
        <w:ilvl w:val="3"/>
        <w:numId w:val="9"/>
      </w:numPr>
      <w:autoSpaceDE w:val="0"/>
      <w:autoSpaceDN w:val="0"/>
      <w:adjustRightInd w:val="0"/>
      <w:spacing w:before="240" w:after="60" w:line="240" w:lineRule="auto"/>
      <w:outlineLvl w:val="3"/>
    </w:pPr>
    <w:rPr>
      <w:rFonts w:ascii="Arial" w:eastAsia="Times New Roman" w:hAnsi="Arial" w:cs="Times New Roman"/>
      <w:b/>
      <w:bCs/>
      <w:szCs w:val="28"/>
    </w:rPr>
  </w:style>
  <w:style w:type="paragraph" w:styleId="Heading5">
    <w:name w:val="heading 5"/>
    <w:basedOn w:val="Normal"/>
    <w:next w:val="Normal"/>
    <w:link w:val="Heading5Char"/>
    <w:uiPriority w:val="9"/>
    <w:qFormat/>
    <w:rsid w:val="00140B7C"/>
    <w:pPr>
      <w:widowControl w:val="0"/>
      <w:numPr>
        <w:ilvl w:val="4"/>
        <w:numId w:val="9"/>
      </w:numPr>
      <w:autoSpaceDE w:val="0"/>
      <w:autoSpaceDN w:val="0"/>
      <w:adjustRightInd w:val="0"/>
      <w:spacing w:before="240" w:after="60" w:line="240" w:lineRule="auto"/>
      <w:outlineLvl w:val="4"/>
    </w:pPr>
    <w:rPr>
      <w:rFonts w:ascii="Arial" w:eastAsia="Times New Roman" w:hAnsi="Arial" w:cs="Times New Roman"/>
      <w:b/>
      <w:bCs/>
      <w:iCs/>
      <w:szCs w:val="26"/>
    </w:rPr>
  </w:style>
  <w:style w:type="paragraph" w:styleId="Heading6">
    <w:name w:val="heading 6"/>
    <w:basedOn w:val="Normal"/>
    <w:next w:val="Normal"/>
    <w:link w:val="Heading6Char"/>
    <w:uiPriority w:val="9"/>
    <w:qFormat/>
    <w:rsid w:val="00140B7C"/>
    <w:pPr>
      <w:widowControl w:val="0"/>
      <w:numPr>
        <w:ilvl w:val="5"/>
        <w:numId w:val="9"/>
      </w:numPr>
      <w:autoSpaceDE w:val="0"/>
      <w:autoSpaceDN w:val="0"/>
      <w:adjustRightInd w:val="0"/>
      <w:spacing w:before="240" w:after="60" w:line="240" w:lineRule="auto"/>
      <w:outlineLvl w:val="5"/>
    </w:pPr>
    <w:rPr>
      <w:rFonts w:ascii="Arial" w:eastAsia="Times New Roman" w:hAnsi="Arial" w:cs="Times New Roman"/>
      <w:b/>
      <w:bCs/>
      <w:sz w:val="20"/>
      <w:szCs w:val="20"/>
    </w:rPr>
  </w:style>
  <w:style w:type="paragraph" w:styleId="Heading7">
    <w:name w:val="heading 7"/>
    <w:basedOn w:val="Normal"/>
    <w:next w:val="Normal"/>
    <w:link w:val="Heading7Char"/>
    <w:uiPriority w:val="9"/>
    <w:qFormat/>
    <w:rsid w:val="00140B7C"/>
    <w:pPr>
      <w:widowControl w:val="0"/>
      <w:numPr>
        <w:ilvl w:val="6"/>
        <w:numId w:val="9"/>
      </w:numPr>
      <w:autoSpaceDE w:val="0"/>
      <w:autoSpaceDN w:val="0"/>
      <w:adjustRightInd w:val="0"/>
      <w:spacing w:before="240" w:after="60" w:line="240" w:lineRule="auto"/>
      <w:outlineLvl w:val="6"/>
    </w:pPr>
    <w:rPr>
      <w:rFonts w:ascii="Arial" w:eastAsia="Times New Roman" w:hAnsi="Arial" w:cs="Times New Roman"/>
      <w:b/>
      <w:szCs w:val="24"/>
    </w:rPr>
  </w:style>
  <w:style w:type="paragraph" w:styleId="Heading8">
    <w:name w:val="heading 8"/>
    <w:basedOn w:val="Normal"/>
    <w:next w:val="Normal"/>
    <w:link w:val="Heading8Char"/>
    <w:uiPriority w:val="9"/>
    <w:qFormat/>
    <w:rsid w:val="00140B7C"/>
    <w:pPr>
      <w:widowControl w:val="0"/>
      <w:numPr>
        <w:ilvl w:val="7"/>
        <w:numId w:val="9"/>
      </w:numPr>
      <w:autoSpaceDE w:val="0"/>
      <w:autoSpaceDN w:val="0"/>
      <w:adjustRightInd w:val="0"/>
      <w:spacing w:before="240" w:after="60" w:line="240" w:lineRule="auto"/>
      <w:outlineLvl w:val="7"/>
    </w:pPr>
    <w:rPr>
      <w:rFonts w:ascii="Arial" w:eastAsia="Times New Roman" w:hAnsi="Arial" w:cs="Times New Roman"/>
      <w:b/>
      <w:iCs/>
      <w:szCs w:val="24"/>
    </w:rPr>
  </w:style>
  <w:style w:type="paragraph" w:styleId="Heading9">
    <w:name w:val="heading 9"/>
    <w:basedOn w:val="Normal"/>
    <w:next w:val="Normal"/>
    <w:link w:val="Heading9Char"/>
    <w:uiPriority w:val="9"/>
    <w:qFormat/>
    <w:rsid w:val="00140B7C"/>
    <w:pPr>
      <w:widowControl w:val="0"/>
      <w:tabs>
        <w:tab w:val="num" w:pos="288"/>
      </w:tabs>
      <w:autoSpaceDE w:val="0"/>
      <w:autoSpaceDN w:val="0"/>
      <w:adjustRightInd w:val="0"/>
      <w:spacing w:before="240" w:after="60" w:line="240" w:lineRule="auto"/>
      <w:ind w:left="792" w:hanging="288"/>
      <w:outlineLvl w:val="8"/>
    </w:pPr>
    <w:rPr>
      <w:rFonts w:ascii="Arial" w:eastAsia="Times New Roman" w:hAnsi="Arial"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B7C"/>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140B7C"/>
    <w:rPr>
      <w:rFonts w:ascii="Arial" w:eastAsia="Times New Roman" w:hAnsi="Arial" w:cs="Times New Roman"/>
      <w:b/>
      <w:bCs/>
      <w:iCs/>
      <w:sz w:val="24"/>
      <w:szCs w:val="28"/>
    </w:rPr>
  </w:style>
  <w:style w:type="character" w:customStyle="1" w:styleId="Heading3Char">
    <w:name w:val="Heading 3 Char"/>
    <w:basedOn w:val="DefaultParagraphFont"/>
    <w:link w:val="Heading3"/>
    <w:uiPriority w:val="9"/>
    <w:rsid w:val="00140B7C"/>
    <w:rPr>
      <w:rFonts w:ascii="Arial" w:eastAsia="Times New Roman" w:hAnsi="Arial" w:cs="Times New Roman"/>
      <w:b/>
      <w:bCs/>
      <w:sz w:val="24"/>
      <w:szCs w:val="26"/>
    </w:rPr>
  </w:style>
  <w:style w:type="character" w:customStyle="1" w:styleId="Heading4Char">
    <w:name w:val="Heading 4 Char"/>
    <w:basedOn w:val="DefaultParagraphFont"/>
    <w:link w:val="Heading4"/>
    <w:uiPriority w:val="9"/>
    <w:rsid w:val="00140B7C"/>
    <w:rPr>
      <w:rFonts w:ascii="Arial" w:eastAsia="Times New Roman" w:hAnsi="Arial" w:cs="Times New Roman"/>
      <w:b/>
      <w:bCs/>
      <w:sz w:val="24"/>
      <w:szCs w:val="28"/>
    </w:rPr>
  </w:style>
  <w:style w:type="character" w:customStyle="1" w:styleId="Heading5Char">
    <w:name w:val="Heading 5 Char"/>
    <w:basedOn w:val="DefaultParagraphFont"/>
    <w:link w:val="Heading5"/>
    <w:uiPriority w:val="9"/>
    <w:rsid w:val="00140B7C"/>
    <w:rPr>
      <w:rFonts w:ascii="Arial" w:eastAsia="Times New Roman" w:hAnsi="Arial" w:cs="Times New Roman"/>
      <w:b/>
      <w:bCs/>
      <w:iCs/>
      <w:sz w:val="24"/>
      <w:szCs w:val="26"/>
    </w:rPr>
  </w:style>
  <w:style w:type="character" w:customStyle="1" w:styleId="Heading6Char">
    <w:name w:val="Heading 6 Char"/>
    <w:basedOn w:val="DefaultParagraphFont"/>
    <w:link w:val="Heading6"/>
    <w:uiPriority w:val="9"/>
    <w:rsid w:val="00140B7C"/>
    <w:rPr>
      <w:rFonts w:ascii="Arial" w:eastAsia="Times New Roman" w:hAnsi="Arial" w:cs="Times New Roman"/>
      <w:b/>
      <w:bCs/>
      <w:sz w:val="20"/>
      <w:szCs w:val="20"/>
    </w:rPr>
  </w:style>
  <w:style w:type="character" w:customStyle="1" w:styleId="Heading7Char">
    <w:name w:val="Heading 7 Char"/>
    <w:basedOn w:val="DefaultParagraphFont"/>
    <w:link w:val="Heading7"/>
    <w:uiPriority w:val="9"/>
    <w:rsid w:val="00140B7C"/>
    <w:rPr>
      <w:rFonts w:ascii="Arial" w:eastAsia="Times New Roman" w:hAnsi="Arial" w:cs="Times New Roman"/>
      <w:b/>
      <w:sz w:val="24"/>
      <w:szCs w:val="24"/>
    </w:rPr>
  </w:style>
  <w:style w:type="character" w:customStyle="1" w:styleId="Heading8Char">
    <w:name w:val="Heading 8 Char"/>
    <w:basedOn w:val="DefaultParagraphFont"/>
    <w:link w:val="Heading8"/>
    <w:uiPriority w:val="9"/>
    <w:rsid w:val="00140B7C"/>
    <w:rPr>
      <w:rFonts w:ascii="Arial" w:eastAsia="Times New Roman" w:hAnsi="Arial" w:cs="Times New Roman"/>
      <w:b/>
      <w:iCs/>
      <w:sz w:val="24"/>
      <w:szCs w:val="24"/>
    </w:rPr>
  </w:style>
  <w:style w:type="character" w:customStyle="1" w:styleId="Heading9Char">
    <w:name w:val="Heading 9 Char"/>
    <w:basedOn w:val="DefaultParagraphFont"/>
    <w:link w:val="Heading9"/>
    <w:uiPriority w:val="9"/>
    <w:rsid w:val="00140B7C"/>
    <w:rPr>
      <w:rFonts w:ascii="Arial" w:eastAsia="Times New Roman" w:hAnsi="Arial" w:cs="Times New Roman"/>
      <w:b/>
      <w:sz w:val="20"/>
      <w:szCs w:val="20"/>
    </w:rPr>
  </w:style>
  <w:style w:type="paragraph" w:customStyle="1" w:styleId="ICCSECTIONl2L5">
    <w:name w:val="ICCSECTION_l2_L5"/>
    <w:uiPriority w:val="99"/>
    <w:rsid w:val="00140B7C"/>
    <w:pPr>
      <w:widowControl w:val="0"/>
      <w:autoSpaceDE w:val="0"/>
      <w:autoSpaceDN w:val="0"/>
      <w:adjustRightInd w:val="0"/>
      <w:spacing w:after="0" w:line="240" w:lineRule="auto"/>
    </w:pPr>
    <w:rPr>
      <w:rFonts w:ascii="Arial" w:eastAsia="Times New Roman" w:hAnsi="Arial" w:cs="Arial"/>
    </w:rPr>
  </w:style>
  <w:style w:type="paragraph" w:styleId="NoSpacing">
    <w:name w:val="No Spacing"/>
    <w:uiPriority w:val="1"/>
    <w:qFormat/>
    <w:rsid w:val="00140B7C"/>
    <w:pPr>
      <w:widowControl w:val="0"/>
      <w:autoSpaceDE w:val="0"/>
      <w:autoSpaceDN w:val="0"/>
      <w:adjustRightInd w:val="0"/>
      <w:spacing w:after="0" w:line="240" w:lineRule="auto"/>
    </w:pPr>
    <w:rPr>
      <w:rFonts w:ascii="Arial" w:eastAsia="Times New Roman" w:hAnsi="Arial" w:cs="Arial"/>
      <w:color w:val="000000"/>
    </w:rPr>
  </w:style>
  <w:style w:type="character" w:styleId="CommentReference">
    <w:name w:val="annotation reference"/>
    <w:basedOn w:val="DefaultParagraphFont"/>
    <w:uiPriority w:val="99"/>
    <w:unhideWhenUsed/>
    <w:rsid w:val="00140B7C"/>
    <w:rPr>
      <w:rFonts w:cs="Times New Roman"/>
      <w:sz w:val="16"/>
      <w:szCs w:val="16"/>
    </w:rPr>
  </w:style>
  <w:style w:type="paragraph" w:styleId="CommentText">
    <w:name w:val="annotation text"/>
    <w:basedOn w:val="Normal"/>
    <w:link w:val="CommentTextChar"/>
    <w:uiPriority w:val="99"/>
    <w:unhideWhenUsed/>
    <w:rsid w:val="00140B7C"/>
    <w:pPr>
      <w:widowControl w:val="0"/>
      <w:autoSpaceDE w:val="0"/>
      <w:autoSpaceDN w:val="0"/>
      <w:adjustRightInd w:val="0"/>
      <w:spacing w:after="0" w:line="240" w:lineRule="auto"/>
    </w:pPr>
    <w:rPr>
      <w:rFonts w:ascii="Arial" w:eastAsia="Times New Roman" w:hAnsi="Arial" w:cs="Arial"/>
      <w:color w:val="000000"/>
      <w:sz w:val="20"/>
      <w:szCs w:val="20"/>
    </w:rPr>
  </w:style>
  <w:style w:type="character" w:customStyle="1" w:styleId="CommentTextChar">
    <w:name w:val="Comment Text Char"/>
    <w:basedOn w:val="DefaultParagraphFont"/>
    <w:link w:val="CommentText"/>
    <w:uiPriority w:val="99"/>
    <w:rsid w:val="00140B7C"/>
    <w:rPr>
      <w:rFonts w:ascii="Arial" w:eastAsia="Times New Roman" w:hAnsi="Arial" w:cs="Arial"/>
      <w:color w:val="000000"/>
      <w:sz w:val="20"/>
      <w:szCs w:val="20"/>
    </w:rPr>
  </w:style>
  <w:style w:type="paragraph" w:styleId="BalloonText">
    <w:name w:val="Balloon Text"/>
    <w:basedOn w:val="Normal"/>
    <w:link w:val="BalloonTextChar"/>
    <w:uiPriority w:val="99"/>
    <w:unhideWhenUsed/>
    <w:rsid w:val="00140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40B7C"/>
    <w:rPr>
      <w:rFonts w:ascii="Tahoma" w:hAnsi="Tahoma" w:cs="Tahoma"/>
      <w:sz w:val="16"/>
      <w:szCs w:val="16"/>
    </w:rPr>
  </w:style>
  <w:style w:type="character" w:styleId="Hyperlink">
    <w:name w:val="Hyperlink"/>
    <w:basedOn w:val="DefaultParagraphFont"/>
    <w:uiPriority w:val="99"/>
    <w:rsid w:val="00140B7C"/>
    <w:rPr>
      <w:color w:val="008000"/>
      <w:u w:val="single"/>
    </w:rPr>
  </w:style>
  <w:style w:type="character" w:customStyle="1" w:styleId="HeaderChar">
    <w:name w:val="Header Char"/>
    <w:link w:val="Header"/>
    <w:uiPriority w:val="99"/>
    <w:locked/>
    <w:rsid w:val="00140B7C"/>
    <w:rPr>
      <w:rFonts w:ascii="Times New Roman" w:hAnsi="Times New Roman"/>
      <w:color w:val="000000"/>
      <w:sz w:val="24"/>
    </w:rPr>
  </w:style>
  <w:style w:type="paragraph" w:styleId="Header">
    <w:name w:val="header"/>
    <w:basedOn w:val="Normal"/>
    <w:link w:val="HeaderChar"/>
    <w:uiPriority w:val="99"/>
    <w:unhideWhenUsed/>
    <w:rsid w:val="00140B7C"/>
    <w:pPr>
      <w:widowControl w:val="0"/>
      <w:tabs>
        <w:tab w:val="center" w:pos="4680"/>
        <w:tab w:val="right" w:pos="9360"/>
      </w:tabs>
      <w:autoSpaceDE w:val="0"/>
      <w:autoSpaceDN w:val="0"/>
      <w:adjustRightInd w:val="0"/>
      <w:spacing w:after="0" w:line="240" w:lineRule="auto"/>
    </w:pPr>
    <w:rPr>
      <w:color w:val="000000"/>
    </w:rPr>
  </w:style>
  <w:style w:type="character" w:customStyle="1" w:styleId="HeaderChar1">
    <w:name w:val="Header Char1"/>
    <w:basedOn w:val="DefaultParagraphFont"/>
    <w:rsid w:val="00140B7C"/>
    <w:rPr>
      <w:rFonts w:ascii="Times New Roman" w:hAnsi="Times New Roman"/>
      <w:sz w:val="24"/>
    </w:rPr>
  </w:style>
  <w:style w:type="character" w:customStyle="1" w:styleId="ICCSECTIONl3L6Char">
    <w:name w:val="ICCSECTION_l3_L6 Char"/>
    <w:link w:val="ICCSECTIONl3L6"/>
    <w:uiPriority w:val="99"/>
    <w:locked/>
    <w:rsid w:val="00140B7C"/>
    <w:rPr>
      <w:rFonts w:ascii="Arial" w:hAnsi="Arial"/>
    </w:rPr>
  </w:style>
  <w:style w:type="paragraph" w:customStyle="1" w:styleId="ICCSECTIONl3L6">
    <w:name w:val="ICCSECTION_l3_L6"/>
    <w:link w:val="ICCSECTIONl3L6Char"/>
    <w:uiPriority w:val="99"/>
    <w:rsid w:val="00140B7C"/>
    <w:pPr>
      <w:widowControl w:val="0"/>
      <w:autoSpaceDE w:val="0"/>
      <w:autoSpaceDN w:val="0"/>
      <w:adjustRightInd w:val="0"/>
      <w:spacing w:after="0" w:line="240" w:lineRule="auto"/>
      <w:ind w:left="360"/>
    </w:pPr>
    <w:rPr>
      <w:rFonts w:ascii="Arial" w:hAnsi="Arial"/>
    </w:rPr>
  </w:style>
  <w:style w:type="character" w:customStyle="1" w:styleId="Popup">
    <w:name w:val="Popup"/>
    <w:uiPriority w:val="99"/>
    <w:rsid w:val="00140B7C"/>
  </w:style>
  <w:style w:type="character" w:customStyle="1" w:styleId="Note">
    <w:name w:val="Note"/>
    <w:uiPriority w:val="99"/>
    <w:rsid w:val="00140B7C"/>
  </w:style>
  <w:style w:type="character" w:customStyle="1" w:styleId="superscript">
    <w:name w:val="superscript"/>
    <w:uiPriority w:val="99"/>
    <w:rsid w:val="00140B7C"/>
    <w:rPr>
      <w:position w:val="16"/>
      <w:sz w:val="16"/>
    </w:rPr>
  </w:style>
  <w:style w:type="character" w:customStyle="1" w:styleId="SUBSCRIPT">
    <w:name w:val="SUBSCRIPT"/>
    <w:uiPriority w:val="99"/>
    <w:rsid w:val="00140B7C"/>
    <w:rPr>
      <w:color w:val="000000"/>
      <w:position w:val="-16"/>
      <w:sz w:val="16"/>
    </w:rPr>
  </w:style>
  <w:style w:type="character" w:customStyle="1" w:styleId="FooterChar">
    <w:name w:val="Footer Char"/>
    <w:link w:val="Footer"/>
    <w:uiPriority w:val="99"/>
    <w:locked/>
    <w:rsid w:val="00140B7C"/>
    <w:rPr>
      <w:rFonts w:ascii="Times New Roman" w:hAnsi="Times New Roman"/>
      <w:color w:val="000000"/>
      <w:sz w:val="24"/>
    </w:rPr>
  </w:style>
  <w:style w:type="paragraph" w:styleId="Footer">
    <w:name w:val="footer"/>
    <w:basedOn w:val="Normal"/>
    <w:link w:val="FooterChar"/>
    <w:uiPriority w:val="99"/>
    <w:unhideWhenUsed/>
    <w:rsid w:val="00140B7C"/>
    <w:pPr>
      <w:widowControl w:val="0"/>
      <w:tabs>
        <w:tab w:val="center" w:pos="4680"/>
        <w:tab w:val="right" w:pos="9360"/>
      </w:tabs>
      <w:autoSpaceDE w:val="0"/>
      <w:autoSpaceDN w:val="0"/>
      <w:adjustRightInd w:val="0"/>
      <w:spacing w:after="0" w:line="240" w:lineRule="auto"/>
    </w:pPr>
    <w:rPr>
      <w:color w:val="000000"/>
    </w:rPr>
  </w:style>
  <w:style w:type="character" w:customStyle="1" w:styleId="FooterChar1">
    <w:name w:val="Footer Char1"/>
    <w:basedOn w:val="DefaultParagraphFont"/>
    <w:rsid w:val="00140B7C"/>
    <w:rPr>
      <w:rFonts w:ascii="Times New Roman" w:hAnsi="Times New Roman"/>
      <w:sz w:val="24"/>
    </w:rPr>
  </w:style>
  <w:style w:type="paragraph" w:styleId="TOC8">
    <w:name w:val="toc 8"/>
    <w:basedOn w:val="Normal"/>
    <w:next w:val="Normal"/>
    <w:uiPriority w:val="39"/>
    <w:unhideWhenUsed/>
    <w:rsid w:val="00140B7C"/>
    <w:pPr>
      <w:widowControl w:val="0"/>
      <w:autoSpaceDE w:val="0"/>
      <w:autoSpaceDN w:val="0"/>
      <w:adjustRightInd w:val="0"/>
      <w:spacing w:after="100" w:line="240" w:lineRule="auto"/>
      <w:ind w:left="1541"/>
    </w:pPr>
    <w:rPr>
      <w:rFonts w:ascii="Calibri" w:eastAsia="Times New Roman" w:hAnsi="Calibri" w:cs="Arial"/>
      <w:color w:val="000000"/>
    </w:rPr>
  </w:style>
  <w:style w:type="paragraph" w:styleId="TOC5">
    <w:name w:val="toc 5"/>
    <w:basedOn w:val="Normal"/>
    <w:next w:val="Normal"/>
    <w:uiPriority w:val="39"/>
    <w:unhideWhenUsed/>
    <w:rsid w:val="00140B7C"/>
    <w:pPr>
      <w:widowControl w:val="0"/>
      <w:autoSpaceDE w:val="0"/>
      <w:autoSpaceDN w:val="0"/>
      <w:adjustRightInd w:val="0"/>
      <w:spacing w:after="100" w:line="240" w:lineRule="auto"/>
      <w:ind w:left="878"/>
    </w:pPr>
    <w:rPr>
      <w:rFonts w:ascii="Calibri" w:eastAsia="Times New Roman" w:hAnsi="Calibri" w:cs="Arial"/>
      <w:color w:val="000000"/>
    </w:rPr>
  </w:style>
  <w:style w:type="paragraph" w:styleId="TOC1">
    <w:name w:val="toc 1"/>
    <w:basedOn w:val="Normal"/>
    <w:next w:val="Normal"/>
    <w:uiPriority w:val="39"/>
    <w:unhideWhenUsed/>
    <w:rsid w:val="00140B7C"/>
    <w:pPr>
      <w:widowControl w:val="0"/>
      <w:autoSpaceDE w:val="0"/>
      <w:autoSpaceDN w:val="0"/>
      <w:adjustRightInd w:val="0"/>
      <w:spacing w:after="100" w:line="240" w:lineRule="auto"/>
    </w:pPr>
    <w:rPr>
      <w:rFonts w:ascii="Calibri" w:eastAsia="Times New Roman" w:hAnsi="Calibri" w:cs="Arial"/>
      <w:color w:val="000000"/>
    </w:rPr>
  </w:style>
  <w:style w:type="paragraph" w:styleId="TOC2">
    <w:name w:val="toc 2"/>
    <w:basedOn w:val="Normal"/>
    <w:next w:val="Normal"/>
    <w:uiPriority w:val="39"/>
    <w:unhideWhenUsed/>
    <w:rsid w:val="00140B7C"/>
    <w:pPr>
      <w:widowControl w:val="0"/>
      <w:autoSpaceDE w:val="0"/>
      <w:autoSpaceDN w:val="0"/>
      <w:adjustRightInd w:val="0"/>
      <w:spacing w:after="100" w:line="240" w:lineRule="auto"/>
      <w:ind w:left="216"/>
    </w:pPr>
    <w:rPr>
      <w:rFonts w:ascii="Calibri" w:eastAsia="Times New Roman" w:hAnsi="Calibri" w:cs="Arial"/>
      <w:color w:val="000000"/>
    </w:rPr>
  </w:style>
  <w:style w:type="paragraph" w:styleId="TOC3">
    <w:name w:val="toc 3"/>
    <w:basedOn w:val="Normal"/>
    <w:next w:val="Normal"/>
    <w:uiPriority w:val="39"/>
    <w:unhideWhenUsed/>
    <w:rsid w:val="00140B7C"/>
    <w:pPr>
      <w:widowControl w:val="0"/>
      <w:autoSpaceDE w:val="0"/>
      <w:autoSpaceDN w:val="0"/>
      <w:adjustRightInd w:val="0"/>
      <w:spacing w:after="100" w:line="240" w:lineRule="auto"/>
      <w:ind w:left="446"/>
    </w:pPr>
    <w:rPr>
      <w:rFonts w:ascii="Calibri" w:eastAsia="Times New Roman" w:hAnsi="Calibri" w:cs="Arial"/>
      <w:color w:val="000000"/>
    </w:rPr>
  </w:style>
  <w:style w:type="paragraph" w:styleId="TOC4">
    <w:name w:val="toc 4"/>
    <w:basedOn w:val="Normal"/>
    <w:next w:val="Normal"/>
    <w:uiPriority w:val="39"/>
    <w:unhideWhenUsed/>
    <w:rsid w:val="00140B7C"/>
    <w:pPr>
      <w:widowControl w:val="0"/>
      <w:autoSpaceDE w:val="0"/>
      <w:autoSpaceDN w:val="0"/>
      <w:adjustRightInd w:val="0"/>
      <w:spacing w:after="100" w:line="240" w:lineRule="auto"/>
      <w:ind w:left="662"/>
    </w:pPr>
    <w:rPr>
      <w:rFonts w:ascii="Calibri" w:eastAsia="Times New Roman" w:hAnsi="Calibri" w:cs="Arial"/>
      <w:color w:val="000000"/>
    </w:rPr>
  </w:style>
  <w:style w:type="paragraph" w:styleId="TOC9">
    <w:name w:val="toc 9"/>
    <w:basedOn w:val="Normal"/>
    <w:next w:val="Normal"/>
    <w:uiPriority w:val="39"/>
    <w:unhideWhenUsed/>
    <w:rsid w:val="00140B7C"/>
    <w:pPr>
      <w:widowControl w:val="0"/>
      <w:autoSpaceDE w:val="0"/>
      <w:autoSpaceDN w:val="0"/>
      <w:adjustRightInd w:val="0"/>
      <w:spacing w:after="100" w:line="240" w:lineRule="auto"/>
      <w:ind w:left="1757"/>
    </w:pPr>
    <w:rPr>
      <w:rFonts w:ascii="Calibri" w:eastAsia="Times New Roman" w:hAnsi="Calibri" w:cs="Arial"/>
      <w:color w:val="000000"/>
    </w:rPr>
  </w:style>
  <w:style w:type="paragraph" w:styleId="TOC6">
    <w:name w:val="toc 6"/>
    <w:basedOn w:val="Normal"/>
    <w:next w:val="Normal"/>
    <w:uiPriority w:val="39"/>
    <w:unhideWhenUsed/>
    <w:rsid w:val="00140B7C"/>
    <w:pPr>
      <w:widowControl w:val="0"/>
      <w:autoSpaceDE w:val="0"/>
      <w:autoSpaceDN w:val="0"/>
      <w:adjustRightInd w:val="0"/>
      <w:spacing w:after="100" w:line="240" w:lineRule="auto"/>
      <w:ind w:left="1094"/>
    </w:pPr>
    <w:rPr>
      <w:rFonts w:ascii="Calibri" w:eastAsia="Times New Roman" w:hAnsi="Calibri" w:cs="Arial"/>
      <w:color w:val="000000"/>
    </w:rPr>
  </w:style>
  <w:style w:type="paragraph" w:styleId="TOC7">
    <w:name w:val="toc 7"/>
    <w:basedOn w:val="Normal"/>
    <w:next w:val="Normal"/>
    <w:uiPriority w:val="39"/>
    <w:unhideWhenUsed/>
    <w:rsid w:val="00140B7C"/>
    <w:pPr>
      <w:widowControl w:val="0"/>
      <w:autoSpaceDE w:val="0"/>
      <w:autoSpaceDN w:val="0"/>
      <w:adjustRightInd w:val="0"/>
      <w:spacing w:after="100" w:line="240" w:lineRule="auto"/>
      <w:ind w:left="1325"/>
    </w:pPr>
    <w:rPr>
      <w:rFonts w:ascii="Calibri" w:eastAsia="Times New Roman" w:hAnsi="Calibri" w:cs="Arial"/>
      <w:color w:val="000000"/>
    </w:rPr>
  </w:style>
  <w:style w:type="paragraph" w:customStyle="1" w:styleId="ICCSECTIONl6L9">
    <w:name w:val="ICCSECTION_l6_L9"/>
    <w:uiPriority w:val="99"/>
    <w:rsid w:val="00140B7C"/>
    <w:pPr>
      <w:widowControl w:val="0"/>
      <w:autoSpaceDE w:val="0"/>
      <w:autoSpaceDN w:val="0"/>
      <w:adjustRightInd w:val="0"/>
      <w:spacing w:after="0" w:line="240" w:lineRule="auto"/>
      <w:ind w:left="1440"/>
    </w:pPr>
    <w:rPr>
      <w:rFonts w:ascii="Arial" w:eastAsia="Times New Roman" w:hAnsi="Arial" w:cs="Arial"/>
    </w:rPr>
  </w:style>
  <w:style w:type="paragraph" w:customStyle="1" w:styleId="ICCFIGUREL8">
    <w:name w:val="ICCFIGURE_L8"/>
    <w:uiPriority w:val="99"/>
    <w:rsid w:val="00140B7C"/>
    <w:pPr>
      <w:widowControl w:val="0"/>
      <w:autoSpaceDE w:val="0"/>
      <w:autoSpaceDN w:val="0"/>
      <w:adjustRightInd w:val="0"/>
      <w:spacing w:after="0" w:line="240" w:lineRule="auto"/>
      <w:jc w:val="center"/>
    </w:pPr>
    <w:rPr>
      <w:rFonts w:ascii="Arial" w:eastAsia="Times New Roman" w:hAnsi="Arial" w:cs="Arial"/>
      <w:b/>
      <w:bCs/>
    </w:rPr>
  </w:style>
  <w:style w:type="paragraph" w:customStyle="1" w:styleId="ICCPARTl0L1">
    <w:name w:val="ICCPART_l0_L1"/>
    <w:uiPriority w:val="99"/>
    <w:rsid w:val="00140B7C"/>
    <w:pPr>
      <w:widowControl w:val="0"/>
      <w:autoSpaceDE w:val="0"/>
      <w:autoSpaceDN w:val="0"/>
      <w:adjustRightInd w:val="0"/>
      <w:spacing w:after="0" w:line="240" w:lineRule="auto"/>
      <w:jc w:val="center"/>
    </w:pPr>
    <w:rPr>
      <w:rFonts w:ascii="Arial" w:eastAsia="Times New Roman" w:hAnsi="Arial" w:cs="Arial"/>
      <w:b/>
      <w:bCs/>
      <w:sz w:val="36"/>
      <w:szCs w:val="36"/>
    </w:rPr>
  </w:style>
  <w:style w:type="paragraph" w:customStyle="1" w:styleId="ICCSECTIONl9L12">
    <w:name w:val="ICCSECTION_l9_L12"/>
    <w:uiPriority w:val="99"/>
    <w:rsid w:val="00140B7C"/>
    <w:pPr>
      <w:widowControl w:val="0"/>
      <w:autoSpaceDE w:val="0"/>
      <w:autoSpaceDN w:val="0"/>
      <w:adjustRightInd w:val="0"/>
      <w:spacing w:after="0" w:line="240" w:lineRule="auto"/>
      <w:ind w:left="2160"/>
    </w:pPr>
    <w:rPr>
      <w:rFonts w:ascii="Arial" w:eastAsia="Times New Roman" w:hAnsi="Arial" w:cs="Arial"/>
    </w:rPr>
  </w:style>
  <w:style w:type="paragraph" w:customStyle="1" w:styleId="ICCSECTIONl7L10">
    <w:name w:val="ICCSECTION_l7_L10"/>
    <w:uiPriority w:val="99"/>
    <w:rsid w:val="00140B7C"/>
    <w:pPr>
      <w:widowControl w:val="0"/>
      <w:autoSpaceDE w:val="0"/>
      <w:autoSpaceDN w:val="0"/>
      <w:adjustRightInd w:val="0"/>
      <w:spacing w:after="0" w:line="240" w:lineRule="auto"/>
      <w:ind w:left="1800"/>
    </w:pPr>
    <w:rPr>
      <w:rFonts w:ascii="Arial" w:eastAsia="Times New Roman" w:hAnsi="Arial" w:cs="Arial"/>
    </w:rPr>
  </w:style>
  <w:style w:type="paragraph" w:customStyle="1" w:styleId="ICCSECTIONl3L8">
    <w:name w:val="ICCSECTION_l3_L8"/>
    <w:uiPriority w:val="99"/>
    <w:rsid w:val="00140B7C"/>
    <w:pPr>
      <w:widowControl w:val="0"/>
      <w:autoSpaceDE w:val="0"/>
      <w:autoSpaceDN w:val="0"/>
      <w:adjustRightInd w:val="0"/>
      <w:spacing w:after="0" w:line="240" w:lineRule="auto"/>
      <w:ind w:left="1080"/>
    </w:pPr>
    <w:rPr>
      <w:rFonts w:ascii="Arial" w:eastAsia="Times New Roman" w:hAnsi="Arial" w:cs="Arial"/>
    </w:rPr>
  </w:style>
  <w:style w:type="paragraph" w:customStyle="1" w:styleId="ICCSECTIONl8L11">
    <w:name w:val="ICCSECTION_l8_L11"/>
    <w:uiPriority w:val="99"/>
    <w:rsid w:val="00140B7C"/>
    <w:pPr>
      <w:widowControl w:val="0"/>
      <w:autoSpaceDE w:val="0"/>
      <w:autoSpaceDN w:val="0"/>
      <w:adjustRightInd w:val="0"/>
      <w:spacing w:after="0" w:line="240" w:lineRule="auto"/>
      <w:ind w:left="2160"/>
    </w:pPr>
    <w:rPr>
      <w:rFonts w:ascii="Arial" w:eastAsia="Times New Roman" w:hAnsi="Arial" w:cs="Arial"/>
    </w:rPr>
  </w:style>
  <w:style w:type="paragraph" w:customStyle="1" w:styleId="ICCBULLETL7">
    <w:name w:val="ICCBULLET_L7"/>
    <w:uiPriority w:val="99"/>
    <w:rsid w:val="00140B7C"/>
    <w:pPr>
      <w:widowControl w:val="0"/>
      <w:tabs>
        <w:tab w:val="left" w:pos="1080"/>
      </w:tabs>
      <w:autoSpaceDE w:val="0"/>
      <w:autoSpaceDN w:val="0"/>
      <w:adjustRightInd w:val="0"/>
      <w:spacing w:after="0" w:line="240" w:lineRule="auto"/>
      <w:ind w:left="1080" w:hanging="360"/>
    </w:pPr>
    <w:rPr>
      <w:rFonts w:ascii="Arial" w:eastAsia="Times New Roman" w:hAnsi="Arial" w:cs="Arial"/>
    </w:rPr>
  </w:style>
  <w:style w:type="paragraph" w:customStyle="1" w:styleId="ICCFIGUREL5">
    <w:name w:val="ICCFIGURE_L5"/>
    <w:uiPriority w:val="99"/>
    <w:rsid w:val="00140B7C"/>
    <w:pPr>
      <w:widowControl w:val="0"/>
      <w:autoSpaceDE w:val="0"/>
      <w:autoSpaceDN w:val="0"/>
      <w:adjustRightInd w:val="0"/>
      <w:spacing w:after="0" w:line="240" w:lineRule="auto"/>
      <w:jc w:val="center"/>
    </w:pPr>
    <w:rPr>
      <w:rFonts w:ascii="Arial" w:eastAsia="Times New Roman" w:hAnsi="Arial" w:cs="Arial"/>
      <w:b/>
      <w:bCs/>
    </w:rPr>
  </w:style>
  <w:style w:type="paragraph" w:customStyle="1" w:styleId="ICCSECTIONl1L4">
    <w:name w:val="ICCSECTION_l1_L4"/>
    <w:uiPriority w:val="99"/>
    <w:rsid w:val="00140B7C"/>
    <w:pPr>
      <w:widowControl w:val="0"/>
      <w:autoSpaceDE w:val="0"/>
      <w:autoSpaceDN w:val="0"/>
      <w:adjustRightInd w:val="0"/>
      <w:spacing w:after="0" w:line="240" w:lineRule="auto"/>
      <w:jc w:val="center"/>
    </w:pPr>
    <w:rPr>
      <w:rFonts w:ascii="Arial" w:eastAsia="Times New Roman" w:hAnsi="Arial" w:cs="Arial"/>
      <w:b/>
      <w:bCs/>
      <w:sz w:val="24"/>
      <w:szCs w:val="24"/>
    </w:rPr>
  </w:style>
  <w:style w:type="paragraph" w:customStyle="1" w:styleId="ICCBULLETL5">
    <w:name w:val="ICCBULLET_L5"/>
    <w:uiPriority w:val="99"/>
    <w:rsid w:val="00140B7C"/>
    <w:pPr>
      <w:widowControl w:val="0"/>
      <w:tabs>
        <w:tab w:val="left" w:pos="360"/>
      </w:tabs>
      <w:autoSpaceDE w:val="0"/>
      <w:autoSpaceDN w:val="0"/>
      <w:adjustRightInd w:val="0"/>
      <w:spacing w:after="0" w:line="240" w:lineRule="auto"/>
      <w:ind w:left="360" w:hanging="360"/>
    </w:pPr>
    <w:rPr>
      <w:rFonts w:ascii="Arial" w:eastAsia="Times New Roman" w:hAnsi="Arial" w:cs="Arial"/>
    </w:rPr>
  </w:style>
  <w:style w:type="paragraph" w:customStyle="1" w:styleId="ICCSECTIONl4L7">
    <w:name w:val="ICCSECTION_l4_L7"/>
    <w:uiPriority w:val="99"/>
    <w:rsid w:val="00140B7C"/>
    <w:pPr>
      <w:widowControl w:val="0"/>
      <w:autoSpaceDE w:val="0"/>
      <w:autoSpaceDN w:val="0"/>
      <w:adjustRightInd w:val="0"/>
      <w:spacing w:after="0" w:line="240" w:lineRule="auto"/>
      <w:ind w:left="720"/>
    </w:pPr>
    <w:rPr>
      <w:rFonts w:ascii="Arial" w:eastAsia="Times New Roman" w:hAnsi="Arial" w:cs="Arial"/>
    </w:rPr>
  </w:style>
  <w:style w:type="paragraph" w:customStyle="1" w:styleId="ICCSECTIONl4L9">
    <w:name w:val="ICCSECTION_l4_L9"/>
    <w:uiPriority w:val="99"/>
    <w:rsid w:val="00140B7C"/>
    <w:pPr>
      <w:widowControl w:val="0"/>
      <w:autoSpaceDE w:val="0"/>
      <w:autoSpaceDN w:val="0"/>
      <w:adjustRightInd w:val="0"/>
      <w:spacing w:after="0" w:line="240" w:lineRule="auto"/>
      <w:ind w:left="1440"/>
    </w:pPr>
    <w:rPr>
      <w:rFonts w:ascii="Arial" w:eastAsia="Times New Roman" w:hAnsi="Arial" w:cs="Arial"/>
      <w:b/>
      <w:bCs/>
      <w:color w:val="000000"/>
    </w:rPr>
  </w:style>
  <w:style w:type="paragraph" w:customStyle="1" w:styleId="ICCSECTIONl5L10">
    <w:name w:val="ICCSECTION_l5_L10"/>
    <w:uiPriority w:val="99"/>
    <w:rsid w:val="00140B7C"/>
    <w:pPr>
      <w:widowControl w:val="0"/>
      <w:autoSpaceDE w:val="0"/>
      <w:autoSpaceDN w:val="0"/>
      <w:adjustRightInd w:val="0"/>
      <w:spacing w:after="0" w:line="240" w:lineRule="auto"/>
      <w:ind w:left="1800"/>
    </w:pPr>
    <w:rPr>
      <w:rFonts w:ascii="Arial" w:eastAsia="Times New Roman" w:hAnsi="Arial" w:cs="Arial"/>
      <w:b/>
      <w:bCs/>
    </w:rPr>
  </w:style>
  <w:style w:type="paragraph" w:customStyle="1" w:styleId="ICCFIGUREL3">
    <w:name w:val="ICCFIGURE_L3"/>
    <w:uiPriority w:val="99"/>
    <w:rsid w:val="00140B7C"/>
    <w:pPr>
      <w:widowControl w:val="0"/>
      <w:autoSpaceDE w:val="0"/>
      <w:autoSpaceDN w:val="0"/>
      <w:adjustRightInd w:val="0"/>
      <w:spacing w:after="0" w:line="240" w:lineRule="auto"/>
      <w:jc w:val="center"/>
    </w:pPr>
    <w:rPr>
      <w:rFonts w:ascii="Arial" w:eastAsia="Times New Roman" w:hAnsi="Arial" w:cs="Arial"/>
      <w:b/>
      <w:bCs/>
      <w:color w:val="000000"/>
    </w:rPr>
  </w:style>
  <w:style w:type="paragraph" w:customStyle="1" w:styleId="ICCSECTIONl7L12">
    <w:name w:val="ICCSECTION_l7_L12"/>
    <w:uiPriority w:val="99"/>
    <w:rsid w:val="00140B7C"/>
    <w:pPr>
      <w:widowControl w:val="0"/>
      <w:autoSpaceDE w:val="0"/>
      <w:autoSpaceDN w:val="0"/>
      <w:adjustRightInd w:val="0"/>
      <w:spacing w:after="0" w:line="240" w:lineRule="auto"/>
      <w:ind w:left="2520"/>
    </w:pPr>
    <w:rPr>
      <w:rFonts w:ascii="Arial" w:eastAsia="Times New Roman" w:hAnsi="Arial" w:cs="Arial"/>
      <w:b/>
      <w:bCs/>
    </w:rPr>
  </w:style>
  <w:style w:type="paragraph" w:customStyle="1" w:styleId="ICCPARTl1L3">
    <w:name w:val="ICCPART_l1_L3"/>
    <w:uiPriority w:val="99"/>
    <w:rsid w:val="00140B7C"/>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ICCTABLEL6">
    <w:name w:val="ICCTABLE_L6"/>
    <w:uiPriority w:val="99"/>
    <w:rsid w:val="00140B7C"/>
    <w:pPr>
      <w:widowControl w:val="0"/>
      <w:autoSpaceDE w:val="0"/>
      <w:autoSpaceDN w:val="0"/>
      <w:adjustRightInd w:val="0"/>
      <w:spacing w:after="0" w:line="240" w:lineRule="auto"/>
      <w:jc w:val="center"/>
    </w:pPr>
    <w:rPr>
      <w:rFonts w:ascii="Arial" w:eastAsia="Times New Roman" w:hAnsi="Arial" w:cs="Arial"/>
      <w:b/>
      <w:bCs/>
    </w:rPr>
  </w:style>
  <w:style w:type="paragraph" w:customStyle="1" w:styleId="ICCTABLEL8">
    <w:name w:val="ICCTABLE_L8"/>
    <w:uiPriority w:val="99"/>
    <w:rsid w:val="00140B7C"/>
    <w:pPr>
      <w:widowControl w:val="0"/>
      <w:autoSpaceDE w:val="0"/>
      <w:autoSpaceDN w:val="0"/>
      <w:adjustRightInd w:val="0"/>
      <w:spacing w:after="0" w:line="240" w:lineRule="auto"/>
      <w:jc w:val="center"/>
    </w:pPr>
    <w:rPr>
      <w:rFonts w:ascii="Arial" w:eastAsia="Times New Roman" w:hAnsi="Arial" w:cs="Arial"/>
      <w:b/>
      <w:bCs/>
    </w:rPr>
  </w:style>
  <w:style w:type="paragraph" w:customStyle="1" w:styleId="ICCTITLEL0">
    <w:name w:val="ICCTITLE_L0"/>
    <w:uiPriority w:val="99"/>
    <w:rsid w:val="00140B7C"/>
    <w:pPr>
      <w:keepNext/>
      <w:widowControl w:val="0"/>
      <w:autoSpaceDE w:val="0"/>
      <w:autoSpaceDN w:val="0"/>
      <w:adjustRightInd w:val="0"/>
      <w:spacing w:after="0" w:line="240" w:lineRule="auto"/>
      <w:jc w:val="center"/>
    </w:pPr>
    <w:rPr>
      <w:rFonts w:ascii="Arial" w:eastAsia="Times New Roman" w:hAnsi="Arial" w:cs="Arial"/>
      <w:b/>
      <w:bCs/>
      <w:color w:val="FFFFFF"/>
      <w:sz w:val="36"/>
      <w:szCs w:val="36"/>
      <w:shd w:val="clear" w:color="000000" w:fill="000000"/>
    </w:rPr>
  </w:style>
  <w:style w:type="paragraph" w:customStyle="1" w:styleId="ICCSECONDPARA">
    <w:name w:val="ICCSECONDPARA"/>
    <w:uiPriority w:val="99"/>
    <w:rsid w:val="00140B7C"/>
    <w:pPr>
      <w:widowControl w:val="0"/>
      <w:autoSpaceDE w:val="0"/>
      <w:autoSpaceDN w:val="0"/>
      <w:adjustRightInd w:val="0"/>
      <w:spacing w:after="0" w:line="240" w:lineRule="auto"/>
      <w:ind w:firstLine="360"/>
    </w:pPr>
    <w:rPr>
      <w:rFonts w:ascii="Arial" w:eastAsia="Times New Roman" w:hAnsi="Arial" w:cs="Arial"/>
    </w:rPr>
  </w:style>
  <w:style w:type="paragraph" w:customStyle="1" w:styleId="ICCFIGUREL4">
    <w:name w:val="ICCFIGURE_L4"/>
    <w:uiPriority w:val="99"/>
    <w:rsid w:val="00140B7C"/>
    <w:pPr>
      <w:widowControl w:val="0"/>
      <w:autoSpaceDE w:val="0"/>
      <w:autoSpaceDN w:val="0"/>
      <w:adjustRightInd w:val="0"/>
      <w:spacing w:after="0" w:line="240" w:lineRule="auto"/>
      <w:jc w:val="center"/>
    </w:pPr>
    <w:rPr>
      <w:rFonts w:ascii="Arial" w:eastAsia="Times New Roman" w:hAnsi="Arial" w:cs="Arial"/>
      <w:b/>
      <w:bCs/>
      <w:color w:val="000000"/>
      <w:sz w:val="24"/>
      <w:szCs w:val="24"/>
    </w:rPr>
  </w:style>
  <w:style w:type="paragraph" w:customStyle="1" w:styleId="ICCSECTIONl2L7">
    <w:name w:val="ICCSECTION_l2_L7"/>
    <w:uiPriority w:val="99"/>
    <w:rsid w:val="00140B7C"/>
    <w:pPr>
      <w:widowControl w:val="0"/>
      <w:autoSpaceDE w:val="0"/>
      <w:autoSpaceDN w:val="0"/>
      <w:adjustRightInd w:val="0"/>
      <w:spacing w:after="0" w:line="240" w:lineRule="auto"/>
      <w:ind w:left="720"/>
    </w:pPr>
    <w:rPr>
      <w:rFonts w:ascii="Arial" w:eastAsia="Times New Roman" w:hAnsi="Arial" w:cs="Arial"/>
    </w:rPr>
  </w:style>
  <w:style w:type="paragraph" w:customStyle="1" w:styleId="ICCFIGUREL6">
    <w:name w:val="ICCFIGURE_L6"/>
    <w:uiPriority w:val="99"/>
    <w:rsid w:val="00140B7C"/>
    <w:pPr>
      <w:widowControl w:val="0"/>
      <w:autoSpaceDE w:val="0"/>
      <w:autoSpaceDN w:val="0"/>
      <w:adjustRightInd w:val="0"/>
      <w:spacing w:after="0" w:line="240" w:lineRule="auto"/>
      <w:jc w:val="center"/>
    </w:pPr>
    <w:rPr>
      <w:rFonts w:ascii="Arial" w:eastAsia="Times New Roman" w:hAnsi="Arial" w:cs="Arial"/>
      <w:b/>
      <w:bCs/>
    </w:rPr>
  </w:style>
  <w:style w:type="paragraph" w:customStyle="1" w:styleId="ICCTABLEL7">
    <w:name w:val="ICCTABLE_L7"/>
    <w:uiPriority w:val="99"/>
    <w:rsid w:val="00140B7C"/>
    <w:pPr>
      <w:widowControl w:val="0"/>
      <w:autoSpaceDE w:val="0"/>
      <w:autoSpaceDN w:val="0"/>
      <w:adjustRightInd w:val="0"/>
      <w:spacing w:after="0" w:line="240" w:lineRule="auto"/>
      <w:jc w:val="center"/>
    </w:pPr>
    <w:rPr>
      <w:rFonts w:ascii="Arial" w:eastAsia="Times New Roman" w:hAnsi="Arial" w:cs="Arial"/>
      <w:b/>
      <w:bCs/>
    </w:rPr>
  </w:style>
  <w:style w:type="paragraph" w:customStyle="1" w:styleId="ICCBULLETL8">
    <w:name w:val="ICCBULLET_L8"/>
    <w:uiPriority w:val="99"/>
    <w:rsid w:val="00140B7C"/>
    <w:pPr>
      <w:widowControl w:val="0"/>
      <w:tabs>
        <w:tab w:val="left" w:pos="1440"/>
      </w:tabs>
      <w:autoSpaceDE w:val="0"/>
      <w:autoSpaceDN w:val="0"/>
      <w:adjustRightInd w:val="0"/>
      <w:spacing w:after="0" w:line="240" w:lineRule="auto"/>
      <w:ind w:left="1440" w:hanging="360"/>
    </w:pPr>
    <w:rPr>
      <w:rFonts w:ascii="Arial" w:eastAsia="Times New Roman" w:hAnsi="Arial" w:cs="Arial"/>
    </w:rPr>
  </w:style>
  <w:style w:type="paragraph" w:customStyle="1" w:styleId="ICCSECTIONl1L6">
    <w:name w:val="ICCSECTION_l1_L6"/>
    <w:uiPriority w:val="99"/>
    <w:rsid w:val="00140B7C"/>
    <w:pPr>
      <w:widowControl w:val="0"/>
      <w:autoSpaceDE w:val="0"/>
      <w:autoSpaceDN w:val="0"/>
      <w:adjustRightInd w:val="0"/>
      <w:spacing w:after="0" w:line="240" w:lineRule="auto"/>
      <w:ind w:left="360"/>
    </w:pPr>
    <w:rPr>
      <w:rFonts w:ascii="Arial" w:eastAsia="Times New Roman" w:hAnsi="Arial" w:cs="Arial"/>
      <w:b/>
      <w:bCs/>
    </w:rPr>
  </w:style>
  <w:style w:type="paragraph" w:customStyle="1" w:styleId="ICCFOOTAGE">
    <w:name w:val="ICCFOOTAGE"/>
    <w:uiPriority w:val="99"/>
    <w:rsid w:val="00140B7C"/>
    <w:pPr>
      <w:widowControl w:val="0"/>
      <w:tabs>
        <w:tab w:val="left" w:pos="360"/>
      </w:tabs>
      <w:autoSpaceDE w:val="0"/>
      <w:autoSpaceDN w:val="0"/>
      <w:adjustRightInd w:val="0"/>
      <w:spacing w:after="0" w:line="240" w:lineRule="auto"/>
      <w:ind w:left="360" w:hanging="360"/>
    </w:pPr>
    <w:rPr>
      <w:rFonts w:ascii="Arial" w:eastAsia="Times New Roman" w:hAnsi="Arial" w:cs="Arial"/>
      <w:sz w:val="18"/>
      <w:szCs w:val="18"/>
    </w:rPr>
  </w:style>
  <w:style w:type="paragraph" w:customStyle="1" w:styleId="ICCPARTl1L4">
    <w:name w:val="ICCPART_l1_L4"/>
    <w:uiPriority w:val="99"/>
    <w:rsid w:val="00140B7C"/>
    <w:pPr>
      <w:widowControl w:val="0"/>
      <w:autoSpaceDE w:val="0"/>
      <w:autoSpaceDN w:val="0"/>
      <w:adjustRightInd w:val="0"/>
      <w:spacing w:after="0" w:line="240" w:lineRule="auto"/>
      <w:jc w:val="center"/>
    </w:pPr>
    <w:rPr>
      <w:rFonts w:ascii="Arial" w:eastAsia="Times New Roman" w:hAnsi="Arial" w:cs="Arial"/>
      <w:b/>
      <w:bCs/>
      <w:sz w:val="24"/>
      <w:szCs w:val="24"/>
    </w:rPr>
  </w:style>
  <w:style w:type="paragraph" w:customStyle="1" w:styleId="ICCBULLETL6">
    <w:name w:val="ICCBULLET_L6"/>
    <w:uiPriority w:val="99"/>
    <w:rsid w:val="00140B7C"/>
    <w:pPr>
      <w:widowControl w:val="0"/>
      <w:tabs>
        <w:tab w:val="left" w:pos="720"/>
      </w:tabs>
      <w:autoSpaceDE w:val="0"/>
      <w:autoSpaceDN w:val="0"/>
      <w:adjustRightInd w:val="0"/>
      <w:spacing w:after="0" w:line="240" w:lineRule="auto"/>
      <w:ind w:left="720" w:hanging="360"/>
    </w:pPr>
    <w:rPr>
      <w:rFonts w:ascii="Arial" w:eastAsia="Times New Roman" w:hAnsi="Arial" w:cs="Arial"/>
    </w:rPr>
  </w:style>
  <w:style w:type="paragraph" w:customStyle="1" w:styleId="ICCCHAPTERl0L2">
    <w:name w:val="ICCCHAPTER_l0_L2"/>
    <w:uiPriority w:val="99"/>
    <w:rsid w:val="00140B7C"/>
    <w:pPr>
      <w:widowControl w:val="0"/>
      <w:autoSpaceDE w:val="0"/>
      <w:autoSpaceDN w:val="0"/>
      <w:adjustRightInd w:val="0"/>
      <w:spacing w:after="0" w:line="240" w:lineRule="auto"/>
      <w:jc w:val="center"/>
    </w:pPr>
    <w:rPr>
      <w:rFonts w:ascii="Arial" w:eastAsia="Times New Roman" w:hAnsi="Arial" w:cs="Arial"/>
      <w:b/>
      <w:bCs/>
      <w:sz w:val="36"/>
      <w:szCs w:val="36"/>
    </w:rPr>
  </w:style>
  <w:style w:type="paragraph" w:customStyle="1" w:styleId="ICCTABLEL9">
    <w:name w:val="ICCTABLE_L9"/>
    <w:uiPriority w:val="99"/>
    <w:rsid w:val="00140B7C"/>
    <w:pPr>
      <w:widowControl w:val="0"/>
      <w:autoSpaceDE w:val="0"/>
      <w:autoSpaceDN w:val="0"/>
      <w:adjustRightInd w:val="0"/>
      <w:spacing w:after="0" w:line="240" w:lineRule="auto"/>
      <w:jc w:val="center"/>
    </w:pPr>
    <w:rPr>
      <w:rFonts w:ascii="Arial" w:eastAsia="Times New Roman" w:hAnsi="Arial" w:cs="Arial"/>
      <w:b/>
      <w:bCs/>
      <w:color w:val="000000"/>
    </w:rPr>
  </w:style>
  <w:style w:type="paragraph" w:customStyle="1" w:styleId="ICCPARTl1L31">
    <w:name w:val="ICCPART_l1_L31"/>
    <w:uiPriority w:val="99"/>
    <w:rsid w:val="00140B7C"/>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ICCTABLEL4">
    <w:name w:val="ICCTABLE_L4"/>
    <w:uiPriority w:val="99"/>
    <w:rsid w:val="00140B7C"/>
    <w:pPr>
      <w:widowControl w:val="0"/>
      <w:autoSpaceDE w:val="0"/>
      <w:autoSpaceDN w:val="0"/>
      <w:adjustRightInd w:val="0"/>
      <w:spacing w:after="0" w:line="240" w:lineRule="auto"/>
      <w:jc w:val="center"/>
    </w:pPr>
    <w:rPr>
      <w:rFonts w:ascii="Arial" w:eastAsia="Times New Roman" w:hAnsi="Arial" w:cs="Arial"/>
      <w:b/>
      <w:bCs/>
      <w:color w:val="000000"/>
    </w:rPr>
  </w:style>
  <w:style w:type="paragraph" w:customStyle="1" w:styleId="ICCSECTIONl6L11">
    <w:name w:val="ICCSECTION_l6_L11"/>
    <w:uiPriority w:val="99"/>
    <w:rsid w:val="00140B7C"/>
    <w:pPr>
      <w:widowControl w:val="0"/>
      <w:autoSpaceDE w:val="0"/>
      <w:autoSpaceDN w:val="0"/>
      <w:adjustRightInd w:val="0"/>
      <w:spacing w:after="0" w:line="240" w:lineRule="auto"/>
      <w:ind w:left="2160"/>
    </w:pPr>
    <w:rPr>
      <w:rFonts w:ascii="Arial" w:eastAsia="Times New Roman" w:hAnsi="Arial" w:cs="Arial"/>
      <w:b/>
      <w:bCs/>
    </w:rPr>
  </w:style>
  <w:style w:type="paragraph" w:customStyle="1" w:styleId="ICCTITLEL01">
    <w:name w:val="ICCTITLE_L01"/>
    <w:uiPriority w:val="99"/>
    <w:rsid w:val="00140B7C"/>
    <w:pPr>
      <w:widowControl w:val="0"/>
      <w:shd w:val="solid" w:color="000000" w:fill="auto"/>
      <w:autoSpaceDE w:val="0"/>
      <w:autoSpaceDN w:val="0"/>
      <w:adjustRightInd w:val="0"/>
      <w:spacing w:after="0" w:line="240" w:lineRule="auto"/>
    </w:pPr>
    <w:rPr>
      <w:rFonts w:ascii="Arial" w:eastAsia="Times New Roman" w:hAnsi="Arial" w:cs="Arial"/>
      <w:color w:val="FFFFFF"/>
      <w:sz w:val="40"/>
      <w:szCs w:val="40"/>
    </w:rPr>
  </w:style>
  <w:style w:type="paragraph" w:customStyle="1" w:styleId="ICCBULLETL9">
    <w:name w:val="ICCBULLET_L9"/>
    <w:uiPriority w:val="99"/>
    <w:rsid w:val="00140B7C"/>
    <w:pPr>
      <w:widowControl w:val="0"/>
      <w:tabs>
        <w:tab w:val="left" w:pos="1800"/>
      </w:tabs>
      <w:autoSpaceDE w:val="0"/>
      <w:autoSpaceDN w:val="0"/>
      <w:adjustRightInd w:val="0"/>
      <w:spacing w:after="0" w:line="240" w:lineRule="auto"/>
      <w:ind w:left="1800" w:hanging="360"/>
    </w:pPr>
    <w:rPr>
      <w:rFonts w:ascii="Arial" w:eastAsia="Times New Roman" w:hAnsi="Arial" w:cs="Arial"/>
      <w:color w:val="000000"/>
    </w:rPr>
  </w:style>
  <w:style w:type="paragraph" w:customStyle="1" w:styleId="ICCTABLEL5">
    <w:name w:val="ICCTABLE_L5"/>
    <w:uiPriority w:val="99"/>
    <w:rsid w:val="00140B7C"/>
    <w:pPr>
      <w:widowControl w:val="0"/>
      <w:autoSpaceDE w:val="0"/>
      <w:autoSpaceDN w:val="0"/>
      <w:adjustRightInd w:val="0"/>
      <w:spacing w:after="0" w:line="240" w:lineRule="auto"/>
      <w:jc w:val="center"/>
    </w:pPr>
    <w:rPr>
      <w:rFonts w:ascii="Arial" w:eastAsia="Times New Roman" w:hAnsi="Arial" w:cs="Arial"/>
      <w:b/>
      <w:bCs/>
    </w:rPr>
  </w:style>
  <w:style w:type="paragraph" w:customStyle="1" w:styleId="ICCSECTIONl0L5">
    <w:name w:val="ICCSECTION_l0_L5"/>
    <w:link w:val="ICCSECTIONl0L5Char"/>
    <w:uiPriority w:val="99"/>
    <w:rsid w:val="00140B7C"/>
    <w:pPr>
      <w:widowControl w:val="0"/>
      <w:autoSpaceDE w:val="0"/>
      <w:autoSpaceDN w:val="0"/>
      <w:adjustRightInd w:val="0"/>
      <w:spacing w:after="0" w:line="240" w:lineRule="auto"/>
    </w:pPr>
    <w:rPr>
      <w:rFonts w:ascii="Arial" w:eastAsia="Times New Roman" w:hAnsi="Arial" w:cs="Arial"/>
      <w:b/>
      <w:bCs/>
    </w:rPr>
  </w:style>
  <w:style w:type="paragraph" w:customStyle="1" w:styleId="ICCSECTIONl5L8">
    <w:name w:val="ICCSECTION_l5_L8"/>
    <w:uiPriority w:val="99"/>
    <w:rsid w:val="00140B7C"/>
    <w:pPr>
      <w:widowControl w:val="0"/>
      <w:autoSpaceDE w:val="0"/>
      <w:autoSpaceDN w:val="0"/>
      <w:adjustRightInd w:val="0"/>
      <w:spacing w:after="0" w:line="240" w:lineRule="auto"/>
      <w:ind w:left="1080"/>
    </w:pPr>
    <w:rPr>
      <w:rFonts w:ascii="Arial" w:eastAsia="Times New Roman" w:hAnsi="Arial" w:cs="Arial"/>
    </w:rPr>
  </w:style>
  <w:style w:type="paragraph" w:customStyle="1" w:styleId="ICCFIGUREL7">
    <w:name w:val="ICCFIGURE_L7"/>
    <w:uiPriority w:val="99"/>
    <w:rsid w:val="00140B7C"/>
    <w:pPr>
      <w:widowControl w:val="0"/>
      <w:autoSpaceDE w:val="0"/>
      <w:autoSpaceDN w:val="0"/>
      <w:adjustRightInd w:val="0"/>
      <w:spacing w:after="0" w:line="240" w:lineRule="auto"/>
      <w:jc w:val="center"/>
    </w:pPr>
    <w:rPr>
      <w:rFonts w:ascii="Arial" w:eastAsia="Times New Roman" w:hAnsi="Arial" w:cs="Arial"/>
      <w:b/>
      <w:bCs/>
    </w:rPr>
  </w:style>
  <w:style w:type="paragraph" w:styleId="ListParagraph">
    <w:name w:val="List Paragraph"/>
    <w:basedOn w:val="Normal"/>
    <w:uiPriority w:val="34"/>
    <w:qFormat/>
    <w:rsid w:val="00140B7C"/>
    <w:pPr>
      <w:widowControl w:val="0"/>
      <w:autoSpaceDE w:val="0"/>
      <w:autoSpaceDN w:val="0"/>
      <w:adjustRightInd w:val="0"/>
      <w:spacing w:after="0" w:line="240" w:lineRule="auto"/>
      <w:ind w:left="720"/>
      <w:contextualSpacing/>
    </w:pPr>
    <w:rPr>
      <w:rFonts w:ascii="Arial" w:eastAsia="Times New Roman" w:hAnsi="Arial" w:cs="Arial"/>
      <w:color w:val="000000"/>
    </w:rPr>
  </w:style>
  <w:style w:type="paragraph" w:customStyle="1" w:styleId="Default">
    <w:name w:val="Default"/>
    <w:rsid w:val="00140B7C"/>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ommentSubjectChar">
    <w:name w:val="Comment Subject Char"/>
    <w:basedOn w:val="CommentTextChar"/>
    <w:link w:val="CommentSubject"/>
    <w:uiPriority w:val="99"/>
    <w:rsid w:val="00140B7C"/>
    <w:rPr>
      <w:rFonts w:ascii="Arial" w:eastAsia="Times New Roman" w:hAnsi="Arial" w:cs="Arial"/>
      <w:b/>
      <w:bCs/>
      <w:color w:val="000000"/>
      <w:sz w:val="20"/>
      <w:szCs w:val="20"/>
    </w:rPr>
  </w:style>
  <w:style w:type="paragraph" w:styleId="CommentSubject">
    <w:name w:val="annotation subject"/>
    <w:basedOn w:val="CommentText"/>
    <w:next w:val="CommentText"/>
    <w:link w:val="CommentSubjectChar"/>
    <w:uiPriority w:val="99"/>
    <w:unhideWhenUsed/>
    <w:rsid w:val="00140B7C"/>
    <w:rPr>
      <w:b/>
      <w:bCs/>
    </w:rPr>
  </w:style>
  <w:style w:type="character" w:customStyle="1" w:styleId="CommentSubjectChar1">
    <w:name w:val="Comment Subject Char1"/>
    <w:basedOn w:val="CommentTextChar"/>
    <w:uiPriority w:val="99"/>
    <w:rsid w:val="00140B7C"/>
    <w:rPr>
      <w:rFonts w:ascii="Arial" w:eastAsia="Times New Roman" w:hAnsi="Arial" w:cs="Arial"/>
      <w:b/>
      <w:bCs/>
      <w:color w:val="000000"/>
      <w:sz w:val="20"/>
      <w:szCs w:val="20"/>
    </w:rPr>
  </w:style>
  <w:style w:type="numbering" w:customStyle="1" w:styleId="NoList1">
    <w:name w:val="No List1"/>
    <w:next w:val="NoList"/>
    <w:uiPriority w:val="99"/>
    <w:semiHidden/>
    <w:unhideWhenUsed/>
    <w:rsid w:val="00140B7C"/>
  </w:style>
  <w:style w:type="paragraph" w:styleId="Revision">
    <w:name w:val="Revision"/>
    <w:hidden/>
    <w:uiPriority w:val="99"/>
    <w:rsid w:val="00140B7C"/>
    <w:pPr>
      <w:spacing w:after="0" w:line="240" w:lineRule="auto"/>
    </w:pPr>
    <w:rPr>
      <w:rFonts w:ascii="Arial" w:eastAsia="Times New Roman" w:hAnsi="Arial" w:cs="Arial"/>
      <w:color w:val="000000"/>
    </w:rPr>
  </w:style>
  <w:style w:type="numbering" w:customStyle="1" w:styleId="Style1">
    <w:name w:val="Style1"/>
    <w:uiPriority w:val="99"/>
    <w:rsid w:val="00140B7C"/>
    <w:pPr>
      <w:numPr>
        <w:numId w:val="2"/>
      </w:numPr>
    </w:pPr>
  </w:style>
  <w:style w:type="numbering" w:customStyle="1" w:styleId="Style2">
    <w:name w:val="Style2"/>
    <w:uiPriority w:val="99"/>
    <w:rsid w:val="00140B7C"/>
    <w:pPr>
      <w:numPr>
        <w:numId w:val="3"/>
      </w:numPr>
    </w:pPr>
  </w:style>
  <w:style w:type="numbering" w:customStyle="1" w:styleId="NoList2">
    <w:name w:val="No List2"/>
    <w:next w:val="NoList"/>
    <w:uiPriority w:val="99"/>
    <w:semiHidden/>
    <w:unhideWhenUsed/>
    <w:rsid w:val="00140B7C"/>
  </w:style>
  <w:style w:type="character" w:customStyle="1" w:styleId="FooterChar11">
    <w:name w:val="Footer Char11"/>
    <w:basedOn w:val="DefaultParagraphFont"/>
    <w:uiPriority w:val="99"/>
    <w:semiHidden/>
    <w:rsid w:val="00140B7C"/>
    <w:rPr>
      <w:rFonts w:ascii="Arial" w:hAnsi="Arial" w:cs="Arial"/>
      <w:color w:val="000000"/>
    </w:rPr>
  </w:style>
  <w:style w:type="character" w:customStyle="1" w:styleId="HeaderChar11">
    <w:name w:val="Header Char11"/>
    <w:basedOn w:val="DefaultParagraphFont"/>
    <w:uiPriority w:val="99"/>
    <w:semiHidden/>
    <w:rsid w:val="00140B7C"/>
    <w:rPr>
      <w:rFonts w:ascii="Arial" w:hAnsi="Arial" w:cs="Arial"/>
      <w:color w:val="000000"/>
    </w:rPr>
  </w:style>
  <w:style w:type="character" w:styleId="HTMLCite">
    <w:name w:val="HTML Cite"/>
    <w:basedOn w:val="DefaultParagraphFont"/>
    <w:uiPriority w:val="99"/>
    <w:semiHidden/>
    <w:unhideWhenUsed/>
    <w:rsid w:val="00140B7C"/>
    <w:rPr>
      <w:rFonts w:cs="Times New Roman"/>
      <w:i/>
      <w:iCs/>
    </w:rPr>
  </w:style>
  <w:style w:type="table" w:styleId="TableGrid">
    <w:name w:val="Table Grid"/>
    <w:basedOn w:val="TableNormal"/>
    <w:uiPriority w:val="59"/>
    <w:rsid w:val="00140B7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40B7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0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40B7C"/>
  </w:style>
  <w:style w:type="numbering" w:customStyle="1" w:styleId="NoList4">
    <w:name w:val="No List4"/>
    <w:next w:val="NoList"/>
    <w:uiPriority w:val="99"/>
    <w:semiHidden/>
    <w:unhideWhenUsed/>
    <w:rsid w:val="00140B7C"/>
  </w:style>
  <w:style w:type="table" w:customStyle="1" w:styleId="TableGrid3">
    <w:name w:val="Table Grid3"/>
    <w:basedOn w:val="TableNormal"/>
    <w:next w:val="TableGrid"/>
    <w:rsid w:val="00140B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40B7C"/>
    <w:rPr>
      <w:color w:val="808080"/>
    </w:rPr>
  </w:style>
  <w:style w:type="paragraph" w:styleId="NormalWeb">
    <w:name w:val="Normal (Web)"/>
    <w:basedOn w:val="Normal"/>
    <w:uiPriority w:val="99"/>
    <w:unhideWhenUsed/>
    <w:rsid w:val="00140B7C"/>
    <w:pPr>
      <w:spacing w:before="100" w:beforeAutospacing="1" w:after="100" w:afterAutospacing="1" w:line="240" w:lineRule="auto"/>
    </w:pPr>
    <w:rPr>
      <w:rFonts w:eastAsiaTheme="minorEastAsia" w:cs="Times New Roman"/>
      <w:szCs w:val="24"/>
    </w:rPr>
  </w:style>
  <w:style w:type="table" w:customStyle="1" w:styleId="TableGrid11">
    <w:name w:val="Table Grid11"/>
    <w:basedOn w:val="TableNormal"/>
    <w:next w:val="TableGrid"/>
    <w:rsid w:val="00140B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nhideWhenUsed/>
    <w:rsid w:val="00140B7C"/>
  </w:style>
  <w:style w:type="paragraph" w:styleId="EndnoteText">
    <w:name w:val="endnote text"/>
    <w:basedOn w:val="Normal"/>
    <w:link w:val="EndnoteTextChar"/>
    <w:uiPriority w:val="99"/>
    <w:semiHidden/>
    <w:unhideWhenUsed/>
    <w:rsid w:val="00140B7C"/>
    <w:pPr>
      <w:widowControl w:val="0"/>
      <w:autoSpaceDE w:val="0"/>
      <w:autoSpaceDN w:val="0"/>
      <w:adjustRightInd w:val="0"/>
      <w:spacing w:after="0" w:line="240" w:lineRule="auto"/>
    </w:pPr>
    <w:rPr>
      <w:rFonts w:ascii="Arial" w:eastAsia="Times New Roman" w:hAnsi="Arial" w:cs="Arial"/>
      <w:color w:val="000000"/>
      <w:sz w:val="20"/>
      <w:szCs w:val="20"/>
    </w:rPr>
  </w:style>
  <w:style w:type="character" w:customStyle="1" w:styleId="EndnoteTextChar">
    <w:name w:val="Endnote Text Char"/>
    <w:basedOn w:val="DefaultParagraphFont"/>
    <w:link w:val="EndnoteText"/>
    <w:uiPriority w:val="99"/>
    <w:semiHidden/>
    <w:rsid w:val="00140B7C"/>
    <w:rPr>
      <w:rFonts w:ascii="Arial" w:eastAsia="Times New Roman" w:hAnsi="Arial" w:cs="Arial"/>
      <w:color w:val="000000"/>
      <w:sz w:val="20"/>
      <w:szCs w:val="20"/>
    </w:rPr>
  </w:style>
  <w:style w:type="character" w:styleId="EndnoteReference">
    <w:name w:val="endnote reference"/>
    <w:basedOn w:val="DefaultParagraphFont"/>
    <w:uiPriority w:val="99"/>
    <w:semiHidden/>
    <w:unhideWhenUsed/>
    <w:rsid w:val="00140B7C"/>
    <w:rPr>
      <w:vertAlign w:val="superscript"/>
    </w:rPr>
  </w:style>
  <w:style w:type="numbering" w:customStyle="1" w:styleId="NoList5">
    <w:name w:val="No List5"/>
    <w:next w:val="NoList"/>
    <w:uiPriority w:val="99"/>
    <w:semiHidden/>
    <w:unhideWhenUsed/>
    <w:rsid w:val="00140B7C"/>
  </w:style>
  <w:style w:type="paragraph" w:customStyle="1" w:styleId="ColorfulList-Accent11">
    <w:name w:val="Colorful List - Accent 11"/>
    <w:basedOn w:val="Normal"/>
    <w:uiPriority w:val="34"/>
    <w:qFormat/>
    <w:rsid w:val="00140B7C"/>
    <w:pPr>
      <w:widowControl w:val="0"/>
      <w:kinsoku w:val="0"/>
      <w:spacing w:after="0" w:line="240" w:lineRule="auto"/>
      <w:ind w:left="720"/>
    </w:pPr>
    <w:rPr>
      <w:rFonts w:eastAsia="Times New Roman" w:cs="Times New Roman"/>
      <w:szCs w:val="24"/>
    </w:rPr>
  </w:style>
  <w:style w:type="table" w:customStyle="1" w:styleId="TableGrid4">
    <w:name w:val="Table Grid4"/>
    <w:basedOn w:val="TableNormal"/>
    <w:next w:val="TableGrid"/>
    <w:rsid w:val="00140B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40B7C"/>
    <w:rPr>
      <w:b/>
      <w:bCs/>
    </w:rPr>
  </w:style>
  <w:style w:type="numbering" w:customStyle="1" w:styleId="NoList6">
    <w:name w:val="No List6"/>
    <w:next w:val="NoList"/>
    <w:uiPriority w:val="99"/>
    <w:semiHidden/>
    <w:unhideWhenUsed/>
    <w:rsid w:val="00140B7C"/>
  </w:style>
  <w:style w:type="paragraph" w:customStyle="1" w:styleId="SingleSpaceParagraph">
    <w:name w:val="Single Space Paragraph"/>
    <w:aliases w:val="SS"/>
    <w:basedOn w:val="Normal"/>
    <w:rsid w:val="00140B7C"/>
    <w:pPr>
      <w:suppressAutoHyphens/>
      <w:spacing w:after="240" w:line="240" w:lineRule="auto"/>
      <w:ind w:firstLine="1440"/>
      <w:jc w:val="both"/>
    </w:pPr>
    <w:rPr>
      <w:rFonts w:eastAsia="Times New Roman" w:cs="Times New Roman"/>
      <w:szCs w:val="20"/>
    </w:rPr>
  </w:style>
  <w:style w:type="paragraph" w:customStyle="1" w:styleId="DoubleSpaceParagaph">
    <w:name w:val="Double Space Paragaph"/>
    <w:aliases w:val="DS"/>
    <w:basedOn w:val="Normal"/>
    <w:rsid w:val="00140B7C"/>
    <w:pPr>
      <w:suppressAutoHyphens/>
      <w:spacing w:after="0" w:line="480" w:lineRule="auto"/>
      <w:ind w:firstLine="1440"/>
      <w:jc w:val="both"/>
    </w:pPr>
    <w:rPr>
      <w:rFonts w:eastAsia="Times New Roman" w:cs="Times New Roman"/>
      <w:szCs w:val="20"/>
    </w:rPr>
  </w:style>
  <w:style w:type="paragraph" w:customStyle="1" w:styleId="BlockNarrowBold">
    <w:name w:val="Block Narrow Bold"/>
    <w:aliases w:val="BNB"/>
    <w:basedOn w:val="Normal"/>
    <w:next w:val="DoubleSpaceParagaph"/>
    <w:rsid w:val="00140B7C"/>
    <w:pPr>
      <w:tabs>
        <w:tab w:val="left" w:pos="7200"/>
      </w:tabs>
      <w:suppressAutoHyphens/>
      <w:spacing w:after="240" w:line="240" w:lineRule="auto"/>
      <w:ind w:left="2160" w:right="2160"/>
      <w:jc w:val="both"/>
      <w:outlineLvl w:val="2"/>
    </w:pPr>
    <w:rPr>
      <w:rFonts w:eastAsia="Times New Roman" w:cs="Times New Roman"/>
      <w:b/>
      <w:caps/>
      <w:szCs w:val="20"/>
    </w:rPr>
  </w:style>
  <w:style w:type="paragraph" w:customStyle="1" w:styleId="FlushLeft">
    <w:name w:val="Flush Left"/>
    <w:aliases w:val="FL"/>
    <w:basedOn w:val="Normal"/>
    <w:rsid w:val="00140B7C"/>
    <w:pPr>
      <w:suppressAutoHyphens/>
      <w:spacing w:after="240" w:line="240" w:lineRule="auto"/>
      <w:jc w:val="both"/>
    </w:pPr>
    <w:rPr>
      <w:rFonts w:eastAsia="Times New Roman" w:cs="Times New Roman"/>
      <w:szCs w:val="20"/>
    </w:rPr>
  </w:style>
  <w:style w:type="paragraph" w:customStyle="1" w:styleId="BlockIndent">
    <w:name w:val="Block Indent"/>
    <w:aliases w:val="BI"/>
    <w:basedOn w:val="FlushLeft"/>
    <w:rsid w:val="00140B7C"/>
  </w:style>
  <w:style w:type="paragraph" w:customStyle="1" w:styleId="BlockLeft">
    <w:name w:val="Block Left"/>
    <w:aliases w:val="BL"/>
    <w:basedOn w:val="Normal"/>
    <w:next w:val="SignatureLeft"/>
    <w:rsid w:val="00140B7C"/>
    <w:pPr>
      <w:suppressAutoHyphens/>
      <w:spacing w:before="720" w:after="480" w:line="240" w:lineRule="auto"/>
    </w:pPr>
    <w:rPr>
      <w:rFonts w:eastAsia="Times New Roman" w:cs="Times New Roman"/>
      <w:szCs w:val="20"/>
    </w:rPr>
  </w:style>
  <w:style w:type="paragraph" w:customStyle="1" w:styleId="SignatureLeft">
    <w:name w:val="Signature Left"/>
    <w:aliases w:val="SL"/>
    <w:basedOn w:val="Normal"/>
    <w:next w:val="Normal"/>
    <w:rsid w:val="00140B7C"/>
    <w:pPr>
      <w:pBdr>
        <w:top w:val="single" w:sz="4" w:space="1" w:color="auto"/>
      </w:pBdr>
      <w:suppressAutoHyphens/>
      <w:spacing w:after="240" w:line="240" w:lineRule="auto"/>
      <w:ind w:right="5760"/>
    </w:pPr>
    <w:rPr>
      <w:rFonts w:eastAsia="Times New Roman" w:cs="Times New Roman"/>
      <w:szCs w:val="20"/>
    </w:rPr>
  </w:style>
  <w:style w:type="paragraph" w:customStyle="1" w:styleId="BlockNarrowUnderline">
    <w:name w:val="Block Narrow Underline"/>
    <w:aliases w:val="BNU"/>
    <w:basedOn w:val="Normal"/>
    <w:next w:val="Normal"/>
    <w:rsid w:val="00140B7C"/>
    <w:pPr>
      <w:pBdr>
        <w:bottom w:val="single" w:sz="4" w:space="1" w:color="auto"/>
      </w:pBdr>
      <w:suppressAutoHyphens/>
      <w:spacing w:after="240" w:line="240" w:lineRule="auto"/>
      <w:ind w:left="2160" w:right="2160"/>
      <w:jc w:val="both"/>
      <w:outlineLvl w:val="2"/>
    </w:pPr>
    <w:rPr>
      <w:rFonts w:eastAsia="Times New Roman" w:cs="Times New Roman"/>
      <w:b/>
      <w:caps/>
      <w:szCs w:val="20"/>
    </w:rPr>
  </w:style>
  <w:style w:type="paragraph" w:customStyle="1" w:styleId="BlockNarrow">
    <w:name w:val="Block Narrow"/>
    <w:aliases w:val="BN"/>
    <w:basedOn w:val="Normal"/>
    <w:next w:val="FlushLeftDouble"/>
    <w:rsid w:val="00140B7C"/>
    <w:pPr>
      <w:suppressAutoHyphens/>
      <w:spacing w:after="240" w:line="240" w:lineRule="auto"/>
      <w:ind w:left="2160" w:right="2160"/>
      <w:jc w:val="both"/>
      <w:outlineLvl w:val="2"/>
    </w:pPr>
    <w:rPr>
      <w:rFonts w:eastAsia="Times New Roman" w:cs="Times New Roman"/>
      <w:szCs w:val="20"/>
    </w:rPr>
  </w:style>
  <w:style w:type="paragraph" w:customStyle="1" w:styleId="FlushLeftDouble">
    <w:name w:val="Flush Left Double"/>
    <w:aliases w:val="FLD"/>
    <w:basedOn w:val="Normal"/>
    <w:rsid w:val="00140B7C"/>
    <w:pPr>
      <w:suppressAutoHyphens/>
      <w:spacing w:after="240" w:line="240" w:lineRule="auto"/>
      <w:ind w:left="360"/>
      <w:jc w:val="both"/>
    </w:pPr>
    <w:rPr>
      <w:rFonts w:eastAsia="Times New Roman" w:cs="Times New Roman"/>
      <w:szCs w:val="20"/>
    </w:rPr>
  </w:style>
  <w:style w:type="paragraph" w:customStyle="1" w:styleId="BlockRight">
    <w:name w:val="Block Right"/>
    <w:aliases w:val="BR"/>
    <w:basedOn w:val="Normal"/>
    <w:next w:val="CaptionHeading"/>
    <w:rsid w:val="00140B7C"/>
    <w:pPr>
      <w:suppressAutoHyphens/>
      <w:spacing w:after="240" w:line="240" w:lineRule="auto"/>
      <w:ind w:left="5040"/>
      <w:jc w:val="both"/>
    </w:pPr>
    <w:rPr>
      <w:rFonts w:eastAsia="Times New Roman" w:cs="Times New Roman"/>
      <w:szCs w:val="20"/>
    </w:rPr>
  </w:style>
  <w:style w:type="paragraph" w:customStyle="1" w:styleId="CaptionHeading">
    <w:name w:val="Caption Heading"/>
    <w:aliases w:val="CH"/>
    <w:basedOn w:val="Normal"/>
    <w:next w:val="CaptionTopLine"/>
    <w:rsid w:val="00140B7C"/>
    <w:pPr>
      <w:suppressAutoHyphens/>
      <w:spacing w:after="0" w:line="240" w:lineRule="auto"/>
    </w:pPr>
    <w:rPr>
      <w:rFonts w:eastAsia="Times New Roman" w:cs="Times New Roman"/>
      <w:caps/>
      <w:szCs w:val="20"/>
    </w:rPr>
  </w:style>
  <w:style w:type="paragraph" w:customStyle="1" w:styleId="CaptionTopLine">
    <w:name w:val="Caption Top Line"/>
    <w:aliases w:val="CTL"/>
    <w:basedOn w:val="Normal"/>
    <w:next w:val="CaptionText"/>
    <w:rsid w:val="00140B7C"/>
    <w:pPr>
      <w:suppressAutoHyphens/>
      <w:spacing w:after="240" w:line="240" w:lineRule="auto"/>
    </w:pPr>
    <w:rPr>
      <w:rFonts w:eastAsia="Times New Roman" w:cs="Times New Roman"/>
      <w:szCs w:val="20"/>
    </w:rPr>
  </w:style>
  <w:style w:type="paragraph" w:customStyle="1" w:styleId="CaptionText">
    <w:name w:val="Caption Text"/>
    <w:aliases w:val="CT"/>
    <w:basedOn w:val="Normal"/>
    <w:next w:val="CaptionTextRight"/>
    <w:rsid w:val="00140B7C"/>
    <w:pPr>
      <w:suppressAutoHyphens/>
      <w:spacing w:after="240" w:line="240" w:lineRule="auto"/>
    </w:pPr>
    <w:rPr>
      <w:rFonts w:eastAsia="Times New Roman" w:cs="Times New Roman"/>
      <w:szCs w:val="20"/>
    </w:rPr>
  </w:style>
  <w:style w:type="paragraph" w:customStyle="1" w:styleId="CaptionTextRight">
    <w:name w:val="Caption Text Right"/>
    <w:aliases w:val="CTR"/>
    <w:basedOn w:val="Normal"/>
    <w:next w:val="CaptionAgainst"/>
    <w:rsid w:val="00140B7C"/>
    <w:pPr>
      <w:suppressAutoHyphens/>
      <w:spacing w:after="240" w:line="240" w:lineRule="auto"/>
      <w:jc w:val="right"/>
    </w:pPr>
    <w:rPr>
      <w:rFonts w:eastAsia="Times New Roman" w:cs="Times New Roman"/>
      <w:szCs w:val="20"/>
    </w:rPr>
  </w:style>
  <w:style w:type="paragraph" w:customStyle="1" w:styleId="CaptionAgainst">
    <w:name w:val="Caption Against"/>
    <w:aliases w:val="CA"/>
    <w:basedOn w:val="Normal"/>
    <w:next w:val="CaptionText"/>
    <w:rsid w:val="00140B7C"/>
    <w:pPr>
      <w:suppressAutoHyphens/>
      <w:spacing w:after="240" w:line="240" w:lineRule="auto"/>
      <w:jc w:val="center"/>
    </w:pPr>
    <w:rPr>
      <w:rFonts w:eastAsia="Times New Roman" w:cs="Times New Roman"/>
      <w:szCs w:val="20"/>
    </w:rPr>
  </w:style>
  <w:style w:type="paragraph" w:customStyle="1" w:styleId="BlockWideUnderline">
    <w:name w:val="Block Wide Underline"/>
    <w:aliases w:val="BWU"/>
    <w:basedOn w:val="Normal"/>
    <w:next w:val="DoubleSpaceParagaph"/>
    <w:rsid w:val="00140B7C"/>
    <w:pPr>
      <w:pBdr>
        <w:bottom w:val="single" w:sz="4" w:space="1" w:color="auto"/>
      </w:pBdr>
      <w:suppressAutoHyphens/>
      <w:spacing w:after="240" w:line="240" w:lineRule="auto"/>
      <w:ind w:left="1440" w:right="1440"/>
      <w:jc w:val="both"/>
      <w:outlineLvl w:val="2"/>
    </w:pPr>
    <w:rPr>
      <w:rFonts w:eastAsia="Times New Roman" w:cs="Times New Roman"/>
      <w:szCs w:val="20"/>
    </w:rPr>
  </w:style>
  <w:style w:type="paragraph" w:customStyle="1" w:styleId="BlockWide">
    <w:name w:val="Block Wide"/>
    <w:aliases w:val="BW"/>
    <w:basedOn w:val="Normal"/>
    <w:next w:val="DoubleSpaceParagaph"/>
    <w:rsid w:val="00140B7C"/>
    <w:pPr>
      <w:suppressAutoHyphens/>
      <w:spacing w:after="240" w:line="240" w:lineRule="auto"/>
      <w:ind w:left="1440" w:right="1440"/>
      <w:jc w:val="both"/>
    </w:pPr>
    <w:rPr>
      <w:rFonts w:eastAsia="Times New Roman" w:cs="Times New Roman"/>
      <w:szCs w:val="20"/>
    </w:rPr>
  </w:style>
  <w:style w:type="paragraph" w:styleId="BodyText">
    <w:name w:val="Body Text"/>
    <w:basedOn w:val="Normal"/>
    <w:link w:val="BodyTextChar"/>
    <w:uiPriority w:val="99"/>
    <w:qFormat/>
    <w:rsid w:val="00140B7C"/>
    <w:pPr>
      <w:suppressAutoHyphens/>
      <w:spacing w:after="120" w:line="240" w:lineRule="auto"/>
    </w:pPr>
    <w:rPr>
      <w:rFonts w:eastAsia="Times New Roman" w:cs="Times New Roman"/>
      <w:szCs w:val="20"/>
    </w:rPr>
  </w:style>
  <w:style w:type="character" w:customStyle="1" w:styleId="BodyTextChar">
    <w:name w:val="Body Text Char"/>
    <w:basedOn w:val="DefaultParagraphFont"/>
    <w:link w:val="BodyText"/>
    <w:uiPriority w:val="99"/>
    <w:rsid w:val="00140B7C"/>
    <w:rPr>
      <w:rFonts w:ascii="Times New Roman" w:eastAsia="Times New Roman" w:hAnsi="Times New Roman" w:cs="Times New Roman"/>
      <w:sz w:val="24"/>
      <w:szCs w:val="20"/>
    </w:rPr>
  </w:style>
  <w:style w:type="paragraph" w:customStyle="1" w:styleId="By">
    <w:name w:val="By"/>
    <w:basedOn w:val="Normal"/>
    <w:next w:val="ByLine"/>
    <w:rsid w:val="00140B7C"/>
    <w:pPr>
      <w:suppressAutoHyphens/>
      <w:spacing w:after="0" w:line="240" w:lineRule="auto"/>
      <w:ind w:left="4320"/>
    </w:pPr>
    <w:rPr>
      <w:rFonts w:eastAsia="Times New Roman" w:cs="Times New Roman"/>
      <w:szCs w:val="20"/>
    </w:rPr>
  </w:style>
  <w:style w:type="paragraph" w:customStyle="1" w:styleId="ByLine">
    <w:name w:val="By Line"/>
    <w:aliases w:val="ByL"/>
    <w:basedOn w:val="Normal"/>
    <w:next w:val="FlushLeft"/>
    <w:rsid w:val="00140B7C"/>
    <w:pPr>
      <w:pBdr>
        <w:top w:val="single" w:sz="4" w:space="1" w:color="auto"/>
      </w:pBdr>
      <w:suppressAutoHyphens/>
      <w:spacing w:after="720" w:line="240" w:lineRule="auto"/>
      <w:ind w:left="5040"/>
    </w:pPr>
    <w:rPr>
      <w:rFonts w:eastAsia="Times New Roman" w:cs="Times New Roman"/>
      <w:szCs w:val="20"/>
    </w:rPr>
  </w:style>
  <w:style w:type="paragraph" w:styleId="Caption">
    <w:name w:val="caption"/>
    <w:basedOn w:val="Normal"/>
    <w:next w:val="Normal"/>
    <w:qFormat/>
    <w:rsid w:val="00140B7C"/>
    <w:pPr>
      <w:suppressAutoHyphens/>
      <w:spacing w:before="120" w:after="120" w:line="240" w:lineRule="auto"/>
    </w:pPr>
    <w:rPr>
      <w:rFonts w:eastAsia="Times New Roman" w:cs="Times New Roman"/>
      <w:b/>
      <w:szCs w:val="20"/>
    </w:rPr>
  </w:style>
  <w:style w:type="paragraph" w:customStyle="1" w:styleId="CaptionBottomLine">
    <w:name w:val="Caption Bottom Line"/>
    <w:aliases w:val="CBL"/>
    <w:basedOn w:val="Normal"/>
    <w:next w:val="DoubleSpaceParagaph"/>
    <w:rsid w:val="00140B7C"/>
    <w:pPr>
      <w:suppressAutoHyphens/>
      <w:spacing w:after="480" w:line="240" w:lineRule="auto"/>
    </w:pPr>
    <w:rPr>
      <w:rFonts w:eastAsia="Times New Roman" w:cs="Times New Roman"/>
      <w:szCs w:val="20"/>
    </w:rPr>
  </w:style>
  <w:style w:type="paragraph" w:customStyle="1" w:styleId="CaptionDocument">
    <w:name w:val="Caption Document"/>
    <w:aliases w:val="CD"/>
    <w:basedOn w:val="Normal"/>
    <w:next w:val="CaptionID"/>
    <w:rsid w:val="00140B7C"/>
    <w:pPr>
      <w:suppressAutoHyphens/>
      <w:spacing w:before="720" w:after="240" w:line="240" w:lineRule="auto"/>
    </w:pPr>
    <w:rPr>
      <w:rFonts w:ascii="Times New Roman Bold" w:eastAsia="Times New Roman" w:hAnsi="Times New Roman Bold" w:cs="Times New Roman"/>
      <w:b/>
      <w:caps/>
      <w:szCs w:val="20"/>
    </w:rPr>
  </w:style>
  <w:style w:type="paragraph" w:customStyle="1" w:styleId="CaptionID">
    <w:name w:val="Caption ID"/>
    <w:aliases w:val="CI"/>
    <w:basedOn w:val="Normal"/>
    <w:rsid w:val="00140B7C"/>
    <w:pPr>
      <w:suppressAutoHyphens/>
      <w:spacing w:after="240" w:line="240" w:lineRule="auto"/>
    </w:pPr>
    <w:rPr>
      <w:rFonts w:eastAsia="Times New Roman" w:cs="Times New Roman"/>
      <w:szCs w:val="20"/>
    </w:rPr>
  </w:style>
  <w:style w:type="paragraph" w:styleId="Closing">
    <w:name w:val="Closing"/>
    <w:aliases w:val="C"/>
    <w:basedOn w:val="Normal"/>
    <w:next w:val="By"/>
    <w:link w:val="ClosingChar"/>
    <w:rsid w:val="00140B7C"/>
    <w:pPr>
      <w:keepLines/>
      <w:suppressAutoHyphens/>
      <w:spacing w:after="480" w:line="240" w:lineRule="auto"/>
      <w:ind w:left="4320"/>
    </w:pPr>
    <w:rPr>
      <w:rFonts w:eastAsia="Times New Roman" w:cs="Times New Roman"/>
      <w:szCs w:val="20"/>
    </w:rPr>
  </w:style>
  <w:style w:type="character" w:customStyle="1" w:styleId="ClosingChar">
    <w:name w:val="Closing Char"/>
    <w:aliases w:val="C Char"/>
    <w:basedOn w:val="DefaultParagraphFont"/>
    <w:link w:val="Closing"/>
    <w:rsid w:val="00140B7C"/>
    <w:rPr>
      <w:rFonts w:ascii="Times New Roman" w:eastAsia="Times New Roman" w:hAnsi="Times New Roman" w:cs="Times New Roman"/>
      <w:sz w:val="24"/>
      <w:szCs w:val="20"/>
    </w:rPr>
  </w:style>
  <w:style w:type="paragraph" w:customStyle="1" w:styleId="CourtesyCopy">
    <w:name w:val="Courtesy Copy"/>
    <w:aliases w:val="cc"/>
    <w:basedOn w:val="Normal"/>
    <w:rsid w:val="00140B7C"/>
    <w:pPr>
      <w:keepLines/>
      <w:suppressAutoHyphens/>
      <w:spacing w:before="240" w:after="0" w:line="240" w:lineRule="auto"/>
      <w:ind w:left="720" w:hanging="720"/>
    </w:pPr>
    <w:rPr>
      <w:rFonts w:eastAsia="Times New Roman" w:cs="Times New Roman"/>
      <w:szCs w:val="20"/>
    </w:rPr>
  </w:style>
  <w:style w:type="paragraph" w:styleId="Date">
    <w:name w:val="Date"/>
    <w:basedOn w:val="Normal"/>
    <w:next w:val="Normal"/>
    <w:link w:val="DateChar"/>
    <w:rsid w:val="00140B7C"/>
    <w:pPr>
      <w:suppressAutoHyphens/>
      <w:spacing w:after="0" w:line="240" w:lineRule="auto"/>
    </w:pPr>
    <w:rPr>
      <w:rFonts w:eastAsia="Times New Roman" w:cs="Times New Roman"/>
      <w:szCs w:val="20"/>
    </w:rPr>
  </w:style>
  <w:style w:type="character" w:customStyle="1" w:styleId="DateChar">
    <w:name w:val="Date Char"/>
    <w:basedOn w:val="DefaultParagraphFont"/>
    <w:link w:val="Date"/>
    <w:rsid w:val="00140B7C"/>
    <w:rPr>
      <w:rFonts w:ascii="Times New Roman" w:eastAsia="Times New Roman" w:hAnsi="Times New Roman" w:cs="Times New Roman"/>
      <w:sz w:val="24"/>
      <w:szCs w:val="20"/>
    </w:rPr>
  </w:style>
  <w:style w:type="paragraph" w:customStyle="1" w:styleId="Dated">
    <w:name w:val="Dated"/>
    <w:aliases w:val="D"/>
    <w:basedOn w:val="Normal"/>
    <w:next w:val="Closing"/>
    <w:rsid w:val="00140B7C"/>
    <w:pPr>
      <w:suppressAutoHyphens/>
      <w:spacing w:after="480" w:line="240" w:lineRule="auto"/>
      <w:ind w:left="1440" w:hanging="1440"/>
    </w:pPr>
    <w:rPr>
      <w:rFonts w:eastAsia="Times New Roman" w:cs="Times New Roman"/>
      <w:szCs w:val="20"/>
    </w:rPr>
  </w:style>
  <w:style w:type="paragraph" w:customStyle="1" w:styleId="SingleSpaceHanging1">
    <w:name w:val="Single Space Hanging 1&quot;"/>
    <w:aliases w:val="SSH1"/>
    <w:basedOn w:val="Normal"/>
    <w:rsid w:val="00140B7C"/>
    <w:pPr>
      <w:suppressAutoHyphens/>
      <w:spacing w:after="240" w:line="240" w:lineRule="auto"/>
      <w:ind w:left="2160" w:hanging="720"/>
      <w:jc w:val="both"/>
    </w:pPr>
    <w:rPr>
      <w:rFonts w:eastAsia="Times New Roman" w:cs="Times New Roman"/>
      <w:szCs w:val="20"/>
    </w:rPr>
  </w:style>
  <w:style w:type="paragraph" w:customStyle="1" w:styleId="DefinEval">
    <w:name w:val="DefinEval"/>
    <w:aliases w:val="DE"/>
    <w:basedOn w:val="SingleSpaceHanging1"/>
    <w:rsid w:val="00140B7C"/>
    <w:pPr>
      <w:ind w:left="0" w:firstLine="1440"/>
    </w:pPr>
  </w:style>
  <w:style w:type="paragraph" w:customStyle="1" w:styleId="DocumentTitle">
    <w:name w:val="Document Title"/>
    <w:aliases w:val="DT"/>
    <w:basedOn w:val="Normal"/>
    <w:next w:val="DoubleSpaceParagaph"/>
    <w:rsid w:val="00140B7C"/>
    <w:pPr>
      <w:tabs>
        <w:tab w:val="left" w:pos="7200"/>
      </w:tabs>
      <w:suppressAutoHyphens/>
      <w:spacing w:after="240" w:line="240" w:lineRule="auto"/>
      <w:ind w:left="2160" w:right="2160"/>
      <w:jc w:val="both"/>
    </w:pPr>
    <w:rPr>
      <w:rFonts w:ascii="Times New Roman Bold" w:eastAsia="Times New Roman" w:hAnsi="Times New Roman Bold" w:cs="Times New Roman"/>
      <w:b/>
      <w:caps/>
      <w:szCs w:val="20"/>
    </w:rPr>
  </w:style>
  <w:style w:type="paragraph" w:customStyle="1" w:styleId="DocX97Comment">
    <w:name w:val="DocX97Comment"/>
    <w:basedOn w:val="Normal"/>
    <w:rsid w:val="00140B7C"/>
    <w:pPr>
      <w:suppressAutoHyphens/>
      <w:spacing w:after="0" w:line="240" w:lineRule="auto"/>
    </w:pPr>
    <w:rPr>
      <w:rFonts w:eastAsia="Times New Roman" w:cs="Times New Roman"/>
      <w:b/>
      <w:i/>
      <w:color w:val="FF0000"/>
      <w:sz w:val="16"/>
      <w:szCs w:val="20"/>
    </w:rPr>
  </w:style>
  <w:style w:type="paragraph" w:customStyle="1" w:styleId="DoubleSpaceHanging1">
    <w:name w:val="Double Space Hanging 1&quot;"/>
    <w:aliases w:val="DSH1"/>
    <w:basedOn w:val="Normal"/>
    <w:rsid w:val="00140B7C"/>
    <w:pPr>
      <w:suppressAutoHyphens/>
      <w:spacing w:after="240" w:line="480" w:lineRule="auto"/>
      <w:ind w:left="2160" w:hanging="720"/>
      <w:jc w:val="both"/>
    </w:pPr>
    <w:rPr>
      <w:rFonts w:eastAsia="Times New Roman" w:cs="Times New Roman"/>
      <w:szCs w:val="20"/>
    </w:rPr>
  </w:style>
  <w:style w:type="paragraph" w:customStyle="1" w:styleId="DoubleSpaceHanging15">
    <w:name w:val="Double Space Hanging 1.5&quot;"/>
    <w:aliases w:val="DSH2"/>
    <w:basedOn w:val="Normal"/>
    <w:rsid w:val="00140B7C"/>
    <w:pPr>
      <w:suppressAutoHyphens/>
      <w:spacing w:after="240" w:line="480" w:lineRule="auto"/>
      <w:ind w:left="2880" w:hanging="720"/>
      <w:jc w:val="both"/>
    </w:pPr>
    <w:rPr>
      <w:rFonts w:eastAsia="Times New Roman" w:cs="Times New Roman"/>
      <w:szCs w:val="20"/>
    </w:rPr>
  </w:style>
  <w:style w:type="paragraph" w:customStyle="1" w:styleId="DoubleSpaceParagraphwParaNum">
    <w:name w:val="Double Space Paragraph w/Para Num"/>
    <w:aliases w:val="DSN"/>
    <w:basedOn w:val="Normal"/>
    <w:rsid w:val="00140B7C"/>
    <w:pPr>
      <w:suppressAutoHyphens/>
      <w:spacing w:after="0" w:line="480" w:lineRule="auto"/>
      <w:jc w:val="both"/>
    </w:pPr>
    <w:rPr>
      <w:rFonts w:eastAsia="Times New Roman" w:cs="Times New Roman"/>
      <w:szCs w:val="20"/>
    </w:rPr>
  </w:style>
  <w:style w:type="paragraph" w:customStyle="1" w:styleId="EndnoteTextMore">
    <w:name w:val="Endnote TextMore"/>
    <w:basedOn w:val="Normal"/>
    <w:rsid w:val="00140B7C"/>
    <w:pPr>
      <w:suppressAutoHyphens/>
      <w:spacing w:after="240" w:line="240" w:lineRule="auto"/>
    </w:pPr>
    <w:rPr>
      <w:rFonts w:eastAsia="Times New Roman" w:cs="Times New Roman"/>
      <w:szCs w:val="20"/>
    </w:rPr>
  </w:style>
  <w:style w:type="paragraph" w:styleId="EnvelopeAddress">
    <w:name w:val="envelope address"/>
    <w:basedOn w:val="Normal"/>
    <w:rsid w:val="00140B7C"/>
    <w:pPr>
      <w:framePr w:w="7920" w:h="1980" w:hRule="exact" w:hSpace="180" w:wrap="auto" w:hAnchor="page" w:xAlign="center" w:yAlign="bottom"/>
      <w:suppressAutoHyphens/>
      <w:spacing w:after="0" w:line="240" w:lineRule="auto"/>
      <w:ind w:left="2880"/>
    </w:pPr>
    <w:rPr>
      <w:rFonts w:eastAsia="Times New Roman" w:cs="Times New Roman"/>
      <w:szCs w:val="20"/>
    </w:rPr>
  </w:style>
  <w:style w:type="paragraph" w:styleId="EnvelopeReturn">
    <w:name w:val="envelope return"/>
    <w:basedOn w:val="Normal"/>
    <w:rsid w:val="00140B7C"/>
    <w:pPr>
      <w:suppressAutoHyphens/>
      <w:spacing w:after="0" w:line="240" w:lineRule="auto"/>
    </w:pPr>
    <w:rPr>
      <w:rFonts w:eastAsia="Times New Roman" w:cs="Times New Roman"/>
      <w:sz w:val="20"/>
      <w:szCs w:val="20"/>
    </w:rPr>
  </w:style>
  <w:style w:type="paragraph" w:customStyle="1" w:styleId="FlushLeftDoublewParaNum">
    <w:name w:val="Flush Left Double w/Para Num"/>
    <w:aliases w:val="FLDN"/>
    <w:basedOn w:val="Normal"/>
    <w:rsid w:val="00140B7C"/>
    <w:pPr>
      <w:suppressAutoHyphens/>
      <w:spacing w:after="0" w:line="480" w:lineRule="auto"/>
      <w:jc w:val="both"/>
    </w:pPr>
    <w:rPr>
      <w:rFonts w:eastAsia="Times New Roman" w:cs="Times New Roman"/>
      <w:szCs w:val="20"/>
    </w:rPr>
  </w:style>
  <w:style w:type="paragraph" w:customStyle="1" w:styleId="FlushLeftwParaNum">
    <w:name w:val="Flush Left w/Para Num"/>
    <w:aliases w:val="FLN"/>
    <w:basedOn w:val="Normal"/>
    <w:rsid w:val="00140B7C"/>
    <w:pPr>
      <w:suppressAutoHyphens/>
      <w:spacing w:after="240" w:line="240" w:lineRule="auto"/>
      <w:jc w:val="both"/>
    </w:pPr>
    <w:rPr>
      <w:rFonts w:eastAsia="Times New Roman" w:cs="Times New Roman"/>
      <w:szCs w:val="20"/>
    </w:rPr>
  </w:style>
  <w:style w:type="character" w:styleId="FootnoteReference">
    <w:name w:val="footnote reference"/>
    <w:rsid w:val="00140B7C"/>
    <w:rPr>
      <w:vertAlign w:val="superscript"/>
    </w:rPr>
  </w:style>
  <w:style w:type="paragraph" w:styleId="FootnoteText">
    <w:name w:val="footnote text"/>
    <w:aliases w:val="FT"/>
    <w:basedOn w:val="Normal"/>
    <w:link w:val="FootnoteTextChar"/>
    <w:rsid w:val="00140B7C"/>
    <w:pPr>
      <w:tabs>
        <w:tab w:val="left" w:pos="360"/>
      </w:tabs>
      <w:suppressAutoHyphens/>
      <w:spacing w:after="240" w:line="240" w:lineRule="auto"/>
      <w:jc w:val="both"/>
    </w:pPr>
    <w:rPr>
      <w:rFonts w:eastAsia="Times New Roman" w:cs="Times New Roman"/>
      <w:szCs w:val="20"/>
    </w:rPr>
  </w:style>
  <w:style w:type="character" w:customStyle="1" w:styleId="FootnoteTextChar">
    <w:name w:val="Footnote Text Char"/>
    <w:aliases w:val="FT Char"/>
    <w:basedOn w:val="DefaultParagraphFont"/>
    <w:link w:val="FootnoteText"/>
    <w:rsid w:val="00140B7C"/>
    <w:rPr>
      <w:rFonts w:ascii="Times New Roman" w:eastAsia="Times New Roman" w:hAnsi="Times New Roman" w:cs="Times New Roman"/>
      <w:sz w:val="24"/>
      <w:szCs w:val="20"/>
    </w:rPr>
  </w:style>
  <w:style w:type="paragraph" w:customStyle="1" w:styleId="FootnoteTextMore">
    <w:name w:val="Footnote TextMore"/>
    <w:basedOn w:val="FootnoteText"/>
    <w:rsid w:val="00140B7C"/>
    <w:pPr>
      <w:suppressAutoHyphens w:val="0"/>
      <w:jc w:val="left"/>
    </w:pPr>
  </w:style>
  <w:style w:type="paragraph" w:customStyle="1" w:styleId="HeadingBold">
    <w:name w:val="Heading Bold"/>
    <w:aliases w:val="HCB"/>
    <w:basedOn w:val="Normal"/>
    <w:next w:val="SingleSpaceParagraph"/>
    <w:rsid w:val="00140B7C"/>
    <w:pPr>
      <w:keepNext/>
      <w:suppressAutoHyphens/>
      <w:spacing w:after="240" w:line="240" w:lineRule="auto"/>
      <w:jc w:val="center"/>
      <w:outlineLvl w:val="0"/>
    </w:pPr>
    <w:rPr>
      <w:rFonts w:ascii="Times New Roman Bold" w:eastAsia="Times New Roman" w:hAnsi="Times New Roman Bold" w:cs="Times New Roman"/>
      <w:b/>
      <w:szCs w:val="20"/>
    </w:rPr>
  </w:style>
  <w:style w:type="paragraph" w:customStyle="1" w:styleId="HeadingCaps">
    <w:name w:val="Heading Caps"/>
    <w:aliases w:val="HCC"/>
    <w:basedOn w:val="Normal"/>
    <w:next w:val="DoubleSpaceParagaph"/>
    <w:link w:val="HeadingCapsChar"/>
    <w:rsid w:val="00140B7C"/>
    <w:pPr>
      <w:keepNext/>
      <w:suppressAutoHyphens/>
      <w:spacing w:after="240" w:line="240" w:lineRule="auto"/>
      <w:jc w:val="center"/>
      <w:outlineLvl w:val="0"/>
    </w:pPr>
    <w:rPr>
      <w:rFonts w:ascii="Times New Roman Bold" w:eastAsia="Times New Roman" w:hAnsi="Times New Roman Bold" w:cs="Times New Roman"/>
      <w:b/>
      <w:caps/>
      <w:szCs w:val="20"/>
    </w:rPr>
  </w:style>
  <w:style w:type="paragraph" w:customStyle="1" w:styleId="HeadingCenter">
    <w:name w:val="Heading Center"/>
    <w:aliases w:val="HC"/>
    <w:basedOn w:val="Normal"/>
    <w:next w:val="SingleSpaceParagraph"/>
    <w:rsid w:val="00140B7C"/>
    <w:pPr>
      <w:keepNext/>
      <w:suppressAutoHyphens/>
      <w:spacing w:after="240" w:line="240" w:lineRule="auto"/>
      <w:jc w:val="center"/>
      <w:outlineLvl w:val="0"/>
    </w:pPr>
    <w:rPr>
      <w:rFonts w:eastAsia="Times New Roman" w:cs="Times New Roman"/>
      <w:szCs w:val="20"/>
    </w:rPr>
  </w:style>
  <w:style w:type="paragraph" w:customStyle="1" w:styleId="HeadingLeft">
    <w:name w:val="Heading Left"/>
    <w:aliases w:val="HL"/>
    <w:basedOn w:val="Normal"/>
    <w:next w:val="FlushLeft"/>
    <w:rsid w:val="00140B7C"/>
    <w:pPr>
      <w:keepNext/>
      <w:suppressAutoHyphens/>
      <w:spacing w:after="0" w:line="240" w:lineRule="auto"/>
    </w:pPr>
    <w:rPr>
      <w:rFonts w:eastAsia="Times New Roman" w:cs="Times New Roman"/>
      <w:szCs w:val="20"/>
    </w:rPr>
  </w:style>
  <w:style w:type="paragraph" w:customStyle="1" w:styleId="HeadingPoint">
    <w:name w:val="Heading Point"/>
    <w:aliases w:val="HP"/>
    <w:basedOn w:val="Normal"/>
    <w:next w:val="BlockNarrowBold"/>
    <w:rsid w:val="00140B7C"/>
    <w:pPr>
      <w:keepNext/>
      <w:suppressAutoHyphens/>
      <w:spacing w:after="240" w:line="240" w:lineRule="auto"/>
      <w:jc w:val="center"/>
      <w:outlineLvl w:val="1"/>
    </w:pPr>
    <w:rPr>
      <w:rFonts w:ascii="Times New Roman Bold" w:eastAsia="Times New Roman" w:hAnsi="Times New Roman Bold" w:cs="Times New Roman"/>
      <w:b/>
      <w:caps/>
      <w:szCs w:val="20"/>
      <w:u w:val="single"/>
    </w:rPr>
  </w:style>
  <w:style w:type="paragraph" w:customStyle="1" w:styleId="HeadingUnderline">
    <w:name w:val="Heading Underline"/>
    <w:aliases w:val="HCU"/>
    <w:basedOn w:val="Normal"/>
    <w:next w:val="DoubleSpaceParagaph"/>
    <w:rsid w:val="00140B7C"/>
    <w:pPr>
      <w:keepNext/>
      <w:suppressAutoHyphens/>
      <w:spacing w:after="240" w:line="240" w:lineRule="auto"/>
      <w:jc w:val="center"/>
      <w:outlineLvl w:val="0"/>
    </w:pPr>
    <w:rPr>
      <w:rFonts w:ascii="Times New Roman Bold" w:eastAsia="Times New Roman" w:hAnsi="Times New Roman Bold" w:cs="Times New Roman"/>
      <w:b/>
      <w:caps/>
      <w:szCs w:val="20"/>
      <w:u w:val="single"/>
    </w:rPr>
  </w:style>
  <w:style w:type="paragraph" w:customStyle="1" w:styleId="InterrogatoryResponse">
    <w:name w:val="Interrogatory Response"/>
    <w:aliases w:val="IR"/>
    <w:basedOn w:val="Normal"/>
    <w:next w:val="DoubleSpaceParagaph"/>
    <w:rsid w:val="00140B7C"/>
    <w:pPr>
      <w:keepNext/>
      <w:suppressAutoHyphens/>
      <w:spacing w:after="240" w:line="240" w:lineRule="auto"/>
    </w:pPr>
    <w:rPr>
      <w:rFonts w:eastAsia="Times New Roman" w:cs="Times New Roman"/>
      <w:b/>
      <w:caps/>
      <w:szCs w:val="20"/>
      <w:u w:val="single"/>
    </w:rPr>
  </w:style>
  <w:style w:type="paragraph" w:customStyle="1" w:styleId="Interrogatory">
    <w:name w:val="Interrogatory"/>
    <w:aliases w:val="I"/>
    <w:basedOn w:val="Normal"/>
    <w:next w:val="DoubleSpaceParagaph"/>
    <w:rsid w:val="00140B7C"/>
    <w:pPr>
      <w:keepNext/>
      <w:suppressAutoHyphens/>
      <w:spacing w:after="240" w:line="240" w:lineRule="auto"/>
    </w:pPr>
    <w:rPr>
      <w:rFonts w:eastAsia="Times New Roman" w:cs="Times New Roman"/>
      <w:b/>
      <w:caps/>
      <w:szCs w:val="20"/>
      <w:u w:val="single"/>
    </w:rPr>
  </w:style>
  <w:style w:type="paragraph" w:customStyle="1" w:styleId="LetterAddress">
    <w:name w:val="Letter Address"/>
    <w:aliases w:val="LA"/>
    <w:basedOn w:val="Normal"/>
    <w:rsid w:val="00140B7C"/>
    <w:pPr>
      <w:suppressAutoHyphens/>
      <w:spacing w:after="0" w:line="240" w:lineRule="auto"/>
    </w:pPr>
    <w:rPr>
      <w:rFonts w:eastAsia="Times New Roman" w:cs="Times New Roman"/>
      <w:szCs w:val="20"/>
    </w:rPr>
  </w:style>
  <w:style w:type="paragraph" w:customStyle="1" w:styleId="LetterAuthor">
    <w:name w:val="Letter Author"/>
    <w:aliases w:val="LAu"/>
    <w:basedOn w:val="Normal"/>
    <w:next w:val="CourtesyCopy"/>
    <w:rsid w:val="00140B7C"/>
    <w:pPr>
      <w:keepLines/>
      <w:suppressAutoHyphens/>
      <w:spacing w:after="480" w:line="240" w:lineRule="auto"/>
      <w:ind w:left="5760"/>
    </w:pPr>
    <w:rPr>
      <w:rFonts w:eastAsia="Times New Roman" w:cs="Times New Roman"/>
      <w:szCs w:val="20"/>
    </w:rPr>
  </w:style>
  <w:style w:type="paragraph" w:customStyle="1" w:styleId="LetterClosing">
    <w:name w:val="Letter Closing"/>
    <w:aliases w:val="LC"/>
    <w:basedOn w:val="Normal"/>
    <w:next w:val="LetterAuthor"/>
    <w:rsid w:val="00140B7C"/>
    <w:pPr>
      <w:suppressAutoHyphens/>
      <w:spacing w:before="240" w:after="720" w:line="240" w:lineRule="auto"/>
      <w:ind w:left="5760"/>
    </w:pPr>
    <w:rPr>
      <w:rFonts w:eastAsia="Times New Roman" w:cs="Times New Roman"/>
      <w:szCs w:val="20"/>
    </w:rPr>
  </w:style>
  <w:style w:type="paragraph" w:customStyle="1" w:styleId="LetterDate">
    <w:name w:val="Letter Date"/>
    <w:aliases w:val="LD"/>
    <w:basedOn w:val="Normal"/>
    <w:next w:val="LetterAddress"/>
    <w:rsid w:val="00140B7C"/>
    <w:pPr>
      <w:suppressAutoHyphens/>
      <w:spacing w:after="720" w:line="240" w:lineRule="auto"/>
      <w:ind w:left="5760"/>
    </w:pPr>
    <w:rPr>
      <w:rFonts w:eastAsia="Times New Roman" w:cs="Times New Roman"/>
      <w:szCs w:val="20"/>
    </w:rPr>
  </w:style>
  <w:style w:type="paragraph" w:customStyle="1" w:styleId="LetterRe">
    <w:name w:val="Letter Re"/>
    <w:aliases w:val="LRe"/>
    <w:basedOn w:val="Normal"/>
    <w:next w:val="LetterSalutation"/>
    <w:rsid w:val="00140B7C"/>
    <w:pPr>
      <w:tabs>
        <w:tab w:val="left" w:pos="1944"/>
      </w:tabs>
      <w:suppressAutoHyphens/>
      <w:spacing w:before="480" w:after="480" w:line="240" w:lineRule="auto"/>
      <w:ind w:left="1944" w:hanging="504"/>
    </w:pPr>
    <w:rPr>
      <w:rFonts w:eastAsia="Times New Roman" w:cs="Times New Roman"/>
      <w:szCs w:val="20"/>
    </w:rPr>
  </w:style>
  <w:style w:type="paragraph" w:customStyle="1" w:styleId="LetterSalutation">
    <w:name w:val="Letter Salutation"/>
    <w:aliases w:val="LS"/>
    <w:basedOn w:val="Normal"/>
    <w:next w:val="SingleSpaceParagraph"/>
    <w:rsid w:val="00140B7C"/>
    <w:pPr>
      <w:suppressAutoHyphens/>
      <w:spacing w:after="480" w:line="240" w:lineRule="auto"/>
    </w:pPr>
    <w:rPr>
      <w:rFonts w:eastAsia="Times New Roman" w:cs="Times New Roman"/>
      <w:szCs w:val="20"/>
    </w:rPr>
  </w:style>
  <w:style w:type="paragraph" w:customStyle="1" w:styleId="LetterTelephone">
    <w:name w:val="Letter Telephone"/>
    <w:aliases w:val="LT"/>
    <w:basedOn w:val="Normal"/>
    <w:next w:val="LetterDate"/>
    <w:rsid w:val="00140B7C"/>
    <w:pPr>
      <w:suppressAutoHyphens/>
      <w:spacing w:before="1680" w:after="480" w:line="240" w:lineRule="auto"/>
      <w:jc w:val="right"/>
    </w:pPr>
    <w:rPr>
      <w:rFonts w:eastAsia="Times New Roman" w:cs="Times New Roman"/>
      <w:sz w:val="20"/>
      <w:szCs w:val="20"/>
    </w:rPr>
  </w:style>
  <w:style w:type="paragraph" w:customStyle="1" w:styleId="LocalLawBlock">
    <w:name w:val="Local Law Block"/>
    <w:aliases w:val="LLB"/>
    <w:basedOn w:val="Normal"/>
    <w:next w:val="FlushLeftDouble"/>
    <w:rsid w:val="00140B7C"/>
    <w:pPr>
      <w:tabs>
        <w:tab w:val="left" w:pos="2160"/>
      </w:tabs>
      <w:suppressAutoHyphens/>
      <w:spacing w:after="480" w:line="240" w:lineRule="auto"/>
      <w:ind w:left="2160" w:right="1008" w:hanging="2160"/>
      <w:jc w:val="both"/>
    </w:pPr>
    <w:rPr>
      <w:rFonts w:eastAsia="Times New Roman" w:cs="Times New Roman"/>
      <w:szCs w:val="20"/>
    </w:rPr>
  </w:style>
  <w:style w:type="paragraph" w:customStyle="1" w:styleId="LocalLawTitle">
    <w:name w:val="Local Law Title"/>
    <w:aliases w:val="LLT"/>
    <w:basedOn w:val="Normal"/>
    <w:next w:val="LocalLawBlock"/>
    <w:rsid w:val="00140B7C"/>
    <w:pPr>
      <w:keepNext/>
      <w:suppressAutoHyphens/>
      <w:spacing w:after="480" w:line="240" w:lineRule="auto"/>
      <w:jc w:val="right"/>
    </w:pPr>
    <w:rPr>
      <w:rFonts w:ascii="Times New Roman Bold" w:eastAsia="Times New Roman" w:hAnsi="Times New Roman Bold" w:cs="Times New Roman"/>
      <w:b/>
      <w:caps/>
      <w:szCs w:val="20"/>
    </w:rPr>
  </w:style>
  <w:style w:type="paragraph" w:customStyle="1" w:styleId="MemoAuthor">
    <w:name w:val="Memo Author"/>
    <w:aliases w:val="MAu"/>
    <w:basedOn w:val="Normal"/>
    <w:next w:val="MemoDate"/>
    <w:rsid w:val="00140B7C"/>
    <w:pPr>
      <w:suppressAutoHyphens/>
      <w:spacing w:after="240" w:line="240" w:lineRule="auto"/>
    </w:pPr>
    <w:rPr>
      <w:rFonts w:eastAsia="Times New Roman" w:cs="Times New Roman"/>
      <w:szCs w:val="20"/>
    </w:rPr>
  </w:style>
  <w:style w:type="paragraph" w:customStyle="1" w:styleId="MemoDate">
    <w:name w:val="Memo Date"/>
    <w:aliases w:val="MD"/>
    <w:basedOn w:val="Normal"/>
    <w:next w:val="MemoSubject"/>
    <w:rsid w:val="00140B7C"/>
    <w:pPr>
      <w:suppressAutoHyphens/>
      <w:spacing w:after="240" w:line="240" w:lineRule="auto"/>
    </w:pPr>
    <w:rPr>
      <w:rFonts w:eastAsia="Times New Roman" w:cs="Times New Roman"/>
      <w:caps/>
      <w:szCs w:val="20"/>
    </w:rPr>
  </w:style>
  <w:style w:type="paragraph" w:customStyle="1" w:styleId="MemoSubject">
    <w:name w:val="Memo Subject"/>
    <w:aliases w:val="MS"/>
    <w:basedOn w:val="Normal"/>
    <w:next w:val="MemoLine"/>
    <w:rsid w:val="00140B7C"/>
    <w:pPr>
      <w:suppressAutoHyphens/>
      <w:spacing w:after="480" w:line="240" w:lineRule="auto"/>
    </w:pPr>
    <w:rPr>
      <w:rFonts w:eastAsia="Times New Roman" w:cs="Times New Roman"/>
      <w:caps/>
      <w:szCs w:val="20"/>
    </w:rPr>
  </w:style>
  <w:style w:type="paragraph" w:customStyle="1" w:styleId="MemoLine">
    <w:name w:val="Memo Line"/>
    <w:aliases w:val="ML"/>
    <w:basedOn w:val="Normal"/>
    <w:next w:val="DoubleSpaceParagaph"/>
    <w:rsid w:val="00140B7C"/>
    <w:pPr>
      <w:suppressAutoHyphens/>
      <w:spacing w:after="120" w:line="240" w:lineRule="auto"/>
    </w:pPr>
    <w:rPr>
      <w:rFonts w:eastAsia="Times New Roman" w:cs="Times New Roman"/>
      <w:szCs w:val="20"/>
    </w:rPr>
  </w:style>
  <w:style w:type="paragraph" w:customStyle="1" w:styleId="MemoTo">
    <w:name w:val="Memo To"/>
    <w:aliases w:val="MT"/>
    <w:basedOn w:val="Normal"/>
    <w:next w:val="MemoAuthor"/>
    <w:rsid w:val="00140B7C"/>
    <w:pPr>
      <w:suppressAutoHyphens/>
      <w:spacing w:before="480" w:after="240" w:line="240" w:lineRule="auto"/>
    </w:pPr>
    <w:rPr>
      <w:rFonts w:eastAsia="Times New Roman" w:cs="Times New Roman"/>
      <w:szCs w:val="20"/>
    </w:rPr>
  </w:style>
  <w:style w:type="character" w:styleId="PageNumber">
    <w:name w:val="page number"/>
    <w:rsid w:val="00140B7C"/>
  </w:style>
  <w:style w:type="character" w:customStyle="1" w:styleId="ParaNum">
    <w:name w:val="ParaNum"/>
    <w:rsid w:val="00140B7C"/>
  </w:style>
  <w:style w:type="paragraph" w:customStyle="1" w:styleId="Quote1">
    <w:name w:val="Quote1"/>
    <w:aliases w:val="Q"/>
    <w:basedOn w:val="Normal"/>
    <w:next w:val="FlushLeftDouble"/>
    <w:rsid w:val="00140B7C"/>
    <w:pPr>
      <w:suppressAutoHyphens/>
      <w:spacing w:after="240" w:line="240" w:lineRule="auto"/>
      <w:ind w:left="2160" w:right="2160"/>
      <w:jc w:val="both"/>
    </w:pPr>
    <w:rPr>
      <w:rFonts w:eastAsia="Times New Roman" w:cs="Times New Roman"/>
      <w:szCs w:val="20"/>
    </w:rPr>
  </w:style>
  <w:style w:type="paragraph" w:customStyle="1" w:styleId="SignatureBlock">
    <w:name w:val="Signature Block"/>
    <w:aliases w:val="SB"/>
    <w:basedOn w:val="Normal"/>
    <w:next w:val="FlushLeft"/>
    <w:rsid w:val="00140B7C"/>
    <w:pPr>
      <w:pBdr>
        <w:top w:val="single" w:sz="4" w:space="1" w:color="auto"/>
      </w:pBdr>
      <w:suppressAutoHyphens/>
      <w:spacing w:after="720" w:line="240" w:lineRule="auto"/>
      <w:ind w:left="5040"/>
    </w:pPr>
    <w:rPr>
      <w:rFonts w:eastAsia="Times New Roman" w:cs="Times New Roman"/>
      <w:caps/>
      <w:szCs w:val="20"/>
    </w:rPr>
  </w:style>
  <w:style w:type="paragraph" w:customStyle="1" w:styleId="SingleSpaceHanging15">
    <w:name w:val="Single Space Hanging 1.5&quot;"/>
    <w:aliases w:val="SSH2"/>
    <w:basedOn w:val="Normal"/>
    <w:rsid w:val="00140B7C"/>
    <w:pPr>
      <w:suppressAutoHyphens/>
      <w:spacing w:after="240" w:line="240" w:lineRule="auto"/>
      <w:ind w:left="2880" w:hanging="720"/>
      <w:jc w:val="both"/>
    </w:pPr>
    <w:rPr>
      <w:rFonts w:eastAsia="Times New Roman" w:cs="Times New Roman"/>
      <w:szCs w:val="20"/>
    </w:rPr>
  </w:style>
  <w:style w:type="paragraph" w:customStyle="1" w:styleId="SingleSpaceParagraphwParaNum">
    <w:name w:val="Single Space Paragraph w/Para Num"/>
    <w:aliases w:val="SSN"/>
    <w:basedOn w:val="Normal"/>
    <w:rsid w:val="00140B7C"/>
    <w:pPr>
      <w:suppressAutoHyphens/>
      <w:spacing w:after="240" w:line="240" w:lineRule="auto"/>
      <w:ind w:firstLine="1440"/>
      <w:jc w:val="both"/>
    </w:pPr>
    <w:rPr>
      <w:rFonts w:eastAsia="Times New Roman" w:cs="Times New Roman"/>
      <w:szCs w:val="20"/>
    </w:rPr>
  </w:style>
  <w:style w:type="paragraph" w:customStyle="1" w:styleId="SSBlock">
    <w:name w:val="SS_Block"/>
    <w:aliases w:val="SSB"/>
    <w:basedOn w:val="Normal"/>
    <w:next w:val="DoubleSpaceParagaph"/>
    <w:rsid w:val="00140B7C"/>
    <w:pPr>
      <w:keepLines/>
      <w:tabs>
        <w:tab w:val="left" w:pos="3168"/>
        <w:tab w:val="left" w:pos="3600"/>
      </w:tabs>
      <w:suppressAutoHyphens/>
      <w:spacing w:before="240" w:after="480" w:line="240" w:lineRule="auto"/>
    </w:pPr>
    <w:rPr>
      <w:rFonts w:eastAsia="Times New Roman" w:cs="Times New Roman"/>
      <w:caps/>
      <w:szCs w:val="20"/>
    </w:rPr>
  </w:style>
  <w:style w:type="paragraph" w:customStyle="1" w:styleId="SubHeading">
    <w:name w:val="Sub Heading"/>
    <w:aliases w:val="SH"/>
    <w:basedOn w:val="Normal"/>
    <w:next w:val="DoubleSpaceParagaph"/>
    <w:rsid w:val="00140B7C"/>
    <w:pPr>
      <w:tabs>
        <w:tab w:val="num" w:pos="720"/>
        <w:tab w:val="right" w:pos="9360"/>
      </w:tabs>
      <w:suppressAutoHyphens/>
      <w:spacing w:after="240" w:line="240" w:lineRule="auto"/>
      <w:ind w:left="720" w:hanging="720"/>
      <w:jc w:val="both"/>
      <w:outlineLvl w:val="3"/>
    </w:pPr>
    <w:rPr>
      <w:rFonts w:ascii="Times New Roman Bold" w:eastAsia="Times New Roman" w:hAnsi="Times New Roman Bold" w:cs="Times New Roman"/>
      <w:b/>
      <w:szCs w:val="20"/>
    </w:rPr>
  </w:style>
  <w:style w:type="paragraph" w:styleId="TOAHeading">
    <w:name w:val="toa heading"/>
    <w:basedOn w:val="Normal"/>
    <w:next w:val="Normal"/>
    <w:rsid w:val="00140B7C"/>
    <w:pPr>
      <w:suppressAutoHyphens/>
      <w:spacing w:after="0" w:line="240" w:lineRule="auto"/>
    </w:pPr>
    <w:rPr>
      <w:rFonts w:eastAsia="Times New Roman" w:cs="Times New Roman"/>
      <w:b/>
      <w:szCs w:val="20"/>
    </w:rPr>
  </w:style>
  <w:style w:type="character" w:customStyle="1" w:styleId="CommentTextChar1">
    <w:name w:val="Comment Text Char1"/>
    <w:uiPriority w:val="99"/>
    <w:locked/>
    <w:rsid w:val="00140B7C"/>
  </w:style>
  <w:style w:type="character" w:customStyle="1" w:styleId="BalloonTextChar1">
    <w:name w:val="Balloon Text Char1"/>
    <w:rsid w:val="00140B7C"/>
    <w:rPr>
      <w:rFonts w:ascii="Tahoma" w:hAnsi="Tahoma"/>
      <w:sz w:val="16"/>
      <w:szCs w:val="16"/>
      <w:lang w:val="x-none" w:eastAsia="x-none"/>
    </w:rPr>
  </w:style>
  <w:style w:type="paragraph" w:customStyle="1" w:styleId="Style110">
    <w:name w:val="Style 11"/>
    <w:basedOn w:val="Normal"/>
    <w:rsid w:val="00140B7C"/>
    <w:pPr>
      <w:widowControl w:val="0"/>
      <w:autoSpaceDE w:val="0"/>
      <w:autoSpaceDN w:val="0"/>
      <w:spacing w:after="0" w:line="240" w:lineRule="auto"/>
      <w:jc w:val="center"/>
    </w:pPr>
    <w:rPr>
      <w:rFonts w:eastAsia="Times New Roman" w:cs="Times New Roman"/>
      <w:szCs w:val="24"/>
    </w:rPr>
  </w:style>
  <w:style w:type="paragraph" w:styleId="HTMLPreformatted">
    <w:name w:val="HTML Preformatted"/>
    <w:basedOn w:val="Normal"/>
    <w:link w:val="HTMLPreformattedChar"/>
    <w:rsid w:val="00140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140B7C"/>
    <w:rPr>
      <w:rFonts w:ascii="Courier New" w:eastAsia="Times New Roman" w:hAnsi="Courier New" w:cs="Times New Roman"/>
      <w:sz w:val="20"/>
      <w:szCs w:val="20"/>
      <w:lang w:val="x-none" w:eastAsia="x-none"/>
    </w:rPr>
  </w:style>
  <w:style w:type="paragraph" w:customStyle="1" w:styleId="NormalJustified">
    <w:name w:val="Normal + Justified"/>
    <w:aliases w:val="Left:  0.35&quot;"/>
    <w:basedOn w:val="Normal"/>
    <w:rsid w:val="00140B7C"/>
    <w:pPr>
      <w:widowControl w:val="0"/>
      <w:kinsoku w:val="0"/>
      <w:spacing w:after="0" w:line="240" w:lineRule="auto"/>
      <w:ind w:left="720"/>
      <w:jc w:val="both"/>
    </w:pPr>
    <w:rPr>
      <w:rFonts w:eastAsia="Times New Roman" w:cs="Times"/>
      <w:spacing w:val="7"/>
      <w:szCs w:val="19"/>
    </w:rPr>
  </w:style>
  <w:style w:type="table" w:customStyle="1" w:styleId="TableGrid5">
    <w:name w:val="Table Grid5"/>
    <w:basedOn w:val="TableNormal"/>
    <w:next w:val="TableGrid"/>
    <w:uiPriority w:val="59"/>
    <w:rsid w:val="00140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140B7C"/>
    <w:pPr>
      <w:widowControl w:val="0"/>
      <w:shd w:val="clear" w:color="auto" w:fill="000080"/>
      <w:kinsoku w:val="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140B7C"/>
    <w:rPr>
      <w:rFonts w:ascii="Tahoma" w:eastAsia="Times New Roman" w:hAnsi="Tahoma" w:cs="Tahoma"/>
      <w:sz w:val="20"/>
      <w:szCs w:val="20"/>
      <w:shd w:val="clear" w:color="auto" w:fill="000080"/>
    </w:rPr>
  </w:style>
  <w:style w:type="character" w:styleId="Emphasis">
    <w:name w:val="Emphasis"/>
    <w:qFormat/>
    <w:rsid w:val="00140B7C"/>
    <w:rPr>
      <w:i/>
      <w:iCs/>
    </w:rPr>
  </w:style>
  <w:style w:type="character" w:customStyle="1" w:styleId="CharChar2">
    <w:name w:val="Char Char2"/>
    <w:locked/>
    <w:rsid w:val="00140B7C"/>
    <w:rPr>
      <w:rFonts w:ascii="Tahoma" w:hAnsi="Tahoma" w:cs="Times New Roman"/>
      <w:sz w:val="16"/>
    </w:rPr>
  </w:style>
  <w:style w:type="character" w:customStyle="1" w:styleId="msoins0">
    <w:name w:val="msoins"/>
    <w:rsid w:val="00140B7C"/>
  </w:style>
  <w:style w:type="paragraph" w:customStyle="1" w:styleId="Level1">
    <w:name w:val="Level1"/>
    <w:basedOn w:val="Normal"/>
    <w:rsid w:val="00140B7C"/>
    <w:pPr>
      <w:spacing w:after="0" w:line="240" w:lineRule="auto"/>
    </w:pPr>
    <w:rPr>
      <w:rFonts w:eastAsia="Times New Roman" w:cs="Times New Roman"/>
      <w:szCs w:val="24"/>
    </w:rPr>
  </w:style>
  <w:style w:type="character" w:customStyle="1" w:styleId="apple-style-span">
    <w:name w:val="apple-style-span"/>
    <w:rsid w:val="00140B7C"/>
    <w:rPr>
      <w:rFonts w:cs="Times New Roman"/>
    </w:rPr>
  </w:style>
  <w:style w:type="paragraph" w:customStyle="1" w:styleId="NormalBold">
    <w:name w:val="Normal + Bold"/>
    <w:aliases w:val="Character scale: 105%,Condensed by  0.2 pt"/>
    <w:basedOn w:val="Normal"/>
    <w:link w:val="NormalBoldChar"/>
    <w:rsid w:val="00140B7C"/>
    <w:pPr>
      <w:widowControl w:val="0"/>
      <w:kinsoku w:val="0"/>
      <w:spacing w:before="108" w:after="0" w:line="198" w:lineRule="exact"/>
      <w:ind w:left="360"/>
    </w:pPr>
    <w:rPr>
      <w:rFonts w:eastAsia="Times New Roman" w:cs="Times New Roman"/>
      <w:b/>
      <w:bCs/>
      <w:spacing w:val="-4"/>
      <w:w w:val="110"/>
      <w:szCs w:val="24"/>
    </w:rPr>
  </w:style>
  <w:style w:type="character" w:customStyle="1" w:styleId="CharChar5">
    <w:name w:val="Char Char5"/>
    <w:rsid w:val="00140B7C"/>
    <w:rPr>
      <w:rFonts w:ascii="Tahoma" w:hAnsi="Tahoma" w:cs="Tahoma"/>
      <w:sz w:val="16"/>
      <w:szCs w:val="16"/>
    </w:rPr>
  </w:style>
  <w:style w:type="numbering" w:customStyle="1" w:styleId="NoList11">
    <w:name w:val="No List11"/>
    <w:next w:val="NoList"/>
    <w:semiHidden/>
    <w:rsid w:val="00140B7C"/>
  </w:style>
  <w:style w:type="paragraph" w:customStyle="1" w:styleId="ChapterHeader">
    <w:name w:val="Chapter Header"/>
    <w:rsid w:val="00140B7C"/>
    <w:pPr>
      <w:widowControl w:val="0"/>
      <w:autoSpaceDE w:val="0"/>
      <w:autoSpaceDN w:val="0"/>
      <w:adjustRightInd w:val="0"/>
      <w:spacing w:after="0" w:line="240" w:lineRule="auto"/>
      <w:ind w:left="360"/>
      <w:jc w:val="center"/>
    </w:pPr>
    <w:rPr>
      <w:rFonts w:ascii="Times New Roman" w:eastAsia="Times New Roman" w:hAnsi="Times New Roman" w:cs="Times New Roman"/>
      <w:b/>
      <w:sz w:val="18"/>
      <w:szCs w:val="20"/>
    </w:rPr>
  </w:style>
  <w:style w:type="paragraph" w:styleId="PlainText">
    <w:name w:val="Plain Text"/>
    <w:basedOn w:val="Normal"/>
    <w:link w:val="PlainTextChar"/>
    <w:uiPriority w:val="99"/>
    <w:unhideWhenUsed/>
    <w:rsid w:val="00140B7C"/>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140B7C"/>
    <w:rPr>
      <w:rFonts w:ascii="Consolas" w:eastAsia="Times New Roman" w:hAnsi="Consolas" w:cs="Consolas"/>
      <w:sz w:val="21"/>
      <w:szCs w:val="21"/>
    </w:rPr>
  </w:style>
  <w:style w:type="paragraph" w:customStyle="1" w:styleId="NormalCondensedby015pt">
    <w:name w:val="Normal + Condensed by  0.15 pt"/>
    <w:basedOn w:val="Normal"/>
    <w:link w:val="NormalCondensedby015ptChar"/>
    <w:rsid w:val="00140B7C"/>
    <w:pPr>
      <w:widowControl w:val="0"/>
      <w:kinsoku w:val="0"/>
      <w:spacing w:after="0" w:line="240" w:lineRule="auto"/>
      <w:jc w:val="both"/>
    </w:pPr>
    <w:rPr>
      <w:rFonts w:eastAsia="Times New Roman" w:cs="Times New Roman"/>
      <w:spacing w:val="-6"/>
      <w:w w:val="115"/>
      <w:szCs w:val="24"/>
    </w:rPr>
  </w:style>
  <w:style w:type="character" w:customStyle="1" w:styleId="NormalCondensedby015ptChar">
    <w:name w:val="Normal + Condensed by  0.15 pt Char"/>
    <w:link w:val="NormalCondensedby015pt"/>
    <w:rsid w:val="00140B7C"/>
    <w:rPr>
      <w:rFonts w:ascii="Times New Roman" w:eastAsia="Times New Roman" w:hAnsi="Times New Roman" w:cs="Times New Roman"/>
      <w:spacing w:val="-6"/>
      <w:w w:val="115"/>
      <w:sz w:val="24"/>
      <w:szCs w:val="24"/>
    </w:rPr>
  </w:style>
  <w:style w:type="character" w:customStyle="1" w:styleId="NormalBoldChar">
    <w:name w:val="Normal + Bold Char"/>
    <w:aliases w:val="Character scale: 105% Char,Condensed by  0.2 pt Char"/>
    <w:link w:val="NormalBold"/>
    <w:rsid w:val="00140B7C"/>
    <w:rPr>
      <w:rFonts w:ascii="Times New Roman" w:eastAsia="Times New Roman" w:hAnsi="Times New Roman" w:cs="Times New Roman"/>
      <w:b/>
      <w:bCs/>
      <w:spacing w:val="-4"/>
      <w:w w:val="110"/>
      <w:sz w:val="24"/>
      <w:szCs w:val="24"/>
    </w:rPr>
  </w:style>
  <w:style w:type="paragraph" w:styleId="ListBullet">
    <w:name w:val="List Bullet"/>
    <w:basedOn w:val="Normal"/>
    <w:rsid w:val="00140B7C"/>
    <w:pPr>
      <w:suppressAutoHyphens/>
      <w:spacing w:after="0" w:line="240" w:lineRule="auto"/>
    </w:pPr>
    <w:rPr>
      <w:rFonts w:eastAsia="Times New Roman" w:cs="Times New Roman"/>
      <w:szCs w:val="20"/>
    </w:rPr>
  </w:style>
  <w:style w:type="paragraph" w:customStyle="1" w:styleId="NormalTimes">
    <w:name w:val="Normal + Times"/>
    <w:aliases w:val="Left:  0.37&quot;,Right:  0.03&quot;,Before:  3.6 pt,Condensed by  0..."/>
    <w:basedOn w:val="Normal"/>
    <w:rsid w:val="00140B7C"/>
    <w:pPr>
      <w:widowControl w:val="0"/>
      <w:kinsoku w:val="0"/>
      <w:spacing w:before="72" w:after="0" w:line="219" w:lineRule="exact"/>
      <w:ind w:left="360"/>
      <w:jc w:val="both"/>
    </w:pPr>
    <w:rPr>
      <w:rFonts w:eastAsia="Times New Roman" w:cs="Times New Roman"/>
      <w:b/>
      <w:bCs/>
      <w:spacing w:val="-1"/>
      <w:w w:val="110"/>
      <w:szCs w:val="24"/>
      <w:u w:val="single"/>
    </w:rPr>
  </w:style>
  <w:style w:type="character" w:styleId="FollowedHyperlink">
    <w:name w:val="FollowedHyperlink"/>
    <w:rsid w:val="00140B7C"/>
    <w:rPr>
      <w:color w:val="800080"/>
      <w:u w:val="single"/>
    </w:rPr>
  </w:style>
  <w:style w:type="paragraph" w:customStyle="1" w:styleId="NormalExpandedby03pt">
    <w:name w:val="Normal + Expanded by  0.3 pt"/>
    <w:basedOn w:val="Normal"/>
    <w:rsid w:val="00140B7C"/>
    <w:pPr>
      <w:widowControl w:val="0"/>
      <w:kinsoku w:val="0"/>
      <w:spacing w:after="0" w:line="240" w:lineRule="auto"/>
    </w:pPr>
    <w:rPr>
      <w:rFonts w:eastAsia="Calibri" w:cs="Times New Roman"/>
      <w:b/>
      <w:bCs/>
      <w:spacing w:val="6"/>
      <w:w w:val="110"/>
      <w:szCs w:val="24"/>
    </w:rPr>
  </w:style>
  <w:style w:type="paragraph" w:customStyle="1" w:styleId="NormalExpandedby055pt">
    <w:name w:val="Normal + Expanded by  0.55 pt"/>
    <w:basedOn w:val="NormalExpandedby03pt"/>
    <w:rsid w:val="00140B7C"/>
  </w:style>
  <w:style w:type="character" w:customStyle="1" w:styleId="CharacterStyle1">
    <w:name w:val="Character Style 1"/>
    <w:rsid w:val="00140B7C"/>
    <w:rPr>
      <w:rFonts w:ascii="Times" w:hAnsi="Times" w:cs="Times" w:hint="default"/>
      <w:sz w:val="19"/>
    </w:rPr>
  </w:style>
  <w:style w:type="paragraph" w:customStyle="1" w:styleId="Normal3">
    <w:name w:val="Normal+3"/>
    <w:basedOn w:val="Default"/>
    <w:next w:val="Default"/>
    <w:rsid w:val="00140B7C"/>
    <w:rPr>
      <w:rFonts w:ascii="Times New Roman" w:hAnsi="Times New Roman" w:cs="Times New Roman"/>
      <w:color w:val="auto"/>
    </w:rPr>
  </w:style>
  <w:style w:type="paragraph" w:customStyle="1" w:styleId="Normal12">
    <w:name w:val="Normal+12"/>
    <w:basedOn w:val="Default"/>
    <w:next w:val="Default"/>
    <w:rsid w:val="00140B7C"/>
    <w:rPr>
      <w:rFonts w:ascii="Times New Roman" w:hAnsi="Times New Roman" w:cs="Times New Roman"/>
      <w:color w:val="auto"/>
    </w:rPr>
  </w:style>
  <w:style w:type="character" w:customStyle="1" w:styleId="apple-converted-space">
    <w:name w:val="apple-converted-space"/>
    <w:rsid w:val="00140B7C"/>
  </w:style>
  <w:style w:type="paragraph" w:customStyle="1" w:styleId="Indent1">
    <w:name w:val="Indent 1"/>
    <w:basedOn w:val="Normal"/>
    <w:rsid w:val="00140B7C"/>
    <w:pPr>
      <w:widowControl w:val="0"/>
      <w:kinsoku w:val="0"/>
      <w:spacing w:after="240" w:line="240" w:lineRule="auto"/>
      <w:jc w:val="both"/>
    </w:pPr>
    <w:rPr>
      <w:rFonts w:eastAsia="Times New Roman" w:cs="Times New Roman"/>
      <w:bCs/>
      <w:spacing w:val="-3"/>
      <w:w w:val="105"/>
      <w:szCs w:val="24"/>
    </w:rPr>
  </w:style>
  <w:style w:type="paragraph" w:customStyle="1" w:styleId="Indent2">
    <w:name w:val="Indent 2"/>
    <w:basedOn w:val="Normal"/>
    <w:rsid w:val="00140B7C"/>
    <w:pPr>
      <w:widowControl w:val="0"/>
      <w:tabs>
        <w:tab w:val="num" w:pos="288"/>
      </w:tabs>
      <w:kinsoku w:val="0"/>
      <w:spacing w:after="240" w:line="240" w:lineRule="auto"/>
      <w:ind w:left="648" w:hanging="288"/>
      <w:jc w:val="both"/>
    </w:pPr>
    <w:rPr>
      <w:rFonts w:eastAsia="Times New Roman" w:cs="Times New Roman"/>
      <w:spacing w:val="2"/>
      <w:szCs w:val="24"/>
    </w:rPr>
  </w:style>
  <w:style w:type="paragraph" w:customStyle="1" w:styleId="Indent2-1">
    <w:name w:val="Indent 2-1"/>
    <w:basedOn w:val="Normal"/>
    <w:link w:val="Indent2-1Char"/>
    <w:rsid w:val="00140B7C"/>
    <w:pPr>
      <w:widowControl w:val="0"/>
      <w:kinsoku w:val="0"/>
      <w:spacing w:after="240" w:line="240" w:lineRule="auto"/>
      <w:ind w:left="720"/>
      <w:jc w:val="both"/>
    </w:pPr>
    <w:rPr>
      <w:rFonts w:eastAsia="Times New Roman" w:cs="Times New Roman"/>
      <w:spacing w:val="1"/>
      <w:szCs w:val="24"/>
    </w:rPr>
  </w:style>
  <w:style w:type="paragraph" w:customStyle="1" w:styleId="Indent1-0">
    <w:name w:val="Indent 1 -"/>
    <w:basedOn w:val="Normal"/>
    <w:rsid w:val="00140B7C"/>
    <w:pPr>
      <w:widowControl w:val="0"/>
      <w:numPr>
        <w:numId w:val="12"/>
      </w:numPr>
      <w:kinsoku w:val="0"/>
      <w:spacing w:after="240" w:line="240" w:lineRule="auto"/>
    </w:pPr>
    <w:rPr>
      <w:rFonts w:eastAsia="Times New Roman" w:cs="Times New Roman"/>
      <w:spacing w:val="-3"/>
      <w:szCs w:val="24"/>
      <w:u w:val="single"/>
    </w:rPr>
  </w:style>
  <w:style w:type="paragraph" w:customStyle="1" w:styleId="Indent3">
    <w:name w:val="Indent 3"/>
    <w:basedOn w:val="Indent2-1"/>
    <w:rsid w:val="00140B7C"/>
    <w:pPr>
      <w:ind w:left="1440"/>
    </w:pPr>
  </w:style>
  <w:style w:type="paragraph" w:customStyle="1" w:styleId="Indenta-1">
    <w:name w:val="Indent a -1"/>
    <w:basedOn w:val="Normal"/>
    <w:rsid w:val="00140B7C"/>
    <w:pPr>
      <w:widowControl w:val="0"/>
      <w:numPr>
        <w:numId w:val="11"/>
      </w:numPr>
      <w:kinsoku w:val="0"/>
      <w:spacing w:after="240" w:line="240" w:lineRule="auto"/>
    </w:pPr>
    <w:rPr>
      <w:rFonts w:eastAsia="Times New Roman" w:cs="Times New Roman"/>
      <w:spacing w:val="2"/>
      <w:szCs w:val="24"/>
    </w:rPr>
  </w:style>
  <w:style w:type="paragraph" w:customStyle="1" w:styleId="Indent4">
    <w:name w:val="Indent 4"/>
    <w:basedOn w:val="Indent3"/>
    <w:rsid w:val="00140B7C"/>
    <w:pPr>
      <w:ind w:left="2160"/>
    </w:pPr>
    <w:rPr>
      <w:spacing w:val="-3"/>
    </w:rPr>
  </w:style>
  <w:style w:type="paragraph" w:customStyle="1" w:styleId="Indent1-">
    <w:name w:val="Indent 1-"/>
    <w:basedOn w:val="Indent2"/>
    <w:rsid w:val="00140B7C"/>
    <w:pPr>
      <w:numPr>
        <w:numId w:val="10"/>
      </w:numPr>
      <w:tabs>
        <w:tab w:val="clear" w:pos="288"/>
        <w:tab w:val="num" w:pos="1440"/>
      </w:tabs>
      <w:ind w:left="1440" w:hanging="720"/>
    </w:pPr>
  </w:style>
  <w:style w:type="character" w:customStyle="1" w:styleId="HeadingCapsChar">
    <w:name w:val="Heading Caps Char"/>
    <w:aliases w:val="HCC Char"/>
    <w:link w:val="HeadingCaps"/>
    <w:rsid w:val="00140B7C"/>
    <w:rPr>
      <w:rFonts w:ascii="Times New Roman Bold" w:eastAsia="Times New Roman" w:hAnsi="Times New Roman Bold" w:cs="Times New Roman"/>
      <w:b/>
      <w:caps/>
      <w:sz w:val="24"/>
      <w:szCs w:val="20"/>
    </w:rPr>
  </w:style>
  <w:style w:type="paragraph" w:customStyle="1" w:styleId="StyleIndent2Left05Hanging05">
    <w:name w:val="Style Indent 2 + Left:  0.5&quot; Hanging:  0.5&quot;"/>
    <w:basedOn w:val="Indent2"/>
    <w:rsid w:val="00140B7C"/>
    <w:pPr>
      <w:ind w:left="576"/>
    </w:pPr>
    <w:rPr>
      <w:spacing w:val="0"/>
      <w:szCs w:val="20"/>
    </w:rPr>
  </w:style>
  <w:style w:type="paragraph" w:customStyle="1" w:styleId="StyleStyleIndent2Left05Hanging05Left025H">
    <w:name w:val="Style Style Indent 2 + Left:  0.5&quot; Hanging:  0.5&quot; + Left:  0.25&quot; H..."/>
    <w:basedOn w:val="StyleIndent2Left05Hanging05"/>
    <w:rsid w:val="00140B7C"/>
    <w:pPr>
      <w:ind w:left="720" w:hanging="360"/>
    </w:pPr>
  </w:style>
  <w:style w:type="paragraph" w:customStyle="1" w:styleId="StyleIndent2-1Bold">
    <w:name w:val="Style Indent 2-1 + Bold"/>
    <w:basedOn w:val="Indent2-1"/>
    <w:link w:val="StyleIndent2-1BoldChar"/>
    <w:rsid w:val="00140B7C"/>
    <w:pPr>
      <w:ind w:left="360"/>
    </w:pPr>
    <w:rPr>
      <w:b/>
      <w:bCs/>
      <w:spacing w:val="0"/>
    </w:rPr>
  </w:style>
  <w:style w:type="character" w:customStyle="1" w:styleId="Indent2-1Char">
    <w:name w:val="Indent 2-1 Char"/>
    <w:link w:val="Indent2-1"/>
    <w:rsid w:val="00140B7C"/>
    <w:rPr>
      <w:rFonts w:ascii="Times New Roman" w:eastAsia="Times New Roman" w:hAnsi="Times New Roman" w:cs="Times New Roman"/>
      <w:spacing w:val="1"/>
      <w:sz w:val="24"/>
      <w:szCs w:val="24"/>
    </w:rPr>
  </w:style>
  <w:style w:type="character" w:customStyle="1" w:styleId="StyleIndent2-1BoldChar">
    <w:name w:val="Style Indent 2-1 + Bold Char"/>
    <w:link w:val="StyleIndent2-1Bold"/>
    <w:rsid w:val="00140B7C"/>
    <w:rPr>
      <w:rFonts w:ascii="Times New Roman" w:eastAsia="Times New Roman" w:hAnsi="Times New Roman" w:cs="Times New Roman"/>
      <w:b/>
      <w:bCs/>
      <w:sz w:val="24"/>
      <w:szCs w:val="24"/>
    </w:rPr>
  </w:style>
  <w:style w:type="paragraph" w:customStyle="1" w:styleId="StyleIndent2-1NotExpandedbyCondensedby">
    <w:name w:val="Style Indent 2-1 + Not Expanded by / Condensed by"/>
    <w:basedOn w:val="Indent2-1"/>
    <w:link w:val="StyleIndent2-1NotExpandedbyCondensedbyChar"/>
    <w:autoRedefine/>
    <w:rsid w:val="00140B7C"/>
    <w:pPr>
      <w:ind w:left="360"/>
    </w:pPr>
  </w:style>
  <w:style w:type="character" w:customStyle="1" w:styleId="StyleIndent2-1NotExpandedbyCondensedbyChar">
    <w:name w:val="Style Indent 2-1 + Not Expanded by / Condensed by Char"/>
    <w:link w:val="StyleIndent2-1NotExpandedbyCondensedby"/>
    <w:rsid w:val="00140B7C"/>
    <w:rPr>
      <w:rFonts w:ascii="Times New Roman" w:eastAsia="Times New Roman" w:hAnsi="Times New Roman" w:cs="Times New Roman"/>
      <w:spacing w:val="1"/>
      <w:sz w:val="24"/>
      <w:szCs w:val="24"/>
    </w:rPr>
  </w:style>
  <w:style w:type="paragraph" w:customStyle="1" w:styleId="a2st">
    <w:name w:val="a2st"/>
    <w:basedOn w:val="Normal"/>
    <w:rsid w:val="00140B7C"/>
    <w:pPr>
      <w:widowControl w:val="0"/>
      <w:numPr>
        <w:numId w:val="14"/>
      </w:numPr>
      <w:kinsoku w:val="0"/>
      <w:spacing w:after="0" w:line="240" w:lineRule="auto"/>
    </w:pPr>
    <w:rPr>
      <w:rFonts w:ascii="Arial" w:eastAsia="Times New Roman" w:hAnsi="Arial" w:cs="Times New Roman"/>
      <w:sz w:val="28"/>
      <w:szCs w:val="24"/>
    </w:rPr>
  </w:style>
  <w:style w:type="character" w:customStyle="1" w:styleId="ssens">
    <w:name w:val="ssens"/>
    <w:rsid w:val="00140B7C"/>
  </w:style>
  <w:style w:type="numbering" w:styleId="ArticleSection">
    <w:name w:val="Outline List 3"/>
    <w:basedOn w:val="NoList"/>
    <w:rsid w:val="00140B7C"/>
    <w:pPr>
      <w:numPr>
        <w:numId w:val="13"/>
      </w:numPr>
    </w:pPr>
  </w:style>
  <w:style w:type="paragraph" w:styleId="BodyText3">
    <w:name w:val="Body Text 3"/>
    <w:basedOn w:val="Normal"/>
    <w:link w:val="BodyText3Char"/>
    <w:rsid w:val="00140B7C"/>
    <w:pPr>
      <w:widowControl w:val="0"/>
      <w:kinsoku w:val="0"/>
      <w:spacing w:after="120" w:line="240" w:lineRule="auto"/>
    </w:pPr>
    <w:rPr>
      <w:rFonts w:eastAsia="Calibri" w:cs="Times New Roman"/>
      <w:sz w:val="16"/>
      <w:szCs w:val="16"/>
    </w:rPr>
  </w:style>
  <w:style w:type="character" w:customStyle="1" w:styleId="BodyText3Char">
    <w:name w:val="Body Text 3 Char"/>
    <w:basedOn w:val="DefaultParagraphFont"/>
    <w:link w:val="BodyText3"/>
    <w:rsid w:val="00140B7C"/>
    <w:rPr>
      <w:rFonts w:ascii="Times New Roman" w:eastAsia="Calibri" w:hAnsi="Times New Roman" w:cs="Times New Roman"/>
      <w:sz w:val="16"/>
      <w:szCs w:val="16"/>
    </w:rPr>
  </w:style>
  <w:style w:type="paragraph" w:customStyle="1" w:styleId="Normal34">
    <w:name w:val="Normal+34"/>
    <w:basedOn w:val="Normal"/>
    <w:next w:val="Normal"/>
    <w:rsid w:val="00140B7C"/>
    <w:pPr>
      <w:autoSpaceDE w:val="0"/>
      <w:autoSpaceDN w:val="0"/>
      <w:adjustRightInd w:val="0"/>
      <w:spacing w:after="0" w:line="240" w:lineRule="auto"/>
    </w:pPr>
    <w:rPr>
      <w:rFonts w:eastAsia="Calibri" w:cs="Times New Roman"/>
      <w:szCs w:val="24"/>
    </w:rPr>
  </w:style>
  <w:style w:type="paragraph" w:customStyle="1" w:styleId="IBC2009">
    <w:name w:val="IBC 2009"/>
    <w:basedOn w:val="Normal"/>
    <w:qFormat/>
    <w:rsid w:val="00140B7C"/>
    <w:pPr>
      <w:autoSpaceDE w:val="0"/>
      <w:autoSpaceDN w:val="0"/>
      <w:adjustRightInd w:val="0"/>
      <w:spacing w:before="72" w:after="0" w:line="220" w:lineRule="exact"/>
      <w:ind w:right="43"/>
      <w:jc w:val="both"/>
    </w:pPr>
    <w:rPr>
      <w:rFonts w:eastAsia="Times New Roman" w:cs="Times New Roman"/>
      <w:bCs/>
      <w:sz w:val="20"/>
      <w:szCs w:val="20"/>
    </w:rPr>
  </w:style>
  <w:style w:type="character" w:customStyle="1" w:styleId="documentbody1">
    <w:name w:val="documentbody1"/>
    <w:rsid w:val="00140B7C"/>
    <w:rPr>
      <w:rFonts w:ascii="Verdana" w:hAnsi="Verdana" w:hint="default"/>
      <w:sz w:val="19"/>
      <w:szCs w:val="19"/>
    </w:rPr>
  </w:style>
  <w:style w:type="paragraph" w:customStyle="1" w:styleId="Style31">
    <w:name w:val="Style 3+1"/>
    <w:basedOn w:val="Default"/>
    <w:next w:val="Default"/>
    <w:rsid w:val="00140B7C"/>
    <w:pPr>
      <w:spacing w:before="72"/>
    </w:pPr>
    <w:rPr>
      <w:rFonts w:ascii="Times New Roman" w:hAnsi="Times New Roman" w:cs="Times New Roman"/>
      <w:color w:val="auto"/>
    </w:rPr>
  </w:style>
  <w:style w:type="paragraph" w:customStyle="1" w:styleId="HeadingCapsUnderlineSS">
    <w:name w:val="Heading Caps Underline SS"/>
    <w:basedOn w:val="Normal"/>
    <w:rsid w:val="00140B7C"/>
    <w:pPr>
      <w:keepNext/>
      <w:suppressAutoHyphens/>
      <w:spacing w:after="0" w:line="240" w:lineRule="auto"/>
      <w:jc w:val="center"/>
      <w:outlineLvl w:val="0"/>
    </w:pPr>
    <w:rPr>
      <w:rFonts w:eastAsia="Times New Roman" w:cs="Times New Roman"/>
      <w:caps/>
      <w:szCs w:val="20"/>
      <w:u w:val="single"/>
    </w:rPr>
  </w:style>
  <w:style w:type="paragraph" w:customStyle="1" w:styleId="SubParagraph">
    <w:name w:val="SubParagraph"/>
    <w:basedOn w:val="Normal"/>
    <w:next w:val="Normal"/>
    <w:rsid w:val="00140B7C"/>
    <w:pPr>
      <w:autoSpaceDE w:val="0"/>
      <w:autoSpaceDN w:val="0"/>
      <w:adjustRightInd w:val="0"/>
      <w:spacing w:after="0" w:line="240" w:lineRule="auto"/>
    </w:pPr>
    <w:rPr>
      <w:rFonts w:eastAsia="Times New Roman" w:cs="Times New Roman"/>
      <w:szCs w:val="24"/>
    </w:rPr>
  </w:style>
  <w:style w:type="paragraph" w:customStyle="1" w:styleId="Style10">
    <w:name w:val="Style 1"/>
    <w:basedOn w:val="Normal"/>
    <w:rsid w:val="00140B7C"/>
    <w:pPr>
      <w:widowControl w:val="0"/>
      <w:tabs>
        <w:tab w:val="right" w:leader="dot" w:pos="8172"/>
      </w:tabs>
      <w:spacing w:after="0" w:line="216" w:lineRule="atLeast"/>
    </w:pPr>
    <w:rPr>
      <w:rFonts w:eastAsia="Times New Roman" w:cs="Times New Roman"/>
      <w:szCs w:val="20"/>
    </w:rPr>
  </w:style>
  <w:style w:type="paragraph" w:styleId="Title">
    <w:name w:val="Title"/>
    <w:basedOn w:val="Normal"/>
    <w:link w:val="TitleChar"/>
    <w:qFormat/>
    <w:rsid w:val="00140B7C"/>
    <w:pPr>
      <w:spacing w:after="0" w:line="240" w:lineRule="auto"/>
      <w:jc w:val="center"/>
    </w:pPr>
    <w:rPr>
      <w:rFonts w:eastAsia="Times New Roman" w:cs="Times New Roman"/>
      <w:b/>
      <w:szCs w:val="20"/>
    </w:rPr>
  </w:style>
  <w:style w:type="character" w:customStyle="1" w:styleId="TitleChar">
    <w:name w:val="Title Char"/>
    <w:basedOn w:val="DefaultParagraphFont"/>
    <w:link w:val="Title"/>
    <w:rsid w:val="00140B7C"/>
    <w:rPr>
      <w:rFonts w:ascii="Times New Roman" w:eastAsia="Times New Roman" w:hAnsi="Times New Roman" w:cs="Times New Roman"/>
      <w:b/>
      <w:sz w:val="24"/>
      <w:szCs w:val="20"/>
    </w:rPr>
  </w:style>
  <w:style w:type="paragraph" w:styleId="BodyTextIndent">
    <w:name w:val="Body Text Indent"/>
    <w:basedOn w:val="Normal"/>
    <w:link w:val="BodyTextIndentChar"/>
    <w:rsid w:val="00140B7C"/>
    <w:pPr>
      <w:autoSpaceDE w:val="0"/>
      <w:autoSpaceDN w:val="0"/>
      <w:adjustRightInd w:val="0"/>
      <w:spacing w:after="0" w:line="240" w:lineRule="auto"/>
      <w:ind w:left="1620" w:hanging="2070"/>
    </w:pPr>
    <w:rPr>
      <w:rFonts w:ascii="Times-Roman" w:eastAsia="Times New Roman" w:hAnsi="Times-Roman" w:cs="Times New Roman"/>
      <w:sz w:val="16"/>
      <w:szCs w:val="16"/>
    </w:rPr>
  </w:style>
  <w:style w:type="character" w:customStyle="1" w:styleId="BodyTextIndentChar">
    <w:name w:val="Body Text Indent Char"/>
    <w:basedOn w:val="DefaultParagraphFont"/>
    <w:link w:val="BodyTextIndent"/>
    <w:rsid w:val="00140B7C"/>
    <w:rPr>
      <w:rFonts w:ascii="Times-Roman" w:eastAsia="Times New Roman" w:hAnsi="Times-Roman" w:cs="Times New Roman"/>
      <w:sz w:val="16"/>
      <w:szCs w:val="16"/>
    </w:rPr>
  </w:style>
  <w:style w:type="paragraph" w:customStyle="1" w:styleId="Normal54">
    <w:name w:val="Normal+54"/>
    <w:basedOn w:val="Default"/>
    <w:next w:val="Default"/>
    <w:rsid w:val="00140B7C"/>
    <w:rPr>
      <w:rFonts w:ascii="Times New Roman" w:hAnsi="Times New Roman" w:cs="Times New Roman"/>
      <w:color w:val="auto"/>
    </w:rPr>
  </w:style>
  <w:style w:type="paragraph" w:styleId="BodyText2">
    <w:name w:val="Body Text 2"/>
    <w:basedOn w:val="Normal"/>
    <w:link w:val="BodyText2Char"/>
    <w:rsid w:val="00140B7C"/>
    <w:pPr>
      <w:spacing w:after="120" w:line="480" w:lineRule="auto"/>
    </w:pPr>
    <w:rPr>
      <w:rFonts w:eastAsia="Times New Roman" w:cs="Times New Roman"/>
      <w:sz w:val="20"/>
      <w:szCs w:val="20"/>
    </w:rPr>
  </w:style>
  <w:style w:type="character" w:customStyle="1" w:styleId="BodyText2Char">
    <w:name w:val="Body Text 2 Char"/>
    <w:basedOn w:val="DefaultParagraphFont"/>
    <w:link w:val="BodyText2"/>
    <w:rsid w:val="00140B7C"/>
    <w:rPr>
      <w:rFonts w:ascii="Times New Roman" w:eastAsia="Times New Roman" w:hAnsi="Times New Roman" w:cs="Times New Roman"/>
      <w:sz w:val="20"/>
      <w:szCs w:val="20"/>
    </w:rPr>
  </w:style>
  <w:style w:type="character" w:customStyle="1" w:styleId="desc1">
    <w:name w:val="desc1"/>
    <w:rsid w:val="00140B7C"/>
    <w:rPr>
      <w:sz w:val="15"/>
      <w:szCs w:val="15"/>
    </w:rPr>
  </w:style>
  <w:style w:type="character" w:customStyle="1" w:styleId="BalloonTextChar2">
    <w:name w:val="Balloon Text Char2"/>
    <w:rsid w:val="00140B7C"/>
    <w:rPr>
      <w:rFonts w:ascii="Tahoma" w:hAnsi="Tahoma" w:cs="Tahoma"/>
      <w:sz w:val="16"/>
      <w:szCs w:val="16"/>
    </w:rPr>
  </w:style>
  <w:style w:type="character" w:customStyle="1" w:styleId="CommentTextChar2">
    <w:name w:val="Comment Text Char2"/>
    <w:uiPriority w:val="99"/>
    <w:rsid w:val="00140B7C"/>
  </w:style>
  <w:style w:type="character" w:customStyle="1" w:styleId="FooterChar2">
    <w:name w:val="Footer Char2"/>
    <w:rsid w:val="00140B7C"/>
    <w:rPr>
      <w:sz w:val="15"/>
      <w:szCs w:val="15"/>
    </w:rPr>
  </w:style>
  <w:style w:type="character" w:customStyle="1" w:styleId="HeaderChar2">
    <w:name w:val="Header Char2"/>
    <w:rsid w:val="00140B7C"/>
    <w:rPr>
      <w:sz w:val="15"/>
      <w:szCs w:val="15"/>
    </w:rPr>
  </w:style>
  <w:style w:type="character" w:customStyle="1" w:styleId="BalloonTextChar3">
    <w:name w:val="Balloon Text Char3"/>
    <w:rsid w:val="00140B7C"/>
    <w:rPr>
      <w:rFonts w:ascii="Tahoma" w:hAnsi="Tahoma" w:cs="Tahoma"/>
      <w:sz w:val="16"/>
      <w:szCs w:val="16"/>
    </w:rPr>
  </w:style>
  <w:style w:type="character" w:customStyle="1" w:styleId="CommentTextChar3">
    <w:name w:val="Comment Text Char3"/>
    <w:rsid w:val="00140B7C"/>
  </w:style>
  <w:style w:type="character" w:customStyle="1" w:styleId="CommentSubjectChar2">
    <w:name w:val="Comment Subject Char2"/>
    <w:rsid w:val="00140B7C"/>
    <w:rPr>
      <w:b/>
      <w:bCs/>
    </w:rPr>
  </w:style>
  <w:style w:type="character" w:customStyle="1" w:styleId="FooterChar3">
    <w:name w:val="Footer Char3"/>
    <w:rsid w:val="00140B7C"/>
    <w:rPr>
      <w:sz w:val="15"/>
      <w:szCs w:val="15"/>
    </w:rPr>
  </w:style>
  <w:style w:type="character" w:customStyle="1" w:styleId="HeaderChar3">
    <w:name w:val="Header Char3"/>
    <w:rsid w:val="00140B7C"/>
    <w:rPr>
      <w:sz w:val="15"/>
      <w:szCs w:val="15"/>
    </w:rPr>
  </w:style>
  <w:style w:type="paragraph" w:customStyle="1" w:styleId="Bookstyle">
    <w:name w:val="Book style"/>
    <w:basedOn w:val="NoSpacing"/>
    <w:link w:val="BookstyleChar"/>
    <w:rsid w:val="00140B7C"/>
    <w:pPr>
      <w:widowControl/>
      <w:autoSpaceDE/>
      <w:autoSpaceDN/>
      <w:adjustRightInd/>
    </w:pPr>
    <w:rPr>
      <w:rFonts w:ascii="Book Antiqua" w:hAnsi="Book Antiqua" w:cs="Times New Roman"/>
      <w:color w:val="auto"/>
      <w:sz w:val="24"/>
    </w:rPr>
  </w:style>
  <w:style w:type="character" w:customStyle="1" w:styleId="BookstyleChar">
    <w:name w:val="Book style Char"/>
    <w:link w:val="Bookstyle"/>
    <w:locked/>
    <w:rsid w:val="00140B7C"/>
    <w:rPr>
      <w:rFonts w:ascii="Book Antiqua" w:eastAsia="Times New Roman" w:hAnsi="Book Antiqua" w:cs="Times New Roman"/>
      <w:sz w:val="24"/>
    </w:rPr>
  </w:style>
  <w:style w:type="numbering" w:customStyle="1" w:styleId="NoList7">
    <w:name w:val="No List7"/>
    <w:next w:val="NoList"/>
    <w:uiPriority w:val="99"/>
    <w:semiHidden/>
    <w:unhideWhenUsed/>
    <w:rsid w:val="00140B7C"/>
  </w:style>
  <w:style w:type="numbering" w:customStyle="1" w:styleId="NoList8">
    <w:name w:val="No List8"/>
    <w:next w:val="NoList"/>
    <w:uiPriority w:val="99"/>
    <w:semiHidden/>
    <w:unhideWhenUsed/>
    <w:rsid w:val="00140B7C"/>
  </w:style>
  <w:style w:type="numbering" w:customStyle="1" w:styleId="NoList12">
    <w:name w:val="No List12"/>
    <w:next w:val="NoList"/>
    <w:uiPriority w:val="99"/>
    <w:semiHidden/>
    <w:unhideWhenUsed/>
    <w:rsid w:val="00140B7C"/>
  </w:style>
  <w:style w:type="numbering" w:customStyle="1" w:styleId="NoList9">
    <w:name w:val="No List9"/>
    <w:next w:val="NoList"/>
    <w:uiPriority w:val="99"/>
    <w:semiHidden/>
    <w:unhideWhenUsed/>
    <w:rsid w:val="00140B7C"/>
  </w:style>
  <w:style w:type="paragraph" w:styleId="List">
    <w:name w:val="List"/>
    <w:basedOn w:val="Normal"/>
    <w:rsid w:val="00140B7C"/>
    <w:pPr>
      <w:widowControl w:val="0"/>
      <w:kinsoku w:val="0"/>
      <w:spacing w:after="0" w:line="240" w:lineRule="auto"/>
      <w:ind w:left="360" w:hanging="360"/>
    </w:pPr>
    <w:rPr>
      <w:rFonts w:eastAsia="Times New Roman" w:cs="Times New Roman"/>
      <w:szCs w:val="24"/>
    </w:rPr>
  </w:style>
  <w:style w:type="paragraph" w:styleId="List2">
    <w:name w:val="List 2"/>
    <w:basedOn w:val="Normal"/>
    <w:rsid w:val="00140B7C"/>
    <w:pPr>
      <w:widowControl w:val="0"/>
      <w:kinsoku w:val="0"/>
      <w:spacing w:after="0" w:line="240" w:lineRule="auto"/>
      <w:ind w:left="720" w:hanging="360"/>
    </w:pPr>
    <w:rPr>
      <w:rFonts w:eastAsia="Times New Roman" w:cs="Times New Roman"/>
      <w:szCs w:val="24"/>
    </w:rPr>
  </w:style>
  <w:style w:type="paragraph" w:styleId="List3">
    <w:name w:val="List 3"/>
    <w:basedOn w:val="Normal"/>
    <w:rsid w:val="00140B7C"/>
    <w:pPr>
      <w:widowControl w:val="0"/>
      <w:kinsoku w:val="0"/>
      <w:spacing w:after="0" w:line="240" w:lineRule="auto"/>
      <w:ind w:left="1080" w:hanging="360"/>
    </w:pPr>
    <w:rPr>
      <w:rFonts w:eastAsia="Times New Roman" w:cs="Times New Roman"/>
      <w:szCs w:val="24"/>
    </w:rPr>
  </w:style>
  <w:style w:type="paragraph" w:styleId="List4">
    <w:name w:val="List 4"/>
    <w:basedOn w:val="Normal"/>
    <w:rsid w:val="00140B7C"/>
    <w:pPr>
      <w:widowControl w:val="0"/>
      <w:kinsoku w:val="0"/>
      <w:spacing w:after="0" w:line="240" w:lineRule="auto"/>
      <w:ind w:left="1440" w:hanging="360"/>
    </w:pPr>
    <w:rPr>
      <w:rFonts w:eastAsia="Times New Roman" w:cs="Times New Roman"/>
      <w:szCs w:val="24"/>
    </w:rPr>
  </w:style>
  <w:style w:type="paragraph" w:styleId="List5">
    <w:name w:val="List 5"/>
    <w:basedOn w:val="Normal"/>
    <w:rsid w:val="00140B7C"/>
    <w:pPr>
      <w:widowControl w:val="0"/>
      <w:kinsoku w:val="0"/>
      <w:spacing w:after="0" w:line="240" w:lineRule="auto"/>
      <w:ind w:left="1800" w:hanging="360"/>
    </w:pPr>
    <w:rPr>
      <w:rFonts w:eastAsia="Times New Roman" w:cs="Times New Roman"/>
      <w:szCs w:val="24"/>
    </w:rPr>
  </w:style>
  <w:style w:type="paragraph" w:styleId="ListContinue">
    <w:name w:val="List Continue"/>
    <w:basedOn w:val="Normal"/>
    <w:rsid w:val="00140B7C"/>
    <w:pPr>
      <w:widowControl w:val="0"/>
      <w:kinsoku w:val="0"/>
      <w:spacing w:after="120" w:line="240" w:lineRule="auto"/>
      <w:ind w:left="360"/>
    </w:pPr>
    <w:rPr>
      <w:rFonts w:eastAsia="Times New Roman" w:cs="Times New Roman"/>
      <w:szCs w:val="24"/>
    </w:rPr>
  </w:style>
  <w:style w:type="paragraph" w:styleId="ListContinue2">
    <w:name w:val="List Continue 2"/>
    <w:basedOn w:val="Normal"/>
    <w:rsid w:val="00140B7C"/>
    <w:pPr>
      <w:widowControl w:val="0"/>
      <w:kinsoku w:val="0"/>
      <w:spacing w:after="120" w:line="240" w:lineRule="auto"/>
      <w:ind w:left="720"/>
    </w:pPr>
    <w:rPr>
      <w:rFonts w:eastAsia="Times New Roman" w:cs="Times New Roman"/>
      <w:szCs w:val="24"/>
    </w:rPr>
  </w:style>
  <w:style w:type="paragraph" w:styleId="ListContinue3">
    <w:name w:val="List Continue 3"/>
    <w:basedOn w:val="Normal"/>
    <w:rsid w:val="00140B7C"/>
    <w:pPr>
      <w:widowControl w:val="0"/>
      <w:kinsoku w:val="0"/>
      <w:spacing w:after="120" w:line="240" w:lineRule="auto"/>
      <w:ind w:left="1080"/>
    </w:pPr>
    <w:rPr>
      <w:rFonts w:eastAsia="Times New Roman" w:cs="Times New Roman"/>
      <w:szCs w:val="24"/>
    </w:rPr>
  </w:style>
  <w:style w:type="paragraph" w:styleId="BodyTextFirstIndent">
    <w:name w:val="Body Text First Indent"/>
    <w:basedOn w:val="BodyText"/>
    <w:link w:val="BodyTextFirstIndentChar"/>
    <w:rsid w:val="00140B7C"/>
    <w:pPr>
      <w:widowControl w:val="0"/>
      <w:suppressAutoHyphens w:val="0"/>
      <w:kinsoku w:val="0"/>
      <w:ind w:firstLine="210"/>
    </w:pPr>
    <w:rPr>
      <w:szCs w:val="24"/>
    </w:rPr>
  </w:style>
  <w:style w:type="character" w:customStyle="1" w:styleId="BodyTextFirstIndentChar">
    <w:name w:val="Body Text First Indent Char"/>
    <w:basedOn w:val="BodyTextChar"/>
    <w:link w:val="BodyTextFirstIndent"/>
    <w:rsid w:val="00140B7C"/>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140B7C"/>
    <w:pPr>
      <w:widowControl w:val="0"/>
      <w:kinsoku w:val="0"/>
      <w:autoSpaceDE/>
      <w:autoSpaceDN/>
      <w:adjustRightInd/>
      <w:spacing w:after="120"/>
      <w:ind w:left="360" w:firstLine="210"/>
    </w:pPr>
    <w:rPr>
      <w:rFonts w:ascii="Times New Roman" w:hAnsi="Times New Roman"/>
      <w:sz w:val="24"/>
      <w:szCs w:val="24"/>
    </w:rPr>
  </w:style>
  <w:style w:type="character" w:customStyle="1" w:styleId="BodyTextFirstIndent2Char">
    <w:name w:val="Body Text First Indent 2 Char"/>
    <w:basedOn w:val="BodyTextIndentChar"/>
    <w:link w:val="BodyTextFirstIndent2"/>
    <w:rsid w:val="00140B7C"/>
    <w:rPr>
      <w:rFonts w:ascii="Times New Roman" w:eastAsia="Times New Roman" w:hAnsi="Times New Roman" w:cs="Times New Roman"/>
      <w:sz w:val="24"/>
      <w:szCs w:val="24"/>
    </w:rPr>
  </w:style>
  <w:style w:type="numbering" w:customStyle="1" w:styleId="NoList10">
    <w:name w:val="No List10"/>
    <w:next w:val="NoList"/>
    <w:uiPriority w:val="99"/>
    <w:semiHidden/>
    <w:unhideWhenUsed/>
    <w:rsid w:val="00140B7C"/>
  </w:style>
  <w:style w:type="table" w:customStyle="1" w:styleId="TableGrid6">
    <w:name w:val="Table Grid6"/>
    <w:basedOn w:val="TableNormal"/>
    <w:next w:val="TableGrid"/>
    <w:rsid w:val="00140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140B7C"/>
  </w:style>
  <w:style w:type="numbering" w:customStyle="1" w:styleId="ArticleSection1">
    <w:name w:val="Article / Section1"/>
    <w:basedOn w:val="NoList"/>
    <w:next w:val="ArticleSection"/>
    <w:rsid w:val="00140B7C"/>
    <w:pPr>
      <w:numPr>
        <w:numId w:val="1"/>
      </w:numPr>
    </w:pPr>
  </w:style>
  <w:style w:type="table" w:customStyle="1" w:styleId="TableGrid12">
    <w:name w:val="Table Grid12"/>
    <w:basedOn w:val="TableNormal"/>
    <w:next w:val="TableGrid"/>
    <w:uiPriority w:val="39"/>
    <w:rsid w:val="00140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40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40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40B7C"/>
  </w:style>
  <w:style w:type="numbering" w:customStyle="1" w:styleId="Style11">
    <w:name w:val="Style11"/>
    <w:uiPriority w:val="99"/>
    <w:rsid w:val="00140B7C"/>
    <w:pPr>
      <w:numPr>
        <w:numId w:val="16"/>
      </w:numPr>
    </w:pPr>
  </w:style>
  <w:style w:type="character" w:customStyle="1" w:styleId="st">
    <w:name w:val="st"/>
    <w:basedOn w:val="DefaultParagraphFont"/>
    <w:rsid w:val="00140B7C"/>
  </w:style>
  <w:style w:type="numbering" w:customStyle="1" w:styleId="NoList15">
    <w:name w:val="No List15"/>
    <w:next w:val="NoList"/>
    <w:uiPriority w:val="99"/>
    <w:semiHidden/>
    <w:unhideWhenUsed/>
    <w:rsid w:val="00140B7C"/>
  </w:style>
  <w:style w:type="character" w:customStyle="1" w:styleId="UnresolvedMention1">
    <w:name w:val="Unresolved Mention1"/>
    <w:basedOn w:val="DefaultParagraphFont"/>
    <w:uiPriority w:val="99"/>
    <w:semiHidden/>
    <w:unhideWhenUsed/>
    <w:rsid w:val="00140B7C"/>
    <w:rPr>
      <w:color w:val="605E5C"/>
      <w:shd w:val="clear" w:color="auto" w:fill="E1DFDD"/>
    </w:rPr>
  </w:style>
  <w:style w:type="numbering" w:customStyle="1" w:styleId="NoList21">
    <w:name w:val="No List21"/>
    <w:next w:val="NoList"/>
    <w:uiPriority w:val="99"/>
    <w:semiHidden/>
    <w:unhideWhenUsed/>
    <w:rsid w:val="00140B7C"/>
  </w:style>
  <w:style w:type="table" w:customStyle="1" w:styleId="TableGrid8">
    <w:name w:val="Table Grid8"/>
    <w:basedOn w:val="TableNormal"/>
    <w:next w:val="TableGrid"/>
    <w:rsid w:val="00140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140B7C"/>
  </w:style>
  <w:style w:type="numbering" w:customStyle="1" w:styleId="ArticleSection2">
    <w:name w:val="Article / Section2"/>
    <w:basedOn w:val="NoList"/>
    <w:next w:val="ArticleSection"/>
    <w:rsid w:val="00140B7C"/>
    <w:pPr>
      <w:numPr>
        <w:numId w:val="5"/>
      </w:numPr>
    </w:pPr>
  </w:style>
  <w:style w:type="paragraph" w:customStyle="1" w:styleId="block1">
    <w:name w:val="block1"/>
    <w:basedOn w:val="Normal"/>
    <w:rsid w:val="00140B7C"/>
    <w:pPr>
      <w:spacing w:before="100" w:beforeAutospacing="1" w:after="100" w:afterAutospacing="1" w:line="240" w:lineRule="auto"/>
    </w:pPr>
    <w:rPr>
      <w:rFonts w:eastAsia="Times New Roman" w:cs="Times New Roman"/>
      <w:szCs w:val="24"/>
    </w:rPr>
  </w:style>
  <w:style w:type="character" w:customStyle="1" w:styleId="highlight">
    <w:name w:val="highlight"/>
    <w:basedOn w:val="DefaultParagraphFont"/>
    <w:rsid w:val="00140B7C"/>
  </w:style>
  <w:style w:type="character" w:customStyle="1" w:styleId="UnresolvedMention2">
    <w:name w:val="Unresolved Mention2"/>
    <w:basedOn w:val="DefaultParagraphFont"/>
    <w:uiPriority w:val="99"/>
    <w:semiHidden/>
    <w:unhideWhenUsed/>
    <w:rsid w:val="00140B7C"/>
    <w:rPr>
      <w:color w:val="605E5C"/>
      <w:shd w:val="clear" w:color="auto" w:fill="E1DFDD"/>
    </w:rPr>
  </w:style>
  <w:style w:type="numbering" w:customStyle="1" w:styleId="NoList16">
    <w:name w:val="No List16"/>
    <w:next w:val="NoList"/>
    <w:uiPriority w:val="99"/>
    <w:semiHidden/>
    <w:unhideWhenUsed/>
    <w:rsid w:val="00140B7C"/>
  </w:style>
  <w:style w:type="paragraph" w:customStyle="1" w:styleId="RefStandardsTableBODY">
    <w:name w:val="Ref Standards Table BODY"/>
    <w:basedOn w:val="Normal"/>
    <w:autoRedefine/>
    <w:qFormat/>
    <w:rsid w:val="00140B7C"/>
    <w:pPr>
      <w:autoSpaceDE w:val="0"/>
      <w:autoSpaceDN w:val="0"/>
      <w:adjustRightInd w:val="0"/>
      <w:spacing w:after="0" w:line="240" w:lineRule="auto"/>
    </w:pPr>
    <w:rPr>
      <w:rFonts w:eastAsia="Times New Roman" w:cs="Times New Roman"/>
      <w:color w:val="000000" w:themeColor="text1"/>
      <w:szCs w:val="24"/>
      <w:u w:val="single"/>
    </w:rPr>
  </w:style>
  <w:style w:type="paragraph" w:customStyle="1" w:styleId="msonormal0">
    <w:name w:val="msonormal"/>
    <w:basedOn w:val="Normal"/>
    <w:rsid w:val="00140B7C"/>
    <w:pPr>
      <w:spacing w:before="100" w:beforeAutospacing="1" w:after="100" w:afterAutospacing="1" w:line="240" w:lineRule="auto"/>
    </w:pPr>
    <w:rPr>
      <w:rFonts w:eastAsia="Times New Roman" w:cs="Times New Roman"/>
      <w:szCs w:val="24"/>
    </w:rPr>
  </w:style>
  <w:style w:type="paragraph" w:customStyle="1" w:styleId="RefStandardsTableTERM">
    <w:name w:val="Ref Standards Table TERM"/>
    <w:basedOn w:val="RefStandardsTableBODY"/>
    <w:rsid w:val="00140B7C"/>
    <w:pPr>
      <w:jc w:val="right"/>
    </w:pPr>
    <w:rPr>
      <w:smallCaps/>
      <w:sz w:val="22"/>
    </w:rPr>
  </w:style>
  <w:style w:type="paragraph" w:customStyle="1" w:styleId="Heading">
    <w:name w:val="Heading"/>
    <w:basedOn w:val="Normal"/>
    <w:next w:val="BodyText"/>
    <w:rsid w:val="00140B7C"/>
    <w:pPr>
      <w:keepNext/>
      <w:widowControl w:val="0"/>
      <w:suppressAutoHyphens/>
      <w:spacing w:before="240" w:after="120" w:line="100" w:lineRule="atLeast"/>
    </w:pPr>
    <w:rPr>
      <w:rFonts w:ascii="Arial" w:eastAsia="Arial Unicode MS" w:hAnsi="Arial" w:cs="Arial Unicode MS"/>
      <w:color w:val="000000"/>
      <w:sz w:val="28"/>
      <w:szCs w:val="28"/>
      <w:lang w:eastAsia="ar-SA"/>
    </w:rPr>
  </w:style>
  <w:style w:type="paragraph" w:customStyle="1" w:styleId="Index">
    <w:name w:val="Index"/>
    <w:basedOn w:val="Normal"/>
    <w:rsid w:val="00140B7C"/>
    <w:pPr>
      <w:widowControl w:val="0"/>
      <w:suppressLineNumbers/>
      <w:suppressAutoHyphens/>
      <w:spacing w:after="0" w:line="100" w:lineRule="atLeast"/>
    </w:pPr>
    <w:rPr>
      <w:rFonts w:ascii="Arial" w:eastAsia="Times New Roman" w:hAnsi="Arial" w:cs="Arial"/>
      <w:color w:val="000000"/>
      <w:lang w:eastAsia="ar-SA"/>
    </w:rPr>
  </w:style>
  <w:style w:type="paragraph" w:customStyle="1" w:styleId="CommentText1">
    <w:name w:val="Comment Text1"/>
    <w:basedOn w:val="Normal"/>
    <w:rsid w:val="00140B7C"/>
    <w:pPr>
      <w:widowControl w:val="0"/>
      <w:suppressAutoHyphens/>
      <w:spacing w:after="0" w:line="100" w:lineRule="atLeast"/>
    </w:pPr>
    <w:rPr>
      <w:rFonts w:eastAsia="Times New Roman" w:cs="Times New Roman"/>
      <w:color w:val="00000A"/>
      <w:sz w:val="20"/>
      <w:szCs w:val="20"/>
      <w:lang w:eastAsia="ar-SA"/>
    </w:rPr>
  </w:style>
  <w:style w:type="paragraph" w:customStyle="1" w:styleId="CommentSubject1">
    <w:name w:val="Comment Subject1"/>
    <w:basedOn w:val="CommentText1"/>
    <w:rsid w:val="00140B7C"/>
    <w:rPr>
      <w:b/>
      <w:bCs/>
    </w:rPr>
  </w:style>
  <w:style w:type="character" w:customStyle="1" w:styleId="WW8Num1z0">
    <w:name w:val="WW8Num1z0"/>
    <w:rsid w:val="00140B7C"/>
  </w:style>
  <w:style w:type="character" w:customStyle="1" w:styleId="WW8Num1z1">
    <w:name w:val="WW8Num1z1"/>
    <w:rsid w:val="00140B7C"/>
  </w:style>
  <w:style w:type="character" w:customStyle="1" w:styleId="WW8Num1z2">
    <w:name w:val="WW8Num1z2"/>
    <w:rsid w:val="00140B7C"/>
  </w:style>
  <w:style w:type="character" w:customStyle="1" w:styleId="WW8Num1z3">
    <w:name w:val="WW8Num1z3"/>
    <w:rsid w:val="00140B7C"/>
  </w:style>
  <w:style w:type="character" w:customStyle="1" w:styleId="WW8Num1z4">
    <w:name w:val="WW8Num1z4"/>
    <w:rsid w:val="00140B7C"/>
  </w:style>
  <w:style w:type="character" w:customStyle="1" w:styleId="WW8Num1z5">
    <w:name w:val="WW8Num1z5"/>
    <w:rsid w:val="00140B7C"/>
  </w:style>
  <w:style w:type="character" w:customStyle="1" w:styleId="WW8Num1z6">
    <w:name w:val="WW8Num1z6"/>
    <w:rsid w:val="00140B7C"/>
  </w:style>
  <w:style w:type="character" w:customStyle="1" w:styleId="WW8Num1z7">
    <w:name w:val="WW8Num1z7"/>
    <w:rsid w:val="00140B7C"/>
  </w:style>
  <w:style w:type="character" w:customStyle="1" w:styleId="WW8Num1z8">
    <w:name w:val="WW8Num1z8"/>
    <w:rsid w:val="00140B7C"/>
  </w:style>
  <w:style w:type="character" w:customStyle="1" w:styleId="WW8Num2z0">
    <w:name w:val="WW8Num2z0"/>
    <w:rsid w:val="00140B7C"/>
    <w:rPr>
      <w:rFonts w:ascii="Arial" w:hAnsi="Arial" w:cs="Arial" w:hint="default"/>
      <w:b/>
      <w:bCs w:val="0"/>
      <w:color w:val="00000A"/>
      <w:spacing w:val="14"/>
      <w:sz w:val="22"/>
      <w:szCs w:val="22"/>
    </w:rPr>
  </w:style>
  <w:style w:type="character" w:customStyle="1" w:styleId="WW8Num2z1">
    <w:name w:val="WW8Num2z1"/>
    <w:rsid w:val="00140B7C"/>
  </w:style>
  <w:style w:type="character" w:customStyle="1" w:styleId="WW8Num2z2">
    <w:name w:val="WW8Num2z2"/>
    <w:rsid w:val="00140B7C"/>
  </w:style>
  <w:style w:type="character" w:customStyle="1" w:styleId="WW8Num2z3">
    <w:name w:val="WW8Num2z3"/>
    <w:rsid w:val="00140B7C"/>
  </w:style>
  <w:style w:type="character" w:customStyle="1" w:styleId="WW8Num2z4">
    <w:name w:val="WW8Num2z4"/>
    <w:rsid w:val="00140B7C"/>
  </w:style>
  <w:style w:type="character" w:customStyle="1" w:styleId="WW8Num2z5">
    <w:name w:val="WW8Num2z5"/>
    <w:rsid w:val="00140B7C"/>
  </w:style>
  <w:style w:type="character" w:customStyle="1" w:styleId="WW8Num2z6">
    <w:name w:val="WW8Num2z6"/>
    <w:rsid w:val="00140B7C"/>
  </w:style>
  <w:style w:type="character" w:customStyle="1" w:styleId="WW8Num2z7">
    <w:name w:val="WW8Num2z7"/>
    <w:rsid w:val="00140B7C"/>
  </w:style>
  <w:style w:type="character" w:customStyle="1" w:styleId="WW8Num2z8">
    <w:name w:val="WW8Num2z8"/>
    <w:rsid w:val="00140B7C"/>
  </w:style>
  <w:style w:type="character" w:customStyle="1" w:styleId="WW8Num3z0">
    <w:name w:val="WW8Num3z0"/>
    <w:rsid w:val="00140B7C"/>
    <w:rPr>
      <w:rFonts w:ascii="Arial" w:hAnsi="Arial" w:cs="Arial" w:hint="default"/>
      <w:spacing w:val="6"/>
      <w:sz w:val="22"/>
      <w:szCs w:val="22"/>
    </w:rPr>
  </w:style>
  <w:style w:type="character" w:customStyle="1" w:styleId="WW8Num3z1">
    <w:name w:val="WW8Num3z1"/>
    <w:rsid w:val="00140B7C"/>
  </w:style>
  <w:style w:type="character" w:customStyle="1" w:styleId="WW8Num3z2">
    <w:name w:val="WW8Num3z2"/>
    <w:rsid w:val="00140B7C"/>
  </w:style>
  <w:style w:type="character" w:customStyle="1" w:styleId="WW8Num3z3">
    <w:name w:val="WW8Num3z3"/>
    <w:rsid w:val="00140B7C"/>
  </w:style>
  <w:style w:type="character" w:customStyle="1" w:styleId="WW8Num3z4">
    <w:name w:val="WW8Num3z4"/>
    <w:rsid w:val="00140B7C"/>
  </w:style>
  <w:style w:type="character" w:customStyle="1" w:styleId="WW8Num3z5">
    <w:name w:val="WW8Num3z5"/>
    <w:rsid w:val="00140B7C"/>
  </w:style>
  <w:style w:type="character" w:customStyle="1" w:styleId="WW8Num3z6">
    <w:name w:val="WW8Num3z6"/>
    <w:rsid w:val="00140B7C"/>
  </w:style>
  <w:style w:type="character" w:customStyle="1" w:styleId="WW8Num3z7">
    <w:name w:val="WW8Num3z7"/>
    <w:rsid w:val="00140B7C"/>
  </w:style>
  <w:style w:type="character" w:customStyle="1" w:styleId="WW8Num3z8">
    <w:name w:val="WW8Num3z8"/>
    <w:rsid w:val="00140B7C"/>
  </w:style>
  <w:style w:type="character" w:customStyle="1" w:styleId="WW8Num4z0">
    <w:name w:val="WW8Num4z0"/>
    <w:rsid w:val="00140B7C"/>
    <w:rPr>
      <w:rFonts w:ascii="Arial" w:hAnsi="Arial" w:cs="Arial" w:hint="default"/>
      <w:spacing w:val="12"/>
      <w:sz w:val="22"/>
      <w:szCs w:val="22"/>
    </w:rPr>
  </w:style>
  <w:style w:type="character" w:customStyle="1" w:styleId="WW8Num4z1">
    <w:name w:val="WW8Num4z1"/>
    <w:rsid w:val="00140B7C"/>
  </w:style>
  <w:style w:type="character" w:customStyle="1" w:styleId="WW8Num4z2">
    <w:name w:val="WW8Num4z2"/>
    <w:rsid w:val="00140B7C"/>
  </w:style>
  <w:style w:type="character" w:customStyle="1" w:styleId="WW8Num4z3">
    <w:name w:val="WW8Num4z3"/>
    <w:rsid w:val="00140B7C"/>
  </w:style>
  <w:style w:type="character" w:customStyle="1" w:styleId="WW8Num4z4">
    <w:name w:val="WW8Num4z4"/>
    <w:rsid w:val="00140B7C"/>
  </w:style>
  <w:style w:type="character" w:customStyle="1" w:styleId="WW8Num4z5">
    <w:name w:val="WW8Num4z5"/>
    <w:rsid w:val="00140B7C"/>
  </w:style>
  <w:style w:type="character" w:customStyle="1" w:styleId="WW8Num4z6">
    <w:name w:val="WW8Num4z6"/>
    <w:rsid w:val="00140B7C"/>
  </w:style>
  <w:style w:type="character" w:customStyle="1" w:styleId="WW8Num4z7">
    <w:name w:val="WW8Num4z7"/>
    <w:rsid w:val="00140B7C"/>
  </w:style>
  <w:style w:type="character" w:customStyle="1" w:styleId="WW8Num4z8">
    <w:name w:val="WW8Num4z8"/>
    <w:rsid w:val="00140B7C"/>
  </w:style>
  <w:style w:type="character" w:customStyle="1" w:styleId="WW8Num5z0">
    <w:name w:val="WW8Num5z0"/>
    <w:rsid w:val="00140B7C"/>
    <w:rPr>
      <w:rFonts w:ascii="Arial" w:hAnsi="Arial" w:cs="Arial" w:hint="default"/>
      <w:spacing w:val="1"/>
      <w:sz w:val="22"/>
      <w:szCs w:val="22"/>
      <w:shd w:val="clear" w:color="auto" w:fill="008080"/>
    </w:rPr>
  </w:style>
  <w:style w:type="character" w:customStyle="1" w:styleId="WW8Num5z1">
    <w:name w:val="WW8Num5z1"/>
    <w:rsid w:val="00140B7C"/>
  </w:style>
  <w:style w:type="character" w:customStyle="1" w:styleId="WW8Num5z2">
    <w:name w:val="WW8Num5z2"/>
    <w:rsid w:val="00140B7C"/>
  </w:style>
  <w:style w:type="character" w:customStyle="1" w:styleId="WW8Num5z3">
    <w:name w:val="WW8Num5z3"/>
    <w:rsid w:val="00140B7C"/>
  </w:style>
  <w:style w:type="character" w:customStyle="1" w:styleId="WW8Num5z4">
    <w:name w:val="WW8Num5z4"/>
    <w:rsid w:val="00140B7C"/>
  </w:style>
  <w:style w:type="character" w:customStyle="1" w:styleId="WW8Num5z5">
    <w:name w:val="WW8Num5z5"/>
    <w:rsid w:val="00140B7C"/>
  </w:style>
  <w:style w:type="character" w:customStyle="1" w:styleId="WW8Num5z6">
    <w:name w:val="WW8Num5z6"/>
    <w:rsid w:val="00140B7C"/>
  </w:style>
  <w:style w:type="character" w:customStyle="1" w:styleId="WW8Num5z7">
    <w:name w:val="WW8Num5z7"/>
    <w:rsid w:val="00140B7C"/>
  </w:style>
  <w:style w:type="character" w:customStyle="1" w:styleId="WW8Num5z8">
    <w:name w:val="WW8Num5z8"/>
    <w:rsid w:val="00140B7C"/>
  </w:style>
  <w:style w:type="character" w:customStyle="1" w:styleId="WW8Num6z0">
    <w:name w:val="WW8Num6z0"/>
    <w:rsid w:val="00140B7C"/>
    <w:rPr>
      <w:rFonts w:ascii="Arial" w:hAnsi="Arial" w:cs="Arial" w:hint="default"/>
      <w:spacing w:val="-1"/>
      <w:sz w:val="22"/>
      <w:szCs w:val="22"/>
      <w:shd w:val="clear" w:color="auto" w:fill="008080"/>
    </w:rPr>
  </w:style>
  <w:style w:type="character" w:customStyle="1" w:styleId="WW8Num6z1">
    <w:name w:val="WW8Num6z1"/>
    <w:rsid w:val="00140B7C"/>
  </w:style>
  <w:style w:type="character" w:customStyle="1" w:styleId="WW8Num6z2">
    <w:name w:val="WW8Num6z2"/>
    <w:rsid w:val="00140B7C"/>
  </w:style>
  <w:style w:type="character" w:customStyle="1" w:styleId="WW8Num6z3">
    <w:name w:val="WW8Num6z3"/>
    <w:rsid w:val="00140B7C"/>
  </w:style>
  <w:style w:type="character" w:customStyle="1" w:styleId="WW8Num6z4">
    <w:name w:val="WW8Num6z4"/>
    <w:rsid w:val="00140B7C"/>
  </w:style>
  <w:style w:type="character" w:customStyle="1" w:styleId="WW8Num6z5">
    <w:name w:val="WW8Num6z5"/>
    <w:rsid w:val="00140B7C"/>
  </w:style>
  <w:style w:type="character" w:customStyle="1" w:styleId="WW8Num6z6">
    <w:name w:val="WW8Num6z6"/>
    <w:rsid w:val="00140B7C"/>
  </w:style>
  <w:style w:type="character" w:customStyle="1" w:styleId="WW8Num6z7">
    <w:name w:val="WW8Num6z7"/>
    <w:rsid w:val="00140B7C"/>
  </w:style>
  <w:style w:type="character" w:customStyle="1" w:styleId="WW8Num6z8">
    <w:name w:val="WW8Num6z8"/>
    <w:rsid w:val="00140B7C"/>
  </w:style>
  <w:style w:type="character" w:customStyle="1" w:styleId="WW8Num7z0">
    <w:name w:val="WW8Num7z0"/>
    <w:rsid w:val="00140B7C"/>
    <w:rPr>
      <w:rFonts w:ascii="Arial" w:hAnsi="Arial" w:cs="Arial" w:hint="default"/>
      <w:spacing w:val="-3"/>
      <w:sz w:val="22"/>
      <w:szCs w:val="22"/>
    </w:rPr>
  </w:style>
  <w:style w:type="character" w:customStyle="1" w:styleId="WW8Num7z1">
    <w:name w:val="WW8Num7z1"/>
    <w:rsid w:val="00140B7C"/>
  </w:style>
  <w:style w:type="character" w:customStyle="1" w:styleId="WW8Num7z2">
    <w:name w:val="WW8Num7z2"/>
    <w:rsid w:val="00140B7C"/>
  </w:style>
  <w:style w:type="character" w:customStyle="1" w:styleId="WW8Num7z3">
    <w:name w:val="WW8Num7z3"/>
    <w:rsid w:val="00140B7C"/>
  </w:style>
  <w:style w:type="character" w:customStyle="1" w:styleId="WW8Num7z4">
    <w:name w:val="WW8Num7z4"/>
    <w:rsid w:val="00140B7C"/>
  </w:style>
  <w:style w:type="character" w:customStyle="1" w:styleId="WW8Num7z5">
    <w:name w:val="WW8Num7z5"/>
    <w:rsid w:val="00140B7C"/>
  </w:style>
  <w:style w:type="character" w:customStyle="1" w:styleId="WW8Num7z6">
    <w:name w:val="WW8Num7z6"/>
    <w:rsid w:val="00140B7C"/>
  </w:style>
  <w:style w:type="character" w:customStyle="1" w:styleId="WW8Num7z7">
    <w:name w:val="WW8Num7z7"/>
    <w:rsid w:val="00140B7C"/>
  </w:style>
  <w:style w:type="character" w:customStyle="1" w:styleId="WW8Num7z8">
    <w:name w:val="WW8Num7z8"/>
    <w:rsid w:val="00140B7C"/>
  </w:style>
  <w:style w:type="character" w:customStyle="1" w:styleId="WW8Num8z0">
    <w:name w:val="WW8Num8z0"/>
    <w:rsid w:val="00140B7C"/>
    <w:rPr>
      <w:rFonts w:ascii="Arial" w:hAnsi="Arial" w:cs="Arial" w:hint="default"/>
      <w:spacing w:val="1"/>
      <w:sz w:val="22"/>
      <w:szCs w:val="22"/>
    </w:rPr>
  </w:style>
  <w:style w:type="character" w:customStyle="1" w:styleId="WW8Num8z1">
    <w:name w:val="WW8Num8z1"/>
    <w:rsid w:val="00140B7C"/>
  </w:style>
  <w:style w:type="character" w:customStyle="1" w:styleId="WW8Num8z2">
    <w:name w:val="WW8Num8z2"/>
    <w:rsid w:val="00140B7C"/>
  </w:style>
  <w:style w:type="character" w:customStyle="1" w:styleId="WW8Num8z3">
    <w:name w:val="WW8Num8z3"/>
    <w:rsid w:val="00140B7C"/>
  </w:style>
  <w:style w:type="character" w:customStyle="1" w:styleId="WW8Num8z4">
    <w:name w:val="WW8Num8z4"/>
    <w:rsid w:val="00140B7C"/>
  </w:style>
  <w:style w:type="character" w:customStyle="1" w:styleId="WW8Num8z5">
    <w:name w:val="WW8Num8z5"/>
    <w:rsid w:val="00140B7C"/>
  </w:style>
  <w:style w:type="character" w:customStyle="1" w:styleId="WW8Num8z6">
    <w:name w:val="WW8Num8z6"/>
    <w:rsid w:val="00140B7C"/>
  </w:style>
  <w:style w:type="character" w:customStyle="1" w:styleId="WW8Num8z7">
    <w:name w:val="WW8Num8z7"/>
    <w:rsid w:val="00140B7C"/>
  </w:style>
  <w:style w:type="character" w:customStyle="1" w:styleId="WW8Num8z8">
    <w:name w:val="WW8Num8z8"/>
    <w:rsid w:val="00140B7C"/>
  </w:style>
  <w:style w:type="character" w:customStyle="1" w:styleId="WW8Num9z0">
    <w:name w:val="WW8Num9z0"/>
    <w:rsid w:val="00140B7C"/>
    <w:rPr>
      <w:rFonts w:ascii="Arial" w:hAnsi="Arial" w:cs="Arial" w:hint="default"/>
      <w:spacing w:val="3"/>
      <w:sz w:val="22"/>
      <w:szCs w:val="22"/>
    </w:rPr>
  </w:style>
  <w:style w:type="character" w:customStyle="1" w:styleId="WW8Num9z1">
    <w:name w:val="WW8Num9z1"/>
    <w:rsid w:val="00140B7C"/>
  </w:style>
  <w:style w:type="character" w:customStyle="1" w:styleId="WW8Num9z2">
    <w:name w:val="WW8Num9z2"/>
    <w:rsid w:val="00140B7C"/>
  </w:style>
  <w:style w:type="character" w:customStyle="1" w:styleId="WW8Num9z3">
    <w:name w:val="WW8Num9z3"/>
    <w:rsid w:val="00140B7C"/>
  </w:style>
  <w:style w:type="character" w:customStyle="1" w:styleId="WW8Num9z4">
    <w:name w:val="WW8Num9z4"/>
    <w:rsid w:val="00140B7C"/>
  </w:style>
  <w:style w:type="character" w:customStyle="1" w:styleId="WW8Num9z5">
    <w:name w:val="WW8Num9z5"/>
    <w:rsid w:val="00140B7C"/>
  </w:style>
  <w:style w:type="character" w:customStyle="1" w:styleId="WW8Num9z6">
    <w:name w:val="WW8Num9z6"/>
    <w:rsid w:val="00140B7C"/>
  </w:style>
  <w:style w:type="character" w:customStyle="1" w:styleId="WW8Num9z7">
    <w:name w:val="WW8Num9z7"/>
    <w:rsid w:val="00140B7C"/>
  </w:style>
  <w:style w:type="character" w:customStyle="1" w:styleId="WW8Num9z8">
    <w:name w:val="WW8Num9z8"/>
    <w:rsid w:val="00140B7C"/>
  </w:style>
  <w:style w:type="character" w:customStyle="1" w:styleId="WW8Num10z0">
    <w:name w:val="WW8Num10z0"/>
    <w:rsid w:val="00140B7C"/>
    <w:rPr>
      <w:rFonts w:ascii="Arial" w:hAnsi="Arial" w:cs="Arial" w:hint="default"/>
      <w:spacing w:val="-10"/>
      <w:w w:val="115"/>
      <w:sz w:val="22"/>
      <w:szCs w:val="22"/>
    </w:rPr>
  </w:style>
  <w:style w:type="character" w:customStyle="1" w:styleId="WW8Num10z1">
    <w:name w:val="WW8Num10z1"/>
    <w:rsid w:val="00140B7C"/>
  </w:style>
  <w:style w:type="character" w:customStyle="1" w:styleId="WW8Num10z2">
    <w:name w:val="WW8Num10z2"/>
    <w:rsid w:val="00140B7C"/>
  </w:style>
  <w:style w:type="character" w:customStyle="1" w:styleId="WW8Num10z3">
    <w:name w:val="WW8Num10z3"/>
    <w:rsid w:val="00140B7C"/>
  </w:style>
  <w:style w:type="character" w:customStyle="1" w:styleId="WW8Num10z4">
    <w:name w:val="WW8Num10z4"/>
    <w:rsid w:val="00140B7C"/>
  </w:style>
  <w:style w:type="character" w:customStyle="1" w:styleId="WW8Num10z5">
    <w:name w:val="WW8Num10z5"/>
    <w:rsid w:val="00140B7C"/>
  </w:style>
  <w:style w:type="character" w:customStyle="1" w:styleId="WW8Num10z6">
    <w:name w:val="WW8Num10z6"/>
    <w:rsid w:val="00140B7C"/>
  </w:style>
  <w:style w:type="character" w:customStyle="1" w:styleId="WW8Num10z7">
    <w:name w:val="WW8Num10z7"/>
    <w:rsid w:val="00140B7C"/>
  </w:style>
  <w:style w:type="character" w:customStyle="1" w:styleId="WW8Num10z8">
    <w:name w:val="WW8Num10z8"/>
    <w:rsid w:val="00140B7C"/>
  </w:style>
  <w:style w:type="character" w:customStyle="1" w:styleId="WW8Num11z0">
    <w:name w:val="WW8Num11z0"/>
    <w:rsid w:val="00140B7C"/>
    <w:rPr>
      <w:rFonts w:ascii="Arial" w:hAnsi="Arial" w:cs="Arial" w:hint="default"/>
      <w:color w:val="00000A"/>
      <w:spacing w:val="-2"/>
      <w:w w:val="115"/>
      <w:sz w:val="22"/>
      <w:szCs w:val="22"/>
    </w:rPr>
  </w:style>
  <w:style w:type="character" w:customStyle="1" w:styleId="WW8Num11z1">
    <w:name w:val="WW8Num11z1"/>
    <w:rsid w:val="00140B7C"/>
  </w:style>
  <w:style w:type="character" w:customStyle="1" w:styleId="WW8Num11z2">
    <w:name w:val="WW8Num11z2"/>
    <w:rsid w:val="00140B7C"/>
  </w:style>
  <w:style w:type="character" w:customStyle="1" w:styleId="WW8Num11z3">
    <w:name w:val="WW8Num11z3"/>
    <w:rsid w:val="00140B7C"/>
  </w:style>
  <w:style w:type="character" w:customStyle="1" w:styleId="WW8Num11z4">
    <w:name w:val="WW8Num11z4"/>
    <w:rsid w:val="00140B7C"/>
  </w:style>
  <w:style w:type="character" w:customStyle="1" w:styleId="WW8Num11z5">
    <w:name w:val="WW8Num11z5"/>
    <w:rsid w:val="00140B7C"/>
  </w:style>
  <w:style w:type="character" w:customStyle="1" w:styleId="WW8Num11z6">
    <w:name w:val="WW8Num11z6"/>
    <w:rsid w:val="00140B7C"/>
  </w:style>
  <w:style w:type="character" w:customStyle="1" w:styleId="WW8Num11z7">
    <w:name w:val="WW8Num11z7"/>
    <w:rsid w:val="00140B7C"/>
  </w:style>
  <w:style w:type="character" w:customStyle="1" w:styleId="WW8Num11z8">
    <w:name w:val="WW8Num11z8"/>
    <w:rsid w:val="00140B7C"/>
  </w:style>
  <w:style w:type="character" w:customStyle="1" w:styleId="WW8Num12z0">
    <w:name w:val="WW8Num12z0"/>
    <w:rsid w:val="00140B7C"/>
    <w:rPr>
      <w:rFonts w:ascii="Arial" w:hAnsi="Arial" w:cs="Arial" w:hint="default"/>
      <w:color w:val="00000A"/>
      <w:spacing w:val="-2"/>
      <w:sz w:val="22"/>
      <w:szCs w:val="22"/>
    </w:rPr>
  </w:style>
  <w:style w:type="character" w:customStyle="1" w:styleId="WW8Num12z1">
    <w:name w:val="WW8Num12z1"/>
    <w:rsid w:val="00140B7C"/>
  </w:style>
  <w:style w:type="character" w:customStyle="1" w:styleId="WW8Num12z2">
    <w:name w:val="WW8Num12z2"/>
    <w:rsid w:val="00140B7C"/>
  </w:style>
  <w:style w:type="character" w:customStyle="1" w:styleId="WW8Num12z3">
    <w:name w:val="WW8Num12z3"/>
    <w:rsid w:val="00140B7C"/>
  </w:style>
  <w:style w:type="character" w:customStyle="1" w:styleId="WW8Num12z4">
    <w:name w:val="WW8Num12z4"/>
    <w:rsid w:val="00140B7C"/>
  </w:style>
  <w:style w:type="character" w:customStyle="1" w:styleId="WW8Num12z5">
    <w:name w:val="WW8Num12z5"/>
    <w:rsid w:val="00140B7C"/>
  </w:style>
  <w:style w:type="character" w:customStyle="1" w:styleId="WW8Num12z6">
    <w:name w:val="WW8Num12z6"/>
    <w:rsid w:val="00140B7C"/>
  </w:style>
  <w:style w:type="character" w:customStyle="1" w:styleId="WW8Num12z7">
    <w:name w:val="WW8Num12z7"/>
    <w:rsid w:val="00140B7C"/>
  </w:style>
  <w:style w:type="character" w:customStyle="1" w:styleId="WW8Num12z8">
    <w:name w:val="WW8Num12z8"/>
    <w:rsid w:val="00140B7C"/>
  </w:style>
  <w:style w:type="character" w:customStyle="1" w:styleId="WW8Num13z0">
    <w:name w:val="WW8Num13z0"/>
    <w:rsid w:val="00140B7C"/>
    <w:rPr>
      <w:rFonts w:ascii="Arial" w:hAnsi="Arial" w:cs="Arial" w:hint="default"/>
      <w:b w:val="0"/>
      <w:bCs/>
      <w:spacing w:val="-2"/>
      <w:w w:val="110"/>
      <w:sz w:val="22"/>
      <w:szCs w:val="22"/>
    </w:rPr>
  </w:style>
  <w:style w:type="character" w:customStyle="1" w:styleId="WW8Num13z1">
    <w:name w:val="WW8Num13z1"/>
    <w:rsid w:val="00140B7C"/>
  </w:style>
  <w:style w:type="character" w:customStyle="1" w:styleId="WW8Num13z2">
    <w:name w:val="WW8Num13z2"/>
    <w:rsid w:val="00140B7C"/>
  </w:style>
  <w:style w:type="character" w:customStyle="1" w:styleId="WW8Num13z3">
    <w:name w:val="WW8Num13z3"/>
    <w:rsid w:val="00140B7C"/>
  </w:style>
  <w:style w:type="character" w:customStyle="1" w:styleId="WW8Num13z4">
    <w:name w:val="WW8Num13z4"/>
    <w:rsid w:val="00140B7C"/>
  </w:style>
  <w:style w:type="character" w:customStyle="1" w:styleId="WW8Num13z5">
    <w:name w:val="WW8Num13z5"/>
    <w:rsid w:val="00140B7C"/>
  </w:style>
  <w:style w:type="character" w:customStyle="1" w:styleId="WW8Num13z6">
    <w:name w:val="WW8Num13z6"/>
    <w:rsid w:val="00140B7C"/>
  </w:style>
  <w:style w:type="character" w:customStyle="1" w:styleId="WW8Num13z7">
    <w:name w:val="WW8Num13z7"/>
    <w:rsid w:val="00140B7C"/>
  </w:style>
  <w:style w:type="character" w:customStyle="1" w:styleId="WW8Num13z8">
    <w:name w:val="WW8Num13z8"/>
    <w:rsid w:val="00140B7C"/>
  </w:style>
  <w:style w:type="character" w:customStyle="1" w:styleId="WW8Num14z0">
    <w:name w:val="WW8Num14z0"/>
    <w:rsid w:val="00140B7C"/>
    <w:rPr>
      <w:b w:val="0"/>
      <w:bCs/>
      <w:spacing w:val="-5"/>
      <w:w w:val="110"/>
      <w:sz w:val="22"/>
      <w:szCs w:val="20"/>
    </w:rPr>
  </w:style>
  <w:style w:type="character" w:customStyle="1" w:styleId="WW8Num14z1">
    <w:name w:val="WW8Num14z1"/>
    <w:rsid w:val="00140B7C"/>
  </w:style>
  <w:style w:type="character" w:customStyle="1" w:styleId="WW8Num14z2">
    <w:name w:val="WW8Num14z2"/>
    <w:rsid w:val="00140B7C"/>
  </w:style>
  <w:style w:type="character" w:customStyle="1" w:styleId="WW8Num14z3">
    <w:name w:val="WW8Num14z3"/>
    <w:rsid w:val="00140B7C"/>
  </w:style>
  <w:style w:type="character" w:customStyle="1" w:styleId="WW8Num14z4">
    <w:name w:val="WW8Num14z4"/>
    <w:rsid w:val="00140B7C"/>
  </w:style>
  <w:style w:type="character" w:customStyle="1" w:styleId="WW8Num14z5">
    <w:name w:val="WW8Num14z5"/>
    <w:rsid w:val="00140B7C"/>
  </w:style>
  <w:style w:type="character" w:customStyle="1" w:styleId="WW8Num14z6">
    <w:name w:val="WW8Num14z6"/>
    <w:rsid w:val="00140B7C"/>
  </w:style>
  <w:style w:type="character" w:customStyle="1" w:styleId="WW8Num14z7">
    <w:name w:val="WW8Num14z7"/>
    <w:rsid w:val="00140B7C"/>
  </w:style>
  <w:style w:type="character" w:customStyle="1" w:styleId="WW8Num14z8">
    <w:name w:val="WW8Num14z8"/>
    <w:rsid w:val="00140B7C"/>
  </w:style>
  <w:style w:type="character" w:customStyle="1" w:styleId="WW8Num15z0">
    <w:name w:val="WW8Num15z0"/>
    <w:rsid w:val="00140B7C"/>
    <w:rPr>
      <w:b w:val="0"/>
      <w:bCs/>
      <w:spacing w:val="-4"/>
      <w:w w:val="110"/>
      <w:sz w:val="22"/>
      <w:szCs w:val="20"/>
    </w:rPr>
  </w:style>
  <w:style w:type="character" w:customStyle="1" w:styleId="WW8Num15z1">
    <w:name w:val="WW8Num15z1"/>
    <w:rsid w:val="00140B7C"/>
  </w:style>
  <w:style w:type="character" w:customStyle="1" w:styleId="WW8Num15z2">
    <w:name w:val="WW8Num15z2"/>
    <w:rsid w:val="00140B7C"/>
  </w:style>
  <w:style w:type="character" w:customStyle="1" w:styleId="WW8Num15z3">
    <w:name w:val="WW8Num15z3"/>
    <w:rsid w:val="00140B7C"/>
  </w:style>
  <w:style w:type="character" w:customStyle="1" w:styleId="WW8Num15z4">
    <w:name w:val="WW8Num15z4"/>
    <w:rsid w:val="00140B7C"/>
  </w:style>
  <w:style w:type="character" w:customStyle="1" w:styleId="WW8Num15z5">
    <w:name w:val="WW8Num15z5"/>
    <w:rsid w:val="00140B7C"/>
  </w:style>
  <w:style w:type="character" w:customStyle="1" w:styleId="WW8Num15z6">
    <w:name w:val="WW8Num15z6"/>
    <w:rsid w:val="00140B7C"/>
  </w:style>
  <w:style w:type="character" w:customStyle="1" w:styleId="WW8Num15z7">
    <w:name w:val="WW8Num15z7"/>
    <w:rsid w:val="00140B7C"/>
  </w:style>
  <w:style w:type="character" w:customStyle="1" w:styleId="WW8Num15z8">
    <w:name w:val="WW8Num15z8"/>
    <w:rsid w:val="00140B7C"/>
  </w:style>
  <w:style w:type="character" w:customStyle="1" w:styleId="WW8Num16z0">
    <w:name w:val="WW8Num16z0"/>
    <w:rsid w:val="00140B7C"/>
    <w:rPr>
      <w:rFonts w:ascii="Arial" w:hAnsi="Arial" w:cs="Arial" w:hint="default"/>
      <w:b/>
      <w:bCs w:val="0"/>
      <w:spacing w:val="5"/>
      <w:sz w:val="22"/>
      <w:szCs w:val="22"/>
    </w:rPr>
  </w:style>
  <w:style w:type="character" w:customStyle="1" w:styleId="WW8Num16z1">
    <w:name w:val="WW8Num16z1"/>
    <w:rsid w:val="00140B7C"/>
  </w:style>
  <w:style w:type="character" w:customStyle="1" w:styleId="WW8Num16z2">
    <w:name w:val="WW8Num16z2"/>
    <w:rsid w:val="00140B7C"/>
  </w:style>
  <w:style w:type="character" w:customStyle="1" w:styleId="WW8Num16z3">
    <w:name w:val="WW8Num16z3"/>
    <w:rsid w:val="00140B7C"/>
  </w:style>
  <w:style w:type="character" w:customStyle="1" w:styleId="WW8Num16z4">
    <w:name w:val="WW8Num16z4"/>
    <w:rsid w:val="00140B7C"/>
  </w:style>
  <w:style w:type="character" w:customStyle="1" w:styleId="WW8Num16z5">
    <w:name w:val="WW8Num16z5"/>
    <w:rsid w:val="00140B7C"/>
  </w:style>
  <w:style w:type="character" w:customStyle="1" w:styleId="WW8Num16z6">
    <w:name w:val="WW8Num16z6"/>
    <w:rsid w:val="00140B7C"/>
  </w:style>
  <w:style w:type="character" w:customStyle="1" w:styleId="WW8Num16z7">
    <w:name w:val="WW8Num16z7"/>
    <w:rsid w:val="00140B7C"/>
  </w:style>
  <w:style w:type="character" w:customStyle="1" w:styleId="WW8Num16z8">
    <w:name w:val="WW8Num16z8"/>
    <w:rsid w:val="00140B7C"/>
  </w:style>
  <w:style w:type="character" w:customStyle="1" w:styleId="WW8Num17z0">
    <w:name w:val="WW8Num17z0"/>
    <w:rsid w:val="00140B7C"/>
    <w:rPr>
      <w:rFonts w:ascii="Arial" w:hAnsi="Arial" w:cs="Arial" w:hint="default"/>
      <w:spacing w:val="1"/>
      <w:sz w:val="22"/>
      <w:szCs w:val="22"/>
    </w:rPr>
  </w:style>
  <w:style w:type="character" w:customStyle="1" w:styleId="WW8Num17z1">
    <w:name w:val="WW8Num17z1"/>
    <w:rsid w:val="00140B7C"/>
  </w:style>
  <w:style w:type="character" w:customStyle="1" w:styleId="WW8Num17z2">
    <w:name w:val="WW8Num17z2"/>
    <w:rsid w:val="00140B7C"/>
  </w:style>
  <w:style w:type="character" w:customStyle="1" w:styleId="WW8Num17z3">
    <w:name w:val="WW8Num17z3"/>
    <w:rsid w:val="00140B7C"/>
  </w:style>
  <w:style w:type="character" w:customStyle="1" w:styleId="WW8Num17z4">
    <w:name w:val="WW8Num17z4"/>
    <w:rsid w:val="00140B7C"/>
  </w:style>
  <w:style w:type="character" w:customStyle="1" w:styleId="WW8Num17z5">
    <w:name w:val="WW8Num17z5"/>
    <w:rsid w:val="00140B7C"/>
  </w:style>
  <w:style w:type="character" w:customStyle="1" w:styleId="WW8Num17z6">
    <w:name w:val="WW8Num17z6"/>
    <w:rsid w:val="00140B7C"/>
  </w:style>
  <w:style w:type="character" w:customStyle="1" w:styleId="WW8Num17z7">
    <w:name w:val="WW8Num17z7"/>
    <w:rsid w:val="00140B7C"/>
  </w:style>
  <w:style w:type="character" w:customStyle="1" w:styleId="WW8Num17z8">
    <w:name w:val="WW8Num17z8"/>
    <w:rsid w:val="00140B7C"/>
  </w:style>
  <w:style w:type="character" w:customStyle="1" w:styleId="WW8Num18z0">
    <w:name w:val="WW8Num18z0"/>
    <w:rsid w:val="00140B7C"/>
    <w:rPr>
      <w:rFonts w:ascii="Arial" w:hAnsi="Arial" w:cs="Arial" w:hint="default"/>
      <w:spacing w:val="1"/>
      <w:sz w:val="22"/>
      <w:szCs w:val="22"/>
    </w:rPr>
  </w:style>
  <w:style w:type="character" w:customStyle="1" w:styleId="WW8Num18z1">
    <w:name w:val="WW8Num18z1"/>
    <w:rsid w:val="00140B7C"/>
  </w:style>
  <w:style w:type="character" w:customStyle="1" w:styleId="WW8Num18z2">
    <w:name w:val="WW8Num18z2"/>
    <w:rsid w:val="00140B7C"/>
  </w:style>
  <w:style w:type="character" w:customStyle="1" w:styleId="WW8Num18z3">
    <w:name w:val="WW8Num18z3"/>
    <w:rsid w:val="00140B7C"/>
  </w:style>
  <w:style w:type="character" w:customStyle="1" w:styleId="WW8Num18z4">
    <w:name w:val="WW8Num18z4"/>
    <w:rsid w:val="00140B7C"/>
  </w:style>
  <w:style w:type="character" w:customStyle="1" w:styleId="WW8Num18z5">
    <w:name w:val="WW8Num18z5"/>
    <w:rsid w:val="00140B7C"/>
  </w:style>
  <w:style w:type="character" w:customStyle="1" w:styleId="WW8Num18z6">
    <w:name w:val="WW8Num18z6"/>
    <w:rsid w:val="00140B7C"/>
  </w:style>
  <w:style w:type="character" w:customStyle="1" w:styleId="WW8Num18z7">
    <w:name w:val="WW8Num18z7"/>
    <w:rsid w:val="00140B7C"/>
  </w:style>
  <w:style w:type="character" w:customStyle="1" w:styleId="WW8Num18z8">
    <w:name w:val="WW8Num18z8"/>
    <w:rsid w:val="00140B7C"/>
  </w:style>
  <w:style w:type="character" w:customStyle="1" w:styleId="WW8Num19z0">
    <w:name w:val="WW8Num19z0"/>
    <w:rsid w:val="00140B7C"/>
    <w:rPr>
      <w:rFonts w:ascii="Arial" w:hAnsi="Arial" w:cs="Arial" w:hint="default"/>
    </w:rPr>
  </w:style>
  <w:style w:type="character" w:customStyle="1" w:styleId="WW8Num19z1">
    <w:name w:val="WW8Num19z1"/>
    <w:rsid w:val="00140B7C"/>
  </w:style>
  <w:style w:type="character" w:customStyle="1" w:styleId="WW8Num19z2">
    <w:name w:val="WW8Num19z2"/>
    <w:rsid w:val="00140B7C"/>
  </w:style>
  <w:style w:type="character" w:customStyle="1" w:styleId="WW8Num19z3">
    <w:name w:val="WW8Num19z3"/>
    <w:rsid w:val="00140B7C"/>
  </w:style>
  <w:style w:type="character" w:customStyle="1" w:styleId="WW8Num19z4">
    <w:name w:val="WW8Num19z4"/>
    <w:rsid w:val="00140B7C"/>
  </w:style>
  <w:style w:type="character" w:customStyle="1" w:styleId="WW8Num19z5">
    <w:name w:val="WW8Num19z5"/>
    <w:rsid w:val="00140B7C"/>
  </w:style>
  <w:style w:type="character" w:customStyle="1" w:styleId="WW8Num19z6">
    <w:name w:val="WW8Num19z6"/>
    <w:rsid w:val="00140B7C"/>
  </w:style>
  <w:style w:type="character" w:customStyle="1" w:styleId="WW8Num19z7">
    <w:name w:val="WW8Num19z7"/>
    <w:rsid w:val="00140B7C"/>
  </w:style>
  <w:style w:type="character" w:customStyle="1" w:styleId="WW8Num19z8">
    <w:name w:val="WW8Num19z8"/>
    <w:rsid w:val="00140B7C"/>
  </w:style>
  <w:style w:type="character" w:customStyle="1" w:styleId="WW8Num20z0">
    <w:name w:val="WW8Num20z0"/>
    <w:rsid w:val="00140B7C"/>
    <w:rPr>
      <w:spacing w:val="1"/>
    </w:rPr>
  </w:style>
  <w:style w:type="character" w:customStyle="1" w:styleId="WW8Num20z1">
    <w:name w:val="WW8Num20z1"/>
    <w:rsid w:val="00140B7C"/>
  </w:style>
  <w:style w:type="character" w:customStyle="1" w:styleId="WW8Num20z2">
    <w:name w:val="WW8Num20z2"/>
    <w:rsid w:val="00140B7C"/>
  </w:style>
  <w:style w:type="character" w:customStyle="1" w:styleId="WW8Num20z3">
    <w:name w:val="WW8Num20z3"/>
    <w:rsid w:val="00140B7C"/>
  </w:style>
  <w:style w:type="character" w:customStyle="1" w:styleId="WW8Num20z4">
    <w:name w:val="WW8Num20z4"/>
    <w:rsid w:val="00140B7C"/>
  </w:style>
  <w:style w:type="character" w:customStyle="1" w:styleId="WW8Num20z5">
    <w:name w:val="WW8Num20z5"/>
    <w:rsid w:val="00140B7C"/>
  </w:style>
  <w:style w:type="character" w:customStyle="1" w:styleId="WW8Num20z6">
    <w:name w:val="WW8Num20z6"/>
    <w:rsid w:val="00140B7C"/>
  </w:style>
  <w:style w:type="character" w:customStyle="1" w:styleId="WW8Num20z7">
    <w:name w:val="WW8Num20z7"/>
    <w:rsid w:val="00140B7C"/>
  </w:style>
  <w:style w:type="character" w:customStyle="1" w:styleId="WW8Num20z8">
    <w:name w:val="WW8Num20z8"/>
    <w:rsid w:val="00140B7C"/>
  </w:style>
  <w:style w:type="character" w:customStyle="1" w:styleId="WW8Num21z0">
    <w:name w:val="WW8Num21z0"/>
    <w:rsid w:val="00140B7C"/>
    <w:rPr>
      <w:spacing w:val="1"/>
    </w:rPr>
  </w:style>
  <w:style w:type="character" w:customStyle="1" w:styleId="WW8Num21z1">
    <w:name w:val="WW8Num21z1"/>
    <w:rsid w:val="00140B7C"/>
  </w:style>
  <w:style w:type="character" w:customStyle="1" w:styleId="WW8Num21z2">
    <w:name w:val="WW8Num21z2"/>
    <w:rsid w:val="00140B7C"/>
  </w:style>
  <w:style w:type="character" w:customStyle="1" w:styleId="WW8Num21z3">
    <w:name w:val="WW8Num21z3"/>
    <w:rsid w:val="00140B7C"/>
  </w:style>
  <w:style w:type="character" w:customStyle="1" w:styleId="WW8Num21z4">
    <w:name w:val="WW8Num21z4"/>
    <w:rsid w:val="00140B7C"/>
  </w:style>
  <w:style w:type="character" w:customStyle="1" w:styleId="WW8Num21z5">
    <w:name w:val="WW8Num21z5"/>
    <w:rsid w:val="00140B7C"/>
  </w:style>
  <w:style w:type="character" w:customStyle="1" w:styleId="WW8Num21z6">
    <w:name w:val="WW8Num21z6"/>
    <w:rsid w:val="00140B7C"/>
  </w:style>
  <w:style w:type="character" w:customStyle="1" w:styleId="WW8Num21z7">
    <w:name w:val="WW8Num21z7"/>
    <w:rsid w:val="00140B7C"/>
  </w:style>
  <w:style w:type="character" w:customStyle="1" w:styleId="WW8Num21z8">
    <w:name w:val="WW8Num21z8"/>
    <w:rsid w:val="00140B7C"/>
  </w:style>
  <w:style w:type="character" w:customStyle="1" w:styleId="WW8Num22z0">
    <w:name w:val="WW8Num22z0"/>
    <w:rsid w:val="00140B7C"/>
    <w:rPr>
      <w:spacing w:val="1"/>
      <w:shd w:val="clear" w:color="auto" w:fill="00FFFF"/>
    </w:rPr>
  </w:style>
  <w:style w:type="character" w:customStyle="1" w:styleId="WW8Num22z1">
    <w:name w:val="WW8Num22z1"/>
    <w:rsid w:val="00140B7C"/>
  </w:style>
  <w:style w:type="character" w:customStyle="1" w:styleId="WW8Num22z2">
    <w:name w:val="WW8Num22z2"/>
    <w:rsid w:val="00140B7C"/>
  </w:style>
  <w:style w:type="character" w:customStyle="1" w:styleId="WW8Num22z3">
    <w:name w:val="WW8Num22z3"/>
    <w:rsid w:val="00140B7C"/>
  </w:style>
  <w:style w:type="character" w:customStyle="1" w:styleId="WW8Num22z4">
    <w:name w:val="WW8Num22z4"/>
    <w:rsid w:val="00140B7C"/>
  </w:style>
  <w:style w:type="character" w:customStyle="1" w:styleId="WW8Num22z5">
    <w:name w:val="WW8Num22z5"/>
    <w:rsid w:val="00140B7C"/>
  </w:style>
  <w:style w:type="character" w:customStyle="1" w:styleId="WW8Num22z6">
    <w:name w:val="WW8Num22z6"/>
    <w:rsid w:val="00140B7C"/>
  </w:style>
  <w:style w:type="character" w:customStyle="1" w:styleId="WW8Num22z7">
    <w:name w:val="WW8Num22z7"/>
    <w:rsid w:val="00140B7C"/>
  </w:style>
  <w:style w:type="character" w:customStyle="1" w:styleId="WW8Num22z8">
    <w:name w:val="WW8Num22z8"/>
    <w:rsid w:val="00140B7C"/>
  </w:style>
  <w:style w:type="character" w:customStyle="1" w:styleId="WW8Num23z0">
    <w:name w:val="WW8Num23z0"/>
    <w:rsid w:val="00140B7C"/>
    <w:rPr>
      <w:spacing w:val="1"/>
      <w:shd w:val="clear" w:color="auto" w:fill="00FFFF"/>
    </w:rPr>
  </w:style>
  <w:style w:type="character" w:customStyle="1" w:styleId="WW8Num23z1">
    <w:name w:val="WW8Num23z1"/>
    <w:rsid w:val="00140B7C"/>
  </w:style>
  <w:style w:type="character" w:customStyle="1" w:styleId="WW8Num23z2">
    <w:name w:val="WW8Num23z2"/>
    <w:rsid w:val="00140B7C"/>
  </w:style>
  <w:style w:type="character" w:customStyle="1" w:styleId="WW8Num23z3">
    <w:name w:val="WW8Num23z3"/>
    <w:rsid w:val="00140B7C"/>
  </w:style>
  <w:style w:type="character" w:customStyle="1" w:styleId="WW8Num23z4">
    <w:name w:val="WW8Num23z4"/>
    <w:rsid w:val="00140B7C"/>
  </w:style>
  <w:style w:type="character" w:customStyle="1" w:styleId="WW8Num23z5">
    <w:name w:val="WW8Num23z5"/>
    <w:rsid w:val="00140B7C"/>
  </w:style>
  <w:style w:type="character" w:customStyle="1" w:styleId="WW8Num23z6">
    <w:name w:val="WW8Num23z6"/>
    <w:rsid w:val="00140B7C"/>
  </w:style>
  <w:style w:type="character" w:customStyle="1" w:styleId="WW8Num23z7">
    <w:name w:val="WW8Num23z7"/>
    <w:rsid w:val="00140B7C"/>
  </w:style>
  <w:style w:type="character" w:customStyle="1" w:styleId="WW8Num23z8">
    <w:name w:val="WW8Num23z8"/>
    <w:rsid w:val="00140B7C"/>
  </w:style>
  <w:style w:type="character" w:customStyle="1" w:styleId="WW8Num24z0">
    <w:name w:val="WW8Num24z0"/>
    <w:rsid w:val="00140B7C"/>
    <w:rPr>
      <w:spacing w:val="2"/>
    </w:rPr>
  </w:style>
  <w:style w:type="character" w:customStyle="1" w:styleId="WW8Num24z1">
    <w:name w:val="WW8Num24z1"/>
    <w:rsid w:val="00140B7C"/>
  </w:style>
  <w:style w:type="character" w:customStyle="1" w:styleId="WW8Num24z2">
    <w:name w:val="WW8Num24z2"/>
    <w:rsid w:val="00140B7C"/>
  </w:style>
  <w:style w:type="character" w:customStyle="1" w:styleId="WW8Num24z3">
    <w:name w:val="WW8Num24z3"/>
    <w:rsid w:val="00140B7C"/>
  </w:style>
  <w:style w:type="character" w:customStyle="1" w:styleId="WW8Num24z4">
    <w:name w:val="WW8Num24z4"/>
    <w:rsid w:val="00140B7C"/>
  </w:style>
  <w:style w:type="character" w:customStyle="1" w:styleId="WW8Num24z5">
    <w:name w:val="WW8Num24z5"/>
    <w:rsid w:val="00140B7C"/>
  </w:style>
  <w:style w:type="character" w:customStyle="1" w:styleId="WW8Num24z6">
    <w:name w:val="WW8Num24z6"/>
    <w:rsid w:val="00140B7C"/>
  </w:style>
  <w:style w:type="character" w:customStyle="1" w:styleId="WW8Num24z7">
    <w:name w:val="WW8Num24z7"/>
    <w:rsid w:val="00140B7C"/>
  </w:style>
  <w:style w:type="character" w:customStyle="1" w:styleId="WW8Num24z8">
    <w:name w:val="WW8Num24z8"/>
    <w:rsid w:val="00140B7C"/>
  </w:style>
  <w:style w:type="character" w:customStyle="1" w:styleId="WW8Num25z0">
    <w:name w:val="WW8Num25z0"/>
    <w:rsid w:val="00140B7C"/>
    <w:rPr>
      <w:spacing w:val="2"/>
    </w:rPr>
  </w:style>
  <w:style w:type="character" w:customStyle="1" w:styleId="WW8Num25z1">
    <w:name w:val="WW8Num25z1"/>
    <w:rsid w:val="00140B7C"/>
  </w:style>
  <w:style w:type="character" w:customStyle="1" w:styleId="WW8Num25z2">
    <w:name w:val="WW8Num25z2"/>
    <w:rsid w:val="00140B7C"/>
  </w:style>
  <w:style w:type="character" w:customStyle="1" w:styleId="WW8Num25z3">
    <w:name w:val="WW8Num25z3"/>
    <w:rsid w:val="00140B7C"/>
  </w:style>
  <w:style w:type="character" w:customStyle="1" w:styleId="WW8Num25z4">
    <w:name w:val="WW8Num25z4"/>
    <w:rsid w:val="00140B7C"/>
  </w:style>
  <w:style w:type="character" w:customStyle="1" w:styleId="WW8Num25z5">
    <w:name w:val="WW8Num25z5"/>
    <w:rsid w:val="00140B7C"/>
  </w:style>
  <w:style w:type="character" w:customStyle="1" w:styleId="WW8Num25z6">
    <w:name w:val="WW8Num25z6"/>
    <w:rsid w:val="00140B7C"/>
  </w:style>
  <w:style w:type="character" w:customStyle="1" w:styleId="WW8Num25z7">
    <w:name w:val="WW8Num25z7"/>
    <w:rsid w:val="00140B7C"/>
  </w:style>
  <w:style w:type="character" w:customStyle="1" w:styleId="WW8Num25z8">
    <w:name w:val="WW8Num25z8"/>
    <w:rsid w:val="00140B7C"/>
  </w:style>
  <w:style w:type="character" w:customStyle="1" w:styleId="WW8Num26z0">
    <w:name w:val="WW8Num26z0"/>
    <w:rsid w:val="00140B7C"/>
    <w:rPr>
      <w:spacing w:val="2"/>
      <w:shd w:val="clear" w:color="auto" w:fill="00FFFF"/>
    </w:rPr>
  </w:style>
  <w:style w:type="character" w:customStyle="1" w:styleId="WW8Num26z1">
    <w:name w:val="WW8Num26z1"/>
    <w:rsid w:val="00140B7C"/>
  </w:style>
  <w:style w:type="character" w:customStyle="1" w:styleId="WW8Num26z2">
    <w:name w:val="WW8Num26z2"/>
    <w:rsid w:val="00140B7C"/>
  </w:style>
  <w:style w:type="character" w:customStyle="1" w:styleId="WW8Num26z3">
    <w:name w:val="WW8Num26z3"/>
    <w:rsid w:val="00140B7C"/>
  </w:style>
  <w:style w:type="character" w:customStyle="1" w:styleId="WW8Num26z4">
    <w:name w:val="WW8Num26z4"/>
    <w:rsid w:val="00140B7C"/>
  </w:style>
  <w:style w:type="character" w:customStyle="1" w:styleId="WW8Num26z5">
    <w:name w:val="WW8Num26z5"/>
    <w:rsid w:val="00140B7C"/>
  </w:style>
  <w:style w:type="character" w:customStyle="1" w:styleId="WW8Num26z6">
    <w:name w:val="WW8Num26z6"/>
    <w:rsid w:val="00140B7C"/>
  </w:style>
  <w:style w:type="character" w:customStyle="1" w:styleId="WW8Num26z7">
    <w:name w:val="WW8Num26z7"/>
    <w:rsid w:val="00140B7C"/>
  </w:style>
  <w:style w:type="character" w:customStyle="1" w:styleId="WW8Num26z8">
    <w:name w:val="WW8Num26z8"/>
    <w:rsid w:val="00140B7C"/>
  </w:style>
  <w:style w:type="character" w:customStyle="1" w:styleId="WW8Num27z0">
    <w:name w:val="WW8Num27z0"/>
    <w:rsid w:val="00140B7C"/>
    <w:rPr>
      <w:spacing w:val="3"/>
    </w:rPr>
  </w:style>
  <w:style w:type="character" w:customStyle="1" w:styleId="WW8Num27z1">
    <w:name w:val="WW8Num27z1"/>
    <w:rsid w:val="00140B7C"/>
  </w:style>
  <w:style w:type="character" w:customStyle="1" w:styleId="WW8Num27z2">
    <w:name w:val="WW8Num27z2"/>
    <w:rsid w:val="00140B7C"/>
  </w:style>
  <w:style w:type="character" w:customStyle="1" w:styleId="WW8Num27z3">
    <w:name w:val="WW8Num27z3"/>
    <w:rsid w:val="00140B7C"/>
  </w:style>
  <w:style w:type="character" w:customStyle="1" w:styleId="WW8Num27z4">
    <w:name w:val="WW8Num27z4"/>
    <w:rsid w:val="00140B7C"/>
  </w:style>
  <w:style w:type="character" w:customStyle="1" w:styleId="WW8Num27z5">
    <w:name w:val="WW8Num27z5"/>
    <w:rsid w:val="00140B7C"/>
  </w:style>
  <w:style w:type="character" w:customStyle="1" w:styleId="WW8Num27z6">
    <w:name w:val="WW8Num27z6"/>
    <w:rsid w:val="00140B7C"/>
  </w:style>
  <w:style w:type="character" w:customStyle="1" w:styleId="WW8Num27z7">
    <w:name w:val="WW8Num27z7"/>
    <w:rsid w:val="00140B7C"/>
  </w:style>
  <w:style w:type="character" w:customStyle="1" w:styleId="WW8Num27z8">
    <w:name w:val="WW8Num27z8"/>
    <w:rsid w:val="00140B7C"/>
  </w:style>
  <w:style w:type="character" w:customStyle="1" w:styleId="WW8Num28z0">
    <w:name w:val="WW8Num28z0"/>
    <w:rsid w:val="00140B7C"/>
  </w:style>
  <w:style w:type="character" w:customStyle="1" w:styleId="WW8Num28z1">
    <w:name w:val="WW8Num28z1"/>
    <w:rsid w:val="00140B7C"/>
  </w:style>
  <w:style w:type="character" w:customStyle="1" w:styleId="WW8Num28z2">
    <w:name w:val="WW8Num28z2"/>
    <w:rsid w:val="00140B7C"/>
  </w:style>
  <w:style w:type="character" w:customStyle="1" w:styleId="WW8Num28z3">
    <w:name w:val="WW8Num28z3"/>
    <w:rsid w:val="00140B7C"/>
  </w:style>
  <w:style w:type="character" w:customStyle="1" w:styleId="WW8Num28z4">
    <w:name w:val="WW8Num28z4"/>
    <w:rsid w:val="00140B7C"/>
  </w:style>
  <w:style w:type="character" w:customStyle="1" w:styleId="WW8Num28z5">
    <w:name w:val="WW8Num28z5"/>
    <w:rsid w:val="00140B7C"/>
  </w:style>
  <w:style w:type="character" w:customStyle="1" w:styleId="WW8Num28z6">
    <w:name w:val="WW8Num28z6"/>
    <w:rsid w:val="00140B7C"/>
  </w:style>
  <w:style w:type="character" w:customStyle="1" w:styleId="WW8Num28z7">
    <w:name w:val="WW8Num28z7"/>
    <w:rsid w:val="00140B7C"/>
  </w:style>
  <w:style w:type="character" w:customStyle="1" w:styleId="WW8Num28z8">
    <w:name w:val="WW8Num28z8"/>
    <w:rsid w:val="00140B7C"/>
  </w:style>
  <w:style w:type="character" w:customStyle="1" w:styleId="WW8Num29z0">
    <w:name w:val="WW8Num29z0"/>
    <w:rsid w:val="00140B7C"/>
    <w:rPr>
      <w:color w:val="00000A"/>
    </w:rPr>
  </w:style>
  <w:style w:type="character" w:customStyle="1" w:styleId="WW8Num29z1">
    <w:name w:val="WW8Num29z1"/>
    <w:rsid w:val="00140B7C"/>
  </w:style>
  <w:style w:type="character" w:customStyle="1" w:styleId="WW8Num30z0">
    <w:name w:val="WW8Num30z0"/>
    <w:rsid w:val="00140B7C"/>
    <w:rPr>
      <w:b/>
      <w:bCs w:val="0"/>
      <w:spacing w:val="1"/>
    </w:rPr>
  </w:style>
  <w:style w:type="character" w:customStyle="1" w:styleId="WW8Num31z0">
    <w:name w:val="WW8Num31z0"/>
    <w:rsid w:val="00140B7C"/>
  </w:style>
  <w:style w:type="character" w:customStyle="1" w:styleId="WW8Num32z0">
    <w:name w:val="WW8Num32z0"/>
    <w:rsid w:val="00140B7C"/>
    <w:rPr>
      <w:b w:val="0"/>
      <w:bCs/>
      <w:spacing w:val="-6"/>
      <w:w w:val="100"/>
    </w:rPr>
  </w:style>
  <w:style w:type="character" w:customStyle="1" w:styleId="WW8Num33z0">
    <w:name w:val="WW8Num33z0"/>
    <w:rsid w:val="00140B7C"/>
    <w:rPr>
      <w:spacing w:val="1"/>
    </w:rPr>
  </w:style>
  <w:style w:type="character" w:customStyle="1" w:styleId="WW8Num33z1">
    <w:name w:val="WW8Num33z1"/>
    <w:rsid w:val="00140B7C"/>
  </w:style>
  <w:style w:type="character" w:customStyle="1" w:styleId="WW8Num33z2">
    <w:name w:val="WW8Num33z2"/>
    <w:rsid w:val="00140B7C"/>
  </w:style>
  <w:style w:type="character" w:customStyle="1" w:styleId="WW8Num33z3">
    <w:name w:val="WW8Num33z3"/>
    <w:rsid w:val="00140B7C"/>
  </w:style>
  <w:style w:type="character" w:customStyle="1" w:styleId="DefaultParagraphFont1">
    <w:name w:val="Default Paragraph Font1"/>
    <w:rsid w:val="00140B7C"/>
  </w:style>
  <w:style w:type="character" w:customStyle="1" w:styleId="WW8Num29z2">
    <w:name w:val="WW8Num29z2"/>
    <w:rsid w:val="00140B7C"/>
  </w:style>
  <w:style w:type="character" w:customStyle="1" w:styleId="WW8Num29z3">
    <w:name w:val="WW8Num29z3"/>
    <w:rsid w:val="00140B7C"/>
  </w:style>
  <w:style w:type="character" w:customStyle="1" w:styleId="WW8Num29z4">
    <w:name w:val="WW8Num29z4"/>
    <w:rsid w:val="00140B7C"/>
  </w:style>
  <w:style w:type="character" w:customStyle="1" w:styleId="WW8Num29z5">
    <w:name w:val="WW8Num29z5"/>
    <w:rsid w:val="00140B7C"/>
  </w:style>
  <w:style w:type="character" w:customStyle="1" w:styleId="WW8Num29z6">
    <w:name w:val="WW8Num29z6"/>
    <w:rsid w:val="00140B7C"/>
  </w:style>
  <w:style w:type="character" w:customStyle="1" w:styleId="WW8Num29z7">
    <w:name w:val="WW8Num29z7"/>
    <w:rsid w:val="00140B7C"/>
  </w:style>
  <w:style w:type="character" w:customStyle="1" w:styleId="WW8Num29z8">
    <w:name w:val="WW8Num29z8"/>
    <w:rsid w:val="00140B7C"/>
  </w:style>
  <w:style w:type="character" w:customStyle="1" w:styleId="WW8Num30z1">
    <w:name w:val="WW8Num30z1"/>
    <w:rsid w:val="00140B7C"/>
  </w:style>
  <w:style w:type="character" w:customStyle="1" w:styleId="WW8Num30z2">
    <w:name w:val="WW8Num30z2"/>
    <w:rsid w:val="00140B7C"/>
  </w:style>
  <w:style w:type="character" w:customStyle="1" w:styleId="WW8Num30z3">
    <w:name w:val="WW8Num30z3"/>
    <w:rsid w:val="00140B7C"/>
  </w:style>
  <w:style w:type="character" w:customStyle="1" w:styleId="WW8Num30z4">
    <w:name w:val="WW8Num30z4"/>
    <w:rsid w:val="00140B7C"/>
  </w:style>
  <w:style w:type="character" w:customStyle="1" w:styleId="WW8Num30z5">
    <w:name w:val="WW8Num30z5"/>
    <w:rsid w:val="00140B7C"/>
  </w:style>
  <w:style w:type="character" w:customStyle="1" w:styleId="WW8Num30z6">
    <w:name w:val="WW8Num30z6"/>
    <w:rsid w:val="00140B7C"/>
  </w:style>
  <w:style w:type="character" w:customStyle="1" w:styleId="WW8Num30z7">
    <w:name w:val="WW8Num30z7"/>
    <w:rsid w:val="00140B7C"/>
  </w:style>
  <w:style w:type="character" w:customStyle="1" w:styleId="WW8Num30z8">
    <w:name w:val="WW8Num30z8"/>
    <w:rsid w:val="00140B7C"/>
  </w:style>
  <w:style w:type="character" w:customStyle="1" w:styleId="WW8Num31z1">
    <w:name w:val="WW8Num31z1"/>
    <w:rsid w:val="00140B7C"/>
  </w:style>
  <w:style w:type="character" w:customStyle="1" w:styleId="WW8Num31z2">
    <w:name w:val="WW8Num31z2"/>
    <w:rsid w:val="00140B7C"/>
  </w:style>
  <w:style w:type="character" w:customStyle="1" w:styleId="WW8Num31z3">
    <w:name w:val="WW8Num31z3"/>
    <w:rsid w:val="00140B7C"/>
  </w:style>
  <w:style w:type="character" w:customStyle="1" w:styleId="WW8Num31z4">
    <w:name w:val="WW8Num31z4"/>
    <w:rsid w:val="00140B7C"/>
  </w:style>
  <w:style w:type="character" w:customStyle="1" w:styleId="WW8Num31z5">
    <w:name w:val="WW8Num31z5"/>
    <w:rsid w:val="00140B7C"/>
  </w:style>
  <w:style w:type="character" w:customStyle="1" w:styleId="WW8Num31z6">
    <w:name w:val="WW8Num31z6"/>
    <w:rsid w:val="00140B7C"/>
  </w:style>
  <w:style w:type="character" w:customStyle="1" w:styleId="WW8Num31z7">
    <w:name w:val="WW8Num31z7"/>
    <w:rsid w:val="00140B7C"/>
  </w:style>
  <w:style w:type="character" w:customStyle="1" w:styleId="WW8Num31z8">
    <w:name w:val="WW8Num31z8"/>
    <w:rsid w:val="00140B7C"/>
  </w:style>
  <w:style w:type="character" w:customStyle="1" w:styleId="WW8Num32z1">
    <w:name w:val="WW8Num32z1"/>
    <w:rsid w:val="00140B7C"/>
  </w:style>
  <w:style w:type="character" w:customStyle="1" w:styleId="WW8Num32z2">
    <w:name w:val="WW8Num32z2"/>
    <w:rsid w:val="00140B7C"/>
  </w:style>
  <w:style w:type="character" w:customStyle="1" w:styleId="WW8Num32z3">
    <w:name w:val="WW8Num32z3"/>
    <w:rsid w:val="00140B7C"/>
  </w:style>
  <w:style w:type="character" w:customStyle="1" w:styleId="WW8Num32z4">
    <w:name w:val="WW8Num32z4"/>
    <w:rsid w:val="00140B7C"/>
  </w:style>
  <w:style w:type="character" w:customStyle="1" w:styleId="WW8Num32z5">
    <w:name w:val="WW8Num32z5"/>
    <w:rsid w:val="00140B7C"/>
  </w:style>
  <w:style w:type="character" w:customStyle="1" w:styleId="WW8Num32z6">
    <w:name w:val="WW8Num32z6"/>
    <w:rsid w:val="00140B7C"/>
  </w:style>
  <w:style w:type="character" w:customStyle="1" w:styleId="WW8Num32z7">
    <w:name w:val="WW8Num32z7"/>
    <w:rsid w:val="00140B7C"/>
  </w:style>
  <w:style w:type="character" w:customStyle="1" w:styleId="WW8Num32z8">
    <w:name w:val="WW8Num32z8"/>
    <w:rsid w:val="00140B7C"/>
  </w:style>
  <w:style w:type="character" w:customStyle="1" w:styleId="WW8Num33z4">
    <w:name w:val="WW8Num33z4"/>
    <w:rsid w:val="00140B7C"/>
  </w:style>
  <w:style w:type="character" w:customStyle="1" w:styleId="WW8Num33z5">
    <w:name w:val="WW8Num33z5"/>
    <w:rsid w:val="00140B7C"/>
  </w:style>
  <w:style w:type="character" w:customStyle="1" w:styleId="WW8Num33z6">
    <w:name w:val="WW8Num33z6"/>
    <w:rsid w:val="00140B7C"/>
  </w:style>
  <w:style w:type="character" w:customStyle="1" w:styleId="WW8Num33z7">
    <w:name w:val="WW8Num33z7"/>
    <w:rsid w:val="00140B7C"/>
  </w:style>
  <w:style w:type="character" w:customStyle="1" w:styleId="WW8Num33z8">
    <w:name w:val="WW8Num33z8"/>
    <w:rsid w:val="00140B7C"/>
  </w:style>
  <w:style w:type="character" w:customStyle="1" w:styleId="WW-DefaultParagraphFont">
    <w:name w:val="WW-Default Paragraph Font"/>
    <w:rsid w:val="00140B7C"/>
  </w:style>
  <w:style w:type="character" w:customStyle="1" w:styleId="WW-DefaultParagraphFont1">
    <w:name w:val="WW-Default Paragraph Font1"/>
    <w:rsid w:val="00140B7C"/>
  </w:style>
  <w:style w:type="character" w:customStyle="1" w:styleId="WW-DefaultParagraphFont11">
    <w:name w:val="WW-Default Paragraph Font11"/>
    <w:rsid w:val="00140B7C"/>
  </w:style>
  <w:style w:type="character" w:customStyle="1" w:styleId="CommentReference1">
    <w:name w:val="Comment Reference1"/>
    <w:rsid w:val="00140B7C"/>
    <w:rPr>
      <w:sz w:val="16"/>
      <w:szCs w:val="16"/>
    </w:rPr>
  </w:style>
  <w:style w:type="character" w:customStyle="1" w:styleId="ListLabel1">
    <w:name w:val="ListLabel 1"/>
    <w:rsid w:val="00140B7C"/>
    <w:rPr>
      <w:rFonts w:ascii="Times" w:hAnsi="Times" w:cs="Times" w:hint="default"/>
      <w:spacing w:val="-3"/>
      <w:sz w:val="19"/>
      <w:szCs w:val="19"/>
    </w:rPr>
  </w:style>
  <w:style w:type="character" w:customStyle="1" w:styleId="ListLabel2">
    <w:name w:val="ListLabel 2"/>
    <w:rsid w:val="00140B7C"/>
    <w:rPr>
      <w:rFonts w:ascii="Arial" w:hAnsi="Arial" w:cs="Arial" w:hint="default"/>
      <w:spacing w:val="14"/>
      <w:sz w:val="22"/>
      <w:szCs w:val="22"/>
    </w:rPr>
  </w:style>
  <w:style w:type="character" w:customStyle="1" w:styleId="ListLabel3">
    <w:name w:val="ListLabel 3"/>
    <w:rsid w:val="00140B7C"/>
    <w:rPr>
      <w:b w:val="0"/>
      <w:bCs/>
      <w:spacing w:val="-2"/>
      <w:w w:val="110"/>
      <w:sz w:val="20"/>
      <w:szCs w:val="20"/>
    </w:rPr>
  </w:style>
  <w:style w:type="character" w:customStyle="1" w:styleId="ListLabel4">
    <w:name w:val="ListLabel 4"/>
    <w:rsid w:val="00140B7C"/>
    <w:rPr>
      <w:rFonts w:ascii="Times" w:hAnsi="Times" w:cs="Times" w:hint="default"/>
      <w:spacing w:val="14"/>
      <w:sz w:val="19"/>
      <w:szCs w:val="19"/>
    </w:rPr>
  </w:style>
  <w:style w:type="character" w:customStyle="1" w:styleId="ListLabel5">
    <w:name w:val="ListLabel 5"/>
    <w:rsid w:val="00140B7C"/>
    <w:rPr>
      <w:rFonts w:ascii="Arial" w:hAnsi="Arial" w:cs="Arial" w:hint="default"/>
      <w:spacing w:val="6"/>
      <w:sz w:val="22"/>
      <w:szCs w:val="22"/>
    </w:rPr>
  </w:style>
  <w:style w:type="character" w:customStyle="1" w:styleId="ListLabel6">
    <w:name w:val="ListLabel 6"/>
    <w:rsid w:val="00140B7C"/>
    <w:rPr>
      <w:rFonts w:ascii="Times" w:hAnsi="Times" w:cs="Times" w:hint="default"/>
      <w:spacing w:val="3"/>
      <w:sz w:val="19"/>
      <w:szCs w:val="19"/>
    </w:rPr>
  </w:style>
  <w:style w:type="character" w:customStyle="1" w:styleId="ListLabel7">
    <w:name w:val="ListLabel 7"/>
    <w:rsid w:val="00140B7C"/>
    <w:rPr>
      <w:rFonts w:ascii="Times" w:hAnsi="Times" w:cs="Times" w:hint="default"/>
      <w:spacing w:val="5"/>
      <w:sz w:val="19"/>
      <w:szCs w:val="19"/>
    </w:rPr>
  </w:style>
  <w:style w:type="character" w:customStyle="1" w:styleId="ListLabel8">
    <w:name w:val="ListLabel 8"/>
    <w:rsid w:val="00140B7C"/>
    <w:rPr>
      <w:b w:val="0"/>
      <w:bCs/>
      <w:w w:val="110"/>
      <w:sz w:val="20"/>
      <w:szCs w:val="20"/>
    </w:rPr>
  </w:style>
  <w:style w:type="character" w:customStyle="1" w:styleId="ListLabel9">
    <w:name w:val="ListLabel 9"/>
    <w:rsid w:val="00140B7C"/>
    <w:rPr>
      <w:b w:val="0"/>
      <w:bCs/>
      <w:spacing w:val="-8"/>
      <w:w w:val="110"/>
      <w:sz w:val="20"/>
      <w:szCs w:val="20"/>
    </w:rPr>
  </w:style>
  <w:style w:type="character" w:customStyle="1" w:styleId="ListLabel10">
    <w:name w:val="ListLabel 10"/>
    <w:rsid w:val="00140B7C"/>
    <w:rPr>
      <w:rFonts w:ascii="Times" w:hAnsi="Times" w:cs="Times" w:hint="default"/>
      <w:spacing w:val="1"/>
      <w:sz w:val="19"/>
      <w:szCs w:val="19"/>
    </w:rPr>
  </w:style>
  <w:style w:type="character" w:customStyle="1" w:styleId="ListLabel11">
    <w:name w:val="ListLabel 11"/>
    <w:rsid w:val="00140B7C"/>
    <w:rPr>
      <w:rFonts w:ascii="Times" w:hAnsi="Times" w:cs="Times" w:hint="default"/>
      <w:spacing w:val="-2"/>
      <w:sz w:val="19"/>
      <w:szCs w:val="19"/>
    </w:rPr>
  </w:style>
  <w:style w:type="character" w:customStyle="1" w:styleId="ListLabel12">
    <w:name w:val="ListLabel 12"/>
    <w:rsid w:val="00140B7C"/>
    <w:rPr>
      <w:rFonts w:ascii="Arial" w:hAnsi="Arial" w:cs="Arial" w:hint="default"/>
      <w:spacing w:val="12"/>
      <w:sz w:val="22"/>
      <w:szCs w:val="22"/>
    </w:rPr>
  </w:style>
  <w:style w:type="character" w:customStyle="1" w:styleId="ListLabel13">
    <w:name w:val="ListLabel 13"/>
    <w:rsid w:val="00140B7C"/>
    <w:rPr>
      <w:rFonts w:ascii="Arial" w:hAnsi="Arial" w:cs="Arial" w:hint="default"/>
      <w:spacing w:val="1"/>
      <w:sz w:val="22"/>
      <w:szCs w:val="22"/>
    </w:rPr>
  </w:style>
  <w:style w:type="character" w:customStyle="1" w:styleId="ListLabel14">
    <w:name w:val="ListLabel 14"/>
    <w:rsid w:val="00140B7C"/>
    <w:rPr>
      <w:rFonts w:ascii="Arial" w:hAnsi="Arial" w:cs="Arial" w:hint="default"/>
      <w:spacing w:val="-1"/>
      <w:sz w:val="22"/>
      <w:szCs w:val="22"/>
    </w:rPr>
  </w:style>
  <w:style w:type="character" w:customStyle="1" w:styleId="ListLabel15">
    <w:name w:val="ListLabel 15"/>
    <w:rsid w:val="00140B7C"/>
    <w:rPr>
      <w:rFonts w:ascii="Arial" w:hAnsi="Arial" w:cs="Arial" w:hint="default"/>
      <w:sz w:val="22"/>
      <w:szCs w:val="22"/>
    </w:rPr>
  </w:style>
  <w:style w:type="character" w:customStyle="1" w:styleId="ListLabel16">
    <w:name w:val="ListLabel 16"/>
    <w:rsid w:val="00140B7C"/>
    <w:rPr>
      <w:rFonts w:ascii="Arial" w:hAnsi="Arial" w:cs="Arial" w:hint="default"/>
      <w:spacing w:val="-3"/>
      <w:sz w:val="22"/>
      <w:szCs w:val="22"/>
    </w:rPr>
  </w:style>
  <w:style w:type="character" w:customStyle="1" w:styleId="ListLabel17">
    <w:name w:val="ListLabel 17"/>
    <w:rsid w:val="00140B7C"/>
    <w:rPr>
      <w:rFonts w:ascii="Arial" w:hAnsi="Arial" w:cs="Arial" w:hint="default"/>
      <w:spacing w:val="9"/>
      <w:sz w:val="22"/>
      <w:szCs w:val="22"/>
    </w:rPr>
  </w:style>
  <w:style w:type="character" w:customStyle="1" w:styleId="ListLabel18">
    <w:name w:val="ListLabel 18"/>
    <w:rsid w:val="00140B7C"/>
    <w:rPr>
      <w:rFonts w:ascii="Arial" w:hAnsi="Arial" w:cs="Arial" w:hint="default"/>
      <w:spacing w:val="3"/>
      <w:sz w:val="22"/>
      <w:szCs w:val="22"/>
    </w:rPr>
  </w:style>
  <w:style w:type="character" w:customStyle="1" w:styleId="ListLabel19">
    <w:name w:val="ListLabel 19"/>
    <w:rsid w:val="00140B7C"/>
    <w:rPr>
      <w:rFonts w:ascii="Arial" w:hAnsi="Arial" w:cs="Arial" w:hint="default"/>
      <w:spacing w:val="-10"/>
      <w:w w:val="115"/>
      <w:sz w:val="22"/>
      <w:szCs w:val="22"/>
    </w:rPr>
  </w:style>
  <w:style w:type="character" w:customStyle="1" w:styleId="ListLabel20">
    <w:name w:val="ListLabel 20"/>
    <w:rsid w:val="00140B7C"/>
    <w:rPr>
      <w:rFonts w:ascii="Arial" w:hAnsi="Arial" w:cs="Arial" w:hint="default"/>
      <w:spacing w:val="-2"/>
      <w:w w:val="115"/>
      <w:sz w:val="22"/>
      <w:szCs w:val="22"/>
    </w:rPr>
  </w:style>
  <w:style w:type="character" w:customStyle="1" w:styleId="ListLabel21">
    <w:name w:val="ListLabel 21"/>
    <w:rsid w:val="00140B7C"/>
    <w:rPr>
      <w:rFonts w:ascii="Times" w:hAnsi="Times" w:cs="Times" w:hint="default"/>
      <w:spacing w:val="-2"/>
      <w:w w:val="115"/>
      <w:sz w:val="19"/>
      <w:szCs w:val="19"/>
    </w:rPr>
  </w:style>
  <w:style w:type="character" w:customStyle="1" w:styleId="ListLabel22">
    <w:name w:val="ListLabel 22"/>
    <w:rsid w:val="00140B7C"/>
    <w:rPr>
      <w:rFonts w:ascii="Times" w:hAnsi="Times" w:cs="Times" w:hint="default"/>
      <w:spacing w:val="-8"/>
      <w:w w:val="115"/>
      <w:sz w:val="19"/>
      <w:szCs w:val="19"/>
    </w:rPr>
  </w:style>
  <w:style w:type="character" w:customStyle="1" w:styleId="ListLabel23">
    <w:name w:val="ListLabel 23"/>
    <w:rsid w:val="00140B7C"/>
    <w:rPr>
      <w:rFonts w:ascii="Arial" w:hAnsi="Arial" w:cs="Arial" w:hint="default"/>
      <w:spacing w:val="-12"/>
      <w:w w:val="115"/>
      <w:sz w:val="22"/>
      <w:szCs w:val="22"/>
    </w:rPr>
  </w:style>
  <w:style w:type="character" w:customStyle="1" w:styleId="ListLabel24">
    <w:name w:val="ListLabel 24"/>
    <w:rsid w:val="00140B7C"/>
    <w:rPr>
      <w:rFonts w:ascii="Arial" w:hAnsi="Arial" w:cs="Arial" w:hint="default"/>
      <w:spacing w:val="-2"/>
      <w:sz w:val="22"/>
      <w:szCs w:val="22"/>
    </w:rPr>
  </w:style>
  <w:style w:type="character" w:customStyle="1" w:styleId="ListLabel25">
    <w:name w:val="ListLabel 25"/>
    <w:rsid w:val="00140B7C"/>
    <w:rPr>
      <w:b w:val="0"/>
      <w:bCs/>
      <w:spacing w:val="-5"/>
      <w:w w:val="110"/>
      <w:sz w:val="20"/>
      <w:szCs w:val="20"/>
    </w:rPr>
  </w:style>
  <w:style w:type="character" w:customStyle="1" w:styleId="ListLabel26">
    <w:name w:val="ListLabel 26"/>
    <w:rsid w:val="00140B7C"/>
    <w:rPr>
      <w:rFonts w:ascii="Arial" w:hAnsi="Arial" w:cs="Arial" w:hint="default"/>
      <w:b w:val="0"/>
      <w:bCs/>
      <w:spacing w:val="-2"/>
      <w:w w:val="110"/>
      <w:sz w:val="22"/>
      <w:szCs w:val="22"/>
    </w:rPr>
  </w:style>
  <w:style w:type="character" w:customStyle="1" w:styleId="ListLabel27">
    <w:name w:val="ListLabel 27"/>
    <w:rsid w:val="00140B7C"/>
    <w:rPr>
      <w:b w:val="0"/>
      <w:bCs/>
      <w:spacing w:val="-5"/>
      <w:w w:val="110"/>
      <w:sz w:val="22"/>
      <w:szCs w:val="20"/>
    </w:rPr>
  </w:style>
  <w:style w:type="character" w:customStyle="1" w:styleId="ListLabel28">
    <w:name w:val="ListLabel 28"/>
    <w:rsid w:val="00140B7C"/>
    <w:rPr>
      <w:b w:val="0"/>
      <w:bCs/>
      <w:spacing w:val="-4"/>
      <w:w w:val="110"/>
      <w:sz w:val="22"/>
      <w:szCs w:val="20"/>
    </w:rPr>
  </w:style>
  <w:style w:type="character" w:customStyle="1" w:styleId="ListLabel29">
    <w:name w:val="ListLabel 29"/>
    <w:rsid w:val="00140B7C"/>
    <w:rPr>
      <w:rFonts w:ascii="Arial" w:hAnsi="Arial" w:cs="Arial" w:hint="default"/>
      <w:spacing w:val="5"/>
      <w:sz w:val="22"/>
      <w:szCs w:val="22"/>
    </w:rPr>
  </w:style>
  <w:style w:type="character" w:customStyle="1" w:styleId="ListLabel30">
    <w:name w:val="ListLabel 30"/>
    <w:rsid w:val="00140B7C"/>
    <w:rPr>
      <w:rFonts w:ascii="Times" w:hAnsi="Times" w:cs="Times" w:hint="default"/>
      <w:spacing w:val="2"/>
      <w:sz w:val="19"/>
      <w:szCs w:val="19"/>
    </w:rPr>
  </w:style>
  <w:style w:type="character" w:customStyle="1" w:styleId="ListLabel31">
    <w:name w:val="ListLabel 31"/>
    <w:rsid w:val="00140B7C"/>
    <w:rPr>
      <w:rFonts w:ascii="Symbol" w:hAnsi="Symbol" w:cs="Symbol" w:hint="default"/>
      <w:spacing w:val="4"/>
      <w:sz w:val="19"/>
      <w:szCs w:val="19"/>
    </w:rPr>
  </w:style>
  <w:style w:type="character" w:customStyle="1" w:styleId="ListLabel32">
    <w:name w:val="ListLabel 32"/>
    <w:rsid w:val="00140B7C"/>
    <w:rPr>
      <w:rFonts w:ascii="Times" w:hAnsi="Times" w:cs="Times" w:hint="default"/>
      <w:spacing w:val="1"/>
      <w:sz w:val="15"/>
      <w:szCs w:val="15"/>
    </w:rPr>
  </w:style>
  <w:style w:type="character" w:customStyle="1" w:styleId="ListLabel33">
    <w:name w:val="ListLabel 33"/>
    <w:rsid w:val="00140B7C"/>
    <w:rPr>
      <w:rFonts w:ascii="Times" w:hAnsi="Times" w:cs="Times" w:hint="default"/>
      <w:spacing w:val="-1"/>
      <w:sz w:val="15"/>
      <w:szCs w:val="15"/>
    </w:rPr>
  </w:style>
  <w:style w:type="character" w:customStyle="1" w:styleId="ListLabel34">
    <w:name w:val="ListLabel 34"/>
    <w:rsid w:val="00140B7C"/>
    <w:rPr>
      <w:rFonts w:ascii="Times" w:hAnsi="Times" w:cs="Times" w:hint="default"/>
      <w:sz w:val="15"/>
      <w:szCs w:val="15"/>
    </w:rPr>
  </w:style>
  <w:style w:type="character" w:customStyle="1" w:styleId="ListLabel35">
    <w:name w:val="ListLabel 35"/>
    <w:rsid w:val="00140B7C"/>
    <w:rPr>
      <w:rFonts w:ascii="Times" w:hAnsi="Times" w:cs="Times" w:hint="default"/>
      <w:spacing w:val="3"/>
      <w:sz w:val="15"/>
      <w:szCs w:val="15"/>
    </w:rPr>
  </w:style>
  <w:style w:type="character" w:customStyle="1" w:styleId="ListLabel36">
    <w:name w:val="ListLabel 36"/>
    <w:rsid w:val="00140B7C"/>
    <w:rPr>
      <w:rFonts w:ascii="Arial" w:hAnsi="Arial" w:cs="Arial" w:hint="default"/>
    </w:rPr>
  </w:style>
  <w:style w:type="character" w:customStyle="1" w:styleId="ListLabel37">
    <w:name w:val="ListLabel 37"/>
    <w:rsid w:val="00140B7C"/>
    <w:rPr>
      <w:u w:val="single"/>
    </w:rPr>
  </w:style>
  <w:style w:type="character" w:customStyle="1" w:styleId="ListLabel38">
    <w:name w:val="ListLabel 38"/>
    <w:rsid w:val="00140B7C"/>
    <w:rPr>
      <w:rFonts w:ascii="Times New Roman" w:hAnsi="Times New Roman" w:cs="Times New Roman" w:hint="default"/>
      <w:strike w:val="0"/>
      <w:dstrike w:val="0"/>
      <w:u w:val="none"/>
      <w:effect w:val="none"/>
    </w:rPr>
  </w:style>
  <w:style w:type="character" w:customStyle="1" w:styleId="ListLabel39">
    <w:name w:val="ListLabel 39"/>
    <w:rsid w:val="00140B7C"/>
    <w:rPr>
      <w:rFonts w:ascii="Times New Roman" w:hAnsi="Times New Roman" w:cs="Times New Roman" w:hint="default"/>
    </w:rPr>
  </w:style>
  <w:style w:type="character" w:customStyle="1" w:styleId="ListLabel40">
    <w:name w:val="ListLabel 40"/>
    <w:rsid w:val="00140B7C"/>
    <w:rPr>
      <w:rFonts w:ascii="Courier New" w:hAnsi="Courier New" w:cs="Courier New" w:hint="default"/>
    </w:rPr>
  </w:style>
  <w:style w:type="character" w:customStyle="1" w:styleId="ListLabel41">
    <w:name w:val="ListLabel 41"/>
    <w:rsid w:val="00140B7C"/>
    <w:rPr>
      <w:color w:val="00000A"/>
    </w:rPr>
  </w:style>
  <w:style w:type="character" w:customStyle="1" w:styleId="ListLabel42">
    <w:name w:val="ListLabel 42"/>
    <w:rsid w:val="00140B7C"/>
    <w:rPr>
      <w:rFonts w:ascii="Calibri" w:hAnsi="Calibri" w:cs="Calibri" w:hint="default"/>
    </w:rPr>
  </w:style>
  <w:style w:type="character" w:customStyle="1" w:styleId="st1">
    <w:name w:val="st1"/>
    <w:rsid w:val="00140B7C"/>
  </w:style>
  <w:style w:type="table" w:customStyle="1" w:styleId="TableGrid9">
    <w:name w:val="Table Grid9"/>
    <w:basedOn w:val="TableNormal"/>
    <w:next w:val="TableGrid"/>
    <w:uiPriority w:val="59"/>
    <w:rsid w:val="00140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fStdHeaderStyle">
    <w:name w:val="RefStdHeaderStyle"/>
    <w:basedOn w:val="TableNormal"/>
    <w:uiPriority w:val="99"/>
    <w:rsid w:val="00140B7C"/>
    <w:pPr>
      <w:spacing w:after="0" w:line="240" w:lineRule="auto"/>
    </w:pPr>
    <w:rPr>
      <w:rFonts w:ascii="Times New Roman" w:eastAsia="Calibri" w:hAnsi="Times New Roman" w:cs="Times New Roman"/>
      <w:sz w:val="24"/>
      <w:u w:val="singl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cs="Times New Roman" w:hint="default"/>
        <w:color w:val="000000" w:themeColor="text1"/>
        <w:sz w:val="24"/>
        <w:szCs w:val="24"/>
        <w:u w:val="single"/>
      </w:rPr>
      <w:tblPr/>
      <w:tcPr>
        <w:tcBorders>
          <w:top w:val="nil"/>
          <w:left w:val="nil"/>
          <w:bottom w:val="nil"/>
          <w:right w:val="nil"/>
          <w:insideH w:val="nil"/>
          <w:insideV w:val="nil"/>
        </w:tcBorders>
      </w:tcPr>
    </w:tblStylePr>
  </w:style>
  <w:style w:type="table" w:customStyle="1" w:styleId="TableGrid13">
    <w:name w:val="Table Grid13"/>
    <w:basedOn w:val="TableNormal"/>
    <w:rsid w:val="00140B7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140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40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40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140B7C"/>
  </w:style>
  <w:style w:type="table" w:customStyle="1" w:styleId="TableGrid10">
    <w:name w:val="Table Grid10"/>
    <w:basedOn w:val="TableNormal"/>
    <w:next w:val="TableGrid"/>
    <w:uiPriority w:val="59"/>
    <w:rsid w:val="00140B7C"/>
    <w:pPr>
      <w:widowControl w:val="0"/>
      <w:kinsoku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140B7C"/>
  </w:style>
  <w:style w:type="numbering" w:customStyle="1" w:styleId="NoList22">
    <w:name w:val="No List22"/>
    <w:next w:val="NoList"/>
    <w:uiPriority w:val="99"/>
    <w:semiHidden/>
    <w:unhideWhenUsed/>
    <w:rsid w:val="00140B7C"/>
  </w:style>
  <w:style w:type="numbering" w:customStyle="1" w:styleId="NoList31">
    <w:name w:val="No List31"/>
    <w:next w:val="NoList"/>
    <w:uiPriority w:val="99"/>
    <w:semiHidden/>
    <w:unhideWhenUsed/>
    <w:rsid w:val="00140B7C"/>
  </w:style>
  <w:style w:type="numbering" w:customStyle="1" w:styleId="NoList112">
    <w:name w:val="No List112"/>
    <w:next w:val="NoList"/>
    <w:uiPriority w:val="99"/>
    <w:semiHidden/>
    <w:unhideWhenUsed/>
    <w:rsid w:val="00140B7C"/>
  </w:style>
  <w:style w:type="table" w:customStyle="1" w:styleId="TableGrid14">
    <w:name w:val="Table Grid14"/>
    <w:basedOn w:val="TableNormal"/>
    <w:next w:val="TableGrid"/>
    <w:uiPriority w:val="59"/>
    <w:rsid w:val="00140B7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40B7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140B7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40B7C"/>
  </w:style>
  <w:style w:type="numbering" w:customStyle="1" w:styleId="NoList51">
    <w:name w:val="No List51"/>
    <w:next w:val="NoList"/>
    <w:uiPriority w:val="99"/>
    <w:semiHidden/>
    <w:unhideWhenUsed/>
    <w:rsid w:val="00140B7C"/>
  </w:style>
  <w:style w:type="numbering" w:customStyle="1" w:styleId="NoList61">
    <w:name w:val="No List61"/>
    <w:next w:val="NoList"/>
    <w:uiPriority w:val="99"/>
    <w:semiHidden/>
    <w:unhideWhenUsed/>
    <w:rsid w:val="00140B7C"/>
  </w:style>
  <w:style w:type="numbering" w:customStyle="1" w:styleId="NoList121">
    <w:name w:val="No List121"/>
    <w:next w:val="NoList"/>
    <w:uiPriority w:val="99"/>
    <w:semiHidden/>
    <w:unhideWhenUsed/>
    <w:rsid w:val="00140B7C"/>
  </w:style>
  <w:style w:type="numbering" w:customStyle="1" w:styleId="NoList1111">
    <w:name w:val="No List1111"/>
    <w:next w:val="NoList"/>
    <w:uiPriority w:val="99"/>
    <w:semiHidden/>
    <w:unhideWhenUsed/>
    <w:rsid w:val="00140B7C"/>
  </w:style>
  <w:style w:type="numbering" w:customStyle="1" w:styleId="NoList211">
    <w:name w:val="No List211"/>
    <w:next w:val="NoList"/>
    <w:uiPriority w:val="99"/>
    <w:semiHidden/>
    <w:unhideWhenUsed/>
    <w:rsid w:val="00140B7C"/>
  </w:style>
  <w:style w:type="numbering" w:customStyle="1" w:styleId="NoList71">
    <w:name w:val="No List71"/>
    <w:next w:val="NoList"/>
    <w:uiPriority w:val="99"/>
    <w:semiHidden/>
    <w:unhideWhenUsed/>
    <w:rsid w:val="00140B7C"/>
  </w:style>
  <w:style w:type="table" w:customStyle="1" w:styleId="TableGrid32">
    <w:name w:val="Table Grid32"/>
    <w:basedOn w:val="TableNormal"/>
    <w:next w:val="TableGrid"/>
    <w:rsid w:val="00140B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140B7C"/>
  </w:style>
  <w:style w:type="numbering" w:customStyle="1" w:styleId="Style12">
    <w:name w:val="Style12"/>
    <w:rsid w:val="00140B7C"/>
    <w:pPr>
      <w:numPr>
        <w:numId w:val="28"/>
      </w:numPr>
    </w:pPr>
  </w:style>
  <w:style w:type="table" w:customStyle="1" w:styleId="TableGrid15">
    <w:name w:val="Table Grid15"/>
    <w:basedOn w:val="TableNormal"/>
    <w:next w:val="TableGrid"/>
    <w:rsid w:val="00140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vr">
    <w:name w:val="hvr"/>
    <w:basedOn w:val="DefaultParagraphFont"/>
    <w:rsid w:val="00140B7C"/>
  </w:style>
  <w:style w:type="numbering" w:customStyle="1" w:styleId="NoList110">
    <w:name w:val="No List110"/>
    <w:next w:val="NoList"/>
    <w:uiPriority w:val="99"/>
    <w:semiHidden/>
    <w:unhideWhenUsed/>
    <w:rsid w:val="00140B7C"/>
  </w:style>
  <w:style w:type="numbering" w:customStyle="1" w:styleId="NoList23">
    <w:name w:val="No List23"/>
    <w:next w:val="NoList"/>
    <w:uiPriority w:val="99"/>
    <w:semiHidden/>
    <w:unhideWhenUsed/>
    <w:rsid w:val="00140B7C"/>
  </w:style>
  <w:style w:type="numbering" w:customStyle="1" w:styleId="NoList32">
    <w:name w:val="No List32"/>
    <w:next w:val="NoList"/>
    <w:uiPriority w:val="99"/>
    <w:semiHidden/>
    <w:unhideWhenUsed/>
    <w:rsid w:val="00140B7C"/>
  </w:style>
  <w:style w:type="table" w:customStyle="1" w:styleId="TableGrid16">
    <w:name w:val="Table Grid16"/>
    <w:basedOn w:val="TableNormal"/>
    <w:next w:val="TableGrid"/>
    <w:uiPriority w:val="59"/>
    <w:rsid w:val="00140B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40B7C"/>
  </w:style>
  <w:style w:type="table" w:customStyle="1" w:styleId="TableGrid24">
    <w:name w:val="Table Grid24"/>
    <w:basedOn w:val="TableNormal"/>
    <w:next w:val="TableGrid"/>
    <w:rsid w:val="00140B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40B7C"/>
  </w:style>
  <w:style w:type="numbering" w:customStyle="1" w:styleId="NoList62">
    <w:name w:val="No List62"/>
    <w:next w:val="NoList"/>
    <w:uiPriority w:val="99"/>
    <w:semiHidden/>
    <w:unhideWhenUsed/>
    <w:rsid w:val="00140B7C"/>
  </w:style>
  <w:style w:type="numbering" w:customStyle="1" w:styleId="NoList72">
    <w:name w:val="No List72"/>
    <w:next w:val="NoList"/>
    <w:uiPriority w:val="99"/>
    <w:semiHidden/>
    <w:unhideWhenUsed/>
    <w:rsid w:val="00140B7C"/>
  </w:style>
  <w:style w:type="numbering" w:customStyle="1" w:styleId="NoList81">
    <w:name w:val="No List81"/>
    <w:next w:val="NoList"/>
    <w:uiPriority w:val="99"/>
    <w:semiHidden/>
    <w:unhideWhenUsed/>
    <w:rsid w:val="00140B7C"/>
  </w:style>
  <w:style w:type="numbering" w:customStyle="1" w:styleId="NoList91">
    <w:name w:val="No List91"/>
    <w:next w:val="NoList"/>
    <w:uiPriority w:val="99"/>
    <w:semiHidden/>
    <w:unhideWhenUsed/>
    <w:rsid w:val="00140B7C"/>
  </w:style>
  <w:style w:type="numbering" w:customStyle="1" w:styleId="NoList101">
    <w:name w:val="No List101"/>
    <w:next w:val="NoList"/>
    <w:uiPriority w:val="99"/>
    <w:semiHidden/>
    <w:unhideWhenUsed/>
    <w:rsid w:val="00140B7C"/>
  </w:style>
  <w:style w:type="numbering" w:customStyle="1" w:styleId="NoList113">
    <w:name w:val="No List113"/>
    <w:next w:val="NoList"/>
    <w:uiPriority w:val="99"/>
    <w:semiHidden/>
    <w:unhideWhenUsed/>
    <w:rsid w:val="00140B7C"/>
  </w:style>
  <w:style w:type="character" w:customStyle="1" w:styleId="bumpedfont15">
    <w:name w:val="bumpedfont15"/>
    <w:basedOn w:val="DefaultParagraphFont"/>
    <w:rsid w:val="00140B7C"/>
  </w:style>
  <w:style w:type="numbering" w:customStyle="1" w:styleId="NoList122">
    <w:name w:val="No List122"/>
    <w:next w:val="NoList"/>
    <w:uiPriority w:val="99"/>
    <w:semiHidden/>
    <w:unhideWhenUsed/>
    <w:rsid w:val="00140B7C"/>
  </w:style>
  <w:style w:type="table" w:customStyle="1" w:styleId="TableGrid33">
    <w:name w:val="Table Grid33"/>
    <w:basedOn w:val="TableNormal"/>
    <w:next w:val="TableGrid"/>
    <w:uiPriority w:val="59"/>
    <w:rsid w:val="00140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140B7C"/>
  </w:style>
  <w:style w:type="character" w:customStyle="1" w:styleId="invtname">
    <w:name w:val="invtname"/>
    <w:basedOn w:val="DefaultParagraphFont"/>
    <w:rsid w:val="00140B7C"/>
  </w:style>
  <w:style w:type="table" w:customStyle="1" w:styleId="TableGrid17">
    <w:name w:val="Table Grid17"/>
    <w:basedOn w:val="TableNormal"/>
    <w:next w:val="TableGrid"/>
    <w:uiPriority w:val="59"/>
    <w:rsid w:val="00140B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140B7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rsid w:val="00140B7C"/>
    <w:pPr>
      <w:numPr>
        <w:numId w:val="33"/>
      </w:numPr>
    </w:pPr>
  </w:style>
  <w:style w:type="character" w:customStyle="1" w:styleId="UnresolvedMention3">
    <w:name w:val="Unresolved Mention3"/>
    <w:basedOn w:val="DefaultParagraphFont"/>
    <w:uiPriority w:val="99"/>
    <w:semiHidden/>
    <w:unhideWhenUsed/>
    <w:rsid w:val="00140B7C"/>
    <w:rPr>
      <w:color w:val="605E5C"/>
      <w:shd w:val="clear" w:color="auto" w:fill="E1DFDD"/>
    </w:rPr>
  </w:style>
  <w:style w:type="character" w:customStyle="1" w:styleId="normaltextrun">
    <w:name w:val="normaltextrun"/>
    <w:basedOn w:val="DefaultParagraphFont"/>
    <w:rsid w:val="00140B7C"/>
  </w:style>
  <w:style w:type="character" w:customStyle="1" w:styleId="ICCSECTIONl0L5Char">
    <w:name w:val="ICCSECTION_l0_L5 Char"/>
    <w:link w:val="ICCSECTIONl0L5"/>
    <w:uiPriority w:val="99"/>
    <w:locked/>
    <w:rsid w:val="00140B7C"/>
    <w:rPr>
      <w:rFonts w:ascii="Arial" w:eastAsia="Times New Roman" w:hAnsi="Arial" w:cs="Arial"/>
      <w:b/>
      <w:bCs/>
    </w:rPr>
  </w:style>
  <w:style w:type="character" w:customStyle="1" w:styleId="ilfuvd">
    <w:name w:val="ilfuvd"/>
    <w:basedOn w:val="DefaultParagraphFont"/>
    <w:rsid w:val="00140B7C"/>
    <w:rPr>
      <w:rFonts w:ascii="Times New Roman" w:hAnsi="Times New Roman" w:cs="Times New Roman" w:hint="default"/>
    </w:rPr>
  </w:style>
  <w:style w:type="paragraph" w:customStyle="1" w:styleId="xmsonormal">
    <w:name w:val="x_msonormal"/>
    <w:basedOn w:val="Normal"/>
    <w:rsid w:val="00140B7C"/>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65962</Words>
  <Characters>375985</Characters>
  <Application>Microsoft Office Word</Application>
  <DocSecurity>0</DocSecurity>
  <Lines>3133</Lines>
  <Paragraphs>882</Paragraphs>
  <ScaleCrop>false</ScaleCrop>
  <HeadingPairs>
    <vt:vector size="2" baseType="variant">
      <vt:variant>
        <vt:lpstr>Title</vt:lpstr>
      </vt:variant>
      <vt:variant>
        <vt:i4>1</vt:i4>
      </vt:variant>
    </vt:vector>
  </HeadingPairs>
  <TitlesOfParts>
    <vt:vector size="1" baseType="lpstr">
      <vt:lpstr/>
    </vt:vector>
  </TitlesOfParts>
  <Company>Department of Buildings</Company>
  <LinksUpToDate>false</LinksUpToDate>
  <CharactersWithSpaces>441065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Diandra Clinton (Buildings)</dc:creator>
  <cp:keywords/>
  <dc:description/>
  <cp:lastModifiedBy>DelFranco, Ruthie</cp:lastModifiedBy>
  <cp:revision>5</cp:revision>
  <dcterms:created xsi:type="dcterms:W3CDTF">2022-12-19T14:58:00Z</dcterms:created>
  <dcterms:modified xsi:type="dcterms:W3CDTF">2023-01-04T13:49:00Z</dcterms:modified>
</cp:coreProperties>
</file>