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F27F3" w14:textId="77777777" w:rsidR="00DD0181" w:rsidRPr="001D5750" w:rsidRDefault="00DD0181" w:rsidP="001D5750">
      <w:pPr>
        <w:tabs>
          <w:tab w:val="left" w:pos="0"/>
        </w:tabs>
        <w:jc w:val="right"/>
      </w:pPr>
      <w:r w:rsidRPr="001D5750">
        <w:rPr>
          <w:u w:val="single"/>
        </w:rPr>
        <w:t>Governmental Operations Committee Staff</w:t>
      </w:r>
    </w:p>
    <w:p w14:paraId="1BDC5678" w14:textId="77777777" w:rsidR="00DD0181" w:rsidRPr="001D5750" w:rsidRDefault="005E78A5" w:rsidP="001D5750">
      <w:pPr>
        <w:tabs>
          <w:tab w:val="left" w:pos="0"/>
        </w:tabs>
        <w:jc w:val="right"/>
        <w:rPr>
          <w:i/>
        </w:rPr>
      </w:pPr>
      <w:r w:rsidRPr="001D5750">
        <w:t>CJ</w:t>
      </w:r>
      <w:r w:rsidR="00DD0181" w:rsidRPr="001D5750">
        <w:t xml:space="preserve"> Murray, </w:t>
      </w:r>
      <w:r w:rsidR="005F5F1C" w:rsidRPr="001D5750">
        <w:rPr>
          <w:i/>
          <w:iCs/>
        </w:rPr>
        <w:t xml:space="preserve">Senior </w:t>
      </w:r>
      <w:r w:rsidR="00DD0181" w:rsidRPr="001D5750">
        <w:rPr>
          <w:i/>
        </w:rPr>
        <w:t>Legislative Counsel</w:t>
      </w:r>
    </w:p>
    <w:p w14:paraId="6EEDEE1E" w14:textId="77777777" w:rsidR="00DD0181" w:rsidRPr="001D5750" w:rsidRDefault="006725A9" w:rsidP="001D5750">
      <w:pPr>
        <w:tabs>
          <w:tab w:val="left" w:pos="0"/>
        </w:tabs>
        <w:jc w:val="right"/>
        <w:rPr>
          <w:i/>
        </w:rPr>
      </w:pPr>
      <w:r w:rsidRPr="001D5750">
        <w:t xml:space="preserve">Erica Cohen, </w:t>
      </w:r>
      <w:r w:rsidRPr="001D5750">
        <w:rPr>
          <w:i/>
        </w:rPr>
        <w:t>Legislative Policy Analyst</w:t>
      </w:r>
    </w:p>
    <w:p w14:paraId="38D4DB67" w14:textId="77777777" w:rsidR="005D6C82" w:rsidRPr="001D5750" w:rsidRDefault="005D6C82" w:rsidP="001D5750">
      <w:pPr>
        <w:tabs>
          <w:tab w:val="left" w:pos="0"/>
        </w:tabs>
        <w:jc w:val="right"/>
        <w:rPr>
          <w:i/>
        </w:rPr>
      </w:pPr>
    </w:p>
    <w:p w14:paraId="58F1C47A" w14:textId="77777777" w:rsidR="005D6C82" w:rsidRPr="001D5750" w:rsidRDefault="005D6C82" w:rsidP="001D5750">
      <w:pPr>
        <w:tabs>
          <w:tab w:val="left" w:pos="0"/>
        </w:tabs>
        <w:jc w:val="right"/>
        <w:rPr>
          <w:i/>
        </w:rPr>
      </w:pPr>
    </w:p>
    <w:p w14:paraId="4E0B4FCA" w14:textId="77777777" w:rsidR="005D6C82" w:rsidRPr="001D5750" w:rsidRDefault="005D6C82" w:rsidP="001D5750">
      <w:pPr>
        <w:tabs>
          <w:tab w:val="left" w:pos="0"/>
        </w:tabs>
        <w:rPr>
          <w:i/>
        </w:rPr>
      </w:pPr>
    </w:p>
    <w:p w14:paraId="2300DF90" w14:textId="77777777" w:rsidR="005D6C82" w:rsidRPr="001D5750" w:rsidRDefault="005D6C82" w:rsidP="001D5750">
      <w:pPr>
        <w:tabs>
          <w:tab w:val="left" w:pos="0"/>
        </w:tabs>
        <w:rPr>
          <w:i/>
        </w:rPr>
      </w:pPr>
    </w:p>
    <w:p w14:paraId="738D4F5B" w14:textId="77777777" w:rsidR="005D6C82" w:rsidRPr="001D5750" w:rsidRDefault="005D6C82" w:rsidP="001D5750">
      <w:pPr>
        <w:tabs>
          <w:tab w:val="left" w:pos="0"/>
        </w:tabs>
        <w:rPr>
          <w:i/>
        </w:rPr>
      </w:pPr>
    </w:p>
    <w:p w14:paraId="0F2A512B" w14:textId="77777777" w:rsidR="005D6C82" w:rsidRPr="001D5750" w:rsidRDefault="005D6C82" w:rsidP="001D5750">
      <w:pPr>
        <w:tabs>
          <w:tab w:val="left" w:pos="0"/>
        </w:tabs>
        <w:jc w:val="right"/>
        <w:rPr>
          <w:i/>
        </w:rPr>
      </w:pPr>
    </w:p>
    <w:p w14:paraId="6578A2E1" w14:textId="77777777" w:rsidR="00DD0181" w:rsidRPr="001D5750" w:rsidRDefault="00BB2740" w:rsidP="001D5750">
      <w:pPr>
        <w:tabs>
          <w:tab w:val="left" w:pos="0"/>
        </w:tabs>
        <w:jc w:val="right"/>
      </w:pPr>
      <w:r w:rsidRPr="001D5750">
        <w:rPr>
          <w:b/>
          <w:noProof/>
        </w:rPr>
        <w:drawing>
          <wp:anchor distT="0" distB="0" distL="114300" distR="114300" simplePos="0" relativeHeight="251658240" behindDoc="0" locked="0" layoutInCell="1" allowOverlap="1" wp14:anchorId="2BBDD67F" wp14:editId="2CDA9BC8">
            <wp:simplePos x="0" y="0"/>
            <wp:positionH relativeFrom="margin">
              <wp:align>center</wp:align>
            </wp:positionH>
            <wp:positionV relativeFrom="paragraph">
              <wp:posOffset>10160</wp:posOffset>
            </wp:positionV>
            <wp:extent cx="1168400" cy="1094105"/>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8400" cy="1094105"/>
                    </a:xfrm>
                    <a:prstGeom prst="rect">
                      <a:avLst/>
                    </a:prstGeom>
                    <a:noFill/>
                    <a:ln>
                      <a:noFill/>
                    </a:ln>
                  </pic:spPr>
                </pic:pic>
              </a:graphicData>
            </a:graphic>
          </wp:anchor>
        </w:drawing>
      </w:r>
    </w:p>
    <w:p w14:paraId="600D7DC9" w14:textId="77777777" w:rsidR="00BB2740" w:rsidRPr="001D5750" w:rsidRDefault="00BB2740" w:rsidP="001D5750">
      <w:pPr>
        <w:tabs>
          <w:tab w:val="left" w:pos="7517"/>
        </w:tabs>
        <w:jc w:val="center"/>
        <w:rPr>
          <w:b/>
          <w:bCs/>
        </w:rPr>
      </w:pPr>
      <w:r w:rsidRPr="001D5750">
        <w:rPr>
          <w:b/>
        </w:rPr>
        <w:br w:type="textWrapping" w:clear="all"/>
      </w:r>
    </w:p>
    <w:p w14:paraId="009F5F04" w14:textId="77777777" w:rsidR="00DD0181" w:rsidRPr="001D5750" w:rsidRDefault="00DD0181" w:rsidP="001D5750">
      <w:pPr>
        <w:tabs>
          <w:tab w:val="left" w:pos="7517"/>
        </w:tabs>
        <w:jc w:val="center"/>
        <w:rPr>
          <w:b/>
        </w:rPr>
      </w:pPr>
      <w:r w:rsidRPr="001D5750">
        <w:rPr>
          <w:b/>
          <w:bCs/>
        </w:rPr>
        <w:t>THE COUNCIL</w:t>
      </w:r>
    </w:p>
    <w:p w14:paraId="7D0CCB81" w14:textId="77777777" w:rsidR="005D6C82" w:rsidRPr="001D5750" w:rsidRDefault="005D6C82" w:rsidP="001D5750"/>
    <w:p w14:paraId="6EE816C3" w14:textId="77777777" w:rsidR="005D6C82" w:rsidRPr="001D5750" w:rsidRDefault="005D6C82" w:rsidP="001D5750"/>
    <w:p w14:paraId="58BE28CE" w14:textId="77777777" w:rsidR="00DD0181" w:rsidRPr="001D5750" w:rsidRDefault="00DD281C" w:rsidP="001D5750">
      <w:pPr>
        <w:pStyle w:val="Heading1"/>
        <w:keepNext w:val="0"/>
        <w:spacing w:line="240" w:lineRule="auto"/>
        <w:jc w:val="center"/>
        <w:rPr>
          <w:b/>
          <w:bCs/>
          <w:i w:val="0"/>
          <w:iCs w:val="0"/>
          <w:caps/>
          <w:u w:val="single"/>
        </w:rPr>
      </w:pPr>
      <w:r w:rsidRPr="001D5750">
        <w:rPr>
          <w:b/>
          <w:bCs/>
          <w:i w:val="0"/>
          <w:iCs w:val="0"/>
          <w:caps/>
          <w:u w:val="single"/>
        </w:rPr>
        <w:t>BRIEFING PAPER</w:t>
      </w:r>
      <w:r w:rsidR="00DD0181" w:rsidRPr="001D5750">
        <w:rPr>
          <w:b/>
          <w:bCs/>
          <w:i w:val="0"/>
          <w:iCs w:val="0"/>
          <w:caps/>
          <w:u w:val="single"/>
        </w:rPr>
        <w:t xml:space="preserve"> OF THE GOVERNMENTAL AFFAIRS Division</w:t>
      </w:r>
    </w:p>
    <w:p w14:paraId="12304B51" w14:textId="77777777" w:rsidR="00DD0181" w:rsidRPr="001D5750" w:rsidRDefault="0016314B" w:rsidP="001D5750">
      <w:pPr>
        <w:jc w:val="center"/>
        <w:rPr>
          <w:i/>
        </w:rPr>
      </w:pPr>
      <w:r w:rsidRPr="001D5750">
        <w:t>Andrea Vazquez</w:t>
      </w:r>
      <w:r w:rsidR="00DD0181" w:rsidRPr="001D5750">
        <w:t>,</w:t>
      </w:r>
      <w:r w:rsidR="00DD0181" w:rsidRPr="001D5750">
        <w:rPr>
          <w:i/>
        </w:rPr>
        <w:t xml:space="preserve"> Legislative Director </w:t>
      </w:r>
    </w:p>
    <w:p w14:paraId="61C62C27" w14:textId="77777777" w:rsidR="00DD0181" w:rsidRPr="001D5750" w:rsidRDefault="00DD0181" w:rsidP="001D5750">
      <w:pPr>
        <w:jc w:val="center"/>
        <w:rPr>
          <w:i/>
        </w:rPr>
      </w:pPr>
      <w:r w:rsidRPr="001D5750">
        <w:t xml:space="preserve">Rachel Cordero, Deputy Director, </w:t>
      </w:r>
      <w:r w:rsidRPr="001D5750">
        <w:rPr>
          <w:i/>
        </w:rPr>
        <w:t>Governmental Affairs</w:t>
      </w:r>
    </w:p>
    <w:p w14:paraId="0A98CA2F" w14:textId="77777777" w:rsidR="005D6C82" w:rsidRPr="001D5750" w:rsidRDefault="005D6C82" w:rsidP="001D5750">
      <w:pPr>
        <w:jc w:val="center"/>
        <w:rPr>
          <w:b/>
          <w:u w:val="single"/>
        </w:rPr>
      </w:pPr>
    </w:p>
    <w:p w14:paraId="229123C6" w14:textId="77777777" w:rsidR="005D6C82" w:rsidRPr="001D5750" w:rsidRDefault="005D6C82" w:rsidP="001D5750">
      <w:pPr>
        <w:jc w:val="center"/>
        <w:rPr>
          <w:b/>
          <w:u w:val="single"/>
        </w:rPr>
      </w:pPr>
    </w:p>
    <w:p w14:paraId="35162D56" w14:textId="77777777" w:rsidR="00DD0181" w:rsidRPr="001D5750" w:rsidRDefault="00DD0181" w:rsidP="001D5750">
      <w:pPr>
        <w:pStyle w:val="FootnoteText"/>
        <w:jc w:val="center"/>
        <w:rPr>
          <w:sz w:val="24"/>
          <w:szCs w:val="24"/>
        </w:rPr>
      </w:pPr>
      <w:r w:rsidRPr="001D5750">
        <w:rPr>
          <w:b/>
          <w:sz w:val="24"/>
          <w:szCs w:val="24"/>
          <w:u w:val="single"/>
        </w:rPr>
        <w:t>COMMITTEE ON GOVERNMENTAL OPERATIONS</w:t>
      </w:r>
    </w:p>
    <w:p w14:paraId="2ED5FDE1" w14:textId="77777777" w:rsidR="00DD0181" w:rsidRPr="001D5750" w:rsidRDefault="00DD0181" w:rsidP="001D5750">
      <w:pPr>
        <w:jc w:val="center"/>
        <w:rPr>
          <w:i/>
        </w:rPr>
      </w:pPr>
      <w:r w:rsidRPr="001D5750">
        <w:t xml:space="preserve">Hon. </w:t>
      </w:r>
      <w:r w:rsidR="00E11AFD" w:rsidRPr="001D5750">
        <w:t>Sandra Ung</w:t>
      </w:r>
      <w:r w:rsidRPr="001D5750">
        <w:t>,</w:t>
      </w:r>
      <w:r w:rsidRPr="001D5750">
        <w:rPr>
          <w:i/>
        </w:rPr>
        <w:t xml:space="preserve"> Chair</w:t>
      </w:r>
    </w:p>
    <w:p w14:paraId="62797F12" w14:textId="77777777" w:rsidR="005D6C82" w:rsidRPr="001D5750" w:rsidRDefault="005D6C82" w:rsidP="001D5750">
      <w:pPr>
        <w:pStyle w:val="Heading4"/>
        <w:keepNext w:val="0"/>
        <w:spacing w:before="0" w:after="0"/>
        <w:jc w:val="center"/>
        <w:rPr>
          <w:sz w:val="24"/>
          <w:szCs w:val="24"/>
        </w:rPr>
      </w:pPr>
    </w:p>
    <w:p w14:paraId="6A0CC9AD" w14:textId="77777777" w:rsidR="005D6C82" w:rsidRPr="001D5750" w:rsidRDefault="005D6C82" w:rsidP="001D5750">
      <w:pPr>
        <w:pStyle w:val="Heading4"/>
        <w:keepNext w:val="0"/>
        <w:spacing w:before="0" w:after="0"/>
        <w:jc w:val="center"/>
        <w:rPr>
          <w:sz w:val="24"/>
          <w:szCs w:val="24"/>
        </w:rPr>
      </w:pPr>
    </w:p>
    <w:p w14:paraId="07A1E085" w14:textId="77777777" w:rsidR="00DD0181" w:rsidRPr="001D5750" w:rsidRDefault="00EA33AB" w:rsidP="001D5750">
      <w:pPr>
        <w:pStyle w:val="Heading4"/>
        <w:keepNext w:val="0"/>
        <w:spacing w:before="0" w:after="0"/>
        <w:jc w:val="center"/>
        <w:rPr>
          <w:sz w:val="24"/>
          <w:szCs w:val="24"/>
        </w:rPr>
      </w:pPr>
      <w:r>
        <w:rPr>
          <w:sz w:val="24"/>
          <w:szCs w:val="24"/>
        </w:rPr>
        <w:t>December 13</w:t>
      </w:r>
      <w:r w:rsidR="00604413" w:rsidRPr="001D5750">
        <w:rPr>
          <w:sz w:val="24"/>
          <w:szCs w:val="24"/>
        </w:rPr>
        <w:t>,</w:t>
      </w:r>
      <w:r w:rsidR="00E11AFD" w:rsidRPr="001D5750">
        <w:rPr>
          <w:sz w:val="24"/>
          <w:szCs w:val="24"/>
        </w:rPr>
        <w:t xml:space="preserve"> 2022</w:t>
      </w:r>
    </w:p>
    <w:p w14:paraId="682F0CA8" w14:textId="77777777" w:rsidR="005D6C82" w:rsidRPr="001D5750" w:rsidRDefault="005D6C82" w:rsidP="001D5750"/>
    <w:p w14:paraId="700567AA" w14:textId="77777777" w:rsidR="005D6C82" w:rsidRPr="001D5750" w:rsidRDefault="005D6C82" w:rsidP="001D5750">
      <w:pPr>
        <w:widowControl w:val="0"/>
        <w:autoSpaceDE w:val="0"/>
        <w:autoSpaceDN w:val="0"/>
        <w:adjustRightInd w:val="0"/>
        <w:jc w:val="both"/>
        <w:rPr>
          <w:b/>
          <w:u w:val="single"/>
        </w:rPr>
      </w:pPr>
    </w:p>
    <w:p w14:paraId="1A66CE69" w14:textId="77777777" w:rsidR="00CF7656" w:rsidRPr="001D5750" w:rsidRDefault="0051634B" w:rsidP="001D5750">
      <w:pPr>
        <w:widowControl w:val="0"/>
        <w:autoSpaceDE w:val="0"/>
        <w:autoSpaceDN w:val="0"/>
        <w:adjustRightInd w:val="0"/>
        <w:ind w:left="2880" w:hanging="2880"/>
        <w:jc w:val="center"/>
        <w:rPr>
          <w:b/>
          <w:u w:val="single"/>
        </w:rPr>
      </w:pPr>
      <w:r w:rsidRPr="001D5750">
        <w:rPr>
          <w:b/>
          <w:u w:val="single"/>
        </w:rPr>
        <w:t>Oversight:</w:t>
      </w:r>
      <w:r w:rsidRPr="001D5750">
        <w:rPr>
          <w:u w:val="single"/>
        </w:rPr>
        <w:t xml:space="preserve"> </w:t>
      </w:r>
      <w:r w:rsidR="002A718F" w:rsidRPr="002A718F">
        <w:rPr>
          <w:b/>
          <w:u w:val="single"/>
        </w:rPr>
        <w:t>New York City’s Campaign Finance Program in the 2021 Citywide Elections</w:t>
      </w:r>
    </w:p>
    <w:p w14:paraId="75094A1D" w14:textId="77777777" w:rsidR="00CF7656" w:rsidRPr="001D5750" w:rsidRDefault="00CF7656" w:rsidP="001D5750">
      <w:pPr>
        <w:widowControl w:val="0"/>
        <w:autoSpaceDE w:val="0"/>
        <w:autoSpaceDN w:val="0"/>
        <w:adjustRightInd w:val="0"/>
        <w:ind w:left="2880" w:hanging="2880"/>
        <w:jc w:val="center"/>
        <w:rPr>
          <w:b/>
          <w:u w:val="single"/>
        </w:rPr>
      </w:pPr>
    </w:p>
    <w:p w14:paraId="006D2EAE" w14:textId="77777777" w:rsidR="00CF7656" w:rsidRPr="001D5750" w:rsidRDefault="00CF7656" w:rsidP="001D5750">
      <w:pPr>
        <w:widowControl w:val="0"/>
        <w:autoSpaceDE w:val="0"/>
        <w:autoSpaceDN w:val="0"/>
        <w:adjustRightInd w:val="0"/>
        <w:ind w:left="2880" w:hanging="2880"/>
        <w:jc w:val="center"/>
        <w:rPr>
          <w:b/>
          <w:u w:val="single"/>
        </w:rPr>
      </w:pPr>
    </w:p>
    <w:p w14:paraId="77A46B4D" w14:textId="5AC87577" w:rsidR="00CF7656" w:rsidRPr="001D5750" w:rsidRDefault="00D41409" w:rsidP="001D5750">
      <w:pPr>
        <w:ind w:left="1440" w:hanging="1440"/>
      </w:pPr>
      <w:r>
        <w:rPr>
          <w:b/>
          <w:bCs/>
          <w:u w:val="single"/>
        </w:rPr>
        <w:t>Preconsidered Int.</w:t>
      </w:r>
      <w:r w:rsidR="0034400E">
        <w:rPr>
          <w:b/>
          <w:bCs/>
          <w:u w:val="single"/>
        </w:rPr>
        <w:t xml:space="preserve"> 855</w:t>
      </w:r>
      <w:bookmarkStart w:id="0" w:name="_GoBack"/>
      <w:bookmarkEnd w:id="0"/>
      <w:r w:rsidR="00CF7656" w:rsidRPr="288A9C36">
        <w:rPr>
          <w:b/>
          <w:bCs/>
        </w:rPr>
        <w:t>:</w:t>
      </w:r>
      <w:r w:rsidR="00CF7656">
        <w:tab/>
        <w:t>By Council Members</w:t>
      </w:r>
      <w:r w:rsidR="00A34B15">
        <w:t xml:space="preserve"> Brooks-Powers</w:t>
      </w:r>
      <w:r w:rsidR="00B4331A">
        <w:t xml:space="preserve">, </w:t>
      </w:r>
      <w:r w:rsidR="00B4331A" w:rsidRPr="00814466">
        <w:rPr>
          <w:rFonts w:eastAsia="Calibri"/>
        </w:rPr>
        <w:t>Farías</w:t>
      </w:r>
      <w:r w:rsidR="002F530A">
        <w:t xml:space="preserve"> and</w:t>
      </w:r>
      <w:r w:rsidR="00603A90">
        <w:rPr>
          <w:color w:val="4D5156"/>
          <w:shd w:val="clear" w:color="auto" w:fill="FFFFFF"/>
        </w:rPr>
        <w:t xml:space="preserve"> </w:t>
      </w:r>
      <w:r w:rsidR="00603A90" w:rsidRPr="00414C08">
        <w:rPr>
          <w:shd w:val="clear" w:color="auto" w:fill="FFFFFF"/>
        </w:rPr>
        <w:t>Cabán</w:t>
      </w:r>
    </w:p>
    <w:p w14:paraId="79B55B9C" w14:textId="77777777" w:rsidR="00CF7656" w:rsidRPr="001D5750" w:rsidRDefault="00CF7656" w:rsidP="001D5750">
      <w:pPr>
        <w:ind w:left="1440" w:hanging="1440"/>
      </w:pPr>
    </w:p>
    <w:p w14:paraId="3D8877F8" w14:textId="77777777" w:rsidR="00CF7656" w:rsidRPr="001D5750" w:rsidRDefault="00CF7656" w:rsidP="002F530A">
      <w:pPr>
        <w:ind w:left="2160" w:hanging="2160"/>
      </w:pPr>
      <w:r w:rsidRPr="001D5750">
        <w:rPr>
          <w:b/>
          <w:u w:val="single"/>
        </w:rPr>
        <w:t>Title</w:t>
      </w:r>
      <w:r w:rsidRPr="001D5750">
        <w:rPr>
          <w:b/>
        </w:rPr>
        <w:t>:</w:t>
      </w:r>
      <w:r w:rsidRPr="001D5750">
        <w:t xml:space="preserve"> </w:t>
      </w:r>
      <w:r w:rsidRPr="001D5750">
        <w:tab/>
      </w:r>
      <w:r w:rsidR="00F27A5A">
        <w:t>A local law to amend the New York city charter, in relation to requiring disclosure of the identity of contributors to entities making independent expenditures in support of or in opposition to any municipal ballot proposal or referendum.</w:t>
      </w:r>
    </w:p>
    <w:p w14:paraId="376F2828" w14:textId="77777777" w:rsidR="005D6C82" w:rsidRPr="001D5750" w:rsidRDefault="005D6C82" w:rsidP="001D5750">
      <w:pPr>
        <w:widowControl w:val="0"/>
        <w:autoSpaceDE w:val="0"/>
        <w:autoSpaceDN w:val="0"/>
        <w:adjustRightInd w:val="0"/>
        <w:spacing w:after="480"/>
        <w:ind w:left="2880" w:hanging="2880"/>
        <w:jc w:val="center"/>
        <w:rPr>
          <w:b/>
          <w:u w:val="single"/>
        </w:rPr>
      </w:pPr>
    </w:p>
    <w:p w14:paraId="3E644FD0" w14:textId="77777777" w:rsidR="005D6C82" w:rsidRPr="001D5750" w:rsidRDefault="005D6C82" w:rsidP="001D5750">
      <w:pPr>
        <w:widowControl w:val="0"/>
        <w:autoSpaceDE w:val="0"/>
        <w:autoSpaceDN w:val="0"/>
        <w:adjustRightInd w:val="0"/>
        <w:spacing w:after="480"/>
        <w:rPr>
          <w:b/>
          <w:u w:val="single"/>
        </w:rPr>
      </w:pPr>
    </w:p>
    <w:p w14:paraId="2956AAC4" w14:textId="77777777" w:rsidR="005D6C82" w:rsidRPr="001D5750" w:rsidRDefault="005D6C82" w:rsidP="001D5750">
      <w:pPr>
        <w:widowControl w:val="0"/>
        <w:autoSpaceDE w:val="0"/>
        <w:autoSpaceDN w:val="0"/>
        <w:adjustRightInd w:val="0"/>
        <w:spacing w:after="480"/>
        <w:ind w:left="2880" w:hanging="2880"/>
        <w:jc w:val="center"/>
        <w:rPr>
          <w:b/>
          <w:u w:val="single"/>
        </w:rPr>
        <w:sectPr w:rsidR="005D6C82" w:rsidRPr="001D5750" w:rsidSect="005D6C82">
          <w:headerReference w:type="even" r:id="rId12"/>
          <w:headerReference w:type="default" r:id="rId13"/>
          <w:footerReference w:type="default" r:id="rId14"/>
          <w:pgSz w:w="12240" w:h="15840"/>
          <w:pgMar w:top="1440" w:right="1440" w:bottom="1440" w:left="1440" w:header="720" w:footer="720" w:gutter="0"/>
          <w:cols w:space="720"/>
          <w:titlePg/>
          <w:docGrid w:linePitch="360"/>
        </w:sectPr>
      </w:pPr>
    </w:p>
    <w:p w14:paraId="7CE1F0A0" w14:textId="77777777" w:rsidR="00DD0181" w:rsidRPr="001D5750" w:rsidRDefault="00DD0181" w:rsidP="001D5750">
      <w:pPr>
        <w:pStyle w:val="Heading1"/>
        <w:keepNext w:val="0"/>
        <w:numPr>
          <w:ilvl w:val="0"/>
          <w:numId w:val="8"/>
        </w:numPr>
        <w:rPr>
          <w:b/>
          <w:i w:val="0"/>
          <w:smallCaps/>
          <w:u w:val="single"/>
        </w:rPr>
      </w:pPr>
      <w:r w:rsidRPr="001D5750">
        <w:rPr>
          <w:b/>
          <w:i w:val="0"/>
          <w:smallCaps/>
          <w:u w:val="single"/>
        </w:rPr>
        <w:lastRenderedPageBreak/>
        <w:t>Introduction</w:t>
      </w:r>
    </w:p>
    <w:p w14:paraId="02D918A6" w14:textId="77777777" w:rsidR="006725A9" w:rsidRPr="001D5750" w:rsidRDefault="006725A9" w:rsidP="00216A87">
      <w:pPr>
        <w:pStyle w:val="Heading1"/>
        <w:keepNext w:val="0"/>
        <w:ind w:firstLine="720"/>
        <w:rPr>
          <w:i w:val="0"/>
          <w:iCs w:val="0"/>
        </w:rPr>
      </w:pPr>
      <w:r w:rsidRPr="288A9C36">
        <w:rPr>
          <w:i w:val="0"/>
          <w:iCs w:val="0"/>
        </w:rPr>
        <w:t xml:space="preserve">On </w:t>
      </w:r>
      <w:r w:rsidR="00EA33AB">
        <w:rPr>
          <w:i w:val="0"/>
          <w:iCs w:val="0"/>
        </w:rPr>
        <w:t>December 13</w:t>
      </w:r>
      <w:r w:rsidRPr="288A9C36">
        <w:rPr>
          <w:i w:val="0"/>
          <w:iCs w:val="0"/>
        </w:rPr>
        <w:t>, 2022, the Committee on Governmental Operations, chaired by Council Member Sandra Ung, will hold an oversight hearing</w:t>
      </w:r>
      <w:r w:rsidR="00EA33AB">
        <w:rPr>
          <w:i w:val="0"/>
          <w:iCs w:val="0"/>
        </w:rPr>
        <w:t xml:space="preserve"> on the </w:t>
      </w:r>
      <w:r w:rsidR="0058054B">
        <w:rPr>
          <w:i w:val="0"/>
          <w:iCs w:val="0"/>
        </w:rPr>
        <w:t>operation of the City’s campaign finance program in the 2021 citywide elections</w:t>
      </w:r>
      <w:r w:rsidR="00CF7656" w:rsidRPr="288A9C36">
        <w:rPr>
          <w:i w:val="0"/>
          <w:iCs w:val="0"/>
        </w:rPr>
        <w:t>.</w:t>
      </w:r>
      <w:r w:rsidR="00EF18CA" w:rsidRPr="288A9C36">
        <w:rPr>
          <w:i w:val="0"/>
          <w:iCs w:val="0"/>
        </w:rPr>
        <w:t xml:space="preserve"> </w:t>
      </w:r>
      <w:r w:rsidR="003C7010" w:rsidRPr="288A9C36">
        <w:rPr>
          <w:i w:val="0"/>
          <w:iCs w:val="0"/>
        </w:rPr>
        <w:t>In addition, t</w:t>
      </w:r>
      <w:r w:rsidRPr="288A9C36">
        <w:rPr>
          <w:i w:val="0"/>
          <w:iCs w:val="0"/>
        </w:rPr>
        <w:t xml:space="preserve">he Committee will </w:t>
      </w:r>
      <w:r w:rsidR="00E62454" w:rsidRPr="288A9C36">
        <w:rPr>
          <w:i w:val="0"/>
          <w:iCs w:val="0"/>
        </w:rPr>
        <w:t>hear</w:t>
      </w:r>
      <w:r w:rsidR="00D41409">
        <w:rPr>
          <w:i w:val="0"/>
          <w:iCs w:val="0"/>
        </w:rPr>
        <w:t xml:space="preserve"> the Preconsidered </w:t>
      </w:r>
      <w:r w:rsidR="007B4BD3" w:rsidRPr="288A9C36">
        <w:rPr>
          <w:i w:val="0"/>
          <w:iCs w:val="0"/>
        </w:rPr>
        <w:t>Int</w:t>
      </w:r>
      <w:r w:rsidR="00D41409">
        <w:rPr>
          <w:i w:val="0"/>
          <w:iCs w:val="0"/>
        </w:rPr>
        <w:t xml:space="preserve">., </w:t>
      </w:r>
      <w:r w:rsidR="00CF7656" w:rsidRPr="288A9C36">
        <w:rPr>
          <w:i w:val="0"/>
          <w:iCs w:val="0"/>
        </w:rPr>
        <w:t>sponsored by Council Member</w:t>
      </w:r>
      <w:r w:rsidR="002F530A">
        <w:rPr>
          <w:i w:val="0"/>
          <w:iCs w:val="0"/>
        </w:rPr>
        <w:t>s</w:t>
      </w:r>
      <w:r w:rsidR="00CF7656" w:rsidRPr="288A9C36">
        <w:rPr>
          <w:i w:val="0"/>
          <w:iCs w:val="0"/>
        </w:rPr>
        <w:t xml:space="preserve"> </w:t>
      </w:r>
      <w:r w:rsidR="00A34B15">
        <w:rPr>
          <w:i w:val="0"/>
          <w:iCs w:val="0"/>
        </w:rPr>
        <w:t>Brooks-Powers</w:t>
      </w:r>
      <w:r w:rsidR="00B4331A">
        <w:rPr>
          <w:i w:val="0"/>
          <w:iCs w:val="0"/>
        </w:rPr>
        <w:t xml:space="preserve">, </w:t>
      </w:r>
      <w:r w:rsidR="00B4331A" w:rsidRPr="00B4331A">
        <w:rPr>
          <w:rFonts w:eastAsia="Calibri"/>
          <w:i w:val="0"/>
        </w:rPr>
        <w:t>Farías</w:t>
      </w:r>
      <w:r w:rsidR="002F530A">
        <w:rPr>
          <w:i w:val="0"/>
          <w:iCs w:val="0"/>
        </w:rPr>
        <w:t xml:space="preserve"> and</w:t>
      </w:r>
      <w:r w:rsidR="00603A90">
        <w:rPr>
          <w:i w:val="0"/>
          <w:color w:val="4D5156"/>
          <w:shd w:val="clear" w:color="auto" w:fill="FFFFFF"/>
        </w:rPr>
        <w:t xml:space="preserve"> </w:t>
      </w:r>
      <w:r w:rsidR="00603A90" w:rsidRPr="00414C08">
        <w:rPr>
          <w:i w:val="0"/>
          <w:shd w:val="clear" w:color="auto" w:fill="FFFFFF"/>
        </w:rPr>
        <w:t>Cabán</w:t>
      </w:r>
      <w:r w:rsidRPr="288A9C36">
        <w:rPr>
          <w:i w:val="0"/>
          <w:iCs w:val="0"/>
        </w:rPr>
        <w:t>, in relation</w:t>
      </w:r>
      <w:r w:rsidR="0053155C">
        <w:rPr>
          <w:i w:val="0"/>
          <w:iCs w:val="0"/>
        </w:rPr>
        <w:t xml:space="preserve"> to requiring disclosure of the identity of contributors to entities making independent expenditures in support of </w:t>
      </w:r>
      <w:r w:rsidR="0058054B">
        <w:rPr>
          <w:i w:val="0"/>
          <w:iCs w:val="0"/>
        </w:rPr>
        <w:t>o</w:t>
      </w:r>
      <w:r w:rsidR="0053155C">
        <w:rPr>
          <w:i w:val="0"/>
          <w:iCs w:val="0"/>
        </w:rPr>
        <w:t>r in opposition to any municipal ballot proposal or referendum</w:t>
      </w:r>
      <w:r w:rsidRPr="288A9C36">
        <w:rPr>
          <w:i w:val="0"/>
          <w:iCs w:val="0"/>
        </w:rPr>
        <w:t>.</w:t>
      </w:r>
      <w:r w:rsidR="00EF18CA" w:rsidRPr="288A9C36">
        <w:rPr>
          <w:i w:val="0"/>
          <w:iCs w:val="0"/>
        </w:rPr>
        <w:t xml:space="preserve"> </w:t>
      </w:r>
      <w:r w:rsidRPr="288A9C36">
        <w:rPr>
          <w:i w:val="0"/>
          <w:iCs w:val="0"/>
        </w:rPr>
        <w:t>Among those invited to testify are representatives from</w:t>
      </w:r>
      <w:r w:rsidR="00EA33AB">
        <w:rPr>
          <w:i w:val="0"/>
          <w:iCs w:val="0"/>
        </w:rPr>
        <w:t xml:space="preserve"> </w:t>
      </w:r>
      <w:r w:rsidRPr="288A9C36">
        <w:rPr>
          <w:i w:val="0"/>
          <w:iCs w:val="0"/>
        </w:rPr>
        <w:t xml:space="preserve">the New York City Campaign Finance Board (“CFB”), advocacy organizations, and </w:t>
      </w:r>
      <w:r w:rsidR="00CF7656" w:rsidRPr="288A9C36">
        <w:rPr>
          <w:i w:val="0"/>
          <w:iCs w:val="0"/>
        </w:rPr>
        <w:t xml:space="preserve">other </w:t>
      </w:r>
      <w:r w:rsidRPr="288A9C36">
        <w:rPr>
          <w:i w:val="0"/>
          <w:iCs w:val="0"/>
        </w:rPr>
        <w:t>members of the public</w:t>
      </w:r>
    </w:p>
    <w:p w14:paraId="5D9348C8" w14:textId="77777777" w:rsidR="00125058" w:rsidRPr="00125058" w:rsidRDefault="00CF7656" w:rsidP="00FE01A5">
      <w:pPr>
        <w:pStyle w:val="Heading1"/>
        <w:keepNext w:val="0"/>
        <w:numPr>
          <w:ilvl w:val="0"/>
          <w:numId w:val="8"/>
        </w:numPr>
        <w:jc w:val="left"/>
        <w:rPr>
          <w:rFonts w:eastAsia="Calibri Light"/>
        </w:rPr>
      </w:pPr>
      <w:r w:rsidRPr="001D5750">
        <w:rPr>
          <w:rFonts w:eastAsia="Calibri Light"/>
          <w:b/>
          <w:i w:val="0"/>
          <w:iCs w:val="0"/>
          <w:smallCaps/>
          <w:u w:val="single"/>
        </w:rPr>
        <w:t>Backgroun</w:t>
      </w:r>
      <w:r w:rsidR="00125058">
        <w:rPr>
          <w:rFonts w:eastAsia="Calibri Light"/>
          <w:b/>
          <w:i w:val="0"/>
          <w:iCs w:val="0"/>
          <w:smallCaps/>
          <w:u w:val="single"/>
        </w:rPr>
        <w:t>d</w:t>
      </w:r>
    </w:p>
    <w:p w14:paraId="765C0E80" w14:textId="77777777" w:rsidR="00CF7656" w:rsidRDefault="00C9194A" w:rsidP="00FE01A5">
      <w:pPr>
        <w:pStyle w:val="Heading1"/>
        <w:keepNext w:val="0"/>
        <w:numPr>
          <w:ilvl w:val="1"/>
          <w:numId w:val="8"/>
        </w:numPr>
        <w:jc w:val="left"/>
        <w:rPr>
          <w:rFonts w:eastAsia="Calibri Light"/>
          <w:b/>
          <w:bCs/>
          <w:u w:val="single"/>
        </w:rPr>
      </w:pPr>
      <w:r w:rsidRPr="00125058">
        <w:rPr>
          <w:rFonts w:eastAsia="Calibri Light"/>
          <w:b/>
          <w:bCs/>
          <w:u w:val="single"/>
        </w:rPr>
        <w:t>Campaign Finance Board</w:t>
      </w:r>
      <w:r w:rsidR="002C1E89">
        <w:rPr>
          <w:rFonts w:eastAsia="Calibri Light"/>
          <w:b/>
          <w:bCs/>
          <w:u w:val="single"/>
        </w:rPr>
        <w:t xml:space="preserve"> and the Campaign Finance Act</w:t>
      </w:r>
    </w:p>
    <w:p w14:paraId="44A54048" w14:textId="77777777" w:rsidR="00C9194A" w:rsidRDefault="2E233EC3" w:rsidP="00A34B15">
      <w:pPr>
        <w:pStyle w:val="Heading1"/>
        <w:ind w:firstLine="720"/>
        <w:jc w:val="left"/>
        <w:rPr>
          <w:color w:val="000000" w:themeColor="text1"/>
        </w:rPr>
      </w:pPr>
      <w:r w:rsidRPr="07EFC875">
        <w:rPr>
          <w:i w:val="0"/>
          <w:iCs w:val="0"/>
          <w:color w:val="000000" w:themeColor="text1"/>
        </w:rPr>
        <w:t>T</w:t>
      </w:r>
      <w:r w:rsidR="00C9194A" w:rsidRPr="07EFC875">
        <w:rPr>
          <w:i w:val="0"/>
          <w:iCs w:val="0"/>
          <w:color w:val="000000" w:themeColor="text1"/>
        </w:rPr>
        <w:t xml:space="preserve">he Campaign Finance Board </w:t>
      </w:r>
      <w:r w:rsidR="6C1E4994" w:rsidRPr="07EFC875">
        <w:rPr>
          <w:i w:val="0"/>
          <w:iCs w:val="0"/>
          <w:color w:val="000000" w:themeColor="text1"/>
        </w:rPr>
        <w:t xml:space="preserve">is </w:t>
      </w:r>
      <w:r w:rsidR="00C9194A" w:rsidRPr="07EFC875">
        <w:rPr>
          <w:i w:val="0"/>
          <w:iCs w:val="0"/>
          <w:color w:val="000000" w:themeColor="text1"/>
        </w:rPr>
        <w:t>an independent, nonpartisan agency.</w:t>
      </w:r>
      <w:r w:rsidR="00C9194A" w:rsidRPr="00216A87">
        <w:rPr>
          <w:rStyle w:val="FootnoteReference"/>
          <w:bCs/>
          <w:i w:val="0"/>
          <w:color w:val="000000" w:themeColor="text1"/>
        </w:rPr>
        <w:footnoteReference w:id="2"/>
      </w:r>
      <w:r w:rsidR="00C9194A" w:rsidRPr="00A34B15">
        <w:rPr>
          <w:i w:val="0"/>
          <w:iCs w:val="0"/>
          <w:color w:val="000000" w:themeColor="text1"/>
        </w:rPr>
        <w:t xml:space="preserve"> </w:t>
      </w:r>
      <w:r w:rsidR="00C9194A" w:rsidRPr="07EFC875">
        <w:rPr>
          <w:i w:val="0"/>
          <w:iCs w:val="0"/>
          <w:color w:val="000000" w:themeColor="text1"/>
        </w:rPr>
        <w:t>The CFB</w:t>
      </w:r>
      <w:r w:rsidR="00A34B15">
        <w:rPr>
          <w:i w:val="0"/>
          <w:iCs w:val="0"/>
          <w:color w:val="000000" w:themeColor="text1"/>
        </w:rPr>
        <w:t xml:space="preserve"> i</w:t>
      </w:r>
      <w:r w:rsidR="00C9194A" w:rsidRPr="07EFC875">
        <w:rPr>
          <w:i w:val="0"/>
          <w:iCs w:val="0"/>
          <w:color w:val="000000" w:themeColor="text1"/>
        </w:rPr>
        <w:t xml:space="preserve">s </w:t>
      </w:r>
      <w:r w:rsidR="00A34B15">
        <w:rPr>
          <w:i w:val="0"/>
          <w:iCs w:val="0"/>
          <w:color w:val="000000" w:themeColor="text1"/>
        </w:rPr>
        <w:t>headed by a b</w:t>
      </w:r>
      <w:r w:rsidR="00C9194A" w:rsidRPr="07EFC875">
        <w:rPr>
          <w:i w:val="0"/>
          <w:iCs w:val="0"/>
          <w:color w:val="000000" w:themeColor="text1"/>
        </w:rPr>
        <w:t>oard consist</w:t>
      </w:r>
      <w:r w:rsidR="00A34B15">
        <w:rPr>
          <w:i w:val="0"/>
          <w:iCs w:val="0"/>
          <w:color w:val="000000" w:themeColor="text1"/>
        </w:rPr>
        <w:t>ing</w:t>
      </w:r>
      <w:r w:rsidR="00C9194A" w:rsidRPr="07EFC875">
        <w:rPr>
          <w:i w:val="0"/>
          <w:iCs w:val="0"/>
          <w:color w:val="000000" w:themeColor="text1"/>
        </w:rPr>
        <w:t xml:space="preserve"> of five members, two of which are appointed by the Speaker, two of which are appointed by the Mayor, and one of which—the Chairperson—is appointed by the Mayor in consultation with the Speaker.</w:t>
      </w:r>
      <w:r w:rsidR="00C9194A" w:rsidRPr="00216A87">
        <w:rPr>
          <w:rStyle w:val="FootnoteReference"/>
          <w:i w:val="0"/>
          <w:color w:val="000000" w:themeColor="text1"/>
        </w:rPr>
        <w:footnoteReference w:id="3"/>
      </w:r>
    </w:p>
    <w:p w14:paraId="129FE6B2" w14:textId="77777777" w:rsidR="00C9194A" w:rsidRDefault="00C9194A" w:rsidP="00216A87">
      <w:pPr>
        <w:widowControl w:val="0"/>
        <w:spacing w:line="480" w:lineRule="auto"/>
        <w:ind w:firstLine="720"/>
        <w:jc w:val="both"/>
      </w:pPr>
      <w:r w:rsidRPr="40188F83">
        <w:rPr>
          <w:color w:val="000000" w:themeColor="text1"/>
        </w:rPr>
        <w:t>The Campaign Finance Act (“the CFA”)</w:t>
      </w:r>
      <w:r w:rsidR="00FE01A5">
        <w:rPr>
          <w:color w:val="000000" w:themeColor="text1"/>
        </w:rPr>
        <w:t xml:space="preserve">, </w:t>
      </w:r>
      <w:r w:rsidR="00B9373E">
        <w:rPr>
          <w:color w:val="000000" w:themeColor="text1"/>
        </w:rPr>
        <w:t xml:space="preserve">which the CFB </w:t>
      </w:r>
      <w:r w:rsidR="113C3D09">
        <w:rPr>
          <w:color w:val="000000" w:themeColor="text1"/>
        </w:rPr>
        <w:t xml:space="preserve">is charged with </w:t>
      </w:r>
      <w:r w:rsidR="0058054B">
        <w:rPr>
          <w:color w:val="000000" w:themeColor="text1"/>
        </w:rPr>
        <w:t xml:space="preserve">administering and </w:t>
      </w:r>
      <w:r w:rsidR="113C3D09">
        <w:rPr>
          <w:color w:val="000000" w:themeColor="text1"/>
        </w:rPr>
        <w:t>enforcing</w:t>
      </w:r>
      <w:r w:rsidR="00B9373E">
        <w:rPr>
          <w:color w:val="000000" w:themeColor="text1"/>
        </w:rPr>
        <w:t>,</w:t>
      </w:r>
      <w:r w:rsidRPr="40188F83">
        <w:rPr>
          <w:color w:val="000000" w:themeColor="text1"/>
        </w:rPr>
        <w:t xml:space="preserve"> </w:t>
      </w:r>
      <w:r w:rsidR="000365B4">
        <w:rPr>
          <w:color w:val="000000" w:themeColor="text1"/>
        </w:rPr>
        <w:t xml:space="preserve">regulates spending in local elections and </w:t>
      </w:r>
      <w:r w:rsidRPr="40188F83">
        <w:rPr>
          <w:color w:val="000000" w:themeColor="text1"/>
        </w:rPr>
        <w:t xml:space="preserve">provides participating candidates with public funds to help finance their campaigns. Candidates who choose to participate in the public financing program are eligible to </w:t>
      </w:r>
      <w:r w:rsidR="00950522">
        <w:rPr>
          <w:color w:val="000000" w:themeColor="text1"/>
        </w:rPr>
        <w:t>receive $8 in public funds fo</w:t>
      </w:r>
      <w:r w:rsidR="000365B4">
        <w:rPr>
          <w:color w:val="000000" w:themeColor="text1"/>
        </w:rPr>
        <w:t>r every matchable dollar raised. I</w:t>
      </w:r>
      <w:r w:rsidRPr="40188F83">
        <w:rPr>
          <w:color w:val="000000" w:themeColor="text1"/>
        </w:rPr>
        <w:t>n exchange</w:t>
      </w:r>
      <w:r w:rsidR="000365B4">
        <w:rPr>
          <w:color w:val="000000" w:themeColor="text1"/>
        </w:rPr>
        <w:t>,</w:t>
      </w:r>
      <w:r w:rsidRPr="40188F83">
        <w:rPr>
          <w:color w:val="000000" w:themeColor="text1"/>
        </w:rPr>
        <w:t xml:space="preserve"> </w:t>
      </w:r>
      <w:r w:rsidR="000365B4">
        <w:rPr>
          <w:color w:val="000000" w:themeColor="text1"/>
        </w:rPr>
        <w:t>participating</w:t>
      </w:r>
      <w:r w:rsidR="000365B4" w:rsidRPr="40188F83">
        <w:rPr>
          <w:color w:val="000000" w:themeColor="text1"/>
        </w:rPr>
        <w:t xml:space="preserve"> </w:t>
      </w:r>
      <w:r w:rsidRPr="40188F83">
        <w:rPr>
          <w:color w:val="000000" w:themeColor="text1"/>
        </w:rPr>
        <w:t xml:space="preserve">candidates </w:t>
      </w:r>
      <w:r w:rsidR="000365B4">
        <w:rPr>
          <w:color w:val="000000" w:themeColor="text1"/>
        </w:rPr>
        <w:t>must abide</w:t>
      </w:r>
      <w:r w:rsidR="002C1E89">
        <w:rPr>
          <w:color w:val="000000" w:themeColor="text1"/>
        </w:rPr>
        <w:t xml:space="preserve"> </w:t>
      </w:r>
      <w:r w:rsidRPr="40188F83">
        <w:rPr>
          <w:color w:val="000000" w:themeColor="text1"/>
        </w:rPr>
        <w:t xml:space="preserve">by </w:t>
      </w:r>
      <w:r w:rsidR="002C1E89">
        <w:rPr>
          <w:color w:val="000000" w:themeColor="text1"/>
        </w:rPr>
        <w:t xml:space="preserve">certain </w:t>
      </w:r>
      <w:r w:rsidRPr="40188F83">
        <w:rPr>
          <w:color w:val="000000" w:themeColor="text1"/>
        </w:rPr>
        <w:t>expenditure limits and other requirements.</w:t>
      </w:r>
      <w:r w:rsidRPr="00216A87">
        <w:rPr>
          <w:rStyle w:val="FootnoteReference"/>
          <w:bCs/>
          <w:iCs/>
          <w:color w:val="000000" w:themeColor="text1"/>
        </w:rPr>
        <w:footnoteReference w:id="4"/>
      </w:r>
      <w:r w:rsidRPr="40188F83">
        <w:rPr>
          <w:color w:val="000000" w:themeColor="text1"/>
        </w:rPr>
        <w:t xml:space="preserve"> Regardless of their participation in the program, all candidates for local office must abide by certain contribution limits.</w:t>
      </w:r>
      <w:r w:rsidRPr="00216A87">
        <w:rPr>
          <w:rStyle w:val="FootnoteReference"/>
          <w:bCs/>
          <w:iCs/>
          <w:color w:val="000000" w:themeColor="text1"/>
        </w:rPr>
        <w:footnoteReference w:id="5"/>
      </w:r>
      <w:r w:rsidR="00A71291" w:rsidRPr="00A34B15">
        <w:rPr>
          <w:color w:val="000000" w:themeColor="text1"/>
        </w:rPr>
        <w:t xml:space="preserve"> </w:t>
      </w:r>
    </w:p>
    <w:p w14:paraId="1B61FAA8" w14:textId="77777777" w:rsidR="00C9194A" w:rsidRDefault="00C9194A" w:rsidP="00216A87">
      <w:pPr>
        <w:widowControl w:val="0"/>
        <w:spacing w:line="480" w:lineRule="auto"/>
        <w:ind w:firstLine="720"/>
        <w:jc w:val="both"/>
      </w:pPr>
      <w:r>
        <w:lastRenderedPageBreak/>
        <w:t>In order to be eligible for matchin</w:t>
      </w:r>
      <w:r w:rsidR="00A71291">
        <w:t xml:space="preserve">g funds, campaigns must raise </w:t>
      </w:r>
      <w:r w:rsidR="000365B4">
        <w:t>a minimum</w:t>
      </w:r>
      <w:r>
        <w:t xml:space="preserve"> amount </w:t>
      </w:r>
      <w:r w:rsidR="00A71291">
        <w:t xml:space="preserve">of money </w:t>
      </w:r>
      <w:r>
        <w:t>and receive contributions of $10 or more from a mini</w:t>
      </w:r>
      <w:r w:rsidR="00125058">
        <w:t>mum number of individual donors.</w:t>
      </w:r>
      <w:r w:rsidR="00FE01A5">
        <w:t xml:space="preserve"> This ensures that candidates have</w:t>
      </w:r>
      <w:r w:rsidR="7D8FDEE6">
        <w:t xml:space="preserve"> </w:t>
      </w:r>
      <w:r w:rsidR="002C1E89">
        <w:t>a sufficient</w:t>
      </w:r>
      <w:r w:rsidR="00A71291">
        <w:t xml:space="preserve"> amount of</w:t>
      </w:r>
      <w:r w:rsidR="00FE01A5">
        <w:t xml:space="preserve"> public support before they can receive public funds.  </w:t>
      </w:r>
    </w:p>
    <w:p w14:paraId="18D9B728" w14:textId="77777777" w:rsidR="002C1E89" w:rsidRDefault="002C1E89" w:rsidP="00216A87">
      <w:pPr>
        <w:widowControl w:val="0"/>
        <w:spacing w:line="480" w:lineRule="auto"/>
        <w:ind w:firstLine="720"/>
        <w:jc w:val="both"/>
      </w:pPr>
      <w:r w:rsidRPr="40188F83">
        <w:rPr>
          <w:color w:val="000000" w:themeColor="text1"/>
        </w:rPr>
        <w:t>The intent of the CFA is</w:t>
      </w:r>
      <w:r w:rsidR="005F1D81">
        <w:rPr>
          <w:color w:val="000000" w:themeColor="text1"/>
        </w:rPr>
        <w:t>, among other things,</w:t>
      </w:r>
      <w:r w:rsidRPr="40188F83">
        <w:rPr>
          <w:color w:val="000000" w:themeColor="text1"/>
        </w:rPr>
        <w:t xml:space="preserve"> “</w:t>
      </w:r>
      <w:r w:rsidR="00747BF1">
        <w:rPr>
          <w:color w:val="000000" w:themeColor="text1"/>
        </w:rPr>
        <w:t xml:space="preserve">to improve popular understanding of local issues, to increase participation in local elections by voters and candidates, </w:t>
      </w:r>
      <w:r w:rsidRPr="40188F83">
        <w:rPr>
          <w:color w:val="000000" w:themeColor="text1"/>
        </w:rPr>
        <w:t>to reduce improper influence of local officers by large campaign contributors and to enhance public confidence in local government.”</w:t>
      </w:r>
      <w:r w:rsidRPr="00216A87">
        <w:rPr>
          <w:rStyle w:val="FootnoteReference"/>
          <w:bCs/>
          <w:iCs/>
          <w:color w:val="000000" w:themeColor="text1"/>
        </w:rPr>
        <w:footnoteReference w:id="6"/>
      </w:r>
      <w:r w:rsidRPr="40188F83">
        <w:rPr>
          <w:color w:val="000000" w:themeColor="text1"/>
        </w:rPr>
        <w:t xml:space="preserve"> </w:t>
      </w:r>
      <w:r w:rsidRPr="26B6FE65">
        <w:rPr>
          <w:color w:val="000000" w:themeColor="text1"/>
        </w:rPr>
        <w:t>The program has been credited with improving the democratic process by increasing the diversity of representation of elected officials,</w:t>
      </w:r>
      <w:r w:rsidRPr="00936D7E">
        <w:rPr>
          <w:rStyle w:val="FootnoteReference"/>
          <w:bCs/>
          <w:iCs/>
          <w:color w:val="000000" w:themeColor="text1"/>
        </w:rPr>
        <w:footnoteReference w:id="7"/>
      </w:r>
      <w:r w:rsidRPr="26B6FE65">
        <w:rPr>
          <w:color w:val="000000" w:themeColor="text1"/>
        </w:rPr>
        <w:t xml:space="preserve"> limiting the potential impact of special-interest money, establishing greater engagement between voters and elected officials, and amplifying the value of small contributions.</w:t>
      </w:r>
      <w:r w:rsidRPr="26B6FE65">
        <w:rPr>
          <w:rStyle w:val="FootnoteReference"/>
        </w:rPr>
        <w:footnoteReference w:id="8"/>
      </w:r>
    </w:p>
    <w:p w14:paraId="73542EE1" w14:textId="77777777" w:rsidR="00C9194A" w:rsidRPr="00125058" w:rsidRDefault="00125058" w:rsidP="00FE01A5">
      <w:pPr>
        <w:pStyle w:val="Heading1"/>
        <w:numPr>
          <w:ilvl w:val="1"/>
          <w:numId w:val="8"/>
        </w:numPr>
        <w:jc w:val="left"/>
        <w:rPr>
          <w:rFonts w:eastAsia="Calibri Light"/>
          <w:b/>
          <w:u w:val="single"/>
        </w:rPr>
      </w:pPr>
      <w:r w:rsidRPr="00125058">
        <w:rPr>
          <w:rFonts w:eastAsia="Calibri Light"/>
          <w:b/>
          <w:u w:val="single"/>
        </w:rPr>
        <w:t>Campaign Finance Reforms</w:t>
      </w:r>
    </w:p>
    <w:p w14:paraId="7F975429" w14:textId="77777777" w:rsidR="00C9194A" w:rsidRDefault="00C9194A" w:rsidP="00216A87">
      <w:pPr>
        <w:widowControl w:val="0"/>
        <w:spacing w:line="480" w:lineRule="auto"/>
        <w:ind w:firstLine="720"/>
        <w:jc w:val="both"/>
      </w:pPr>
      <w:r w:rsidRPr="26B6FE65">
        <w:rPr>
          <w:color w:val="000000" w:themeColor="text1"/>
        </w:rPr>
        <w:t xml:space="preserve">The City Council has </w:t>
      </w:r>
      <w:r w:rsidR="25369418" w:rsidRPr="26B6FE65">
        <w:rPr>
          <w:color w:val="000000" w:themeColor="text1"/>
        </w:rPr>
        <w:t>been at the forefront of campaign</w:t>
      </w:r>
      <w:r w:rsidRPr="26B6FE65">
        <w:rPr>
          <w:color w:val="000000" w:themeColor="text1"/>
        </w:rPr>
        <w:t xml:space="preserve"> finance reforms since the enactment of Local Law 8 of 1988, which established publicly financed campaigns in New York City.</w:t>
      </w:r>
      <w:r w:rsidRPr="26B6FE65">
        <w:rPr>
          <w:rStyle w:val="FootnoteReference"/>
        </w:rPr>
        <w:footnoteReference w:id="9"/>
      </w:r>
      <w:r w:rsidRPr="26B6FE65">
        <w:rPr>
          <w:color w:val="000000" w:themeColor="text1"/>
        </w:rPr>
        <w:t xml:space="preserve"> When </w:t>
      </w:r>
      <w:r w:rsidR="002C1E89">
        <w:rPr>
          <w:color w:val="000000" w:themeColor="text1"/>
        </w:rPr>
        <w:t xml:space="preserve">the program was </w:t>
      </w:r>
      <w:r w:rsidRPr="26B6FE65">
        <w:rPr>
          <w:color w:val="000000" w:themeColor="text1"/>
        </w:rPr>
        <w:t>initially enacted, the City provided a dollar-for-dollar match for the firs</w:t>
      </w:r>
      <w:r w:rsidR="00A71291">
        <w:rPr>
          <w:color w:val="000000" w:themeColor="text1"/>
        </w:rPr>
        <w:t xml:space="preserve">t $1,000 of each contribution. </w:t>
      </w:r>
      <w:r w:rsidRPr="26B6FE65">
        <w:rPr>
          <w:color w:val="000000" w:themeColor="text1"/>
        </w:rPr>
        <w:t>The program has since been amended multiple times, and there is a long history of improvements to the law un</w:t>
      </w:r>
      <w:r w:rsidR="00A71291">
        <w:rPr>
          <w:color w:val="000000" w:themeColor="text1"/>
        </w:rPr>
        <w:t xml:space="preserve">der the Council’s stewardship. </w:t>
      </w:r>
      <w:r w:rsidRPr="26B6FE65">
        <w:rPr>
          <w:color w:val="000000" w:themeColor="text1"/>
        </w:rPr>
        <w:t>Among the many examples, in 1999, the Council passed a law to introduce a four-to-one match on the first $</w:t>
      </w:r>
      <w:r w:rsidR="00A71291">
        <w:rPr>
          <w:color w:val="000000" w:themeColor="text1"/>
        </w:rPr>
        <w:t xml:space="preserve">250 of eligible contributions. </w:t>
      </w:r>
      <w:r w:rsidRPr="26B6FE65">
        <w:rPr>
          <w:color w:val="000000" w:themeColor="text1"/>
        </w:rPr>
        <w:t xml:space="preserve">And, prior to the 2009 election, the Campaign Finance Act was amended to increase candidates’ access to public money by providing a six-to-one match for the first </w:t>
      </w:r>
      <w:r w:rsidR="00A71291">
        <w:rPr>
          <w:color w:val="000000" w:themeColor="text1"/>
        </w:rPr>
        <w:t xml:space="preserve">$175 of eligible </w:t>
      </w:r>
      <w:r w:rsidR="00A71291">
        <w:rPr>
          <w:color w:val="000000" w:themeColor="text1"/>
        </w:rPr>
        <w:lastRenderedPageBreak/>
        <w:t>contributions.</w:t>
      </w:r>
      <w:r w:rsidRPr="26B6FE65">
        <w:rPr>
          <w:rStyle w:val="FootnoteReference"/>
        </w:rPr>
        <w:footnoteReference w:id="10"/>
      </w:r>
      <w:r w:rsidRPr="26B6FE65">
        <w:rPr>
          <w:color w:val="000000" w:themeColor="text1"/>
        </w:rPr>
        <w:t xml:space="preserve"> </w:t>
      </w:r>
    </w:p>
    <w:p w14:paraId="6B84B4C9" w14:textId="77777777" w:rsidR="00C9194A" w:rsidRDefault="00C9194A" w:rsidP="00603A90">
      <w:pPr>
        <w:spacing w:line="480" w:lineRule="auto"/>
        <w:ind w:firstLine="720"/>
        <w:jc w:val="both"/>
      </w:pPr>
      <w:r>
        <w:t>In November 2018</w:t>
      </w:r>
      <w:r w:rsidR="009C0CA3">
        <w:t>,</w:t>
      </w:r>
      <w:r>
        <w:t xml:space="preserve"> voters approved </w:t>
      </w:r>
      <w:r w:rsidR="41841CA0">
        <w:t xml:space="preserve">the </w:t>
      </w:r>
      <w:r w:rsidR="08F50739">
        <w:t>latest changes</w:t>
      </w:r>
      <w:r>
        <w:t xml:space="preserve"> to the </w:t>
      </w:r>
      <w:r w:rsidR="00A71291">
        <w:t>City’s campaign finance system.</w:t>
      </w:r>
      <w:r>
        <w:t xml:space="preserve"> The first change lowered campaign contribution limits, the second increased the City’s matching </w:t>
      </w:r>
      <w:r w:rsidR="009C0CA3">
        <w:t xml:space="preserve">rate </w:t>
      </w:r>
      <w:r>
        <w:t xml:space="preserve">to </w:t>
      </w:r>
      <w:r w:rsidR="487106B6">
        <w:t>e</w:t>
      </w:r>
      <w:r w:rsidR="2D70E521">
        <w:t>ight-to-one</w:t>
      </w:r>
      <w:r>
        <w:t xml:space="preserve"> for up to the first $250 </w:t>
      </w:r>
      <w:r w:rsidR="3BA1B85E">
        <w:t>of eligible contributions f</w:t>
      </w:r>
      <w:r>
        <w:t>or citywide offices and the first $175 for borough president and city council races, and the third raised the cap on the amount of public matching funds candidates are eligible to receive</w:t>
      </w:r>
      <w:r w:rsidR="4CCBE360">
        <w:t>.</w:t>
      </w:r>
      <w:r>
        <w:t xml:space="preserve"> </w:t>
      </w:r>
      <w:r w:rsidR="74681354">
        <w:t>T</w:t>
      </w:r>
      <w:r>
        <w:t>he last</w:t>
      </w:r>
      <w:r w:rsidR="3AE416BA">
        <w:t xml:space="preserve"> change</w:t>
      </w:r>
      <w:r>
        <w:t xml:space="preserve"> made public funds available to candidates earlier in the election cycle.</w:t>
      </w:r>
      <w:r>
        <w:rPr>
          <w:rStyle w:val="FootnoteReference"/>
        </w:rPr>
        <w:footnoteReference w:id="11"/>
      </w:r>
      <w:r>
        <w:t xml:space="preserve"> </w:t>
      </w:r>
    </w:p>
    <w:p w14:paraId="5D1861A7" w14:textId="77777777" w:rsidR="00125058" w:rsidRPr="00125058" w:rsidRDefault="00125058" w:rsidP="00FE01A5">
      <w:pPr>
        <w:pStyle w:val="Heading1"/>
        <w:numPr>
          <w:ilvl w:val="1"/>
          <w:numId w:val="8"/>
        </w:numPr>
        <w:jc w:val="left"/>
        <w:rPr>
          <w:rFonts w:eastAsia="Calibri Light"/>
          <w:b/>
          <w:u w:val="single"/>
        </w:rPr>
      </w:pPr>
      <w:r w:rsidRPr="00125058">
        <w:rPr>
          <w:rFonts w:eastAsia="Calibri Light"/>
          <w:b/>
          <w:u w:val="single"/>
        </w:rPr>
        <w:t>2021 CFB Matching Funds Program</w:t>
      </w:r>
    </w:p>
    <w:p w14:paraId="0B672D65" w14:textId="77777777" w:rsidR="00C9194A" w:rsidRDefault="00C9194A" w:rsidP="00216A87">
      <w:pPr>
        <w:spacing w:line="480" w:lineRule="auto"/>
        <w:ind w:firstLine="720"/>
        <w:jc w:val="both"/>
      </w:pPr>
      <w:r>
        <w:t>T</w:t>
      </w:r>
      <w:r w:rsidRPr="6C07A1B2">
        <w:t>he amount of matching funds distributed by the</w:t>
      </w:r>
      <w:r>
        <w:t xml:space="preserve"> Campaign Finance Board in the 2021 election cycle</w:t>
      </w:r>
      <w:r w:rsidR="0363CF86">
        <w:t xml:space="preserve">, </w:t>
      </w:r>
      <w:r w:rsidR="2088C871">
        <w:t>$</w:t>
      </w:r>
      <w:r w:rsidR="0363CF86">
        <w:t>129.6 million,</w:t>
      </w:r>
      <w:r>
        <w:t xml:space="preserve"> was</w:t>
      </w:r>
      <w:r w:rsidRPr="6C07A1B2">
        <w:t xml:space="preserve"> </w:t>
      </w:r>
      <w:r w:rsidR="5E095ABA" w:rsidRPr="6C07A1B2">
        <w:t xml:space="preserve">by far </w:t>
      </w:r>
      <w:r w:rsidR="1BD3D6A3" w:rsidRPr="6C07A1B2">
        <w:t xml:space="preserve">the highest in any </w:t>
      </w:r>
      <w:r w:rsidRPr="6C07A1B2">
        <w:t>election cycle</w:t>
      </w:r>
      <w:r w:rsidR="3E7A4D76" w:rsidRPr="6C07A1B2">
        <w:t xml:space="preserve"> to date</w:t>
      </w:r>
      <w:r w:rsidRPr="6C07A1B2">
        <w:t>.</w:t>
      </w:r>
      <w:r w:rsidRPr="6C07A1B2">
        <w:rPr>
          <w:rStyle w:val="FootnoteReference"/>
        </w:rPr>
        <w:footnoteReference w:id="12"/>
      </w:r>
      <w:r w:rsidRPr="6C07A1B2">
        <w:t xml:space="preserve"> One reason for the </w:t>
      </w:r>
      <w:r w:rsidR="0051373C">
        <w:t xml:space="preserve">substantial growth </w:t>
      </w:r>
      <w:r w:rsidR="00806D4C">
        <w:t>in</w:t>
      </w:r>
      <w:r w:rsidRPr="6C07A1B2">
        <w:t xml:space="preserve"> payouts was the increase in the participation rate by candidates in both the </w:t>
      </w:r>
      <w:r w:rsidR="00A71291">
        <w:t xml:space="preserve">primary and general elections. </w:t>
      </w:r>
      <w:r w:rsidRPr="6C07A1B2">
        <w:t>In 202</w:t>
      </w:r>
      <w:r>
        <w:t>1,</w:t>
      </w:r>
      <w:r w:rsidRPr="6C07A1B2">
        <w:t xml:space="preserve"> 94% of primary candidates </w:t>
      </w:r>
      <w:r w:rsidR="20EB1AD8" w:rsidRPr="6C07A1B2">
        <w:t>partic</w:t>
      </w:r>
      <w:r w:rsidR="4D024EBA" w:rsidRPr="6C07A1B2">
        <w:t>i</w:t>
      </w:r>
      <w:r w:rsidR="20EB1AD8" w:rsidRPr="6C07A1B2">
        <w:t xml:space="preserve">pated in the program </w:t>
      </w:r>
      <w:r w:rsidR="53FC3B6F" w:rsidRPr="6C07A1B2">
        <w:t>compared to</w:t>
      </w:r>
      <w:r w:rsidR="20EB1AD8" w:rsidRPr="6C07A1B2">
        <w:t xml:space="preserve"> only 8</w:t>
      </w:r>
      <w:r w:rsidR="6C32CA3F" w:rsidRPr="6C07A1B2">
        <w:t>4% in 2017</w:t>
      </w:r>
      <w:r w:rsidR="20EB1AD8" w:rsidRPr="6C07A1B2">
        <w:t>. The difference was even more significant in the general election. In 2021</w:t>
      </w:r>
      <w:r w:rsidR="00861E0B">
        <w:t>,</w:t>
      </w:r>
      <w:r w:rsidR="20EB1AD8" w:rsidRPr="6C07A1B2">
        <w:t xml:space="preserve"> </w:t>
      </w:r>
      <w:r w:rsidR="3A52BDB0" w:rsidRPr="6C07A1B2">
        <w:t>81% of general election candidates participated</w:t>
      </w:r>
      <w:r w:rsidR="00861E0B">
        <w:t>,</w:t>
      </w:r>
      <w:r w:rsidR="3A52BDB0" w:rsidRPr="6C07A1B2">
        <w:t xml:space="preserve"> while in 2017</w:t>
      </w:r>
      <w:r w:rsidR="00861E0B">
        <w:t>,</w:t>
      </w:r>
      <w:r w:rsidR="3A52BDB0" w:rsidRPr="6C07A1B2">
        <w:t xml:space="preserve"> only 64% of general election candidates participated</w:t>
      </w:r>
      <w:r w:rsidR="78F7A2E1" w:rsidRPr="6C07A1B2">
        <w:t>.</w:t>
      </w:r>
      <w:r w:rsidRPr="6C07A1B2">
        <w:rPr>
          <w:rStyle w:val="FootnoteReference"/>
        </w:rPr>
        <w:footnoteReference w:id="13"/>
      </w:r>
      <w:r w:rsidRPr="6C07A1B2">
        <w:t xml:space="preserve"> </w:t>
      </w:r>
    </w:p>
    <w:p w14:paraId="10453A7C" w14:textId="77777777" w:rsidR="00C9194A" w:rsidRDefault="00C9194A" w:rsidP="00216A87">
      <w:pPr>
        <w:spacing w:line="480" w:lineRule="auto"/>
        <w:ind w:firstLine="720"/>
        <w:jc w:val="both"/>
      </w:pPr>
      <w:r w:rsidRPr="6C07A1B2">
        <w:t xml:space="preserve">By only matching funds from New York City residents, the program </w:t>
      </w:r>
      <w:r w:rsidR="009C0CA3">
        <w:t>incentivizes</w:t>
      </w:r>
      <w:r w:rsidR="009C0CA3" w:rsidRPr="6C07A1B2">
        <w:t xml:space="preserve"> </w:t>
      </w:r>
      <w:r w:rsidR="00227C0A">
        <w:t xml:space="preserve">participating </w:t>
      </w:r>
      <w:r w:rsidRPr="6C07A1B2">
        <w:t xml:space="preserve">campaigns </w:t>
      </w:r>
      <w:r w:rsidR="009C0CA3">
        <w:t>to</w:t>
      </w:r>
      <w:r w:rsidR="009C0CA3" w:rsidRPr="6C07A1B2">
        <w:t xml:space="preserve"> rais</w:t>
      </w:r>
      <w:r w:rsidR="009C0CA3">
        <w:t>e</w:t>
      </w:r>
      <w:r w:rsidR="009C0CA3" w:rsidRPr="6C07A1B2">
        <w:t xml:space="preserve"> </w:t>
      </w:r>
      <w:r w:rsidRPr="6C07A1B2">
        <w:t xml:space="preserve">funds from </w:t>
      </w:r>
      <w:r w:rsidR="009C0CA3">
        <w:t>within</w:t>
      </w:r>
      <w:r w:rsidR="009C0CA3" w:rsidRPr="6C07A1B2">
        <w:t xml:space="preserve"> </w:t>
      </w:r>
      <w:r w:rsidRPr="6C07A1B2">
        <w:t>o</w:t>
      </w:r>
      <w:r w:rsidR="00327E22">
        <w:t xml:space="preserve">f the </w:t>
      </w:r>
      <w:r w:rsidR="009C0CA3">
        <w:t>C</w:t>
      </w:r>
      <w:r w:rsidR="00327E22">
        <w:t xml:space="preserve">ity. </w:t>
      </w:r>
      <w:r w:rsidRPr="6C07A1B2">
        <w:t>In 2021</w:t>
      </w:r>
      <w:r w:rsidR="00861E0B">
        <w:t>,</w:t>
      </w:r>
      <w:r w:rsidRPr="6C07A1B2">
        <w:t xml:space="preserve"> almost 71% of the individual contributions </w:t>
      </w:r>
      <w:r w:rsidR="00861E0B">
        <w:t xml:space="preserve">made to </w:t>
      </w:r>
      <w:r w:rsidR="00227C0A">
        <w:t>participating</w:t>
      </w:r>
      <w:r w:rsidR="00C81BFB">
        <w:t xml:space="preserve"> </w:t>
      </w:r>
      <w:r w:rsidR="00861E0B">
        <w:t xml:space="preserve">candidates </w:t>
      </w:r>
      <w:r w:rsidRPr="6C07A1B2">
        <w:t>c</w:t>
      </w:r>
      <w:r w:rsidR="005F1D81">
        <w:t>a</w:t>
      </w:r>
      <w:r w:rsidRPr="6C07A1B2">
        <w:t>m</w:t>
      </w:r>
      <w:r w:rsidR="009C0CA3">
        <w:t>e</w:t>
      </w:r>
      <w:r w:rsidRPr="6C07A1B2">
        <w:t xml:space="preserve"> from New York City residents.</w:t>
      </w:r>
      <w:r w:rsidRPr="6C07A1B2">
        <w:rPr>
          <w:rStyle w:val="FootnoteReference"/>
        </w:rPr>
        <w:footnoteReference w:id="14"/>
      </w:r>
      <w:r w:rsidRPr="6C07A1B2">
        <w:t xml:space="preserve">  </w:t>
      </w:r>
    </w:p>
    <w:p w14:paraId="4AE162C4" w14:textId="77777777" w:rsidR="00C9194A" w:rsidRDefault="00C9194A" w:rsidP="00216A87">
      <w:pPr>
        <w:spacing w:line="480" w:lineRule="auto"/>
        <w:ind w:firstLine="720"/>
        <w:jc w:val="both"/>
      </w:pPr>
      <w:r w:rsidRPr="40188F83">
        <w:lastRenderedPageBreak/>
        <w:t xml:space="preserve">Another </w:t>
      </w:r>
      <w:r w:rsidR="001D3C37">
        <w:t>effect</w:t>
      </w:r>
      <w:r w:rsidR="001D3C37" w:rsidRPr="40188F83">
        <w:t xml:space="preserve"> </w:t>
      </w:r>
      <w:r w:rsidRPr="40188F83">
        <w:t xml:space="preserve">of the matching funds program </w:t>
      </w:r>
      <w:r w:rsidR="001D3C37">
        <w:t>is</w:t>
      </w:r>
      <w:r w:rsidR="001D3C37" w:rsidRPr="40188F83">
        <w:t xml:space="preserve"> </w:t>
      </w:r>
      <w:r w:rsidRPr="40188F83">
        <w:t>to amplify th</w:t>
      </w:r>
      <w:r w:rsidR="00327E22">
        <w:t>e power of small-dollar donors.</w:t>
      </w:r>
      <w:r w:rsidRPr="40188F83">
        <w:t xml:space="preserve"> In 2021 small-dollar donors were the biggest source of funds for city campaigns. Matching funds participants received over 96% of their funding </w:t>
      </w:r>
      <w:r w:rsidR="00327E22">
        <w:t xml:space="preserve">from individual donations and even </w:t>
      </w:r>
      <w:r w:rsidRPr="40188F83">
        <w:t xml:space="preserve">non-participants </w:t>
      </w:r>
      <w:r w:rsidR="1EE773C5" w:rsidRPr="40188F83">
        <w:t>got</w:t>
      </w:r>
      <w:r w:rsidR="4C622DF4" w:rsidRPr="40188F83">
        <w:t xml:space="preserve"> </w:t>
      </w:r>
      <w:r w:rsidRPr="40188F83">
        <w:t>86% of their funds from individual contributions.</w:t>
      </w:r>
      <w:r w:rsidRPr="40188F83">
        <w:rPr>
          <w:rStyle w:val="FootnoteReference"/>
        </w:rPr>
        <w:footnoteReference w:id="15"/>
      </w:r>
      <w:r w:rsidR="00327E22">
        <w:t xml:space="preserve"> </w:t>
      </w:r>
      <w:r w:rsidRPr="6C07A1B2">
        <w:t xml:space="preserve">The average contribution for all races was </w:t>
      </w:r>
      <w:r w:rsidR="2BB4A08D" w:rsidRPr="6C07A1B2">
        <w:t xml:space="preserve">only </w:t>
      </w:r>
      <w:r w:rsidR="00327E22">
        <w:t>$143.</w:t>
      </w:r>
      <w:r w:rsidRPr="6C07A1B2">
        <w:rPr>
          <w:rStyle w:val="FootnoteReference"/>
        </w:rPr>
        <w:footnoteReference w:id="16"/>
      </w:r>
      <w:r w:rsidRPr="6C07A1B2">
        <w:t xml:space="preserve"> </w:t>
      </w:r>
    </w:p>
    <w:p w14:paraId="4396CA20" w14:textId="77777777" w:rsidR="00C9194A" w:rsidRDefault="00C9194A" w:rsidP="00216A87">
      <w:pPr>
        <w:spacing w:line="480" w:lineRule="auto"/>
        <w:ind w:firstLine="720"/>
        <w:jc w:val="both"/>
      </w:pPr>
      <w:r w:rsidRPr="6C07A1B2">
        <w:t>Small contributions also increased in 2021, with contributions under $250 making up 85% of contributions in the primaries and 79% in the general election, compared to 65% in the primaries and 62% in the general in 2013, the last year</w:t>
      </w:r>
      <w:r w:rsidR="00327E22">
        <w:t xml:space="preserve"> with</w:t>
      </w:r>
      <w:r w:rsidR="00603A90">
        <w:t>out incumbents running for most of the citywide positions.</w:t>
      </w:r>
      <w:r w:rsidR="00327E22">
        <w:t xml:space="preserve"> </w:t>
      </w:r>
      <w:r w:rsidRPr="6C07A1B2">
        <w:t>“Doing Business As” contributions, which includes lobbyists and individuals owning and running a business that have contracts with the city, made up only 2.2% of contributions</w:t>
      </w:r>
      <w:r w:rsidR="0058054B">
        <w:t>,</w:t>
      </w:r>
      <w:r w:rsidRPr="6C07A1B2">
        <w:t xml:space="preserve"> while </w:t>
      </w:r>
      <w:r>
        <w:t xml:space="preserve">only </w:t>
      </w:r>
      <w:r w:rsidRPr="6C07A1B2">
        <w:t>0.5% of contributions came from organizations, a category that includes labor unions, political committees and other permitted organizations.</w:t>
      </w:r>
      <w:r w:rsidRPr="6C07A1B2">
        <w:rPr>
          <w:rStyle w:val="FootnoteReference"/>
        </w:rPr>
        <w:footnoteReference w:id="17"/>
      </w:r>
      <w:r w:rsidR="00327E22">
        <w:t xml:space="preserve"> </w:t>
      </w:r>
      <w:r w:rsidRPr="6C07A1B2">
        <w:t>Both of those numbers are significantly lower than 2013, which had a similar number of open seats.</w:t>
      </w:r>
      <w:r w:rsidRPr="6C07A1B2">
        <w:rPr>
          <w:rStyle w:val="FootnoteReference"/>
        </w:rPr>
        <w:footnoteReference w:id="18"/>
      </w:r>
    </w:p>
    <w:p w14:paraId="0AD50E10" w14:textId="77777777" w:rsidR="00C9194A" w:rsidRDefault="00C9194A" w:rsidP="00216A87">
      <w:pPr>
        <w:spacing w:line="480" w:lineRule="auto"/>
        <w:ind w:firstLine="720"/>
        <w:jc w:val="both"/>
      </w:pPr>
      <w:r w:rsidRPr="6C07A1B2">
        <w:t>Part of the mission of the CFB is to reduce b</w:t>
      </w:r>
      <w:r w:rsidR="00327E22">
        <w:t xml:space="preserve">arriers to running for office. </w:t>
      </w:r>
      <w:r w:rsidR="00227C0A">
        <w:t>In 2021 election cycle</w:t>
      </w:r>
      <w:r w:rsidRPr="6C07A1B2">
        <w:t xml:space="preserve"> first-time candidates were able to raise almost the same amount of individual contributions as program veterans.</w:t>
      </w:r>
      <w:r w:rsidRPr="6C07A1B2">
        <w:rPr>
          <w:rStyle w:val="FootnoteReference"/>
        </w:rPr>
        <w:footnoteReference w:id="19"/>
      </w:r>
      <w:r>
        <w:t xml:space="preserve"> However, the amount of matching funds paid out by the Board differed significantly, with the average primary payout for first time participants being $136,846 versus $150,865 for program veterans.</w:t>
      </w:r>
      <w:r>
        <w:rPr>
          <w:rStyle w:val="FootnoteReference"/>
        </w:rPr>
        <w:footnoteReference w:id="20"/>
      </w:r>
      <w:r>
        <w:t xml:space="preserve"> In addition to first-time candidates, women also appeared to have </w:t>
      </w:r>
      <w:r>
        <w:lastRenderedPageBreak/>
        <w:t>benefitted from the higher public matching, raising on average, 4% more than their male counterparts.</w:t>
      </w:r>
      <w:r w:rsidRPr="1AF6414E">
        <w:rPr>
          <w:rStyle w:val="FootnoteReference"/>
        </w:rPr>
        <w:footnoteReference w:id="21"/>
      </w:r>
    </w:p>
    <w:p w14:paraId="2A892686" w14:textId="77777777" w:rsidR="00C9194A" w:rsidRDefault="00C9194A" w:rsidP="00216A87">
      <w:pPr>
        <w:spacing w:line="480" w:lineRule="auto"/>
        <w:ind w:firstLine="720"/>
        <w:jc w:val="both"/>
      </w:pPr>
      <w:r w:rsidRPr="1AF6414E">
        <w:t xml:space="preserve">Public financing also appears to have played a part in reducing barriers for </w:t>
      </w:r>
      <w:r w:rsidR="00327E22">
        <w:t>previously underrepresented groups</w:t>
      </w:r>
      <w:r w:rsidRPr="1AF6414E">
        <w:t xml:space="preserve"> as well. The 2021 elections resulted in the most diverse council in the City’s history.</w:t>
      </w:r>
      <w:r w:rsidRPr="1AF6414E">
        <w:rPr>
          <w:rStyle w:val="FootnoteReference"/>
        </w:rPr>
        <w:footnoteReference w:id="22"/>
      </w:r>
      <w:r w:rsidRPr="1AF6414E">
        <w:t xml:space="preserve"> For the first time ever, women ma</w:t>
      </w:r>
      <w:r w:rsidR="644F4E5E" w:rsidRPr="1AF6414E">
        <w:t>de</w:t>
      </w:r>
      <w:r w:rsidRPr="1AF6414E">
        <w:t xml:space="preserve"> up a majority of the </w:t>
      </w:r>
      <w:r w:rsidR="0058054B">
        <w:t>C</w:t>
      </w:r>
      <w:r w:rsidR="0058054B" w:rsidRPr="1AF6414E">
        <w:t xml:space="preserve">ouncil’s </w:t>
      </w:r>
      <w:r w:rsidRPr="1AF6414E">
        <w:t>members.</w:t>
      </w:r>
      <w:r w:rsidRPr="40188F83">
        <w:rPr>
          <w:rStyle w:val="FootnoteReference"/>
        </w:rPr>
        <w:footnoteReference w:id="23"/>
      </w:r>
      <w:r w:rsidR="7025F05C">
        <w:t xml:space="preserve"> While it is difficult to determine how much of </w:t>
      </w:r>
      <w:r w:rsidR="18A3BFCA">
        <w:t>this diversity can be attributed to the matching funds program and how much can be attributed to</w:t>
      </w:r>
      <w:r w:rsidR="1E1E8BC0">
        <w:t xml:space="preserve"> the use of </w:t>
      </w:r>
      <w:r w:rsidR="00327E22">
        <w:t xml:space="preserve">other newly adopted election reforms like </w:t>
      </w:r>
      <w:r w:rsidR="1E1E8BC0">
        <w:t>ranked</w:t>
      </w:r>
      <w:r w:rsidR="20BD4633">
        <w:t>-</w:t>
      </w:r>
      <w:r w:rsidR="1E1E8BC0">
        <w:t>choice voting</w:t>
      </w:r>
      <w:r w:rsidR="6D9F191F">
        <w:t xml:space="preserve"> or the large number of incumbents who were term limited,</w:t>
      </w:r>
      <w:r w:rsidR="5FE86F38">
        <w:t xml:space="preserve"> experts generally agree that the increase in matching funds </w:t>
      </w:r>
      <w:r w:rsidR="183C277E">
        <w:t>played at least some part in increasing the diversity of the current City Council Members.</w:t>
      </w:r>
      <w:r w:rsidRPr="57F6BECA">
        <w:rPr>
          <w:rStyle w:val="FootnoteReference"/>
        </w:rPr>
        <w:footnoteReference w:id="24"/>
      </w:r>
    </w:p>
    <w:p w14:paraId="6A97AAAF" w14:textId="77777777" w:rsidR="00C9194A" w:rsidRPr="00125058" w:rsidRDefault="00125058" w:rsidP="00FE01A5">
      <w:pPr>
        <w:pStyle w:val="Heading1"/>
        <w:numPr>
          <w:ilvl w:val="1"/>
          <w:numId w:val="8"/>
        </w:numPr>
        <w:jc w:val="left"/>
        <w:rPr>
          <w:b/>
          <w:u w:val="single"/>
        </w:rPr>
      </w:pPr>
      <w:r w:rsidRPr="00125058">
        <w:rPr>
          <w:b/>
          <w:u w:val="single"/>
        </w:rPr>
        <w:t>2021 Independent Expenditures</w:t>
      </w:r>
    </w:p>
    <w:p w14:paraId="577BEAC4" w14:textId="77777777" w:rsidR="00C9194A" w:rsidRDefault="00C9194A" w:rsidP="00216A87">
      <w:pPr>
        <w:spacing w:line="480" w:lineRule="auto"/>
        <w:jc w:val="both"/>
      </w:pPr>
      <w:r>
        <w:tab/>
        <w:t xml:space="preserve">An independent expenditure is an </w:t>
      </w:r>
      <w:r w:rsidR="0058054B">
        <w:t xml:space="preserve">election-related </w:t>
      </w:r>
      <w:r>
        <w:t xml:space="preserve">expenditure </w:t>
      </w:r>
      <w:r w:rsidR="006208BF">
        <w:t>made by an outside organization or person that no candidate has authorized, requested, or cooperated in</w:t>
      </w:r>
      <w:r>
        <w:t>.</w:t>
      </w:r>
      <w:r>
        <w:rPr>
          <w:rStyle w:val="FootnoteReference"/>
        </w:rPr>
        <w:footnoteReference w:id="25"/>
      </w:r>
      <w:r>
        <w:t xml:space="preserve"> </w:t>
      </w:r>
      <w:r w:rsidR="006208BF">
        <w:t>T</w:t>
      </w:r>
      <w:r>
        <w:t xml:space="preserve">he United States Supreme Court </w:t>
      </w:r>
      <w:r w:rsidR="006208BF">
        <w:t xml:space="preserve">has long held </w:t>
      </w:r>
      <w:r>
        <w:t>that independent expenditures are protected speech and cannot be restricted.</w:t>
      </w:r>
      <w:r>
        <w:rPr>
          <w:rStyle w:val="FootnoteReference"/>
        </w:rPr>
        <w:footnoteReference w:id="26"/>
      </w:r>
      <w:r w:rsidR="00327E22">
        <w:t xml:space="preserve"> </w:t>
      </w:r>
      <w:r>
        <w:t xml:space="preserve">However, </w:t>
      </w:r>
      <w:r w:rsidR="006208BF">
        <w:t>organizations and individuals that make independent expenditures (“independent spenders”)</w:t>
      </w:r>
      <w:r>
        <w:t xml:space="preserve"> can be required to disclose information about their funding sources and spending.</w:t>
      </w:r>
      <w:r>
        <w:rPr>
          <w:rStyle w:val="FootnoteReference"/>
        </w:rPr>
        <w:footnoteReference w:id="27"/>
      </w:r>
      <w:r w:rsidR="00327E22">
        <w:t xml:space="preserve"> </w:t>
      </w:r>
      <w:r>
        <w:t>Pursuant to a ballot measure passed in 2010</w:t>
      </w:r>
      <w:r w:rsidR="005A66A1">
        <w:t xml:space="preserve"> and </w:t>
      </w:r>
      <w:r w:rsidR="00603A90">
        <w:t>strengthened by a 2016 local law</w:t>
      </w:r>
      <w:r>
        <w:t xml:space="preserve">, independent spenders </w:t>
      </w:r>
      <w:r w:rsidR="005A66A1">
        <w:t xml:space="preserve">who spend at least $1,000 in aggregate </w:t>
      </w:r>
      <w:r>
        <w:t xml:space="preserve">are required to disclose </w:t>
      </w:r>
      <w:r w:rsidR="005A66A1">
        <w:t xml:space="preserve">their </w:t>
      </w:r>
      <w:r w:rsidR="005A66A1">
        <w:lastRenderedPageBreak/>
        <w:t>spending to the CFB.</w:t>
      </w:r>
      <w:r w:rsidR="00894C0E">
        <w:rPr>
          <w:rStyle w:val="FootnoteReference"/>
        </w:rPr>
        <w:footnoteReference w:id="28"/>
      </w:r>
      <w:r w:rsidR="005A66A1">
        <w:t xml:space="preserve"> In addition, entities that spend at least $5,000 in aggregate are required to disclose certain information about their governance structures and funding sources</w:t>
      </w:r>
      <w:r>
        <w:t>.</w:t>
      </w:r>
      <w:r>
        <w:rPr>
          <w:rStyle w:val="FootnoteReference"/>
        </w:rPr>
        <w:footnoteReference w:id="29"/>
      </w:r>
      <w:r>
        <w:t xml:space="preserve"> </w:t>
      </w:r>
      <w:r w:rsidR="005A66A1">
        <w:t xml:space="preserve">CFB publishes the reported information on its </w:t>
      </w:r>
      <w:r w:rsidR="0058054B">
        <w:t>“</w:t>
      </w:r>
      <w:r w:rsidR="005A66A1">
        <w:t>Follow the Money</w:t>
      </w:r>
      <w:r w:rsidR="0058054B">
        <w:t>”</w:t>
      </w:r>
      <w:r w:rsidR="005A66A1">
        <w:t xml:space="preserve"> portal.</w:t>
      </w:r>
      <w:r w:rsidR="005A66A1">
        <w:rPr>
          <w:rStyle w:val="FootnoteReference"/>
        </w:rPr>
        <w:footnoteReference w:id="30"/>
      </w:r>
    </w:p>
    <w:p w14:paraId="47EA5052" w14:textId="77777777" w:rsidR="009E13DA" w:rsidRDefault="009E13DA" w:rsidP="00216A87">
      <w:pPr>
        <w:spacing w:line="480" w:lineRule="auto"/>
        <w:jc w:val="both"/>
      </w:pPr>
      <w:r>
        <w:tab/>
      </w:r>
      <w:r w:rsidRPr="00A13175">
        <w:t>The Charter and CFB rules also require certain communications from independent spenders to include “paid for by” notices.</w:t>
      </w:r>
      <w:r>
        <w:rPr>
          <w:rStyle w:val="FootnoteReference"/>
        </w:rPr>
        <w:footnoteReference w:id="31"/>
      </w:r>
      <w:r w:rsidRPr="00A13175">
        <w:t xml:space="preserve"> </w:t>
      </w:r>
      <w:r>
        <w:t>The required wording of such notice depends on the type of communication, but in general, “paid for by” notices must identify the individual or entity who funded the communication, and, for communications funded by an entity, such entity’s top three donors.</w:t>
      </w:r>
    </w:p>
    <w:p w14:paraId="031841F2" w14:textId="77777777" w:rsidR="00C9194A" w:rsidRDefault="00C9194A" w:rsidP="00216A87">
      <w:pPr>
        <w:spacing w:line="480" w:lineRule="auto"/>
        <w:ind w:firstLine="720"/>
        <w:jc w:val="both"/>
      </w:pPr>
      <w:r>
        <w:t>The 2021 election cycle was the third since the implementation of independent expenditure disclosure requirements and it featured a dramatic increase in independent spending when compared to the previous two cycles.</w:t>
      </w:r>
      <w:r>
        <w:rPr>
          <w:rStyle w:val="FootnoteReference"/>
        </w:rPr>
        <w:footnoteReference w:id="32"/>
      </w:r>
      <w:r>
        <w:t xml:space="preserve"> Independent spenders spent $40.7 million on the 2021 primary and general election, compared to only $1.5 million in 2017 and $15.9 million in 2013.</w:t>
      </w:r>
      <w:r>
        <w:rPr>
          <w:rStyle w:val="FootnoteReference"/>
        </w:rPr>
        <w:footnoteReference w:id="33"/>
      </w:r>
      <w:r>
        <w:t xml:space="preserve"> More than </w:t>
      </w:r>
      <w:r w:rsidR="78ADB95B">
        <w:t>three-quarters</w:t>
      </w:r>
      <w:r>
        <w:t xml:space="preserve"> of the independent spending in 2021 was on the </w:t>
      </w:r>
      <w:r w:rsidR="00107334">
        <w:t xml:space="preserve">mayoral </w:t>
      </w:r>
      <w:r>
        <w:t>race.</w:t>
      </w:r>
      <w:r>
        <w:rPr>
          <w:rStyle w:val="FootnoteReference"/>
        </w:rPr>
        <w:footnoteReference w:id="34"/>
      </w:r>
      <w:r w:rsidR="00327E22">
        <w:t xml:space="preserve"> A majority</w:t>
      </w:r>
      <w:r>
        <w:t xml:space="preserve"> of this spending was done by newly created single-candidate entities, with </w:t>
      </w:r>
      <w:r w:rsidR="2097C5D4">
        <w:t>most of</w:t>
      </w:r>
      <w:r>
        <w:t xml:space="preserve"> the money being spent in support of a candidate, with very little being directed towards negative advertising.</w:t>
      </w:r>
      <w:r>
        <w:rPr>
          <w:rStyle w:val="FootnoteReference"/>
        </w:rPr>
        <w:footnoteReference w:id="35"/>
      </w:r>
      <w:r>
        <w:t xml:space="preserve"> This was in direct contrast to 2017 when almost 94% of independent spending was used for advertisin</w:t>
      </w:r>
      <w:r w:rsidR="00327E22">
        <w:t>g opposing the then-incumbent Mayor.</w:t>
      </w:r>
      <w:r>
        <w:rPr>
          <w:rStyle w:val="FootnoteReference"/>
        </w:rPr>
        <w:footnoteReference w:id="36"/>
      </w:r>
      <w:r>
        <w:t xml:space="preserve"> </w:t>
      </w:r>
    </w:p>
    <w:p w14:paraId="54A68075" w14:textId="77777777" w:rsidR="00C9194A" w:rsidRDefault="00C9194A" w:rsidP="00216A87">
      <w:pPr>
        <w:spacing w:line="480" w:lineRule="auto"/>
        <w:ind w:firstLine="720"/>
        <w:jc w:val="both"/>
      </w:pPr>
      <w:r>
        <w:lastRenderedPageBreak/>
        <w:t xml:space="preserve">Most of the independent spending in 2021 was done by just a few entities. </w:t>
      </w:r>
      <w:r w:rsidR="5D5C4C62">
        <w:t>Ten</w:t>
      </w:r>
      <w:r>
        <w:t xml:space="preserve"> single-candidate entities made up 77% of independent spending in the mayoral race, and 60% of the total spending for the entire election cycle.</w:t>
      </w:r>
      <w:r>
        <w:rPr>
          <w:rStyle w:val="FootnoteReference"/>
        </w:rPr>
        <w:footnoteReference w:id="37"/>
      </w:r>
      <w:r>
        <w:t xml:space="preserve"> </w:t>
      </w:r>
      <w:r w:rsidR="48C50A25">
        <w:t xml:space="preserve">Independent spending did not play as much of a role in the </w:t>
      </w:r>
      <w:r w:rsidR="00107334">
        <w:t>council</w:t>
      </w:r>
      <w:r w:rsidR="48C50A25">
        <w:t xml:space="preserve"> races. </w:t>
      </w:r>
      <w:r>
        <w:t>Only two single-candidate entities supported non-mayoral candidates.</w:t>
      </w:r>
      <w:r>
        <w:rPr>
          <w:rStyle w:val="FootnoteReference"/>
        </w:rPr>
        <w:footnoteReference w:id="38"/>
      </w:r>
      <w:r>
        <w:t xml:space="preserve"> </w:t>
      </w:r>
      <w:r w:rsidRPr="4E405584">
        <w:t>$6.6 million, or 16% of all independent spending, was spent on council races.</w:t>
      </w:r>
      <w:r w:rsidRPr="4E405584">
        <w:rPr>
          <w:rStyle w:val="FootnoteReference"/>
        </w:rPr>
        <w:footnoteReference w:id="39"/>
      </w:r>
      <w:r w:rsidRPr="4E405584">
        <w:t xml:space="preserve"> This was a steep decline from 2017 when 68% of independent expenditures were spent on council races, and even 2013, the last year with an open mayoral race, when 39% of independent expenditures were for council races.</w:t>
      </w:r>
      <w:r w:rsidRPr="4E405584">
        <w:rPr>
          <w:rStyle w:val="FootnoteReference"/>
        </w:rPr>
        <w:footnoteReference w:id="40"/>
      </w:r>
      <w:r w:rsidRPr="4E405584">
        <w:t xml:space="preserve">  </w:t>
      </w:r>
    </w:p>
    <w:p w14:paraId="129AF468" w14:textId="77777777" w:rsidR="00C9194A" w:rsidRPr="00125058" w:rsidRDefault="00C9194A" w:rsidP="00FE01A5">
      <w:pPr>
        <w:pStyle w:val="Heading1"/>
        <w:numPr>
          <w:ilvl w:val="1"/>
          <w:numId w:val="8"/>
        </w:numPr>
        <w:jc w:val="left"/>
        <w:rPr>
          <w:b/>
          <w:u w:val="single"/>
        </w:rPr>
      </w:pPr>
      <w:r w:rsidRPr="00125058">
        <w:rPr>
          <w:b/>
          <w:u w:val="single"/>
        </w:rPr>
        <w:t>Audits</w:t>
      </w:r>
    </w:p>
    <w:p w14:paraId="5D9EF379" w14:textId="77777777" w:rsidR="00C9194A" w:rsidRDefault="00C9194A" w:rsidP="00216A87">
      <w:pPr>
        <w:spacing w:line="480" w:lineRule="auto"/>
        <w:ind w:firstLine="720"/>
        <w:jc w:val="both"/>
        <w:rPr>
          <w:rStyle w:val="FootnoteReference"/>
          <w:i/>
          <w:iCs/>
        </w:rPr>
      </w:pPr>
      <w:r w:rsidRPr="1AF6414E">
        <w:t xml:space="preserve">To ensure compliance with the Campaign Finance Act and </w:t>
      </w:r>
      <w:r w:rsidR="00107334">
        <w:t>CFB</w:t>
      </w:r>
      <w:r w:rsidRPr="1AF6414E">
        <w:t xml:space="preserve"> rules, the CFB performs audits of every New York City campaign. For campaigns that receive matching funds the audits also look at whether the campaign expenditures were allowable or “qualified.”</w:t>
      </w:r>
      <w:r w:rsidRPr="1AF6414E">
        <w:rPr>
          <w:rStyle w:val="FootnoteReference"/>
        </w:rPr>
        <w:footnoteReference w:id="41"/>
      </w:r>
      <w:r w:rsidRPr="1AF6414E">
        <w:t xml:space="preserve"> These audits take time. It took the CFB</w:t>
      </w:r>
      <w:r w:rsidR="03A7DE40" w:rsidRPr="1AF6414E">
        <w:t xml:space="preserve"> more than</w:t>
      </w:r>
      <w:r w:rsidRPr="1AF6414E">
        <w:t xml:space="preserve"> three years to complete all of the audits for the 2017 election cycle.</w:t>
      </w:r>
      <w:r w:rsidRPr="1AF6414E">
        <w:rPr>
          <w:rStyle w:val="FootnoteReference"/>
        </w:rPr>
        <w:footnoteReference w:id="42"/>
      </w:r>
    </w:p>
    <w:p w14:paraId="35EF63EA" w14:textId="77777777" w:rsidR="00C9194A" w:rsidRDefault="00C9194A" w:rsidP="00216A87">
      <w:pPr>
        <w:spacing w:line="480" w:lineRule="auto"/>
        <w:jc w:val="both"/>
      </w:pPr>
      <w:r>
        <w:tab/>
        <w:t>The post-election audit consists of four parts</w:t>
      </w:r>
      <w:r w:rsidR="008C5525">
        <w:t>:</w:t>
      </w:r>
      <w:r>
        <w:t xml:space="preserve"> (1) document request; (2) draft audit report; (3) enforcement notice; and (4) final board determination. The document request is just that – a request for documents that haven’t been previously provided to the </w:t>
      </w:r>
      <w:r w:rsidR="00CE5E7C">
        <w:t>Board</w:t>
      </w:r>
      <w:r>
        <w:t xml:space="preserve">. The second part of the audit, the draft audit report, </w:t>
      </w:r>
      <w:r w:rsidR="004573C8">
        <w:t xml:space="preserve">is produced by the Board and </w:t>
      </w:r>
      <w:r>
        <w:t xml:space="preserve">details </w:t>
      </w:r>
      <w:r w:rsidR="004573C8">
        <w:t xml:space="preserve">its </w:t>
      </w:r>
      <w:r>
        <w:t>preliminary findings of violations of campaign finance rules and any fines or re-payment obligations that the CFB b</w:t>
      </w:r>
      <w:r w:rsidR="004573C8">
        <w:t>elieves the campaign may incur.</w:t>
      </w:r>
      <w:r>
        <w:rPr>
          <w:rStyle w:val="FootnoteReference"/>
        </w:rPr>
        <w:footnoteReference w:id="43"/>
      </w:r>
      <w:r>
        <w:t xml:space="preserve"> </w:t>
      </w:r>
      <w:r w:rsidR="004573C8">
        <w:t>At this point, campaigns are</w:t>
      </w:r>
      <w:r>
        <w:t xml:space="preserve"> given an opportunity to correct any mistakes or omissions in their </w:t>
      </w:r>
      <w:r w:rsidR="004573C8">
        <w:t>disclosures. If the campaign is</w:t>
      </w:r>
      <w:r>
        <w:t xml:space="preserve"> unable to resolve the </w:t>
      </w:r>
      <w:r w:rsidR="004573C8">
        <w:t>violations</w:t>
      </w:r>
      <w:r>
        <w:t xml:space="preserve"> in </w:t>
      </w:r>
      <w:r>
        <w:lastRenderedPageBreak/>
        <w:t>the draft audit, they are issued an enforcement notice detailing the recommended penalties a</w:t>
      </w:r>
      <w:r w:rsidR="004573C8">
        <w:t xml:space="preserve">nd/or public funds repayments. </w:t>
      </w:r>
      <w:r>
        <w:t>Here, the campaigns have yet another opportunity to address or correct any remaining violations</w:t>
      </w:r>
      <w:r w:rsidR="004573C8">
        <w:t xml:space="preserve"> or repayment issues</w:t>
      </w:r>
      <w:r>
        <w:t xml:space="preserve">. If any issues remain unresolved at this point the campaigns then have the option to appear before the </w:t>
      </w:r>
      <w:r w:rsidR="00CE5E7C">
        <w:t xml:space="preserve">Board </w:t>
      </w:r>
      <w:r>
        <w:t xml:space="preserve">or before an administrative law judge at the Office of </w:t>
      </w:r>
      <w:r w:rsidR="00CE5E7C">
        <w:t xml:space="preserve">Administrative </w:t>
      </w:r>
      <w:r>
        <w:t>Trials and Hearings to adjudicate any remainin</w:t>
      </w:r>
      <w:r w:rsidR="004573C8">
        <w:t xml:space="preserve">g violations. Once a decision has been rendered, the </w:t>
      </w:r>
      <w:r w:rsidR="00CE5E7C">
        <w:t>B</w:t>
      </w:r>
      <w:r>
        <w:t>oard then votes on a penalty and issues a Final Board Determination.</w:t>
      </w:r>
      <w:r>
        <w:rPr>
          <w:rStyle w:val="FootnoteReference"/>
        </w:rPr>
        <w:footnoteReference w:id="44"/>
      </w:r>
      <w:r w:rsidR="004573C8">
        <w:t xml:space="preserve"> </w:t>
      </w:r>
      <w:r w:rsidRPr="5FA8204D">
        <w:t>Lastly, the Board sends every campaign, whether they have received a violati</w:t>
      </w:r>
      <w:r w:rsidR="004573C8">
        <w:t>on or not, a Final Audit Report</w:t>
      </w:r>
      <w:r w:rsidRPr="5FA8204D">
        <w:t xml:space="preserve"> which is published on the CFB’s website.</w:t>
      </w:r>
      <w:r w:rsidRPr="5FA8204D">
        <w:rPr>
          <w:rStyle w:val="FootnoteReference"/>
        </w:rPr>
        <w:footnoteReference w:id="45"/>
      </w:r>
      <w:r w:rsidRPr="5FA8204D">
        <w:t xml:space="preserve">  </w:t>
      </w:r>
    </w:p>
    <w:p w14:paraId="3BD8E49F" w14:textId="77777777" w:rsidR="00C9194A" w:rsidRDefault="00C9194A" w:rsidP="00216A87">
      <w:pPr>
        <w:spacing w:line="480" w:lineRule="auto"/>
        <w:jc w:val="both"/>
      </w:pPr>
      <w:r>
        <w:tab/>
        <w:t>In the 2017 campaign cycle, more than 60% of candidates who completed the post-election audit did not receive any penalties.</w:t>
      </w:r>
      <w:r>
        <w:rPr>
          <w:rStyle w:val="FootnoteReference"/>
        </w:rPr>
        <w:footnoteReference w:id="46"/>
      </w:r>
      <w:r>
        <w:t xml:space="preserve"> Most of the penalties that the Board levied were under $5,000.</w:t>
      </w:r>
      <w:r>
        <w:rPr>
          <w:rStyle w:val="FootnoteReference"/>
        </w:rPr>
        <w:footnoteReference w:id="47"/>
      </w:r>
      <w:r w:rsidRPr="5FA8204D">
        <w:t xml:space="preserve"> </w:t>
      </w:r>
    </w:p>
    <w:p w14:paraId="0AC76EB9" w14:textId="77777777" w:rsidR="00C9194A" w:rsidRPr="00C9194A" w:rsidRDefault="00C9194A" w:rsidP="00C9194A">
      <w:pPr>
        <w:rPr>
          <w:rFonts w:eastAsia="Calibri Light"/>
        </w:rPr>
      </w:pPr>
    </w:p>
    <w:p w14:paraId="1FEF6336" w14:textId="77777777" w:rsidR="00CF7656" w:rsidRPr="009C1849" w:rsidRDefault="00CF7656" w:rsidP="00216710">
      <w:pPr>
        <w:pStyle w:val="ListParagraph"/>
        <w:keepNext/>
        <w:numPr>
          <w:ilvl w:val="0"/>
          <w:numId w:val="8"/>
        </w:numPr>
        <w:spacing w:line="480" w:lineRule="auto"/>
        <w:jc w:val="both"/>
        <w:rPr>
          <w:b/>
          <w:color w:val="000000" w:themeColor="text1"/>
          <w:u w:val="single"/>
        </w:rPr>
      </w:pPr>
      <w:r w:rsidRPr="009C1849">
        <w:rPr>
          <w:rFonts w:eastAsia="Calibri Light"/>
          <w:b/>
          <w:u w:val="single"/>
        </w:rPr>
        <w:t>Legislative Analysis</w:t>
      </w:r>
    </w:p>
    <w:p w14:paraId="3DBDC457" w14:textId="77777777" w:rsidR="009C1849" w:rsidRDefault="00D41409" w:rsidP="00216710">
      <w:pPr>
        <w:keepNext/>
        <w:spacing w:line="480" w:lineRule="auto"/>
        <w:jc w:val="both"/>
        <w:rPr>
          <w:b/>
          <w:u w:val="single"/>
        </w:rPr>
      </w:pPr>
      <w:r>
        <w:rPr>
          <w:b/>
          <w:u w:val="single"/>
        </w:rPr>
        <w:t>Preconsidered Int.</w:t>
      </w:r>
    </w:p>
    <w:p w14:paraId="34222083" w14:textId="77777777" w:rsidR="009E13DA" w:rsidRPr="009E13DA" w:rsidRDefault="009E13DA" w:rsidP="009E13DA">
      <w:pPr>
        <w:spacing w:line="480" w:lineRule="auto"/>
        <w:jc w:val="both"/>
        <w:rPr>
          <w:b/>
        </w:rPr>
      </w:pPr>
      <w:r>
        <w:rPr>
          <w:b/>
        </w:rPr>
        <w:tab/>
      </w:r>
      <w:r w:rsidRPr="009E13DA">
        <w:t xml:space="preserve">Unlike independent spenders that spend money in support of or opposition to local </w:t>
      </w:r>
      <w:r w:rsidRPr="009E13DA">
        <w:rPr>
          <w:i/>
        </w:rPr>
        <w:t>candidates</w:t>
      </w:r>
      <w:r w:rsidRPr="009E13DA">
        <w:t xml:space="preserve">, those that spend money in support of or opposition to local </w:t>
      </w:r>
      <w:r w:rsidRPr="009E13DA">
        <w:rPr>
          <w:i/>
        </w:rPr>
        <w:t>ballot proposals</w:t>
      </w:r>
      <w:r w:rsidRPr="009E13DA">
        <w:t xml:space="preserve"> are not required to report their funding sources to the CFB or include “paid for by” notices on their communications. </w:t>
      </w:r>
      <w:r w:rsidR="00D41409">
        <w:t>Preconsidered Int.</w:t>
      </w:r>
      <w:r w:rsidR="007A4421" w:rsidRPr="009E13DA">
        <w:t xml:space="preserve"> </w:t>
      </w:r>
      <w:r w:rsidR="00861E0B" w:rsidRPr="009E13DA">
        <w:t>(Brooks-Powers</w:t>
      </w:r>
      <w:r w:rsidR="00B4331A">
        <w:t xml:space="preserve">, </w:t>
      </w:r>
      <w:r w:rsidR="00B4331A" w:rsidRPr="00814466">
        <w:rPr>
          <w:rFonts w:eastAsia="Calibri"/>
        </w:rPr>
        <w:t>Farías</w:t>
      </w:r>
      <w:r w:rsidR="00EF74BB">
        <w:t xml:space="preserve"> and </w:t>
      </w:r>
      <w:r w:rsidR="00D41409" w:rsidRPr="00414C08">
        <w:rPr>
          <w:shd w:val="clear" w:color="auto" w:fill="FFFFFF"/>
        </w:rPr>
        <w:t>Cabán</w:t>
      </w:r>
      <w:r w:rsidR="00861E0B" w:rsidRPr="009E13DA">
        <w:t xml:space="preserve">) </w:t>
      </w:r>
      <w:r w:rsidR="004F2813" w:rsidRPr="009E13DA">
        <w:t xml:space="preserve">would </w:t>
      </w:r>
      <w:r w:rsidRPr="009E13DA">
        <w:t xml:space="preserve">eliminate this discrepancy by ensuring that </w:t>
      </w:r>
      <w:r w:rsidR="00CE5E7C">
        <w:t>individuals and entities</w:t>
      </w:r>
      <w:r w:rsidRPr="009E13DA">
        <w:t xml:space="preserve"> that spend on local ballot proposals are subject to the same disclosure and notice requirements as those that spend on local candidates.</w:t>
      </w:r>
      <w:r w:rsidRPr="009E13DA">
        <w:rPr>
          <w:b/>
        </w:rPr>
        <w:tab/>
        <w:t xml:space="preserve"> </w:t>
      </w:r>
    </w:p>
    <w:p w14:paraId="1C461271" w14:textId="77777777" w:rsidR="007C7523" w:rsidRPr="009E13DA" w:rsidRDefault="009E13DA" w:rsidP="009E13DA">
      <w:pPr>
        <w:spacing w:line="480" w:lineRule="auto"/>
        <w:ind w:firstLine="720"/>
        <w:jc w:val="both"/>
      </w:pPr>
      <w:r w:rsidRPr="009E13DA">
        <w:rPr>
          <w:iCs/>
        </w:rPr>
        <w:t xml:space="preserve">The bill achieves this by amending two provisions of the Charter related to independent expenditures. </w:t>
      </w:r>
      <w:r w:rsidR="007C7523" w:rsidRPr="009E13DA">
        <w:rPr>
          <w:iCs/>
        </w:rPr>
        <w:t xml:space="preserve">The first is section 1052(a)(15)(b). Currently, this provision provides that any entity </w:t>
      </w:r>
      <w:r w:rsidR="007C7523" w:rsidRPr="009E13DA">
        <w:rPr>
          <w:iCs/>
        </w:rPr>
        <w:lastRenderedPageBreak/>
        <w:t xml:space="preserve">that makes independent expenditures of $5,000 or more with respect to a candidate for local office must report certain information regarding its funding sources to the CFB. Specifically, such entity (hereinafter, the “reporting entity”) must report: (i) the identity of any entity that contributed to the reporting entity on or after January 1 of the year before the election; (ii) the identity of any individual or entity that, in the 12 months leading up to the election, contributed $25,000 or more to an entity that, during that same period, contributed $50,000 or more to the reporting entity; and (iii) the identity of any individual that contributed $1,000 or more to the reporting entity in the 12 months leading up to the election. </w:t>
      </w:r>
      <w:r w:rsidR="007D666A">
        <w:rPr>
          <w:iCs/>
        </w:rPr>
        <w:t xml:space="preserve">Preconsidered </w:t>
      </w:r>
      <w:r w:rsidR="007C7523" w:rsidRPr="009E13DA">
        <w:rPr>
          <w:iCs/>
        </w:rPr>
        <w:t>Int. would require this same information to be reported by any entity that makes independent expenditures of $5,000 or more with respect to a municipal ballot proposal.</w:t>
      </w:r>
    </w:p>
    <w:p w14:paraId="473E2C27" w14:textId="77777777" w:rsidR="007C7523" w:rsidRPr="009E13DA" w:rsidRDefault="007C7523" w:rsidP="007C7523">
      <w:pPr>
        <w:spacing w:line="480" w:lineRule="auto"/>
        <w:ind w:firstLine="720"/>
        <w:jc w:val="both"/>
        <w:rPr>
          <w:iCs/>
        </w:rPr>
      </w:pPr>
      <w:r w:rsidRPr="009E13DA">
        <w:rPr>
          <w:iCs/>
        </w:rPr>
        <w:t xml:space="preserve">The second provision that </w:t>
      </w:r>
      <w:r w:rsidR="007D666A">
        <w:rPr>
          <w:iCs/>
        </w:rPr>
        <w:t xml:space="preserve">Preconsidered </w:t>
      </w:r>
      <w:r w:rsidRPr="009E13DA">
        <w:rPr>
          <w:iCs/>
        </w:rPr>
        <w:t xml:space="preserve">Int. would expand is section 1052(a)(15)(c) of the Charter. This provision currently requires “paid for by” notices to be included on any communication with respect to a candidate for local office that was funded by an individual or entity making $1,000 or more in aggregate independent expenditures. Such notices must include the words “paid for by” followed by the name of the individual or entity who funded the communication. For communications funded by an entity, such notices must also include the words “Top Three Donors,” followed by a list of the three largest aggregate donors to such entity in the 12 months leading up to the election. </w:t>
      </w:r>
      <w:r w:rsidR="007D666A">
        <w:rPr>
          <w:iCs/>
        </w:rPr>
        <w:t xml:space="preserve">Preconsidered </w:t>
      </w:r>
      <w:r w:rsidRPr="009E13DA">
        <w:rPr>
          <w:iCs/>
        </w:rPr>
        <w:t xml:space="preserve">Int. would require these same “paid for by” notices to be included on communications regarding municipal ballot proposals (provided such communications were funded by an individual or entity making $1,000 or more in independent expenditures).  </w:t>
      </w:r>
    </w:p>
    <w:p w14:paraId="3730A95D" w14:textId="77777777" w:rsidR="007C7523" w:rsidRPr="009E13DA" w:rsidRDefault="009E13DA" w:rsidP="00EA33AB">
      <w:pPr>
        <w:spacing w:line="480" w:lineRule="auto"/>
        <w:jc w:val="both"/>
      </w:pPr>
      <w:r w:rsidRPr="009E13DA">
        <w:tab/>
        <w:t xml:space="preserve">This bill would take effect on </w:t>
      </w:r>
      <w:r w:rsidR="001A4B46">
        <w:t>January 1, 2024.</w:t>
      </w:r>
    </w:p>
    <w:p w14:paraId="60DE1C6A" w14:textId="77777777" w:rsidR="00EF74BB" w:rsidRDefault="00EF74BB">
      <w:pPr>
        <w:spacing w:after="160" w:line="259" w:lineRule="auto"/>
      </w:pPr>
      <w:r>
        <w:br w:type="page"/>
      </w:r>
    </w:p>
    <w:p w14:paraId="43F50139" w14:textId="77777777" w:rsidR="000256D9" w:rsidRDefault="00B4331A" w:rsidP="000256D9">
      <w:pPr>
        <w:jc w:val="center"/>
      </w:pPr>
      <w:r>
        <w:lastRenderedPageBreak/>
        <w:t xml:space="preserve">Preconsidered </w:t>
      </w:r>
      <w:r w:rsidR="000256D9">
        <w:t xml:space="preserve">Int. No. </w:t>
      </w:r>
    </w:p>
    <w:p w14:paraId="293CC512" w14:textId="77777777" w:rsidR="000256D9" w:rsidRDefault="000256D9" w:rsidP="000256D9">
      <w:pPr>
        <w:jc w:val="center"/>
      </w:pPr>
    </w:p>
    <w:p w14:paraId="1B610375" w14:textId="77777777" w:rsidR="000256D9" w:rsidRDefault="000256D9" w:rsidP="000256D9">
      <w:pPr>
        <w:autoSpaceDE w:val="0"/>
        <w:autoSpaceDN w:val="0"/>
        <w:adjustRightInd w:val="0"/>
        <w:jc w:val="both"/>
        <w:rPr>
          <w:rFonts w:eastAsia="Calibri"/>
        </w:rPr>
      </w:pPr>
      <w:r>
        <w:rPr>
          <w:rFonts w:eastAsia="Calibri"/>
        </w:rPr>
        <w:t>By Council Members Brooks-Powers</w:t>
      </w:r>
      <w:r w:rsidR="00B4331A">
        <w:rPr>
          <w:rFonts w:eastAsia="Calibri"/>
        </w:rPr>
        <w:t xml:space="preserve">, </w:t>
      </w:r>
      <w:r w:rsidR="00B4331A" w:rsidRPr="00814466">
        <w:rPr>
          <w:rFonts w:eastAsia="Calibri"/>
        </w:rPr>
        <w:t>Farías</w:t>
      </w:r>
      <w:r>
        <w:rPr>
          <w:rFonts w:eastAsia="Calibri"/>
        </w:rPr>
        <w:t xml:space="preserve"> and </w:t>
      </w:r>
      <w:r w:rsidR="00576B7F" w:rsidRPr="00414C08">
        <w:rPr>
          <w:shd w:val="clear" w:color="auto" w:fill="FFFFFF"/>
        </w:rPr>
        <w:t>Cabán</w:t>
      </w:r>
      <w:r w:rsidR="00576B7F" w:rsidRPr="00B4331A" w:rsidDel="007D666A">
        <w:rPr>
          <w:rFonts w:eastAsia="Calibri"/>
        </w:rPr>
        <w:t xml:space="preserve"> </w:t>
      </w:r>
    </w:p>
    <w:p w14:paraId="73CE50A7" w14:textId="77777777" w:rsidR="000256D9" w:rsidRDefault="000256D9" w:rsidP="000256D9">
      <w:pPr>
        <w:pStyle w:val="BodyText"/>
        <w:spacing w:line="240" w:lineRule="auto"/>
      </w:pPr>
    </w:p>
    <w:p w14:paraId="4CF91CDD" w14:textId="77777777" w:rsidR="000256D9" w:rsidRPr="004E5EA5" w:rsidRDefault="000256D9" w:rsidP="000256D9">
      <w:pPr>
        <w:pStyle w:val="BodyText"/>
        <w:spacing w:line="240" w:lineRule="auto"/>
        <w:rPr>
          <w:vanish/>
        </w:rPr>
      </w:pPr>
      <w:r w:rsidRPr="004E5EA5">
        <w:rPr>
          <w:vanish/>
        </w:rPr>
        <w:t>..Title</w:t>
      </w:r>
    </w:p>
    <w:p w14:paraId="0BD5306A" w14:textId="77777777" w:rsidR="000256D9" w:rsidRDefault="000256D9" w:rsidP="000256D9">
      <w:pPr>
        <w:pStyle w:val="BodyText"/>
        <w:spacing w:line="240" w:lineRule="auto"/>
      </w:pPr>
      <w:r>
        <w:t>A Local Law to amend the New York city charter, in relation to requiring disclosure of the identity of contributors to entities making independent expenditures in support of or in opposition to any municipal ballot proposal or referendum</w:t>
      </w:r>
    </w:p>
    <w:p w14:paraId="0CAF1C17" w14:textId="77777777" w:rsidR="000256D9" w:rsidRPr="004E5EA5" w:rsidRDefault="000256D9" w:rsidP="000256D9">
      <w:pPr>
        <w:pStyle w:val="BodyText"/>
        <w:spacing w:line="240" w:lineRule="auto"/>
        <w:rPr>
          <w:vanish/>
        </w:rPr>
      </w:pPr>
      <w:r w:rsidRPr="004E5EA5">
        <w:rPr>
          <w:vanish/>
        </w:rPr>
        <w:t>..Body</w:t>
      </w:r>
    </w:p>
    <w:p w14:paraId="34D56012" w14:textId="77777777" w:rsidR="000256D9" w:rsidRDefault="000256D9" w:rsidP="000256D9">
      <w:pPr>
        <w:pStyle w:val="BodyText"/>
        <w:spacing w:line="240" w:lineRule="auto"/>
        <w:rPr>
          <w:u w:val="single"/>
        </w:rPr>
      </w:pPr>
    </w:p>
    <w:p w14:paraId="78D3517A" w14:textId="77777777" w:rsidR="000256D9" w:rsidRDefault="000256D9" w:rsidP="000256D9">
      <w:pPr>
        <w:spacing w:line="480" w:lineRule="auto"/>
        <w:jc w:val="both"/>
        <w:rPr>
          <w:u w:val="single"/>
        </w:rPr>
      </w:pPr>
      <w:r>
        <w:rPr>
          <w:u w:val="single"/>
        </w:rPr>
        <w:t>Be it enacted by the Council as follows</w:t>
      </w:r>
      <w:r w:rsidRPr="005B5DE4">
        <w:rPr>
          <w:u w:val="single"/>
        </w:rPr>
        <w:t>:</w:t>
      </w:r>
    </w:p>
    <w:p w14:paraId="5DE9A556" w14:textId="77777777" w:rsidR="000256D9" w:rsidRDefault="000256D9" w:rsidP="000256D9">
      <w:pPr>
        <w:spacing w:line="480" w:lineRule="auto"/>
        <w:ind w:firstLine="720"/>
        <w:jc w:val="both"/>
      </w:pPr>
      <w:r>
        <w:t>Section 1. Subparagraphs (b) and (c) of paragraph 15 of subdivision a of section 1052 of the New York city charter, as amended by local law number 41 for the year 2014, are amended to read as follows:</w:t>
      </w:r>
    </w:p>
    <w:p w14:paraId="6778C35C" w14:textId="77777777" w:rsidR="000256D9" w:rsidRDefault="000256D9" w:rsidP="000256D9">
      <w:pPr>
        <w:spacing w:line="480" w:lineRule="auto"/>
        <w:ind w:firstLine="720"/>
        <w:jc w:val="both"/>
      </w:pPr>
      <w:r>
        <w:t xml:space="preserve">(b) Every individual and entity that makes independent expenditures aggregating one thousand dollars or more [in support of or in opposition] </w:t>
      </w:r>
      <w:r>
        <w:rPr>
          <w:u w:val="single"/>
        </w:rPr>
        <w:t>with respect</w:t>
      </w:r>
      <w:r>
        <w:t xml:space="preserve"> to any candidate [in any covered election,] or [in support of or in opposition to] any municipal ballot proposal or referendum, shall be required to disclose such expenditure to the board. In addition, every entity that, in the twelve months preceding a covered election, makes independent expenditures aggregating five thousand dollars or more [in support of or in opposition] </w:t>
      </w:r>
      <w:r>
        <w:rPr>
          <w:u w:val="single"/>
        </w:rPr>
        <w:t>with respect</w:t>
      </w:r>
      <w:r w:rsidRPr="0089309A">
        <w:t xml:space="preserve"> </w:t>
      </w:r>
      <w:r>
        <w:t xml:space="preserve">to any candidate [in any covered election] </w:t>
      </w:r>
      <w:r>
        <w:rPr>
          <w:u w:val="single"/>
        </w:rPr>
        <w:t>or any municipal ballot proposal or referendum</w:t>
      </w:r>
      <w:r>
        <w:t xml:space="preserve"> shall disclose the following: (i) the identity of any entity that, on or after the first day of the calendar year preceding the covered election, contributed to the entity reporting the expenditure, and the owners, partners, board members, and officers, or their equivalents, of such contributing entity, or, if no individuals exist in any such roles, the name of at least one individual who exercises control over the activities of such contributing entity; (ii) the identity of any entity or individual who, in the twelve months preceding the covered election, contributed twenty-five thousand dollars or more to any entity that, in the twelve months preceding the covered election, contributed fifty thousand dollars or more to the entity reporting the expenditure; and (iii) the identity of any individual who, in the twelve months preceding the covered election, contributed one thousand dollars or more to the entity reporting the expenditure.</w:t>
      </w:r>
    </w:p>
    <w:p w14:paraId="1EEB8893" w14:textId="77777777" w:rsidR="000256D9" w:rsidRDefault="000256D9" w:rsidP="000256D9">
      <w:pPr>
        <w:spacing w:line="480" w:lineRule="auto"/>
        <w:ind w:firstLine="720"/>
        <w:jc w:val="both"/>
      </w:pPr>
      <w:r>
        <w:lastRenderedPageBreak/>
        <w:t>(c) Any literature, advertisement or other communication in support of or in opposition to any candidate in any covered election</w:t>
      </w:r>
      <w:r w:rsidRPr="00DD4AA0">
        <w:rPr>
          <w:u w:val="single"/>
        </w:rPr>
        <w:t>, or in support of or in opposition to any municipal ballot proposal or referendum,</w:t>
      </w:r>
      <w:r>
        <w:t xml:space="preserve"> that is paid for by an individual or entity making independent expenditures aggregating one thousand dollars or more shall, in addition to any applicable disclosure requirements in state law, disclose information as follows:</w:t>
      </w:r>
    </w:p>
    <w:p w14:paraId="4CE3354F" w14:textId="77777777" w:rsidR="000256D9" w:rsidRDefault="000256D9" w:rsidP="000256D9">
      <w:pPr>
        <w:spacing w:line="480" w:lineRule="auto"/>
        <w:ind w:firstLine="720"/>
        <w:jc w:val="both"/>
        <w:rPr>
          <w:sz w:val="18"/>
          <w:szCs w:val="18"/>
        </w:rPr>
      </w:pPr>
      <w:r>
        <w:t xml:space="preserve">§ 2. </w:t>
      </w:r>
      <w:r w:rsidRPr="001B7BAB">
        <w:t>This local law take</w:t>
      </w:r>
      <w:r>
        <w:t>s effect January 1, 2024; provided that the Campaign Finance Board shall take all action necessary for the timely implementation of this law, including the promulgation of rules, prior to such date.</w:t>
      </w:r>
      <w:r>
        <w:rPr>
          <w:sz w:val="18"/>
          <w:szCs w:val="18"/>
        </w:rPr>
        <w:t xml:space="preserve"> </w:t>
      </w:r>
    </w:p>
    <w:p w14:paraId="43810399" w14:textId="77777777" w:rsidR="000256D9" w:rsidRDefault="000256D9" w:rsidP="000256D9">
      <w:pPr>
        <w:jc w:val="both"/>
        <w:rPr>
          <w:sz w:val="18"/>
          <w:szCs w:val="18"/>
        </w:rPr>
      </w:pPr>
    </w:p>
    <w:p w14:paraId="4773CDA3" w14:textId="77777777" w:rsidR="000256D9" w:rsidRPr="00C443DB" w:rsidRDefault="000256D9" w:rsidP="000256D9">
      <w:pPr>
        <w:jc w:val="both"/>
        <w:rPr>
          <w:sz w:val="18"/>
          <w:szCs w:val="18"/>
          <w:u w:val="single"/>
        </w:rPr>
      </w:pPr>
      <w:r w:rsidRPr="00C443DB">
        <w:rPr>
          <w:sz w:val="18"/>
          <w:szCs w:val="18"/>
          <w:u w:val="single"/>
        </w:rPr>
        <w:t>Session 12</w:t>
      </w:r>
    </w:p>
    <w:p w14:paraId="40A4C3E0" w14:textId="77777777" w:rsidR="000256D9" w:rsidRDefault="000256D9" w:rsidP="000256D9">
      <w:pPr>
        <w:jc w:val="both"/>
        <w:rPr>
          <w:sz w:val="18"/>
          <w:szCs w:val="18"/>
        </w:rPr>
      </w:pPr>
      <w:r>
        <w:rPr>
          <w:sz w:val="18"/>
          <w:szCs w:val="18"/>
        </w:rPr>
        <w:t xml:space="preserve">CJM </w:t>
      </w:r>
    </w:p>
    <w:p w14:paraId="0BFB442A" w14:textId="77777777" w:rsidR="000256D9" w:rsidRDefault="000256D9" w:rsidP="000256D9">
      <w:pPr>
        <w:jc w:val="both"/>
        <w:rPr>
          <w:sz w:val="18"/>
          <w:szCs w:val="18"/>
        </w:rPr>
      </w:pPr>
      <w:r>
        <w:rPr>
          <w:sz w:val="18"/>
          <w:szCs w:val="18"/>
        </w:rPr>
        <w:t>LS #3515</w:t>
      </w:r>
    </w:p>
    <w:p w14:paraId="4172C64A" w14:textId="77777777" w:rsidR="000256D9" w:rsidRDefault="000256D9" w:rsidP="000256D9">
      <w:pPr>
        <w:jc w:val="both"/>
        <w:rPr>
          <w:sz w:val="18"/>
          <w:szCs w:val="18"/>
        </w:rPr>
      </w:pPr>
      <w:r>
        <w:rPr>
          <w:sz w:val="18"/>
          <w:szCs w:val="18"/>
        </w:rPr>
        <w:t>11/29/2022</w:t>
      </w:r>
    </w:p>
    <w:p w14:paraId="6B2DE636" w14:textId="77777777" w:rsidR="000256D9" w:rsidRDefault="000256D9" w:rsidP="000256D9">
      <w:pPr>
        <w:jc w:val="both"/>
        <w:rPr>
          <w:sz w:val="18"/>
          <w:szCs w:val="18"/>
        </w:rPr>
      </w:pPr>
    </w:p>
    <w:p w14:paraId="5AE5A3F2" w14:textId="77777777" w:rsidR="000256D9" w:rsidRPr="00C443DB" w:rsidRDefault="000256D9" w:rsidP="000256D9">
      <w:pPr>
        <w:jc w:val="both"/>
        <w:rPr>
          <w:sz w:val="18"/>
          <w:szCs w:val="18"/>
          <w:u w:val="single"/>
        </w:rPr>
      </w:pPr>
      <w:r w:rsidRPr="00C443DB">
        <w:rPr>
          <w:sz w:val="18"/>
          <w:szCs w:val="18"/>
          <w:u w:val="single"/>
        </w:rPr>
        <w:t>Session 11</w:t>
      </w:r>
    </w:p>
    <w:p w14:paraId="36CF5E58" w14:textId="77777777" w:rsidR="000256D9" w:rsidRDefault="000256D9" w:rsidP="000256D9">
      <w:pPr>
        <w:jc w:val="both"/>
        <w:rPr>
          <w:sz w:val="18"/>
          <w:szCs w:val="18"/>
        </w:rPr>
      </w:pPr>
      <w:r>
        <w:rPr>
          <w:sz w:val="18"/>
          <w:szCs w:val="18"/>
        </w:rPr>
        <w:t>DFC</w:t>
      </w:r>
    </w:p>
    <w:p w14:paraId="4C63313B" w14:textId="77777777" w:rsidR="000256D9" w:rsidRDefault="000256D9" w:rsidP="000256D9">
      <w:pPr>
        <w:jc w:val="both"/>
        <w:rPr>
          <w:sz w:val="18"/>
          <w:szCs w:val="18"/>
        </w:rPr>
      </w:pPr>
      <w:r>
        <w:rPr>
          <w:sz w:val="18"/>
          <w:szCs w:val="18"/>
        </w:rPr>
        <w:t>LS #12866, 12882, 13101</w:t>
      </w:r>
    </w:p>
    <w:p w14:paraId="1464876B" w14:textId="77777777" w:rsidR="000256D9" w:rsidRDefault="000256D9" w:rsidP="000256D9">
      <w:pPr>
        <w:rPr>
          <w:sz w:val="18"/>
          <w:szCs w:val="18"/>
        </w:rPr>
      </w:pPr>
      <w:r>
        <w:rPr>
          <w:sz w:val="18"/>
          <w:szCs w:val="18"/>
        </w:rPr>
        <w:t>Int. #1901-2020</w:t>
      </w:r>
    </w:p>
    <w:p w14:paraId="6FABC552" w14:textId="77777777" w:rsidR="00432EBF" w:rsidRPr="00432EBF" w:rsidRDefault="00432EBF" w:rsidP="00432EBF">
      <w:pPr>
        <w:spacing w:line="480" w:lineRule="auto"/>
        <w:ind w:firstLine="720"/>
        <w:jc w:val="both"/>
      </w:pPr>
    </w:p>
    <w:sectPr w:rsidR="00432EBF" w:rsidRPr="00432EBF" w:rsidSect="005D6C82">
      <w:footerReference w:type="default" r:id="rId15"/>
      <w:footerReference w:type="first" r:id="rId16"/>
      <w:pgSz w:w="12240" w:h="15840"/>
      <w:pgMar w:top="1008" w:right="1440" w:bottom="1008" w:left="1440" w:header="720" w:footer="720"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47807" w16cex:dateUtc="2022-12-02T18:11:00Z"/>
  <w16cex:commentExtensible w16cex:durableId="27347811" w16cex:dateUtc="2022-12-02T18: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86D0E9" w16cid:durableId="27347688"/>
  <w16cid:commentId w16cid:paraId="43091B77" w16cid:durableId="27347689"/>
  <w16cid:commentId w16cid:paraId="4F6F6D23" w16cid:durableId="2734768A"/>
  <w16cid:commentId w16cid:paraId="00BAA771" w16cid:durableId="2734768B"/>
  <w16cid:commentId w16cid:paraId="42577294" w16cid:durableId="27347807"/>
  <w16cid:commentId w16cid:paraId="13B657B8" w16cid:durableId="2734768C"/>
  <w16cid:commentId w16cid:paraId="619BAF08" w16cid:durableId="27347811"/>
  <w16cid:commentId w16cid:paraId="554FF420" w16cid:durableId="2734768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F4C20" w14:textId="77777777" w:rsidR="001E43C5" w:rsidRDefault="001E43C5" w:rsidP="00F64A28">
      <w:r>
        <w:separator/>
      </w:r>
    </w:p>
  </w:endnote>
  <w:endnote w:type="continuationSeparator" w:id="0">
    <w:p w14:paraId="2A2C0177" w14:textId="77777777" w:rsidR="001E43C5" w:rsidRDefault="001E43C5" w:rsidP="00F64A28">
      <w:r>
        <w:continuationSeparator/>
      </w:r>
    </w:p>
  </w:endnote>
  <w:endnote w:type="continuationNotice" w:id="1">
    <w:p w14:paraId="566B5A68" w14:textId="77777777" w:rsidR="001E43C5" w:rsidRDefault="001E43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094047"/>
      <w:docPartObj>
        <w:docPartGallery w:val="Page Numbers (Bottom of Page)"/>
        <w:docPartUnique/>
      </w:docPartObj>
    </w:sdtPr>
    <w:sdtEndPr>
      <w:rPr>
        <w:noProof/>
      </w:rPr>
    </w:sdtEndPr>
    <w:sdtContent>
      <w:p w14:paraId="17961F65" w14:textId="77777777" w:rsidR="009C1849" w:rsidRDefault="009C1849" w:rsidP="005D6C82">
        <w:pPr>
          <w:pStyle w:val="Footer"/>
          <w:jc w:val="center"/>
        </w:pPr>
      </w:p>
      <w:p w14:paraId="753F2C0C" w14:textId="77777777" w:rsidR="009C1849" w:rsidRDefault="009C1849" w:rsidP="005D6C82">
        <w:pPr>
          <w:pStyle w:val="Footer"/>
          <w:jc w:val="center"/>
        </w:pPr>
        <w:r>
          <w:fldChar w:fldCharType="begin"/>
        </w:r>
        <w:r>
          <w:instrText xml:space="preserve"> PAGE   \* MERGEFORMAT </w:instrText>
        </w:r>
        <w:r>
          <w:fldChar w:fldCharType="separate"/>
        </w:r>
        <w:r w:rsidR="00432EBF">
          <w:rPr>
            <w:noProof/>
          </w:rPr>
          <w:t>14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94B3C" w14:textId="6CCD3D98" w:rsidR="00432EBF" w:rsidRDefault="001E43C5">
    <w:pPr>
      <w:pStyle w:val="Footer"/>
      <w:jc w:val="center"/>
    </w:pPr>
    <w:sdt>
      <w:sdtPr>
        <w:id w:val="367110244"/>
        <w:docPartObj>
          <w:docPartGallery w:val="Page Numbers (Bottom of Page)"/>
          <w:docPartUnique/>
        </w:docPartObj>
      </w:sdtPr>
      <w:sdtEndPr>
        <w:rPr>
          <w:noProof/>
        </w:rPr>
      </w:sdtEndPr>
      <w:sdtContent>
        <w:r w:rsidR="00216710">
          <w:t xml:space="preserve"> </w:t>
        </w:r>
        <w:r w:rsidR="00432EBF">
          <w:fldChar w:fldCharType="begin"/>
        </w:r>
        <w:r w:rsidR="00432EBF">
          <w:instrText xml:space="preserve"> PAGE   \* MERGEFORMAT </w:instrText>
        </w:r>
        <w:r w:rsidR="00432EBF">
          <w:fldChar w:fldCharType="separate"/>
        </w:r>
        <w:r w:rsidR="0034400E">
          <w:rPr>
            <w:noProof/>
          </w:rPr>
          <w:t>11</w:t>
        </w:r>
        <w:r w:rsidR="00432EBF">
          <w:rPr>
            <w:noProof/>
          </w:rPr>
          <w:fldChar w:fldCharType="end"/>
        </w:r>
      </w:sdtContent>
    </w:sdt>
  </w:p>
  <w:p w14:paraId="6DA80447" w14:textId="77777777" w:rsidR="00432EBF" w:rsidRDefault="00432EB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E52B8" w14:textId="77777777" w:rsidR="00432EBF" w:rsidRDefault="00432EBF">
    <w:pPr>
      <w:pStyle w:val="Footer"/>
      <w:jc w:val="center"/>
    </w:pPr>
    <w:r>
      <w:fldChar w:fldCharType="begin"/>
    </w:r>
    <w:r>
      <w:instrText xml:space="preserve"> PAGE   \* MERGEFORMAT </w:instrText>
    </w:r>
    <w:r>
      <w:fldChar w:fldCharType="separate"/>
    </w:r>
    <w:r>
      <w:rPr>
        <w:noProof/>
      </w:rPr>
      <w:t>1</w:t>
    </w:r>
    <w:r>
      <w:rPr>
        <w:noProof/>
      </w:rPr>
      <w:fldChar w:fldCharType="end"/>
    </w:r>
  </w:p>
  <w:p w14:paraId="707822F9" w14:textId="77777777" w:rsidR="00432EBF" w:rsidRDefault="00432E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B0564" w14:textId="77777777" w:rsidR="001E43C5" w:rsidRDefault="001E43C5" w:rsidP="00F64A28">
      <w:r>
        <w:separator/>
      </w:r>
    </w:p>
  </w:footnote>
  <w:footnote w:type="continuationSeparator" w:id="0">
    <w:p w14:paraId="0E1EF9AD" w14:textId="77777777" w:rsidR="001E43C5" w:rsidRDefault="001E43C5" w:rsidP="00F64A28">
      <w:r>
        <w:continuationSeparator/>
      </w:r>
    </w:p>
  </w:footnote>
  <w:footnote w:type="continuationNotice" w:id="1">
    <w:p w14:paraId="71918598" w14:textId="77777777" w:rsidR="001E43C5" w:rsidRDefault="001E43C5"/>
  </w:footnote>
  <w:footnote w:id="2">
    <w:p w14:paraId="4538FE15" w14:textId="77777777" w:rsidR="00C9194A" w:rsidRDefault="00C9194A" w:rsidP="00C9194A">
      <w:pPr>
        <w:pStyle w:val="FootnoteText"/>
      </w:pPr>
      <w:r w:rsidRPr="1AF6414E">
        <w:rPr>
          <w:rStyle w:val="FootnoteReference"/>
        </w:rPr>
        <w:footnoteRef/>
      </w:r>
      <w:r w:rsidR="07EFC875">
        <w:t xml:space="preserve"> NYC Charter § 1052</w:t>
      </w:r>
    </w:p>
  </w:footnote>
  <w:footnote w:id="3">
    <w:p w14:paraId="367846E5" w14:textId="77777777" w:rsidR="00C9194A" w:rsidRDefault="00C9194A" w:rsidP="00C9194A">
      <w:pPr>
        <w:pStyle w:val="FootnoteText"/>
      </w:pPr>
      <w:r w:rsidRPr="1AF6414E">
        <w:rPr>
          <w:rStyle w:val="FootnoteReference"/>
        </w:rPr>
        <w:footnoteRef/>
      </w:r>
      <w:r>
        <w:t xml:space="preserve"> NYC Charter § 1052 (a)(1)</w:t>
      </w:r>
    </w:p>
  </w:footnote>
  <w:footnote w:id="4">
    <w:p w14:paraId="3F448746" w14:textId="77777777" w:rsidR="00C9194A" w:rsidRDefault="00C9194A" w:rsidP="00C9194A">
      <w:pPr>
        <w:pStyle w:val="FootnoteText"/>
      </w:pPr>
      <w:r w:rsidRPr="1AF6414E">
        <w:rPr>
          <w:rStyle w:val="FootnoteReference"/>
        </w:rPr>
        <w:footnoteRef/>
      </w:r>
      <w:r>
        <w:t xml:space="preserve"> </w:t>
      </w:r>
      <w:r w:rsidRPr="1AF6414E">
        <w:rPr>
          <w:i/>
          <w:iCs/>
          <w:color w:val="000000" w:themeColor="text1"/>
        </w:rPr>
        <w:t xml:space="preserve">See generally </w:t>
      </w:r>
      <w:r w:rsidRPr="1AF6414E">
        <w:rPr>
          <w:color w:val="000000" w:themeColor="text1"/>
        </w:rPr>
        <w:t>New York City Charter §1052(19) and New York City Administrative Code §§</w:t>
      </w:r>
      <w:r w:rsidR="0058054B">
        <w:rPr>
          <w:color w:val="000000" w:themeColor="text1"/>
        </w:rPr>
        <w:t xml:space="preserve"> </w:t>
      </w:r>
      <w:r w:rsidRPr="1AF6414E">
        <w:rPr>
          <w:color w:val="000000" w:themeColor="text1"/>
        </w:rPr>
        <w:t>3-703—3-706.</w:t>
      </w:r>
    </w:p>
  </w:footnote>
  <w:footnote w:id="5">
    <w:p w14:paraId="4306583A" w14:textId="77777777" w:rsidR="00C9194A" w:rsidRDefault="00C9194A" w:rsidP="00C9194A">
      <w:pPr>
        <w:pStyle w:val="FootnoteText"/>
      </w:pPr>
      <w:r w:rsidRPr="1AF6414E">
        <w:rPr>
          <w:rStyle w:val="FootnoteReference"/>
        </w:rPr>
        <w:footnoteRef/>
      </w:r>
      <w:r>
        <w:t xml:space="preserve"> </w:t>
      </w:r>
      <w:r w:rsidRPr="1AF6414E">
        <w:rPr>
          <w:i/>
          <w:iCs/>
          <w:color w:val="000000" w:themeColor="text1"/>
        </w:rPr>
        <w:t xml:space="preserve">See generally </w:t>
      </w:r>
      <w:r w:rsidRPr="1AF6414E">
        <w:rPr>
          <w:color w:val="000000" w:themeColor="text1"/>
        </w:rPr>
        <w:t>New York City Administrative Code §</w:t>
      </w:r>
      <w:r w:rsidR="0058054B">
        <w:rPr>
          <w:color w:val="000000" w:themeColor="text1"/>
        </w:rPr>
        <w:t xml:space="preserve"> </w:t>
      </w:r>
      <w:r w:rsidRPr="1AF6414E">
        <w:rPr>
          <w:color w:val="000000" w:themeColor="text1"/>
        </w:rPr>
        <w:t>3-703.</w:t>
      </w:r>
    </w:p>
  </w:footnote>
  <w:footnote w:id="6">
    <w:p w14:paraId="65739411" w14:textId="77777777" w:rsidR="002C1E89" w:rsidRDefault="002C1E89" w:rsidP="002C1E89">
      <w:pPr>
        <w:pStyle w:val="FootnoteText"/>
      </w:pPr>
      <w:r w:rsidRPr="1AF6414E">
        <w:rPr>
          <w:rStyle w:val="FootnoteReference"/>
        </w:rPr>
        <w:footnoteRef/>
      </w:r>
      <w:r>
        <w:t xml:space="preserve"> </w:t>
      </w:r>
      <w:r w:rsidRPr="1AF6414E">
        <w:rPr>
          <w:color w:val="000000" w:themeColor="text1"/>
          <w:sz w:val="19"/>
          <w:szCs w:val="19"/>
        </w:rPr>
        <w:t>New York City Local Law 8 of 1988, §</w:t>
      </w:r>
      <w:r w:rsidR="0058054B">
        <w:rPr>
          <w:color w:val="000000" w:themeColor="text1"/>
          <w:sz w:val="19"/>
          <w:szCs w:val="19"/>
        </w:rPr>
        <w:t xml:space="preserve"> </w:t>
      </w:r>
      <w:r w:rsidRPr="1AF6414E">
        <w:rPr>
          <w:color w:val="000000" w:themeColor="text1"/>
          <w:sz w:val="19"/>
          <w:szCs w:val="19"/>
        </w:rPr>
        <w:t>1.</w:t>
      </w:r>
    </w:p>
  </w:footnote>
  <w:footnote w:id="7">
    <w:p w14:paraId="1E0438B4" w14:textId="77777777" w:rsidR="002C1E89" w:rsidRDefault="002C1E89" w:rsidP="002C1E89">
      <w:pPr>
        <w:pStyle w:val="FootnoteText"/>
      </w:pPr>
      <w:r w:rsidRPr="26B6FE65">
        <w:rPr>
          <w:rStyle w:val="FootnoteReference"/>
        </w:rPr>
        <w:footnoteRef/>
      </w:r>
      <w:r>
        <w:t xml:space="preserve"> Gregory Clark, Hazel Milard and Mariana Paez, </w:t>
      </w:r>
      <w:r w:rsidRPr="26B6FE65">
        <w:rPr>
          <w:i/>
          <w:iCs/>
        </w:rPr>
        <w:t xml:space="preserve">Small Donor Public Financing Plays Role in Electing Most Diverse New York City Council </w:t>
      </w:r>
      <w:r w:rsidRPr="26B6FE65">
        <w:t xml:space="preserve">Brennan Center, November 5, 2021.  </w:t>
      </w:r>
    </w:p>
  </w:footnote>
  <w:footnote w:id="8">
    <w:p w14:paraId="230013C7" w14:textId="77777777" w:rsidR="002C1E89" w:rsidRDefault="002C1E89" w:rsidP="002C1E89">
      <w:pPr>
        <w:pStyle w:val="FootnoteText"/>
      </w:pPr>
      <w:r w:rsidRPr="26B6FE65">
        <w:rPr>
          <w:rStyle w:val="FootnoteReference"/>
        </w:rPr>
        <w:footnoteRef/>
      </w:r>
      <w:r>
        <w:t xml:space="preserve"> New York City Campaign Finance Board, </w:t>
      </w:r>
      <w:r w:rsidRPr="26B6FE65">
        <w:rPr>
          <w:color w:val="000000" w:themeColor="text1"/>
        </w:rPr>
        <w:t xml:space="preserve">Benefits at </w:t>
      </w:r>
      <w:hyperlink r:id="rId1" w:history="1">
        <w:r w:rsidRPr="00E7327F">
          <w:rPr>
            <w:rStyle w:val="Hyperlink"/>
          </w:rPr>
          <w:t>https://www.nyccfb.info/program/benefits/</w:t>
        </w:r>
      </w:hyperlink>
      <w:r w:rsidRPr="26B6FE65">
        <w:rPr>
          <w:color w:val="000000" w:themeColor="text1"/>
        </w:rPr>
        <w:t xml:space="preserve"> </w:t>
      </w:r>
    </w:p>
  </w:footnote>
  <w:footnote w:id="9">
    <w:p w14:paraId="55039095" w14:textId="77777777" w:rsidR="00C9194A" w:rsidRDefault="00C9194A" w:rsidP="004A39FA">
      <w:pPr>
        <w:pStyle w:val="FootnoteText"/>
      </w:pPr>
      <w:r w:rsidRPr="26B6FE65">
        <w:rPr>
          <w:rStyle w:val="FootnoteReference"/>
        </w:rPr>
        <w:footnoteRef/>
      </w:r>
      <w:r>
        <w:t xml:space="preserve"> </w:t>
      </w:r>
      <w:r w:rsidRPr="26B6FE65">
        <w:rPr>
          <w:color w:val="000000" w:themeColor="text1"/>
        </w:rPr>
        <w:t>Friedlander, J. D., Louis, S. E., &amp; Laufer, L. D. (n.d.). </w:t>
      </w:r>
      <w:r w:rsidRPr="26B6FE65">
        <w:rPr>
          <w:i/>
          <w:iCs/>
          <w:color w:val="000000" w:themeColor="text1"/>
        </w:rPr>
        <w:t>The New York City Campaign Finance Act</w:t>
      </w:r>
      <w:r w:rsidR="00E7327F">
        <w:rPr>
          <w:color w:val="000000" w:themeColor="text1"/>
        </w:rPr>
        <w:t> (Rep.). Retrieved November 30, 2022</w:t>
      </w:r>
      <w:r w:rsidRPr="26B6FE65">
        <w:rPr>
          <w:color w:val="000000" w:themeColor="text1"/>
        </w:rPr>
        <w:t xml:space="preserve">, from Hofstra Law Review website: </w:t>
      </w:r>
      <w:hyperlink r:id="rId2">
        <w:r w:rsidRPr="00216A87">
          <w:rPr>
            <w:rStyle w:val="Hyperlink"/>
            <w:bCs/>
          </w:rPr>
          <w:t>http://scholarlycommons.law.hofstra.edu/cgi/viewcontent.cgi?article=1617&amp;context=hlr</w:t>
        </w:r>
      </w:hyperlink>
      <w:r w:rsidRPr="26B6FE65">
        <w:rPr>
          <w:color w:val="000000" w:themeColor="text1"/>
        </w:rPr>
        <w:t xml:space="preserve">. </w:t>
      </w:r>
      <w:r w:rsidRPr="26B6FE65">
        <w:t xml:space="preserve"> </w:t>
      </w:r>
    </w:p>
  </w:footnote>
  <w:footnote w:id="10">
    <w:p w14:paraId="04CE956D" w14:textId="77777777" w:rsidR="00C9194A" w:rsidRDefault="00C9194A" w:rsidP="00C9194A">
      <w:pPr>
        <w:pStyle w:val="FootnoteText"/>
      </w:pPr>
      <w:r w:rsidRPr="26B6FE65">
        <w:rPr>
          <w:rStyle w:val="FootnoteReference"/>
        </w:rPr>
        <w:footnoteRef/>
      </w:r>
      <w:r>
        <w:t xml:space="preserve"> </w:t>
      </w:r>
      <w:r w:rsidRPr="26B6FE65">
        <w:rPr>
          <w:color w:val="000000" w:themeColor="text1"/>
        </w:rPr>
        <w:t xml:space="preserve">Liss, S., &amp; Migally, A. (n.d.). Small Donor Matching Funds: The NYC Election </w:t>
      </w:r>
      <w:r w:rsidR="00E7327F" w:rsidRPr="26B6FE65">
        <w:rPr>
          <w:color w:val="000000" w:themeColor="text1"/>
        </w:rPr>
        <w:t xml:space="preserve">Experience. </w:t>
      </w:r>
      <w:r w:rsidRPr="26B6FE65">
        <w:rPr>
          <w:color w:val="000000" w:themeColor="text1"/>
        </w:rPr>
        <w:t xml:space="preserve">Retrieved </w:t>
      </w:r>
      <w:r w:rsidR="0053155C">
        <w:rPr>
          <w:color w:val="000000" w:themeColor="text1"/>
        </w:rPr>
        <w:t>N</w:t>
      </w:r>
      <w:r w:rsidR="00E7327F">
        <w:rPr>
          <w:color w:val="000000" w:themeColor="text1"/>
        </w:rPr>
        <w:t>o</w:t>
      </w:r>
      <w:r w:rsidR="0053155C">
        <w:rPr>
          <w:color w:val="000000" w:themeColor="text1"/>
        </w:rPr>
        <w:t>vember 30, 2022</w:t>
      </w:r>
      <w:r w:rsidRPr="26B6FE65">
        <w:rPr>
          <w:color w:val="000000" w:themeColor="text1"/>
        </w:rPr>
        <w:t xml:space="preserve">, from </w:t>
      </w:r>
      <w:hyperlink r:id="rId3">
        <w:r w:rsidRPr="00216A87">
          <w:rPr>
            <w:rStyle w:val="Hyperlink"/>
            <w:bCs/>
          </w:rPr>
          <w:t>https://www.brennancenter.org/sites/default/files/legacy/Small%20Donor%20Matching%20Funds-The%20NYC%20Election%20Experience.pdf</w:t>
        </w:r>
      </w:hyperlink>
      <w:r w:rsidRPr="26B6FE65">
        <w:rPr>
          <w:color w:val="000000" w:themeColor="text1"/>
        </w:rPr>
        <w:t>.</w:t>
      </w:r>
    </w:p>
  </w:footnote>
  <w:footnote w:id="11">
    <w:p w14:paraId="04471C4A" w14:textId="77777777" w:rsidR="00C9194A" w:rsidRDefault="00C9194A" w:rsidP="00C9194A">
      <w:pPr>
        <w:pStyle w:val="FootnoteText"/>
      </w:pPr>
      <w:r>
        <w:rPr>
          <w:rStyle w:val="FootnoteReference"/>
        </w:rPr>
        <w:footnoteRef/>
      </w:r>
      <w:r>
        <w:t xml:space="preserve"> </w:t>
      </w:r>
      <w:r w:rsidR="004A39FA">
        <w:t xml:space="preserve">Final Report of the 2018 New York City Charter Revision Commission available at </w:t>
      </w:r>
      <w:hyperlink r:id="rId4" w:history="1">
        <w:r w:rsidRPr="004B6A4F">
          <w:rPr>
            <w:rStyle w:val="Hyperlink"/>
          </w:rPr>
          <w:t>https://www1.nyc.gov/assets/charter/downloads/pdf/final-report-20180904.pdf</w:t>
        </w:r>
      </w:hyperlink>
    </w:p>
  </w:footnote>
  <w:footnote w:id="12">
    <w:p w14:paraId="3715045F" w14:textId="77777777" w:rsidR="00C9194A" w:rsidRDefault="00C9194A" w:rsidP="00C9194A">
      <w:pPr>
        <w:pStyle w:val="FootnoteText"/>
      </w:pPr>
      <w:r w:rsidRPr="6C07A1B2">
        <w:rPr>
          <w:rStyle w:val="FootnoteReference"/>
        </w:rPr>
        <w:footnoteRef/>
      </w:r>
      <w:r>
        <w:t xml:space="preserve"> New York City Campaign Finance Board 2021 Post-Election Report available at </w:t>
      </w:r>
      <w:hyperlink r:id="rId5">
        <w:r w:rsidRPr="6C07A1B2">
          <w:rPr>
            <w:rStyle w:val="Hyperlink"/>
          </w:rPr>
          <w:t>http://www.nyccfb.info/PDF/2021_Post-Election_Report.pdf</w:t>
        </w:r>
      </w:hyperlink>
    </w:p>
  </w:footnote>
  <w:footnote w:id="13">
    <w:p w14:paraId="3C5580E9" w14:textId="77777777" w:rsidR="00C9194A" w:rsidRDefault="00C9194A" w:rsidP="00C9194A">
      <w:pPr>
        <w:pStyle w:val="FootnoteText"/>
      </w:pPr>
      <w:r w:rsidRPr="6C07A1B2">
        <w:rPr>
          <w:rStyle w:val="FootnoteReference"/>
        </w:rPr>
        <w:footnoteRef/>
      </w:r>
      <w:r>
        <w:t xml:space="preserve"> </w:t>
      </w:r>
      <w:r w:rsidR="00437160">
        <w:t>Id.</w:t>
      </w:r>
    </w:p>
  </w:footnote>
  <w:footnote w:id="14">
    <w:p w14:paraId="373F40AA" w14:textId="77777777" w:rsidR="00C9194A" w:rsidRDefault="00C9194A" w:rsidP="00C9194A">
      <w:pPr>
        <w:pStyle w:val="FootnoteText"/>
      </w:pPr>
      <w:r w:rsidRPr="6C07A1B2">
        <w:rPr>
          <w:rStyle w:val="FootnoteReference"/>
        </w:rPr>
        <w:footnoteRef/>
      </w:r>
      <w:r>
        <w:t xml:space="preserve"> </w:t>
      </w:r>
      <w:r w:rsidR="00437160">
        <w:t>Id.</w:t>
      </w:r>
    </w:p>
  </w:footnote>
  <w:footnote w:id="15">
    <w:p w14:paraId="10A08151" w14:textId="77777777" w:rsidR="00C9194A" w:rsidRDefault="00C9194A" w:rsidP="00C9194A">
      <w:pPr>
        <w:pStyle w:val="FootnoteText"/>
      </w:pPr>
      <w:r w:rsidRPr="40188F83">
        <w:rPr>
          <w:rStyle w:val="FootnoteReference"/>
        </w:rPr>
        <w:footnoteRef/>
      </w:r>
      <w:r>
        <w:t xml:space="preserve"> </w:t>
      </w:r>
      <w:r w:rsidR="00437160">
        <w:t>Id.</w:t>
      </w:r>
    </w:p>
  </w:footnote>
  <w:footnote w:id="16">
    <w:p w14:paraId="788DC5CE" w14:textId="77777777" w:rsidR="00C9194A" w:rsidRDefault="00C9194A" w:rsidP="00C9194A">
      <w:pPr>
        <w:pStyle w:val="FootnoteText"/>
      </w:pPr>
      <w:r w:rsidRPr="6C07A1B2">
        <w:rPr>
          <w:rStyle w:val="FootnoteReference"/>
        </w:rPr>
        <w:footnoteRef/>
      </w:r>
      <w:r w:rsidR="00437160">
        <w:t>Id.</w:t>
      </w:r>
    </w:p>
  </w:footnote>
  <w:footnote w:id="17">
    <w:p w14:paraId="71EA77AE" w14:textId="77777777" w:rsidR="00C9194A" w:rsidRDefault="00C9194A" w:rsidP="00C9194A">
      <w:pPr>
        <w:pStyle w:val="FootnoteText"/>
      </w:pPr>
      <w:r w:rsidRPr="6C07A1B2">
        <w:rPr>
          <w:rStyle w:val="FootnoteReference"/>
        </w:rPr>
        <w:footnoteRef/>
      </w:r>
      <w:r>
        <w:t xml:space="preserve"> </w:t>
      </w:r>
      <w:r w:rsidR="00437160">
        <w:t>Id.</w:t>
      </w:r>
    </w:p>
  </w:footnote>
  <w:footnote w:id="18">
    <w:p w14:paraId="4AFE3430" w14:textId="77777777" w:rsidR="00C9194A" w:rsidRDefault="00C9194A" w:rsidP="00C9194A">
      <w:pPr>
        <w:pStyle w:val="FootnoteText"/>
      </w:pPr>
      <w:r w:rsidRPr="6C07A1B2">
        <w:rPr>
          <w:rStyle w:val="FootnoteReference"/>
        </w:rPr>
        <w:footnoteRef/>
      </w:r>
      <w:r>
        <w:t xml:space="preserve"> </w:t>
      </w:r>
      <w:r w:rsidR="00437160">
        <w:t>Id.</w:t>
      </w:r>
    </w:p>
  </w:footnote>
  <w:footnote w:id="19">
    <w:p w14:paraId="1524F786" w14:textId="77777777" w:rsidR="00C9194A" w:rsidRDefault="00C9194A" w:rsidP="00C9194A">
      <w:pPr>
        <w:pStyle w:val="FootnoteText"/>
      </w:pPr>
      <w:r w:rsidRPr="6C07A1B2">
        <w:rPr>
          <w:rStyle w:val="FootnoteReference"/>
        </w:rPr>
        <w:footnoteRef/>
      </w:r>
      <w:r>
        <w:t xml:space="preserve"> </w:t>
      </w:r>
      <w:r w:rsidR="00437160">
        <w:t>Id.</w:t>
      </w:r>
    </w:p>
  </w:footnote>
  <w:footnote w:id="20">
    <w:p w14:paraId="46387A3D" w14:textId="77777777" w:rsidR="00C9194A" w:rsidRDefault="00C9194A" w:rsidP="00C9194A">
      <w:pPr>
        <w:pStyle w:val="FootnoteText"/>
        <w:rPr>
          <w:rStyle w:val="FootnoteReference"/>
          <w:sz w:val="24"/>
          <w:szCs w:val="24"/>
        </w:rPr>
      </w:pPr>
      <w:r>
        <w:rPr>
          <w:rStyle w:val="FootnoteReference"/>
        </w:rPr>
        <w:footnoteRef/>
      </w:r>
      <w:r>
        <w:t xml:space="preserve"> </w:t>
      </w:r>
      <w:r w:rsidRPr="004A39FA">
        <w:t>This could be due to the fact that first time payees gave twice as much to their own campaigns as program veterans, or that they received more contributions from family members which both have higher limits than regular contributions</w:t>
      </w:r>
      <w:r w:rsidRPr="1AF6414E">
        <w:rPr>
          <w:sz w:val="24"/>
          <w:szCs w:val="24"/>
        </w:rPr>
        <w:t>.</w:t>
      </w:r>
    </w:p>
  </w:footnote>
  <w:footnote w:id="21">
    <w:p w14:paraId="7FB65697" w14:textId="77777777" w:rsidR="00C9194A" w:rsidRDefault="00C9194A" w:rsidP="00C9194A">
      <w:pPr>
        <w:pStyle w:val="FootnoteText"/>
      </w:pPr>
      <w:r w:rsidRPr="1AF6414E">
        <w:rPr>
          <w:rStyle w:val="FootnoteReference"/>
        </w:rPr>
        <w:footnoteRef/>
      </w:r>
      <w:r>
        <w:t xml:space="preserve"> Gregory Clark, Hazel Millard and Mariana Paez ”Small Donor Public Financing Plays Role In Electing Most Diverse New York City Council.” </w:t>
      </w:r>
      <w:r w:rsidRPr="004A39FA">
        <w:rPr>
          <w:i/>
        </w:rPr>
        <w:t>Brennan Center</w:t>
      </w:r>
      <w:r>
        <w:t>, November 5, 2021.</w:t>
      </w:r>
    </w:p>
  </w:footnote>
  <w:footnote w:id="22">
    <w:p w14:paraId="1124D64B" w14:textId="77777777" w:rsidR="00C9194A" w:rsidRDefault="00C9194A" w:rsidP="00C9194A">
      <w:pPr>
        <w:pStyle w:val="FootnoteText"/>
      </w:pPr>
      <w:r w:rsidRPr="1AF6414E">
        <w:rPr>
          <w:rStyle w:val="FootnoteReference"/>
        </w:rPr>
        <w:footnoteRef/>
      </w:r>
      <w:r>
        <w:t xml:space="preserve"> </w:t>
      </w:r>
      <w:r w:rsidR="0053155C">
        <w:t>Id.</w:t>
      </w:r>
      <w:r>
        <w:t xml:space="preserve">. </w:t>
      </w:r>
    </w:p>
  </w:footnote>
  <w:footnote w:id="23">
    <w:p w14:paraId="4D3DC367" w14:textId="77777777" w:rsidR="00C9194A" w:rsidRDefault="00C9194A" w:rsidP="00C9194A">
      <w:pPr>
        <w:pStyle w:val="FootnoteText"/>
      </w:pPr>
      <w:r w:rsidRPr="40188F83">
        <w:rPr>
          <w:rStyle w:val="FootnoteReference"/>
        </w:rPr>
        <w:footnoteRef/>
      </w:r>
      <w:r>
        <w:t xml:space="preserve"> </w:t>
      </w:r>
      <w:r w:rsidR="00437160">
        <w:t>Id.</w:t>
      </w:r>
    </w:p>
  </w:footnote>
  <w:footnote w:id="24">
    <w:p w14:paraId="557E1D2F" w14:textId="77777777" w:rsidR="57F6BECA" w:rsidRDefault="57F6BECA">
      <w:r w:rsidRPr="57F6BECA">
        <w:rPr>
          <w:rStyle w:val="FootnoteReference"/>
        </w:rPr>
        <w:footnoteRef/>
      </w:r>
      <w:r w:rsidR="004A39FA">
        <w:t xml:space="preserve"> </w:t>
      </w:r>
      <w:r w:rsidR="004A39FA" w:rsidRPr="004A39FA">
        <w:rPr>
          <w:sz w:val="20"/>
          <w:szCs w:val="20"/>
        </w:rPr>
        <w:t xml:space="preserve">Ese Olumhense </w:t>
      </w:r>
      <w:r w:rsidRPr="004A39FA">
        <w:rPr>
          <w:sz w:val="20"/>
          <w:szCs w:val="20"/>
        </w:rPr>
        <w:t xml:space="preserve">”How Small-Dollar Public Financing Heled NYC Elect Its Most Diverse City Council Ever.” </w:t>
      </w:r>
      <w:r w:rsidRPr="004A39FA">
        <w:rPr>
          <w:i/>
          <w:iCs/>
          <w:sz w:val="20"/>
          <w:szCs w:val="20"/>
        </w:rPr>
        <w:t>City Limits,</w:t>
      </w:r>
      <w:r w:rsidRPr="004A39FA">
        <w:rPr>
          <w:sz w:val="20"/>
          <w:szCs w:val="20"/>
        </w:rPr>
        <w:t xml:space="preserve"> November 16, 2021.</w:t>
      </w:r>
      <w:r w:rsidRPr="57F6BECA">
        <w:t xml:space="preserve"> </w:t>
      </w:r>
    </w:p>
  </w:footnote>
  <w:footnote w:id="25">
    <w:p w14:paraId="62327AF3" w14:textId="77777777" w:rsidR="00C9194A" w:rsidRPr="0053155C" w:rsidRDefault="00C9194A" w:rsidP="00C9194A">
      <w:pPr>
        <w:pStyle w:val="FootnoteText"/>
      </w:pPr>
      <w:r>
        <w:rPr>
          <w:rStyle w:val="FootnoteReference"/>
        </w:rPr>
        <w:footnoteRef/>
      </w:r>
      <w:r>
        <w:t xml:space="preserve"> New York City Campaign Finance Board</w:t>
      </w:r>
      <w:r w:rsidR="0053155C">
        <w:t>,</w:t>
      </w:r>
      <w:r>
        <w:t xml:space="preserve"> </w:t>
      </w:r>
      <w:r w:rsidRPr="0053155C">
        <w:rPr>
          <w:i/>
        </w:rPr>
        <w:t>Independent Expenditures Guide</w:t>
      </w:r>
      <w:r w:rsidR="0053155C">
        <w:rPr>
          <w:i/>
        </w:rPr>
        <w:t xml:space="preserve">, </w:t>
      </w:r>
      <w:r w:rsidR="0053155C">
        <w:t xml:space="preserve">available at </w:t>
      </w:r>
      <w:hyperlink r:id="rId6" w:history="1">
        <w:r w:rsidR="0053155C" w:rsidRPr="0053155C">
          <w:rPr>
            <w:rStyle w:val="Hyperlink"/>
          </w:rPr>
          <w:t>https://www.nyccfb.info/independent-expenditures/independent-expenditures-guide/</w:t>
        </w:r>
      </w:hyperlink>
    </w:p>
  </w:footnote>
  <w:footnote w:id="26">
    <w:p w14:paraId="45A3A52D" w14:textId="77777777" w:rsidR="00C9194A" w:rsidRPr="002B6F2D" w:rsidRDefault="00C9194A" w:rsidP="00C9194A">
      <w:pPr>
        <w:pStyle w:val="FootnoteText"/>
      </w:pPr>
      <w:r>
        <w:rPr>
          <w:rStyle w:val="FootnoteReference"/>
        </w:rPr>
        <w:footnoteRef/>
      </w:r>
      <w:r w:rsidR="004A39FA">
        <w:t xml:space="preserve"> </w:t>
      </w:r>
      <w:r w:rsidR="006208BF" w:rsidRPr="0028506E">
        <w:t>See, e.g.,</w:t>
      </w:r>
      <w:r w:rsidR="006208BF">
        <w:rPr>
          <w:i/>
        </w:rPr>
        <w:t xml:space="preserve"> </w:t>
      </w:r>
      <w:r w:rsidR="006208BF" w:rsidRPr="006208BF">
        <w:rPr>
          <w:i/>
        </w:rPr>
        <w:t>Buckley v. Valeo</w:t>
      </w:r>
      <w:r w:rsidR="006208BF" w:rsidRPr="006208BF">
        <w:t>, 424 U.S. 1 (1976)</w:t>
      </w:r>
      <w:r w:rsidR="006208BF">
        <w:t>;</w:t>
      </w:r>
      <w:r w:rsidR="006208BF" w:rsidRPr="006208BF" w:rsidDel="006208BF">
        <w:t xml:space="preserve"> </w:t>
      </w:r>
      <w:r w:rsidRPr="40188F83">
        <w:rPr>
          <w:i/>
          <w:iCs/>
        </w:rPr>
        <w:t>Citizen’s United v. Federal Election Commission</w:t>
      </w:r>
      <w:r>
        <w:t xml:space="preserve"> 588 U.S. 310 (2010)</w:t>
      </w:r>
      <w:r w:rsidR="006208BF">
        <w:t>.</w:t>
      </w:r>
    </w:p>
  </w:footnote>
  <w:footnote w:id="27">
    <w:p w14:paraId="32049494" w14:textId="77777777" w:rsidR="00C9194A" w:rsidRDefault="00C9194A" w:rsidP="00C9194A">
      <w:pPr>
        <w:pStyle w:val="FootnoteText"/>
      </w:pPr>
      <w:r>
        <w:rPr>
          <w:rStyle w:val="FootnoteReference"/>
        </w:rPr>
        <w:footnoteRef/>
      </w:r>
      <w:r>
        <w:t xml:space="preserve"> </w:t>
      </w:r>
      <w:r w:rsidR="0028506E">
        <w:t xml:space="preserve">See id.; see also </w:t>
      </w:r>
      <w:r w:rsidR="0053155C">
        <w:t xml:space="preserve">New York City Campaign Finance Board, </w:t>
      </w:r>
      <w:r w:rsidR="0053155C" w:rsidRPr="0053155C">
        <w:rPr>
          <w:i/>
        </w:rPr>
        <w:t>Independent Expenditures Guide</w:t>
      </w:r>
      <w:r w:rsidR="0053155C">
        <w:rPr>
          <w:i/>
        </w:rPr>
        <w:t xml:space="preserve">, </w:t>
      </w:r>
      <w:r w:rsidR="0053155C">
        <w:t xml:space="preserve">available at </w:t>
      </w:r>
      <w:hyperlink r:id="rId7" w:history="1">
        <w:r w:rsidR="0053155C" w:rsidRPr="0053155C">
          <w:rPr>
            <w:rStyle w:val="Hyperlink"/>
          </w:rPr>
          <w:t>https://www.nyccfb.info/independent-expenditures/independent-expenditures-guide/</w:t>
        </w:r>
      </w:hyperlink>
    </w:p>
  </w:footnote>
  <w:footnote w:id="28">
    <w:p w14:paraId="74C4B473" w14:textId="77777777" w:rsidR="00894C0E" w:rsidRDefault="00894C0E">
      <w:pPr>
        <w:pStyle w:val="FootnoteText"/>
      </w:pPr>
      <w:r>
        <w:rPr>
          <w:rStyle w:val="FootnoteReference"/>
        </w:rPr>
        <w:footnoteRef/>
      </w:r>
      <w:r>
        <w:t xml:space="preserve"> </w:t>
      </w:r>
      <w:r w:rsidRPr="0028506E">
        <w:t>See</w:t>
      </w:r>
      <w:r>
        <w:rPr>
          <w:i/>
        </w:rPr>
        <w:t xml:space="preserve"> </w:t>
      </w:r>
      <w:r>
        <w:t xml:space="preserve">Charter </w:t>
      </w:r>
      <w:r w:rsidRPr="000277BC">
        <w:t>§</w:t>
      </w:r>
      <w:r>
        <w:t xml:space="preserve"> 1052(a)(15)(b); CFB Rules </w:t>
      </w:r>
      <w:r w:rsidRPr="000277BC">
        <w:t>§</w:t>
      </w:r>
      <w:r>
        <w:t xml:space="preserve"> 14-02(</w:t>
      </w:r>
      <w:r w:rsidR="0028506E">
        <w:t>b</w:t>
      </w:r>
      <w:r>
        <w:t>).</w:t>
      </w:r>
    </w:p>
  </w:footnote>
  <w:footnote w:id="29">
    <w:p w14:paraId="394B92F1" w14:textId="77777777" w:rsidR="00C9194A" w:rsidRDefault="00C9194A" w:rsidP="00C9194A">
      <w:pPr>
        <w:pStyle w:val="FootnoteText"/>
      </w:pPr>
      <w:r>
        <w:rPr>
          <w:rStyle w:val="FootnoteReference"/>
        </w:rPr>
        <w:footnoteRef/>
      </w:r>
      <w:r>
        <w:t xml:space="preserve"> </w:t>
      </w:r>
      <w:r w:rsidR="0028506E" w:rsidRPr="0028506E">
        <w:t>See</w:t>
      </w:r>
      <w:r w:rsidR="0028506E">
        <w:rPr>
          <w:i/>
        </w:rPr>
        <w:t xml:space="preserve"> </w:t>
      </w:r>
      <w:r w:rsidR="0028506E">
        <w:t xml:space="preserve">Charter </w:t>
      </w:r>
      <w:r w:rsidR="0028506E" w:rsidRPr="000277BC">
        <w:t>§</w:t>
      </w:r>
      <w:r w:rsidR="0028506E">
        <w:t xml:space="preserve"> 1052(a)(15)(b); CFB Rules </w:t>
      </w:r>
      <w:r w:rsidR="0028506E" w:rsidRPr="000277BC">
        <w:t>§</w:t>
      </w:r>
      <w:r w:rsidR="0028506E">
        <w:t xml:space="preserve"> 14-02(d).</w:t>
      </w:r>
    </w:p>
  </w:footnote>
  <w:footnote w:id="30">
    <w:p w14:paraId="2351086F" w14:textId="77777777" w:rsidR="005A66A1" w:rsidRDefault="005A66A1" w:rsidP="005A66A1">
      <w:pPr>
        <w:pStyle w:val="FootnoteText"/>
      </w:pPr>
      <w:r>
        <w:rPr>
          <w:rStyle w:val="FootnoteReference"/>
        </w:rPr>
        <w:footnoteRef/>
      </w:r>
      <w:r>
        <w:t xml:space="preserve"> New York City Campaign Finance Board, Follow the Money, Independent Expenditures Portal, </w:t>
      </w:r>
      <w:hyperlink r:id="rId8" w:history="1">
        <w:r w:rsidRPr="002A2FDA">
          <w:rPr>
            <w:rStyle w:val="Hyperlink"/>
          </w:rPr>
          <w:t>https://www.nyccfb.info/follow-the-money/follow-the-money/</w:t>
        </w:r>
      </w:hyperlink>
      <w:r>
        <w:t xml:space="preserve"> (last accessed </w:t>
      </w:r>
      <w:r w:rsidR="00603A90">
        <w:t>December 8</w:t>
      </w:r>
      <w:r>
        <w:t>, 202</w:t>
      </w:r>
      <w:r w:rsidR="00603A90">
        <w:t>2</w:t>
      </w:r>
      <w:r>
        <w:t xml:space="preserve">). </w:t>
      </w:r>
    </w:p>
  </w:footnote>
  <w:footnote w:id="31">
    <w:p w14:paraId="76BD5ED7" w14:textId="77777777" w:rsidR="009E13DA" w:rsidRPr="001139C5" w:rsidRDefault="009E13DA" w:rsidP="009E13DA">
      <w:pPr>
        <w:pStyle w:val="FootnoteText"/>
      </w:pPr>
      <w:r>
        <w:rPr>
          <w:rStyle w:val="FootnoteReference"/>
        </w:rPr>
        <w:footnoteRef/>
      </w:r>
      <w:r>
        <w:t xml:space="preserve"> </w:t>
      </w:r>
      <w:r w:rsidRPr="00A13175">
        <w:t>Specifically, any communication referring to a candidate in a local election that was funded by an individual or entity making at least $1,000 in</w:t>
      </w:r>
      <w:r>
        <w:t xml:space="preserve"> aggregate</w:t>
      </w:r>
      <w:r w:rsidRPr="00A13175">
        <w:t xml:space="preserve"> independent expenditures must include a paid-for-by notice.</w:t>
      </w:r>
      <w:r>
        <w:t xml:space="preserve"> </w:t>
      </w:r>
      <w:r w:rsidRPr="00216A87">
        <w:t>See</w:t>
      </w:r>
      <w:r>
        <w:rPr>
          <w:i/>
        </w:rPr>
        <w:t xml:space="preserve"> </w:t>
      </w:r>
      <w:r>
        <w:t xml:space="preserve">Charter </w:t>
      </w:r>
      <w:r w:rsidRPr="000277BC">
        <w:t>§</w:t>
      </w:r>
      <w:r>
        <w:t xml:space="preserve"> 1052(a)(15)(c); CFB Rules </w:t>
      </w:r>
      <w:r w:rsidRPr="000277BC">
        <w:t>§</w:t>
      </w:r>
      <w:r>
        <w:t xml:space="preserve"> 14-04. </w:t>
      </w:r>
    </w:p>
  </w:footnote>
  <w:footnote w:id="32">
    <w:p w14:paraId="59EC5A1C" w14:textId="77777777" w:rsidR="00C9194A" w:rsidRDefault="00C9194A" w:rsidP="00C9194A">
      <w:pPr>
        <w:pStyle w:val="FootnoteText"/>
      </w:pPr>
      <w:r>
        <w:rPr>
          <w:rStyle w:val="FootnoteReference"/>
        </w:rPr>
        <w:footnoteRef/>
      </w:r>
      <w:r>
        <w:t xml:space="preserve"> New York City Campaign Finance Board 2021 Post-Election Report available at </w:t>
      </w:r>
      <w:hyperlink r:id="rId9">
        <w:r w:rsidRPr="6C07A1B2">
          <w:rPr>
            <w:rStyle w:val="Hyperlink"/>
          </w:rPr>
          <w:t>http://www.nyccfb.info/PDF/2021_Post-Election_Report.pdf</w:t>
        </w:r>
      </w:hyperlink>
    </w:p>
  </w:footnote>
  <w:footnote w:id="33">
    <w:p w14:paraId="5B49D5B0" w14:textId="77777777" w:rsidR="00C9194A" w:rsidRDefault="00C9194A" w:rsidP="00C9194A">
      <w:pPr>
        <w:pStyle w:val="FootnoteText"/>
      </w:pPr>
      <w:r>
        <w:rPr>
          <w:rStyle w:val="FootnoteReference"/>
        </w:rPr>
        <w:footnoteRef/>
      </w:r>
      <w:r>
        <w:t xml:space="preserve"> </w:t>
      </w:r>
      <w:r w:rsidR="00437160">
        <w:t xml:space="preserve">Id. </w:t>
      </w:r>
    </w:p>
  </w:footnote>
  <w:footnote w:id="34">
    <w:p w14:paraId="3A97A1E5" w14:textId="77777777" w:rsidR="00C9194A" w:rsidRDefault="00C9194A" w:rsidP="00C9194A">
      <w:pPr>
        <w:pStyle w:val="FootnoteText"/>
      </w:pPr>
      <w:r>
        <w:rPr>
          <w:rStyle w:val="FootnoteReference"/>
        </w:rPr>
        <w:footnoteRef/>
      </w:r>
      <w:r>
        <w:t xml:space="preserve"> </w:t>
      </w:r>
      <w:r w:rsidR="00437160">
        <w:t>Id.</w:t>
      </w:r>
    </w:p>
  </w:footnote>
  <w:footnote w:id="35">
    <w:p w14:paraId="662AA9AD" w14:textId="77777777" w:rsidR="00C9194A" w:rsidRDefault="00C9194A" w:rsidP="00C9194A">
      <w:pPr>
        <w:pStyle w:val="FootnoteText"/>
      </w:pPr>
      <w:r>
        <w:rPr>
          <w:rStyle w:val="FootnoteReference"/>
        </w:rPr>
        <w:footnoteRef/>
      </w:r>
      <w:r>
        <w:t xml:space="preserve"> </w:t>
      </w:r>
      <w:r w:rsidR="00437160">
        <w:t>Id.</w:t>
      </w:r>
    </w:p>
  </w:footnote>
  <w:footnote w:id="36">
    <w:p w14:paraId="0DBC49BC" w14:textId="77777777" w:rsidR="00C9194A" w:rsidRDefault="00C9194A" w:rsidP="00C9194A">
      <w:pPr>
        <w:pStyle w:val="FootnoteText"/>
      </w:pPr>
      <w:r>
        <w:rPr>
          <w:rStyle w:val="FootnoteReference"/>
        </w:rPr>
        <w:footnoteRef/>
      </w:r>
      <w:r w:rsidR="00437160">
        <w:t>Id.</w:t>
      </w:r>
    </w:p>
  </w:footnote>
  <w:footnote w:id="37">
    <w:p w14:paraId="0B657CC1" w14:textId="77777777" w:rsidR="00C9194A" w:rsidRDefault="00C9194A" w:rsidP="00C9194A">
      <w:pPr>
        <w:pStyle w:val="FootnoteText"/>
      </w:pPr>
      <w:r>
        <w:rPr>
          <w:rStyle w:val="FootnoteReference"/>
        </w:rPr>
        <w:footnoteRef/>
      </w:r>
      <w:r>
        <w:t xml:space="preserve"> </w:t>
      </w:r>
      <w:r w:rsidR="00437160">
        <w:t>Id.</w:t>
      </w:r>
    </w:p>
  </w:footnote>
  <w:footnote w:id="38">
    <w:p w14:paraId="4F6FA837" w14:textId="77777777" w:rsidR="00C9194A" w:rsidRDefault="00C9194A" w:rsidP="00C9194A">
      <w:pPr>
        <w:pStyle w:val="FootnoteText"/>
      </w:pPr>
      <w:r>
        <w:rPr>
          <w:rStyle w:val="FootnoteReference"/>
        </w:rPr>
        <w:footnoteRef/>
      </w:r>
      <w:r>
        <w:t xml:space="preserve"> </w:t>
      </w:r>
      <w:r w:rsidR="00437160">
        <w:t>Id.</w:t>
      </w:r>
    </w:p>
  </w:footnote>
  <w:footnote w:id="39">
    <w:p w14:paraId="0995375A" w14:textId="77777777" w:rsidR="00C9194A" w:rsidRDefault="00C9194A" w:rsidP="00C9194A">
      <w:pPr>
        <w:pStyle w:val="FootnoteText"/>
      </w:pPr>
      <w:r w:rsidRPr="4E405584">
        <w:rPr>
          <w:rStyle w:val="FootnoteReference"/>
        </w:rPr>
        <w:footnoteRef/>
      </w:r>
      <w:r>
        <w:t xml:space="preserve"> </w:t>
      </w:r>
      <w:r w:rsidR="00437160">
        <w:t>Id.</w:t>
      </w:r>
    </w:p>
  </w:footnote>
  <w:footnote w:id="40">
    <w:p w14:paraId="3C79245A" w14:textId="77777777" w:rsidR="00C9194A" w:rsidRDefault="00C9194A" w:rsidP="00C9194A">
      <w:pPr>
        <w:pStyle w:val="FootnoteText"/>
      </w:pPr>
      <w:r w:rsidRPr="4E405584">
        <w:rPr>
          <w:rStyle w:val="FootnoteReference"/>
        </w:rPr>
        <w:footnoteRef/>
      </w:r>
      <w:r>
        <w:t xml:space="preserve"> </w:t>
      </w:r>
      <w:r w:rsidR="00437160">
        <w:t>Id.</w:t>
      </w:r>
    </w:p>
  </w:footnote>
  <w:footnote w:id="41">
    <w:p w14:paraId="0E74746E" w14:textId="77777777" w:rsidR="00C9194A" w:rsidRDefault="00C9194A" w:rsidP="00C9194A">
      <w:pPr>
        <w:pStyle w:val="FootnoteText"/>
      </w:pPr>
      <w:r w:rsidRPr="1AF6414E">
        <w:rPr>
          <w:rStyle w:val="FootnoteReference"/>
        </w:rPr>
        <w:footnoteRef/>
      </w:r>
      <w:r>
        <w:t xml:space="preserve"> </w:t>
      </w:r>
      <w:r w:rsidR="00437160">
        <w:t>Id.</w:t>
      </w:r>
    </w:p>
  </w:footnote>
  <w:footnote w:id="42">
    <w:p w14:paraId="24A34A5F" w14:textId="77777777" w:rsidR="00C9194A" w:rsidRDefault="00C9194A" w:rsidP="00C9194A">
      <w:pPr>
        <w:pStyle w:val="FootnoteText"/>
      </w:pPr>
      <w:r w:rsidRPr="1AF6414E">
        <w:rPr>
          <w:rStyle w:val="FootnoteReference"/>
        </w:rPr>
        <w:footnoteRef/>
      </w:r>
      <w:r w:rsidR="0058054B">
        <w:t xml:space="preserve"> </w:t>
      </w:r>
      <w:r w:rsidR="00437160">
        <w:t>Id.</w:t>
      </w:r>
    </w:p>
  </w:footnote>
  <w:footnote w:id="43">
    <w:p w14:paraId="2768F102" w14:textId="77777777" w:rsidR="00C9194A" w:rsidRDefault="00C9194A" w:rsidP="00C9194A">
      <w:pPr>
        <w:pStyle w:val="FootnoteText"/>
      </w:pPr>
      <w:r>
        <w:rPr>
          <w:rStyle w:val="FootnoteReference"/>
        </w:rPr>
        <w:footnoteRef/>
      </w:r>
      <w:r>
        <w:t xml:space="preserve"> </w:t>
      </w:r>
      <w:r w:rsidR="00437160">
        <w:t>Id.</w:t>
      </w:r>
    </w:p>
  </w:footnote>
  <w:footnote w:id="44">
    <w:p w14:paraId="7FF2B30A" w14:textId="77777777" w:rsidR="00C9194A" w:rsidRDefault="00C9194A" w:rsidP="00C9194A">
      <w:pPr>
        <w:pStyle w:val="FootnoteText"/>
      </w:pPr>
      <w:r>
        <w:rPr>
          <w:rStyle w:val="FootnoteReference"/>
        </w:rPr>
        <w:footnoteRef/>
      </w:r>
      <w:r>
        <w:t xml:space="preserve"> New York City Administrative Code </w:t>
      </w:r>
      <w:hyperlink r:id="rId10" w:history="1">
        <w:r w:rsidRPr="00EF33E9">
          <w:rPr>
            <w:rStyle w:val="Hyperlink"/>
          </w:rPr>
          <w:t>§ 3-710(5</w:t>
        </w:r>
      </w:hyperlink>
      <w:r>
        <w:t>)</w:t>
      </w:r>
      <w:r w:rsidR="006977E7">
        <w:t xml:space="preserve">; see also </w:t>
      </w:r>
      <w:r w:rsidR="009106E7">
        <w:t xml:space="preserve">New York City Campaign Finance Board 2021 Post-Election Report Supra. </w:t>
      </w:r>
    </w:p>
  </w:footnote>
  <w:footnote w:id="45">
    <w:p w14:paraId="1CCB7441" w14:textId="77777777" w:rsidR="00C9194A" w:rsidRDefault="00C9194A" w:rsidP="00C9194A">
      <w:pPr>
        <w:pStyle w:val="FootnoteText"/>
      </w:pPr>
      <w:r w:rsidRPr="5FA8204D">
        <w:rPr>
          <w:rStyle w:val="FootnoteReference"/>
        </w:rPr>
        <w:footnoteRef/>
      </w:r>
      <w:r>
        <w:t xml:space="preserve"> New York City Campaign Finance Board 2021 Post-Election Report available at </w:t>
      </w:r>
      <w:hyperlink r:id="rId11">
        <w:r w:rsidRPr="5FA8204D">
          <w:rPr>
            <w:rStyle w:val="Hyperlink"/>
          </w:rPr>
          <w:t>http://www.nyccfb.info/PDF/2021_Post-Election_Report.pdf</w:t>
        </w:r>
      </w:hyperlink>
    </w:p>
  </w:footnote>
  <w:footnote w:id="46">
    <w:p w14:paraId="4437B190" w14:textId="77777777" w:rsidR="00C9194A" w:rsidRDefault="00C9194A" w:rsidP="00C9194A">
      <w:pPr>
        <w:pStyle w:val="FootnoteText"/>
      </w:pPr>
      <w:r>
        <w:rPr>
          <w:rStyle w:val="FootnoteReference"/>
        </w:rPr>
        <w:footnoteRef/>
      </w:r>
      <w:r w:rsidR="00F27A5A">
        <w:t xml:space="preserve">Id. </w:t>
      </w:r>
    </w:p>
  </w:footnote>
  <w:footnote w:id="47">
    <w:p w14:paraId="27A3B3E3" w14:textId="77777777" w:rsidR="00C9194A" w:rsidRDefault="00C9194A" w:rsidP="00C9194A">
      <w:pPr>
        <w:pStyle w:val="FootnoteText"/>
      </w:pPr>
      <w:r>
        <w:rPr>
          <w:rStyle w:val="FootnoteReference"/>
        </w:rPr>
        <w:footnoteRef/>
      </w:r>
      <w:r w:rsidR="00F27A5A">
        <w:t>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C6C14" w14:textId="77777777" w:rsidR="009C1849" w:rsidRDefault="009C1849">
    <w:pPr>
      <w:pStyle w:val="Header"/>
    </w:pPr>
    <w:r>
      <w:rPr>
        <w:noProof/>
      </w:rPr>
      <mc:AlternateContent>
        <mc:Choice Requires="wps">
          <w:drawing>
            <wp:anchor distT="0" distB="0" distL="114300" distR="114300" simplePos="0" relativeHeight="251657216" behindDoc="1" locked="0" layoutInCell="0" allowOverlap="1" wp14:anchorId="56187F8F" wp14:editId="04E2846B">
              <wp:simplePos x="0" y="0"/>
              <wp:positionH relativeFrom="margin">
                <wp:align>center</wp:align>
              </wp:positionH>
              <wp:positionV relativeFrom="margin">
                <wp:align>center</wp:align>
              </wp:positionV>
              <wp:extent cx="5985510" cy="2393950"/>
              <wp:effectExtent l="0" t="1619250" r="0" b="13112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2F92A19" w14:textId="77777777" w:rsidR="009C1849" w:rsidRDefault="009C1849" w:rsidP="00C209A4">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6187F8F" id="_x0000_t202" coordsize="21600,21600" o:spt="202" path="m,l,21600r21600,l21600,xe">
              <v:stroke joinstyle="miter"/>
              <v:path gradientshapeok="t" o:connecttype="rect"/>
            </v:shapetype>
            <v:shape id="Text Box 3" o:spid="_x0000_s1026" type="#_x0000_t202" style="position:absolute;margin-left:0;margin-top:0;width:471.3pt;height:188.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" o:allowincell="f" filled="f" stroked="f">
              <v:stroke joinstyle="round"/>
              <o:lock v:ext="edit" shapetype="t"/>
              <v:textbox style="mso-fit-shape-to-text:t">
                <w:txbxContent>
                  <w:p w14:paraId="72F92A19" w14:textId="77777777" w:rsidR="009C1849" w:rsidRDefault="009C1849" w:rsidP="00C209A4">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p w14:paraId="49EB0C30" w14:textId="77777777" w:rsidR="009C1849" w:rsidRDefault="009C1849"/>
  <w:p w14:paraId="593F6DDE" w14:textId="77777777" w:rsidR="009C1849" w:rsidRDefault="009C1849"/>
  <w:p w14:paraId="7166D515" w14:textId="77777777" w:rsidR="009C1849" w:rsidRDefault="009C184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A49E8" w14:textId="06EB1256" w:rsidR="00D41409" w:rsidRDefault="00D414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E403E"/>
    <w:multiLevelType w:val="hybridMultilevel"/>
    <w:tmpl w:val="B91AA9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356A2"/>
    <w:multiLevelType w:val="hybridMultilevel"/>
    <w:tmpl w:val="E2789BB2"/>
    <w:lvl w:ilvl="0" w:tplc="F64EC126">
      <w:start w:val="1"/>
      <w:numFmt w:val="lowerLetter"/>
      <w:lvlText w:val="%1."/>
      <w:lvlJc w:val="left"/>
      <w:pPr>
        <w:ind w:left="144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62233"/>
    <w:multiLevelType w:val="hybridMultilevel"/>
    <w:tmpl w:val="4CA6CB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FE5468"/>
    <w:multiLevelType w:val="hybridMultilevel"/>
    <w:tmpl w:val="ACAE13A2"/>
    <w:lvl w:ilvl="0" w:tplc="F64EC126">
      <w:start w:val="1"/>
      <w:numFmt w:val="lowerLetter"/>
      <w:lvlText w:val="%1."/>
      <w:lvlJc w:val="left"/>
      <w:pPr>
        <w:ind w:left="144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20D53"/>
    <w:multiLevelType w:val="hybridMultilevel"/>
    <w:tmpl w:val="922AF7F8"/>
    <w:lvl w:ilvl="0" w:tplc="EA185FFA">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D7CC2"/>
    <w:multiLevelType w:val="hybridMultilevel"/>
    <w:tmpl w:val="D66C7F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3017F"/>
    <w:multiLevelType w:val="hybridMultilevel"/>
    <w:tmpl w:val="39E0A82C"/>
    <w:lvl w:ilvl="0" w:tplc="0409000F">
      <w:start w:val="1"/>
      <w:numFmt w:val="decimal"/>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961F60"/>
    <w:multiLevelType w:val="hybridMultilevel"/>
    <w:tmpl w:val="E0B04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7C6498"/>
    <w:multiLevelType w:val="hybridMultilevel"/>
    <w:tmpl w:val="F0DA8A9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6234C42"/>
    <w:multiLevelType w:val="hybridMultilevel"/>
    <w:tmpl w:val="84E6E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146350"/>
    <w:multiLevelType w:val="hybridMultilevel"/>
    <w:tmpl w:val="922AF7F8"/>
    <w:lvl w:ilvl="0" w:tplc="EA185FFA">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4112E0"/>
    <w:multiLevelType w:val="hybridMultilevel"/>
    <w:tmpl w:val="7F80BA3A"/>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773447"/>
    <w:multiLevelType w:val="hybridMultilevel"/>
    <w:tmpl w:val="B302FC12"/>
    <w:lvl w:ilvl="0" w:tplc="6256DAF0">
      <w:start w:val="1"/>
      <w:numFmt w:val="upperRoman"/>
      <w:lvlText w:val="%1."/>
      <w:lvlJc w:val="left"/>
      <w:pPr>
        <w:ind w:left="1080" w:hanging="720"/>
      </w:pPr>
      <w:rPr>
        <w:rFonts w:hint="default"/>
        <w:b/>
      </w:rPr>
    </w:lvl>
    <w:lvl w:ilvl="1" w:tplc="EA185FFA">
      <w:start w:val="1"/>
      <w:numFmt w:val="lowerLetter"/>
      <w:lvlText w:val="%2."/>
      <w:lvlJc w:val="left"/>
      <w:pPr>
        <w:ind w:left="1440" w:hanging="360"/>
      </w:pPr>
      <w:rPr>
        <w:i w:val="0"/>
      </w:rPr>
    </w:lvl>
    <w:lvl w:ilvl="2" w:tplc="819E2FF8">
      <w:start w:val="1"/>
      <w:numFmt w:val="lowerRoman"/>
      <w:lvlText w:val="%3."/>
      <w:lvlJc w:val="right"/>
      <w:pPr>
        <w:ind w:left="2160" w:hanging="180"/>
      </w:pPr>
      <w:rPr>
        <w: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891D5E"/>
    <w:multiLevelType w:val="hybridMultilevel"/>
    <w:tmpl w:val="3C305FCA"/>
    <w:lvl w:ilvl="0" w:tplc="02CED1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88A7715"/>
    <w:multiLevelType w:val="hybridMultilevel"/>
    <w:tmpl w:val="71FE92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150D17"/>
    <w:multiLevelType w:val="hybridMultilevel"/>
    <w:tmpl w:val="A06026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4A0CEC"/>
    <w:multiLevelType w:val="hybridMultilevel"/>
    <w:tmpl w:val="B8F418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992493A"/>
    <w:multiLevelType w:val="hybridMultilevel"/>
    <w:tmpl w:val="DDB4B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3B0FBE"/>
    <w:multiLevelType w:val="hybridMultilevel"/>
    <w:tmpl w:val="FD263BB6"/>
    <w:lvl w:ilvl="0" w:tplc="9B64DC90">
      <w:start w:val="1"/>
      <w:numFmt w:val="upperRoman"/>
      <w:lvlText w:val="%1."/>
      <w:lvlJc w:val="left"/>
      <w:pPr>
        <w:ind w:left="1080" w:hanging="720"/>
      </w:pPr>
      <w:rPr>
        <w:rFonts w:hint="default"/>
        <w:b/>
        <w:i w:val="0"/>
        <w:color w:val="auto"/>
        <w:sz w:val="24"/>
        <w:szCs w:val="24"/>
      </w:rPr>
    </w:lvl>
    <w:lvl w:ilvl="1" w:tplc="F64EC126">
      <w:start w:val="1"/>
      <w:numFmt w:val="lowerLetter"/>
      <w:lvlText w:val="%2."/>
      <w:lvlJc w:val="left"/>
      <w:pPr>
        <w:ind w:left="1440" w:hanging="360"/>
      </w:pPr>
      <w:rPr>
        <w:rFonts w:ascii="Times New Roman" w:hAnsi="Times New Roman" w:cs="Times New Roman" w:hint="default"/>
        <w:color w:val="auto"/>
        <w:sz w:val="24"/>
        <w:szCs w:val="24"/>
      </w:rPr>
    </w:lvl>
    <w:lvl w:ilvl="2" w:tplc="84A8939C">
      <w:start w:val="1"/>
      <w:numFmt w:val="lowerRoman"/>
      <w:lvlText w:val="%3."/>
      <w:lvlJc w:val="right"/>
      <w:pPr>
        <w:ind w:left="2160" w:hanging="180"/>
      </w:pPr>
      <w:rPr>
        <w:rFonts w:ascii="Times New Roman" w:hAnsi="Times New Roman" w:cs="Times New Roman" w:hint="default"/>
        <w:b/>
        <w:i/>
        <w:color w:val="auto"/>
        <w:sz w:val="24"/>
        <w:szCs w:val="24"/>
      </w:rPr>
    </w:lvl>
    <w:lvl w:ilvl="3" w:tplc="51E645A6">
      <w:start w:val="1"/>
      <w:numFmt w:val="decimal"/>
      <w:lvlText w:val="%4."/>
      <w:lvlJc w:val="left"/>
      <w:pPr>
        <w:ind w:left="2880" w:hanging="360"/>
      </w:pPr>
      <w:rPr>
        <w:rFonts w:ascii="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4C621E"/>
    <w:multiLevelType w:val="hybridMultilevel"/>
    <w:tmpl w:val="428687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8A1B83"/>
    <w:multiLevelType w:val="hybridMultilevel"/>
    <w:tmpl w:val="2A069A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9"/>
  </w:num>
  <w:num w:numId="3">
    <w:abstractNumId w:val="13"/>
  </w:num>
  <w:num w:numId="4">
    <w:abstractNumId w:val="6"/>
  </w:num>
  <w:num w:numId="5">
    <w:abstractNumId w:val="11"/>
  </w:num>
  <w:num w:numId="6">
    <w:abstractNumId w:val="17"/>
  </w:num>
  <w:num w:numId="7">
    <w:abstractNumId w:val="20"/>
  </w:num>
  <w:num w:numId="8">
    <w:abstractNumId w:val="18"/>
  </w:num>
  <w:num w:numId="9">
    <w:abstractNumId w:val="4"/>
  </w:num>
  <w:num w:numId="10">
    <w:abstractNumId w:val="10"/>
  </w:num>
  <w:num w:numId="11">
    <w:abstractNumId w:val="7"/>
  </w:num>
  <w:num w:numId="12">
    <w:abstractNumId w:val="16"/>
  </w:num>
  <w:num w:numId="13">
    <w:abstractNumId w:val="2"/>
  </w:num>
  <w:num w:numId="14">
    <w:abstractNumId w:val="9"/>
  </w:num>
  <w:num w:numId="15">
    <w:abstractNumId w:val="5"/>
  </w:num>
  <w:num w:numId="16">
    <w:abstractNumId w:val="8"/>
  </w:num>
  <w:num w:numId="17">
    <w:abstractNumId w:val="14"/>
  </w:num>
  <w:num w:numId="18">
    <w:abstractNumId w:val="15"/>
  </w:num>
  <w:num w:numId="19">
    <w:abstractNumId w:val="0"/>
  </w:num>
  <w:num w:numId="20">
    <w:abstractNumId w:val="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7BC"/>
    <w:rsid w:val="0000480A"/>
    <w:rsid w:val="000133DB"/>
    <w:rsid w:val="000169E4"/>
    <w:rsid w:val="00017CE8"/>
    <w:rsid w:val="00022F34"/>
    <w:rsid w:val="000231B4"/>
    <w:rsid w:val="00024AAF"/>
    <w:rsid w:val="000256D9"/>
    <w:rsid w:val="0002681A"/>
    <w:rsid w:val="00026C3F"/>
    <w:rsid w:val="000277BC"/>
    <w:rsid w:val="000309B5"/>
    <w:rsid w:val="000365B4"/>
    <w:rsid w:val="00044399"/>
    <w:rsid w:val="000464E5"/>
    <w:rsid w:val="000539F1"/>
    <w:rsid w:val="0005503F"/>
    <w:rsid w:val="0006176B"/>
    <w:rsid w:val="0006206A"/>
    <w:rsid w:val="00063EA5"/>
    <w:rsid w:val="00065C46"/>
    <w:rsid w:val="0006626F"/>
    <w:rsid w:val="000668DD"/>
    <w:rsid w:val="00066C41"/>
    <w:rsid w:val="000730B0"/>
    <w:rsid w:val="00075344"/>
    <w:rsid w:val="00075663"/>
    <w:rsid w:val="00077B5B"/>
    <w:rsid w:val="00082CD1"/>
    <w:rsid w:val="00082D68"/>
    <w:rsid w:val="00085468"/>
    <w:rsid w:val="000854E4"/>
    <w:rsid w:val="00086D71"/>
    <w:rsid w:val="00090427"/>
    <w:rsid w:val="000926C1"/>
    <w:rsid w:val="000956F2"/>
    <w:rsid w:val="00096137"/>
    <w:rsid w:val="000A0331"/>
    <w:rsid w:val="000A08E0"/>
    <w:rsid w:val="000A2085"/>
    <w:rsid w:val="000A2A05"/>
    <w:rsid w:val="000A2C30"/>
    <w:rsid w:val="000A2CB1"/>
    <w:rsid w:val="000A3AFF"/>
    <w:rsid w:val="000A3EE9"/>
    <w:rsid w:val="000A5D8E"/>
    <w:rsid w:val="000A66D6"/>
    <w:rsid w:val="000B0034"/>
    <w:rsid w:val="000B061F"/>
    <w:rsid w:val="000B0F66"/>
    <w:rsid w:val="000C17F8"/>
    <w:rsid w:val="000C185B"/>
    <w:rsid w:val="000C57E2"/>
    <w:rsid w:val="000E1969"/>
    <w:rsid w:val="000E4347"/>
    <w:rsid w:val="000E7F2A"/>
    <w:rsid w:val="000F11E7"/>
    <w:rsid w:val="000F2036"/>
    <w:rsid w:val="000F5CC0"/>
    <w:rsid w:val="000F6123"/>
    <w:rsid w:val="00100490"/>
    <w:rsid w:val="00104D5D"/>
    <w:rsid w:val="00106006"/>
    <w:rsid w:val="00106E03"/>
    <w:rsid w:val="00107334"/>
    <w:rsid w:val="0011220E"/>
    <w:rsid w:val="001139C5"/>
    <w:rsid w:val="00116F89"/>
    <w:rsid w:val="00121207"/>
    <w:rsid w:val="00125058"/>
    <w:rsid w:val="0012516A"/>
    <w:rsid w:val="00127FD9"/>
    <w:rsid w:val="0013200D"/>
    <w:rsid w:val="0013273B"/>
    <w:rsid w:val="00133365"/>
    <w:rsid w:val="00133C80"/>
    <w:rsid w:val="00135315"/>
    <w:rsid w:val="001356F7"/>
    <w:rsid w:val="001413CD"/>
    <w:rsid w:val="00143092"/>
    <w:rsid w:val="00146A62"/>
    <w:rsid w:val="00146D58"/>
    <w:rsid w:val="0016314B"/>
    <w:rsid w:val="00165011"/>
    <w:rsid w:val="00167DC3"/>
    <w:rsid w:val="001711EB"/>
    <w:rsid w:val="001755C2"/>
    <w:rsid w:val="00187C66"/>
    <w:rsid w:val="00192683"/>
    <w:rsid w:val="00195473"/>
    <w:rsid w:val="00197680"/>
    <w:rsid w:val="001A26DF"/>
    <w:rsid w:val="001A29CC"/>
    <w:rsid w:val="001A2A0D"/>
    <w:rsid w:val="001A4B46"/>
    <w:rsid w:val="001A7C85"/>
    <w:rsid w:val="001B7E1A"/>
    <w:rsid w:val="001C2A94"/>
    <w:rsid w:val="001C529E"/>
    <w:rsid w:val="001C7200"/>
    <w:rsid w:val="001D36A0"/>
    <w:rsid w:val="001D3C37"/>
    <w:rsid w:val="001D4C90"/>
    <w:rsid w:val="001D5750"/>
    <w:rsid w:val="001D5B94"/>
    <w:rsid w:val="001D79CC"/>
    <w:rsid w:val="001E43C5"/>
    <w:rsid w:val="001E52F2"/>
    <w:rsid w:val="001E6AF2"/>
    <w:rsid w:val="001E723F"/>
    <w:rsid w:val="001E7EFD"/>
    <w:rsid w:val="001F2C0A"/>
    <w:rsid w:val="001F555E"/>
    <w:rsid w:val="001F6577"/>
    <w:rsid w:val="001F7519"/>
    <w:rsid w:val="0020042D"/>
    <w:rsid w:val="002012DF"/>
    <w:rsid w:val="00201693"/>
    <w:rsid w:val="0020213F"/>
    <w:rsid w:val="002068F1"/>
    <w:rsid w:val="00207228"/>
    <w:rsid w:val="00212144"/>
    <w:rsid w:val="002126F8"/>
    <w:rsid w:val="0021580A"/>
    <w:rsid w:val="00216710"/>
    <w:rsid w:val="00216A87"/>
    <w:rsid w:val="002179C1"/>
    <w:rsid w:val="00217B8A"/>
    <w:rsid w:val="00221FEA"/>
    <w:rsid w:val="002254CD"/>
    <w:rsid w:val="0022795D"/>
    <w:rsid w:val="00227C0A"/>
    <w:rsid w:val="0023025B"/>
    <w:rsid w:val="00232ED3"/>
    <w:rsid w:val="00233E58"/>
    <w:rsid w:val="00236B07"/>
    <w:rsid w:val="0024160D"/>
    <w:rsid w:val="0024447E"/>
    <w:rsid w:val="00244C0B"/>
    <w:rsid w:val="00245322"/>
    <w:rsid w:val="00246CB5"/>
    <w:rsid w:val="00247576"/>
    <w:rsid w:val="00251D27"/>
    <w:rsid w:val="00252E2C"/>
    <w:rsid w:val="002551E6"/>
    <w:rsid w:val="00257143"/>
    <w:rsid w:val="002571F7"/>
    <w:rsid w:val="002637C3"/>
    <w:rsid w:val="00264304"/>
    <w:rsid w:val="002649BA"/>
    <w:rsid w:val="00266EE2"/>
    <w:rsid w:val="00267DEC"/>
    <w:rsid w:val="00271354"/>
    <w:rsid w:val="00275515"/>
    <w:rsid w:val="00275584"/>
    <w:rsid w:val="00276901"/>
    <w:rsid w:val="002827A5"/>
    <w:rsid w:val="002828E2"/>
    <w:rsid w:val="0028506E"/>
    <w:rsid w:val="00287100"/>
    <w:rsid w:val="002901C2"/>
    <w:rsid w:val="00293B29"/>
    <w:rsid w:val="0029680B"/>
    <w:rsid w:val="00296C58"/>
    <w:rsid w:val="002A0C9A"/>
    <w:rsid w:val="002A3EFC"/>
    <w:rsid w:val="002A718F"/>
    <w:rsid w:val="002A7C2E"/>
    <w:rsid w:val="002A7F70"/>
    <w:rsid w:val="002B207D"/>
    <w:rsid w:val="002B41D5"/>
    <w:rsid w:val="002B6061"/>
    <w:rsid w:val="002B621F"/>
    <w:rsid w:val="002C1E89"/>
    <w:rsid w:val="002C2F34"/>
    <w:rsid w:val="002C5D37"/>
    <w:rsid w:val="002C76CA"/>
    <w:rsid w:val="002D108B"/>
    <w:rsid w:val="002D2639"/>
    <w:rsid w:val="002D364B"/>
    <w:rsid w:val="002D60BB"/>
    <w:rsid w:val="002D6F9E"/>
    <w:rsid w:val="002D7728"/>
    <w:rsid w:val="002E0E3D"/>
    <w:rsid w:val="002E37CB"/>
    <w:rsid w:val="002E4EA1"/>
    <w:rsid w:val="002E50F5"/>
    <w:rsid w:val="002F530A"/>
    <w:rsid w:val="002F6A4D"/>
    <w:rsid w:val="003002A3"/>
    <w:rsid w:val="00300769"/>
    <w:rsid w:val="003009BA"/>
    <w:rsid w:val="00300EFB"/>
    <w:rsid w:val="003066B6"/>
    <w:rsid w:val="00311A09"/>
    <w:rsid w:val="0031530A"/>
    <w:rsid w:val="00316723"/>
    <w:rsid w:val="00317CB2"/>
    <w:rsid w:val="00320EA2"/>
    <w:rsid w:val="00327E22"/>
    <w:rsid w:val="00331386"/>
    <w:rsid w:val="00331617"/>
    <w:rsid w:val="00331C9E"/>
    <w:rsid w:val="00332424"/>
    <w:rsid w:val="003374C9"/>
    <w:rsid w:val="00337896"/>
    <w:rsid w:val="0034400E"/>
    <w:rsid w:val="00347F7C"/>
    <w:rsid w:val="003533C0"/>
    <w:rsid w:val="00356EE2"/>
    <w:rsid w:val="00356F3C"/>
    <w:rsid w:val="003649E2"/>
    <w:rsid w:val="00365307"/>
    <w:rsid w:val="0037198A"/>
    <w:rsid w:val="0037534E"/>
    <w:rsid w:val="00376221"/>
    <w:rsid w:val="003819FD"/>
    <w:rsid w:val="00381E51"/>
    <w:rsid w:val="00383027"/>
    <w:rsid w:val="00383AB6"/>
    <w:rsid w:val="003848AE"/>
    <w:rsid w:val="003913F8"/>
    <w:rsid w:val="003925F7"/>
    <w:rsid w:val="003A0D01"/>
    <w:rsid w:val="003A1222"/>
    <w:rsid w:val="003A2190"/>
    <w:rsid w:val="003A287B"/>
    <w:rsid w:val="003A2D78"/>
    <w:rsid w:val="003A6CAC"/>
    <w:rsid w:val="003B4B8C"/>
    <w:rsid w:val="003B4FBE"/>
    <w:rsid w:val="003B536C"/>
    <w:rsid w:val="003B5C31"/>
    <w:rsid w:val="003B5FC7"/>
    <w:rsid w:val="003B6AB7"/>
    <w:rsid w:val="003C1E45"/>
    <w:rsid w:val="003C5AD0"/>
    <w:rsid w:val="003C670E"/>
    <w:rsid w:val="003C7010"/>
    <w:rsid w:val="003D0760"/>
    <w:rsid w:val="003D2473"/>
    <w:rsid w:val="003D366E"/>
    <w:rsid w:val="003D3999"/>
    <w:rsid w:val="003D3A89"/>
    <w:rsid w:val="003D4597"/>
    <w:rsid w:val="003D5AA9"/>
    <w:rsid w:val="003E192F"/>
    <w:rsid w:val="003E21E7"/>
    <w:rsid w:val="003E3AB0"/>
    <w:rsid w:val="003E3B3C"/>
    <w:rsid w:val="003E4F98"/>
    <w:rsid w:val="003E68C6"/>
    <w:rsid w:val="003F12CB"/>
    <w:rsid w:val="003F583B"/>
    <w:rsid w:val="003F66FC"/>
    <w:rsid w:val="003F703A"/>
    <w:rsid w:val="003F757F"/>
    <w:rsid w:val="00405FEC"/>
    <w:rsid w:val="004060A4"/>
    <w:rsid w:val="0041006C"/>
    <w:rsid w:val="004128BE"/>
    <w:rsid w:val="00414C08"/>
    <w:rsid w:val="00416947"/>
    <w:rsid w:val="00420407"/>
    <w:rsid w:val="004314AC"/>
    <w:rsid w:val="00432EBF"/>
    <w:rsid w:val="0043340D"/>
    <w:rsid w:val="00437160"/>
    <w:rsid w:val="00440CE4"/>
    <w:rsid w:val="00441476"/>
    <w:rsid w:val="0044501A"/>
    <w:rsid w:val="00445B93"/>
    <w:rsid w:val="00452168"/>
    <w:rsid w:val="00452C9D"/>
    <w:rsid w:val="00453C5D"/>
    <w:rsid w:val="004573C8"/>
    <w:rsid w:val="004603BD"/>
    <w:rsid w:val="00461424"/>
    <w:rsid w:val="004627D4"/>
    <w:rsid w:val="00462896"/>
    <w:rsid w:val="00466712"/>
    <w:rsid w:val="00466A2F"/>
    <w:rsid w:val="00471803"/>
    <w:rsid w:val="004728C4"/>
    <w:rsid w:val="00472CB2"/>
    <w:rsid w:val="00475D98"/>
    <w:rsid w:val="00483F11"/>
    <w:rsid w:val="004856CF"/>
    <w:rsid w:val="00492ED5"/>
    <w:rsid w:val="00497A6D"/>
    <w:rsid w:val="00497CBA"/>
    <w:rsid w:val="004A3472"/>
    <w:rsid w:val="004A39FA"/>
    <w:rsid w:val="004A6AA1"/>
    <w:rsid w:val="004A78F8"/>
    <w:rsid w:val="004B1FC1"/>
    <w:rsid w:val="004B38F3"/>
    <w:rsid w:val="004B5081"/>
    <w:rsid w:val="004B7033"/>
    <w:rsid w:val="004C051E"/>
    <w:rsid w:val="004D0887"/>
    <w:rsid w:val="004D2E58"/>
    <w:rsid w:val="004D300D"/>
    <w:rsid w:val="004D3DB7"/>
    <w:rsid w:val="004E5924"/>
    <w:rsid w:val="004F00F4"/>
    <w:rsid w:val="004F2813"/>
    <w:rsid w:val="004F3EAA"/>
    <w:rsid w:val="004F412E"/>
    <w:rsid w:val="004F47BE"/>
    <w:rsid w:val="004F6162"/>
    <w:rsid w:val="005015DF"/>
    <w:rsid w:val="00501C89"/>
    <w:rsid w:val="0050323A"/>
    <w:rsid w:val="00503880"/>
    <w:rsid w:val="00510FCB"/>
    <w:rsid w:val="00511553"/>
    <w:rsid w:val="0051373C"/>
    <w:rsid w:val="0051634B"/>
    <w:rsid w:val="00516833"/>
    <w:rsid w:val="00520F8E"/>
    <w:rsid w:val="0052273F"/>
    <w:rsid w:val="00523471"/>
    <w:rsid w:val="005243F1"/>
    <w:rsid w:val="00526341"/>
    <w:rsid w:val="005273CC"/>
    <w:rsid w:val="0053155C"/>
    <w:rsid w:val="00536247"/>
    <w:rsid w:val="0054549C"/>
    <w:rsid w:val="00546CE1"/>
    <w:rsid w:val="0055581D"/>
    <w:rsid w:val="00566175"/>
    <w:rsid w:val="0057106A"/>
    <w:rsid w:val="00571E3B"/>
    <w:rsid w:val="00573A36"/>
    <w:rsid w:val="00576B7F"/>
    <w:rsid w:val="0057742D"/>
    <w:rsid w:val="0058054B"/>
    <w:rsid w:val="005825DC"/>
    <w:rsid w:val="00587305"/>
    <w:rsid w:val="005917FA"/>
    <w:rsid w:val="005A24DC"/>
    <w:rsid w:val="005A3AE8"/>
    <w:rsid w:val="005A5036"/>
    <w:rsid w:val="005A66A1"/>
    <w:rsid w:val="005B02A5"/>
    <w:rsid w:val="005B179F"/>
    <w:rsid w:val="005B24F4"/>
    <w:rsid w:val="005B3100"/>
    <w:rsid w:val="005B4F4A"/>
    <w:rsid w:val="005C02F8"/>
    <w:rsid w:val="005C0B4B"/>
    <w:rsid w:val="005C2C68"/>
    <w:rsid w:val="005C6240"/>
    <w:rsid w:val="005C6413"/>
    <w:rsid w:val="005C651F"/>
    <w:rsid w:val="005D0404"/>
    <w:rsid w:val="005D0FDB"/>
    <w:rsid w:val="005D6C82"/>
    <w:rsid w:val="005E4ECD"/>
    <w:rsid w:val="005E68F4"/>
    <w:rsid w:val="005E78A5"/>
    <w:rsid w:val="005F1C68"/>
    <w:rsid w:val="005F1D81"/>
    <w:rsid w:val="005F3DE7"/>
    <w:rsid w:val="005F4B9A"/>
    <w:rsid w:val="005F4C3F"/>
    <w:rsid w:val="005F505C"/>
    <w:rsid w:val="005F5F1C"/>
    <w:rsid w:val="0060000E"/>
    <w:rsid w:val="00601046"/>
    <w:rsid w:val="00601774"/>
    <w:rsid w:val="006028DD"/>
    <w:rsid w:val="00603012"/>
    <w:rsid w:val="006035A6"/>
    <w:rsid w:val="006036A9"/>
    <w:rsid w:val="00603A90"/>
    <w:rsid w:val="00604413"/>
    <w:rsid w:val="00604507"/>
    <w:rsid w:val="006074EC"/>
    <w:rsid w:val="00612CAB"/>
    <w:rsid w:val="00614522"/>
    <w:rsid w:val="006208BF"/>
    <w:rsid w:val="00621EEB"/>
    <w:rsid w:val="006267D4"/>
    <w:rsid w:val="006302FD"/>
    <w:rsid w:val="006315B2"/>
    <w:rsid w:val="00632B24"/>
    <w:rsid w:val="00632D37"/>
    <w:rsid w:val="00636C0A"/>
    <w:rsid w:val="00640560"/>
    <w:rsid w:val="00641C0B"/>
    <w:rsid w:val="006450D1"/>
    <w:rsid w:val="00650590"/>
    <w:rsid w:val="00653CA7"/>
    <w:rsid w:val="006553E8"/>
    <w:rsid w:val="00660947"/>
    <w:rsid w:val="00661878"/>
    <w:rsid w:val="00662A65"/>
    <w:rsid w:val="00672123"/>
    <w:rsid w:val="006725A9"/>
    <w:rsid w:val="00672D4D"/>
    <w:rsid w:val="0067530B"/>
    <w:rsid w:val="00675CF1"/>
    <w:rsid w:val="006769F4"/>
    <w:rsid w:val="00676DD8"/>
    <w:rsid w:val="006803B9"/>
    <w:rsid w:val="00680BA2"/>
    <w:rsid w:val="00680D5C"/>
    <w:rsid w:val="00681FBF"/>
    <w:rsid w:val="006822C4"/>
    <w:rsid w:val="00684143"/>
    <w:rsid w:val="00684183"/>
    <w:rsid w:val="006876C4"/>
    <w:rsid w:val="006930D3"/>
    <w:rsid w:val="0069392F"/>
    <w:rsid w:val="006977E7"/>
    <w:rsid w:val="00697CDC"/>
    <w:rsid w:val="006A08E7"/>
    <w:rsid w:val="006A3A3F"/>
    <w:rsid w:val="006A5D7B"/>
    <w:rsid w:val="006B172D"/>
    <w:rsid w:val="006B3D26"/>
    <w:rsid w:val="006B6022"/>
    <w:rsid w:val="006B6362"/>
    <w:rsid w:val="006B64F7"/>
    <w:rsid w:val="006B6CCD"/>
    <w:rsid w:val="006C49A4"/>
    <w:rsid w:val="006C62A8"/>
    <w:rsid w:val="006D14AB"/>
    <w:rsid w:val="006D3992"/>
    <w:rsid w:val="006D4ED1"/>
    <w:rsid w:val="006E2535"/>
    <w:rsid w:val="006E2C2A"/>
    <w:rsid w:val="006F25E0"/>
    <w:rsid w:val="006F771E"/>
    <w:rsid w:val="0070165E"/>
    <w:rsid w:val="00701F78"/>
    <w:rsid w:val="00704444"/>
    <w:rsid w:val="00707294"/>
    <w:rsid w:val="007123F5"/>
    <w:rsid w:val="0072560F"/>
    <w:rsid w:val="00725715"/>
    <w:rsid w:val="00727DC3"/>
    <w:rsid w:val="00732AA8"/>
    <w:rsid w:val="00733B70"/>
    <w:rsid w:val="00741C78"/>
    <w:rsid w:val="00742393"/>
    <w:rsid w:val="00744F3A"/>
    <w:rsid w:val="00747BF1"/>
    <w:rsid w:val="00750BF1"/>
    <w:rsid w:val="0075136D"/>
    <w:rsid w:val="00751A2B"/>
    <w:rsid w:val="00755863"/>
    <w:rsid w:val="0075628F"/>
    <w:rsid w:val="007578BC"/>
    <w:rsid w:val="00762993"/>
    <w:rsid w:val="007651E3"/>
    <w:rsid w:val="0077221D"/>
    <w:rsid w:val="00774659"/>
    <w:rsid w:val="00775100"/>
    <w:rsid w:val="00780EA6"/>
    <w:rsid w:val="00783C12"/>
    <w:rsid w:val="00784A5F"/>
    <w:rsid w:val="00784B4D"/>
    <w:rsid w:val="00785268"/>
    <w:rsid w:val="00791995"/>
    <w:rsid w:val="00795FD4"/>
    <w:rsid w:val="007A1B62"/>
    <w:rsid w:val="007A4421"/>
    <w:rsid w:val="007B0401"/>
    <w:rsid w:val="007B0D43"/>
    <w:rsid w:val="007B4BD3"/>
    <w:rsid w:val="007B7D75"/>
    <w:rsid w:val="007B7E0B"/>
    <w:rsid w:val="007C078B"/>
    <w:rsid w:val="007C51D0"/>
    <w:rsid w:val="007C7523"/>
    <w:rsid w:val="007D22DE"/>
    <w:rsid w:val="007D425A"/>
    <w:rsid w:val="007D4D2F"/>
    <w:rsid w:val="007D4E86"/>
    <w:rsid w:val="007D5D7F"/>
    <w:rsid w:val="007D666A"/>
    <w:rsid w:val="007E00D6"/>
    <w:rsid w:val="007E0EF6"/>
    <w:rsid w:val="007E3B8A"/>
    <w:rsid w:val="007F7BDB"/>
    <w:rsid w:val="007F7DC5"/>
    <w:rsid w:val="0080465E"/>
    <w:rsid w:val="00806D4C"/>
    <w:rsid w:val="00806FF3"/>
    <w:rsid w:val="0080777E"/>
    <w:rsid w:val="00815538"/>
    <w:rsid w:val="00816CB1"/>
    <w:rsid w:val="00821872"/>
    <w:rsid w:val="00823126"/>
    <w:rsid w:val="008253F7"/>
    <w:rsid w:val="00834558"/>
    <w:rsid w:val="00836CC7"/>
    <w:rsid w:val="00836E99"/>
    <w:rsid w:val="00837395"/>
    <w:rsid w:val="00837EF8"/>
    <w:rsid w:val="00840583"/>
    <w:rsid w:val="008467F2"/>
    <w:rsid w:val="00846A4C"/>
    <w:rsid w:val="008471AF"/>
    <w:rsid w:val="00850BA0"/>
    <w:rsid w:val="008529FD"/>
    <w:rsid w:val="0085435A"/>
    <w:rsid w:val="008613C6"/>
    <w:rsid w:val="00861E0B"/>
    <w:rsid w:val="00864A07"/>
    <w:rsid w:val="00865FCE"/>
    <w:rsid w:val="00866B21"/>
    <w:rsid w:val="00870056"/>
    <w:rsid w:val="008708A8"/>
    <w:rsid w:val="008714CA"/>
    <w:rsid w:val="00872802"/>
    <w:rsid w:val="00880939"/>
    <w:rsid w:val="008839FE"/>
    <w:rsid w:val="00886224"/>
    <w:rsid w:val="00886A46"/>
    <w:rsid w:val="00886D16"/>
    <w:rsid w:val="00894308"/>
    <w:rsid w:val="00894C0E"/>
    <w:rsid w:val="008A198B"/>
    <w:rsid w:val="008A1BBC"/>
    <w:rsid w:val="008A2432"/>
    <w:rsid w:val="008A2D31"/>
    <w:rsid w:val="008A5E06"/>
    <w:rsid w:val="008A6743"/>
    <w:rsid w:val="008B4E79"/>
    <w:rsid w:val="008B5164"/>
    <w:rsid w:val="008B5656"/>
    <w:rsid w:val="008B5ABB"/>
    <w:rsid w:val="008C13A4"/>
    <w:rsid w:val="008C46E6"/>
    <w:rsid w:val="008C5525"/>
    <w:rsid w:val="008C6CFC"/>
    <w:rsid w:val="008D32B3"/>
    <w:rsid w:val="008D3955"/>
    <w:rsid w:val="008D5567"/>
    <w:rsid w:val="008D6268"/>
    <w:rsid w:val="008D64DC"/>
    <w:rsid w:val="008D66A4"/>
    <w:rsid w:val="008D6DBC"/>
    <w:rsid w:val="008E361C"/>
    <w:rsid w:val="008E3F7C"/>
    <w:rsid w:val="008E6DDB"/>
    <w:rsid w:val="008F5048"/>
    <w:rsid w:val="008F7496"/>
    <w:rsid w:val="00900537"/>
    <w:rsid w:val="009027A8"/>
    <w:rsid w:val="00902D12"/>
    <w:rsid w:val="00902F6A"/>
    <w:rsid w:val="00907203"/>
    <w:rsid w:val="009106E7"/>
    <w:rsid w:val="00910E11"/>
    <w:rsid w:val="00914391"/>
    <w:rsid w:val="00920B6E"/>
    <w:rsid w:val="0092574D"/>
    <w:rsid w:val="0092603E"/>
    <w:rsid w:val="009266E5"/>
    <w:rsid w:val="00926E4F"/>
    <w:rsid w:val="00926EEC"/>
    <w:rsid w:val="00926FFC"/>
    <w:rsid w:val="00934395"/>
    <w:rsid w:val="00940A44"/>
    <w:rsid w:val="00943CD5"/>
    <w:rsid w:val="00944FF0"/>
    <w:rsid w:val="00950522"/>
    <w:rsid w:val="00950980"/>
    <w:rsid w:val="009529E4"/>
    <w:rsid w:val="00956D43"/>
    <w:rsid w:val="009600B7"/>
    <w:rsid w:val="00960D72"/>
    <w:rsid w:val="00966860"/>
    <w:rsid w:val="00966FCA"/>
    <w:rsid w:val="0096764C"/>
    <w:rsid w:val="009700B1"/>
    <w:rsid w:val="00971758"/>
    <w:rsid w:val="00977A9F"/>
    <w:rsid w:val="00984EAD"/>
    <w:rsid w:val="009908FF"/>
    <w:rsid w:val="00992B3C"/>
    <w:rsid w:val="00995ADC"/>
    <w:rsid w:val="009A2D53"/>
    <w:rsid w:val="009A3C7F"/>
    <w:rsid w:val="009A4A7F"/>
    <w:rsid w:val="009A5CF1"/>
    <w:rsid w:val="009A5DEC"/>
    <w:rsid w:val="009B216F"/>
    <w:rsid w:val="009B42CD"/>
    <w:rsid w:val="009B4CB4"/>
    <w:rsid w:val="009C0CA3"/>
    <w:rsid w:val="009C1849"/>
    <w:rsid w:val="009C2488"/>
    <w:rsid w:val="009C3F9E"/>
    <w:rsid w:val="009C4F34"/>
    <w:rsid w:val="009D1783"/>
    <w:rsid w:val="009D47D5"/>
    <w:rsid w:val="009D535A"/>
    <w:rsid w:val="009E13DA"/>
    <w:rsid w:val="009E194C"/>
    <w:rsid w:val="009E199D"/>
    <w:rsid w:val="009E5DC9"/>
    <w:rsid w:val="009E7215"/>
    <w:rsid w:val="009E72E3"/>
    <w:rsid w:val="009E796B"/>
    <w:rsid w:val="009F04BC"/>
    <w:rsid w:val="00A06C43"/>
    <w:rsid w:val="00A07779"/>
    <w:rsid w:val="00A119A0"/>
    <w:rsid w:val="00A1213A"/>
    <w:rsid w:val="00A12724"/>
    <w:rsid w:val="00A12CA0"/>
    <w:rsid w:val="00A13175"/>
    <w:rsid w:val="00A1412E"/>
    <w:rsid w:val="00A15427"/>
    <w:rsid w:val="00A157A7"/>
    <w:rsid w:val="00A21388"/>
    <w:rsid w:val="00A21C06"/>
    <w:rsid w:val="00A2379D"/>
    <w:rsid w:val="00A266E4"/>
    <w:rsid w:val="00A27471"/>
    <w:rsid w:val="00A34B15"/>
    <w:rsid w:val="00A34B9D"/>
    <w:rsid w:val="00A351E1"/>
    <w:rsid w:val="00A364C7"/>
    <w:rsid w:val="00A36BCF"/>
    <w:rsid w:val="00A371D4"/>
    <w:rsid w:val="00A37FE8"/>
    <w:rsid w:val="00A40605"/>
    <w:rsid w:val="00A43725"/>
    <w:rsid w:val="00A457BC"/>
    <w:rsid w:val="00A50281"/>
    <w:rsid w:val="00A50E6E"/>
    <w:rsid w:val="00A5281F"/>
    <w:rsid w:val="00A52FAA"/>
    <w:rsid w:val="00A54E83"/>
    <w:rsid w:val="00A551FD"/>
    <w:rsid w:val="00A555A0"/>
    <w:rsid w:val="00A56E1A"/>
    <w:rsid w:val="00A61E61"/>
    <w:rsid w:val="00A65AAB"/>
    <w:rsid w:val="00A700D7"/>
    <w:rsid w:val="00A71291"/>
    <w:rsid w:val="00A720A1"/>
    <w:rsid w:val="00A751CA"/>
    <w:rsid w:val="00A81480"/>
    <w:rsid w:val="00A82550"/>
    <w:rsid w:val="00A9023C"/>
    <w:rsid w:val="00A912F4"/>
    <w:rsid w:val="00AA1D55"/>
    <w:rsid w:val="00AB3364"/>
    <w:rsid w:val="00AB569E"/>
    <w:rsid w:val="00AB5BE5"/>
    <w:rsid w:val="00AB64BB"/>
    <w:rsid w:val="00AB78E8"/>
    <w:rsid w:val="00AC1364"/>
    <w:rsid w:val="00AC1748"/>
    <w:rsid w:val="00AD08F2"/>
    <w:rsid w:val="00AD2674"/>
    <w:rsid w:val="00AD5186"/>
    <w:rsid w:val="00AE21A0"/>
    <w:rsid w:val="00AE3325"/>
    <w:rsid w:val="00AE5389"/>
    <w:rsid w:val="00AE73FA"/>
    <w:rsid w:val="00AE757A"/>
    <w:rsid w:val="00AF060F"/>
    <w:rsid w:val="00AF3F4F"/>
    <w:rsid w:val="00AF4E81"/>
    <w:rsid w:val="00AF6694"/>
    <w:rsid w:val="00AF672C"/>
    <w:rsid w:val="00AF7B32"/>
    <w:rsid w:val="00B062DC"/>
    <w:rsid w:val="00B112CB"/>
    <w:rsid w:val="00B144E1"/>
    <w:rsid w:val="00B21E65"/>
    <w:rsid w:val="00B25F9B"/>
    <w:rsid w:val="00B26071"/>
    <w:rsid w:val="00B36670"/>
    <w:rsid w:val="00B36A99"/>
    <w:rsid w:val="00B425A5"/>
    <w:rsid w:val="00B4331A"/>
    <w:rsid w:val="00B44130"/>
    <w:rsid w:val="00B46008"/>
    <w:rsid w:val="00B46AD2"/>
    <w:rsid w:val="00B52E73"/>
    <w:rsid w:val="00B602E4"/>
    <w:rsid w:val="00B60648"/>
    <w:rsid w:val="00B619B0"/>
    <w:rsid w:val="00B64F87"/>
    <w:rsid w:val="00B70F24"/>
    <w:rsid w:val="00B713D3"/>
    <w:rsid w:val="00B76B10"/>
    <w:rsid w:val="00B80097"/>
    <w:rsid w:val="00B805FD"/>
    <w:rsid w:val="00B80B3B"/>
    <w:rsid w:val="00B80B7C"/>
    <w:rsid w:val="00B81A80"/>
    <w:rsid w:val="00B83FB3"/>
    <w:rsid w:val="00B864BD"/>
    <w:rsid w:val="00B91777"/>
    <w:rsid w:val="00B920C6"/>
    <w:rsid w:val="00B9277B"/>
    <w:rsid w:val="00B9373E"/>
    <w:rsid w:val="00B94B2E"/>
    <w:rsid w:val="00BA4F4D"/>
    <w:rsid w:val="00BA7F45"/>
    <w:rsid w:val="00BB0EA2"/>
    <w:rsid w:val="00BB2740"/>
    <w:rsid w:val="00BB3546"/>
    <w:rsid w:val="00BB3B8F"/>
    <w:rsid w:val="00BB61CA"/>
    <w:rsid w:val="00BB6752"/>
    <w:rsid w:val="00BC1DC8"/>
    <w:rsid w:val="00BC2623"/>
    <w:rsid w:val="00BC4CE8"/>
    <w:rsid w:val="00BC593E"/>
    <w:rsid w:val="00BC69EE"/>
    <w:rsid w:val="00BD195C"/>
    <w:rsid w:val="00BD4833"/>
    <w:rsid w:val="00BD5424"/>
    <w:rsid w:val="00BE02F6"/>
    <w:rsid w:val="00BE5327"/>
    <w:rsid w:val="00BE7AC9"/>
    <w:rsid w:val="00BF2FD8"/>
    <w:rsid w:val="00BF56F7"/>
    <w:rsid w:val="00C002CC"/>
    <w:rsid w:val="00C01777"/>
    <w:rsid w:val="00C05806"/>
    <w:rsid w:val="00C10659"/>
    <w:rsid w:val="00C11218"/>
    <w:rsid w:val="00C14553"/>
    <w:rsid w:val="00C15471"/>
    <w:rsid w:val="00C209A4"/>
    <w:rsid w:val="00C274B3"/>
    <w:rsid w:val="00C3051D"/>
    <w:rsid w:val="00C310F6"/>
    <w:rsid w:val="00C31E91"/>
    <w:rsid w:val="00C32076"/>
    <w:rsid w:val="00C4025E"/>
    <w:rsid w:val="00C41C65"/>
    <w:rsid w:val="00C458C0"/>
    <w:rsid w:val="00C52431"/>
    <w:rsid w:val="00C56C21"/>
    <w:rsid w:val="00C60F14"/>
    <w:rsid w:val="00C62CF0"/>
    <w:rsid w:val="00C669D5"/>
    <w:rsid w:val="00C7045C"/>
    <w:rsid w:val="00C7052E"/>
    <w:rsid w:val="00C73521"/>
    <w:rsid w:val="00C80ABA"/>
    <w:rsid w:val="00C80E04"/>
    <w:rsid w:val="00C81BFB"/>
    <w:rsid w:val="00C836AF"/>
    <w:rsid w:val="00C85C09"/>
    <w:rsid w:val="00C90520"/>
    <w:rsid w:val="00C907E4"/>
    <w:rsid w:val="00C9194A"/>
    <w:rsid w:val="00CA10EB"/>
    <w:rsid w:val="00CB3F62"/>
    <w:rsid w:val="00CB4169"/>
    <w:rsid w:val="00CB51E9"/>
    <w:rsid w:val="00CB530D"/>
    <w:rsid w:val="00CB5BF9"/>
    <w:rsid w:val="00CC221B"/>
    <w:rsid w:val="00CC3A58"/>
    <w:rsid w:val="00CC43E6"/>
    <w:rsid w:val="00CC4675"/>
    <w:rsid w:val="00CC72EF"/>
    <w:rsid w:val="00CD2247"/>
    <w:rsid w:val="00CD4819"/>
    <w:rsid w:val="00CD4EF1"/>
    <w:rsid w:val="00CE1D89"/>
    <w:rsid w:val="00CE2411"/>
    <w:rsid w:val="00CE4279"/>
    <w:rsid w:val="00CE5E7C"/>
    <w:rsid w:val="00CF0247"/>
    <w:rsid w:val="00CF35AF"/>
    <w:rsid w:val="00CF4FCE"/>
    <w:rsid w:val="00CF7656"/>
    <w:rsid w:val="00D00AA4"/>
    <w:rsid w:val="00D10091"/>
    <w:rsid w:val="00D15581"/>
    <w:rsid w:val="00D25F4B"/>
    <w:rsid w:val="00D3029F"/>
    <w:rsid w:val="00D359BD"/>
    <w:rsid w:val="00D368C5"/>
    <w:rsid w:val="00D41409"/>
    <w:rsid w:val="00D50960"/>
    <w:rsid w:val="00D52DDC"/>
    <w:rsid w:val="00D538FA"/>
    <w:rsid w:val="00D53B6A"/>
    <w:rsid w:val="00D540A8"/>
    <w:rsid w:val="00D54100"/>
    <w:rsid w:val="00D551D9"/>
    <w:rsid w:val="00D5765E"/>
    <w:rsid w:val="00D60B5B"/>
    <w:rsid w:val="00D60BC3"/>
    <w:rsid w:val="00D61D55"/>
    <w:rsid w:val="00D62AA4"/>
    <w:rsid w:val="00D65BCC"/>
    <w:rsid w:val="00D67A85"/>
    <w:rsid w:val="00D719AC"/>
    <w:rsid w:val="00D730A0"/>
    <w:rsid w:val="00D777BD"/>
    <w:rsid w:val="00D82623"/>
    <w:rsid w:val="00D84BAF"/>
    <w:rsid w:val="00D866B6"/>
    <w:rsid w:val="00D86D36"/>
    <w:rsid w:val="00D9022E"/>
    <w:rsid w:val="00D90850"/>
    <w:rsid w:val="00D90F69"/>
    <w:rsid w:val="00D9191B"/>
    <w:rsid w:val="00D954A3"/>
    <w:rsid w:val="00D95E54"/>
    <w:rsid w:val="00D960AA"/>
    <w:rsid w:val="00DA0BAC"/>
    <w:rsid w:val="00DA5ED3"/>
    <w:rsid w:val="00DA64B2"/>
    <w:rsid w:val="00DB0A4D"/>
    <w:rsid w:val="00DB1E88"/>
    <w:rsid w:val="00DB352F"/>
    <w:rsid w:val="00DB356F"/>
    <w:rsid w:val="00DB48D7"/>
    <w:rsid w:val="00DB49D3"/>
    <w:rsid w:val="00DC17D2"/>
    <w:rsid w:val="00DC424D"/>
    <w:rsid w:val="00DC4808"/>
    <w:rsid w:val="00DC50C6"/>
    <w:rsid w:val="00DD0181"/>
    <w:rsid w:val="00DD281C"/>
    <w:rsid w:val="00DD4DD1"/>
    <w:rsid w:val="00DD5272"/>
    <w:rsid w:val="00DE0CDD"/>
    <w:rsid w:val="00DE0DF8"/>
    <w:rsid w:val="00DE2745"/>
    <w:rsid w:val="00DE4154"/>
    <w:rsid w:val="00DF5287"/>
    <w:rsid w:val="00DF7154"/>
    <w:rsid w:val="00DF7F99"/>
    <w:rsid w:val="00E00594"/>
    <w:rsid w:val="00E02B43"/>
    <w:rsid w:val="00E0795A"/>
    <w:rsid w:val="00E10E39"/>
    <w:rsid w:val="00E11AFD"/>
    <w:rsid w:val="00E12480"/>
    <w:rsid w:val="00E1318F"/>
    <w:rsid w:val="00E20A72"/>
    <w:rsid w:val="00E23425"/>
    <w:rsid w:val="00E238DD"/>
    <w:rsid w:val="00E2408F"/>
    <w:rsid w:val="00E265F4"/>
    <w:rsid w:val="00E31960"/>
    <w:rsid w:val="00E45F50"/>
    <w:rsid w:val="00E51347"/>
    <w:rsid w:val="00E51503"/>
    <w:rsid w:val="00E527BD"/>
    <w:rsid w:val="00E53C01"/>
    <w:rsid w:val="00E540ED"/>
    <w:rsid w:val="00E55D86"/>
    <w:rsid w:val="00E61118"/>
    <w:rsid w:val="00E62454"/>
    <w:rsid w:val="00E62916"/>
    <w:rsid w:val="00E62A4B"/>
    <w:rsid w:val="00E62CDD"/>
    <w:rsid w:val="00E638B7"/>
    <w:rsid w:val="00E67AF2"/>
    <w:rsid w:val="00E7327F"/>
    <w:rsid w:val="00E7441E"/>
    <w:rsid w:val="00E7444B"/>
    <w:rsid w:val="00E770AB"/>
    <w:rsid w:val="00E80DDB"/>
    <w:rsid w:val="00E84224"/>
    <w:rsid w:val="00E8610F"/>
    <w:rsid w:val="00E874DD"/>
    <w:rsid w:val="00E95F36"/>
    <w:rsid w:val="00E97C4C"/>
    <w:rsid w:val="00EA0B33"/>
    <w:rsid w:val="00EA2613"/>
    <w:rsid w:val="00EA33AB"/>
    <w:rsid w:val="00EA37BC"/>
    <w:rsid w:val="00EA6284"/>
    <w:rsid w:val="00EB44DA"/>
    <w:rsid w:val="00EC02D2"/>
    <w:rsid w:val="00EC1398"/>
    <w:rsid w:val="00EC1EC9"/>
    <w:rsid w:val="00EC2653"/>
    <w:rsid w:val="00EC3433"/>
    <w:rsid w:val="00EC7326"/>
    <w:rsid w:val="00ED27EB"/>
    <w:rsid w:val="00ED2839"/>
    <w:rsid w:val="00ED28CB"/>
    <w:rsid w:val="00ED5B0B"/>
    <w:rsid w:val="00EE3001"/>
    <w:rsid w:val="00EE3687"/>
    <w:rsid w:val="00EE46D5"/>
    <w:rsid w:val="00EE4D05"/>
    <w:rsid w:val="00EE7F4D"/>
    <w:rsid w:val="00EF18CA"/>
    <w:rsid w:val="00EF422D"/>
    <w:rsid w:val="00EF74BB"/>
    <w:rsid w:val="00F010F9"/>
    <w:rsid w:val="00F01437"/>
    <w:rsid w:val="00F019BE"/>
    <w:rsid w:val="00F01C3E"/>
    <w:rsid w:val="00F02A60"/>
    <w:rsid w:val="00F047D4"/>
    <w:rsid w:val="00F04B5E"/>
    <w:rsid w:val="00F122AF"/>
    <w:rsid w:val="00F14EC0"/>
    <w:rsid w:val="00F17FC0"/>
    <w:rsid w:val="00F206DF"/>
    <w:rsid w:val="00F24BBF"/>
    <w:rsid w:val="00F24DDF"/>
    <w:rsid w:val="00F25A82"/>
    <w:rsid w:val="00F27A5A"/>
    <w:rsid w:val="00F32F79"/>
    <w:rsid w:val="00F3488F"/>
    <w:rsid w:val="00F37CD7"/>
    <w:rsid w:val="00F4016A"/>
    <w:rsid w:val="00F46BCE"/>
    <w:rsid w:val="00F47218"/>
    <w:rsid w:val="00F5171F"/>
    <w:rsid w:val="00F60090"/>
    <w:rsid w:val="00F6065F"/>
    <w:rsid w:val="00F64A28"/>
    <w:rsid w:val="00F66720"/>
    <w:rsid w:val="00F70D8B"/>
    <w:rsid w:val="00F73007"/>
    <w:rsid w:val="00F82B3E"/>
    <w:rsid w:val="00F83697"/>
    <w:rsid w:val="00F838E5"/>
    <w:rsid w:val="00F865B0"/>
    <w:rsid w:val="00F8793E"/>
    <w:rsid w:val="00F921D5"/>
    <w:rsid w:val="00F92CC0"/>
    <w:rsid w:val="00F9472B"/>
    <w:rsid w:val="00F963D1"/>
    <w:rsid w:val="00FA2372"/>
    <w:rsid w:val="00FA38A8"/>
    <w:rsid w:val="00FA4F7E"/>
    <w:rsid w:val="00FA7DCA"/>
    <w:rsid w:val="00FB2039"/>
    <w:rsid w:val="00FC030B"/>
    <w:rsid w:val="00FD2ABC"/>
    <w:rsid w:val="00FD2B37"/>
    <w:rsid w:val="00FD356B"/>
    <w:rsid w:val="00FD732F"/>
    <w:rsid w:val="00FE0088"/>
    <w:rsid w:val="00FE01A5"/>
    <w:rsid w:val="00FE0670"/>
    <w:rsid w:val="00FE7189"/>
    <w:rsid w:val="00FF02D6"/>
    <w:rsid w:val="00FF0897"/>
    <w:rsid w:val="00FF2F2C"/>
    <w:rsid w:val="00FF3B0E"/>
    <w:rsid w:val="00FF5CAB"/>
    <w:rsid w:val="00FF6F99"/>
    <w:rsid w:val="0363CF86"/>
    <w:rsid w:val="03A7DE40"/>
    <w:rsid w:val="041D8031"/>
    <w:rsid w:val="0489A4C6"/>
    <w:rsid w:val="06B3658F"/>
    <w:rsid w:val="07EFC875"/>
    <w:rsid w:val="08F50739"/>
    <w:rsid w:val="0994A1BA"/>
    <w:rsid w:val="0AF8E64A"/>
    <w:rsid w:val="0BE9C94A"/>
    <w:rsid w:val="0E30870C"/>
    <w:rsid w:val="0F521845"/>
    <w:rsid w:val="113C3D09"/>
    <w:rsid w:val="16841821"/>
    <w:rsid w:val="183C277E"/>
    <w:rsid w:val="18A3BFCA"/>
    <w:rsid w:val="18B959F6"/>
    <w:rsid w:val="1A5830C2"/>
    <w:rsid w:val="1B16F79A"/>
    <w:rsid w:val="1BD3D6A3"/>
    <w:rsid w:val="1CB2C7FB"/>
    <w:rsid w:val="1E1E8BC0"/>
    <w:rsid w:val="1EE773C5"/>
    <w:rsid w:val="1FFDDFB6"/>
    <w:rsid w:val="2088C871"/>
    <w:rsid w:val="2097C5D4"/>
    <w:rsid w:val="20BD4633"/>
    <w:rsid w:val="20EB1AD8"/>
    <w:rsid w:val="2186391E"/>
    <w:rsid w:val="21D72D9C"/>
    <w:rsid w:val="23DC6A89"/>
    <w:rsid w:val="24BDD9E0"/>
    <w:rsid w:val="25369418"/>
    <w:rsid w:val="2627BF29"/>
    <w:rsid w:val="26780DB5"/>
    <w:rsid w:val="26EECBD5"/>
    <w:rsid w:val="288A9C36"/>
    <w:rsid w:val="2A7952A3"/>
    <w:rsid w:val="2BB4A08D"/>
    <w:rsid w:val="2D70E521"/>
    <w:rsid w:val="2DADB003"/>
    <w:rsid w:val="2E233EC3"/>
    <w:rsid w:val="2E91D43C"/>
    <w:rsid w:val="34845E24"/>
    <w:rsid w:val="34DEB754"/>
    <w:rsid w:val="355BD18C"/>
    <w:rsid w:val="363FE1AC"/>
    <w:rsid w:val="3A52BDB0"/>
    <w:rsid w:val="3AE416BA"/>
    <w:rsid w:val="3BA1B85E"/>
    <w:rsid w:val="3D056089"/>
    <w:rsid w:val="3D08F34D"/>
    <w:rsid w:val="3D91551F"/>
    <w:rsid w:val="3E7A4D76"/>
    <w:rsid w:val="41841CA0"/>
    <w:rsid w:val="42D59A78"/>
    <w:rsid w:val="487106B6"/>
    <w:rsid w:val="48B69D91"/>
    <w:rsid w:val="48C50A25"/>
    <w:rsid w:val="490EB068"/>
    <w:rsid w:val="4994BF66"/>
    <w:rsid w:val="4C3EB738"/>
    <w:rsid w:val="4C622DF4"/>
    <w:rsid w:val="4CCBE360"/>
    <w:rsid w:val="4D024EBA"/>
    <w:rsid w:val="4F6E7B65"/>
    <w:rsid w:val="4F8C037D"/>
    <w:rsid w:val="4FA85520"/>
    <w:rsid w:val="51A8EA03"/>
    <w:rsid w:val="53658DA2"/>
    <w:rsid w:val="53FAFC60"/>
    <w:rsid w:val="53FC3B6F"/>
    <w:rsid w:val="556A9E87"/>
    <w:rsid w:val="566D4778"/>
    <w:rsid w:val="57F6BECA"/>
    <w:rsid w:val="58752CD2"/>
    <w:rsid w:val="595F36AC"/>
    <w:rsid w:val="5A48B440"/>
    <w:rsid w:val="5D5C4C62"/>
    <w:rsid w:val="5E095ABA"/>
    <w:rsid w:val="5F090B7F"/>
    <w:rsid w:val="5FE86F38"/>
    <w:rsid w:val="644F4E5E"/>
    <w:rsid w:val="64E4F4A5"/>
    <w:rsid w:val="64FC8870"/>
    <w:rsid w:val="67248038"/>
    <w:rsid w:val="6807E057"/>
    <w:rsid w:val="6942092B"/>
    <w:rsid w:val="6BC56051"/>
    <w:rsid w:val="6C1E4994"/>
    <w:rsid w:val="6C32CA3F"/>
    <w:rsid w:val="6C3C1E71"/>
    <w:rsid w:val="6D9F191F"/>
    <w:rsid w:val="6DA8ABC3"/>
    <w:rsid w:val="6E7B0AA2"/>
    <w:rsid w:val="6FC6A53F"/>
    <w:rsid w:val="7025F05C"/>
    <w:rsid w:val="70A50DA2"/>
    <w:rsid w:val="7118CE57"/>
    <w:rsid w:val="719A6AA7"/>
    <w:rsid w:val="74681354"/>
    <w:rsid w:val="77DB1008"/>
    <w:rsid w:val="78ADB95B"/>
    <w:rsid w:val="78F7A2E1"/>
    <w:rsid w:val="7926B892"/>
    <w:rsid w:val="798A530C"/>
    <w:rsid w:val="79F62A3F"/>
    <w:rsid w:val="7AA92428"/>
    <w:rsid w:val="7AC288F3"/>
    <w:rsid w:val="7CCEBF45"/>
    <w:rsid w:val="7D8FDEE6"/>
    <w:rsid w:val="7ED0E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C9A1D"/>
  <w15:chartTrackingRefBased/>
  <w15:docId w15:val="{7214D1E0-8667-492E-9DED-73C9E31C0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1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D0181"/>
    <w:pPr>
      <w:keepNext/>
      <w:spacing w:line="480" w:lineRule="auto"/>
      <w:jc w:val="both"/>
      <w:outlineLvl w:val="0"/>
    </w:pPr>
    <w:rPr>
      <w:i/>
      <w:iCs/>
    </w:rPr>
  </w:style>
  <w:style w:type="paragraph" w:styleId="Heading2">
    <w:name w:val="heading 2"/>
    <w:basedOn w:val="Normal"/>
    <w:next w:val="Normal"/>
    <w:link w:val="Heading2Char"/>
    <w:uiPriority w:val="99"/>
    <w:qFormat/>
    <w:rsid w:val="00DD018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0F203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DD018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F7656"/>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F7656"/>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0181"/>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uiPriority w:val="99"/>
    <w:rsid w:val="00DD0181"/>
    <w:rPr>
      <w:rFonts w:ascii="Arial" w:eastAsia="Times New Roman" w:hAnsi="Arial" w:cs="Arial"/>
      <w:b/>
      <w:bCs/>
      <w:i/>
      <w:iCs/>
      <w:sz w:val="28"/>
      <w:szCs w:val="28"/>
    </w:rPr>
  </w:style>
  <w:style w:type="character" w:customStyle="1" w:styleId="Heading4Char">
    <w:name w:val="Heading 4 Char"/>
    <w:basedOn w:val="DefaultParagraphFont"/>
    <w:link w:val="Heading4"/>
    <w:rsid w:val="00DD0181"/>
    <w:rPr>
      <w:rFonts w:ascii="Times New Roman" w:eastAsia="Times New Roman" w:hAnsi="Times New Roman" w:cs="Times New Roman"/>
      <w:b/>
      <w:bCs/>
      <w:sz w:val="28"/>
      <w:szCs w:val="28"/>
    </w:rPr>
  </w:style>
  <w:style w:type="paragraph" w:styleId="FootnoteText">
    <w:name w:val="footnote text"/>
    <w:aliases w:val="FT"/>
    <w:basedOn w:val="Normal"/>
    <w:link w:val="FootnoteTextChar"/>
    <w:rsid w:val="00DD0181"/>
    <w:rPr>
      <w:sz w:val="20"/>
      <w:szCs w:val="20"/>
    </w:rPr>
  </w:style>
  <w:style w:type="character" w:customStyle="1" w:styleId="FootnoteTextChar">
    <w:name w:val="Footnote Text Char"/>
    <w:aliases w:val="FT Char"/>
    <w:basedOn w:val="DefaultParagraphFont"/>
    <w:link w:val="FootnoteText"/>
    <w:rsid w:val="00DD0181"/>
    <w:rPr>
      <w:rFonts w:ascii="Times New Roman" w:eastAsia="Times New Roman" w:hAnsi="Times New Roman" w:cs="Times New Roman"/>
      <w:sz w:val="20"/>
      <w:szCs w:val="20"/>
    </w:rPr>
  </w:style>
  <w:style w:type="character" w:styleId="CommentReference">
    <w:name w:val="annotation reference"/>
    <w:uiPriority w:val="99"/>
    <w:semiHidden/>
    <w:unhideWhenUsed/>
    <w:rsid w:val="00DD0181"/>
    <w:rPr>
      <w:sz w:val="16"/>
      <w:szCs w:val="16"/>
    </w:rPr>
  </w:style>
  <w:style w:type="paragraph" w:styleId="CommentText">
    <w:name w:val="annotation text"/>
    <w:basedOn w:val="Normal"/>
    <w:link w:val="CommentTextChar"/>
    <w:uiPriority w:val="99"/>
    <w:unhideWhenUsed/>
    <w:rsid w:val="00DD0181"/>
    <w:rPr>
      <w:sz w:val="20"/>
      <w:szCs w:val="20"/>
    </w:rPr>
  </w:style>
  <w:style w:type="character" w:customStyle="1" w:styleId="CommentTextChar">
    <w:name w:val="Comment Text Char"/>
    <w:basedOn w:val="DefaultParagraphFont"/>
    <w:link w:val="CommentText"/>
    <w:uiPriority w:val="99"/>
    <w:rsid w:val="00DD0181"/>
    <w:rPr>
      <w:rFonts w:ascii="Times New Roman" w:eastAsia="Times New Roman" w:hAnsi="Times New Roman" w:cs="Times New Roman"/>
      <w:sz w:val="20"/>
      <w:szCs w:val="20"/>
    </w:rPr>
  </w:style>
  <w:style w:type="paragraph" w:styleId="ListParagraph">
    <w:name w:val="List Paragraph"/>
    <w:basedOn w:val="Normal"/>
    <w:uiPriority w:val="34"/>
    <w:qFormat/>
    <w:rsid w:val="006035A6"/>
    <w:pPr>
      <w:ind w:left="720"/>
      <w:contextualSpacing/>
    </w:pPr>
  </w:style>
  <w:style w:type="paragraph" w:styleId="Header">
    <w:name w:val="header"/>
    <w:basedOn w:val="Normal"/>
    <w:link w:val="HeaderChar"/>
    <w:uiPriority w:val="99"/>
    <w:unhideWhenUsed/>
    <w:rsid w:val="00F64A28"/>
    <w:pPr>
      <w:tabs>
        <w:tab w:val="center" w:pos="4680"/>
        <w:tab w:val="right" w:pos="9360"/>
      </w:tabs>
    </w:pPr>
  </w:style>
  <w:style w:type="character" w:customStyle="1" w:styleId="HeaderChar">
    <w:name w:val="Header Char"/>
    <w:basedOn w:val="DefaultParagraphFont"/>
    <w:link w:val="Header"/>
    <w:uiPriority w:val="99"/>
    <w:rsid w:val="00F64A2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4A28"/>
    <w:pPr>
      <w:tabs>
        <w:tab w:val="center" w:pos="4680"/>
        <w:tab w:val="right" w:pos="9360"/>
      </w:tabs>
    </w:pPr>
  </w:style>
  <w:style w:type="character" w:customStyle="1" w:styleId="FooterChar">
    <w:name w:val="Footer Char"/>
    <w:basedOn w:val="DefaultParagraphFont"/>
    <w:link w:val="Footer"/>
    <w:uiPriority w:val="99"/>
    <w:rsid w:val="00F64A28"/>
    <w:rPr>
      <w:rFonts w:ascii="Times New Roman" w:eastAsia="Times New Roman" w:hAnsi="Times New Roman" w:cs="Times New Roman"/>
      <w:sz w:val="24"/>
      <w:szCs w:val="24"/>
    </w:rPr>
  </w:style>
  <w:style w:type="paragraph" w:styleId="BodyText">
    <w:name w:val="Body Text"/>
    <w:basedOn w:val="Normal"/>
    <w:link w:val="BodyTextChar"/>
    <w:rsid w:val="00EA0B33"/>
    <w:pPr>
      <w:spacing w:line="480" w:lineRule="auto"/>
      <w:jc w:val="both"/>
    </w:pPr>
  </w:style>
  <w:style w:type="character" w:customStyle="1" w:styleId="BodyTextChar">
    <w:name w:val="Body Text Char"/>
    <w:basedOn w:val="DefaultParagraphFont"/>
    <w:link w:val="BodyText"/>
    <w:rsid w:val="00EA0B33"/>
    <w:rPr>
      <w:rFonts w:ascii="Times New Roman" w:eastAsia="Times New Roman" w:hAnsi="Times New Roman" w:cs="Times New Roman"/>
      <w:sz w:val="24"/>
      <w:szCs w:val="24"/>
    </w:rPr>
  </w:style>
  <w:style w:type="paragraph" w:styleId="NormalWeb">
    <w:name w:val="Normal (Web)"/>
    <w:basedOn w:val="Normal"/>
    <w:uiPriority w:val="99"/>
    <w:unhideWhenUsed/>
    <w:rsid w:val="00EA0B33"/>
    <w:pPr>
      <w:spacing w:before="100" w:beforeAutospacing="1" w:after="100" w:afterAutospacing="1"/>
    </w:pPr>
  </w:style>
  <w:style w:type="paragraph" w:styleId="NoSpacing">
    <w:name w:val="No Spacing"/>
    <w:uiPriority w:val="1"/>
    <w:qFormat/>
    <w:rsid w:val="00EA0B33"/>
    <w:pPr>
      <w:spacing w:after="0" w:line="240" w:lineRule="auto"/>
    </w:pPr>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85435A"/>
    <w:rPr>
      <w:b/>
      <w:bCs/>
    </w:rPr>
  </w:style>
  <w:style w:type="character" w:customStyle="1" w:styleId="CommentSubjectChar">
    <w:name w:val="Comment Subject Char"/>
    <w:basedOn w:val="CommentTextChar"/>
    <w:link w:val="CommentSubject"/>
    <w:uiPriority w:val="99"/>
    <w:semiHidden/>
    <w:rsid w:val="0085435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543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35A"/>
    <w:rPr>
      <w:rFonts w:ascii="Segoe UI" w:eastAsia="Times New Roman" w:hAnsi="Segoe UI" w:cs="Segoe UI"/>
      <w:sz w:val="18"/>
      <w:szCs w:val="18"/>
    </w:rPr>
  </w:style>
  <w:style w:type="paragraph" w:styleId="Revision">
    <w:name w:val="Revision"/>
    <w:hidden/>
    <w:uiPriority w:val="99"/>
    <w:semiHidden/>
    <w:rsid w:val="000F6123"/>
    <w:pPr>
      <w:spacing w:after="0"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unhideWhenUsed/>
    <w:rsid w:val="008B4E79"/>
    <w:rPr>
      <w:vertAlign w:val="superscript"/>
    </w:rPr>
  </w:style>
  <w:style w:type="character" w:styleId="Hyperlink">
    <w:name w:val="Hyperlink"/>
    <w:basedOn w:val="DefaultParagraphFont"/>
    <w:uiPriority w:val="99"/>
    <w:unhideWhenUsed/>
    <w:rsid w:val="00520F8E"/>
    <w:rPr>
      <w:color w:val="0563C1" w:themeColor="hyperlink"/>
      <w:u w:val="single"/>
    </w:rPr>
  </w:style>
  <w:style w:type="character" w:styleId="FollowedHyperlink">
    <w:name w:val="FollowedHyperlink"/>
    <w:basedOn w:val="DefaultParagraphFont"/>
    <w:uiPriority w:val="99"/>
    <w:semiHidden/>
    <w:unhideWhenUsed/>
    <w:rsid w:val="00966FCA"/>
    <w:rPr>
      <w:color w:val="954F72" w:themeColor="followedHyperlink"/>
      <w:u w:val="single"/>
    </w:rPr>
  </w:style>
  <w:style w:type="character" w:styleId="LineNumber">
    <w:name w:val="line number"/>
    <w:basedOn w:val="DefaultParagraphFont"/>
    <w:uiPriority w:val="99"/>
    <w:semiHidden/>
    <w:unhideWhenUsed/>
    <w:rsid w:val="00CB530D"/>
  </w:style>
  <w:style w:type="table" w:styleId="TableGrid">
    <w:name w:val="Table Grid"/>
    <w:basedOn w:val="TableNormal"/>
    <w:uiPriority w:val="39"/>
    <w:rsid w:val="00D8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0F2036"/>
    <w:rPr>
      <w:rFonts w:asciiTheme="majorHAnsi" w:eastAsiaTheme="majorEastAsia" w:hAnsiTheme="majorHAnsi" w:cstheme="majorBidi"/>
      <w:color w:val="1F3763" w:themeColor="accent1" w:themeShade="7F"/>
      <w:sz w:val="24"/>
      <w:szCs w:val="24"/>
    </w:rPr>
  </w:style>
  <w:style w:type="paragraph" w:styleId="Caption">
    <w:name w:val="caption"/>
    <w:basedOn w:val="Normal"/>
    <w:next w:val="Normal"/>
    <w:uiPriority w:val="35"/>
    <w:semiHidden/>
    <w:unhideWhenUsed/>
    <w:qFormat/>
    <w:rsid w:val="00246CB5"/>
    <w:pPr>
      <w:spacing w:after="200"/>
    </w:pPr>
    <w:rPr>
      <w:i/>
      <w:iCs/>
      <w:color w:val="44546A" w:themeColor="text2"/>
      <w:sz w:val="18"/>
      <w:szCs w:val="18"/>
    </w:rPr>
  </w:style>
  <w:style w:type="character" w:customStyle="1" w:styleId="Heading5Char">
    <w:name w:val="Heading 5 Char"/>
    <w:basedOn w:val="DefaultParagraphFont"/>
    <w:link w:val="Heading5"/>
    <w:uiPriority w:val="9"/>
    <w:semiHidden/>
    <w:rsid w:val="00CF7656"/>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CF765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5405">
      <w:bodyDiv w:val="1"/>
      <w:marLeft w:val="0"/>
      <w:marRight w:val="0"/>
      <w:marTop w:val="0"/>
      <w:marBottom w:val="0"/>
      <w:divBdr>
        <w:top w:val="none" w:sz="0" w:space="0" w:color="auto"/>
        <w:left w:val="none" w:sz="0" w:space="0" w:color="auto"/>
        <w:bottom w:val="none" w:sz="0" w:space="0" w:color="auto"/>
        <w:right w:val="none" w:sz="0" w:space="0" w:color="auto"/>
      </w:divBdr>
    </w:div>
    <w:div w:id="19361375">
      <w:bodyDiv w:val="1"/>
      <w:marLeft w:val="0"/>
      <w:marRight w:val="0"/>
      <w:marTop w:val="0"/>
      <w:marBottom w:val="0"/>
      <w:divBdr>
        <w:top w:val="none" w:sz="0" w:space="0" w:color="auto"/>
        <w:left w:val="none" w:sz="0" w:space="0" w:color="auto"/>
        <w:bottom w:val="none" w:sz="0" w:space="0" w:color="auto"/>
        <w:right w:val="none" w:sz="0" w:space="0" w:color="auto"/>
      </w:divBdr>
    </w:div>
    <w:div w:id="157618445">
      <w:bodyDiv w:val="1"/>
      <w:marLeft w:val="0"/>
      <w:marRight w:val="0"/>
      <w:marTop w:val="0"/>
      <w:marBottom w:val="0"/>
      <w:divBdr>
        <w:top w:val="none" w:sz="0" w:space="0" w:color="auto"/>
        <w:left w:val="none" w:sz="0" w:space="0" w:color="auto"/>
        <w:bottom w:val="none" w:sz="0" w:space="0" w:color="auto"/>
        <w:right w:val="none" w:sz="0" w:space="0" w:color="auto"/>
      </w:divBdr>
    </w:div>
    <w:div w:id="190732619">
      <w:bodyDiv w:val="1"/>
      <w:marLeft w:val="0"/>
      <w:marRight w:val="0"/>
      <w:marTop w:val="0"/>
      <w:marBottom w:val="0"/>
      <w:divBdr>
        <w:top w:val="none" w:sz="0" w:space="0" w:color="auto"/>
        <w:left w:val="none" w:sz="0" w:space="0" w:color="auto"/>
        <w:bottom w:val="none" w:sz="0" w:space="0" w:color="auto"/>
        <w:right w:val="none" w:sz="0" w:space="0" w:color="auto"/>
      </w:divBdr>
    </w:div>
    <w:div w:id="330723211">
      <w:bodyDiv w:val="1"/>
      <w:marLeft w:val="0"/>
      <w:marRight w:val="0"/>
      <w:marTop w:val="0"/>
      <w:marBottom w:val="0"/>
      <w:divBdr>
        <w:top w:val="none" w:sz="0" w:space="0" w:color="auto"/>
        <w:left w:val="none" w:sz="0" w:space="0" w:color="auto"/>
        <w:bottom w:val="none" w:sz="0" w:space="0" w:color="auto"/>
        <w:right w:val="none" w:sz="0" w:space="0" w:color="auto"/>
      </w:divBdr>
    </w:div>
    <w:div w:id="444617694">
      <w:bodyDiv w:val="1"/>
      <w:marLeft w:val="0"/>
      <w:marRight w:val="0"/>
      <w:marTop w:val="0"/>
      <w:marBottom w:val="0"/>
      <w:divBdr>
        <w:top w:val="none" w:sz="0" w:space="0" w:color="auto"/>
        <w:left w:val="none" w:sz="0" w:space="0" w:color="auto"/>
        <w:bottom w:val="none" w:sz="0" w:space="0" w:color="auto"/>
        <w:right w:val="none" w:sz="0" w:space="0" w:color="auto"/>
      </w:divBdr>
    </w:div>
    <w:div w:id="471407258">
      <w:bodyDiv w:val="1"/>
      <w:marLeft w:val="0"/>
      <w:marRight w:val="0"/>
      <w:marTop w:val="0"/>
      <w:marBottom w:val="0"/>
      <w:divBdr>
        <w:top w:val="none" w:sz="0" w:space="0" w:color="auto"/>
        <w:left w:val="none" w:sz="0" w:space="0" w:color="auto"/>
        <w:bottom w:val="none" w:sz="0" w:space="0" w:color="auto"/>
        <w:right w:val="none" w:sz="0" w:space="0" w:color="auto"/>
      </w:divBdr>
    </w:div>
    <w:div w:id="473640505">
      <w:bodyDiv w:val="1"/>
      <w:marLeft w:val="0"/>
      <w:marRight w:val="0"/>
      <w:marTop w:val="0"/>
      <w:marBottom w:val="0"/>
      <w:divBdr>
        <w:top w:val="none" w:sz="0" w:space="0" w:color="auto"/>
        <w:left w:val="none" w:sz="0" w:space="0" w:color="auto"/>
        <w:bottom w:val="none" w:sz="0" w:space="0" w:color="auto"/>
        <w:right w:val="none" w:sz="0" w:space="0" w:color="auto"/>
      </w:divBdr>
    </w:div>
    <w:div w:id="612857421">
      <w:bodyDiv w:val="1"/>
      <w:marLeft w:val="0"/>
      <w:marRight w:val="0"/>
      <w:marTop w:val="0"/>
      <w:marBottom w:val="0"/>
      <w:divBdr>
        <w:top w:val="none" w:sz="0" w:space="0" w:color="auto"/>
        <w:left w:val="none" w:sz="0" w:space="0" w:color="auto"/>
        <w:bottom w:val="none" w:sz="0" w:space="0" w:color="auto"/>
        <w:right w:val="none" w:sz="0" w:space="0" w:color="auto"/>
      </w:divBdr>
    </w:div>
    <w:div w:id="667440276">
      <w:bodyDiv w:val="1"/>
      <w:marLeft w:val="0"/>
      <w:marRight w:val="0"/>
      <w:marTop w:val="0"/>
      <w:marBottom w:val="0"/>
      <w:divBdr>
        <w:top w:val="none" w:sz="0" w:space="0" w:color="auto"/>
        <w:left w:val="none" w:sz="0" w:space="0" w:color="auto"/>
        <w:bottom w:val="none" w:sz="0" w:space="0" w:color="auto"/>
        <w:right w:val="none" w:sz="0" w:space="0" w:color="auto"/>
      </w:divBdr>
    </w:div>
    <w:div w:id="804928733">
      <w:bodyDiv w:val="1"/>
      <w:marLeft w:val="0"/>
      <w:marRight w:val="0"/>
      <w:marTop w:val="0"/>
      <w:marBottom w:val="0"/>
      <w:divBdr>
        <w:top w:val="none" w:sz="0" w:space="0" w:color="auto"/>
        <w:left w:val="none" w:sz="0" w:space="0" w:color="auto"/>
        <w:bottom w:val="none" w:sz="0" w:space="0" w:color="auto"/>
        <w:right w:val="none" w:sz="0" w:space="0" w:color="auto"/>
      </w:divBdr>
    </w:div>
    <w:div w:id="808746676">
      <w:bodyDiv w:val="1"/>
      <w:marLeft w:val="0"/>
      <w:marRight w:val="0"/>
      <w:marTop w:val="0"/>
      <w:marBottom w:val="0"/>
      <w:divBdr>
        <w:top w:val="none" w:sz="0" w:space="0" w:color="auto"/>
        <w:left w:val="none" w:sz="0" w:space="0" w:color="auto"/>
        <w:bottom w:val="none" w:sz="0" w:space="0" w:color="auto"/>
        <w:right w:val="none" w:sz="0" w:space="0" w:color="auto"/>
      </w:divBdr>
    </w:div>
    <w:div w:id="824247390">
      <w:bodyDiv w:val="1"/>
      <w:marLeft w:val="0"/>
      <w:marRight w:val="0"/>
      <w:marTop w:val="0"/>
      <w:marBottom w:val="0"/>
      <w:divBdr>
        <w:top w:val="none" w:sz="0" w:space="0" w:color="auto"/>
        <w:left w:val="none" w:sz="0" w:space="0" w:color="auto"/>
        <w:bottom w:val="none" w:sz="0" w:space="0" w:color="auto"/>
        <w:right w:val="none" w:sz="0" w:space="0" w:color="auto"/>
      </w:divBdr>
    </w:div>
    <w:div w:id="829292855">
      <w:bodyDiv w:val="1"/>
      <w:marLeft w:val="0"/>
      <w:marRight w:val="0"/>
      <w:marTop w:val="0"/>
      <w:marBottom w:val="0"/>
      <w:divBdr>
        <w:top w:val="none" w:sz="0" w:space="0" w:color="auto"/>
        <w:left w:val="none" w:sz="0" w:space="0" w:color="auto"/>
        <w:bottom w:val="none" w:sz="0" w:space="0" w:color="auto"/>
        <w:right w:val="none" w:sz="0" w:space="0" w:color="auto"/>
      </w:divBdr>
    </w:div>
    <w:div w:id="873687422">
      <w:bodyDiv w:val="1"/>
      <w:marLeft w:val="0"/>
      <w:marRight w:val="0"/>
      <w:marTop w:val="0"/>
      <w:marBottom w:val="0"/>
      <w:divBdr>
        <w:top w:val="none" w:sz="0" w:space="0" w:color="auto"/>
        <w:left w:val="none" w:sz="0" w:space="0" w:color="auto"/>
        <w:bottom w:val="none" w:sz="0" w:space="0" w:color="auto"/>
        <w:right w:val="none" w:sz="0" w:space="0" w:color="auto"/>
      </w:divBdr>
    </w:div>
    <w:div w:id="956061948">
      <w:bodyDiv w:val="1"/>
      <w:marLeft w:val="0"/>
      <w:marRight w:val="0"/>
      <w:marTop w:val="0"/>
      <w:marBottom w:val="0"/>
      <w:divBdr>
        <w:top w:val="none" w:sz="0" w:space="0" w:color="auto"/>
        <w:left w:val="none" w:sz="0" w:space="0" w:color="auto"/>
        <w:bottom w:val="none" w:sz="0" w:space="0" w:color="auto"/>
        <w:right w:val="none" w:sz="0" w:space="0" w:color="auto"/>
      </w:divBdr>
    </w:div>
    <w:div w:id="1170680437">
      <w:bodyDiv w:val="1"/>
      <w:marLeft w:val="0"/>
      <w:marRight w:val="0"/>
      <w:marTop w:val="0"/>
      <w:marBottom w:val="0"/>
      <w:divBdr>
        <w:top w:val="none" w:sz="0" w:space="0" w:color="auto"/>
        <w:left w:val="none" w:sz="0" w:space="0" w:color="auto"/>
        <w:bottom w:val="none" w:sz="0" w:space="0" w:color="auto"/>
        <w:right w:val="none" w:sz="0" w:space="0" w:color="auto"/>
      </w:divBdr>
    </w:div>
    <w:div w:id="1233077692">
      <w:bodyDiv w:val="1"/>
      <w:marLeft w:val="0"/>
      <w:marRight w:val="0"/>
      <w:marTop w:val="0"/>
      <w:marBottom w:val="0"/>
      <w:divBdr>
        <w:top w:val="none" w:sz="0" w:space="0" w:color="auto"/>
        <w:left w:val="none" w:sz="0" w:space="0" w:color="auto"/>
        <w:bottom w:val="none" w:sz="0" w:space="0" w:color="auto"/>
        <w:right w:val="none" w:sz="0" w:space="0" w:color="auto"/>
      </w:divBdr>
    </w:div>
    <w:div w:id="1461461064">
      <w:bodyDiv w:val="1"/>
      <w:marLeft w:val="0"/>
      <w:marRight w:val="0"/>
      <w:marTop w:val="0"/>
      <w:marBottom w:val="0"/>
      <w:divBdr>
        <w:top w:val="none" w:sz="0" w:space="0" w:color="auto"/>
        <w:left w:val="none" w:sz="0" w:space="0" w:color="auto"/>
        <w:bottom w:val="none" w:sz="0" w:space="0" w:color="auto"/>
        <w:right w:val="none" w:sz="0" w:space="0" w:color="auto"/>
      </w:divBdr>
    </w:div>
    <w:div w:id="1491867931">
      <w:bodyDiv w:val="1"/>
      <w:marLeft w:val="0"/>
      <w:marRight w:val="0"/>
      <w:marTop w:val="0"/>
      <w:marBottom w:val="0"/>
      <w:divBdr>
        <w:top w:val="none" w:sz="0" w:space="0" w:color="auto"/>
        <w:left w:val="none" w:sz="0" w:space="0" w:color="auto"/>
        <w:bottom w:val="none" w:sz="0" w:space="0" w:color="auto"/>
        <w:right w:val="none" w:sz="0" w:space="0" w:color="auto"/>
      </w:divBdr>
    </w:div>
    <w:div w:id="1555315782">
      <w:bodyDiv w:val="1"/>
      <w:marLeft w:val="0"/>
      <w:marRight w:val="0"/>
      <w:marTop w:val="0"/>
      <w:marBottom w:val="0"/>
      <w:divBdr>
        <w:top w:val="none" w:sz="0" w:space="0" w:color="auto"/>
        <w:left w:val="none" w:sz="0" w:space="0" w:color="auto"/>
        <w:bottom w:val="none" w:sz="0" w:space="0" w:color="auto"/>
        <w:right w:val="none" w:sz="0" w:space="0" w:color="auto"/>
      </w:divBdr>
    </w:div>
    <w:div w:id="1775248687">
      <w:bodyDiv w:val="1"/>
      <w:marLeft w:val="0"/>
      <w:marRight w:val="0"/>
      <w:marTop w:val="0"/>
      <w:marBottom w:val="0"/>
      <w:divBdr>
        <w:top w:val="none" w:sz="0" w:space="0" w:color="auto"/>
        <w:left w:val="none" w:sz="0" w:space="0" w:color="auto"/>
        <w:bottom w:val="none" w:sz="0" w:space="0" w:color="auto"/>
        <w:right w:val="none" w:sz="0" w:space="0" w:color="auto"/>
      </w:divBdr>
    </w:div>
    <w:div w:id="1801027333">
      <w:bodyDiv w:val="1"/>
      <w:marLeft w:val="0"/>
      <w:marRight w:val="0"/>
      <w:marTop w:val="0"/>
      <w:marBottom w:val="0"/>
      <w:divBdr>
        <w:top w:val="none" w:sz="0" w:space="0" w:color="auto"/>
        <w:left w:val="none" w:sz="0" w:space="0" w:color="auto"/>
        <w:bottom w:val="none" w:sz="0" w:space="0" w:color="auto"/>
        <w:right w:val="none" w:sz="0" w:space="0" w:color="auto"/>
      </w:divBdr>
    </w:div>
    <w:div w:id="1859927944">
      <w:bodyDiv w:val="1"/>
      <w:marLeft w:val="0"/>
      <w:marRight w:val="0"/>
      <w:marTop w:val="0"/>
      <w:marBottom w:val="0"/>
      <w:divBdr>
        <w:top w:val="none" w:sz="0" w:space="0" w:color="auto"/>
        <w:left w:val="none" w:sz="0" w:space="0" w:color="auto"/>
        <w:bottom w:val="none" w:sz="0" w:space="0" w:color="auto"/>
        <w:right w:val="none" w:sz="0" w:space="0" w:color="auto"/>
      </w:divBdr>
    </w:div>
    <w:div w:id="2082173546">
      <w:bodyDiv w:val="1"/>
      <w:marLeft w:val="0"/>
      <w:marRight w:val="0"/>
      <w:marTop w:val="0"/>
      <w:marBottom w:val="0"/>
      <w:divBdr>
        <w:top w:val="none" w:sz="0" w:space="0" w:color="auto"/>
        <w:left w:val="none" w:sz="0" w:space="0" w:color="auto"/>
        <w:bottom w:val="none" w:sz="0" w:space="0" w:color="auto"/>
        <w:right w:val="none" w:sz="0" w:space="0" w:color="auto"/>
      </w:divBdr>
    </w:div>
    <w:div w:id="2089694255">
      <w:bodyDiv w:val="1"/>
      <w:marLeft w:val="0"/>
      <w:marRight w:val="0"/>
      <w:marTop w:val="0"/>
      <w:marBottom w:val="0"/>
      <w:divBdr>
        <w:top w:val="none" w:sz="0" w:space="0" w:color="auto"/>
        <w:left w:val="none" w:sz="0" w:space="0" w:color="auto"/>
        <w:bottom w:val="none" w:sz="0" w:space="0" w:color="auto"/>
        <w:right w:val="none" w:sz="0" w:space="0" w:color="auto"/>
      </w:divBdr>
    </w:div>
    <w:div w:id="209211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nyccfb.info/follow-the-money/follow-the-money/" TargetMode="External"/><Relationship Id="rId3" Type="http://schemas.openxmlformats.org/officeDocument/2006/relationships/hyperlink" Target="https://www.brennancenter.org/sites/default/files/legacy/Small%20Donor%20Matching%20Funds-The%20NYC%20Election%20Experience.pdf" TargetMode="External"/><Relationship Id="rId7" Type="http://schemas.openxmlformats.org/officeDocument/2006/relationships/hyperlink" Target="https://www.nyccfb.info/independent-expenditures/independent-expenditures-guide/" TargetMode="External"/><Relationship Id="rId2" Type="http://schemas.openxmlformats.org/officeDocument/2006/relationships/hyperlink" Target="http://scholarlycommons.law.hofstra.edu/cgi/viewcontent.cgi?article=1617&amp;context=hlr" TargetMode="External"/><Relationship Id="rId1" Type="http://schemas.openxmlformats.org/officeDocument/2006/relationships/hyperlink" Target="https://www.nyccfb.info/program/benefits/%20" TargetMode="External"/><Relationship Id="rId6" Type="http://schemas.openxmlformats.org/officeDocument/2006/relationships/hyperlink" Target="https://www.nyccfb.info/independent-expenditures/independent-expenditures-guide/" TargetMode="External"/><Relationship Id="rId11" Type="http://schemas.openxmlformats.org/officeDocument/2006/relationships/hyperlink" Target="http://www.nyccfb.info/PDF/2021_Post-Election_Report.pdf" TargetMode="External"/><Relationship Id="rId5" Type="http://schemas.openxmlformats.org/officeDocument/2006/relationships/hyperlink" Target="http://www.nyccfb.info/PDF/2021_Post-Election_Report.pdf" TargetMode="External"/><Relationship Id="rId10" Type="http://schemas.openxmlformats.org/officeDocument/2006/relationships/hyperlink" Target="https://nyccfb.info/law/act/examinations-and-audits-repayments/" TargetMode="External"/><Relationship Id="rId4" Type="http://schemas.openxmlformats.org/officeDocument/2006/relationships/hyperlink" Target="https://www1.nyc.gov/assets/charter/downloads/pdf/final-report-20180904.pdf" TargetMode="External"/><Relationship Id="rId9" Type="http://schemas.openxmlformats.org/officeDocument/2006/relationships/hyperlink" Target="http://www.nyccfb.info/PDF/2021_Post-Election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a89be48-00c3-4dce-a54e-5fa37f38efa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EF29BDC6B6F34CA149E4B01BA6DE82" ma:contentTypeVersion="14" ma:contentTypeDescription="Create a new document." ma:contentTypeScope="" ma:versionID="d47fbf07dd4507c67e11e29db35a2e50">
  <xsd:schema xmlns:xsd="http://www.w3.org/2001/XMLSchema" xmlns:xs="http://www.w3.org/2001/XMLSchema" xmlns:p="http://schemas.microsoft.com/office/2006/metadata/properties" xmlns:ns3="0a89be48-00c3-4dce-a54e-5fa37f38efab" xmlns:ns4="b0585e4f-ee23-4833-9bbe-8be3b0a875ac" targetNamespace="http://schemas.microsoft.com/office/2006/metadata/properties" ma:root="true" ma:fieldsID="fe903ef38e064419d551be644af03656" ns3:_="" ns4:_="">
    <xsd:import namespace="0a89be48-00c3-4dce-a54e-5fa37f38efab"/>
    <xsd:import namespace="b0585e4f-ee23-4833-9bbe-8be3b0a875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9be48-00c3-4dce-a54e-5fa37f38e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585e4f-ee23-4833-9bbe-8be3b0a875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06B07-A4A2-471B-89F6-4FD2A137AA26}">
  <ds:schemaRefs>
    <ds:schemaRef ds:uri="http://schemas.microsoft.com/office/2006/metadata/properties"/>
    <ds:schemaRef ds:uri="http://schemas.microsoft.com/office/infopath/2007/PartnerControls"/>
    <ds:schemaRef ds:uri="0a89be48-00c3-4dce-a54e-5fa37f38efab"/>
  </ds:schemaRefs>
</ds:datastoreItem>
</file>

<file path=customXml/itemProps2.xml><?xml version="1.0" encoding="utf-8"?>
<ds:datastoreItem xmlns:ds="http://schemas.openxmlformats.org/officeDocument/2006/customXml" ds:itemID="{7C4576D1-3D3D-4D2E-A7EF-76CAAAF275D9}">
  <ds:schemaRefs>
    <ds:schemaRef ds:uri="http://schemas.microsoft.com/sharepoint/v3/contenttype/forms"/>
  </ds:schemaRefs>
</ds:datastoreItem>
</file>

<file path=customXml/itemProps3.xml><?xml version="1.0" encoding="utf-8"?>
<ds:datastoreItem xmlns:ds="http://schemas.openxmlformats.org/officeDocument/2006/customXml" ds:itemID="{29FCA48F-5575-478E-B00C-610FD3D4B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9be48-00c3-4dce-a54e-5fa37f38efab"/>
    <ds:schemaRef ds:uri="b0585e4f-ee23-4833-9bbe-8be3b0a87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D36184-5832-4922-B598-0A51875FA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2749</Words>
  <Characters>15673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Kronk</dc:creator>
  <cp:keywords/>
  <dc:description/>
  <cp:lastModifiedBy>DelFranco, Ruthie</cp:lastModifiedBy>
  <cp:revision>4</cp:revision>
  <cp:lastPrinted>2022-09-27T20:41:00Z</cp:lastPrinted>
  <dcterms:created xsi:type="dcterms:W3CDTF">2022-12-13T22:18:00Z</dcterms:created>
  <dcterms:modified xsi:type="dcterms:W3CDTF">2022-12-21T13:13:00Z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0x01010065EF29BDC6B6F34CA149E4B01BA6DE82</vt:lpwstr>
  </property>
</Properties>
</file>