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C3C" w14:textId="1592E943" w:rsidR="00772174" w:rsidRPr="003D53E4" w:rsidRDefault="00772174" w:rsidP="00D10C0A">
      <w:pPr>
        <w:keepNext/>
        <w:tabs>
          <w:tab w:val="left" w:pos="-720"/>
        </w:tabs>
        <w:suppressAutoHyphens/>
        <w:jc w:val="center"/>
        <w:rPr>
          <w:spacing w:val="-3"/>
        </w:rPr>
      </w:pPr>
      <w:r w:rsidRPr="003D53E4">
        <w:rPr>
          <w:spacing w:val="-3"/>
        </w:rPr>
        <w:t>Res</w:t>
      </w:r>
      <w:r w:rsidR="00553100" w:rsidRPr="003D53E4">
        <w:rPr>
          <w:spacing w:val="-3"/>
        </w:rPr>
        <w:t>.</w:t>
      </w:r>
      <w:r w:rsidRPr="003D53E4">
        <w:rPr>
          <w:spacing w:val="-3"/>
        </w:rPr>
        <w:t xml:space="preserve"> No.</w:t>
      </w:r>
      <w:r w:rsidR="00003C71">
        <w:rPr>
          <w:spacing w:val="-3"/>
        </w:rPr>
        <w:t xml:space="preserve"> </w:t>
      </w:r>
      <w:r w:rsidR="00DD006B">
        <w:rPr>
          <w:spacing w:val="-3"/>
        </w:rPr>
        <w:t>395</w:t>
      </w:r>
    </w:p>
    <w:p w14:paraId="6550FD98" w14:textId="77777777" w:rsidR="001E2747" w:rsidRPr="003D53E4" w:rsidRDefault="001E2747" w:rsidP="001E2747">
      <w:pPr>
        <w:tabs>
          <w:tab w:val="left" w:pos="-720"/>
        </w:tabs>
        <w:suppressAutoHyphens/>
        <w:jc w:val="both"/>
        <w:rPr>
          <w:spacing w:val="-3"/>
        </w:rPr>
      </w:pPr>
    </w:p>
    <w:p w14:paraId="7E311374" w14:textId="77777777" w:rsidR="001E2747" w:rsidRPr="003D53E4" w:rsidRDefault="001E2747" w:rsidP="001E2747">
      <w:pPr>
        <w:tabs>
          <w:tab w:val="left" w:pos="-720"/>
        </w:tabs>
        <w:suppressAutoHyphens/>
        <w:jc w:val="both"/>
        <w:rPr>
          <w:vanish/>
          <w:spacing w:val="-3"/>
        </w:rPr>
      </w:pPr>
      <w:r w:rsidRPr="003D53E4">
        <w:rPr>
          <w:vanish/>
          <w:spacing w:val="-3"/>
        </w:rPr>
        <w:t>..Title</w:t>
      </w:r>
    </w:p>
    <w:p w14:paraId="7AC86D45" w14:textId="70D42042" w:rsidR="00772174" w:rsidRPr="003D53E4" w:rsidRDefault="00772174" w:rsidP="001E2747">
      <w:pPr>
        <w:tabs>
          <w:tab w:val="left" w:pos="-720"/>
        </w:tabs>
        <w:suppressAutoHyphens/>
        <w:jc w:val="both"/>
        <w:rPr>
          <w:spacing w:val="-3"/>
        </w:rPr>
      </w:pPr>
      <w:r w:rsidRPr="003D53E4">
        <w:rPr>
          <w:spacing w:val="-3"/>
        </w:rPr>
        <w:t xml:space="preserve">Resolution calling upon the New York State Legislature to pass, and the Governor to sign, </w:t>
      </w:r>
      <w:r w:rsidR="00D10C0A" w:rsidRPr="003D53E4">
        <w:rPr>
          <w:spacing w:val="-3"/>
        </w:rPr>
        <w:t>S728/A2198 and S836/A1732</w:t>
      </w:r>
      <w:r w:rsidR="00432A98" w:rsidRPr="003D53E4">
        <w:rPr>
          <w:spacing w:val="-3"/>
        </w:rPr>
        <w:t>,</w:t>
      </w:r>
      <w:r w:rsidRPr="003D53E4">
        <w:rPr>
          <w:spacing w:val="-3"/>
        </w:rPr>
        <w:t xml:space="preserve"> </w:t>
      </w:r>
      <w:r w:rsidR="00D10C0A" w:rsidRPr="003D53E4">
        <w:rPr>
          <w:spacing w:val="-3"/>
        </w:rPr>
        <w:t>and for the Governor to sign S688/A807, which would increase access to pre-exposure prophylaxis and post-exposure prophylaxis</w:t>
      </w:r>
      <w:r w:rsidR="008C0FDD">
        <w:rPr>
          <w:spacing w:val="-3"/>
        </w:rPr>
        <w:t>.</w:t>
      </w:r>
    </w:p>
    <w:p w14:paraId="7E1D96BE" w14:textId="2684F5F9" w:rsidR="001E2747" w:rsidRPr="003D53E4" w:rsidRDefault="001E2747" w:rsidP="001E2747">
      <w:pPr>
        <w:tabs>
          <w:tab w:val="left" w:pos="-720"/>
        </w:tabs>
        <w:suppressAutoHyphens/>
        <w:jc w:val="both"/>
        <w:rPr>
          <w:vanish/>
          <w:spacing w:val="-3"/>
        </w:rPr>
      </w:pPr>
      <w:r w:rsidRPr="003D53E4">
        <w:rPr>
          <w:vanish/>
          <w:spacing w:val="-3"/>
        </w:rPr>
        <w:t>..Body</w:t>
      </w:r>
    </w:p>
    <w:p w14:paraId="5EAB8989" w14:textId="77777777" w:rsidR="00273E4E" w:rsidRPr="003D53E4" w:rsidRDefault="00273E4E" w:rsidP="001E2747">
      <w:pPr>
        <w:tabs>
          <w:tab w:val="left" w:pos="-720"/>
        </w:tabs>
        <w:suppressAutoHyphens/>
        <w:jc w:val="both"/>
        <w:rPr>
          <w:spacing w:val="-3"/>
        </w:rPr>
      </w:pPr>
    </w:p>
    <w:p w14:paraId="00A0D331" w14:textId="77777777" w:rsidR="00314183" w:rsidRDefault="00314183" w:rsidP="00314183">
      <w:pPr>
        <w:autoSpaceDE w:val="0"/>
        <w:autoSpaceDN w:val="0"/>
        <w:adjustRightInd w:val="0"/>
        <w:rPr>
          <w:rFonts w:eastAsiaTheme="minorHAnsi"/>
        </w:rPr>
      </w:pPr>
      <w:r>
        <w:rPr>
          <w:rFonts w:eastAsiaTheme="minorHAnsi"/>
        </w:rPr>
        <w:t>By Council Members Hudson, Ossé</w:t>
      </w:r>
      <w:r>
        <w:rPr>
          <w:rFonts w:eastAsiaTheme="minorHAnsi"/>
          <w:color w:val="000000"/>
        </w:rPr>
        <w:t xml:space="preserve">, </w:t>
      </w:r>
      <w:r>
        <w:rPr>
          <w:rFonts w:eastAsiaTheme="minorHAnsi"/>
        </w:rPr>
        <w:t>Cabán</w:t>
      </w:r>
      <w:r>
        <w:rPr>
          <w:rFonts w:eastAsiaTheme="minorHAnsi"/>
          <w:color w:val="000000"/>
        </w:rPr>
        <w:t>, Schulman, Bottcher, Hanif, Restler, Joseph, Farías, Menin, Krishnan, Barron, Velázquez, Avilés, Brewer, Williams, Louis, Riley, Narcisse and Lee</w:t>
      </w:r>
    </w:p>
    <w:p w14:paraId="6EAD13D0" w14:textId="77777777" w:rsidR="00755451" w:rsidRPr="003D53E4" w:rsidRDefault="00755451" w:rsidP="000B18D2">
      <w:pPr>
        <w:tabs>
          <w:tab w:val="left" w:pos="-720"/>
        </w:tabs>
        <w:suppressAutoHyphens/>
        <w:rPr>
          <w:spacing w:val="-3"/>
        </w:rPr>
      </w:pPr>
      <w:bookmarkStart w:id="0" w:name="_GoBack"/>
      <w:bookmarkEnd w:id="0"/>
    </w:p>
    <w:p w14:paraId="39ED083F" w14:textId="12617B94" w:rsidR="005347E4" w:rsidRPr="003D53E4" w:rsidRDefault="00AD4F83" w:rsidP="00282C4D">
      <w:pPr>
        <w:tabs>
          <w:tab w:val="left" w:pos="-720"/>
        </w:tabs>
        <w:suppressAutoHyphens/>
        <w:spacing w:line="480" w:lineRule="auto"/>
        <w:jc w:val="both"/>
        <w:rPr>
          <w:spacing w:val="-3"/>
        </w:rPr>
      </w:pPr>
      <w:r w:rsidRPr="003D53E4">
        <w:rPr>
          <w:spacing w:val="-3"/>
        </w:rPr>
        <w:tab/>
        <w:t>Whereas,</w:t>
      </w:r>
      <w:r w:rsidR="004F2A2E" w:rsidRPr="003D53E4">
        <w:rPr>
          <w:spacing w:val="-3"/>
        </w:rPr>
        <w:t xml:space="preserve"> A</w:t>
      </w:r>
      <w:r w:rsidR="00A44308" w:rsidRPr="003D53E4">
        <w:rPr>
          <w:spacing w:val="-3"/>
        </w:rPr>
        <w:t xml:space="preserve">ccording </w:t>
      </w:r>
      <w:r w:rsidRPr="003D53E4">
        <w:rPr>
          <w:spacing w:val="-3"/>
        </w:rPr>
        <w:t xml:space="preserve">to the </w:t>
      </w:r>
      <w:r w:rsidR="00282C4D" w:rsidRPr="003D53E4">
        <w:rPr>
          <w:spacing w:val="-3"/>
        </w:rPr>
        <w:t xml:space="preserve">World Health Organization, human immunodeficiency virus (HIV) is an infection that attacks the body’s immune system, specifically the white blood cells called CD4 cells, </w:t>
      </w:r>
      <w:r w:rsidR="00BC0095" w:rsidRPr="003D53E4">
        <w:rPr>
          <w:spacing w:val="-3"/>
        </w:rPr>
        <w:t xml:space="preserve">which </w:t>
      </w:r>
      <w:r w:rsidR="00282C4D" w:rsidRPr="003D53E4">
        <w:rPr>
          <w:spacing w:val="-3"/>
        </w:rPr>
        <w:t>weaken</w:t>
      </w:r>
      <w:r w:rsidR="00BC0095" w:rsidRPr="003D53E4">
        <w:rPr>
          <w:spacing w:val="-3"/>
        </w:rPr>
        <w:t>s</w:t>
      </w:r>
      <w:r w:rsidR="00282C4D" w:rsidRPr="003D53E4">
        <w:rPr>
          <w:spacing w:val="-3"/>
        </w:rPr>
        <w:t xml:space="preserve"> a person’s immunity against opportunistic infections, such as tuberculosis and fungal infections, severe bacterial infections</w:t>
      </w:r>
      <w:r w:rsidR="00D36B12" w:rsidRPr="003D53E4">
        <w:rPr>
          <w:spacing w:val="-3"/>
        </w:rPr>
        <w:t>,</w:t>
      </w:r>
      <w:r w:rsidR="00282C4D" w:rsidRPr="003D53E4">
        <w:rPr>
          <w:spacing w:val="-3"/>
        </w:rPr>
        <w:t xml:space="preserve"> and some cancers</w:t>
      </w:r>
      <w:r w:rsidR="00E36954" w:rsidRPr="003D53E4">
        <w:rPr>
          <w:spacing w:val="-3"/>
        </w:rPr>
        <w:t>;</w:t>
      </w:r>
      <w:r w:rsidRPr="003D53E4">
        <w:rPr>
          <w:spacing w:val="-3"/>
        </w:rPr>
        <w:t xml:space="preserve"> and</w:t>
      </w:r>
    </w:p>
    <w:p w14:paraId="08BF4E5C" w14:textId="1D49C92C" w:rsidR="00BC0095" w:rsidRPr="003D53E4" w:rsidRDefault="00BC0095" w:rsidP="00282C4D">
      <w:pPr>
        <w:tabs>
          <w:tab w:val="left" w:pos="-720"/>
        </w:tabs>
        <w:suppressAutoHyphens/>
        <w:spacing w:line="480" w:lineRule="auto"/>
        <w:jc w:val="both"/>
        <w:rPr>
          <w:spacing w:val="-3"/>
        </w:rPr>
      </w:pPr>
      <w:r w:rsidRPr="003D53E4">
        <w:rPr>
          <w:spacing w:val="-3"/>
        </w:rPr>
        <w:tab/>
        <w:t xml:space="preserve">Whereas, According to the New York City Department of Health and Mental Hygiene (DOHMH), </w:t>
      </w:r>
      <w:r w:rsidR="00DC4AE4" w:rsidRPr="003D53E4">
        <w:rPr>
          <w:spacing w:val="-3"/>
        </w:rPr>
        <w:t>despite ongoing improvements in the epidemiology of HIV and the fact that New York City remains on track to reach its goals related to ending the HIV epidemic, inequities in HIV do persist; and</w:t>
      </w:r>
    </w:p>
    <w:p w14:paraId="32B7594E" w14:textId="047146EB" w:rsidR="00A23F81" w:rsidRPr="003D53E4" w:rsidRDefault="00A23F81" w:rsidP="00282C4D">
      <w:pPr>
        <w:tabs>
          <w:tab w:val="left" w:pos="-720"/>
        </w:tabs>
        <w:suppressAutoHyphens/>
        <w:spacing w:line="480" w:lineRule="auto"/>
        <w:jc w:val="both"/>
        <w:rPr>
          <w:spacing w:val="-3"/>
        </w:rPr>
      </w:pPr>
      <w:r w:rsidRPr="003D53E4">
        <w:rPr>
          <w:spacing w:val="-3"/>
        </w:rPr>
        <w:tab/>
      </w:r>
      <w:r w:rsidR="00660B5B" w:rsidRPr="003D53E4">
        <w:rPr>
          <w:spacing w:val="-3"/>
        </w:rPr>
        <w:t>Whereas, In New York City, 1,396 new HIV diagnoses were made and reported in 2020; and</w:t>
      </w:r>
    </w:p>
    <w:p w14:paraId="08BA625E" w14:textId="7E785BAE" w:rsidR="00880546" w:rsidRPr="003D53E4" w:rsidRDefault="00880546" w:rsidP="00282C4D">
      <w:pPr>
        <w:tabs>
          <w:tab w:val="left" w:pos="-720"/>
        </w:tabs>
        <w:suppressAutoHyphens/>
        <w:spacing w:line="480" w:lineRule="auto"/>
        <w:jc w:val="both"/>
        <w:rPr>
          <w:spacing w:val="-3"/>
        </w:rPr>
      </w:pPr>
      <w:r w:rsidRPr="003D53E4">
        <w:rPr>
          <w:spacing w:val="-3"/>
        </w:rPr>
        <w:tab/>
        <w:t xml:space="preserve">Whereas, According to DOHMH, the number of new </w:t>
      </w:r>
      <w:r w:rsidR="001C6245" w:rsidRPr="003D53E4">
        <w:rPr>
          <w:spacing w:val="-3"/>
        </w:rPr>
        <w:t xml:space="preserve">HIV diagnoses reported in New York City from 2001 to 2020 decreased overall and among people of all gender, ages at diagnosis, and boroughs of residence, and most race/ethnicities and transmission categories; and </w:t>
      </w:r>
    </w:p>
    <w:p w14:paraId="6A620C9B" w14:textId="3B9F2842" w:rsidR="001C6245" w:rsidRPr="003D53E4" w:rsidRDefault="001C6245" w:rsidP="00282C4D">
      <w:pPr>
        <w:tabs>
          <w:tab w:val="left" w:pos="-720"/>
        </w:tabs>
        <w:suppressAutoHyphens/>
        <w:spacing w:line="480" w:lineRule="auto"/>
        <w:jc w:val="both"/>
        <w:rPr>
          <w:spacing w:val="-3"/>
        </w:rPr>
      </w:pPr>
      <w:r w:rsidRPr="003D53E4">
        <w:rPr>
          <w:spacing w:val="-3"/>
        </w:rPr>
        <w:tab/>
        <w:t xml:space="preserve">Whereas, However, </w:t>
      </w:r>
      <w:r w:rsidR="009E291A" w:rsidRPr="003D53E4">
        <w:rPr>
          <w:spacing w:val="-3"/>
        </w:rPr>
        <w:t xml:space="preserve">the decrease was significant for all subgroups except people who are transgender, Asian/Pacific Islander, and transgender with sexual contact; and </w:t>
      </w:r>
    </w:p>
    <w:p w14:paraId="72834733" w14:textId="6E80413D" w:rsidR="0066552B" w:rsidRPr="003D53E4" w:rsidRDefault="009E291A" w:rsidP="00282C4D">
      <w:pPr>
        <w:tabs>
          <w:tab w:val="left" w:pos="-720"/>
        </w:tabs>
        <w:suppressAutoHyphens/>
        <w:spacing w:line="480" w:lineRule="auto"/>
        <w:jc w:val="both"/>
        <w:rPr>
          <w:spacing w:val="-3"/>
        </w:rPr>
      </w:pPr>
      <w:r w:rsidRPr="003D53E4">
        <w:rPr>
          <w:spacing w:val="-3"/>
        </w:rPr>
        <w:tab/>
        <w:t xml:space="preserve">Whereas, In 2020, the HIV diagnosis rate among Black men was 1.8 times higher than the rate among Latino/Hispanic men, more than four times higher than the rate among white men, and more than five times higher than the rates among Asian/Pacific Islander, Native American, and multiracial men; and </w:t>
      </w:r>
    </w:p>
    <w:p w14:paraId="75C28056" w14:textId="75C0C56C" w:rsidR="00880546" w:rsidRPr="003D53E4" w:rsidRDefault="009E291A" w:rsidP="00282C4D">
      <w:pPr>
        <w:tabs>
          <w:tab w:val="left" w:pos="-720"/>
        </w:tabs>
        <w:suppressAutoHyphens/>
        <w:spacing w:line="480" w:lineRule="auto"/>
        <w:jc w:val="both"/>
        <w:rPr>
          <w:spacing w:val="-3"/>
        </w:rPr>
      </w:pPr>
      <w:r w:rsidRPr="003D53E4">
        <w:rPr>
          <w:spacing w:val="-3"/>
        </w:rPr>
        <w:lastRenderedPageBreak/>
        <w:tab/>
        <w:t xml:space="preserve">Whereas, In 2020, the HIV diagnosis rate among Black women was two times higher than the rate among Latina/Hispanic and multiracial women, 22 times higher than the rate among white women, and more than 17 times higher than the rates among Asian/Pacific Islander women; and </w:t>
      </w:r>
    </w:p>
    <w:p w14:paraId="3FFBAC29" w14:textId="7B4BB0F9" w:rsidR="00DC4AE4" w:rsidRPr="003D53E4" w:rsidRDefault="00DC4AE4" w:rsidP="00282C4D">
      <w:pPr>
        <w:tabs>
          <w:tab w:val="left" w:pos="-720"/>
        </w:tabs>
        <w:suppressAutoHyphens/>
        <w:spacing w:line="480" w:lineRule="auto"/>
        <w:jc w:val="both"/>
        <w:rPr>
          <w:spacing w:val="-3"/>
        </w:rPr>
      </w:pPr>
      <w:r w:rsidRPr="003D53E4">
        <w:rPr>
          <w:spacing w:val="-3"/>
        </w:rPr>
        <w:tab/>
        <w:t xml:space="preserve">Whereas, </w:t>
      </w:r>
      <w:r w:rsidR="003D53E4" w:rsidRPr="003D53E4">
        <w:rPr>
          <w:spacing w:val="-3"/>
        </w:rPr>
        <w:t xml:space="preserve">Increased </w:t>
      </w:r>
      <w:r w:rsidRPr="003D53E4">
        <w:rPr>
          <w:spacing w:val="-3"/>
        </w:rPr>
        <w:t>access to HIV prevention services</w:t>
      </w:r>
      <w:r w:rsidR="003D53E4" w:rsidRPr="003D53E4">
        <w:rPr>
          <w:spacing w:val="-3"/>
        </w:rPr>
        <w:t xml:space="preserve"> are needed to address these inequities</w:t>
      </w:r>
      <w:r w:rsidRPr="003D53E4">
        <w:rPr>
          <w:spacing w:val="-3"/>
        </w:rPr>
        <w:t xml:space="preserve">; and </w:t>
      </w:r>
    </w:p>
    <w:p w14:paraId="1373D195" w14:textId="6AA79ED7" w:rsidR="00DC4AE4" w:rsidRPr="003D53E4" w:rsidRDefault="00DC4AE4" w:rsidP="00282C4D">
      <w:pPr>
        <w:tabs>
          <w:tab w:val="left" w:pos="-720"/>
        </w:tabs>
        <w:suppressAutoHyphens/>
        <w:spacing w:line="480" w:lineRule="auto"/>
        <w:jc w:val="both"/>
        <w:rPr>
          <w:spacing w:val="-3"/>
        </w:rPr>
      </w:pPr>
      <w:r w:rsidRPr="003D53E4">
        <w:rPr>
          <w:spacing w:val="-3"/>
        </w:rPr>
        <w:tab/>
        <w:t>Whereas, Post-Exposure Prophylaxis (PEP) is an emergency medicine for people who are HIV-negative and may have been exposed to HIV; and</w:t>
      </w:r>
    </w:p>
    <w:p w14:paraId="3B857C84" w14:textId="0BDE9032" w:rsidR="00DC4AE4" w:rsidRPr="003D53E4" w:rsidRDefault="00DC4AE4" w:rsidP="00282C4D">
      <w:pPr>
        <w:tabs>
          <w:tab w:val="left" w:pos="-720"/>
        </w:tabs>
        <w:suppressAutoHyphens/>
        <w:spacing w:line="480" w:lineRule="auto"/>
        <w:jc w:val="both"/>
        <w:rPr>
          <w:spacing w:val="-3"/>
        </w:rPr>
      </w:pPr>
      <w:r w:rsidRPr="003D53E4">
        <w:rPr>
          <w:spacing w:val="-3"/>
        </w:rPr>
        <w:tab/>
        <w:t xml:space="preserve">Whereas, </w:t>
      </w:r>
      <w:r w:rsidR="00A23F81" w:rsidRPr="003D53E4">
        <w:rPr>
          <w:spacing w:val="-3"/>
        </w:rPr>
        <w:t xml:space="preserve">Pre-exposure prophylaxis (PrEP) is a safe and effective daily pill that can greatly reduce a person’s risk of HIV infection; and </w:t>
      </w:r>
    </w:p>
    <w:p w14:paraId="744E8E60" w14:textId="1CF25D57" w:rsidR="00A23F81" w:rsidRPr="003D53E4" w:rsidRDefault="00A23F81" w:rsidP="00282C4D">
      <w:pPr>
        <w:tabs>
          <w:tab w:val="left" w:pos="-720"/>
        </w:tabs>
        <w:suppressAutoHyphens/>
        <w:spacing w:line="480" w:lineRule="auto"/>
        <w:jc w:val="both"/>
        <w:rPr>
          <w:spacing w:val="-3"/>
        </w:rPr>
      </w:pPr>
      <w:r w:rsidRPr="003D53E4">
        <w:rPr>
          <w:spacing w:val="-3"/>
        </w:rPr>
        <w:tab/>
        <w:t xml:space="preserve">Whereas, Increasing access to PEP and PrEP can help reduce the spread of HIV; and </w:t>
      </w:r>
    </w:p>
    <w:p w14:paraId="00006194" w14:textId="21D13FEA" w:rsidR="00A23F81" w:rsidRPr="003D53E4" w:rsidRDefault="00E0664E" w:rsidP="00A23F81">
      <w:pPr>
        <w:tabs>
          <w:tab w:val="left" w:pos="-720"/>
        </w:tabs>
        <w:suppressAutoHyphens/>
        <w:spacing w:line="480" w:lineRule="auto"/>
        <w:jc w:val="both"/>
        <w:rPr>
          <w:spacing w:val="-3"/>
        </w:rPr>
      </w:pPr>
      <w:r w:rsidRPr="003D53E4">
        <w:rPr>
          <w:spacing w:val="-3"/>
        </w:rPr>
        <w:tab/>
      </w:r>
      <w:r w:rsidR="00A23F81" w:rsidRPr="003D53E4">
        <w:rPr>
          <w:spacing w:val="-3"/>
        </w:rPr>
        <w:t>Whereas, According to DOHMH, in New York State, PrEP is covered by Medicaid and most health insurance plans without any copays for medicines, lab work, or clinic visits; and</w:t>
      </w:r>
    </w:p>
    <w:p w14:paraId="3F556D28" w14:textId="77777777" w:rsidR="00660B5B" w:rsidRPr="003D53E4" w:rsidRDefault="00A23F81" w:rsidP="00282C4D">
      <w:pPr>
        <w:tabs>
          <w:tab w:val="left" w:pos="-720"/>
        </w:tabs>
        <w:suppressAutoHyphens/>
        <w:spacing w:line="480" w:lineRule="auto"/>
        <w:jc w:val="both"/>
        <w:rPr>
          <w:spacing w:val="-3"/>
        </w:rPr>
      </w:pPr>
      <w:r w:rsidRPr="003D53E4">
        <w:rPr>
          <w:spacing w:val="-3"/>
        </w:rPr>
        <w:tab/>
        <w:t xml:space="preserve">Whereas, Despite this level of access, not everyone has insurance that covers PrEP without a copay; and </w:t>
      </w:r>
    </w:p>
    <w:p w14:paraId="46F476D3" w14:textId="21D60BBC" w:rsidR="00660B5B" w:rsidRPr="003D53E4" w:rsidRDefault="00660B5B" w:rsidP="00660B5B">
      <w:pPr>
        <w:tabs>
          <w:tab w:val="left" w:pos="-720"/>
        </w:tabs>
        <w:suppressAutoHyphens/>
        <w:spacing w:line="480" w:lineRule="auto"/>
        <w:jc w:val="both"/>
        <w:rPr>
          <w:spacing w:val="-3"/>
        </w:rPr>
      </w:pPr>
      <w:r w:rsidRPr="003D53E4">
        <w:rPr>
          <w:spacing w:val="-3"/>
        </w:rPr>
        <w:tab/>
        <w:t>Whereas, S688, sponsored by Senator Brad Hoylman, and A807, sponsored by Assembly Member Daniel O’Donnell, requires insurance coverage for PrEP and PEP to prevent HIV infection; and</w:t>
      </w:r>
    </w:p>
    <w:p w14:paraId="2B8CDE06" w14:textId="503014A5" w:rsidR="00660B5B" w:rsidRPr="003D53E4" w:rsidRDefault="00660B5B" w:rsidP="00660B5B">
      <w:pPr>
        <w:tabs>
          <w:tab w:val="left" w:pos="-720"/>
        </w:tabs>
        <w:suppressAutoHyphens/>
        <w:spacing w:line="480" w:lineRule="auto"/>
        <w:jc w:val="both"/>
        <w:rPr>
          <w:spacing w:val="-3"/>
        </w:rPr>
      </w:pPr>
      <w:r w:rsidRPr="003D53E4">
        <w:rPr>
          <w:spacing w:val="-3"/>
        </w:rPr>
        <w:tab/>
        <w:t xml:space="preserve">Whereas, S688/A807 was passed by both the Assembly and the Senate, and should be signed by Governor Hochul; and </w:t>
      </w:r>
    </w:p>
    <w:p w14:paraId="66F898B7" w14:textId="27B4829C" w:rsidR="00507B64" w:rsidRPr="003D53E4" w:rsidRDefault="00660B5B" w:rsidP="00507B64">
      <w:pPr>
        <w:tabs>
          <w:tab w:val="left" w:pos="-720"/>
        </w:tabs>
        <w:suppressAutoHyphens/>
        <w:spacing w:line="480" w:lineRule="auto"/>
        <w:jc w:val="both"/>
        <w:rPr>
          <w:spacing w:val="-3"/>
        </w:rPr>
      </w:pPr>
      <w:r w:rsidRPr="003D53E4">
        <w:rPr>
          <w:spacing w:val="-3"/>
        </w:rPr>
        <w:tab/>
        <w:t xml:space="preserve">Whereas, S728, </w:t>
      </w:r>
      <w:r w:rsidR="00507B64" w:rsidRPr="003D53E4">
        <w:rPr>
          <w:spacing w:val="-3"/>
        </w:rPr>
        <w:t xml:space="preserve">sponsored by Senator Brad Hoylman, and </w:t>
      </w:r>
      <w:r w:rsidRPr="003D53E4">
        <w:rPr>
          <w:spacing w:val="-3"/>
        </w:rPr>
        <w:t>A2198</w:t>
      </w:r>
      <w:r w:rsidR="00507B64" w:rsidRPr="003D53E4">
        <w:rPr>
          <w:spacing w:val="-3"/>
        </w:rPr>
        <w:t>, sponsored by Assembly Member Didi Barrett, authorizes pharmacists to dispense PrEP and PEP; and</w:t>
      </w:r>
    </w:p>
    <w:p w14:paraId="5640CA3D" w14:textId="738DA66F" w:rsidR="00507B64" w:rsidRPr="003D53E4" w:rsidRDefault="00507B64" w:rsidP="00507B64">
      <w:pPr>
        <w:tabs>
          <w:tab w:val="left" w:pos="-720"/>
        </w:tabs>
        <w:suppressAutoHyphens/>
        <w:spacing w:line="480" w:lineRule="auto"/>
        <w:jc w:val="both"/>
        <w:rPr>
          <w:spacing w:val="-3"/>
        </w:rPr>
      </w:pPr>
      <w:r w:rsidRPr="003D53E4">
        <w:rPr>
          <w:spacing w:val="-3"/>
        </w:rPr>
        <w:tab/>
        <w:t xml:space="preserve">Whereas, S728/A2198 would allow pharmacists to dispense the medications before a patient receives a doctor's prescription for a maximum of 60 days, which </w:t>
      </w:r>
      <w:r w:rsidR="003D53E4">
        <w:rPr>
          <w:spacing w:val="-3"/>
        </w:rPr>
        <w:t>would</w:t>
      </w:r>
      <w:r w:rsidR="003D53E4" w:rsidRPr="003D53E4">
        <w:rPr>
          <w:spacing w:val="-3"/>
        </w:rPr>
        <w:t xml:space="preserve"> </w:t>
      </w:r>
      <w:r w:rsidRPr="003D53E4">
        <w:rPr>
          <w:spacing w:val="-3"/>
        </w:rPr>
        <w:t xml:space="preserve">allow people to access PrEP </w:t>
      </w:r>
      <w:r w:rsidRPr="003D53E4">
        <w:rPr>
          <w:spacing w:val="-3"/>
        </w:rPr>
        <w:lastRenderedPageBreak/>
        <w:t xml:space="preserve">even if they don't have a regular doctor, are waiting for an appointment, have just moved to a new place, or have just become sexually active; and </w:t>
      </w:r>
    </w:p>
    <w:p w14:paraId="0D129321" w14:textId="7529597B" w:rsidR="00DB4C46" w:rsidRPr="003D53E4" w:rsidRDefault="00507B64" w:rsidP="00DB4C46">
      <w:pPr>
        <w:tabs>
          <w:tab w:val="left" w:pos="-720"/>
        </w:tabs>
        <w:suppressAutoHyphens/>
        <w:spacing w:line="480" w:lineRule="auto"/>
        <w:jc w:val="both"/>
        <w:rPr>
          <w:spacing w:val="-3"/>
        </w:rPr>
      </w:pPr>
      <w:r w:rsidRPr="003D53E4">
        <w:rPr>
          <w:spacing w:val="-3"/>
        </w:rPr>
        <w:tab/>
        <w:t xml:space="preserve">Whereas, S836, sponsored by Senator Brad Hoylman, </w:t>
      </w:r>
      <w:r w:rsidR="00DB4C46" w:rsidRPr="003D53E4">
        <w:rPr>
          <w:spacing w:val="-3"/>
        </w:rPr>
        <w:t xml:space="preserve">and </w:t>
      </w:r>
      <w:r w:rsidRPr="003D53E4">
        <w:rPr>
          <w:spacing w:val="-3"/>
        </w:rPr>
        <w:t>A1732</w:t>
      </w:r>
      <w:r w:rsidR="00DB4C46" w:rsidRPr="003D53E4">
        <w:rPr>
          <w:spacing w:val="-3"/>
        </w:rPr>
        <w:t>, sponsored by Assembly Member Richard Gottfried, prohibits health insurers from requiring prior authorization for PrEP; and</w:t>
      </w:r>
    </w:p>
    <w:p w14:paraId="04DE16CD" w14:textId="06642222" w:rsidR="00DB4C46" w:rsidRPr="003D53E4" w:rsidRDefault="00DB4C46" w:rsidP="00DB4C46">
      <w:pPr>
        <w:tabs>
          <w:tab w:val="left" w:pos="-720"/>
        </w:tabs>
        <w:suppressAutoHyphens/>
        <w:spacing w:line="480" w:lineRule="auto"/>
        <w:jc w:val="both"/>
        <w:rPr>
          <w:spacing w:val="-3"/>
        </w:rPr>
      </w:pPr>
      <w:r w:rsidRPr="003D53E4">
        <w:rPr>
          <w:spacing w:val="-3"/>
        </w:rPr>
        <w:tab/>
        <w:t>Whereas, According to the legislation’s stated justification, complaints to the New York State Department of Financial Services about health insurance plans "use of stringent prior authorization requirements and improper denials of coverage" resulted in the agency sending a December 2017 circular letter to all health insurers reiterating that "issuers offering prescription drug coverage must cover PrEP," that "such coverage should be subject only to reasonable utilization management measures</w:t>
      </w:r>
      <w:r w:rsidR="0047358C" w:rsidRPr="003D53E4">
        <w:rPr>
          <w:spacing w:val="-3"/>
        </w:rPr>
        <w:t>,</w:t>
      </w:r>
      <w:r w:rsidRPr="003D53E4">
        <w:rPr>
          <w:spacing w:val="-3"/>
        </w:rPr>
        <w:t xml:space="preserve">" and that "no insured may be discriminated against in the prescribing or coverage of medically necessary treatments"; and </w:t>
      </w:r>
    </w:p>
    <w:p w14:paraId="735284D1" w14:textId="77777777" w:rsidR="00DB4C46" w:rsidRPr="003D53E4" w:rsidRDefault="00DB4C46" w:rsidP="002A6299">
      <w:pPr>
        <w:tabs>
          <w:tab w:val="left" w:pos="-720"/>
        </w:tabs>
        <w:suppressAutoHyphens/>
        <w:spacing w:line="480" w:lineRule="auto"/>
        <w:jc w:val="both"/>
        <w:rPr>
          <w:spacing w:val="-3"/>
        </w:rPr>
      </w:pPr>
      <w:r w:rsidRPr="003D53E4">
        <w:rPr>
          <w:spacing w:val="-3"/>
        </w:rPr>
        <w:tab/>
        <w:t xml:space="preserve">Whereas, All those eligible for PrEP and PEP should have access to it, especially communities disproportionately impacted by new HIV diagnoses; </w:t>
      </w:r>
      <w:r w:rsidR="00772174" w:rsidRPr="003D53E4">
        <w:rPr>
          <w:spacing w:val="-3"/>
        </w:rPr>
        <w:t>now</w:t>
      </w:r>
      <w:r w:rsidR="00E6130D" w:rsidRPr="003D53E4">
        <w:rPr>
          <w:spacing w:val="-3"/>
        </w:rPr>
        <w:t>,</w:t>
      </w:r>
      <w:r w:rsidR="00772174" w:rsidRPr="003D53E4">
        <w:rPr>
          <w:spacing w:val="-3"/>
        </w:rPr>
        <w:t xml:space="preserve"> therefore</w:t>
      </w:r>
      <w:r w:rsidR="00E6130D" w:rsidRPr="003D53E4">
        <w:rPr>
          <w:spacing w:val="-3"/>
        </w:rPr>
        <w:t>,</w:t>
      </w:r>
      <w:r w:rsidR="00772174" w:rsidRPr="003D53E4">
        <w:rPr>
          <w:spacing w:val="-3"/>
        </w:rPr>
        <w:t xml:space="preserve"> be it</w:t>
      </w:r>
    </w:p>
    <w:p w14:paraId="5990C022" w14:textId="594A2FF4" w:rsidR="003B40DA" w:rsidRPr="003D53E4" w:rsidRDefault="00DB4C46" w:rsidP="002A6299">
      <w:pPr>
        <w:tabs>
          <w:tab w:val="left" w:pos="-720"/>
        </w:tabs>
        <w:suppressAutoHyphens/>
        <w:spacing w:line="480" w:lineRule="auto"/>
        <w:jc w:val="both"/>
        <w:rPr>
          <w:spacing w:val="-3"/>
        </w:rPr>
      </w:pPr>
      <w:r w:rsidRPr="003D53E4">
        <w:rPr>
          <w:spacing w:val="-3"/>
        </w:rPr>
        <w:tab/>
      </w:r>
      <w:r w:rsidR="00772174" w:rsidRPr="003D53E4">
        <w:rPr>
          <w:spacing w:val="-3"/>
        </w:rPr>
        <w:t xml:space="preserve">Resolved, </w:t>
      </w:r>
      <w:r w:rsidR="00772174" w:rsidRPr="00C22CFE">
        <w:rPr>
          <w:spacing w:val="-3"/>
        </w:rPr>
        <w:t>That the Council of the City of New York</w:t>
      </w:r>
      <w:r w:rsidR="00A91FDA" w:rsidRPr="00C22CFE">
        <w:rPr>
          <w:spacing w:val="-3"/>
        </w:rPr>
        <w:t xml:space="preserve"> calls</w:t>
      </w:r>
      <w:r w:rsidR="00772174" w:rsidRPr="003D53E4">
        <w:rPr>
          <w:spacing w:val="-3"/>
        </w:rPr>
        <w:t xml:space="preserve"> </w:t>
      </w:r>
      <w:r w:rsidR="00A91FDA" w:rsidRPr="003D53E4">
        <w:rPr>
          <w:spacing w:val="-3"/>
        </w:rPr>
        <w:t xml:space="preserve">upon the </w:t>
      </w:r>
      <w:r w:rsidRPr="003D53E4">
        <w:rPr>
          <w:spacing w:val="-3"/>
        </w:rPr>
        <w:t>New York State Legislature to pass, and the Governor to sign, S728/A2198 and S836/A1732, and for the Governor to sign S688/A807, which would increase access to pre-exposure prophylaxis and post-exposure prophylaxis.</w:t>
      </w:r>
    </w:p>
    <w:p w14:paraId="01919996" w14:textId="246184EE" w:rsidR="00800BDF" w:rsidRPr="003D53E4" w:rsidRDefault="00800BDF" w:rsidP="007504CB">
      <w:pPr>
        <w:tabs>
          <w:tab w:val="left" w:pos="-720"/>
        </w:tabs>
        <w:suppressAutoHyphens/>
        <w:spacing w:line="480" w:lineRule="auto"/>
      </w:pPr>
    </w:p>
    <w:p w14:paraId="28D5715F" w14:textId="77777777" w:rsidR="00144965" w:rsidRPr="003D53E4" w:rsidRDefault="00144965" w:rsidP="003B40DA">
      <w:pPr>
        <w:jc w:val="both"/>
        <w:rPr>
          <w:sz w:val="18"/>
          <w:szCs w:val="18"/>
          <w:u w:val="single"/>
        </w:rPr>
      </w:pPr>
      <w:r w:rsidRPr="003D53E4">
        <w:rPr>
          <w:sz w:val="18"/>
          <w:szCs w:val="18"/>
          <w:u w:val="single"/>
        </w:rPr>
        <w:t>Session 12</w:t>
      </w:r>
    </w:p>
    <w:p w14:paraId="0809A4DC" w14:textId="21C832E5" w:rsidR="00144965" w:rsidRPr="003D53E4" w:rsidRDefault="00144965" w:rsidP="003B40DA">
      <w:pPr>
        <w:jc w:val="both"/>
        <w:rPr>
          <w:sz w:val="18"/>
          <w:szCs w:val="18"/>
        </w:rPr>
      </w:pPr>
      <w:r w:rsidRPr="003D53E4">
        <w:rPr>
          <w:sz w:val="18"/>
          <w:szCs w:val="18"/>
        </w:rPr>
        <w:t>EB</w:t>
      </w:r>
    </w:p>
    <w:p w14:paraId="18553F87" w14:textId="27ACDA75" w:rsidR="00144965" w:rsidRPr="003D53E4" w:rsidRDefault="00144965" w:rsidP="003B40DA">
      <w:pPr>
        <w:jc w:val="both"/>
        <w:rPr>
          <w:sz w:val="18"/>
          <w:szCs w:val="18"/>
        </w:rPr>
      </w:pPr>
      <w:r w:rsidRPr="003D53E4">
        <w:rPr>
          <w:sz w:val="18"/>
          <w:szCs w:val="18"/>
        </w:rPr>
        <w:t xml:space="preserve">LS </w:t>
      </w:r>
      <w:r w:rsidR="00906724" w:rsidRPr="003D53E4">
        <w:rPr>
          <w:sz w:val="18"/>
          <w:szCs w:val="18"/>
        </w:rPr>
        <w:t>8713</w:t>
      </w:r>
    </w:p>
    <w:p w14:paraId="4C35754D" w14:textId="39DEA276" w:rsidR="003B40DA" w:rsidRPr="003D53E4" w:rsidRDefault="00144965" w:rsidP="00A3324A">
      <w:pPr>
        <w:jc w:val="both"/>
        <w:rPr>
          <w:sz w:val="18"/>
          <w:szCs w:val="18"/>
        </w:rPr>
      </w:pPr>
      <w:r w:rsidRPr="003D53E4">
        <w:rPr>
          <w:sz w:val="18"/>
          <w:szCs w:val="18"/>
        </w:rPr>
        <w:t>0</w:t>
      </w:r>
      <w:r w:rsidR="00906724" w:rsidRPr="003D53E4">
        <w:rPr>
          <w:sz w:val="18"/>
          <w:szCs w:val="18"/>
        </w:rPr>
        <w:t>6.13</w:t>
      </w:r>
      <w:r w:rsidRPr="003D53E4">
        <w:rPr>
          <w:sz w:val="18"/>
          <w:szCs w:val="18"/>
        </w:rPr>
        <w:t>.2022</w:t>
      </w:r>
    </w:p>
    <w:sectPr w:rsidR="003B40DA" w:rsidRPr="003D53E4">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CA13" w14:textId="77777777" w:rsidR="00994825" w:rsidRDefault="00994825" w:rsidP="00273DCB">
      <w:r>
        <w:separator/>
      </w:r>
    </w:p>
  </w:endnote>
  <w:endnote w:type="continuationSeparator" w:id="0">
    <w:p w14:paraId="16053061" w14:textId="77777777" w:rsidR="00994825" w:rsidRDefault="00994825" w:rsidP="0027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8536"/>
      <w:docPartObj>
        <w:docPartGallery w:val="Page Numbers (Bottom of Page)"/>
        <w:docPartUnique/>
      </w:docPartObj>
    </w:sdtPr>
    <w:sdtEndPr>
      <w:rPr>
        <w:noProof/>
      </w:rPr>
    </w:sdtEndPr>
    <w:sdtContent>
      <w:p w14:paraId="1E4DD1C6" w14:textId="77777777" w:rsidR="003B40DA" w:rsidRDefault="003B40D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A7553D3" w14:textId="77777777" w:rsidR="003B40DA" w:rsidRDefault="003B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29B6" w14:textId="77777777" w:rsidR="00994825" w:rsidRDefault="00994825" w:rsidP="00273DCB">
      <w:r>
        <w:separator/>
      </w:r>
    </w:p>
  </w:footnote>
  <w:footnote w:type="continuationSeparator" w:id="0">
    <w:p w14:paraId="380B68B1" w14:textId="77777777" w:rsidR="00994825" w:rsidRDefault="00994825" w:rsidP="0027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5A9"/>
    <w:multiLevelType w:val="multilevel"/>
    <w:tmpl w:val="3B98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3D78"/>
    <w:multiLevelType w:val="multilevel"/>
    <w:tmpl w:val="C64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74"/>
    <w:rsid w:val="00003C71"/>
    <w:rsid w:val="00072FD5"/>
    <w:rsid w:val="000826AD"/>
    <w:rsid w:val="00084C11"/>
    <w:rsid w:val="00087543"/>
    <w:rsid w:val="00091BAE"/>
    <w:rsid w:val="000B18D2"/>
    <w:rsid w:val="000B6C11"/>
    <w:rsid w:val="000B7170"/>
    <w:rsid w:val="000C743F"/>
    <w:rsid w:val="000C7D6B"/>
    <w:rsid w:val="000D6E18"/>
    <w:rsid w:val="00101AD3"/>
    <w:rsid w:val="00117E3D"/>
    <w:rsid w:val="00144965"/>
    <w:rsid w:val="0014709C"/>
    <w:rsid w:val="001646D2"/>
    <w:rsid w:val="0016752A"/>
    <w:rsid w:val="00170520"/>
    <w:rsid w:val="001761B2"/>
    <w:rsid w:val="00180BDA"/>
    <w:rsid w:val="00190234"/>
    <w:rsid w:val="001C5B62"/>
    <w:rsid w:val="001C6245"/>
    <w:rsid w:val="001D187B"/>
    <w:rsid w:val="001D2A9D"/>
    <w:rsid w:val="001E2747"/>
    <w:rsid w:val="001F45EB"/>
    <w:rsid w:val="00210265"/>
    <w:rsid w:val="002136AE"/>
    <w:rsid w:val="00224D93"/>
    <w:rsid w:val="00230206"/>
    <w:rsid w:val="0023642F"/>
    <w:rsid w:val="0025501F"/>
    <w:rsid w:val="00273DCB"/>
    <w:rsid w:val="00273E4E"/>
    <w:rsid w:val="00282C4D"/>
    <w:rsid w:val="002A6299"/>
    <w:rsid w:val="002F16BA"/>
    <w:rsid w:val="002F70B3"/>
    <w:rsid w:val="00310560"/>
    <w:rsid w:val="00314183"/>
    <w:rsid w:val="003409A9"/>
    <w:rsid w:val="0034511C"/>
    <w:rsid w:val="003705A9"/>
    <w:rsid w:val="0037069F"/>
    <w:rsid w:val="00373B45"/>
    <w:rsid w:val="003750AF"/>
    <w:rsid w:val="003A2E17"/>
    <w:rsid w:val="003B40DA"/>
    <w:rsid w:val="003B76DB"/>
    <w:rsid w:val="003D53E4"/>
    <w:rsid w:val="003E736B"/>
    <w:rsid w:val="00432A98"/>
    <w:rsid w:val="004648E5"/>
    <w:rsid w:val="0047070A"/>
    <w:rsid w:val="0047358C"/>
    <w:rsid w:val="004805A0"/>
    <w:rsid w:val="00481E42"/>
    <w:rsid w:val="00491222"/>
    <w:rsid w:val="004D385C"/>
    <w:rsid w:val="004D61D8"/>
    <w:rsid w:val="004E079E"/>
    <w:rsid w:val="004E4AEF"/>
    <w:rsid w:val="004F2A2E"/>
    <w:rsid w:val="004F4167"/>
    <w:rsid w:val="00505968"/>
    <w:rsid w:val="00507B64"/>
    <w:rsid w:val="00522B6B"/>
    <w:rsid w:val="005347E4"/>
    <w:rsid w:val="005443C3"/>
    <w:rsid w:val="005444B4"/>
    <w:rsid w:val="00553100"/>
    <w:rsid w:val="00590C97"/>
    <w:rsid w:val="0059686F"/>
    <w:rsid w:val="005B2004"/>
    <w:rsid w:val="005B7C58"/>
    <w:rsid w:val="005C21CB"/>
    <w:rsid w:val="005C56B9"/>
    <w:rsid w:val="005E3521"/>
    <w:rsid w:val="005E4143"/>
    <w:rsid w:val="005F62F3"/>
    <w:rsid w:val="00612BD6"/>
    <w:rsid w:val="00620CE0"/>
    <w:rsid w:val="0062218D"/>
    <w:rsid w:val="006242E7"/>
    <w:rsid w:val="006259FB"/>
    <w:rsid w:val="00644288"/>
    <w:rsid w:val="00647E37"/>
    <w:rsid w:val="00650599"/>
    <w:rsid w:val="00660B5B"/>
    <w:rsid w:val="0066552B"/>
    <w:rsid w:val="00672CEF"/>
    <w:rsid w:val="00675DAE"/>
    <w:rsid w:val="00690514"/>
    <w:rsid w:val="00695050"/>
    <w:rsid w:val="006954B0"/>
    <w:rsid w:val="006A3495"/>
    <w:rsid w:val="006B458E"/>
    <w:rsid w:val="006C09E3"/>
    <w:rsid w:val="006C13C8"/>
    <w:rsid w:val="006D65D4"/>
    <w:rsid w:val="00714259"/>
    <w:rsid w:val="00724F5A"/>
    <w:rsid w:val="007274EC"/>
    <w:rsid w:val="00735207"/>
    <w:rsid w:val="007504CB"/>
    <w:rsid w:val="00755451"/>
    <w:rsid w:val="00760DC8"/>
    <w:rsid w:val="0077203F"/>
    <w:rsid w:val="00772174"/>
    <w:rsid w:val="00783B94"/>
    <w:rsid w:val="0079592F"/>
    <w:rsid w:val="007B5013"/>
    <w:rsid w:val="007D4643"/>
    <w:rsid w:val="007E07F6"/>
    <w:rsid w:val="007E1DEC"/>
    <w:rsid w:val="00800BDF"/>
    <w:rsid w:val="00810303"/>
    <w:rsid w:val="008124F6"/>
    <w:rsid w:val="00832851"/>
    <w:rsid w:val="008662C1"/>
    <w:rsid w:val="00877F8A"/>
    <w:rsid w:val="008800CE"/>
    <w:rsid w:val="00880546"/>
    <w:rsid w:val="008A3F66"/>
    <w:rsid w:val="008C0CCE"/>
    <w:rsid w:val="008C0FDD"/>
    <w:rsid w:val="008C1778"/>
    <w:rsid w:val="008D278C"/>
    <w:rsid w:val="008F476D"/>
    <w:rsid w:val="0090603E"/>
    <w:rsid w:val="00906724"/>
    <w:rsid w:val="00906CDC"/>
    <w:rsid w:val="00916D9D"/>
    <w:rsid w:val="00917F6B"/>
    <w:rsid w:val="00926CEE"/>
    <w:rsid w:val="00941EEE"/>
    <w:rsid w:val="00942475"/>
    <w:rsid w:val="00956CEF"/>
    <w:rsid w:val="00994825"/>
    <w:rsid w:val="009B53E8"/>
    <w:rsid w:val="009C23B3"/>
    <w:rsid w:val="009D0F67"/>
    <w:rsid w:val="009E291A"/>
    <w:rsid w:val="00A073C2"/>
    <w:rsid w:val="00A23F81"/>
    <w:rsid w:val="00A3324A"/>
    <w:rsid w:val="00A40B4C"/>
    <w:rsid w:val="00A44308"/>
    <w:rsid w:val="00A4656D"/>
    <w:rsid w:val="00A534DB"/>
    <w:rsid w:val="00A619D7"/>
    <w:rsid w:val="00A86D5C"/>
    <w:rsid w:val="00A912B5"/>
    <w:rsid w:val="00A91FDA"/>
    <w:rsid w:val="00AA295D"/>
    <w:rsid w:val="00AC3E08"/>
    <w:rsid w:val="00AC5628"/>
    <w:rsid w:val="00AD4F83"/>
    <w:rsid w:val="00AF586D"/>
    <w:rsid w:val="00B008AB"/>
    <w:rsid w:val="00B019CF"/>
    <w:rsid w:val="00B156F4"/>
    <w:rsid w:val="00B2592E"/>
    <w:rsid w:val="00B404DB"/>
    <w:rsid w:val="00B407C2"/>
    <w:rsid w:val="00B5003E"/>
    <w:rsid w:val="00B54BD9"/>
    <w:rsid w:val="00B60F07"/>
    <w:rsid w:val="00B6407E"/>
    <w:rsid w:val="00B83EDD"/>
    <w:rsid w:val="00BB3B66"/>
    <w:rsid w:val="00BB5386"/>
    <w:rsid w:val="00BC0095"/>
    <w:rsid w:val="00BC361B"/>
    <w:rsid w:val="00BD150A"/>
    <w:rsid w:val="00BE13FE"/>
    <w:rsid w:val="00BE50BC"/>
    <w:rsid w:val="00C147D9"/>
    <w:rsid w:val="00C165FF"/>
    <w:rsid w:val="00C22CFE"/>
    <w:rsid w:val="00C26722"/>
    <w:rsid w:val="00C26AA9"/>
    <w:rsid w:val="00CA3E25"/>
    <w:rsid w:val="00CB5A5F"/>
    <w:rsid w:val="00CC285D"/>
    <w:rsid w:val="00CC3483"/>
    <w:rsid w:val="00CD4629"/>
    <w:rsid w:val="00CF56DA"/>
    <w:rsid w:val="00D04996"/>
    <w:rsid w:val="00D07B9F"/>
    <w:rsid w:val="00D10C0A"/>
    <w:rsid w:val="00D36B12"/>
    <w:rsid w:val="00D66A67"/>
    <w:rsid w:val="00D8317D"/>
    <w:rsid w:val="00D83BD1"/>
    <w:rsid w:val="00D84562"/>
    <w:rsid w:val="00D87931"/>
    <w:rsid w:val="00DA0AE5"/>
    <w:rsid w:val="00DA1E90"/>
    <w:rsid w:val="00DB4C46"/>
    <w:rsid w:val="00DB7658"/>
    <w:rsid w:val="00DC3C10"/>
    <w:rsid w:val="00DC4AE4"/>
    <w:rsid w:val="00DD006B"/>
    <w:rsid w:val="00E0664E"/>
    <w:rsid w:val="00E15C63"/>
    <w:rsid w:val="00E23826"/>
    <w:rsid w:val="00E3341C"/>
    <w:rsid w:val="00E36954"/>
    <w:rsid w:val="00E42DA6"/>
    <w:rsid w:val="00E6130D"/>
    <w:rsid w:val="00E93E3E"/>
    <w:rsid w:val="00E95DC1"/>
    <w:rsid w:val="00EA032C"/>
    <w:rsid w:val="00EA54C1"/>
    <w:rsid w:val="00EB2F51"/>
    <w:rsid w:val="00EB5C45"/>
    <w:rsid w:val="00EC35A0"/>
    <w:rsid w:val="00EC60FD"/>
    <w:rsid w:val="00F01F78"/>
    <w:rsid w:val="00F25CA3"/>
    <w:rsid w:val="00F4019C"/>
    <w:rsid w:val="00F51F99"/>
    <w:rsid w:val="00F6080A"/>
    <w:rsid w:val="00F63973"/>
    <w:rsid w:val="00F71CDE"/>
    <w:rsid w:val="00F74E59"/>
    <w:rsid w:val="00F82A3E"/>
    <w:rsid w:val="00F94CFC"/>
    <w:rsid w:val="00F96D7E"/>
    <w:rsid w:val="00FA2CEB"/>
    <w:rsid w:val="00FA4911"/>
    <w:rsid w:val="00FB1B31"/>
    <w:rsid w:val="00FE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A0A"/>
  <w15:chartTrackingRefBased/>
  <w15:docId w15:val="{E476C7C5-F7B7-4A0C-8355-976E1869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4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352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3DCB"/>
    <w:pPr>
      <w:ind w:firstLine="720"/>
    </w:pPr>
    <w:rPr>
      <w:sz w:val="20"/>
      <w:szCs w:val="20"/>
    </w:rPr>
  </w:style>
  <w:style w:type="character" w:customStyle="1" w:styleId="FootnoteTextChar">
    <w:name w:val="Footnote Text Char"/>
    <w:basedOn w:val="DefaultParagraphFont"/>
    <w:link w:val="FootnoteText"/>
    <w:uiPriority w:val="99"/>
    <w:semiHidden/>
    <w:rsid w:val="00273D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DCB"/>
    <w:rPr>
      <w:vertAlign w:val="superscript"/>
    </w:rPr>
  </w:style>
  <w:style w:type="character" w:styleId="Hyperlink">
    <w:name w:val="Hyperlink"/>
    <w:basedOn w:val="DefaultParagraphFont"/>
    <w:uiPriority w:val="99"/>
    <w:unhideWhenUsed/>
    <w:rsid w:val="00273DCB"/>
    <w:rPr>
      <w:color w:val="0000FF"/>
      <w:u w:val="single"/>
    </w:rPr>
  </w:style>
  <w:style w:type="paragraph" w:styleId="BalloonText">
    <w:name w:val="Balloon Text"/>
    <w:basedOn w:val="Normal"/>
    <w:link w:val="BalloonTextChar"/>
    <w:uiPriority w:val="99"/>
    <w:semiHidden/>
    <w:unhideWhenUsed/>
    <w:rsid w:val="0025501F"/>
    <w:pPr>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0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6B9"/>
    <w:rPr>
      <w:sz w:val="16"/>
      <w:szCs w:val="16"/>
    </w:rPr>
  </w:style>
  <w:style w:type="paragraph" w:styleId="CommentText">
    <w:name w:val="annotation text"/>
    <w:basedOn w:val="Normal"/>
    <w:link w:val="CommentTextChar"/>
    <w:uiPriority w:val="99"/>
    <w:unhideWhenUsed/>
    <w:rsid w:val="005C56B9"/>
    <w:pPr>
      <w:ind w:firstLine="720"/>
    </w:pPr>
    <w:rPr>
      <w:sz w:val="20"/>
      <w:szCs w:val="20"/>
    </w:rPr>
  </w:style>
  <w:style w:type="character" w:customStyle="1" w:styleId="CommentTextChar">
    <w:name w:val="Comment Text Char"/>
    <w:basedOn w:val="DefaultParagraphFont"/>
    <w:link w:val="CommentText"/>
    <w:uiPriority w:val="99"/>
    <w:rsid w:val="005C56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6B9"/>
    <w:rPr>
      <w:b/>
      <w:bCs/>
    </w:rPr>
  </w:style>
  <w:style w:type="character" w:customStyle="1" w:styleId="CommentSubjectChar">
    <w:name w:val="Comment Subject Char"/>
    <w:basedOn w:val="CommentTextChar"/>
    <w:link w:val="CommentSubject"/>
    <w:uiPriority w:val="99"/>
    <w:semiHidden/>
    <w:rsid w:val="005C56B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443C3"/>
    <w:rPr>
      <w:color w:val="954F72" w:themeColor="followedHyperlink"/>
      <w:u w:val="single"/>
    </w:rPr>
  </w:style>
  <w:style w:type="paragraph" w:styleId="Footer">
    <w:name w:val="footer"/>
    <w:basedOn w:val="Normal"/>
    <w:link w:val="FooterChar"/>
    <w:uiPriority w:val="99"/>
    <w:rsid w:val="003B40DA"/>
    <w:pPr>
      <w:tabs>
        <w:tab w:val="center" w:pos="4320"/>
        <w:tab w:val="right" w:pos="8640"/>
      </w:tabs>
      <w:ind w:firstLine="720"/>
    </w:pPr>
  </w:style>
  <w:style w:type="character" w:customStyle="1" w:styleId="FooterChar">
    <w:name w:val="Footer Char"/>
    <w:basedOn w:val="DefaultParagraphFont"/>
    <w:link w:val="Footer"/>
    <w:uiPriority w:val="99"/>
    <w:rsid w:val="003B40DA"/>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F51"/>
    <w:pPr>
      <w:spacing w:before="100" w:beforeAutospacing="1" w:after="100" w:afterAutospacing="1"/>
    </w:pPr>
  </w:style>
  <w:style w:type="character" w:customStyle="1" w:styleId="Heading3Char">
    <w:name w:val="Heading 3 Char"/>
    <w:basedOn w:val="DefaultParagraphFont"/>
    <w:link w:val="Heading3"/>
    <w:uiPriority w:val="9"/>
    <w:rsid w:val="00735207"/>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507B6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7B64"/>
    <w:rPr>
      <w:rFonts w:ascii="Consolas" w:eastAsia="Times New Roman" w:hAnsi="Consolas" w:cs="Consolas"/>
      <w:sz w:val="20"/>
      <w:szCs w:val="20"/>
    </w:rPr>
  </w:style>
  <w:style w:type="paragraph" w:styleId="ListParagraph">
    <w:name w:val="List Paragraph"/>
    <w:basedOn w:val="Normal"/>
    <w:uiPriority w:val="34"/>
    <w:qFormat/>
    <w:rsid w:val="00D8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130">
      <w:bodyDiv w:val="1"/>
      <w:marLeft w:val="0"/>
      <w:marRight w:val="0"/>
      <w:marTop w:val="0"/>
      <w:marBottom w:val="0"/>
      <w:divBdr>
        <w:top w:val="none" w:sz="0" w:space="0" w:color="auto"/>
        <w:left w:val="none" w:sz="0" w:space="0" w:color="auto"/>
        <w:bottom w:val="none" w:sz="0" w:space="0" w:color="auto"/>
        <w:right w:val="none" w:sz="0" w:space="0" w:color="auto"/>
      </w:divBdr>
    </w:div>
    <w:div w:id="191697036">
      <w:bodyDiv w:val="1"/>
      <w:marLeft w:val="0"/>
      <w:marRight w:val="0"/>
      <w:marTop w:val="0"/>
      <w:marBottom w:val="0"/>
      <w:divBdr>
        <w:top w:val="none" w:sz="0" w:space="0" w:color="auto"/>
        <w:left w:val="none" w:sz="0" w:space="0" w:color="auto"/>
        <w:bottom w:val="none" w:sz="0" w:space="0" w:color="auto"/>
        <w:right w:val="none" w:sz="0" w:space="0" w:color="auto"/>
      </w:divBdr>
    </w:div>
    <w:div w:id="194542449">
      <w:bodyDiv w:val="1"/>
      <w:marLeft w:val="0"/>
      <w:marRight w:val="0"/>
      <w:marTop w:val="0"/>
      <w:marBottom w:val="0"/>
      <w:divBdr>
        <w:top w:val="none" w:sz="0" w:space="0" w:color="auto"/>
        <w:left w:val="none" w:sz="0" w:space="0" w:color="auto"/>
        <w:bottom w:val="none" w:sz="0" w:space="0" w:color="auto"/>
        <w:right w:val="none" w:sz="0" w:space="0" w:color="auto"/>
      </w:divBdr>
    </w:div>
    <w:div w:id="272637280">
      <w:bodyDiv w:val="1"/>
      <w:marLeft w:val="0"/>
      <w:marRight w:val="0"/>
      <w:marTop w:val="0"/>
      <w:marBottom w:val="0"/>
      <w:divBdr>
        <w:top w:val="none" w:sz="0" w:space="0" w:color="auto"/>
        <w:left w:val="none" w:sz="0" w:space="0" w:color="auto"/>
        <w:bottom w:val="none" w:sz="0" w:space="0" w:color="auto"/>
        <w:right w:val="none" w:sz="0" w:space="0" w:color="auto"/>
      </w:divBdr>
    </w:div>
    <w:div w:id="479150399">
      <w:bodyDiv w:val="1"/>
      <w:marLeft w:val="0"/>
      <w:marRight w:val="0"/>
      <w:marTop w:val="0"/>
      <w:marBottom w:val="0"/>
      <w:divBdr>
        <w:top w:val="none" w:sz="0" w:space="0" w:color="auto"/>
        <w:left w:val="none" w:sz="0" w:space="0" w:color="auto"/>
        <w:bottom w:val="none" w:sz="0" w:space="0" w:color="auto"/>
        <w:right w:val="none" w:sz="0" w:space="0" w:color="auto"/>
      </w:divBdr>
    </w:div>
    <w:div w:id="576131518">
      <w:bodyDiv w:val="1"/>
      <w:marLeft w:val="0"/>
      <w:marRight w:val="0"/>
      <w:marTop w:val="0"/>
      <w:marBottom w:val="0"/>
      <w:divBdr>
        <w:top w:val="none" w:sz="0" w:space="0" w:color="auto"/>
        <w:left w:val="none" w:sz="0" w:space="0" w:color="auto"/>
        <w:bottom w:val="none" w:sz="0" w:space="0" w:color="auto"/>
        <w:right w:val="none" w:sz="0" w:space="0" w:color="auto"/>
      </w:divBdr>
    </w:div>
    <w:div w:id="640236221">
      <w:bodyDiv w:val="1"/>
      <w:marLeft w:val="0"/>
      <w:marRight w:val="0"/>
      <w:marTop w:val="0"/>
      <w:marBottom w:val="0"/>
      <w:divBdr>
        <w:top w:val="none" w:sz="0" w:space="0" w:color="auto"/>
        <w:left w:val="none" w:sz="0" w:space="0" w:color="auto"/>
        <w:bottom w:val="none" w:sz="0" w:space="0" w:color="auto"/>
        <w:right w:val="none" w:sz="0" w:space="0" w:color="auto"/>
      </w:divBdr>
    </w:div>
    <w:div w:id="714819667">
      <w:bodyDiv w:val="1"/>
      <w:marLeft w:val="0"/>
      <w:marRight w:val="0"/>
      <w:marTop w:val="0"/>
      <w:marBottom w:val="0"/>
      <w:divBdr>
        <w:top w:val="none" w:sz="0" w:space="0" w:color="auto"/>
        <w:left w:val="none" w:sz="0" w:space="0" w:color="auto"/>
        <w:bottom w:val="none" w:sz="0" w:space="0" w:color="auto"/>
        <w:right w:val="none" w:sz="0" w:space="0" w:color="auto"/>
      </w:divBdr>
    </w:div>
    <w:div w:id="714888255">
      <w:bodyDiv w:val="1"/>
      <w:marLeft w:val="0"/>
      <w:marRight w:val="0"/>
      <w:marTop w:val="0"/>
      <w:marBottom w:val="0"/>
      <w:divBdr>
        <w:top w:val="none" w:sz="0" w:space="0" w:color="auto"/>
        <w:left w:val="none" w:sz="0" w:space="0" w:color="auto"/>
        <w:bottom w:val="none" w:sz="0" w:space="0" w:color="auto"/>
        <w:right w:val="none" w:sz="0" w:space="0" w:color="auto"/>
      </w:divBdr>
    </w:div>
    <w:div w:id="780220545">
      <w:bodyDiv w:val="1"/>
      <w:marLeft w:val="0"/>
      <w:marRight w:val="0"/>
      <w:marTop w:val="0"/>
      <w:marBottom w:val="0"/>
      <w:divBdr>
        <w:top w:val="none" w:sz="0" w:space="0" w:color="auto"/>
        <w:left w:val="none" w:sz="0" w:space="0" w:color="auto"/>
        <w:bottom w:val="none" w:sz="0" w:space="0" w:color="auto"/>
        <w:right w:val="none" w:sz="0" w:space="0" w:color="auto"/>
      </w:divBdr>
    </w:div>
    <w:div w:id="1040785450">
      <w:bodyDiv w:val="1"/>
      <w:marLeft w:val="0"/>
      <w:marRight w:val="0"/>
      <w:marTop w:val="0"/>
      <w:marBottom w:val="0"/>
      <w:divBdr>
        <w:top w:val="none" w:sz="0" w:space="0" w:color="auto"/>
        <w:left w:val="none" w:sz="0" w:space="0" w:color="auto"/>
        <w:bottom w:val="none" w:sz="0" w:space="0" w:color="auto"/>
        <w:right w:val="none" w:sz="0" w:space="0" w:color="auto"/>
      </w:divBdr>
    </w:div>
    <w:div w:id="1208761954">
      <w:bodyDiv w:val="1"/>
      <w:marLeft w:val="0"/>
      <w:marRight w:val="0"/>
      <w:marTop w:val="0"/>
      <w:marBottom w:val="0"/>
      <w:divBdr>
        <w:top w:val="none" w:sz="0" w:space="0" w:color="auto"/>
        <w:left w:val="none" w:sz="0" w:space="0" w:color="auto"/>
        <w:bottom w:val="none" w:sz="0" w:space="0" w:color="auto"/>
        <w:right w:val="none" w:sz="0" w:space="0" w:color="auto"/>
      </w:divBdr>
    </w:div>
    <w:div w:id="1263949250">
      <w:bodyDiv w:val="1"/>
      <w:marLeft w:val="0"/>
      <w:marRight w:val="0"/>
      <w:marTop w:val="0"/>
      <w:marBottom w:val="0"/>
      <w:divBdr>
        <w:top w:val="none" w:sz="0" w:space="0" w:color="auto"/>
        <w:left w:val="none" w:sz="0" w:space="0" w:color="auto"/>
        <w:bottom w:val="none" w:sz="0" w:space="0" w:color="auto"/>
        <w:right w:val="none" w:sz="0" w:space="0" w:color="auto"/>
      </w:divBdr>
    </w:div>
    <w:div w:id="1375737242">
      <w:bodyDiv w:val="1"/>
      <w:marLeft w:val="0"/>
      <w:marRight w:val="0"/>
      <w:marTop w:val="0"/>
      <w:marBottom w:val="0"/>
      <w:divBdr>
        <w:top w:val="none" w:sz="0" w:space="0" w:color="auto"/>
        <w:left w:val="none" w:sz="0" w:space="0" w:color="auto"/>
        <w:bottom w:val="none" w:sz="0" w:space="0" w:color="auto"/>
        <w:right w:val="none" w:sz="0" w:space="0" w:color="auto"/>
      </w:divBdr>
    </w:div>
    <w:div w:id="1526288797">
      <w:bodyDiv w:val="1"/>
      <w:marLeft w:val="0"/>
      <w:marRight w:val="0"/>
      <w:marTop w:val="0"/>
      <w:marBottom w:val="0"/>
      <w:divBdr>
        <w:top w:val="none" w:sz="0" w:space="0" w:color="auto"/>
        <w:left w:val="none" w:sz="0" w:space="0" w:color="auto"/>
        <w:bottom w:val="none" w:sz="0" w:space="0" w:color="auto"/>
        <w:right w:val="none" w:sz="0" w:space="0" w:color="auto"/>
      </w:divBdr>
    </w:div>
    <w:div w:id="1528331249">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633748567">
      <w:bodyDiv w:val="1"/>
      <w:marLeft w:val="0"/>
      <w:marRight w:val="0"/>
      <w:marTop w:val="0"/>
      <w:marBottom w:val="0"/>
      <w:divBdr>
        <w:top w:val="none" w:sz="0" w:space="0" w:color="auto"/>
        <w:left w:val="none" w:sz="0" w:space="0" w:color="auto"/>
        <w:bottom w:val="none" w:sz="0" w:space="0" w:color="auto"/>
        <w:right w:val="none" w:sz="0" w:space="0" w:color="auto"/>
      </w:divBdr>
    </w:div>
    <w:div w:id="1666859732">
      <w:bodyDiv w:val="1"/>
      <w:marLeft w:val="0"/>
      <w:marRight w:val="0"/>
      <w:marTop w:val="0"/>
      <w:marBottom w:val="0"/>
      <w:divBdr>
        <w:top w:val="none" w:sz="0" w:space="0" w:color="auto"/>
        <w:left w:val="none" w:sz="0" w:space="0" w:color="auto"/>
        <w:bottom w:val="none" w:sz="0" w:space="0" w:color="auto"/>
        <w:right w:val="none" w:sz="0" w:space="0" w:color="auto"/>
      </w:divBdr>
    </w:div>
    <w:div w:id="21035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C996-3ABA-4FA9-82E4-C406F44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Saltzman, Charlotte</dc:creator>
  <cp:keywords/>
  <dc:description/>
  <cp:lastModifiedBy>Martin, William</cp:lastModifiedBy>
  <cp:revision>34</cp:revision>
  <cp:lastPrinted>2019-07-29T14:35:00Z</cp:lastPrinted>
  <dcterms:created xsi:type="dcterms:W3CDTF">2022-06-21T14:42:00Z</dcterms:created>
  <dcterms:modified xsi:type="dcterms:W3CDTF">2023-11-17T16:58:00Z</dcterms:modified>
</cp:coreProperties>
</file>