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F6" w:rsidRPr="00126DA0" w:rsidRDefault="00E201F6" w:rsidP="00E201F6">
      <w:pPr>
        <w:jc w:val="right"/>
        <w:rPr>
          <w:u w:val="single"/>
        </w:rPr>
      </w:pPr>
      <w:bookmarkStart w:id="0" w:name="_GoBack"/>
      <w:bookmarkEnd w:id="0"/>
      <w:r w:rsidRPr="00126DA0">
        <w:rPr>
          <w:u w:val="single"/>
        </w:rPr>
        <w:t>Committee on Mental Health, Disabilities</w:t>
      </w:r>
      <w:r w:rsidR="00AA6EED">
        <w:rPr>
          <w:u w:val="single"/>
        </w:rPr>
        <w:t>,</w:t>
      </w:r>
      <w:r w:rsidRPr="00126DA0">
        <w:rPr>
          <w:u w:val="single"/>
        </w:rPr>
        <w:t xml:space="preserve"> and Addiction</w:t>
      </w:r>
    </w:p>
    <w:p w:rsidR="00E201F6" w:rsidRPr="00126DA0" w:rsidRDefault="00AA38FD" w:rsidP="00E201F6">
      <w:pPr>
        <w:jc w:val="right"/>
      </w:pPr>
      <w:r>
        <w:t>Sara Sucher,</w:t>
      </w:r>
      <w:r w:rsidR="00E201F6" w:rsidRPr="00126DA0">
        <w:t xml:space="preserve"> </w:t>
      </w:r>
      <w:r w:rsidR="00655D30">
        <w:rPr>
          <w:i/>
        </w:rPr>
        <w:t>Legislative</w:t>
      </w:r>
      <w:r>
        <w:rPr>
          <w:i/>
        </w:rPr>
        <w:t xml:space="preserve"> Counsel</w:t>
      </w:r>
    </w:p>
    <w:p w:rsidR="00E201F6" w:rsidRDefault="00E201F6" w:rsidP="00E201F6">
      <w:pPr>
        <w:tabs>
          <w:tab w:val="left" w:pos="0"/>
        </w:tabs>
        <w:jc w:val="right"/>
        <w:rPr>
          <w:i/>
        </w:rPr>
      </w:pPr>
      <w:r w:rsidRPr="00126DA0">
        <w:t xml:space="preserve">Cristy Dwyer, </w:t>
      </w:r>
      <w:r w:rsidR="00AA38FD" w:rsidRPr="00AA38FD">
        <w:rPr>
          <w:i/>
        </w:rPr>
        <w:t>Senior</w:t>
      </w:r>
      <w:r w:rsidR="00AA38FD">
        <w:t xml:space="preserve"> </w:t>
      </w:r>
      <w:r w:rsidRPr="00126DA0">
        <w:rPr>
          <w:i/>
        </w:rPr>
        <w:t>Legislative Policy Analyst</w:t>
      </w:r>
    </w:p>
    <w:p w:rsidR="00753BE7" w:rsidRDefault="00753BE7" w:rsidP="00E201F6">
      <w:pPr>
        <w:tabs>
          <w:tab w:val="left" w:pos="0"/>
        </w:tabs>
        <w:jc w:val="right"/>
        <w:rPr>
          <w:i/>
        </w:rPr>
      </w:pPr>
      <w:r>
        <w:t xml:space="preserve">Danielle Glants, </w:t>
      </w:r>
      <w:r w:rsidRPr="00753BE7">
        <w:rPr>
          <w:i/>
        </w:rPr>
        <w:t>Finance Analyst</w:t>
      </w:r>
    </w:p>
    <w:p w:rsidR="00E201F6" w:rsidRPr="007C4428" w:rsidRDefault="00967C8E" w:rsidP="007C4428">
      <w:pPr>
        <w:tabs>
          <w:tab w:val="left" w:pos="0"/>
        </w:tabs>
        <w:jc w:val="right"/>
        <w:rPr>
          <w:i/>
        </w:rPr>
      </w:pPr>
      <w:r w:rsidRPr="00967C8E">
        <w:t>Melissa Nunez</w:t>
      </w:r>
      <w:r>
        <w:rPr>
          <w:i/>
        </w:rPr>
        <w:t>, Data Scientist</w:t>
      </w:r>
    </w:p>
    <w:p w:rsidR="00E201F6" w:rsidRPr="00126DA0" w:rsidRDefault="00E201F6" w:rsidP="00E201F6">
      <w:pPr>
        <w:tabs>
          <w:tab w:val="left" w:pos="0"/>
        </w:tabs>
        <w:jc w:val="right"/>
      </w:pPr>
    </w:p>
    <w:p w:rsidR="00E201F6" w:rsidRPr="00126DA0" w:rsidRDefault="00E201F6" w:rsidP="00E201F6">
      <w:pPr>
        <w:tabs>
          <w:tab w:val="left" w:pos="0"/>
        </w:tabs>
        <w:jc w:val="right"/>
        <w:rPr>
          <w:i/>
        </w:rPr>
      </w:pPr>
    </w:p>
    <w:p w:rsidR="00E201F6" w:rsidRPr="00126DA0" w:rsidRDefault="007C4428" w:rsidP="007C4428">
      <w:pPr>
        <w:tabs>
          <w:tab w:val="left" w:pos="0"/>
        </w:tabs>
        <w:jc w:val="center"/>
      </w:pPr>
      <w:r w:rsidRPr="00126DA0">
        <w:rPr>
          <w:noProof/>
        </w:rPr>
        <w:drawing>
          <wp:inline distT="0" distB="0" distL="0" distR="0" wp14:anchorId="03D9A0D3" wp14:editId="4EFB7127">
            <wp:extent cx="1171575" cy="1095375"/>
            <wp:effectExtent l="0" t="0" r="0" b="0"/>
            <wp:docPr id="18103653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71575" cy="1095375"/>
                    </a:xfrm>
                    <a:prstGeom prst="rect">
                      <a:avLst/>
                    </a:prstGeom>
                  </pic:spPr>
                </pic:pic>
              </a:graphicData>
            </a:graphic>
          </wp:inline>
        </w:drawing>
      </w:r>
    </w:p>
    <w:p w:rsidR="00E201F6" w:rsidRPr="00126DA0" w:rsidRDefault="00E201F6" w:rsidP="00E201F6">
      <w:pPr>
        <w:tabs>
          <w:tab w:val="left" w:pos="7517"/>
        </w:tabs>
        <w:jc w:val="center"/>
      </w:pPr>
    </w:p>
    <w:p w:rsidR="00E201F6" w:rsidRPr="00126DA0" w:rsidRDefault="00E201F6" w:rsidP="00E201F6">
      <w:pPr>
        <w:pStyle w:val="Heading2"/>
        <w:rPr>
          <w:bCs w:val="0"/>
          <w:u w:val="none"/>
        </w:rPr>
      </w:pPr>
    </w:p>
    <w:p w:rsidR="00E201F6" w:rsidRPr="00126DA0" w:rsidRDefault="00E201F6" w:rsidP="00E201F6">
      <w:pPr>
        <w:keepNext/>
        <w:jc w:val="center"/>
        <w:outlineLvl w:val="1"/>
        <w:rPr>
          <w:b/>
          <w:iCs/>
          <w:smallCaps/>
        </w:rPr>
      </w:pPr>
      <w:r w:rsidRPr="00126DA0">
        <w:rPr>
          <w:b/>
          <w:iCs/>
          <w:smallCaps/>
        </w:rPr>
        <w:t>The Council of the City of New York</w:t>
      </w:r>
    </w:p>
    <w:p w:rsidR="00E201F6" w:rsidRPr="00126DA0" w:rsidRDefault="002F29C7" w:rsidP="00E201F6">
      <w:pPr>
        <w:pStyle w:val="Heading1"/>
        <w:jc w:val="center"/>
        <w:rPr>
          <w:rFonts w:ascii="Times New Roman" w:hAnsi="Times New Roman"/>
          <w:b w:val="0"/>
          <w:bCs w:val="0"/>
          <w:i/>
          <w:iCs/>
          <w:caps/>
          <w:color w:val="auto"/>
          <w:sz w:val="24"/>
          <w:szCs w:val="24"/>
          <w:u w:val="single"/>
        </w:rPr>
      </w:pPr>
      <w:r>
        <w:rPr>
          <w:rFonts w:ascii="Times New Roman" w:hAnsi="Times New Roman"/>
          <w:caps/>
          <w:color w:val="auto"/>
          <w:sz w:val="24"/>
          <w:szCs w:val="24"/>
          <w:u w:val="single"/>
        </w:rPr>
        <w:t>COMMITTEE REPORT</w:t>
      </w:r>
      <w:r w:rsidR="00E201F6" w:rsidRPr="00126DA0">
        <w:rPr>
          <w:rFonts w:ascii="Times New Roman" w:hAnsi="Times New Roman"/>
          <w:caps/>
          <w:color w:val="auto"/>
          <w:sz w:val="24"/>
          <w:szCs w:val="24"/>
          <w:u w:val="single"/>
        </w:rPr>
        <w:t xml:space="preserve"> OF THE </w:t>
      </w:r>
      <w:r w:rsidR="00D76E1C">
        <w:rPr>
          <w:rFonts w:ascii="Times New Roman" w:hAnsi="Times New Roman"/>
          <w:caps/>
          <w:color w:val="auto"/>
          <w:sz w:val="24"/>
          <w:szCs w:val="24"/>
          <w:u w:val="single"/>
        </w:rPr>
        <w:t xml:space="preserve">LEGISLATIVE </w:t>
      </w:r>
      <w:r w:rsidR="00E201F6" w:rsidRPr="00126DA0">
        <w:rPr>
          <w:rFonts w:ascii="Times New Roman" w:hAnsi="Times New Roman"/>
          <w:caps/>
          <w:color w:val="auto"/>
          <w:sz w:val="24"/>
          <w:szCs w:val="24"/>
          <w:u w:val="single"/>
        </w:rPr>
        <w:t>Division</w:t>
      </w:r>
    </w:p>
    <w:p w:rsidR="00E201F6" w:rsidRPr="00126DA0" w:rsidRDefault="00E201F6" w:rsidP="00E201F6">
      <w:pPr>
        <w:jc w:val="center"/>
        <w:rPr>
          <w:i/>
        </w:rPr>
      </w:pPr>
      <w:r w:rsidRPr="00126DA0">
        <w:rPr>
          <w:i/>
        </w:rPr>
        <w:t xml:space="preserve">Andrea Vazquez, Director </w:t>
      </w:r>
    </w:p>
    <w:p w:rsidR="00E201F6" w:rsidRPr="00126DA0" w:rsidRDefault="00E201F6" w:rsidP="00E201F6">
      <w:pPr>
        <w:jc w:val="center"/>
        <w:rPr>
          <w:i/>
        </w:rPr>
      </w:pPr>
      <w:r w:rsidRPr="00126DA0">
        <w:rPr>
          <w:i/>
        </w:rPr>
        <w:t>Smita Deshmukh, Deputy Director</w:t>
      </w:r>
      <w:r w:rsidR="00D76E1C">
        <w:rPr>
          <w:i/>
        </w:rPr>
        <w:t>, Human Services</w:t>
      </w:r>
    </w:p>
    <w:p w:rsidR="00E201F6" w:rsidRPr="00126DA0" w:rsidRDefault="00E201F6" w:rsidP="00E201F6">
      <w:pPr>
        <w:jc w:val="center"/>
        <w:rPr>
          <w:b/>
          <w:u w:val="single"/>
        </w:rPr>
      </w:pPr>
    </w:p>
    <w:p w:rsidR="00E201F6" w:rsidRPr="00126DA0" w:rsidRDefault="00E201F6" w:rsidP="00E201F6">
      <w:pPr>
        <w:pStyle w:val="FootnoteText"/>
        <w:jc w:val="center"/>
        <w:rPr>
          <w:sz w:val="24"/>
          <w:szCs w:val="24"/>
        </w:rPr>
      </w:pPr>
      <w:r w:rsidRPr="00126DA0">
        <w:rPr>
          <w:b/>
          <w:sz w:val="24"/>
          <w:szCs w:val="24"/>
          <w:u w:val="single"/>
        </w:rPr>
        <w:t>COMMITTEE ON MENTAL HEALTH, DISABILITIES</w:t>
      </w:r>
      <w:r w:rsidR="00AA6EED">
        <w:rPr>
          <w:b/>
          <w:sz w:val="24"/>
          <w:szCs w:val="24"/>
          <w:u w:val="single"/>
        </w:rPr>
        <w:t>,</w:t>
      </w:r>
      <w:r w:rsidRPr="00126DA0">
        <w:rPr>
          <w:b/>
          <w:sz w:val="24"/>
          <w:szCs w:val="24"/>
          <w:u w:val="single"/>
        </w:rPr>
        <w:t xml:space="preserve"> AND ADDICTION</w:t>
      </w:r>
    </w:p>
    <w:p w:rsidR="00E201F6" w:rsidRPr="00126DA0" w:rsidRDefault="00E201F6" w:rsidP="00E201F6">
      <w:pPr>
        <w:jc w:val="center"/>
        <w:rPr>
          <w:i/>
        </w:rPr>
      </w:pPr>
      <w:r w:rsidRPr="00126DA0">
        <w:rPr>
          <w:i/>
        </w:rPr>
        <w:t>Hon. Linda Lee, Chair</w:t>
      </w:r>
    </w:p>
    <w:p w:rsidR="00BF743B" w:rsidRDefault="00BF743B" w:rsidP="007C4428">
      <w:pPr>
        <w:pStyle w:val="Heading4"/>
        <w:spacing w:before="0" w:after="0"/>
        <w:rPr>
          <w:rFonts w:ascii="Times New Roman" w:hAnsi="Times New Roman"/>
          <w:sz w:val="24"/>
          <w:szCs w:val="24"/>
        </w:rPr>
      </w:pPr>
    </w:p>
    <w:p w:rsidR="007C4428" w:rsidRDefault="002F5C85" w:rsidP="007C4428">
      <w:pPr>
        <w:pStyle w:val="Heading4"/>
        <w:spacing w:before="0" w:after="0"/>
        <w:jc w:val="center"/>
        <w:rPr>
          <w:rFonts w:ascii="Times New Roman" w:hAnsi="Times New Roman"/>
          <w:sz w:val="24"/>
          <w:szCs w:val="24"/>
        </w:rPr>
      </w:pPr>
      <w:r>
        <w:rPr>
          <w:rFonts w:ascii="Times New Roman" w:hAnsi="Times New Roman"/>
          <w:sz w:val="24"/>
          <w:szCs w:val="24"/>
        </w:rPr>
        <w:t xml:space="preserve">November </w:t>
      </w:r>
      <w:r w:rsidR="00BF743B">
        <w:rPr>
          <w:rFonts w:ascii="Times New Roman" w:hAnsi="Times New Roman"/>
          <w:sz w:val="24"/>
          <w:szCs w:val="24"/>
        </w:rPr>
        <w:t>21, 2022</w:t>
      </w:r>
    </w:p>
    <w:p w:rsidR="007C4428" w:rsidRPr="007C4428" w:rsidRDefault="007C4428" w:rsidP="007C4428"/>
    <w:p w:rsidR="00E201F6" w:rsidRPr="00126DA0" w:rsidRDefault="00E201F6" w:rsidP="009E042F">
      <w:pPr>
        <w:widowControl w:val="0"/>
        <w:autoSpaceDE w:val="0"/>
        <w:autoSpaceDN w:val="0"/>
        <w:adjustRightInd w:val="0"/>
        <w:jc w:val="both"/>
      </w:pPr>
    </w:p>
    <w:p w:rsidR="00E201F6" w:rsidRDefault="00610BD5" w:rsidP="00610BD5">
      <w:pPr>
        <w:keepNext/>
        <w:ind w:left="4320" w:right="-180" w:hanging="4320"/>
        <w:jc w:val="both"/>
        <w:outlineLvl w:val="1"/>
        <w:rPr>
          <w:rFonts w:eastAsia="Calibri"/>
        </w:rPr>
      </w:pPr>
      <w:r>
        <w:rPr>
          <w:b/>
          <w:bCs/>
          <w:u w:val="single"/>
        </w:rPr>
        <w:t>Proposed Introduction No. 609-A:</w:t>
      </w:r>
      <w:r w:rsidR="00835A6D" w:rsidRPr="00655D30">
        <w:rPr>
          <w:bCs/>
        </w:rPr>
        <w:tab/>
        <w:t>By Council Members Ayala, Restle</w:t>
      </w:r>
      <w:r w:rsidR="001D528F" w:rsidRPr="00655D30">
        <w:rPr>
          <w:bCs/>
        </w:rPr>
        <w:t xml:space="preserve">r, Won, Nurse, </w:t>
      </w:r>
      <w:r w:rsidR="00655D30" w:rsidRPr="00655D30">
        <w:rPr>
          <w:shd w:val="clear" w:color="auto" w:fill="FFFFFF"/>
        </w:rPr>
        <w:t>Gutiérrez</w:t>
      </w:r>
      <w:r w:rsidR="00655D30" w:rsidRPr="00655D30">
        <w:rPr>
          <w:color w:val="000000"/>
          <w:shd w:val="clear" w:color="auto" w:fill="FFFFFF"/>
        </w:rPr>
        <w:t>,</w:t>
      </w:r>
      <w:r w:rsidR="001D528F" w:rsidRPr="00655D30">
        <w:rPr>
          <w:bCs/>
        </w:rPr>
        <w:t xml:space="preserve"> Joseph</w:t>
      </w:r>
      <w:r w:rsidR="00835A6D" w:rsidRPr="00655D30">
        <w:rPr>
          <w:bCs/>
        </w:rPr>
        <w:t xml:space="preserve">, </w:t>
      </w:r>
      <w:r w:rsidR="00655D30" w:rsidRPr="00655D30">
        <w:rPr>
          <w:shd w:val="clear" w:color="auto" w:fill="FFFFFF"/>
        </w:rPr>
        <w:t>Farías</w:t>
      </w:r>
      <w:r w:rsidR="00655D30" w:rsidRPr="00655D30">
        <w:rPr>
          <w:color w:val="000000"/>
          <w:shd w:val="clear" w:color="auto" w:fill="FFFFFF"/>
        </w:rPr>
        <w:t>,</w:t>
      </w:r>
      <w:r w:rsidR="00835A6D" w:rsidRPr="00655D30">
        <w:rPr>
          <w:bCs/>
        </w:rPr>
        <w:t xml:space="preserve"> Narcisse, Williams, Richardson Jordon, Stevens, </w:t>
      </w:r>
      <w:r w:rsidR="00655D30" w:rsidRPr="00655D30">
        <w:rPr>
          <w:shd w:val="clear" w:color="auto" w:fill="FFFFFF"/>
        </w:rPr>
        <w:t>Cabán</w:t>
      </w:r>
      <w:r w:rsidR="00835A6D" w:rsidRPr="00655D30">
        <w:rPr>
          <w:bCs/>
        </w:rPr>
        <w:t>, Brewer</w:t>
      </w:r>
      <w:r w:rsidR="00655D30" w:rsidRPr="00655D30">
        <w:rPr>
          <w:bCs/>
        </w:rPr>
        <w:t>,</w:t>
      </w:r>
      <w:r w:rsidR="00835A6D" w:rsidRPr="00655D30">
        <w:rPr>
          <w:bCs/>
        </w:rPr>
        <w:t xml:space="preserve"> Salamanca</w:t>
      </w:r>
      <w:r w:rsidR="00655D30" w:rsidRPr="00655D30">
        <w:rPr>
          <w:bCs/>
        </w:rPr>
        <w:t xml:space="preserve">, Jr., Abreu, Hudson, Brannan, </w:t>
      </w:r>
      <w:r w:rsidR="00655D30" w:rsidRPr="00655D30">
        <w:rPr>
          <w:shd w:val="clear" w:color="auto" w:fill="FFFFFF"/>
        </w:rPr>
        <w:t>Ossé</w:t>
      </w:r>
      <w:r w:rsidR="00A059F0">
        <w:rPr>
          <w:shd w:val="clear" w:color="auto" w:fill="FFFFFF"/>
        </w:rPr>
        <w:t>,</w:t>
      </w:r>
      <w:r w:rsidR="00655D30" w:rsidRPr="00655D30">
        <w:rPr>
          <w:color w:val="000000"/>
          <w:shd w:val="clear" w:color="auto" w:fill="FFFFFF"/>
        </w:rPr>
        <w:t xml:space="preserve"> Hanif</w:t>
      </w:r>
      <w:r>
        <w:rPr>
          <w:color w:val="000000"/>
          <w:shd w:val="clear" w:color="auto" w:fill="FFFFFF"/>
        </w:rPr>
        <w:t xml:space="preserve">, </w:t>
      </w:r>
      <w:r w:rsidR="00A059F0">
        <w:rPr>
          <w:color w:val="000000"/>
          <w:shd w:val="clear" w:color="auto" w:fill="FFFFFF"/>
        </w:rPr>
        <w:t>Krishnan</w:t>
      </w:r>
      <w:r>
        <w:rPr>
          <w:color w:val="000000"/>
          <w:shd w:val="clear" w:color="auto" w:fill="FFFFFF"/>
        </w:rPr>
        <w:t xml:space="preserve">, </w:t>
      </w:r>
      <w:r>
        <w:rPr>
          <w:rFonts w:eastAsia="Calibri"/>
        </w:rPr>
        <w:t>Avilés, Sanchez</w:t>
      </w:r>
      <w:r w:rsidR="000412C2">
        <w:rPr>
          <w:rFonts w:eastAsia="Calibri"/>
        </w:rPr>
        <w:t>,</w:t>
      </w:r>
      <w:r>
        <w:rPr>
          <w:rFonts w:eastAsia="Calibri"/>
        </w:rPr>
        <w:t xml:space="preserve"> and Louis</w:t>
      </w:r>
    </w:p>
    <w:p w:rsidR="00E201F6" w:rsidRPr="00126DA0" w:rsidRDefault="00E201F6" w:rsidP="009E042F">
      <w:pPr>
        <w:jc w:val="both"/>
      </w:pPr>
    </w:p>
    <w:p w:rsidR="00E201F6" w:rsidRDefault="00E201F6" w:rsidP="00610BD5">
      <w:pPr>
        <w:keepNext/>
        <w:ind w:left="4320" w:right="-180" w:hanging="4320"/>
        <w:jc w:val="both"/>
        <w:outlineLvl w:val="1"/>
        <w:rPr>
          <w:color w:val="000000"/>
          <w:shd w:val="clear" w:color="auto" w:fill="FFFFFF"/>
        </w:rPr>
      </w:pPr>
      <w:r w:rsidRPr="00126DA0">
        <w:rPr>
          <w:b/>
          <w:bCs/>
          <w:u w:val="single"/>
        </w:rPr>
        <w:t>Title:</w:t>
      </w:r>
      <w:r w:rsidRPr="00126DA0">
        <w:rPr>
          <w:bCs/>
        </w:rPr>
        <w:tab/>
      </w:r>
      <w:r w:rsidR="00835A6D" w:rsidRPr="00835A6D">
        <w:rPr>
          <w:color w:val="000000"/>
          <w:shd w:val="clear" w:color="auto" w:fill="FFFFFF"/>
        </w:rPr>
        <w:t>A Local Law to amend the administrative code of the city of New York, in relation to establishing a needle, syringe</w:t>
      </w:r>
      <w:r w:rsidR="00AA6EED">
        <w:rPr>
          <w:color w:val="000000"/>
          <w:shd w:val="clear" w:color="auto" w:fill="FFFFFF"/>
        </w:rPr>
        <w:t>,</w:t>
      </w:r>
      <w:r w:rsidR="00835A6D" w:rsidRPr="00835A6D">
        <w:rPr>
          <w:color w:val="000000"/>
          <w:shd w:val="clear" w:color="auto" w:fill="FFFFFF"/>
        </w:rPr>
        <w:t xml:space="preserve"> and sharp</w:t>
      </w:r>
      <w:r w:rsidR="00AA6EED">
        <w:rPr>
          <w:color w:val="000000"/>
          <w:shd w:val="clear" w:color="auto" w:fill="FFFFFF"/>
        </w:rPr>
        <w:t>s</w:t>
      </w:r>
      <w:r w:rsidR="00835A6D" w:rsidRPr="00835A6D">
        <w:rPr>
          <w:color w:val="000000"/>
          <w:shd w:val="clear" w:color="auto" w:fill="FFFFFF"/>
        </w:rPr>
        <w:t xml:space="preserve"> buyback pilot program</w:t>
      </w:r>
    </w:p>
    <w:p w:rsidR="007C4428" w:rsidRDefault="007C4428" w:rsidP="00610BD5">
      <w:pPr>
        <w:keepNext/>
        <w:ind w:left="4320" w:right="-180" w:hanging="4320"/>
        <w:jc w:val="both"/>
        <w:outlineLvl w:val="1"/>
        <w:rPr>
          <w:color w:val="000000"/>
          <w:shd w:val="clear" w:color="auto" w:fill="FFFFFF"/>
        </w:rPr>
      </w:pPr>
    </w:p>
    <w:p w:rsidR="007C4428" w:rsidRDefault="007C4428" w:rsidP="007C4428">
      <w:pPr>
        <w:keepNext/>
        <w:ind w:left="4320" w:right="-180" w:hanging="4320"/>
        <w:jc w:val="both"/>
        <w:outlineLvl w:val="1"/>
        <w:rPr>
          <w:shd w:val="clear" w:color="auto" w:fill="FFFFFF"/>
        </w:rPr>
      </w:pPr>
      <w:r>
        <w:rPr>
          <w:b/>
          <w:bCs/>
          <w:u w:val="single"/>
        </w:rPr>
        <w:t>Proposed Introduction No. 404-A:</w:t>
      </w:r>
      <w:r w:rsidRPr="00126DA0">
        <w:rPr>
          <w:bCs/>
        </w:rPr>
        <w:t xml:space="preserve"> </w:t>
      </w:r>
      <w:r w:rsidRPr="00126DA0">
        <w:rPr>
          <w:bCs/>
        </w:rPr>
        <w:tab/>
        <w:t xml:space="preserve">By Council Members </w:t>
      </w:r>
      <w:r w:rsidRPr="00126DA0">
        <w:rPr>
          <w:shd w:val="clear" w:color="auto" w:fill="FFFFFF"/>
        </w:rPr>
        <w:t>Lee, Ayala, Brewer, Louis, Nurse, Krishnan, Kagan, Menin, Marte, Farías, Williams, Holden, Schulman, Dinowitz, Ossé, Abreu, Restler, Avilés, Bottcher</w:t>
      </w:r>
      <w:r w:rsidR="000412C2">
        <w:rPr>
          <w:shd w:val="clear" w:color="auto" w:fill="FFFFFF"/>
        </w:rPr>
        <w:t>,</w:t>
      </w:r>
      <w:r w:rsidRPr="00126DA0">
        <w:rPr>
          <w:shd w:val="clear" w:color="auto" w:fill="FFFFFF"/>
        </w:rPr>
        <w:t xml:space="preserve"> Ariola</w:t>
      </w:r>
      <w:r>
        <w:rPr>
          <w:shd w:val="clear" w:color="auto" w:fill="FFFFFF"/>
        </w:rPr>
        <w:t>, and Paladino</w:t>
      </w:r>
    </w:p>
    <w:p w:rsidR="007C4428" w:rsidRPr="00126DA0" w:rsidRDefault="007C4428" w:rsidP="007C4428">
      <w:pPr>
        <w:ind w:left="3240" w:hanging="3240"/>
        <w:jc w:val="both"/>
      </w:pPr>
    </w:p>
    <w:p w:rsidR="00E201F6" w:rsidRPr="00126DA0" w:rsidRDefault="007C4428" w:rsidP="007C4428">
      <w:pPr>
        <w:keepNext/>
        <w:ind w:left="4320" w:right="-180" w:hanging="4320"/>
        <w:jc w:val="both"/>
        <w:outlineLvl w:val="1"/>
        <w:rPr>
          <w:shd w:val="clear" w:color="auto" w:fill="FFFFFF"/>
        </w:rPr>
      </w:pPr>
      <w:r w:rsidRPr="00126DA0">
        <w:rPr>
          <w:b/>
          <w:bCs/>
          <w:u w:val="single"/>
        </w:rPr>
        <w:t>Title:</w:t>
      </w:r>
      <w:r w:rsidRPr="00126DA0">
        <w:rPr>
          <w:bCs/>
        </w:rPr>
        <w:tab/>
      </w:r>
      <w:r w:rsidRPr="00126DA0">
        <w:rPr>
          <w:shd w:val="clear" w:color="auto" w:fill="FFFFFF"/>
        </w:rPr>
        <w:t xml:space="preserve">A Local Law in relation to a report tracking the </w:t>
      </w:r>
      <w:r>
        <w:rPr>
          <w:shd w:val="clear" w:color="auto" w:fill="FFFFFF"/>
        </w:rPr>
        <w:t>funds paid pursuant to the New York opioid settlement sharing agreement</w:t>
      </w:r>
    </w:p>
    <w:p w:rsidR="00E201F6" w:rsidRPr="00126DA0" w:rsidRDefault="00E201F6" w:rsidP="00E201F6">
      <w:pPr>
        <w:numPr>
          <w:ilvl w:val="0"/>
          <w:numId w:val="1"/>
        </w:numPr>
        <w:spacing w:line="480" w:lineRule="auto"/>
        <w:rPr>
          <w:b/>
        </w:rPr>
      </w:pPr>
      <w:r w:rsidRPr="00126DA0">
        <w:rPr>
          <w:b/>
          <w:u w:val="single"/>
        </w:rPr>
        <w:br w:type="page"/>
      </w:r>
      <w:r w:rsidRPr="00126DA0">
        <w:rPr>
          <w:b/>
        </w:rPr>
        <w:lastRenderedPageBreak/>
        <w:t>Introduction</w:t>
      </w:r>
    </w:p>
    <w:p w:rsidR="007C4428" w:rsidRDefault="00E201F6" w:rsidP="006456C0">
      <w:pPr>
        <w:spacing w:line="480" w:lineRule="auto"/>
        <w:jc w:val="both"/>
      </w:pPr>
      <w:r w:rsidRPr="00610DC1">
        <w:rPr>
          <w:bCs/>
        </w:rPr>
        <w:tab/>
      </w:r>
      <w:r w:rsidRPr="00610DC1">
        <w:t xml:space="preserve">On </w:t>
      </w:r>
      <w:r w:rsidR="00BF743B">
        <w:t>November 21, 2022</w:t>
      </w:r>
      <w:r w:rsidR="00610BD5">
        <w:t xml:space="preserve">, the Committee on Mental Health, Disabilities, and Addiction, chaired by Council Member Linda Lee, will hold a vote on Proposed Introduction Number 609-A (Int. 609-A), sponsored by </w:t>
      </w:r>
      <w:r w:rsidR="001E2A54">
        <w:t>Deputy Speaker Ayala</w:t>
      </w:r>
      <w:r w:rsidR="00610BD5">
        <w:t xml:space="preserve">, a Local Law in relation to </w:t>
      </w:r>
      <w:r w:rsidR="001E2A54">
        <w:t xml:space="preserve">establishing a needle, syringe, and </w:t>
      </w:r>
      <w:r w:rsidR="00606F38">
        <w:t xml:space="preserve">sharps </w:t>
      </w:r>
      <w:r w:rsidR="001E2A54">
        <w:t>buyback pilot program. The legislation was previously heard at a hearing of the Committee on September 20, 2022, at which the Committee received testimony from the New York City Department of Health and Mental Hygiene (DOHMH), nonprofit and community-based organizations, and other interested parties.</w:t>
      </w:r>
      <w:r w:rsidR="007C4428">
        <w:t xml:space="preserve"> </w:t>
      </w:r>
    </w:p>
    <w:p w:rsidR="00610BD5" w:rsidRDefault="007C4428" w:rsidP="007C4428">
      <w:pPr>
        <w:spacing w:line="480" w:lineRule="auto"/>
        <w:ind w:firstLine="720"/>
        <w:jc w:val="both"/>
      </w:pPr>
      <w:r>
        <w:t>The</w:t>
      </w:r>
      <w:r w:rsidRPr="00126DA0">
        <w:t xml:space="preserve"> Committee </w:t>
      </w:r>
      <w:r>
        <w:t>will also</w:t>
      </w:r>
      <w:r w:rsidRPr="00126DA0">
        <w:t xml:space="preserve"> hold a</w:t>
      </w:r>
      <w:r>
        <w:t xml:space="preserve"> vote on</w:t>
      </w:r>
      <w:r w:rsidRPr="00126DA0">
        <w:t xml:space="preserve"> </w:t>
      </w:r>
      <w:r>
        <w:t>Proposed Introduction Number 404-A (Int. 404-A), sponsored by Council Member Lee, a Local Law in relation to a report tracking the funds paid pursuant to the New York opioid settlement sharing agreement. The legislation was previously heard at a hearing of the Committee on June 30, 2022, at which the Committee received testimony from DOHMH, mental health professionals, community-based organizations, and other interested parties.</w:t>
      </w:r>
    </w:p>
    <w:p w:rsidR="00E201F6" w:rsidRPr="006812D7" w:rsidRDefault="00E201F6" w:rsidP="00E201F6">
      <w:pPr>
        <w:numPr>
          <w:ilvl w:val="0"/>
          <w:numId w:val="1"/>
        </w:numPr>
        <w:spacing w:line="480" w:lineRule="auto"/>
        <w:rPr>
          <w:b/>
        </w:rPr>
      </w:pPr>
      <w:r w:rsidRPr="006812D7">
        <w:rPr>
          <w:b/>
        </w:rPr>
        <w:t>Background</w:t>
      </w:r>
    </w:p>
    <w:p w:rsidR="00C17269" w:rsidRPr="00781BD4" w:rsidRDefault="00C17269" w:rsidP="00781BD4">
      <w:pPr>
        <w:pStyle w:val="ListParagraph"/>
        <w:numPr>
          <w:ilvl w:val="0"/>
          <w:numId w:val="16"/>
        </w:numPr>
        <w:spacing w:line="480" w:lineRule="auto"/>
        <w:jc w:val="both"/>
        <w:rPr>
          <w:b/>
        </w:rPr>
      </w:pPr>
      <w:r w:rsidRPr="00781BD4">
        <w:rPr>
          <w:b/>
        </w:rPr>
        <w:t>Opioid Use Disorder in America</w:t>
      </w:r>
    </w:p>
    <w:p w:rsidR="00C17269" w:rsidRDefault="00C17269" w:rsidP="00C17269">
      <w:pPr>
        <w:spacing w:line="480" w:lineRule="auto"/>
        <w:ind w:firstLine="720"/>
        <w:jc w:val="both"/>
      </w:pPr>
      <w:r w:rsidRPr="00126DA0">
        <w:rPr>
          <w:shd w:val="clear" w:color="auto" w:fill="FFFFFF"/>
        </w:rPr>
        <w:t xml:space="preserve">Opioid use disorder </w:t>
      </w:r>
      <w:r>
        <w:rPr>
          <w:shd w:val="clear" w:color="auto" w:fill="FFFFFF"/>
        </w:rPr>
        <w:t xml:space="preserve">was </w:t>
      </w:r>
      <w:r w:rsidRPr="00126DA0">
        <w:rPr>
          <w:shd w:val="clear" w:color="auto" w:fill="FFFFFF"/>
        </w:rPr>
        <w:t>declared a national public health emergency in 2017.</w:t>
      </w:r>
      <w:r w:rsidRPr="00126DA0">
        <w:rPr>
          <w:rStyle w:val="FootnoteReference"/>
          <w:shd w:val="clear" w:color="auto" w:fill="FFFFFF"/>
        </w:rPr>
        <w:footnoteReference w:id="1"/>
      </w:r>
      <w:r w:rsidRPr="00126DA0">
        <w:rPr>
          <w:rStyle w:val="normaltextrun"/>
        </w:rPr>
        <w:t xml:space="preserve"> </w:t>
      </w:r>
      <w:r>
        <w:rPr>
          <w:shd w:val="clear" w:color="auto" w:fill="FFFFFF"/>
        </w:rPr>
        <w:t>S</w:t>
      </w:r>
      <w:r w:rsidRPr="00126DA0">
        <w:rPr>
          <w:shd w:val="clear" w:color="auto" w:fill="FFFFFF"/>
        </w:rPr>
        <w:t xml:space="preserve">ince 1999, more than 932,000 people have died </w:t>
      </w:r>
      <w:r>
        <w:rPr>
          <w:shd w:val="clear" w:color="auto" w:fill="FFFFFF"/>
        </w:rPr>
        <w:t>from a</w:t>
      </w:r>
      <w:r w:rsidRPr="00126DA0">
        <w:rPr>
          <w:shd w:val="clear" w:color="auto" w:fill="FFFFFF"/>
        </w:rPr>
        <w:t xml:space="preserve"> drug overdose</w:t>
      </w:r>
      <w:r>
        <w:rPr>
          <w:shd w:val="clear" w:color="auto" w:fill="FFFFFF"/>
        </w:rPr>
        <w:t>;</w:t>
      </w:r>
      <w:r w:rsidRPr="00126DA0">
        <w:rPr>
          <w:shd w:val="clear" w:color="auto" w:fill="FFFFFF"/>
        </w:rPr>
        <w:t xml:space="preserve"> </w:t>
      </w:r>
      <w:r>
        <w:rPr>
          <w:shd w:val="clear" w:color="auto" w:fill="FFFFFF"/>
        </w:rPr>
        <w:t>i</w:t>
      </w:r>
      <w:r w:rsidRPr="00126DA0">
        <w:rPr>
          <w:shd w:val="clear" w:color="auto" w:fill="FFFFFF"/>
        </w:rPr>
        <w:t xml:space="preserve">n 2020, almost 75% of overdose deaths </w:t>
      </w:r>
      <w:r>
        <w:rPr>
          <w:shd w:val="clear" w:color="auto" w:fill="FFFFFF"/>
        </w:rPr>
        <w:t>involved</w:t>
      </w:r>
      <w:r w:rsidRPr="00126DA0">
        <w:rPr>
          <w:shd w:val="clear" w:color="auto" w:fill="FFFFFF"/>
        </w:rPr>
        <w:t xml:space="preserve"> an opioid.</w:t>
      </w:r>
      <w:r w:rsidRPr="00126DA0">
        <w:rPr>
          <w:rStyle w:val="FootnoteReference"/>
          <w:shd w:val="clear" w:color="auto" w:fill="FFFFFF"/>
        </w:rPr>
        <w:footnoteReference w:id="2"/>
      </w:r>
      <w:r w:rsidRPr="00126DA0">
        <w:rPr>
          <w:shd w:val="clear" w:color="auto" w:fill="FFFFFF"/>
        </w:rPr>
        <w:t xml:space="preserve"> It is important to note that opioid deaths include prescription opioids, heroin, and synthetic opioids (such as fentanyl), and that many addictions begin with legally acquired prescription opioids and move to illicit opioids </w:t>
      </w:r>
      <w:r w:rsidR="00781BD4">
        <w:rPr>
          <w:shd w:val="clear" w:color="auto" w:fill="FFFFFF"/>
        </w:rPr>
        <w:t>such as</w:t>
      </w:r>
      <w:r w:rsidRPr="00126DA0">
        <w:rPr>
          <w:shd w:val="clear" w:color="auto" w:fill="FFFFFF"/>
        </w:rPr>
        <w:t xml:space="preserve"> heroin.</w:t>
      </w:r>
      <w:r w:rsidRPr="00126DA0">
        <w:rPr>
          <w:rStyle w:val="FootnoteReference"/>
          <w:shd w:val="clear" w:color="auto" w:fill="FFFFFF"/>
        </w:rPr>
        <w:footnoteReference w:id="3"/>
      </w:r>
      <w:r w:rsidRPr="00126DA0">
        <w:rPr>
          <w:shd w:val="clear" w:color="auto" w:fill="FFFFFF"/>
        </w:rPr>
        <w:t xml:space="preserve"> </w:t>
      </w:r>
      <w:r w:rsidRPr="00126DA0">
        <w:t xml:space="preserve">The COVID-19 pandemic exacerbated the existing overdose crisis both in New York and nationally, due to increases in mental </w:t>
      </w:r>
      <w:r w:rsidR="00BB54C5">
        <w:t>health issues</w:t>
      </w:r>
      <w:r w:rsidRPr="00126DA0">
        <w:t xml:space="preserve"> and stressor</w:t>
      </w:r>
      <w:r w:rsidR="00BB54C5">
        <w:t xml:space="preserve">s, disruptions to supply chains </w:t>
      </w:r>
      <w:r w:rsidR="00100B3E">
        <w:t>–</w:t>
      </w:r>
      <w:r w:rsidRPr="00126DA0">
        <w:t xml:space="preserve"> which promoted people to seek substanc</w:t>
      </w:r>
      <w:r w:rsidR="00BB54C5">
        <w:t xml:space="preserve">es from less familiar suppliers </w:t>
      </w:r>
      <w:r w:rsidR="00100B3E">
        <w:t>–</w:t>
      </w:r>
      <w:r w:rsidRPr="00126DA0">
        <w:t xml:space="preserve"> and social di</w:t>
      </w:r>
      <w:r w:rsidR="00BB54C5">
        <w:t xml:space="preserve">stancing and </w:t>
      </w:r>
      <w:r w:rsidRPr="00126DA0">
        <w:t>isolation, which left some to “take drugs alone</w:t>
      </w:r>
      <w:r w:rsidR="00BB54C5">
        <w:t xml:space="preserve"> . . . </w:t>
      </w:r>
      <w:r w:rsidRPr="00126DA0">
        <w:t>making it less likely someone will be there to call 911 or administer Narcan</w:t>
      </w:r>
      <w:r w:rsidR="00372988">
        <w:t>,</w:t>
      </w:r>
      <w:r w:rsidRPr="00126DA0">
        <w:t>”</w:t>
      </w:r>
      <w:r w:rsidR="00372988">
        <w:t xml:space="preserve"> a </w:t>
      </w:r>
      <w:r w:rsidR="00100B3E">
        <w:t>medication to reduce an opioid overdose.</w:t>
      </w:r>
      <w:r w:rsidRPr="00126DA0">
        <w:rPr>
          <w:rStyle w:val="FootnoteReference"/>
        </w:rPr>
        <w:footnoteReference w:id="4"/>
      </w:r>
      <w:r w:rsidRPr="00126DA0">
        <w:t xml:space="preserve"> </w:t>
      </w:r>
    </w:p>
    <w:p w:rsidR="00C17269" w:rsidRPr="00781BD4" w:rsidRDefault="00C17269" w:rsidP="00781BD4">
      <w:pPr>
        <w:pStyle w:val="ListParagraph"/>
        <w:numPr>
          <w:ilvl w:val="0"/>
          <w:numId w:val="16"/>
        </w:numPr>
        <w:spacing w:line="480" w:lineRule="auto"/>
        <w:jc w:val="both"/>
        <w:rPr>
          <w:b/>
        </w:rPr>
      </w:pPr>
      <w:r w:rsidRPr="00781BD4">
        <w:rPr>
          <w:b/>
        </w:rPr>
        <w:t>Opioid Use Disorder in New York</w:t>
      </w:r>
    </w:p>
    <w:p w:rsidR="00C17269" w:rsidRPr="006812D7" w:rsidRDefault="00C17269" w:rsidP="006812D7">
      <w:pPr>
        <w:spacing w:line="480" w:lineRule="auto"/>
        <w:jc w:val="both"/>
        <w:rPr>
          <w:shd w:val="clear" w:color="auto" w:fill="FFFFFF"/>
        </w:rPr>
      </w:pPr>
      <w:r w:rsidRPr="00126DA0">
        <w:tab/>
        <w:t xml:space="preserve">In New York State, the number of </w:t>
      </w:r>
      <w:r w:rsidR="00BB54C5">
        <w:t>deaths involving opioids i</w:t>
      </w:r>
      <w:r w:rsidRPr="00126DA0">
        <w:t xml:space="preserve">ncreased </w:t>
      </w:r>
      <w:r w:rsidR="00BB54C5">
        <w:t>every year between</w:t>
      </w:r>
      <w:r w:rsidRPr="00126DA0">
        <w:t xml:space="preserve"> 2010 and 2017, with an overall increa</w:t>
      </w:r>
      <w:r w:rsidR="00BB54C5">
        <w:t>se of over 200% in those years.</w:t>
      </w:r>
      <w:r w:rsidR="00BB54C5" w:rsidRPr="00BB54C5">
        <w:rPr>
          <w:rStyle w:val="FootnoteReference"/>
        </w:rPr>
        <w:t xml:space="preserve"> </w:t>
      </w:r>
      <w:r w:rsidR="00BB54C5" w:rsidRPr="00126DA0">
        <w:rPr>
          <w:rStyle w:val="FootnoteReference"/>
        </w:rPr>
        <w:footnoteReference w:id="5"/>
      </w:r>
      <w:r w:rsidR="00BB54C5">
        <w:t xml:space="preserve"> In other words, </w:t>
      </w:r>
      <w:r w:rsidR="005D4FA2">
        <w:t xml:space="preserve">overdose </w:t>
      </w:r>
      <w:r w:rsidR="00BB54C5">
        <w:t>deaths increased from 1,074 to 3,224</w:t>
      </w:r>
      <w:r w:rsidRPr="00126DA0">
        <w:t>.</w:t>
      </w:r>
      <w:r w:rsidR="005D4FA2">
        <w:rPr>
          <w:rStyle w:val="FootnoteReference"/>
        </w:rPr>
        <w:footnoteReference w:id="6"/>
      </w:r>
      <w:r w:rsidRPr="00126DA0">
        <w:t xml:space="preserve"> In that same period, the </w:t>
      </w:r>
      <w:r w:rsidRPr="00126DA0">
        <w:rPr>
          <w:shd w:val="clear" w:color="auto" w:fill="FFFFFF"/>
        </w:rPr>
        <w:t>number of overdose deaths involving commonly prescribed opioids, such as Vicodin or Oxycodone, increased by 41.7%.</w:t>
      </w:r>
      <w:r w:rsidRPr="00126DA0">
        <w:rPr>
          <w:rStyle w:val="FootnoteReference"/>
          <w:shd w:val="clear" w:color="auto" w:fill="FFFFFF"/>
        </w:rPr>
        <w:footnoteReference w:id="7"/>
      </w:r>
      <w:r w:rsidRPr="00126DA0">
        <w:rPr>
          <w:shd w:val="clear" w:color="auto" w:fill="FFFFFF"/>
        </w:rPr>
        <w:t xml:space="preserve"> And while th</w:t>
      </w:r>
      <w:r w:rsidR="0001780D">
        <w:rPr>
          <w:shd w:val="clear" w:color="auto" w:fill="FFFFFF"/>
        </w:rPr>
        <w:t xml:space="preserve">ere was a 10% decrease in 2019, </w:t>
      </w:r>
      <w:r w:rsidRPr="00126DA0">
        <w:rPr>
          <w:shd w:val="clear" w:color="auto" w:fill="FFFFFF"/>
        </w:rPr>
        <w:t>preliminary data from 2020 indicates a significant increase.</w:t>
      </w:r>
      <w:r w:rsidRPr="00126DA0">
        <w:rPr>
          <w:rStyle w:val="FootnoteReference"/>
          <w:shd w:val="clear" w:color="auto" w:fill="FFFFFF"/>
        </w:rPr>
        <w:footnoteReference w:id="8"/>
      </w:r>
      <w:r w:rsidRPr="00126DA0">
        <w:rPr>
          <w:shd w:val="clear" w:color="auto" w:fill="FFFFFF"/>
        </w:rPr>
        <w:t xml:space="preserve"> Similar to national trends, opioid overdose deaths</w:t>
      </w:r>
      <w:r w:rsidR="0001780D">
        <w:rPr>
          <w:shd w:val="clear" w:color="auto" w:fill="FFFFFF"/>
        </w:rPr>
        <w:t xml:space="preserve"> in New York involve</w:t>
      </w:r>
      <w:r w:rsidRPr="00126DA0">
        <w:rPr>
          <w:shd w:val="clear" w:color="auto" w:fill="FFFFFF"/>
        </w:rPr>
        <w:t xml:space="preserve"> prescription pills, heroin, synthetic opioids, and a combination of multiple types of opioids:</w:t>
      </w:r>
      <w:r w:rsidRPr="00126DA0">
        <w:rPr>
          <w:rStyle w:val="FootnoteReference"/>
          <w:shd w:val="clear" w:color="auto" w:fill="FFFFFF"/>
        </w:rPr>
        <w:footnoteReference w:id="9"/>
      </w:r>
    </w:p>
    <w:p w:rsidR="0001780D" w:rsidRDefault="00C17269" w:rsidP="00C17269">
      <w:pPr>
        <w:spacing w:line="480" w:lineRule="auto"/>
        <w:jc w:val="both"/>
      </w:pPr>
      <w:r w:rsidRPr="00126DA0">
        <w:tab/>
        <w:t>In New York City (and nationally), opioid overdose is the leading cause of accidental death, surpassing motor vehicle deaths, homicides, and suicides combined.</w:t>
      </w:r>
      <w:r w:rsidRPr="00126DA0">
        <w:rPr>
          <w:rStyle w:val="FootnoteReference"/>
        </w:rPr>
        <w:footnoteReference w:id="10"/>
      </w:r>
      <w:r w:rsidRPr="00126DA0">
        <w:t xml:space="preserve"> Every </w:t>
      </w:r>
      <w:r w:rsidR="00F2041A">
        <w:t>three</w:t>
      </w:r>
      <w:r w:rsidRPr="00126DA0">
        <w:t xml:space="preserve"> hours, someone dies of a drug overdose in </w:t>
      </w:r>
      <w:r w:rsidR="0001780D">
        <w:t>the</w:t>
      </w:r>
      <w:r w:rsidRPr="00126DA0">
        <w:t xml:space="preserve"> City, 85% of which involve opioids.</w:t>
      </w:r>
      <w:r w:rsidRPr="00126DA0">
        <w:rPr>
          <w:rStyle w:val="FootnoteReference"/>
        </w:rPr>
        <w:footnoteReference w:id="11"/>
      </w:r>
      <w:r w:rsidR="0001780D">
        <w:t xml:space="preserve"> And f</w:t>
      </w:r>
      <w:r w:rsidRPr="00126DA0">
        <w:t xml:space="preserve">entanyl, a highly potent synthetic opioid, is involved in more than 78% of all overdose deaths in </w:t>
      </w:r>
      <w:r w:rsidR="0001780D">
        <w:t>the</w:t>
      </w:r>
      <w:r w:rsidRPr="00126DA0">
        <w:t xml:space="preserve"> City.</w:t>
      </w:r>
      <w:r w:rsidRPr="00126DA0">
        <w:rPr>
          <w:rStyle w:val="FootnoteReference"/>
        </w:rPr>
        <w:footnoteReference w:id="12"/>
      </w:r>
      <w:r w:rsidRPr="00126DA0">
        <w:t xml:space="preserve"> In</w:t>
      </w:r>
      <w:r w:rsidRPr="00126DA0">
        <w:rPr>
          <w:i/>
        </w:rPr>
        <w:t xml:space="preserve"> </w:t>
      </w:r>
      <w:r w:rsidRPr="00126DA0">
        <w:rPr>
          <w:rStyle w:val="Emphasis"/>
          <w:i w:val="0"/>
          <w:shd w:val="clear" w:color="auto" w:fill="FFFFFF"/>
        </w:rPr>
        <w:t xml:space="preserve">the first two quarters of 2021, </w:t>
      </w:r>
      <w:r w:rsidR="0001780D">
        <w:rPr>
          <w:rStyle w:val="Emphasis"/>
          <w:i w:val="0"/>
          <w:shd w:val="clear" w:color="auto" w:fill="FFFFFF"/>
        </w:rPr>
        <w:t xml:space="preserve">the City experienced 1,233 overdose deaths, </w:t>
      </w:r>
      <w:r w:rsidRPr="00126DA0">
        <w:rPr>
          <w:rStyle w:val="Emphasis"/>
          <w:i w:val="0"/>
          <w:shd w:val="clear" w:color="auto" w:fill="FFFFFF"/>
        </w:rPr>
        <w:t xml:space="preserve">an increase from the 965 overdose deaths during </w:t>
      </w:r>
      <w:r w:rsidR="0001780D">
        <w:rPr>
          <w:rStyle w:val="Emphasis"/>
          <w:i w:val="0"/>
          <w:shd w:val="clear" w:color="auto" w:fill="FFFFFF"/>
        </w:rPr>
        <w:t>that</w:t>
      </w:r>
      <w:r w:rsidRPr="00126DA0">
        <w:rPr>
          <w:rStyle w:val="Emphasis"/>
          <w:i w:val="0"/>
          <w:shd w:val="clear" w:color="auto" w:fill="FFFFFF"/>
        </w:rPr>
        <w:t xml:space="preserve"> same period in 2020</w:t>
      </w:r>
      <w:r w:rsidRPr="00126DA0">
        <w:rPr>
          <w:i/>
        </w:rPr>
        <w:t>.</w:t>
      </w:r>
      <w:r w:rsidRPr="00126DA0">
        <w:rPr>
          <w:rStyle w:val="FootnoteReference"/>
        </w:rPr>
        <w:footnoteReference w:id="13"/>
      </w:r>
      <w:r w:rsidRPr="00126DA0">
        <w:t xml:space="preserve"> The highest rates of over</w:t>
      </w:r>
      <w:r w:rsidR="0001780D">
        <w:t xml:space="preserve">dose deaths were experienced in </w:t>
      </w:r>
      <w:r w:rsidRPr="00126DA0">
        <w:t xml:space="preserve">Harlem and </w:t>
      </w:r>
      <w:r w:rsidR="0001780D">
        <w:t>the</w:t>
      </w:r>
      <w:r w:rsidRPr="00126DA0">
        <w:t xml:space="preserve"> Bronx</w:t>
      </w:r>
      <w:r w:rsidR="0001780D">
        <w:t xml:space="preserve"> neighborhoods</w:t>
      </w:r>
      <w:r w:rsidRPr="00126DA0">
        <w:t>.</w:t>
      </w:r>
      <w:r w:rsidRPr="00126DA0">
        <w:rPr>
          <w:rStyle w:val="FootnoteReference"/>
        </w:rPr>
        <w:footnoteReference w:id="14"/>
      </w:r>
      <w:r w:rsidRPr="00126DA0">
        <w:t xml:space="preserve"> </w:t>
      </w:r>
    </w:p>
    <w:p w:rsidR="00C17269" w:rsidRPr="00126DA0" w:rsidRDefault="00C17269" w:rsidP="0001780D">
      <w:pPr>
        <w:spacing w:line="480" w:lineRule="auto"/>
        <w:ind w:firstLine="720"/>
        <w:jc w:val="both"/>
      </w:pPr>
      <w:r w:rsidRPr="00126DA0">
        <w:t>By borough, overdose death rates were as follows:</w:t>
      </w:r>
      <w:r w:rsidRPr="00126DA0">
        <w:rPr>
          <w:rStyle w:val="FootnoteReference"/>
        </w:rPr>
        <w:footnoteReference w:id="15"/>
      </w:r>
    </w:p>
    <w:p w:rsidR="00E0151E" w:rsidRDefault="00C17269" w:rsidP="00E0151E">
      <w:pPr>
        <w:spacing w:line="480" w:lineRule="auto"/>
        <w:jc w:val="center"/>
      </w:pPr>
      <w:r w:rsidRPr="00126DA0">
        <w:rPr>
          <w:noProof/>
        </w:rPr>
        <w:drawing>
          <wp:inline distT="0" distB="0" distL="0" distR="0" wp14:anchorId="5F594A69" wp14:editId="1499A518">
            <wp:extent cx="2927715" cy="31089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68" t="3104" r="1153" b="1815"/>
                    <a:stretch/>
                  </pic:blipFill>
                  <pic:spPr bwMode="auto">
                    <a:xfrm>
                      <a:off x="0" y="0"/>
                      <a:ext cx="2980400" cy="3164906"/>
                    </a:xfrm>
                    <a:prstGeom prst="rect">
                      <a:avLst/>
                    </a:prstGeom>
                    <a:ln>
                      <a:noFill/>
                    </a:ln>
                    <a:extLst>
                      <a:ext uri="{53640926-AAD7-44D8-BBD7-CCE9431645EC}">
                        <a14:shadowObscured xmlns:a14="http://schemas.microsoft.com/office/drawing/2010/main"/>
                      </a:ext>
                    </a:extLst>
                  </pic:spPr>
                </pic:pic>
              </a:graphicData>
            </a:graphic>
          </wp:inline>
        </w:drawing>
      </w:r>
    </w:p>
    <w:p w:rsidR="00E0151E" w:rsidRDefault="00E0151E" w:rsidP="00E0151E">
      <w:pPr>
        <w:spacing w:line="480" w:lineRule="auto"/>
        <w:ind w:firstLine="720"/>
        <w:jc w:val="both"/>
      </w:pPr>
    </w:p>
    <w:p w:rsidR="00B72D52" w:rsidRDefault="002E184F" w:rsidP="00E0151E">
      <w:pPr>
        <w:spacing w:line="480" w:lineRule="auto"/>
        <w:ind w:firstLine="720"/>
        <w:jc w:val="both"/>
      </w:pPr>
      <w:r>
        <w:t>There are striking inequities in access to treatment services.</w:t>
      </w:r>
      <w:r>
        <w:rPr>
          <w:rStyle w:val="FootnoteReference"/>
        </w:rPr>
        <w:footnoteReference w:id="16"/>
      </w:r>
      <w:r>
        <w:t xml:space="preserve"> Rather than relying on individual preferences, medical reasons, or psychiatric indicators, access to appropriate treatment depends on race, income, geography, and insurance status.</w:t>
      </w:r>
      <w:r>
        <w:rPr>
          <w:rStyle w:val="FootnoteReference"/>
        </w:rPr>
        <w:footnoteReference w:id="17"/>
      </w:r>
      <w:r>
        <w:t xml:space="preserve"> One</w:t>
      </w:r>
      <w:r w:rsidR="006456C0">
        <w:t xml:space="preserve"> </w:t>
      </w:r>
      <w:r w:rsidR="00E0151E">
        <w:t>New York City</w:t>
      </w:r>
      <w:r>
        <w:t>-</w:t>
      </w:r>
      <w:r w:rsidR="006456C0">
        <w:t xml:space="preserve">based study </w:t>
      </w:r>
      <w:r>
        <w:t>concluded that</w:t>
      </w:r>
      <w:r w:rsidR="00E0151E">
        <w:t xml:space="preserve"> </w:t>
      </w:r>
      <w:r w:rsidR="006456C0">
        <w:t>“</w:t>
      </w:r>
      <w:r w:rsidR="00E0151E">
        <w:t>the residential area with the highest proportion of Black/African American and Latino low-income individuals also had the highest methadone treatment rate,</w:t>
      </w:r>
      <w:r w:rsidR="006456C0">
        <w:t>”</w:t>
      </w:r>
      <w:r w:rsidR="00E0151E">
        <w:t xml:space="preserve"> while buprenorphine and naloxone were most accessible in areas with the greatest proportion of White</w:t>
      </w:r>
      <w:r>
        <w:t>,</w:t>
      </w:r>
      <w:r w:rsidR="00E0151E">
        <w:t xml:space="preserve"> high-income patients.</w:t>
      </w:r>
      <w:r w:rsidR="00E0151E">
        <w:rPr>
          <w:rStyle w:val="FootnoteReference"/>
        </w:rPr>
        <w:footnoteReference w:id="18"/>
      </w:r>
      <w:r w:rsidR="00E0151E">
        <w:t xml:space="preserve"> </w:t>
      </w:r>
    </w:p>
    <w:p w:rsidR="006456C0" w:rsidRDefault="002E184F">
      <w:pPr>
        <w:spacing w:line="480" w:lineRule="auto"/>
        <w:ind w:firstLine="720"/>
        <w:jc w:val="both"/>
      </w:pPr>
      <w:r>
        <w:t xml:space="preserve">Methadone </w:t>
      </w:r>
      <w:r w:rsidR="00A404E1">
        <w:t>is long-acting opioid agonist</w:t>
      </w:r>
      <w:r>
        <w:t xml:space="preserve"> used to reduce withdrawal symptoms, cravings, and block the euphoric effects of drugs such as heroin, morphine, and oxycodone.</w:t>
      </w:r>
      <w:r>
        <w:rPr>
          <w:rStyle w:val="FootnoteReference"/>
        </w:rPr>
        <w:footnoteReference w:id="19"/>
      </w:r>
      <w:r w:rsidR="00A404E1">
        <w:t xml:space="preserve"> Buprenorphine</w:t>
      </w:r>
      <w:r w:rsidR="009139FF">
        <w:t xml:space="preserve"> (also known as naloxone or suboxone)</w:t>
      </w:r>
      <w:r w:rsidR="00A404E1">
        <w:t xml:space="preserve"> </w:t>
      </w:r>
      <w:r w:rsidR="009139FF">
        <w:t>is a</w:t>
      </w:r>
      <w:r w:rsidR="00A404E1">
        <w:t xml:space="preserve"> partial</w:t>
      </w:r>
      <w:r w:rsidR="009139FF">
        <w:t xml:space="preserve"> opioid</w:t>
      </w:r>
      <w:r w:rsidR="00A404E1">
        <w:t xml:space="preserve"> </w:t>
      </w:r>
      <w:r w:rsidR="009139FF">
        <w:t>agonist that produces euphoric effects</w:t>
      </w:r>
      <w:r w:rsidR="00A404E1">
        <w:t xml:space="preserve"> or respiratory depression at low to moderate doses.</w:t>
      </w:r>
      <w:r w:rsidR="009139FF">
        <w:rPr>
          <w:rStyle w:val="FootnoteReference"/>
        </w:rPr>
        <w:footnoteReference w:id="20"/>
      </w:r>
      <w:r w:rsidR="00A404E1">
        <w:t xml:space="preserve"> </w:t>
      </w:r>
      <w:r w:rsidR="009139FF">
        <w:t>The effects are weaker compared to methadone and heroin, which are full opioid agonists, but treatment is still effective.</w:t>
      </w:r>
      <w:r w:rsidR="009139FF">
        <w:rPr>
          <w:rStyle w:val="FootnoteReference"/>
        </w:rPr>
        <w:footnoteReference w:id="21"/>
      </w:r>
      <w:r w:rsidR="009139FF">
        <w:t xml:space="preserve"> The disparity in treatment access is important to note, as buprenorphine is generally considered less stigmatizing than methadone</w:t>
      </w:r>
      <w:r w:rsidR="00B72D52">
        <w:t>.</w:t>
      </w:r>
      <w:r w:rsidR="00B72D52">
        <w:rPr>
          <w:rStyle w:val="FootnoteReference"/>
        </w:rPr>
        <w:footnoteReference w:id="22"/>
      </w:r>
      <w:r w:rsidR="009139FF">
        <w:t xml:space="preserve"> </w:t>
      </w:r>
      <w:r w:rsidR="00B72D52">
        <w:t>One</w:t>
      </w:r>
      <w:r w:rsidR="009139FF">
        <w:t xml:space="preserve"> reason being is that it is considered an “office-based treatment program.”</w:t>
      </w:r>
      <w:r w:rsidR="009139FF">
        <w:rPr>
          <w:rStyle w:val="FootnoteReference"/>
        </w:rPr>
        <w:footnoteReference w:id="23"/>
      </w:r>
      <w:r w:rsidR="009139FF">
        <w:t xml:space="preserve"> </w:t>
      </w:r>
      <w:r w:rsidR="00B72D52">
        <w:t>But such programs only work for patients with primary care access – something that is inaccessible to many low-income or uninsured people of color.</w:t>
      </w:r>
      <w:r w:rsidR="00B72D52">
        <w:rPr>
          <w:rStyle w:val="FootnoteReference"/>
        </w:rPr>
        <w:footnoteReference w:id="24"/>
      </w:r>
      <w:r w:rsidR="00B72D52">
        <w:t xml:space="preserve"> Methadone on the other hand, must be administered in a federally regulated opioid treatment program.</w:t>
      </w:r>
      <w:r w:rsidR="00B72D52">
        <w:rPr>
          <w:rStyle w:val="FootnoteReference"/>
        </w:rPr>
        <w:footnoteReference w:id="25"/>
      </w:r>
      <w:r w:rsidR="00B72D52">
        <w:t xml:space="preserve"> Such programs have strict regulations and are often located in lower-income areas.</w:t>
      </w:r>
      <w:r w:rsidR="00B72D52">
        <w:rPr>
          <w:rStyle w:val="FootnoteReference"/>
        </w:rPr>
        <w:footnoteReference w:id="26"/>
      </w:r>
      <w:r w:rsidR="00153223">
        <w:t xml:space="preserve"> </w:t>
      </w:r>
    </w:p>
    <w:p w:rsidR="0001780D" w:rsidRPr="00781BD4" w:rsidRDefault="00E0151E" w:rsidP="00E0151E">
      <w:pPr>
        <w:spacing w:line="480" w:lineRule="auto"/>
        <w:ind w:firstLine="720"/>
        <w:jc w:val="both"/>
      </w:pPr>
      <w:r>
        <w:t>In sum, unequal treatment is common in many Black</w:t>
      </w:r>
      <w:r w:rsidR="00B72D52">
        <w:t xml:space="preserve"> and </w:t>
      </w:r>
      <w:r>
        <w:t>African American communities,</w:t>
      </w:r>
      <w:r w:rsidR="00B72D52">
        <w:t xml:space="preserve"> low-income, and uninsured communities.</w:t>
      </w:r>
      <w:r w:rsidR="0001780D">
        <w:rPr>
          <w:rStyle w:val="FootnoteReference"/>
        </w:rPr>
        <w:footnoteReference w:id="27"/>
      </w:r>
      <w:r w:rsidR="00B72D52">
        <w:t xml:space="preserve"> There is essentially a “two-tiered treatment system,” in which buprenorphine is mostly accessed by Whites, high-income, and those</w:t>
      </w:r>
      <w:r w:rsidR="00153223">
        <w:t xml:space="preserve"> who are</w:t>
      </w:r>
      <w:r w:rsidR="00B72D52">
        <w:t xml:space="preserve"> privately insured</w:t>
      </w:r>
      <w:r w:rsidR="00153223">
        <w:t>, while methadone is typically accessed by people of color, individuals who are low-income, and publicly insured.</w:t>
      </w:r>
      <w:r w:rsidR="00153223">
        <w:rPr>
          <w:rStyle w:val="FootnoteReference"/>
        </w:rPr>
        <w:footnoteReference w:id="28"/>
      </w:r>
      <w:r w:rsidR="00153223">
        <w:t xml:space="preserve"> Thus, to</w:t>
      </w:r>
      <w:r w:rsidR="00E02654">
        <w:t xml:space="preserve"> reduce the impact of opioid misuse, opioid use disorder, and opioid-related overdoses on the Black/African American and Latino populations, it is critical to understand the contextual issues, treatment barriers, and the community-informed strategies that are working in these communities.</w:t>
      </w:r>
      <w:r w:rsidR="00E02654">
        <w:rPr>
          <w:rStyle w:val="FootnoteReference"/>
        </w:rPr>
        <w:footnoteReference w:id="29"/>
      </w:r>
      <w:r w:rsidR="00643C1E">
        <w:t xml:space="preserve"> </w:t>
      </w:r>
    </w:p>
    <w:p w:rsidR="007C3F49" w:rsidRPr="002169FE" w:rsidRDefault="007C3F49" w:rsidP="00781BD4">
      <w:pPr>
        <w:pStyle w:val="ListParagraph"/>
        <w:numPr>
          <w:ilvl w:val="0"/>
          <w:numId w:val="16"/>
        </w:numPr>
        <w:spacing w:line="480" w:lineRule="auto"/>
        <w:jc w:val="both"/>
        <w:rPr>
          <w:b/>
        </w:rPr>
      </w:pPr>
      <w:r w:rsidRPr="002169FE">
        <w:rPr>
          <w:b/>
        </w:rPr>
        <w:t>Attorney General’s Lawsuit and Opioid Settlement Fund</w:t>
      </w:r>
      <w:r w:rsidRPr="002169FE">
        <w:rPr>
          <w:rStyle w:val="FootnoteReference"/>
          <w:b/>
          <w:shd w:val="clear" w:color="auto" w:fill="FFFFFF"/>
        </w:rPr>
        <w:t xml:space="preserve"> </w:t>
      </w:r>
      <w:r w:rsidRPr="002169FE">
        <w:rPr>
          <w:rStyle w:val="FootnoteReference"/>
          <w:b/>
          <w:shd w:val="clear" w:color="auto" w:fill="FFFFFF"/>
        </w:rPr>
        <w:footnoteReference w:id="30"/>
      </w:r>
    </w:p>
    <w:p w:rsidR="007C4428" w:rsidRDefault="007C3F49" w:rsidP="007C4428">
      <w:pPr>
        <w:spacing w:line="480" w:lineRule="auto"/>
        <w:ind w:firstLine="720"/>
        <w:jc w:val="both"/>
        <w:rPr>
          <w:shd w:val="clear" w:color="auto" w:fill="FFFFFF"/>
        </w:rPr>
      </w:pPr>
      <w:r w:rsidRPr="00126DA0">
        <w:rPr>
          <w:shd w:val="clear" w:color="auto" w:fill="FFFFFF"/>
        </w:rPr>
        <w:t xml:space="preserve">In March 2019, </w:t>
      </w:r>
      <w:r>
        <w:rPr>
          <w:shd w:val="clear" w:color="auto" w:fill="FFFFFF"/>
        </w:rPr>
        <w:t xml:space="preserve">the New York </w:t>
      </w:r>
      <w:r w:rsidR="000329F7">
        <w:rPr>
          <w:shd w:val="clear" w:color="auto" w:fill="FFFFFF"/>
        </w:rPr>
        <w:t xml:space="preserve">State </w:t>
      </w:r>
      <w:r w:rsidRPr="00126DA0">
        <w:rPr>
          <w:shd w:val="clear" w:color="auto" w:fill="FFFFFF"/>
        </w:rPr>
        <w:t>Attorney General</w:t>
      </w:r>
      <w:r w:rsidR="00DA49F4">
        <w:rPr>
          <w:shd w:val="clear" w:color="auto" w:fill="FFFFFF"/>
        </w:rPr>
        <w:t>,</w:t>
      </w:r>
      <w:r w:rsidRPr="00126DA0">
        <w:rPr>
          <w:shd w:val="clear" w:color="auto" w:fill="FFFFFF"/>
        </w:rPr>
        <w:t xml:space="preserve"> </w:t>
      </w:r>
      <w:r w:rsidR="00E02654">
        <w:rPr>
          <w:shd w:val="clear" w:color="auto" w:fill="FFFFFF"/>
        </w:rPr>
        <w:t xml:space="preserve">Letitia James </w:t>
      </w:r>
      <w:r w:rsidRPr="00126DA0">
        <w:rPr>
          <w:shd w:val="clear" w:color="auto" w:fill="FFFFFF"/>
        </w:rPr>
        <w:t>(AG)</w:t>
      </w:r>
      <w:r w:rsidR="00DA49F4">
        <w:rPr>
          <w:shd w:val="clear" w:color="auto" w:fill="FFFFFF"/>
        </w:rPr>
        <w:t>,</w:t>
      </w:r>
      <w:r w:rsidRPr="00126DA0">
        <w:rPr>
          <w:shd w:val="clear" w:color="auto" w:fill="FFFFFF"/>
        </w:rPr>
        <w:t xml:space="preserve"> filed an extensive and comprehensive lawsuit against opioi</w:t>
      </w:r>
      <w:r>
        <w:rPr>
          <w:shd w:val="clear" w:color="auto" w:fill="FFFFFF"/>
        </w:rPr>
        <w:t>d manufacture</w:t>
      </w:r>
      <w:r w:rsidR="00DA49F4">
        <w:rPr>
          <w:shd w:val="clear" w:color="auto" w:fill="FFFFFF"/>
        </w:rPr>
        <w:t>r</w:t>
      </w:r>
      <w:r>
        <w:rPr>
          <w:shd w:val="clear" w:color="auto" w:fill="FFFFFF"/>
        </w:rPr>
        <w:t>s and distributors</w:t>
      </w:r>
      <w:r w:rsidRPr="00126DA0">
        <w:rPr>
          <w:shd w:val="clear" w:color="auto" w:fill="FFFFFF"/>
        </w:rPr>
        <w:t>.</w:t>
      </w:r>
      <w:r w:rsidRPr="00126DA0">
        <w:rPr>
          <w:rStyle w:val="FootnoteReference"/>
          <w:shd w:val="clear" w:color="auto" w:fill="FFFFFF"/>
        </w:rPr>
        <w:footnoteReference w:id="31"/>
      </w:r>
      <w:r w:rsidRPr="00126DA0">
        <w:rPr>
          <w:shd w:val="clear" w:color="auto" w:fill="FFFFFF"/>
        </w:rPr>
        <w:t xml:space="preserve"> The lawsuit alleged that </w:t>
      </w:r>
      <w:r w:rsidR="000329F7">
        <w:rPr>
          <w:shd w:val="clear" w:color="auto" w:fill="FFFFFF"/>
        </w:rPr>
        <w:t>the</w:t>
      </w:r>
      <w:r w:rsidRPr="00126DA0">
        <w:rPr>
          <w:shd w:val="clear" w:color="auto" w:fill="FFFFFF"/>
        </w:rPr>
        <w:t xml:space="preserve"> defendants committed years of “false and deceptive marketing”</w:t>
      </w:r>
      <w:r w:rsidR="00DA49F4">
        <w:rPr>
          <w:shd w:val="clear" w:color="auto" w:fill="FFFFFF"/>
        </w:rPr>
        <w:t xml:space="preserve"> and</w:t>
      </w:r>
      <w:r w:rsidRPr="00126DA0">
        <w:rPr>
          <w:shd w:val="clear" w:color="auto" w:fill="FFFFFF"/>
        </w:rPr>
        <w:t xml:space="preserve"> ignored their “duties to prevent the unlawful diversion of controlled substances,” thus resulting in the creation of the current op</w:t>
      </w:r>
      <w:r w:rsidR="00E02654">
        <w:rPr>
          <w:shd w:val="clear" w:color="auto" w:fill="FFFFFF"/>
        </w:rPr>
        <w:t>ioid epidemic ravaging New York that is</w:t>
      </w:r>
      <w:r w:rsidRPr="00126DA0">
        <w:rPr>
          <w:shd w:val="clear" w:color="auto" w:fill="FFFFFF"/>
        </w:rPr>
        <w:t xml:space="preserve"> marked by “widespread addiction, overdose deaths, and suffering.”</w:t>
      </w:r>
      <w:r w:rsidRPr="00126DA0">
        <w:rPr>
          <w:rStyle w:val="FootnoteReference"/>
          <w:shd w:val="clear" w:color="auto" w:fill="FFFFFF"/>
        </w:rPr>
        <w:footnoteReference w:id="32"/>
      </w:r>
      <w:r w:rsidRPr="00126DA0">
        <w:rPr>
          <w:shd w:val="clear" w:color="auto" w:fill="FFFFFF"/>
        </w:rPr>
        <w:t xml:space="preserve"> Though much of the litigation is still pending,</w:t>
      </w:r>
      <w:r>
        <w:rPr>
          <w:shd w:val="clear" w:color="auto" w:fill="FFFFFF"/>
        </w:rPr>
        <w:t xml:space="preserve"> drug manufacturers have </w:t>
      </w:r>
      <w:r w:rsidR="000329F7">
        <w:rPr>
          <w:shd w:val="clear" w:color="auto" w:fill="FFFFFF"/>
        </w:rPr>
        <w:t xml:space="preserve">already </w:t>
      </w:r>
      <w:r>
        <w:rPr>
          <w:shd w:val="clear" w:color="auto" w:fill="FFFFFF"/>
        </w:rPr>
        <w:t>settled claims for their role in the opioid epidemic</w:t>
      </w:r>
      <w:r w:rsidR="000329F7">
        <w:rPr>
          <w:shd w:val="clear" w:color="auto" w:fill="FFFFFF"/>
        </w:rPr>
        <w:t>.</w:t>
      </w:r>
      <w:r w:rsidR="000329F7">
        <w:rPr>
          <w:rStyle w:val="FootnoteReference"/>
          <w:shd w:val="clear" w:color="auto" w:fill="FFFFFF"/>
        </w:rPr>
        <w:footnoteReference w:id="33"/>
      </w:r>
      <w:r w:rsidR="000329F7">
        <w:rPr>
          <w:shd w:val="clear" w:color="auto" w:fill="FFFFFF"/>
        </w:rPr>
        <w:t xml:space="preserve"> </w:t>
      </w:r>
    </w:p>
    <w:p w:rsidR="007C4428" w:rsidRDefault="000329F7" w:rsidP="007C4428">
      <w:pPr>
        <w:spacing w:line="480" w:lineRule="auto"/>
        <w:ind w:firstLine="720"/>
        <w:jc w:val="both"/>
        <w:rPr>
          <w:shd w:val="clear" w:color="auto" w:fill="FFFFFF"/>
        </w:rPr>
      </w:pPr>
      <w:r>
        <w:rPr>
          <w:shd w:val="clear" w:color="auto" w:fill="FFFFFF"/>
        </w:rPr>
        <w:t xml:space="preserve">New York State passed a law, S.7194/A.6395B, </w:t>
      </w:r>
      <w:r w:rsidR="00E02654">
        <w:rPr>
          <w:shd w:val="clear" w:color="auto" w:fill="FFFFFF"/>
        </w:rPr>
        <w:t>requiring</w:t>
      </w:r>
      <w:r>
        <w:rPr>
          <w:shd w:val="clear" w:color="auto" w:fill="FFFFFF"/>
        </w:rPr>
        <w:t xml:space="preserve"> funds from the opioid settlements and litigations to be deposited into an opioid settlement fund (OSF) for the development of new services and supports.</w:t>
      </w:r>
      <w:r w:rsidRPr="00126DA0">
        <w:rPr>
          <w:rStyle w:val="FootnoteReference"/>
          <w:shd w:val="clear" w:color="auto" w:fill="FFFFFF"/>
        </w:rPr>
        <w:footnoteReference w:id="34"/>
      </w:r>
      <w:r w:rsidRPr="00126DA0">
        <w:rPr>
          <w:rStyle w:val="apple-converted-space"/>
          <w:shd w:val="clear" w:color="auto" w:fill="FFFFFF"/>
        </w:rPr>
        <w:t xml:space="preserve"> Pursuant to this law, all OSF funds must be used </w:t>
      </w:r>
      <w:r w:rsidRPr="00126DA0">
        <w:t>for abatement efforts in communities devastated by the opioid epidemic</w:t>
      </w:r>
      <w:r w:rsidR="00DA49F4">
        <w:t>,</w:t>
      </w:r>
      <w:r w:rsidRPr="00126DA0">
        <w:t xml:space="preserve"> and will not go towards the state’s general fund.</w:t>
      </w:r>
      <w:r w:rsidRPr="00126DA0">
        <w:rPr>
          <w:rStyle w:val="FootnoteReference"/>
        </w:rPr>
        <w:footnoteReference w:id="35"/>
      </w:r>
      <w:r w:rsidR="00E02654">
        <w:t xml:space="preserve"> </w:t>
      </w:r>
      <w:r w:rsidR="0028036B">
        <w:t>New York</w:t>
      </w:r>
      <w:r>
        <w:t xml:space="preserve"> City is expected to receive</w:t>
      </w:r>
      <w:r w:rsidR="007C3F49" w:rsidRPr="00126DA0">
        <w:t xml:space="preserve"> </w:t>
      </w:r>
      <w:r w:rsidR="007C3F49" w:rsidRPr="00126DA0">
        <w:rPr>
          <w:shd w:val="clear" w:color="auto" w:fill="FFFFFF"/>
        </w:rPr>
        <w:t>$88,943,457 in 2022, and up to </w:t>
      </w:r>
      <w:r w:rsidR="0028036B">
        <w:rPr>
          <w:shd w:val="clear" w:color="auto" w:fill="FFFFFF"/>
        </w:rPr>
        <w:t>$286,137,783 over the various settlement payouts.</w:t>
      </w:r>
      <w:r w:rsidR="0028036B" w:rsidRPr="00126DA0">
        <w:rPr>
          <w:rStyle w:val="FootnoteReference"/>
        </w:rPr>
        <w:footnoteReference w:id="36"/>
      </w:r>
      <w:r w:rsidR="007C3F49" w:rsidRPr="00126DA0">
        <w:rPr>
          <w:shd w:val="clear" w:color="auto" w:fill="FFFFFF"/>
        </w:rPr>
        <w:t xml:space="preserve"> </w:t>
      </w:r>
      <w:r w:rsidR="007C4428" w:rsidRPr="00126DA0">
        <w:t>According to the Mayor’s June press release, t</w:t>
      </w:r>
      <w:r w:rsidR="007C4428" w:rsidRPr="00126DA0">
        <w:rPr>
          <w:shd w:val="clear" w:color="auto" w:fill="FFFFFF"/>
        </w:rPr>
        <w:t>here are three pools of fund money from the OSF designated for New York City: (1) The first pool will flow through the AG; (2) The second pool will flow through the State Office of Addiction and Substance Abuse Services (OASAS), guided by the Opioid Settlement Board; and (3) The third pool is a direct-to-localities funding mechanism for approved uses.</w:t>
      </w:r>
      <w:r w:rsidR="007C4428" w:rsidRPr="00126DA0">
        <w:rPr>
          <w:rStyle w:val="FootnoteReference"/>
          <w:shd w:val="clear" w:color="auto" w:fill="FFFFFF"/>
        </w:rPr>
        <w:footnoteReference w:id="37"/>
      </w:r>
    </w:p>
    <w:p w:rsidR="007C3F49" w:rsidRPr="006812D7" w:rsidRDefault="007C4428" w:rsidP="007C4428">
      <w:pPr>
        <w:spacing w:line="480" w:lineRule="auto"/>
        <w:ind w:firstLine="720"/>
        <w:jc w:val="both"/>
        <w:rPr>
          <w:shd w:val="clear" w:color="auto" w:fill="FFFFFF"/>
        </w:rPr>
      </w:pPr>
      <w:r w:rsidRPr="00126DA0">
        <w:rPr>
          <w:shd w:val="clear" w:color="auto" w:fill="FFFFFF"/>
        </w:rPr>
        <w:t xml:space="preserve">Through these pools, New York City will receive approximately $286 million over the next 18 years, including the $150 million over the next </w:t>
      </w:r>
      <w:r w:rsidRPr="007C4428">
        <w:rPr>
          <w:shd w:val="clear" w:color="auto" w:fill="FFFFFF"/>
        </w:rPr>
        <w:t>five years</w:t>
      </w:r>
      <w:r w:rsidR="00DA49F4">
        <w:rPr>
          <w:shd w:val="clear" w:color="auto" w:fill="FFFFFF"/>
        </w:rPr>
        <w:t>,</w:t>
      </w:r>
      <w:r w:rsidRPr="007C4428">
        <w:rPr>
          <w:shd w:val="clear" w:color="auto" w:fill="FFFFFF"/>
        </w:rPr>
        <w:t xml:space="preserve"> discussed above.</w:t>
      </w:r>
      <w:r w:rsidRPr="007C4428">
        <w:rPr>
          <w:rStyle w:val="FootnoteReference"/>
          <w:shd w:val="clear" w:color="auto" w:fill="FFFFFF"/>
        </w:rPr>
        <w:footnoteReference w:id="38"/>
      </w:r>
      <w:r w:rsidRPr="007C4428">
        <w:rPr>
          <w:shd w:val="clear" w:color="auto" w:fill="FFFFFF"/>
        </w:rPr>
        <w:t xml:space="preserve"> The City will receive these funds pursuant to the New York Opioid Settlement Sharing Agreement, which sets forth the terms and conditions governing the sharing and allocation of funds between and among the State of New York and the New York Subdivisions.</w:t>
      </w:r>
      <w:r w:rsidRPr="007C4428">
        <w:rPr>
          <w:rStyle w:val="FootnoteReference"/>
          <w:shd w:val="clear" w:color="auto" w:fill="FFFFFF"/>
        </w:rPr>
        <w:footnoteReference w:id="39"/>
      </w:r>
    </w:p>
    <w:p w:rsidR="007C3F49" w:rsidRPr="00781BD4" w:rsidRDefault="00A17C45" w:rsidP="00781BD4">
      <w:pPr>
        <w:pStyle w:val="ListParagraph"/>
        <w:numPr>
          <w:ilvl w:val="0"/>
          <w:numId w:val="16"/>
        </w:numPr>
        <w:spacing w:line="480" w:lineRule="auto"/>
        <w:jc w:val="both"/>
        <w:rPr>
          <w:b/>
        </w:rPr>
      </w:pPr>
      <w:r w:rsidRPr="00781BD4">
        <w:rPr>
          <w:b/>
        </w:rPr>
        <w:t>Harm Reduction</w:t>
      </w:r>
      <w:r w:rsidR="007C3F49" w:rsidRPr="00781BD4">
        <w:rPr>
          <w:b/>
        </w:rPr>
        <w:t xml:space="preserve"> in NYC Neighborhoods</w:t>
      </w:r>
    </w:p>
    <w:p w:rsidR="0028036B" w:rsidRDefault="0028036B" w:rsidP="006812D7">
      <w:pPr>
        <w:spacing w:line="480" w:lineRule="auto"/>
        <w:ind w:firstLine="720"/>
        <w:jc w:val="both"/>
      </w:pPr>
      <w:r>
        <w:t>I</w:t>
      </w:r>
      <w:r w:rsidR="007C3F49">
        <w:t>mproperly discarded syringes</w:t>
      </w:r>
      <w:r w:rsidR="00E02654">
        <w:t>, needles, and sharps</w:t>
      </w:r>
      <w:r w:rsidR="007C3F49">
        <w:t xml:space="preserve"> “are a concern for all New Yorkers.</w:t>
      </w:r>
      <w:r w:rsidR="00D477C9">
        <w:t>”</w:t>
      </w:r>
      <w:r w:rsidR="007C3F49">
        <w:rPr>
          <w:rStyle w:val="FootnoteReference"/>
        </w:rPr>
        <w:footnoteReference w:id="40"/>
      </w:r>
      <w:r>
        <w:t xml:space="preserve"> </w:t>
      </w:r>
      <w:r w:rsidR="00D477C9">
        <w:t xml:space="preserve">Following the </w:t>
      </w:r>
      <w:r w:rsidR="00E02654">
        <w:t xml:space="preserve">2017 </w:t>
      </w:r>
      <w:r w:rsidR="00D477C9">
        <w:t xml:space="preserve">closure of </w:t>
      </w:r>
      <w:r w:rsidR="00E02654">
        <w:t xml:space="preserve">what was referred to as </w:t>
      </w:r>
      <w:r w:rsidR="00D477C9">
        <w:t>“The Hole”</w:t>
      </w:r>
      <w:r w:rsidR="00E02654">
        <w:t xml:space="preserve"> </w:t>
      </w:r>
      <w:r w:rsidR="00D477C9">
        <w:t xml:space="preserve">– a stretch of abandoned railway tracks in </w:t>
      </w:r>
      <w:r w:rsidR="001A2EFF">
        <w:t xml:space="preserve">the South Bronx that had become “ground zero” for the borough’s opioid addiction and homelessness crises, more than a dozen parks across the South Bronx saw a dramatic increase in public drug use and discarded syringes </w:t>
      </w:r>
      <w:r w:rsidR="009222BA">
        <w:t xml:space="preserve">on </w:t>
      </w:r>
      <w:r w:rsidR="001A2EFF">
        <w:t>lawns, play equipment, benches, basketball courts, and athletic fields.</w:t>
      </w:r>
      <w:r w:rsidR="001A2EFF">
        <w:rPr>
          <w:rStyle w:val="FootnoteReference"/>
        </w:rPr>
        <w:footnoteReference w:id="41"/>
      </w:r>
      <w:r w:rsidR="001A2EFF">
        <w:t xml:space="preserve"> Every syringe collected represents a risk not just to the public, but also to those suffering from addiction.</w:t>
      </w:r>
      <w:r w:rsidR="001A2EFF">
        <w:rPr>
          <w:rStyle w:val="FootnoteReference"/>
        </w:rPr>
        <w:footnoteReference w:id="42"/>
      </w:r>
      <w:r w:rsidR="001A2EFF">
        <w:t xml:space="preserve"> </w:t>
      </w:r>
    </w:p>
    <w:p w:rsidR="00E02654" w:rsidRDefault="001A2EFF" w:rsidP="006812D7">
      <w:pPr>
        <w:spacing w:line="480" w:lineRule="auto"/>
        <w:ind w:firstLine="720"/>
        <w:jc w:val="both"/>
      </w:pPr>
      <w:r>
        <w:t>In November 2021, two</w:t>
      </w:r>
      <w:r w:rsidR="00001EB9">
        <w:t xml:space="preserve"> harm</w:t>
      </w:r>
      <w:r w:rsidR="00FD2DE1">
        <w:t>-</w:t>
      </w:r>
      <w:r w:rsidR="00001EB9">
        <w:t>reduction drop</w:t>
      </w:r>
      <w:r w:rsidR="00FD2DE1">
        <w:t>-i</w:t>
      </w:r>
      <w:r w:rsidR="00001EB9">
        <w:t>n centers</w:t>
      </w:r>
      <w:r>
        <w:t xml:space="preserve"> operated by the nonprofit OnPoint NYC, </w:t>
      </w:r>
      <w:r w:rsidR="00001EB9">
        <w:t xml:space="preserve">became the first </w:t>
      </w:r>
      <w:r w:rsidR="00301159">
        <w:t xml:space="preserve">publicly recognized </w:t>
      </w:r>
      <w:r w:rsidR="00001EB9" w:rsidRPr="00001EB9">
        <w:t>Overdose Prevention Centers (OPCs)</w:t>
      </w:r>
      <w:r w:rsidR="008F5309">
        <w:t xml:space="preserve"> in the nation</w:t>
      </w:r>
      <w:r w:rsidR="001603F9">
        <w:t xml:space="preserve">, </w:t>
      </w:r>
      <w:r w:rsidR="008F5309">
        <w:t>offer</w:t>
      </w:r>
      <w:r w:rsidR="001603F9">
        <w:t>ing</w:t>
      </w:r>
      <w:r w:rsidR="008F5309">
        <w:t xml:space="preserve"> supervised substance use onsite</w:t>
      </w:r>
      <w:r>
        <w:t>.</w:t>
      </w:r>
      <w:r>
        <w:rPr>
          <w:rStyle w:val="FootnoteReference"/>
        </w:rPr>
        <w:footnoteReference w:id="43"/>
      </w:r>
      <w:r>
        <w:t xml:space="preserve"> </w:t>
      </w:r>
      <w:r w:rsidR="00A17C45">
        <w:t>One is</w:t>
      </w:r>
      <w:r w:rsidR="00E02654">
        <w:t xml:space="preserve"> in</w:t>
      </w:r>
      <w:r w:rsidR="00A17C45">
        <w:t xml:space="preserve"> Washington Heights and the other in East Harlem, </w:t>
      </w:r>
      <w:r w:rsidR="00E02654">
        <w:t>and are located</w:t>
      </w:r>
      <w:r w:rsidR="00A17C45">
        <w:t xml:space="preserve"> within existing </w:t>
      </w:r>
      <w:r w:rsidR="00382E8E">
        <w:t>substance use programs,</w:t>
      </w:r>
      <w:r w:rsidR="00A17C45">
        <w:rPr>
          <w:rStyle w:val="FootnoteReference"/>
        </w:rPr>
        <w:footnoteReference w:id="44"/>
      </w:r>
      <w:r w:rsidR="00A17C45">
        <w:t xml:space="preserve"> </w:t>
      </w:r>
      <w:r w:rsidR="00382E8E">
        <w:t>which</w:t>
      </w:r>
      <w:r>
        <w:t xml:space="preserve"> have long provided clean syringes, harm reduction counseling, H</w:t>
      </w:r>
      <w:r w:rsidR="00E02654">
        <w:t>IV testing, and other services</w:t>
      </w:r>
      <w:r>
        <w:t>.</w:t>
      </w:r>
      <w:r>
        <w:rPr>
          <w:rStyle w:val="FootnoteReference"/>
        </w:rPr>
        <w:footnoteReference w:id="45"/>
      </w:r>
      <w:r>
        <w:t xml:space="preserve"> In the first three weeks of operation, staff averted at least 59 overdoses to prevent injury and death, with the centers being used more than 2,000 times during that period.</w:t>
      </w:r>
      <w:r>
        <w:rPr>
          <w:rStyle w:val="FootnoteReference"/>
        </w:rPr>
        <w:footnoteReference w:id="46"/>
      </w:r>
      <w:r w:rsidR="00A17C45">
        <w:t xml:space="preserve"> </w:t>
      </w:r>
    </w:p>
    <w:p w:rsidR="0028036B" w:rsidRPr="00AA71F5" w:rsidRDefault="00A17C45" w:rsidP="006812D7">
      <w:pPr>
        <w:spacing w:line="480" w:lineRule="auto"/>
        <w:ind w:firstLine="720"/>
        <w:jc w:val="both"/>
      </w:pPr>
      <w:r>
        <w:t>Despite this success, according to a</w:t>
      </w:r>
      <w:r w:rsidR="000537F7">
        <w:t>n</w:t>
      </w:r>
      <w:r w:rsidR="0028036B">
        <w:t xml:space="preserve"> interview </w:t>
      </w:r>
      <w:r w:rsidR="000537F7">
        <w:t xml:space="preserve">in May 2022 </w:t>
      </w:r>
      <w:r w:rsidR="0028036B">
        <w:t xml:space="preserve">with </w:t>
      </w:r>
      <w:r>
        <w:t xml:space="preserve">the </w:t>
      </w:r>
      <w:r w:rsidR="0028036B">
        <w:t>Metropolitan Transportation Authority</w:t>
      </w:r>
      <w:r>
        <w:t xml:space="preserve"> (MTA)</w:t>
      </w:r>
      <w:r w:rsidR="0028036B">
        <w:t xml:space="preserve"> CEO,</w:t>
      </w:r>
      <w:r>
        <w:t xml:space="preserve"> Janno Lieber</w:t>
      </w:r>
      <w:r w:rsidR="00EC0743">
        <w:t>,</w:t>
      </w:r>
      <w:r>
        <w:t xml:space="preserve"> </w:t>
      </w:r>
      <w:r w:rsidR="0028036B">
        <w:t>drug use at the 181</w:t>
      </w:r>
      <w:r w:rsidR="0028036B" w:rsidRPr="00F14355">
        <w:rPr>
          <w:vertAlign w:val="superscript"/>
        </w:rPr>
        <w:t>st</w:t>
      </w:r>
      <w:r w:rsidR="0028036B">
        <w:t xml:space="preserve"> Street subway station </w:t>
      </w:r>
      <w:r w:rsidR="00A00862">
        <w:t>increased</w:t>
      </w:r>
      <w:r w:rsidR="0028036B">
        <w:t xml:space="preserve"> especially once the nearby </w:t>
      </w:r>
      <w:r w:rsidR="00EC0743">
        <w:t>overdose prevention site</w:t>
      </w:r>
      <w:r w:rsidR="0028036B">
        <w:t xml:space="preserve"> closes for the day.</w:t>
      </w:r>
      <w:r w:rsidR="0028036B">
        <w:rPr>
          <w:rStyle w:val="FootnoteReference"/>
        </w:rPr>
        <w:footnoteReference w:id="47"/>
      </w:r>
      <w:r w:rsidR="0028036B">
        <w:t xml:space="preserve"> </w:t>
      </w:r>
      <w:r>
        <w:t>Further, t</w:t>
      </w:r>
      <w:r w:rsidR="0028036B">
        <w:t xml:space="preserve">he MTA Chief Customer Officer tweeted </w:t>
      </w:r>
      <w:r w:rsidR="00E02654">
        <w:t>that the</w:t>
      </w:r>
      <w:r w:rsidR="0028036B">
        <w:t xml:space="preserve"> “centers should be open 24/7,” noting “during the hours they are closed, hundreds of needles have been discarded on subway tracks and platforms”</w:t>
      </w:r>
      <w:r w:rsidR="0028036B">
        <w:rPr>
          <w:rStyle w:val="FootnoteReference"/>
        </w:rPr>
        <w:footnoteReference w:id="48"/>
      </w:r>
      <w:r w:rsidR="0028036B">
        <w:t xml:space="preserve"> putting the neighborhood at risk of injury and infection.</w:t>
      </w:r>
      <w:r w:rsidR="0028036B">
        <w:rPr>
          <w:rStyle w:val="FootnoteReference"/>
        </w:rPr>
        <w:footnoteReference w:id="49"/>
      </w:r>
      <w:r w:rsidR="0028036B">
        <w:t xml:space="preserve"> </w:t>
      </w:r>
    </w:p>
    <w:p w:rsidR="007C3F49" w:rsidRDefault="007C3F49" w:rsidP="006812D7">
      <w:pPr>
        <w:spacing w:line="480" w:lineRule="auto"/>
        <w:ind w:firstLine="720"/>
        <w:jc w:val="both"/>
      </w:pPr>
      <w:r>
        <w:t>The Centers for Disease Control and Prevention (CDC) reports</w:t>
      </w:r>
      <w:r w:rsidR="00E02654">
        <w:t xml:space="preserve"> that</w:t>
      </w:r>
      <w:r>
        <w:t xml:space="preserve"> “</w:t>
      </w:r>
      <w:r w:rsidR="0028036B">
        <w:t>needle sticks</w:t>
      </w:r>
      <w:r>
        <w:t xml:space="preserve"> and othe</w:t>
      </w:r>
      <w:r w:rsidR="00E02654">
        <w:t xml:space="preserve">r sharps-related injuries” in </w:t>
      </w:r>
      <w:r>
        <w:t>healthcare setting</w:t>
      </w:r>
      <w:r w:rsidR="00E02654">
        <w:t>s</w:t>
      </w:r>
      <w:r>
        <w:t xml:space="preserve"> are associated with the transmission of hepatitis B virus (HBV), hepatitis C virus (HCV), and human immunodeficiency virus (HIV), and have also been implicated in the transmission of more than 20 other pathogens.”</w:t>
      </w:r>
      <w:r>
        <w:rPr>
          <w:rStyle w:val="FootnoteReference"/>
        </w:rPr>
        <w:footnoteReference w:id="50"/>
      </w:r>
      <w:r>
        <w:t xml:space="preserve">  Similarly, </w:t>
      </w:r>
      <w:r w:rsidR="00D66878">
        <w:t>a recent study</w:t>
      </w:r>
      <w:r>
        <w:t xml:space="preserve"> at Yale University revealed </w:t>
      </w:r>
      <w:r w:rsidR="00E02654">
        <w:t xml:space="preserve">that </w:t>
      </w:r>
      <w:r w:rsidR="00E7742B">
        <w:t>the most common</w:t>
      </w:r>
      <w:r w:rsidR="00842AB1">
        <w:t xml:space="preserve"> type of</w:t>
      </w:r>
      <w:r w:rsidR="00E7742B">
        <w:t xml:space="preserve"> </w:t>
      </w:r>
      <w:r>
        <w:t xml:space="preserve">HIV </w:t>
      </w:r>
      <w:r w:rsidR="00E7742B">
        <w:t>“</w:t>
      </w:r>
      <w:r>
        <w:t>can survive for more than two weeks in a syringe and therefore could spread quickly” among individuals with untreated substance use disorders</w:t>
      </w:r>
      <w:r w:rsidR="00D66878">
        <w:t>, especially those</w:t>
      </w:r>
      <w:r>
        <w:t xml:space="preserve"> “who may reuse or share needles seven or more times.”</w:t>
      </w:r>
      <w:r>
        <w:rPr>
          <w:rStyle w:val="FootnoteReference"/>
        </w:rPr>
        <w:footnoteReference w:id="51"/>
      </w:r>
      <w:r>
        <w:t xml:space="preserve"> The </w:t>
      </w:r>
      <w:r w:rsidR="006F19A2">
        <w:t xml:space="preserve">study emphasized </w:t>
      </w:r>
      <w:r>
        <w:t xml:space="preserve">the importance of government-sponsored needle-exchange programs to reduce the spread of HIV </w:t>
      </w:r>
      <w:r w:rsidR="00D66878">
        <w:t>in</w:t>
      </w:r>
      <w:r w:rsidR="006F19A2">
        <w:t xml:space="preserve"> individuals with</w:t>
      </w:r>
      <w:r>
        <w:t xml:space="preserve"> un</w:t>
      </w:r>
      <w:r w:rsidR="006F19A2">
        <w:t>treated substance use disorders</w:t>
      </w:r>
      <w:r>
        <w:t xml:space="preserve"> </w:t>
      </w:r>
      <w:r w:rsidR="006F19A2">
        <w:t>who share</w:t>
      </w:r>
      <w:r>
        <w:t xml:space="preserve"> needles.</w:t>
      </w:r>
      <w:r>
        <w:rPr>
          <w:rStyle w:val="FootnoteReference"/>
        </w:rPr>
        <w:footnoteReference w:id="52"/>
      </w:r>
      <w:r w:rsidR="0028036B">
        <w:t xml:space="preserve"> </w:t>
      </w:r>
    </w:p>
    <w:p w:rsidR="002D0C0A" w:rsidRPr="001E2A54" w:rsidRDefault="00C77358" w:rsidP="002169FE">
      <w:pPr>
        <w:spacing w:line="480" w:lineRule="auto"/>
        <w:ind w:firstLine="720"/>
        <w:jc w:val="both"/>
      </w:pPr>
      <w:r>
        <w:t>A syringe ex</w:t>
      </w:r>
      <w:r w:rsidR="00987C12">
        <w:t xml:space="preserve">change program aims to prevent </w:t>
      </w:r>
      <w:r w:rsidR="00BD4867">
        <w:t xml:space="preserve">the </w:t>
      </w:r>
      <w:r w:rsidR="00987C12">
        <w:t xml:space="preserve">reusing of needles by offering </w:t>
      </w:r>
      <w:r w:rsidR="00E05629">
        <w:t xml:space="preserve">clean, unused syringes in exchange for used ones. A buyback program takes this concept one step further by offering </w:t>
      </w:r>
      <w:r w:rsidR="009E354E">
        <w:t>money in exchange for the used syringe</w:t>
      </w:r>
      <w:r w:rsidR="007A6450">
        <w:t>s</w:t>
      </w:r>
      <w:r w:rsidR="009E354E">
        <w:t xml:space="preserve">, further incentivizing the </w:t>
      </w:r>
      <w:r w:rsidR="004143E3">
        <w:t>proper disposal of used syringes and discouraging the</w:t>
      </w:r>
      <w:r w:rsidR="00165212">
        <w:t>ir</w:t>
      </w:r>
      <w:r w:rsidR="004143E3">
        <w:t xml:space="preserve"> reuse</w:t>
      </w:r>
      <w:r w:rsidR="00BD4867">
        <w:t xml:space="preserve">. </w:t>
      </w:r>
      <w:r w:rsidR="0028036B">
        <w:t xml:space="preserve">The concept of pilot buyback programs is not novel, and similar programs have been launched in other states with success. </w:t>
      </w:r>
      <w:r w:rsidR="007C3F49">
        <w:t>In December 2020, the city of Boston launched a pilot syringe buyback program which resulted in the collection of over 40,000 used syringes by March 2021.</w:t>
      </w:r>
      <w:r w:rsidR="007C3F49">
        <w:rPr>
          <w:rStyle w:val="FootnoteReference"/>
        </w:rPr>
        <w:footnoteReference w:id="53"/>
      </w:r>
      <w:r w:rsidR="007C3F49">
        <w:t xml:space="preserve"> Operated by a </w:t>
      </w:r>
      <w:r w:rsidR="002D0C0A">
        <w:t>privately funded</w:t>
      </w:r>
      <w:r w:rsidR="007C3F49">
        <w:t xml:space="preserve"> “grass-roots company</w:t>
      </w:r>
      <w:r w:rsidR="007A6450">
        <w:t>” called</w:t>
      </w:r>
      <w:r w:rsidR="007C3F49">
        <w:t xml:space="preserve"> Addiction Disposal Services, LLC</w:t>
      </w:r>
      <w:r w:rsidR="007A6450">
        <w:t xml:space="preserve">, </w:t>
      </w:r>
      <w:r w:rsidR="0056550B">
        <w:t xml:space="preserve">the program </w:t>
      </w:r>
      <w:r w:rsidR="007C3F49">
        <w:t>offers 20 cents a syringe for a maximum payout of $10.00 per day and hopes to “partner with the city” in the future.</w:t>
      </w:r>
      <w:r w:rsidR="007C3F49">
        <w:rPr>
          <w:rStyle w:val="FootnoteReference"/>
        </w:rPr>
        <w:footnoteReference w:id="54"/>
      </w:r>
      <w:r w:rsidR="007C3F49">
        <w:t xml:space="preserve">  </w:t>
      </w:r>
    </w:p>
    <w:p w:rsidR="00E201F6" w:rsidRPr="006812D7" w:rsidRDefault="001E2A54" w:rsidP="00E201F6">
      <w:pPr>
        <w:pStyle w:val="ListParagraph"/>
        <w:numPr>
          <w:ilvl w:val="0"/>
          <w:numId w:val="1"/>
        </w:numPr>
        <w:spacing w:line="480" w:lineRule="auto"/>
        <w:jc w:val="both"/>
        <w:rPr>
          <w:b/>
        </w:rPr>
      </w:pPr>
      <w:r>
        <w:rPr>
          <w:b/>
        </w:rPr>
        <w:t xml:space="preserve">Bill Analysis </w:t>
      </w:r>
    </w:p>
    <w:p w:rsidR="00BF743B" w:rsidRDefault="001E2A54" w:rsidP="00BF743B">
      <w:pPr>
        <w:spacing w:line="480" w:lineRule="auto"/>
        <w:jc w:val="both"/>
        <w:rPr>
          <w:bCs/>
        </w:rPr>
      </w:pPr>
      <w:r>
        <w:rPr>
          <w:b/>
          <w:bCs/>
          <w:u w:val="single"/>
        </w:rPr>
        <w:t>Proposed Int. No. 609-A</w:t>
      </w:r>
      <w:r>
        <w:rPr>
          <w:b/>
          <w:bCs/>
        </w:rPr>
        <w:t xml:space="preserve"> </w:t>
      </w:r>
    </w:p>
    <w:p w:rsidR="00BF743B" w:rsidRPr="00BF743B" w:rsidRDefault="00BF743B" w:rsidP="00BF743B">
      <w:pPr>
        <w:spacing w:line="480" w:lineRule="auto"/>
        <w:ind w:firstLine="720"/>
        <w:jc w:val="both"/>
        <w:rPr>
          <w:bCs/>
        </w:rPr>
      </w:pPr>
      <w:r>
        <w:t xml:space="preserve">This bill would require </w:t>
      </w:r>
      <w:r w:rsidR="00C871C5">
        <w:t>DOHMH</w:t>
      </w:r>
      <w:r>
        <w:t xml:space="preserve"> to establish a pilot program to offer financial incentives for the return of needles, syringes, and sharps used for non-medical consumption at locations in the </w:t>
      </w:r>
      <w:r w:rsidR="00AA6EED">
        <w:t xml:space="preserve">five </w:t>
      </w:r>
      <w:r>
        <w:t>highest-need council districts. The bill would require DOHMH to determine eligibility for participation in the program. The bill would authorize DOHMH to set the buyback incentive, up to 20 cents per needle, syringe or sharp, with a cap of $10 per individual per day. Once implemented, the program would expire after one year and would require DOHMH to submit a report no later than six months after the program has ended that includes the name and locations of all buyback locations</w:t>
      </w:r>
      <w:r w:rsidR="00430F79">
        <w:t xml:space="preserve">; </w:t>
      </w:r>
      <w:r>
        <w:t>the number of litter returned under the program, by location</w:t>
      </w:r>
      <w:r w:rsidR="00430F79">
        <w:t xml:space="preserve">; </w:t>
      </w:r>
      <w:r>
        <w:t>the total amount of money disbursed</w:t>
      </w:r>
      <w:r w:rsidR="00430F79">
        <w:t xml:space="preserve">; </w:t>
      </w:r>
      <w:r>
        <w:t>and a recommendation as to whether to make the pilot program permanent and whether to expand it. The bill would also require DOHMH to create a community-based plan of action to address the opioid epidemic in communities deemed at highest risk for opioid abuse and deaths.</w:t>
      </w:r>
    </w:p>
    <w:p w:rsidR="00E201F6" w:rsidRDefault="00596904" w:rsidP="00C871C5">
      <w:pPr>
        <w:spacing w:line="480" w:lineRule="auto"/>
        <w:ind w:firstLine="720"/>
        <w:jc w:val="both"/>
      </w:pPr>
      <w:r w:rsidRPr="00BF743B">
        <w:t>Since it was hear</w:t>
      </w:r>
      <w:r w:rsidR="00BF743B">
        <w:t xml:space="preserve">d, the bill was amended to clarify that </w:t>
      </w:r>
      <w:r w:rsidR="00C871C5">
        <w:t xml:space="preserve">at least </w:t>
      </w:r>
      <w:r w:rsidR="00430F79">
        <w:t xml:space="preserve">one </w:t>
      </w:r>
      <w:r w:rsidR="00C871C5">
        <w:t xml:space="preserve">buyback location must be located in each of the </w:t>
      </w:r>
      <w:r w:rsidR="00430F79">
        <w:t xml:space="preserve">five </w:t>
      </w:r>
      <w:r w:rsidR="00C871C5">
        <w:t xml:space="preserve">highest-need council districts, and </w:t>
      </w:r>
      <w:r w:rsidR="00AA6EED">
        <w:t xml:space="preserve">to remove </w:t>
      </w:r>
      <w:r w:rsidR="00C871C5">
        <w:t xml:space="preserve">the enumerated requirements for eligibility in the program. </w:t>
      </w:r>
      <w:r w:rsidR="00AA6EED">
        <w:t xml:space="preserve">The bill directs </w:t>
      </w:r>
      <w:r w:rsidR="00C871C5">
        <w:t xml:space="preserve">DOHMH to determine eligibility for participation in </w:t>
      </w:r>
      <w:r w:rsidR="00AA6EED">
        <w:t xml:space="preserve">the </w:t>
      </w:r>
      <w:r w:rsidR="00C871C5">
        <w:t>program and may consult with the OPCs, H+H, and any other entity deemed relevant by the commissioner.</w:t>
      </w:r>
    </w:p>
    <w:p w:rsidR="007C4428" w:rsidRDefault="007C4428" w:rsidP="00C871C5">
      <w:pPr>
        <w:spacing w:line="480" w:lineRule="auto"/>
        <w:ind w:firstLine="720"/>
        <w:jc w:val="both"/>
      </w:pPr>
    </w:p>
    <w:p w:rsidR="007C4428" w:rsidRDefault="007C4428" w:rsidP="007C4428">
      <w:pPr>
        <w:spacing w:line="480" w:lineRule="auto"/>
        <w:jc w:val="both"/>
      </w:pPr>
      <w:r w:rsidRPr="00274EE1">
        <w:rPr>
          <w:b/>
          <w:u w:val="single"/>
        </w:rPr>
        <w:t>Proposed Int. No. 404-A</w:t>
      </w:r>
      <w:r>
        <w:rPr>
          <w:b/>
        </w:rPr>
        <w:t xml:space="preserve"> </w:t>
      </w:r>
    </w:p>
    <w:p w:rsidR="007C4428" w:rsidRDefault="007C4428" w:rsidP="007C4428">
      <w:pPr>
        <w:spacing w:line="480" w:lineRule="auto"/>
        <w:ind w:firstLine="720"/>
        <w:jc w:val="both"/>
      </w:pPr>
      <w:r>
        <w:t>This bill wo</w:t>
      </w:r>
      <w:r w:rsidRPr="00AD384E">
        <w:t>uld</w:t>
      </w:r>
      <w:r>
        <w:t xml:space="preserve"> require DOHMH or another agency designated by the mayor</w:t>
      </w:r>
      <w:r w:rsidR="00DA49F4">
        <w:t xml:space="preserve"> (designated agency)</w:t>
      </w:r>
      <w:r>
        <w:t xml:space="preserve">, to report on the monies paid to the </w:t>
      </w:r>
      <w:r w:rsidR="00DA49F4">
        <w:t xml:space="preserve">City </w:t>
      </w:r>
      <w:r>
        <w:t xml:space="preserve">pursuant to the New York opioid settlement sharing agreement, or any other agreement with an opioid supply chain participant, or any successor agreement to either such agreement. The bill would require the </w:t>
      </w:r>
      <w:r w:rsidR="00DA49F4">
        <w:t xml:space="preserve">designated </w:t>
      </w:r>
      <w:r>
        <w:t xml:space="preserve">agency to submit a report within 30 days of the release of each </w:t>
      </w:r>
      <w:r w:rsidR="00DA49F4">
        <w:t xml:space="preserve">City </w:t>
      </w:r>
      <w:r>
        <w:t xml:space="preserve">financial plan or update that discloses the total amount of opioid funds, where the funds are being spent, the number of New Yorkers benefiting from the funds, and anticipated appropriation of the funds broken down by fiscal year. </w:t>
      </w:r>
      <w:r w:rsidR="00DA49F4">
        <w:t xml:space="preserve">The </w:t>
      </w:r>
      <w:r>
        <w:t xml:space="preserve">bill would require the </w:t>
      </w:r>
      <w:r w:rsidR="00DA49F4">
        <w:t xml:space="preserve">designated </w:t>
      </w:r>
      <w:r>
        <w:t>agency to submit such reports until all of the opioid funds have been appropriated.</w:t>
      </w:r>
    </w:p>
    <w:p w:rsidR="007C4428" w:rsidRDefault="007C4428" w:rsidP="007C4428">
      <w:pPr>
        <w:spacing w:line="480" w:lineRule="auto"/>
        <w:ind w:firstLine="720"/>
        <w:jc w:val="both"/>
      </w:pPr>
      <w:r w:rsidRPr="005855C8">
        <w:t>Since it was hear</w:t>
      </w:r>
      <w:r>
        <w:t xml:space="preserve">d, the bill was amended to clarify that the opioid funds allocated to the City are being received pursuant to a settlement sharing agreement with New York State. The bill was also amended to require the </w:t>
      </w:r>
      <w:r w:rsidR="00DA49F4">
        <w:t xml:space="preserve">designated </w:t>
      </w:r>
      <w:r>
        <w:t xml:space="preserve">agency to submit their reports within 30 days of the release of each </w:t>
      </w:r>
      <w:r w:rsidR="00DA49F4">
        <w:t xml:space="preserve">City </w:t>
      </w:r>
      <w:r>
        <w:t xml:space="preserve">financial plan or update, instead of monthly. Further, in referring to how the funds are intended to be applied, the bill was amended to replace “withdrawn, spent, or committed to be spent” with “appropriated.” Lastly, the bill was amended to clarify when the </w:t>
      </w:r>
      <w:r w:rsidR="00DA49F4">
        <w:t xml:space="preserve">designated </w:t>
      </w:r>
      <w:r>
        <w:t>agency’s reporting obligations end.</w:t>
      </w:r>
    </w:p>
    <w:p w:rsidR="007C4428" w:rsidRDefault="007C4428" w:rsidP="00C871C5">
      <w:pPr>
        <w:spacing w:line="480" w:lineRule="auto"/>
        <w:ind w:firstLine="720"/>
        <w:jc w:val="both"/>
      </w:pPr>
    </w:p>
    <w:p w:rsidR="00C871C5" w:rsidRDefault="00C871C5">
      <w:pPr>
        <w:spacing w:after="160" w:line="259" w:lineRule="auto"/>
      </w:pPr>
      <w:r>
        <w:br w:type="page"/>
      </w:r>
    </w:p>
    <w:p w:rsidR="00C871C5" w:rsidRDefault="00C871C5" w:rsidP="00C871C5">
      <w:pPr>
        <w:jc w:val="center"/>
      </w:pPr>
      <w:r>
        <w:t>Proposed Int. No. 609-A</w:t>
      </w:r>
    </w:p>
    <w:p w:rsidR="00C871C5" w:rsidRDefault="00C871C5" w:rsidP="00C871C5">
      <w:pPr>
        <w:jc w:val="center"/>
      </w:pPr>
    </w:p>
    <w:p w:rsidR="00C871C5" w:rsidRDefault="00C871C5" w:rsidP="00C871C5">
      <w:pPr>
        <w:autoSpaceDE w:val="0"/>
        <w:autoSpaceDN w:val="0"/>
        <w:adjustRightInd w:val="0"/>
        <w:jc w:val="both"/>
        <w:rPr>
          <w:rFonts w:eastAsia="Calibri"/>
        </w:rPr>
      </w:pPr>
      <w:r>
        <w:rPr>
          <w:rFonts w:eastAsia="Calibri"/>
        </w:rPr>
        <w:t>By Council Members Ayala, Restler, Won, Nurse, Gutiérrez, Joseph, Farías, Narcisse, Williams, Richardson Jordan, Stevens, Cabán, Brewer, Salamanca, Abreu, Hudson, Brannan, Ossé, Hanif, Krishnan, Avilés, Sanchez and Louis</w:t>
      </w:r>
    </w:p>
    <w:p w:rsidR="00C871C5" w:rsidRDefault="00C871C5" w:rsidP="00C871C5">
      <w:pPr>
        <w:pStyle w:val="BodyText"/>
        <w:spacing w:line="240" w:lineRule="auto"/>
        <w:ind w:firstLine="0"/>
      </w:pPr>
    </w:p>
    <w:p w:rsidR="00C871C5" w:rsidRPr="00B659EA" w:rsidRDefault="00C871C5" w:rsidP="00C871C5">
      <w:pPr>
        <w:pStyle w:val="BodyText"/>
        <w:spacing w:line="240" w:lineRule="auto"/>
        <w:ind w:firstLine="0"/>
        <w:rPr>
          <w:vanish/>
        </w:rPr>
      </w:pPr>
      <w:r w:rsidRPr="00B659EA">
        <w:rPr>
          <w:vanish/>
        </w:rPr>
        <w:t>..Title</w:t>
      </w:r>
    </w:p>
    <w:p w:rsidR="00C871C5" w:rsidRDefault="00C871C5" w:rsidP="00C871C5">
      <w:pPr>
        <w:pStyle w:val="BodyText"/>
        <w:spacing w:line="240" w:lineRule="auto"/>
        <w:ind w:firstLine="0"/>
      </w:pPr>
      <w:r>
        <w:t>A Local Law to amend the administrative code of the city of New York, in relation to establishing a needle, syringe, and sharps buyback pilot program</w:t>
      </w:r>
    </w:p>
    <w:p w:rsidR="00C871C5" w:rsidRPr="00B659EA" w:rsidRDefault="00C871C5" w:rsidP="00C871C5">
      <w:pPr>
        <w:pStyle w:val="BodyText"/>
        <w:spacing w:line="240" w:lineRule="auto"/>
        <w:ind w:firstLine="0"/>
        <w:rPr>
          <w:vanish/>
        </w:rPr>
      </w:pPr>
      <w:r w:rsidRPr="00B659EA">
        <w:rPr>
          <w:vanish/>
        </w:rPr>
        <w:t>..Body</w:t>
      </w:r>
    </w:p>
    <w:p w:rsidR="00C871C5" w:rsidRDefault="00C871C5" w:rsidP="00C871C5">
      <w:pPr>
        <w:pStyle w:val="BodyText"/>
        <w:spacing w:line="240" w:lineRule="auto"/>
        <w:ind w:firstLine="0"/>
        <w:rPr>
          <w:u w:val="single"/>
        </w:rPr>
      </w:pPr>
    </w:p>
    <w:p w:rsidR="00C871C5" w:rsidRDefault="00C871C5" w:rsidP="00C871C5">
      <w:pPr>
        <w:jc w:val="both"/>
      </w:pPr>
      <w:r>
        <w:rPr>
          <w:u w:val="single"/>
        </w:rPr>
        <w:t>Be it enacted by the Council as follows</w:t>
      </w:r>
      <w:r w:rsidRPr="005B5DE4">
        <w:rPr>
          <w:u w:val="single"/>
        </w:rPr>
        <w:t>:</w:t>
      </w:r>
    </w:p>
    <w:p w:rsidR="00C871C5" w:rsidRDefault="00C871C5" w:rsidP="00C871C5">
      <w:pPr>
        <w:jc w:val="both"/>
      </w:pPr>
    </w:p>
    <w:p w:rsidR="00C871C5" w:rsidRDefault="00C871C5" w:rsidP="00C871C5">
      <w:pPr>
        <w:spacing w:line="480" w:lineRule="auto"/>
        <w:jc w:val="both"/>
        <w:sectPr w:rsidR="00C871C5" w:rsidSect="007C4428">
          <w:footerReference w:type="default" r:id="rId10"/>
          <w:footerReference w:type="first" r:id="rId11"/>
          <w:pgSz w:w="12240" w:h="15840"/>
          <w:pgMar w:top="1440" w:right="1440" w:bottom="1350" w:left="1440" w:header="720" w:footer="720" w:gutter="0"/>
          <w:cols w:space="720"/>
          <w:docGrid w:linePitch="360"/>
        </w:sectPr>
      </w:pPr>
    </w:p>
    <w:p w:rsidR="00C871C5" w:rsidRDefault="00C871C5" w:rsidP="00C871C5">
      <w:pPr>
        <w:spacing w:line="480" w:lineRule="auto"/>
        <w:ind w:firstLine="720"/>
        <w:jc w:val="both"/>
      </w:pPr>
      <w:r>
        <w:t>Section 1. The heading of section 17-180.1 of the administrative code of the city of New York, as added by local law number 128 for the year 2018, is amended to read as follows:</w:t>
      </w:r>
    </w:p>
    <w:p w:rsidR="00C871C5" w:rsidRPr="00F158DD" w:rsidRDefault="00C871C5" w:rsidP="00C871C5">
      <w:pPr>
        <w:spacing w:line="480" w:lineRule="auto"/>
        <w:ind w:firstLine="720"/>
        <w:jc w:val="both"/>
        <w:rPr>
          <w:u w:val="single"/>
        </w:rPr>
      </w:pPr>
      <w:r w:rsidRPr="00764639">
        <w:t xml:space="preserve">§ 17-180.1 Overdose prevention and reversal </w:t>
      </w:r>
      <w:r w:rsidRPr="00C1395C">
        <w:t>training</w:t>
      </w:r>
      <w:r w:rsidRPr="00636E8E">
        <w:rPr>
          <w:u w:val="single"/>
        </w:rPr>
        <w:t>; needle, syringe</w:t>
      </w:r>
      <w:r>
        <w:rPr>
          <w:u w:val="single"/>
        </w:rPr>
        <w:t>,</w:t>
      </w:r>
      <w:r w:rsidRPr="00636E8E">
        <w:rPr>
          <w:u w:val="single"/>
        </w:rPr>
        <w:t xml:space="preserve"> and sharps buyback</w:t>
      </w:r>
      <w:r w:rsidRPr="00C1395C">
        <w:t>.</w:t>
      </w:r>
    </w:p>
    <w:p w:rsidR="00C871C5" w:rsidRPr="00CA23AD" w:rsidRDefault="00C871C5" w:rsidP="00C871C5">
      <w:pPr>
        <w:spacing w:line="480" w:lineRule="auto"/>
        <w:ind w:firstLine="720"/>
        <w:jc w:val="both"/>
      </w:pPr>
      <w:r w:rsidRPr="00CA23AD">
        <w:t>§ 2. Section 17-180.1 of the administrative code of the city of New York</w:t>
      </w:r>
      <w:r>
        <w:t>, as added by local law number 128 for the year 2018,</w:t>
      </w:r>
      <w:r w:rsidRPr="00CA23AD">
        <w:t xml:space="preserve"> is amended by adding new subdivision</w:t>
      </w:r>
      <w:r>
        <w:t>s</w:t>
      </w:r>
      <w:r w:rsidRPr="00CA23AD">
        <w:t xml:space="preserve"> g </w:t>
      </w:r>
      <w:r>
        <w:t xml:space="preserve">and h </w:t>
      </w:r>
      <w:r w:rsidRPr="00CA23AD">
        <w:t>to read as follows:</w:t>
      </w:r>
    </w:p>
    <w:p w:rsidR="00C871C5" w:rsidRDefault="00C871C5" w:rsidP="00C871C5">
      <w:pPr>
        <w:pStyle w:val="NormalWeb"/>
        <w:shd w:val="clear" w:color="auto" w:fill="FFFFFF"/>
        <w:spacing w:before="0" w:beforeAutospacing="0" w:after="0" w:afterAutospacing="0" w:line="480" w:lineRule="auto"/>
        <w:ind w:firstLine="720"/>
        <w:jc w:val="both"/>
        <w:rPr>
          <w:u w:val="single"/>
        </w:rPr>
      </w:pPr>
      <w:r w:rsidRPr="00282486">
        <w:rPr>
          <w:u w:val="single"/>
        </w:rPr>
        <w:t xml:space="preserve">g. </w:t>
      </w:r>
      <w:r>
        <w:rPr>
          <w:u w:val="single"/>
        </w:rPr>
        <w:t xml:space="preserve">1. Needle, syringe, and sharps buyback pilot program. </w:t>
      </w:r>
      <w:r w:rsidRPr="00282486">
        <w:rPr>
          <w:u w:val="single"/>
        </w:rPr>
        <w:t>The department shall establish</w:t>
      </w:r>
      <w:r>
        <w:rPr>
          <w:u w:val="single"/>
        </w:rPr>
        <w:t xml:space="preserve"> </w:t>
      </w:r>
      <w:r w:rsidRPr="00282486">
        <w:rPr>
          <w:u w:val="single"/>
        </w:rPr>
        <w:t xml:space="preserve">a </w:t>
      </w:r>
      <w:r>
        <w:rPr>
          <w:u w:val="single"/>
        </w:rPr>
        <w:t xml:space="preserve">needle, syringe, and sharps buyback </w:t>
      </w:r>
      <w:r w:rsidRPr="00282486">
        <w:rPr>
          <w:u w:val="single"/>
        </w:rPr>
        <w:t>pil</w:t>
      </w:r>
      <w:r>
        <w:rPr>
          <w:u w:val="single"/>
        </w:rPr>
        <w:t xml:space="preserve">ot program. Such program shall offer financial incentives to individuals who collect and return needles, syringes, and sharps that were used for non-medical </w:t>
      </w:r>
      <w:r w:rsidRPr="00561934">
        <w:rPr>
          <w:u w:val="single"/>
        </w:rPr>
        <w:t>consumption.</w:t>
      </w:r>
      <w:r w:rsidDel="000E661C">
        <w:rPr>
          <w:u w:val="single"/>
        </w:rPr>
        <w:t xml:space="preserve"> </w:t>
      </w:r>
      <w:r>
        <w:rPr>
          <w:u w:val="single"/>
        </w:rPr>
        <w:t>In implementing such program, the department shall establish at least 1</w:t>
      </w:r>
      <w:r w:rsidRPr="002761CD">
        <w:rPr>
          <w:u w:val="single"/>
        </w:rPr>
        <w:t xml:space="preserve"> </w:t>
      </w:r>
      <w:r>
        <w:rPr>
          <w:u w:val="single"/>
        </w:rPr>
        <w:t>buyback location in each of the 5 highest-need council districts in the city, as determined by the department. The department shall set the amount of the buyback incentive for such program, except that such incentive shall not exceed 20 cents per needle, syringe, or sharp and shall not exceed</w:t>
      </w:r>
      <w:r w:rsidRPr="008952E3">
        <w:rPr>
          <w:u w:val="single"/>
        </w:rPr>
        <w:t xml:space="preserve"> </w:t>
      </w:r>
      <w:r>
        <w:rPr>
          <w:u w:val="single"/>
        </w:rPr>
        <w:t>a maximum payout of $1</w:t>
      </w:r>
      <w:r w:rsidRPr="008952E3">
        <w:rPr>
          <w:u w:val="single"/>
        </w:rPr>
        <w:t>0</w:t>
      </w:r>
      <w:r>
        <w:rPr>
          <w:u w:val="single"/>
        </w:rPr>
        <w:t xml:space="preserve"> per day to any individual. The department shall determine eligibility for such program and may consult with overdose prevention centers, the New York city health and hospitals corporation, or any other entity deemed relevant by the commissioner in administering such program. </w:t>
      </w:r>
    </w:p>
    <w:p w:rsidR="00C871C5" w:rsidRDefault="00C871C5" w:rsidP="00C871C5">
      <w:pPr>
        <w:pStyle w:val="NormalWeb"/>
        <w:shd w:val="clear" w:color="auto" w:fill="FFFFFF"/>
        <w:spacing w:before="0" w:beforeAutospacing="0" w:after="0" w:afterAutospacing="0" w:line="480" w:lineRule="auto"/>
        <w:ind w:firstLine="720"/>
        <w:jc w:val="both"/>
        <w:rPr>
          <w:color w:val="000000"/>
          <w:sz w:val="27"/>
          <w:szCs w:val="27"/>
        </w:rPr>
      </w:pPr>
      <w:r>
        <w:rPr>
          <w:u w:val="single"/>
        </w:rPr>
        <w:t xml:space="preserve">2. Implementation. </w:t>
      </w:r>
      <w:r w:rsidRPr="006101F6">
        <w:rPr>
          <w:color w:val="000000"/>
          <w:u w:val="single"/>
        </w:rPr>
        <w:t>The pilot program shall</w:t>
      </w:r>
      <w:r>
        <w:rPr>
          <w:color w:val="000000"/>
          <w:u w:val="single"/>
        </w:rPr>
        <w:t xml:space="preserve"> commence no later than 30 days after the effective date of the local law that added this subdivision and conclude one year after the date such program commences</w:t>
      </w:r>
      <w:r w:rsidRPr="006101F6">
        <w:rPr>
          <w:color w:val="000000"/>
          <w:u w:val="single"/>
        </w:rPr>
        <w:t>.</w:t>
      </w:r>
      <w:r>
        <w:rPr>
          <w:color w:val="000000"/>
          <w:u w:val="single"/>
        </w:rPr>
        <w:t xml:space="preserve"> On or before the date the pilot program commences, the department shall conspicuously post on its website a list of the buyback locations included in the pilot program.</w:t>
      </w:r>
    </w:p>
    <w:p w:rsidR="00C871C5" w:rsidRPr="006101F6" w:rsidRDefault="00C871C5" w:rsidP="00C871C5">
      <w:pPr>
        <w:pStyle w:val="NormalWeb"/>
        <w:shd w:val="clear" w:color="auto" w:fill="FFFFFF"/>
        <w:spacing w:before="0" w:beforeAutospacing="0" w:after="0" w:afterAutospacing="0" w:line="480" w:lineRule="auto"/>
        <w:ind w:firstLine="720"/>
        <w:jc w:val="both"/>
        <w:rPr>
          <w:color w:val="000000"/>
          <w:sz w:val="27"/>
          <w:szCs w:val="27"/>
          <w:u w:val="single"/>
        </w:rPr>
      </w:pPr>
      <w:r w:rsidRPr="006101F6">
        <w:rPr>
          <w:color w:val="000000"/>
          <w:u w:val="single"/>
        </w:rPr>
        <w:t xml:space="preserve">3. Report. No later than six months following the conclusion of the pilot program, the department shall submit to the mayor and the speaker of the council, and post conspicuously on the department’s website, a report </w:t>
      </w:r>
      <w:r>
        <w:rPr>
          <w:color w:val="000000"/>
          <w:u w:val="single"/>
        </w:rPr>
        <w:t>on</w:t>
      </w:r>
      <w:r w:rsidRPr="006101F6">
        <w:rPr>
          <w:color w:val="000000"/>
          <w:u w:val="single"/>
        </w:rPr>
        <w:t xml:space="preserve"> the pilot program established pursuant to this subdivision. Such report shall include</w:t>
      </w:r>
      <w:r>
        <w:rPr>
          <w:color w:val="000000"/>
          <w:u w:val="single"/>
        </w:rPr>
        <w:t>,</w:t>
      </w:r>
      <w:r w:rsidRPr="006101F6">
        <w:rPr>
          <w:color w:val="000000"/>
          <w:u w:val="single"/>
        </w:rPr>
        <w:t xml:space="preserve"> at a minimum</w:t>
      </w:r>
      <w:r>
        <w:rPr>
          <w:color w:val="000000"/>
          <w:u w:val="single"/>
        </w:rPr>
        <w:t>,</w:t>
      </w:r>
      <w:r w:rsidRPr="006101F6">
        <w:rPr>
          <w:color w:val="000000"/>
          <w:u w:val="single"/>
        </w:rPr>
        <w:t xml:space="preserve"> the following information:</w:t>
      </w:r>
    </w:p>
    <w:p w:rsidR="00C871C5" w:rsidRPr="006101F6" w:rsidRDefault="00C871C5" w:rsidP="00C871C5">
      <w:pPr>
        <w:pStyle w:val="NormalWeb"/>
        <w:shd w:val="clear" w:color="auto" w:fill="FFFFFF"/>
        <w:spacing w:before="0" w:beforeAutospacing="0" w:after="0" w:afterAutospacing="0" w:line="480" w:lineRule="auto"/>
        <w:ind w:firstLine="720"/>
        <w:jc w:val="both"/>
        <w:rPr>
          <w:color w:val="000000"/>
          <w:sz w:val="27"/>
          <w:szCs w:val="27"/>
          <w:u w:val="single"/>
        </w:rPr>
      </w:pPr>
      <w:r w:rsidRPr="006101F6">
        <w:rPr>
          <w:color w:val="000000"/>
          <w:u w:val="single"/>
        </w:rPr>
        <w:t xml:space="preserve">(a) The names and </w:t>
      </w:r>
      <w:r>
        <w:rPr>
          <w:color w:val="000000"/>
          <w:u w:val="single"/>
        </w:rPr>
        <w:t>addresses of all buyback locations included in</w:t>
      </w:r>
      <w:r w:rsidRPr="006101F6">
        <w:rPr>
          <w:color w:val="000000"/>
          <w:u w:val="single"/>
        </w:rPr>
        <w:t xml:space="preserve"> the pilot program;</w:t>
      </w:r>
    </w:p>
    <w:p w:rsidR="00C871C5" w:rsidRPr="006101F6" w:rsidRDefault="00C871C5" w:rsidP="00C871C5">
      <w:pPr>
        <w:pStyle w:val="NormalWeb"/>
        <w:shd w:val="clear" w:color="auto" w:fill="FFFFFF"/>
        <w:spacing w:before="0" w:beforeAutospacing="0" w:after="0" w:afterAutospacing="0" w:line="480" w:lineRule="auto"/>
        <w:ind w:firstLine="720"/>
        <w:jc w:val="both"/>
        <w:rPr>
          <w:color w:val="000000"/>
          <w:sz w:val="27"/>
          <w:szCs w:val="27"/>
          <w:u w:val="single"/>
        </w:rPr>
      </w:pPr>
      <w:r w:rsidRPr="006101F6">
        <w:rPr>
          <w:color w:val="000000"/>
          <w:u w:val="single"/>
        </w:rPr>
        <w:t xml:space="preserve">(b) The number of </w:t>
      </w:r>
      <w:r>
        <w:rPr>
          <w:color w:val="000000"/>
          <w:u w:val="single"/>
        </w:rPr>
        <w:t xml:space="preserve">needles, </w:t>
      </w:r>
      <w:r w:rsidRPr="006101F6">
        <w:rPr>
          <w:color w:val="000000"/>
          <w:u w:val="single"/>
        </w:rPr>
        <w:t>syringes</w:t>
      </w:r>
      <w:r>
        <w:rPr>
          <w:color w:val="000000"/>
          <w:u w:val="single"/>
        </w:rPr>
        <w:t>,</w:t>
      </w:r>
      <w:r w:rsidRPr="006101F6">
        <w:rPr>
          <w:color w:val="000000"/>
          <w:u w:val="single"/>
        </w:rPr>
        <w:t xml:space="preserve"> </w:t>
      </w:r>
      <w:r>
        <w:rPr>
          <w:color w:val="000000"/>
          <w:u w:val="single"/>
        </w:rPr>
        <w:t xml:space="preserve">and </w:t>
      </w:r>
      <w:r w:rsidRPr="006101F6">
        <w:rPr>
          <w:color w:val="000000"/>
          <w:u w:val="single"/>
        </w:rPr>
        <w:t xml:space="preserve">sharps returned </w:t>
      </w:r>
      <w:r>
        <w:rPr>
          <w:color w:val="000000"/>
          <w:u w:val="single"/>
        </w:rPr>
        <w:t>or disposed of under the pilot program, disaggregated by buyback location;</w:t>
      </w:r>
    </w:p>
    <w:p w:rsidR="00C871C5" w:rsidRDefault="00C871C5" w:rsidP="00C871C5">
      <w:pPr>
        <w:pStyle w:val="NormalWeb"/>
        <w:shd w:val="clear" w:color="auto" w:fill="FFFFFF"/>
        <w:spacing w:before="0" w:beforeAutospacing="0" w:after="0" w:afterAutospacing="0" w:line="480" w:lineRule="auto"/>
        <w:ind w:firstLine="720"/>
        <w:jc w:val="both"/>
        <w:rPr>
          <w:color w:val="000000"/>
          <w:u w:val="single"/>
        </w:rPr>
      </w:pPr>
      <w:r w:rsidRPr="006101F6">
        <w:rPr>
          <w:color w:val="000000"/>
          <w:u w:val="single"/>
        </w:rPr>
        <w:t xml:space="preserve">(c) The total amount </w:t>
      </w:r>
      <w:r>
        <w:rPr>
          <w:color w:val="000000"/>
          <w:u w:val="single"/>
        </w:rPr>
        <w:t>of money disbursed to individuals; and</w:t>
      </w:r>
    </w:p>
    <w:p w:rsidR="00C871C5" w:rsidRDefault="00C871C5" w:rsidP="00C871C5">
      <w:pPr>
        <w:spacing w:line="480" w:lineRule="auto"/>
        <w:ind w:firstLine="720"/>
        <w:jc w:val="both"/>
        <w:rPr>
          <w:u w:val="single"/>
        </w:rPr>
      </w:pPr>
      <w:r>
        <w:rPr>
          <w:color w:val="000000"/>
          <w:u w:val="single"/>
        </w:rPr>
        <w:t>(d) The department’s recommendation as to whether to establish a permanent buyback program and whether and how to expand such program.</w:t>
      </w:r>
      <w:r w:rsidRPr="00E31F6C">
        <w:rPr>
          <w:u w:val="single"/>
        </w:rPr>
        <w:t xml:space="preserve"> </w:t>
      </w:r>
    </w:p>
    <w:p w:rsidR="00C871C5" w:rsidRPr="00561934" w:rsidRDefault="00C871C5" w:rsidP="00C871C5">
      <w:pPr>
        <w:spacing w:line="480" w:lineRule="auto"/>
        <w:ind w:firstLine="720"/>
        <w:jc w:val="both"/>
        <w:rPr>
          <w:u w:val="single"/>
        </w:rPr>
      </w:pPr>
      <w:r w:rsidRPr="00561934">
        <w:rPr>
          <w:u w:val="single"/>
        </w:rPr>
        <w:t>h. 1. Community-based plan of action. The department, in conjunction with stakeholders, community-based organizations, providers</w:t>
      </w:r>
      <w:r>
        <w:rPr>
          <w:u w:val="single"/>
        </w:rPr>
        <w:t>,</w:t>
      </w:r>
      <w:r w:rsidRPr="00561934">
        <w:rPr>
          <w:u w:val="single"/>
        </w:rPr>
        <w:t xml:space="preserve"> and all other entities</w:t>
      </w:r>
      <w:r>
        <w:rPr>
          <w:u w:val="single"/>
        </w:rPr>
        <w:t xml:space="preserve"> deemed relevant by the commissioner,</w:t>
      </w:r>
      <w:r w:rsidRPr="00561934">
        <w:rPr>
          <w:u w:val="single"/>
        </w:rPr>
        <w:t xml:space="preserve"> shall create a community-based plan of action to address the opioid epidemic in communities that the department deems </w:t>
      </w:r>
      <w:r>
        <w:rPr>
          <w:u w:val="single"/>
        </w:rPr>
        <w:t>are at</w:t>
      </w:r>
      <w:r w:rsidRPr="00561934">
        <w:rPr>
          <w:u w:val="single"/>
        </w:rPr>
        <w:t xml:space="preserve"> highest risk for opioid abuse and overdose deaths. Such plan shall include, at a minimum:</w:t>
      </w:r>
    </w:p>
    <w:p w:rsidR="00C871C5" w:rsidRPr="00561934" w:rsidRDefault="00C871C5" w:rsidP="00C871C5">
      <w:pPr>
        <w:spacing w:line="480" w:lineRule="auto"/>
        <w:ind w:firstLine="720"/>
        <w:jc w:val="both"/>
        <w:rPr>
          <w:u w:val="single"/>
        </w:rPr>
      </w:pPr>
      <w:r w:rsidRPr="00561934">
        <w:rPr>
          <w:u w:val="single"/>
        </w:rPr>
        <w:t>(a) The creation of a community-based working group, which shall include relevant stakeholders and providers from each community identified by the department pursuant to this paragraph;</w:t>
      </w:r>
    </w:p>
    <w:p w:rsidR="00C871C5" w:rsidRPr="00561934" w:rsidRDefault="00C871C5" w:rsidP="00C871C5">
      <w:pPr>
        <w:spacing w:line="480" w:lineRule="auto"/>
        <w:ind w:firstLine="720"/>
        <w:jc w:val="both"/>
        <w:rPr>
          <w:u w:val="single"/>
        </w:rPr>
      </w:pPr>
      <w:r w:rsidRPr="00561934">
        <w:rPr>
          <w:u w:val="single"/>
        </w:rPr>
        <w:t xml:space="preserve">(b) A public awareness strategy </w:t>
      </w:r>
      <w:r>
        <w:rPr>
          <w:u w:val="single"/>
        </w:rPr>
        <w:t>that</w:t>
      </w:r>
      <w:r w:rsidRPr="00561934">
        <w:rPr>
          <w:u w:val="single"/>
        </w:rPr>
        <w:t xml:space="preserve"> targets and addresses each community identified by the department pursuant to this paragraph; and</w:t>
      </w:r>
    </w:p>
    <w:p w:rsidR="00C871C5" w:rsidRPr="009C4862" w:rsidRDefault="00C871C5" w:rsidP="00C871C5">
      <w:pPr>
        <w:spacing w:line="480" w:lineRule="auto"/>
        <w:ind w:firstLine="720"/>
        <w:jc w:val="both"/>
        <w:rPr>
          <w:u w:val="single"/>
        </w:rPr>
      </w:pPr>
      <w:r w:rsidRPr="00561934">
        <w:rPr>
          <w:u w:val="single"/>
        </w:rPr>
        <w:t>(c) Information on how and where to access opioid antagonists</w:t>
      </w:r>
      <w:r>
        <w:rPr>
          <w:u w:val="single"/>
        </w:rPr>
        <w:t>,</w:t>
      </w:r>
      <w:r w:rsidRPr="00561934">
        <w:rPr>
          <w:u w:val="single"/>
        </w:rPr>
        <w:t xml:space="preserve"> as defined </w:t>
      </w:r>
      <w:r w:rsidRPr="00E41D45">
        <w:rPr>
          <w:u w:val="single"/>
        </w:rPr>
        <w:t>in subdivision a of</w:t>
      </w:r>
      <w:r w:rsidRPr="00561934">
        <w:rPr>
          <w:u w:val="single"/>
        </w:rPr>
        <w:t xml:space="preserve"> this section</w:t>
      </w:r>
      <w:r>
        <w:rPr>
          <w:u w:val="single"/>
        </w:rPr>
        <w:t>,</w:t>
      </w:r>
      <w:r w:rsidRPr="00C83DC7">
        <w:rPr>
          <w:u w:val="single"/>
        </w:rPr>
        <w:t xml:space="preserve"> </w:t>
      </w:r>
      <w:r>
        <w:rPr>
          <w:u w:val="single"/>
        </w:rPr>
        <w:t>in the community.</w:t>
      </w:r>
    </w:p>
    <w:p w:rsidR="00C871C5" w:rsidRPr="00C871C5" w:rsidRDefault="00C871C5" w:rsidP="00C871C5">
      <w:pPr>
        <w:spacing w:line="480" w:lineRule="auto"/>
        <w:ind w:firstLine="720"/>
        <w:jc w:val="both"/>
        <w:sectPr w:rsidR="00C871C5" w:rsidRPr="00C871C5" w:rsidSect="00AF39A5">
          <w:type w:val="continuous"/>
          <w:pgSz w:w="12240" w:h="15840"/>
          <w:pgMar w:top="1440" w:right="1440" w:bottom="1440" w:left="1440" w:header="720" w:footer="720" w:gutter="0"/>
          <w:lnNumType w:countBy="1"/>
          <w:cols w:space="720"/>
          <w:titlePg/>
          <w:docGrid w:linePitch="360"/>
        </w:sectPr>
      </w:pPr>
      <w:r>
        <w:rPr>
          <w:noProof/>
        </w:rPr>
        <mc:AlternateContent>
          <mc:Choice Requires="wps">
            <w:drawing>
              <wp:anchor distT="45720" distB="45720" distL="114300" distR="114300" simplePos="0" relativeHeight="251659264" behindDoc="0" locked="0" layoutInCell="1" allowOverlap="1">
                <wp:simplePos x="0" y="0"/>
                <wp:positionH relativeFrom="column">
                  <wp:posOffset>-121920</wp:posOffset>
                </wp:positionH>
                <wp:positionV relativeFrom="paragraph">
                  <wp:posOffset>922020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871C5" w:rsidRDefault="00C871C5" w:rsidP="00C871C5">
                            <w:pPr>
                              <w:jc w:val="both"/>
                              <w:rPr>
                                <w:sz w:val="18"/>
                                <w:szCs w:val="18"/>
                              </w:rPr>
                            </w:pPr>
                            <w:r>
                              <w:rPr>
                                <w:sz w:val="18"/>
                                <w:szCs w:val="18"/>
                              </w:rPr>
                              <w:t>CP/SS</w:t>
                            </w:r>
                          </w:p>
                          <w:p w:rsidR="00C871C5" w:rsidRDefault="00C871C5" w:rsidP="00C871C5">
                            <w:pPr>
                              <w:jc w:val="both"/>
                              <w:rPr>
                                <w:sz w:val="18"/>
                                <w:szCs w:val="18"/>
                              </w:rPr>
                            </w:pPr>
                            <w:r>
                              <w:rPr>
                                <w:sz w:val="18"/>
                                <w:szCs w:val="18"/>
                              </w:rPr>
                              <w:t>LS #7353/ LS #10486</w:t>
                            </w:r>
                          </w:p>
                          <w:p w:rsidR="00C871C5" w:rsidRDefault="00C871C5" w:rsidP="00C871C5">
                            <w:pPr>
                              <w:rPr>
                                <w:sz w:val="18"/>
                                <w:szCs w:val="18"/>
                              </w:rPr>
                            </w:pPr>
                            <w:r>
                              <w:rPr>
                                <w:sz w:val="18"/>
                                <w:szCs w:val="18"/>
                              </w:rPr>
                              <w:t xml:space="preserve">11/14/2022 8:20p  </w:t>
                            </w:r>
                          </w:p>
                          <w:p w:rsidR="00C871C5" w:rsidRDefault="00C871C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72.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" stroked="f">
                <v:textbox style="mso-fit-shape-to-text:t">
                  <w:txbxContent>
                    <w:p w:rsidR="00C871C5" w:rsidRDefault="00C871C5" w:rsidP="00C871C5">
                      <w:pPr>
                        <w:jc w:val="both"/>
                        <w:rPr>
                          <w:sz w:val="18"/>
                          <w:szCs w:val="18"/>
                        </w:rPr>
                      </w:pPr>
                      <w:r>
                        <w:rPr>
                          <w:sz w:val="18"/>
                          <w:szCs w:val="18"/>
                        </w:rPr>
                        <w:t>CP/SS</w:t>
                      </w:r>
                    </w:p>
                    <w:p w:rsidR="00C871C5" w:rsidRDefault="00C871C5" w:rsidP="00C871C5">
                      <w:pPr>
                        <w:jc w:val="both"/>
                        <w:rPr>
                          <w:sz w:val="18"/>
                          <w:szCs w:val="18"/>
                        </w:rPr>
                      </w:pPr>
                      <w:r>
                        <w:rPr>
                          <w:sz w:val="18"/>
                          <w:szCs w:val="18"/>
                        </w:rPr>
                        <w:t>LS #7353/ LS #10486</w:t>
                      </w:r>
                    </w:p>
                    <w:p w:rsidR="00C871C5" w:rsidRDefault="00C871C5" w:rsidP="00C871C5">
                      <w:pPr>
                        <w:rPr>
                          <w:sz w:val="18"/>
                          <w:szCs w:val="18"/>
                        </w:rPr>
                      </w:pPr>
                      <w:r>
                        <w:rPr>
                          <w:sz w:val="18"/>
                          <w:szCs w:val="18"/>
                        </w:rPr>
                        <w:t xml:space="preserve">11/14/2022 8:20p  </w:t>
                      </w:r>
                    </w:p>
                    <w:p w:rsidR="00C871C5" w:rsidRDefault="00C871C5"/>
                  </w:txbxContent>
                </v:textbox>
                <w10:wrap type="square"/>
              </v:shape>
            </w:pict>
          </mc:Fallback>
        </mc:AlternateContent>
      </w:r>
      <w:r>
        <w:t>§ 3. This local law takes effect</w:t>
      </w:r>
      <w:r w:rsidR="00363E91">
        <w:t xml:space="preserve"> 30 days after it becomes law.</w:t>
      </w:r>
    </w:p>
    <w:p w:rsidR="007C4428" w:rsidRPr="008E050F" w:rsidRDefault="007C4428" w:rsidP="007C4428">
      <w:pPr>
        <w:pStyle w:val="NormalWeb"/>
        <w:suppressLineNumbers/>
        <w:spacing w:before="0" w:beforeAutospacing="0" w:after="0" w:afterAutospacing="0"/>
        <w:jc w:val="center"/>
        <w:rPr>
          <w:color w:val="000000"/>
        </w:rPr>
      </w:pPr>
      <w:r>
        <w:rPr>
          <w:color w:val="000000"/>
        </w:rPr>
        <w:t xml:space="preserve">Proposed </w:t>
      </w:r>
      <w:r w:rsidRPr="007C464F">
        <w:rPr>
          <w:color w:val="000000"/>
        </w:rPr>
        <w:t>Int. No.</w:t>
      </w:r>
      <w:r w:rsidRPr="008E050F">
        <w:rPr>
          <w:color w:val="000000"/>
        </w:rPr>
        <w:t> 404-A</w:t>
      </w:r>
    </w:p>
    <w:p w:rsidR="007C4428" w:rsidRDefault="007C4428" w:rsidP="007C4428">
      <w:pPr>
        <w:pStyle w:val="NormalWeb"/>
        <w:suppressLineNumbers/>
        <w:spacing w:before="0" w:beforeAutospacing="0" w:after="0" w:afterAutospacing="0"/>
        <w:jc w:val="both"/>
        <w:rPr>
          <w:color w:val="000000"/>
        </w:rPr>
      </w:pPr>
    </w:p>
    <w:p w:rsidR="007C4428" w:rsidRDefault="007C4428" w:rsidP="007C4428">
      <w:pPr>
        <w:suppressLineNumbers/>
        <w:autoSpaceDE w:val="0"/>
        <w:autoSpaceDN w:val="0"/>
        <w:adjustRightInd w:val="0"/>
        <w:jc w:val="both"/>
        <w:rPr>
          <w:rFonts w:eastAsia="Calibri"/>
          <w:color w:val="000000"/>
          <w:sz w:val="27"/>
          <w:szCs w:val="27"/>
        </w:rPr>
      </w:pPr>
      <w:r>
        <w:rPr>
          <w:rFonts w:eastAsia="Calibri"/>
          <w:color w:val="000000"/>
        </w:rPr>
        <w:t>By Council Members Lee, Ayala, Brewer, Louis, Nurse, Krishnan, Kagan, Menin, Marte, Farías, Williams, Holden, Schulman, Dinowitz, Ossé, Abreu, Restler, Avilés, Bottcher, Sanchez, Ariola and Paladino</w:t>
      </w:r>
    </w:p>
    <w:p w:rsidR="007C4428" w:rsidRDefault="007C4428" w:rsidP="007C4428">
      <w:pPr>
        <w:pStyle w:val="NormalWeb"/>
        <w:suppressLineNumbers/>
        <w:spacing w:before="0" w:beforeAutospacing="0" w:after="0" w:afterAutospacing="0"/>
        <w:jc w:val="both"/>
        <w:rPr>
          <w:color w:val="000000"/>
        </w:rPr>
      </w:pPr>
      <w:r>
        <w:rPr>
          <w:color w:val="000000"/>
        </w:rPr>
        <w:t xml:space="preserve"> </w:t>
      </w:r>
    </w:p>
    <w:p w:rsidR="007C4428" w:rsidRPr="00D91F0D" w:rsidRDefault="007C4428" w:rsidP="007C4428">
      <w:pPr>
        <w:pStyle w:val="NormalWeb"/>
        <w:suppressLineNumbers/>
        <w:spacing w:before="0" w:beforeAutospacing="0" w:after="0" w:afterAutospacing="0"/>
        <w:jc w:val="both"/>
        <w:rPr>
          <w:vanish/>
          <w:color w:val="000000"/>
        </w:rPr>
      </w:pPr>
      <w:r w:rsidRPr="00D91F0D">
        <w:rPr>
          <w:vanish/>
          <w:color w:val="000000"/>
        </w:rPr>
        <w:t>..Title</w:t>
      </w:r>
    </w:p>
    <w:p w:rsidR="007C4428" w:rsidRDefault="007C4428" w:rsidP="007C4428">
      <w:pPr>
        <w:pStyle w:val="NormalWeb"/>
        <w:suppressLineNumbers/>
        <w:spacing w:before="0" w:beforeAutospacing="0" w:after="0" w:afterAutospacing="0"/>
        <w:jc w:val="both"/>
        <w:rPr>
          <w:color w:val="000000"/>
        </w:rPr>
      </w:pPr>
      <w:r>
        <w:rPr>
          <w:color w:val="000000"/>
        </w:rPr>
        <w:t>A Local Law in relation to a report tracking the funds paid pursuant to the New York opioid settlement sharing agreement</w:t>
      </w:r>
    </w:p>
    <w:p w:rsidR="007C4428" w:rsidRPr="00D91F0D" w:rsidRDefault="007C4428" w:rsidP="007C4428">
      <w:pPr>
        <w:pStyle w:val="NormalWeb"/>
        <w:suppressLineNumbers/>
        <w:spacing w:before="0" w:beforeAutospacing="0" w:after="0" w:afterAutospacing="0"/>
        <w:jc w:val="both"/>
        <w:rPr>
          <w:vanish/>
          <w:color w:val="000000"/>
        </w:rPr>
      </w:pPr>
      <w:r w:rsidRPr="00D91F0D">
        <w:rPr>
          <w:vanish/>
          <w:color w:val="000000"/>
        </w:rPr>
        <w:t>..Body</w:t>
      </w:r>
    </w:p>
    <w:p w:rsidR="007C4428" w:rsidRDefault="007C4428" w:rsidP="007C4428">
      <w:pPr>
        <w:pStyle w:val="NormalWeb"/>
        <w:suppressLineNumbers/>
        <w:spacing w:before="0" w:beforeAutospacing="0" w:after="0" w:afterAutospacing="0"/>
        <w:jc w:val="both"/>
        <w:rPr>
          <w:color w:val="000000"/>
          <w:sz w:val="27"/>
          <w:szCs w:val="27"/>
        </w:rPr>
      </w:pPr>
      <w:r>
        <w:rPr>
          <w:color w:val="000000"/>
          <w:sz w:val="22"/>
          <w:szCs w:val="22"/>
        </w:rPr>
        <w:t> </w:t>
      </w:r>
    </w:p>
    <w:p w:rsidR="007C4428" w:rsidRDefault="007C4428" w:rsidP="007C4428">
      <w:pPr>
        <w:pStyle w:val="NormalWeb"/>
        <w:suppressLineNumbers/>
        <w:spacing w:before="0" w:beforeAutospacing="0" w:after="0" w:afterAutospacing="0"/>
        <w:jc w:val="both"/>
        <w:rPr>
          <w:color w:val="000000"/>
          <w:sz w:val="27"/>
          <w:szCs w:val="27"/>
        </w:rPr>
      </w:pPr>
      <w:r>
        <w:rPr>
          <w:color w:val="000000"/>
          <w:u w:val="single"/>
        </w:rPr>
        <w:t>Be it enacted by the Council as follows:</w:t>
      </w:r>
    </w:p>
    <w:p w:rsidR="007C4428" w:rsidRDefault="007C4428" w:rsidP="007C4428">
      <w:pPr>
        <w:pStyle w:val="NormalWeb"/>
        <w:suppressLineNumbers/>
        <w:spacing w:before="0" w:beforeAutospacing="0" w:after="0" w:afterAutospacing="0"/>
        <w:ind w:firstLine="720"/>
        <w:jc w:val="both"/>
        <w:rPr>
          <w:color w:val="000000"/>
          <w:sz w:val="27"/>
          <w:szCs w:val="27"/>
        </w:rPr>
      </w:pPr>
      <w:r>
        <w:rPr>
          <w:color w:val="000000"/>
        </w:rPr>
        <w:t> </w:t>
      </w:r>
    </w:p>
    <w:p w:rsidR="007C4428" w:rsidRPr="000020A6" w:rsidRDefault="007C4428" w:rsidP="007C4428">
      <w:pPr>
        <w:pStyle w:val="NormalWeb"/>
        <w:spacing w:before="0" w:beforeAutospacing="0" w:after="0" w:afterAutospacing="0" w:line="480" w:lineRule="auto"/>
        <w:ind w:firstLine="720"/>
        <w:jc w:val="both"/>
      </w:pPr>
      <w:r>
        <w:rPr>
          <w:color w:val="000000"/>
        </w:rPr>
        <w:t xml:space="preserve">Section 1. a. Definitions. For the </w:t>
      </w:r>
      <w:r w:rsidRPr="003851EB">
        <w:t xml:space="preserve">purposes of this chapter, the following terms have the </w:t>
      </w:r>
      <w:r w:rsidRPr="000020A6">
        <w:t xml:space="preserve">following meanings: </w:t>
      </w:r>
    </w:p>
    <w:p w:rsidR="007C4428" w:rsidRDefault="007C4428" w:rsidP="007C4428">
      <w:pPr>
        <w:pStyle w:val="NormalWeb"/>
        <w:spacing w:before="0" w:beforeAutospacing="0" w:after="0" w:afterAutospacing="0" w:line="480" w:lineRule="auto"/>
        <w:ind w:firstLine="720"/>
        <w:jc w:val="both"/>
        <w:rPr>
          <w:shd w:val="clear" w:color="auto" w:fill="FFFFFF"/>
        </w:rPr>
      </w:pPr>
      <w:r>
        <w:t>Administering agency</w:t>
      </w:r>
      <w:r w:rsidRPr="003851EB">
        <w:t xml:space="preserve">. </w:t>
      </w:r>
      <w:r w:rsidRPr="00F17015">
        <w:rPr>
          <w:color w:val="000000"/>
        </w:rPr>
        <w:t xml:space="preserve">The term “administering agency” means the agency, office or individual designated by the mayor to </w:t>
      </w:r>
      <w:r>
        <w:rPr>
          <w:color w:val="000000"/>
        </w:rPr>
        <w:t>administer the report on the opioid funds required by this local law.</w:t>
      </w:r>
    </w:p>
    <w:p w:rsidR="007C4428" w:rsidRDefault="007C4428" w:rsidP="007C4428">
      <w:pPr>
        <w:pStyle w:val="NormalWeb"/>
        <w:spacing w:before="0" w:beforeAutospacing="0" w:after="0" w:afterAutospacing="0" w:line="480" w:lineRule="auto"/>
        <w:ind w:firstLine="720"/>
        <w:jc w:val="both"/>
        <w:rPr>
          <w:shd w:val="clear" w:color="auto" w:fill="FFFFFF"/>
        </w:rPr>
      </w:pPr>
      <w:r>
        <w:rPr>
          <w:shd w:val="clear" w:color="auto" w:fill="FFFFFF"/>
        </w:rPr>
        <w:t>City. The term “city” means the city of New York.</w:t>
      </w:r>
    </w:p>
    <w:p w:rsidR="007C4428" w:rsidRPr="000020A6" w:rsidRDefault="007C4428" w:rsidP="007C4428">
      <w:pPr>
        <w:pStyle w:val="NormalWeb"/>
        <w:spacing w:before="0" w:beforeAutospacing="0" w:after="0" w:afterAutospacing="0" w:line="480" w:lineRule="auto"/>
        <w:ind w:firstLine="720"/>
        <w:jc w:val="both"/>
      </w:pPr>
      <w:r w:rsidRPr="000020A6">
        <w:rPr>
          <w:shd w:val="clear" w:color="auto" w:fill="FFFFFF"/>
        </w:rPr>
        <w:t>Opioid fund</w:t>
      </w:r>
      <w:r>
        <w:rPr>
          <w:shd w:val="clear" w:color="auto" w:fill="FFFFFF"/>
        </w:rPr>
        <w:t>s</w:t>
      </w:r>
      <w:r w:rsidRPr="000020A6">
        <w:rPr>
          <w:shd w:val="clear" w:color="auto" w:fill="FFFFFF"/>
        </w:rPr>
        <w:t xml:space="preserve">. </w:t>
      </w:r>
      <w:r>
        <w:rPr>
          <w:shd w:val="clear" w:color="auto" w:fill="FFFFFF"/>
        </w:rPr>
        <w:t>The term “opioid funds” means the monies paid to the city pursuant to the New York opioid settlement sharing agreement, any other agreement with an opioid supply chain participant, or any successor agreement to either such agreement.</w:t>
      </w:r>
    </w:p>
    <w:p w:rsidR="007C4428" w:rsidRDefault="007C4428" w:rsidP="007C4428">
      <w:pPr>
        <w:pStyle w:val="NormalWeb"/>
        <w:spacing w:before="0" w:beforeAutospacing="0" w:after="0" w:afterAutospacing="0" w:line="480" w:lineRule="auto"/>
        <w:ind w:firstLine="720"/>
        <w:jc w:val="both"/>
        <w:rPr>
          <w:color w:val="000000"/>
          <w:sz w:val="27"/>
          <w:szCs w:val="27"/>
        </w:rPr>
      </w:pPr>
      <w:r w:rsidRPr="000020A6">
        <w:t xml:space="preserve">b. </w:t>
      </w:r>
      <w:r>
        <w:t>Beginning</w:t>
      </w:r>
      <w:r w:rsidRPr="000020A6">
        <w:t xml:space="preserve"> </w:t>
      </w:r>
      <w:r>
        <w:t xml:space="preserve">June </w:t>
      </w:r>
      <w:r w:rsidRPr="000020A6">
        <w:t xml:space="preserve">1, </w:t>
      </w:r>
      <w:r>
        <w:t>2023, and until the final report required by subdivision c of this section</w:t>
      </w:r>
      <w:r w:rsidRPr="000020A6">
        <w:t xml:space="preserve">, </w:t>
      </w:r>
      <w:r>
        <w:t xml:space="preserve">within 30 days of the release of each financial plan or update thereto, as described in subdivision c of section 258 of the New York city charter, </w:t>
      </w:r>
      <w:r w:rsidRPr="000020A6">
        <w:t xml:space="preserve">the </w:t>
      </w:r>
      <w:r>
        <w:t>administering agency</w:t>
      </w:r>
      <w:r w:rsidRPr="000020A6">
        <w:t xml:space="preserve"> </w:t>
      </w:r>
      <w:r>
        <w:rPr>
          <w:color w:val="000000"/>
        </w:rPr>
        <w:t>shall submit to the mayor and the speaker of the council, and post on its website, a report disclosing the following information:</w:t>
      </w:r>
    </w:p>
    <w:p w:rsidR="007C4428" w:rsidRDefault="007C4428" w:rsidP="007C4428">
      <w:pPr>
        <w:pStyle w:val="NormalWeb"/>
        <w:spacing w:before="0" w:beforeAutospacing="0" w:after="0" w:afterAutospacing="0" w:line="480" w:lineRule="auto"/>
        <w:ind w:firstLine="720"/>
        <w:jc w:val="both"/>
        <w:rPr>
          <w:color w:val="000000"/>
          <w:sz w:val="27"/>
          <w:szCs w:val="27"/>
        </w:rPr>
      </w:pPr>
      <w:r>
        <w:rPr>
          <w:color w:val="000000"/>
        </w:rPr>
        <w:t>1. The total amount of opioid funds at the end of the previous fiscal year, including any new opioid funds received;</w:t>
      </w:r>
    </w:p>
    <w:p w:rsidR="007C4428" w:rsidRDefault="007C4428" w:rsidP="007C4428">
      <w:pPr>
        <w:pStyle w:val="NormalWeb"/>
        <w:spacing w:before="0" w:beforeAutospacing="0" w:after="0" w:afterAutospacing="0" w:line="480" w:lineRule="auto"/>
        <w:ind w:firstLine="720"/>
        <w:jc w:val="both"/>
        <w:rPr>
          <w:color w:val="000000"/>
          <w:sz w:val="27"/>
          <w:szCs w:val="27"/>
        </w:rPr>
      </w:pPr>
      <w:r>
        <w:rPr>
          <w:color w:val="000000"/>
        </w:rPr>
        <w:t>2. The total amount of opioid funds appropriated in the previous fiscal year;</w:t>
      </w:r>
    </w:p>
    <w:p w:rsidR="007C4428" w:rsidRDefault="007C4428" w:rsidP="007C4428">
      <w:pPr>
        <w:pStyle w:val="NormalWeb"/>
        <w:spacing w:before="0" w:beforeAutospacing="0" w:after="0" w:afterAutospacing="0" w:line="480" w:lineRule="auto"/>
        <w:ind w:firstLine="720"/>
        <w:jc w:val="both"/>
        <w:rPr>
          <w:color w:val="000000"/>
          <w:sz w:val="27"/>
          <w:szCs w:val="27"/>
        </w:rPr>
      </w:pPr>
      <w:r>
        <w:rPr>
          <w:color w:val="000000"/>
        </w:rPr>
        <w:t xml:space="preserve">3. How opioid funds have been appropriated in the previous fiscal year, including the name and description of any city-run program, the name and description of any city-contractor and the name and description of any vendor to the city; </w:t>
      </w:r>
    </w:p>
    <w:p w:rsidR="007C4428" w:rsidRDefault="007C4428" w:rsidP="007C4428">
      <w:pPr>
        <w:pStyle w:val="NormalWeb"/>
        <w:spacing w:before="0" w:beforeAutospacing="0" w:after="0" w:afterAutospacing="0" w:line="480" w:lineRule="auto"/>
        <w:ind w:firstLine="720"/>
        <w:jc w:val="both"/>
        <w:rPr>
          <w:color w:val="000000"/>
        </w:rPr>
      </w:pPr>
      <w:r>
        <w:rPr>
          <w:color w:val="000000"/>
        </w:rPr>
        <w:t>4. The number of New York city residents participating in or benefiting from city, contractor or vendor programs receiving opioid settlement funds, disaggregated by zip code, gender, ethnicity and languages spoken, to the extent practicable; and</w:t>
      </w:r>
    </w:p>
    <w:p w:rsidR="007C4428" w:rsidRDefault="007C4428" w:rsidP="007C4428">
      <w:pPr>
        <w:pStyle w:val="NormalWeb"/>
        <w:spacing w:before="0" w:beforeAutospacing="0" w:after="0" w:afterAutospacing="0" w:line="480" w:lineRule="auto"/>
        <w:ind w:firstLine="720"/>
        <w:jc w:val="both"/>
        <w:rPr>
          <w:color w:val="000000"/>
        </w:rPr>
      </w:pPr>
      <w:r>
        <w:rPr>
          <w:color w:val="000000"/>
        </w:rPr>
        <w:t>5. Anticipated appropriations of opioid funds, broken down by fiscal year, for the next four fiscal years, including the fiscal year in which the report is submitted.</w:t>
      </w:r>
    </w:p>
    <w:p w:rsidR="007C4428" w:rsidRDefault="007C4428" w:rsidP="007C4428">
      <w:pPr>
        <w:pStyle w:val="NormalWeb"/>
        <w:spacing w:before="0" w:beforeAutospacing="0" w:after="0" w:afterAutospacing="0" w:line="480" w:lineRule="auto"/>
        <w:ind w:firstLine="720"/>
        <w:jc w:val="both"/>
        <w:rPr>
          <w:color w:val="000000"/>
        </w:rPr>
      </w:pPr>
      <w:r>
        <w:rPr>
          <w:color w:val="000000"/>
        </w:rPr>
        <w:t xml:space="preserve">c. The reports required pursuant to subdivision b of this section shall be required until all the opioid funds have been appropriated as reported pursuant to paragraph 2 of subdivision b of this section, provided the final such report shall indicate that all such funds have been appropriated. </w:t>
      </w:r>
    </w:p>
    <w:p w:rsidR="007C4428" w:rsidRPr="000020A6" w:rsidRDefault="007C4428" w:rsidP="007C4428">
      <w:pPr>
        <w:pStyle w:val="NormalWeb"/>
        <w:spacing w:before="0" w:beforeAutospacing="0" w:after="0" w:afterAutospacing="0" w:line="480" w:lineRule="auto"/>
        <w:ind w:firstLine="720"/>
        <w:jc w:val="both"/>
        <w:rPr>
          <w:color w:val="000000"/>
        </w:rPr>
      </w:pPr>
      <w:r>
        <w:rPr>
          <w:color w:val="000000"/>
        </w:rPr>
        <w:t>§ 2. This local law takes effect immediately and is deemed repealed upon appropriation of all opioid funds, as indicated in the final report submitted pursuant to section one of this local law.</w:t>
      </w:r>
    </w:p>
    <w:p w:rsidR="007C4428" w:rsidRDefault="007C4428" w:rsidP="007C4428">
      <w:pPr>
        <w:pStyle w:val="NormalWeb"/>
        <w:suppressLineNumbers/>
        <w:spacing w:before="0" w:beforeAutospacing="0" w:after="0" w:afterAutospacing="0"/>
        <w:jc w:val="both"/>
        <w:rPr>
          <w:color w:val="000000"/>
          <w:sz w:val="27"/>
          <w:szCs w:val="27"/>
        </w:rPr>
      </w:pPr>
      <w:r>
        <w:rPr>
          <w:color w:val="000000"/>
          <w:sz w:val="18"/>
          <w:szCs w:val="18"/>
        </w:rPr>
        <w:t> </w:t>
      </w:r>
    </w:p>
    <w:p w:rsidR="007C4428" w:rsidRDefault="007C4428" w:rsidP="007C4428">
      <w:pPr>
        <w:pStyle w:val="NormalWeb"/>
        <w:suppressLineNumbers/>
        <w:spacing w:before="0" w:beforeAutospacing="0" w:after="0" w:afterAutospacing="0"/>
        <w:jc w:val="both"/>
        <w:rPr>
          <w:color w:val="000000"/>
          <w:sz w:val="27"/>
          <w:szCs w:val="27"/>
        </w:rPr>
      </w:pPr>
      <w:r>
        <w:rPr>
          <w:color w:val="000000"/>
          <w:sz w:val="18"/>
          <w:szCs w:val="18"/>
        </w:rPr>
        <w:t> </w:t>
      </w:r>
    </w:p>
    <w:p w:rsidR="007C4428" w:rsidRDefault="007C4428" w:rsidP="007C4428">
      <w:pPr>
        <w:pStyle w:val="NormalWeb"/>
        <w:suppressLineNumbers/>
        <w:spacing w:before="0" w:beforeAutospacing="0" w:after="0" w:afterAutospacing="0"/>
        <w:jc w:val="both"/>
        <w:rPr>
          <w:color w:val="000000"/>
          <w:sz w:val="27"/>
          <w:szCs w:val="27"/>
        </w:rPr>
      </w:pPr>
      <w:r>
        <w:rPr>
          <w:color w:val="000000"/>
          <w:sz w:val="18"/>
          <w:szCs w:val="18"/>
        </w:rPr>
        <w:t> </w:t>
      </w:r>
    </w:p>
    <w:p w:rsidR="007C4428" w:rsidRDefault="007C4428" w:rsidP="007C4428">
      <w:pPr>
        <w:pStyle w:val="NormalWeb"/>
        <w:suppressLineNumbers/>
        <w:spacing w:before="0" w:beforeAutospacing="0" w:after="0" w:afterAutospacing="0"/>
        <w:jc w:val="both"/>
        <w:rPr>
          <w:color w:val="000000"/>
          <w:sz w:val="27"/>
          <w:szCs w:val="27"/>
        </w:rPr>
      </w:pPr>
      <w:r>
        <w:rPr>
          <w:color w:val="000000"/>
          <w:sz w:val="18"/>
          <w:szCs w:val="18"/>
        </w:rPr>
        <w:t>SIL/SS</w:t>
      </w:r>
    </w:p>
    <w:p w:rsidR="007C4428" w:rsidRDefault="007C4428" w:rsidP="007C4428">
      <w:pPr>
        <w:pStyle w:val="NormalWeb"/>
        <w:suppressLineNumbers/>
        <w:spacing w:before="0" w:beforeAutospacing="0" w:after="0" w:afterAutospacing="0"/>
        <w:jc w:val="both"/>
        <w:rPr>
          <w:color w:val="000000"/>
          <w:sz w:val="27"/>
          <w:szCs w:val="27"/>
        </w:rPr>
      </w:pPr>
      <w:r>
        <w:rPr>
          <w:color w:val="000000"/>
          <w:sz w:val="18"/>
          <w:szCs w:val="18"/>
        </w:rPr>
        <w:t>LS # 8947</w:t>
      </w:r>
    </w:p>
    <w:p w:rsidR="00C871C5" w:rsidRPr="007C4428" w:rsidRDefault="007C4428" w:rsidP="007C4428">
      <w:pPr>
        <w:pStyle w:val="NormalWeb"/>
        <w:suppressLineNumbers/>
        <w:spacing w:before="0" w:beforeAutospacing="0" w:after="0" w:afterAutospacing="0"/>
        <w:rPr>
          <w:color w:val="000000"/>
          <w:sz w:val="27"/>
          <w:szCs w:val="27"/>
        </w:rPr>
      </w:pPr>
      <w:r>
        <w:rPr>
          <w:color w:val="000000"/>
          <w:sz w:val="20"/>
          <w:szCs w:val="20"/>
        </w:rPr>
        <w:t>11/14/2022 7:00pm</w:t>
      </w:r>
    </w:p>
    <w:sectPr w:rsidR="00C871C5" w:rsidRPr="007C4428" w:rsidSect="000010CD">
      <w:headerReference w:type="default" r:id="rId12"/>
      <w:footerReference w:type="defaul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14" w:rsidRDefault="00944D14" w:rsidP="00E201F6">
      <w:r>
        <w:separator/>
      </w:r>
    </w:p>
  </w:endnote>
  <w:endnote w:type="continuationSeparator" w:id="0">
    <w:p w:rsidR="00944D14" w:rsidRDefault="00944D14" w:rsidP="00E2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rsidR="00C871C5" w:rsidRDefault="00C871C5">
        <w:pPr>
          <w:pStyle w:val="Footer"/>
          <w:jc w:val="center"/>
        </w:pPr>
        <w:r>
          <w:fldChar w:fldCharType="begin"/>
        </w:r>
        <w:r>
          <w:instrText xml:space="preserve"> PAGE   \* MERGEFORMAT </w:instrText>
        </w:r>
        <w:r>
          <w:fldChar w:fldCharType="separate"/>
        </w:r>
        <w:r w:rsidR="000411CC">
          <w:rPr>
            <w:noProof/>
          </w:rPr>
          <w:t>1</w:t>
        </w:r>
        <w:r>
          <w:rPr>
            <w:noProof/>
          </w:rPr>
          <w:fldChar w:fldCharType="end"/>
        </w:r>
      </w:p>
    </w:sdtContent>
  </w:sdt>
  <w:p w:rsidR="00C871C5" w:rsidRDefault="00C871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rsidR="00C871C5" w:rsidRDefault="00C871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71C5" w:rsidRDefault="00C87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66412"/>
      <w:docPartObj>
        <w:docPartGallery w:val="Page Numbers (Bottom of Page)"/>
        <w:docPartUnique/>
      </w:docPartObj>
    </w:sdtPr>
    <w:sdtEndPr>
      <w:rPr>
        <w:noProof/>
      </w:rPr>
    </w:sdtEndPr>
    <w:sdtContent>
      <w:p w:rsidR="00EC1683" w:rsidRDefault="004074A5">
        <w:pPr>
          <w:pStyle w:val="Footer"/>
          <w:jc w:val="center"/>
        </w:pPr>
        <w:r>
          <w:fldChar w:fldCharType="begin"/>
        </w:r>
        <w:r>
          <w:instrText xml:space="preserve"> PAGE   \* MERGEFORMAT </w:instrText>
        </w:r>
        <w:r>
          <w:fldChar w:fldCharType="separate"/>
        </w:r>
        <w:r w:rsidR="000411CC">
          <w:rPr>
            <w:noProof/>
          </w:rPr>
          <w:t>16</w:t>
        </w:r>
        <w:r>
          <w:rPr>
            <w:noProof/>
          </w:rPr>
          <w:fldChar w:fldCharType="end"/>
        </w:r>
      </w:p>
    </w:sdtContent>
  </w:sdt>
  <w:p w:rsidR="000D1B12" w:rsidRDefault="000411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14" w:rsidRDefault="00944D14" w:rsidP="00E201F6">
      <w:r>
        <w:separator/>
      </w:r>
    </w:p>
  </w:footnote>
  <w:footnote w:type="continuationSeparator" w:id="0">
    <w:p w:rsidR="00944D14" w:rsidRDefault="00944D14" w:rsidP="00E201F6">
      <w:r>
        <w:continuationSeparator/>
      </w:r>
    </w:p>
  </w:footnote>
  <w:footnote w:id="1">
    <w:p w:rsidR="001A2EFF" w:rsidRPr="007526C1" w:rsidRDefault="001A2EFF" w:rsidP="00C17269">
      <w:pPr>
        <w:pStyle w:val="FootnoteText"/>
      </w:pPr>
      <w:r w:rsidRPr="007526C1">
        <w:rPr>
          <w:rStyle w:val="FootnoteReference"/>
          <w:sz w:val="20"/>
        </w:rPr>
        <w:footnoteRef/>
      </w:r>
      <w:r w:rsidRPr="007526C1">
        <w:t xml:space="preserve"> </w:t>
      </w:r>
      <w:r w:rsidR="00B81534" w:rsidRPr="00B81534">
        <w:rPr>
          <w:i/>
          <w:iCs/>
        </w:rPr>
        <w:t>T</w:t>
      </w:r>
      <w:r w:rsidRPr="00B81534">
        <w:rPr>
          <w:bCs/>
          <w:i/>
          <w:iCs/>
          <w:color w:val="000000"/>
        </w:rPr>
        <w:t>he Drug Overdose Epidemic: Behind the Numbers</w:t>
      </w:r>
      <w:r w:rsidRPr="007526C1">
        <w:rPr>
          <w:bCs/>
          <w:color w:val="000000"/>
        </w:rPr>
        <w:t xml:space="preserve">, </w:t>
      </w:r>
      <w:r w:rsidR="00011453">
        <w:rPr>
          <w:bCs/>
          <w:smallCaps/>
          <w:color w:val="000000"/>
        </w:rPr>
        <w:t>CDC</w:t>
      </w:r>
      <w:r w:rsidRPr="007526C1">
        <w:rPr>
          <w:bCs/>
          <w:color w:val="000000"/>
        </w:rPr>
        <w:t xml:space="preserve">, </w:t>
      </w:r>
      <w:hyperlink r:id="rId1" w:history="1">
        <w:r w:rsidRPr="007526C1">
          <w:rPr>
            <w:rStyle w:val="Hyperlink"/>
          </w:rPr>
          <w:t>https://www.cdc.gov/opioids/data/index.html</w:t>
        </w:r>
      </w:hyperlink>
      <w:r w:rsidR="00B81534">
        <w:t xml:space="preserve"> (last reviewed June 1, 2022); </w:t>
      </w:r>
      <w:r w:rsidRPr="00B81534">
        <w:rPr>
          <w:u w:val="single"/>
        </w:rPr>
        <w:t>see</w:t>
      </w:r>
      <w:r>
        <w:t xml:space="preserve"> </w:t>
      </w:r>
      <w:r w:rsidRPr="00B81534">
        <w:rPr>
          <w:u w:val="single"/>
        </w:rPr>
        <w:t>also</w:t>
      </w:r>
      <w:r>
        <w:t xml:space="preserve">, </w:t>
      </w:r>
      <w:r w:rsidRPr="00B81534">
        <w:rPr>
          <w:i/>
          <w:iCs/>
        </w:rPr>
        <w:t>What is the U.S. Opioid Epidemic?</w:t>
      </w:r>
      <w:r>
        <w:t xml:space="preserve">, </w:t>
      </w:r>
      <w:r w:rsidR="004E670B" w:rsidRPr="004E670B">
        <w:rPr>
          <w:smallCaps/>
        </w:rPr>
        <w:t>HHS.GOV</w:t>
      </w:r>
      <w:r>
        <w:t xml:space="preserve">, </w:t>
      </w:r>
      <w:hyperlink r:id="rId2" w:history="1">
        <w:r w:rsidRPr="00217AC1">
          <w:rPr>
            <w:rStyle w:val="Hyperlink"/>
          </w:rPr>
          <w:t>https://www.hhs.gov/opioids/about-the-epidemic/index.html</w:t>
        </w:r>
      </w:hyperlink>
      <w:r w:rsidR="004E670B">
        <w:t xml:space="preserve"> (last reviewed Oct. 27, 2021).</w:t>
      </w:r>
    </w:p>
  </w:footnote>
  <w:footnote w:id="2">
    <w:p w:rsidR="001A2EFF" w:rsidRPr="004E670B" w:rsidRDefault="001A2EFF" w:rsidP="00C17269">
      <w:pPr>
        <w:pStyle w:val="FootnoteText"/>
      </w:pPr>
      <w:r w:rsidRPr="007526C1">
        <w:rPr>
          <w:rStyle w:val="FootnoteReference"/>
          <w:sz w:val="20"/>
        </w:rPr>
        <w:footnoteRef/>
      </w:r>
      <w:r w:rsidRPr="007526C1">
        <w:t xml:space="preserve"> </w:t>
      </w:r>
      <w:r w:rsidRPr="004E670B">
        <w:rPr>
          <w:bCs/>
          <w:i/>
          <w:iCs/>
          <w:color w:val="000000"/>
        </w:rPr>
        <w:t>The Drug Overdose Epidemic: Behind the</w:t>
      </w:r>
      <w:r w:rsidRPr="007526C1">
        <w:rPr>
          <w:bCs/>
          <w:color w:val="000000"/>
        </w:rPr>
        <w:t xml:space="preserve"> </w:t>
      </w:r>
      <w:r w:rsidRPr="00011453">
        <w:rPr>
          <w:bCs/>
          <w:i/>
          <w:iCs/>
          <w:color w:val="000000"/>
        </w:rPr>
        <w:t>Numbers</w:t>
      </w:r>
      <w:r w:rsidRPr="007526C1">
        <w:rPr>
          <w:bCs/>
          <w:color w:val="000000"/>
        </w:rPr>
        <w:t>,</w:t>
      </w:r>
      <w:r w:rsidR="004E670B">
        <w:rPr>
          <w:bCs/>
          <w:color w:val="000000"/>
        </w:rPr>
        <w:t xml:space="preserve"> </w:t>
      </w:r>
      <w:r w:rsidR="004E670B">
        <w:rPr>
          <w:bCs/>
          <w:i/>
          <w:iCs/>
          <w:color w:val="000000"/>
        </w:rPr>
        <w:t>supra</w:t>
      </w:r>
      <w:r w:rsidR="004E670B">
        <w:rPr>
          <w:bCs/>
          <w:color w:val="000000"/>
        </w:rPr>
        <w:t xml:space="preserve"> note 1. </w:t>
      </w:r>
    </w:p>
  </w:footnote>
  <w:footnote w:id="3">
    <w:p w:rsidR="001A2EFF" w:rsidRPr="007526C1" w:rsidRDefault="001A2EFF" w:rsidP="00C17269">
      <w:pPr>
        <w:pStyle w:val="FootnoteText"/>
      </w:pPr>
      <w:r w:rsidRPr="007526C1">
        <w:rPr>
          <w:rStyle w:val="FootnoteReference"/>
          <w:sz w:val="20"/>
        </w:rPr>
        <w:footnoteRef/>
      </w:r>
      <w:r w:rsidRPr="007526C1">
        <w:t xml:space="preserve"> </w:t>
      </w:r>
      <w:r w:rsidRPr="007526C1">
        <w:rPr>
          <w:i/>
        </w:rPr>
        <w:t>Id</w:t>
      </w:r>
      <w:r w:rsidRPr="007526C1">
        <w:t>.</w:t>
      </w:r>
    </w:p>
  </w:footnote>
  <w:footnote w:id="4">
    <w:p w:rsidR="001A2EFF" w:rsidRPr="00567B8D" w:rsidRDefault="001A2EFF" w:rsidP="00C17269">
      <w:pPr>
        <w:pStyle w:val="FootnoteText"/>
      </w:pPr>
      <w:r w:rsidRPr="00567B8D">
        <w:rPr>
          <w:rStyle w:val="FootnoteReference"/>
          <w:sz w:val="20"/>
        </w:rPr>
        <w:footnoteRef/>
      </w:r>
      <w:r>
        <w:t xml:space="preserve"> </w:t>
      </w:r>
      <w:r w:rsidRPr="009B5C66">
        <w:rPr>
          <w:i/>
        </w:rPr>
        <w:t>Id</w:t>
      </w:r>
      <w:r w:rsidRPr="00567B8D">
        <w:t>.</w:t>
      </w:r>
    </w:p>
  </w:footnote>
  <w:footnote w:id="5">
    <w:p w:rsidR="00BB54C5" w:rsidRPr="009B5C66" w:rsidRDefault="00BB54C5" w:rsidP="00BB54C5">
      <w:pPr>
        <w:pStyle w:val="FootnoteText"/>
      </w:pPr>
      <w:r w:rsidRPr="009B5C66">
        <w:rPr>
          <w:rStyle w:val="FootnoteReference"/>
          <w:sz w:val="20"/>
        </w:rPr>
        <w:footnoteRef/>
      </w:r>
      <w:r w:rsidRPr="009B5C66">
        <w:t xml:space="preserve"> </w:t>
      </w:r>
      <w:r w:rsidR="004E670B" w:rsidRPr="004E670B">
        <w:rPr>
          <w:i/>
          <w:iCs/>
        </w:rPr>
        <w:t>Opioid-related Data in New York State</w:t>
      </w:r>
      <w:r w:rsidR="004E670B">
        <w:rPr>
          <w:i/>
          <w:iCs/>
        </w:rPr>
        <w:t xml:space="preserve">, </w:t>
      </w:r>
      <w:r w:rsidR="004E670B" w:rsidRPr="004E670B">
        <w:rPr>
          <w:smallCaps/>
        </w:rPr>
        <w:t xml:space="preserve">NYS </w:t>
      </w:r>
      <w:r w:rsidR="00011453" w:rsidRPr="004E670B">
        <w:rPr>
          <w:smallCaps/>
        </w:rPr>
        <w:t>Dept.</w:t>
      </w:r>
      <w:r w:rsidR="004E670B" w:rsidRPr="004E670B">
        <w:rPr>
          <w:smallCaps/>
        </w:rPr>
        <w:t xml:space="preserve"> of Health</w:t>
      </w:r>
      <w:r w:rsidR="004E670B">
        <w:t xml:space="preserve">, </w:t>
      </w:r>
      <w:hyperlink r:id="rId3" w:history="1">
        <w:r w:rsidR="004E670B" w:rsidRPr="00B0477E">
          <w:rPr>
            <w:rStyle w:val="Hyperlink"/>
          </w:rPr>
          <w:t>https://www.health.ny.gov/statistics/opioid</w:t>
        </w:r>
      </w:hyperlink>
      <w:r w:rsidR="004E670B">
        <w:t xml:space="preserve"> (last revised July 2022).</w:t>
      </w:r>
      <w:r w:rsidRPr="009B5C66">
        <w:t xml:space="preserve"> </w:t>
      </w:r>
    </w:p>
  </w:footnote>
  <w:footnote w:id="6">
    <w:p w:rsidR="005D4FA2" w:rsidRPr="005D4FA2" w:rsidRDefault="005D4FA2">
      <w:pPr>
        <w:pStyle w:val="FootnoteText"/>
      </w:pPr>
      <w:r>
        <w:rPr>
          <w:rStyle w:val="FootnoteReference"/>
        </w:rPr>
        <w:footnoteRef/>
      </w:r>
      <w:r>
        <w:t xml:space="preserve"> </w:t>
      </w:r>
      <w:r>
        <w:rPr>
          <w:i/>
        </w:rPr>
        <w:t>Id</w:t>
      </w:r>
      <w:r>
        <w:t xml:space="preserve">. </w:t>
      </w:r>
    </w:p>
  </w:footnote>
  <w:footnote w:id="7">
    <w:p w:rsidR="001A2EFF" w:rsidRPr="009B5C66" w:rsidRDefault="001A2EFF" w:rsidP="00C17269">
      <w:pPr>
        <w:pStyle w:val="FootnoteText"/>
      </w:pPr>
      <w:r w:rsidRPr="009B5C66">
        <w:rPr>
          <w:rStyle w:val="FootnoteReference"/>
          <w:sz w:val="20"/>
        </w:rPr>
        <w:footnoteRef/>
      </w:r>
      <w:r w:rsidRPr="009B5C66">
        <w:t xml:space="preserve"> </w:t>
      </w:r>
      <w:r w:rsidR="00225D82">
        <w:t>Deaths increased from 737</w:t>
      </w:r>
      <w:r w:rsidR="0001780D">
        <w:t xml:space="preserve"> to 1,044. </w:t>
      </w:r>
      <w:r w:rsidRPr="009B5C66">
        <w:rPr>
          <w:i/>
        </w:rPr>
        <w:t>Id</w:t>
      </w:r>
      <w:r w:rsidRPr="009B5C66">
        <w:t>.</w:t>
      </w:r>
      <w:r w:rsidR="0001780D">
        <w:t xml:space="preserve"> </w:t>
      </w:r>
    </w:p>
  </w:footnote>
  <w:footnote w:id="8">
    <w:p w:rsidR="001A2EFF" w:rsidRDefault="001A2EFF" w:rsidP="00C17269">
      <w:pPr>
        <w:pStyle w:val="FootnoteText"/>
      </w:pPr>
      <w:r w:rsidRPr="009B5C66">
        <w:rPr>
          <w:rStyle w:val="FootnoteReference"/>
          <w:sz w:val="20"/>
        </w:rPr>
        <w:footnoteRef/>
      </w:r>
      <w:r w:rsidRPr="009B5C66">
        <w:t xml:space="preserve"> </w:t>
      </w:r>
      <w:r w:rsidRPr="009B5C66">
        <w:rPr>
          <w:i/>
        </w:rPr>
        <w:t>Id</w:t>
      </w:r>
      <w:r w:rsidRPr="009B5C66">
        <w:t>.</w:t>
      </w:r>
    </w:p>
  </w:footnote>
  <w:footnote w:id="9">
    <w:p w:rsidR="001A2EFF" w:rsidRPr="009B5C66" w:rsidRDefault="001A2EFF" w:rsidP="00C17269">
      <w:pPr>
        <w:pStyle w:val="FootnoteText"/>
      </w:pPr>
      <w:r w:rsidRPr="009B5C66">
        <w:rPr>
          <w:rStyle w:val="FootnoteReference"/>
          <w:sz w:val="20"/>
        </w:rPr>
        <w:footnoteRef/>
      </w:r>
      <w:r w:rsidRPr="009B5C66">
        <w:t xml:space="preserve"> </w:t>
      </w:r>
      <w:r w:rsidRPr="009B5C66">
        <w:rPr>
          <w:i/>
        </w:rPr>
        <w:t>Id</w:t>
      </w:r>
      <w:r w:rsidRPr="009B5C66">
        <w:t>.</w:t>
      </w:r>
    </w:p>
  </w:footnote>
  <w:footnote w:id="10">
    <w:p w:rsidR="001A2EFF" w:rsidRPr="009B5C66" w:rsidRDefault="001A2EFF" w:rsidP="00C17269">
      <w:pPr>
        <w:pStyle w:val="FootnoteText"/>
      </w:pPr>
      <w:r w:rsidRPr="009B5C66">
        <w:rPr>
          <w:rStyle w:val="FootnoteReference"/>
          <w:sz w:val="20"/>
        </w:rPr>
        <w:footnoteRef/>
      </w:r>
      <w:r w:rsidRPr="009B5C66">
        <w:t xml:space="preserve"> </w:t>
      </w:r>
      <w:r w:rsidR="00011453">
        <w:t xml:space="preserve">NYC Health, </w:t>
      </w:r>
      <w:r w:rsidRPr="00225D82">
        <w:rPr>
          <w:i/>
          <w:iCs/>
        </w:rPr>
        <w:t>Prevent Overdose</w:t>
      </w:r>
      <w:r w:rsidRPr="009B5C66">
        <w:t xml:space="preserve">, </w:t>
      </w:r>
      <w:r w:rsidR="00225D82" w:rsidRPr="00225D82">
        <w:rPr>
          <w:smallCaps/>
        </w:rPr>
        <w:t>NYC</w:t>
      </w:r>
      <w:r w:rsidR="00011453">
        <w:rPr>
          <w:smallCaps/>
        </w:rPr>
        <w:t xml:space="preserve">.gov, </w:t>
      </w:r>
      <w:hyperlink r:id="rId4" w:history="1">
        <w:r w:rsidRPr="009B5C66">
          <w:rPr>
            <w:rStyle w:val="Hyperlink"/>
          </w:rPr>
          <w:t>https://www1.nyc.gov/site/doh/health/health-topics/alcohol-and-drug-use-prevent-overdose.page</w:t>
        </w:r>
      </w:hyperlink>
      <w:r w:rsidR="00225D82">
        <w:t xml:space="preserve"> (last visited Sept. 18, 2022).</w:t>
      </w:r>
    </w:p>
  </w:footnote>
  <w:footnote w:id="11">
    <w:p w:rsidR="001A2EFF" w:rsidRPr="009B5C66" w:rsidRDefault="001A2EFF" w:rsidP="00C17269">
      <w:pPr>
        <w:pStyle w:val="FootnoteText"/>
      </w:pPr>
      <w:r w:rsidRPr="009B5C66">
        <w:rPr>
          <w:rStyle w:val="FootnoteReference"/>
          <w:sz w:val="20"/>
        </w:rPr>
        <w:footnoteRef/>
      </w:r>
      <w:r w:rsidRPr="009B5C66">
        <w:t xml:space="preserve"> </w:t>
      </w:r>
      <w:r w:rsidR="00225D82">
        <w:t xml:space="preserve">NYC Health, </w:t>
      </w:r>
      <w:r w:rsidRPr="00011453">
        <w:rPr>
          <w:i/>
          <w:iCs/>
        </w:rPr>
        <w:t xml:space="preserve">Unintentional Drug Poisoning (Overdose) Deaths: Quarter </w:t>
      </w:r>
      <w:r w:rsidR="00F2041A">
        <w:rPr>
          <w:i/>
          <w:iCs/>
        </w:rPr>
        <w:t>3</w:t>
      </w:r>
      <w:r w:rsidRPr="00011453">
        <w:rPr>
          <w:i/>
          <w:iCs/>
        </w:rPr>
        <w:t>, 2021, New York City</w:t>
      </w:r>
      <w:r w:rsidR="00011453" w:rsidRPr="00011453">
        <w:t>,</w:t>
      </w:r>
      <w:r w:rsidR="00011453">
        <w:rPr>
          <w:smallCaps/>
        </w:rPr>
        <w:t xml:space="preserve"> NYC.gov</w:t>
      </w:r>
      <w:r w:rsidRPr="00225D82">
        <w:rPr>
          <w:smallCaps/>
        </w:rPr>
        <w:t xml:space="preserve"> </w:t>
      </w:r>
      <w:r w:rsidR="00225D82">
        <w:t>(</w:t>
      </w:r>
      <w:r w:rsidR="00F2041A">
        <w:t>June</w:t>
      </w:r>
      <w:r w:rsidRPr="009B5C66">
        <w:t xml:space="preserve"> 2022</w:t>
      </w:r>
      <w:r w:rsidR="00225D82">
        <w:t xml:space="preserve">), </w:t>
      </w:r>
      <w:r w:rsidR="00225D82">
        <w:rPr>
          <w:i/>
          <w:iCs/>
        </w:rPr>
        <w:t>available at</w:t>
      </w:r>
      <w:r w:rsidR="00225D82">
        <w:t xml:space="preserve">: </w:t>
      </w:r>
      <w:hyperlink r:id="rId5" w:history="1">
        <w:r w:rsidR="00F2041A" w:rsidRPr="002E257B">
          <w:rPr>
            <w:rStyle w:val="Hyperlink"/>
          </w:rPr>
          <w:t>https://www1.nyc.gov/site/doh/health/health-topics/alcohol-and-drug-use-data.page</w:t>
        </w:r>
      </w:hyperlink>
    </w:p>
  </w:footnote>
  <w:footnote w:id="12">
    <w:p w:rsidR="001A2EFF" w:rsidRPr="009B5C66" w:rsidRDefault="001A2EFF" w:rsidP="00C17269">
      <w:pPr>
        <w:pStyle w:val="FootnoteText"/>
        <w:rPr>
          <w:rFonts w:ascii="Helvetica Neue" w:hAnsi="Helvetica Neue"/>
          <w:color w:val="333333"/>
        </w:rPr>
      </w:pPr>
      <w:r w:rsidRPr="006456C0">
        <w:rPr>
          <w:rStyle w:val="FootnoteReference"/>
          <w:color w:val="000000" w:themeColor="text1"/>
          <w:sz w:val="20"/>
        </w:rPr>
        <w:footnoteRef/>
      </w:r>
      <w:r w:rsidR="00011453">
        <w:rPr>
          <w:color w:val="000000" w:themeColor="text1"/>
        </w:rPr>
        <w:t xml:space="preserve"> </w:t>
      </w:r>
      <w:r w:rsidR="00011453">
        <w:t>NYC Health,</w:t>
      </w:r>
      <w:r w:rsidRPr="006456C0">
        <w:rPr>
          <w:color w:val="000000" w:themeColor="text1"/>
        </w:rPr>
        <w:t xml:space="preserve"> </w:t>
      </w:r>
      <w:r w:rsidRPr="00225D82">
        <w:rPr>
          <w:i/>
          <w:iCs/>
          <w:color w:val="000000" w:themeColor="text1"/>
        </w:rPr>
        <w:t>Overdose Continues to Rise in NYC as Harm Reduction Programming Scales Up</w:t>
      </w:r>
      <w:r w:rsidRPr="006456C0">
        <w:rPr>
          <w:color w:val="000000" w:themeColor="text1"/>
        </w:rPr>
        <w:t>,</w:t>
      </w:r>
      <w:r w:rsidR="00225D82">
        <w:rPr>
          <w:color w:val="000000" w:themeColor="text1"/>
        </w:rPr>
        <w:t xml:space="preserve"> </w:t>
      </w:r>
      <w:r w:rsidR="00225D82" w:rsidRPr="00225D82">
        <w:rPr>
          <w:smallCaps/>
          <w:color w:val="000000" w:themeColor="text1"/>
        </w:rPr>
        <w:t>NYC</w:t>
      </w:r>
      <w:r w:rsidR="00011453">
        <w:rPr>
          <w:smallCaps/>
          <w:color w:val="000000" w:themeColor="text1"/>
        </w:rPr>
        <w:t xml:space="preserve">.gov </w:t>
      </w:r>
      <w:r w:rsidR="00225D82">
        <w:rPr>
          <w:color w:val="000000" w:themeColor="text1"/>
        </w:rPr>
        <w:t>(</w:t>
      </w:r>
      <w:r w:rsidRPr="006456C0">
        <w:rPr>
          <w:color w:val="000000" w:themeColor="text1"/>
        </w:rPr>
        <w:t>Apr</w:t>
      </w:r>
      <w:r w:rsidR="00225D82">
        <w:rPr>
          <w:color w:val="000000" w:themeColor="text1"/>
        </w:rPr>
        <w:t>il</w:t>
      </w:r>
      <w:r w:rsidRPr="006456C0">
        <w:rPr>
          <w:color w:val="000000" w:themeColor="text1"/>
        </w:rPr>
        <w:t xml:space="preserve"> 14, 2022</w:t>
      </w:r>
      <w:r w:rsidR="00225D82">
        <w:rPr>
          <w:color w:val="000000" w:themeColor="text1"/>
        </w:rPr>
        <w:t>),</w:t>
      </w:r>
      <w:r w:rsidRPr="006456C0">
        <w:rPr>
          <w:color w:val="000000" w:themeColor="text1"/>
        </w:rPr>
        <w:t xml:space="preserve"> </w:t>
      </w:r>
      <w:hyperlink r:id="rId6" w:history="1">
        <w:r w:rsidRPr="009B5C66">
          <w:rPr>
            <w:rStyle w:val="Hyperlink"/>
          </w:rPr>
          <w:t>https://www1.nyc.gov/site/doh/about/press/pr2022/overdose-increases-as-harm-reduction-program-scales-up.page</w:t>
        </w:r>
      </w:hyperlink>
      <w:r w:rsidR="00225D82">
        <w:rPr>
          <w:color w:val="333333"/>
        </w:rPr>
        <w:t>.</w:t>
      </w:r>
      <w:r w:rsidRPr="009B5C66">
        <w:rPr>
          <w:rFonts w:ascii="Helvetica Neue" w:hAnsi="Helvetica Neue"/>
          <w:color w:val="333333"/>
        </w:rPr>
        <w:t xml:space="preserve"> </w:t>
      </w:r>
    </w:p>
  </w:footnote>
  <w:footnote w:id="13">
    <w:p w:rsidR="001A2EFF" w:rsidRPr="009B5C66" w:rsidRDefault="001A2EFF" w:rsidP="00C17269">
      <w:pPr>
        <w:pStyle w:val="FootnoteText"/>
      </w:pPr>
      <w:r w:rsidRPr="009B5C66">
        <w:rPr>
          <w:rStyle w:val="FootnoteReference"/>
          <w:sz w:val="20"/>
        </w:rPr>
        <w:footnoteRef/>
      </w:r>
      <w:r w:rsidR="0088734C">
        <w:rPr>
          <w:i/>
          <w:iCs/>
        </w:rPr>
        <w:t xml:space="preserve"> Supra </w:t>
      </w:r>
      <w:r w:rsidR="0088734C">
        <w:t>note 11.</w:t>
      </w:r>
    </w:p>
  </w:footnote>
  <w:footnote w:id="14">
    <w:p w:rsidR="001A2EFF" w:rsidRDefault="001A2EFF" w:rsidP="00C17269">
      <w:pPr>
        <w:pStyle w:val="FootnoteText"/>
      </w:pPr>
      <w:r>
        <w:rPr>
          <w:rStyle w:val="FootnoteReference"/>
        </w:rPr>
        <w:footnoteRef/>
      </w:r>
      <w:r>
        <w:t xml:space="preserve"> </w:t>
      </w:r>
      <w:r w:rsidRPr="008F6358">
        <w:rPr>
          <w:i/>
        </w:rPr>
        <w:t>Id</w:t>
      </w:r>
      <w:r>
        <w:t>.</w:t>
      </w:r>
    </w:p>
  </w:footnote>
  <w:footnote w:id="15">
    <w:p w:rsidR="001A2EFF" w:rsidRDefault="001A2EFF" w:rsidP="00C17269">
      <w:pPr>
        <w:pStyle w:val="FootnoteText"/>
      </w:pPr>
      <w:r>
        <w:rPr>
          <w:rStyle w:val="FootnoteReference"/>
        </w:rPr>
        <w:footnoteRef/>
      </w:r>
      <w:r>
        <w:t xml:space="preserve"> </w:t>
      </w:r>
      <w:r w:rsidRPr="009B5C66">
        <w:rPr>
          <w:i/>
        </w:rPr>
        <w:t>Id</w:t>
      </w:r>
      <w:r>
        <w:t>.</w:t>
      </w:r>
    </w:p>
  </w:footnote>
  <w:footnote w:id="16">
    <w:p w:rsidR="002E184F" w:rsidRDefault="002E184F">
      <w:pPr>
        <w:pStyle w:val="FootnoteText"/>
      </w:pPr>
      <w:r>
        <w:rPr>
          <w:rStyle w:val="FootnoteReference"/>
        </w:rPr>
        <w:footnoteRef/>
      </w:r>
      <w:r>
        <w:t xml:space="preserve"> </w:t>
      </w:r>
      <w:r w:rsidR="00A670C3">
        <w:t xml:space="preserve">Substance Abuse and Mental Health Services Administration, </w:t>
      </w:r>
      <w:r w:rsidR="0088734C" w:rsidRPr="0088734C">
        <w:rPr>
          <w:i/>
          <w:iCs/>
        </w:rPr>
        <w:t>The Opioid Crisis and the Black/African American Population: An Urgent Issue</w:t>
      </w:r>
      <w:r w:rsidR="0088734C">
        <w:t xml:space="preserve">, </w:t>
      </w:r>
      <w:r w:rsidR="00A670C3">
        <w:rPr>
          <w:smallCaps/>
        </w:rPr>
        <w:t>Office of Behavioral Health Equity</w:t>
      </w:r>
      <w:r w:rsidR="00A670C3">
        <w:t xml:space="preserve"> (2020), </w:t>
      </w:r>
      <w:r w:rsidR="0088734C">
        <w:rPr>
          <w:i/>
          <w:iCs/>
        </w:rPr>
        <w:t>available at</w:t>
      </w:r>
      <w:r w:rsidR="0088734C">
        <w:t xml:space="preserve">: </w:t>
      </w:r>
      <w:hyperlink r:id="rId7" w:history="1">
        <w:r w:rsidR="00A670C3" w:rsidRPr="00B0477E">
          <w:rPr>
            <w:rStyle w:val="Hyperlink"/>
          </w:rPr>
          <w:t>https://store.samhsa.gov/sites/default/files/SAMHSA_Digital_Download/PEP20-05-02-001_508%20Final.pdf</w:t>
        </w:r>
      </w:hyperlink>
      <w:r>
        <w:t xml:space="preserve"> </w:t>
      </w:r>
    </w:p>
  </w:footnote>
  <w:footnote w:id="17">
    <w:p w:rsidR="002E184F" w:rsidRPr="00A670C3" w:rsidRDefault="002E184F">
      <w:pPr>
        <w:pStyle w:val="FootnoteText"/>
      </w:pPr>
      <w:r>
        <w:rPr>
          <w:rStyle w:val="FootnoteReference"/>
        </w:rPr>
        <w:footnoteRef/>
      </w:r>
      <w:r>
        <w:t xml:space="preserve"> </w:t>
      </w:r>
      <w:r w:rsidR="00A670C3">
        <w:rPr>
          <w:i/>
          <w:iCs/>
        </w:rPr>
        <w:t>Id</w:t>
      </w:r>
      <w:r w:rsidR="00A670C3">
        <w:t>.</w:t>
      </w:r>
    </w:p>
  </w:footnote>
  <w:footnote w:id="18">
    <w:p w:rsidR="00E0151E" w:rsidRPr="00770EDC" w:rsidRDefault="00E0151E">
      <w:pPr>
        <w:pStyle w:val="FootnoteText"/>
      </w:pPr>
      <w:r>
        <w:rPr>
          <w:rStyle w:val="FootnoteReference"/>
        </w:rPr>
        <w:footnoteRef/>
      </w:r>
      <w:r>
        <w:t xml:space="preserve"> </w:t>
      </w:r>
      <w:r w:rsidR="00A670C3">
        <w:rPr>
          <w:i/>
          <w:iCs/>
        </w:rPr>
        <w:t>Id</w:t>
      </w:r>
      <w:r w:rsidR="00A670C3">
        <w:t xml:space="preserve">.; </w:t>
      </w:r>
      <w:r w:rsidR="00A670C3" w:rsidRPr="00A670C3">
        <w:rPr>
          <w:u w:val="single"/>
        </w:rPr>
        <w:t>see</w:t>
      </w:r>
      <w:r w:rsidR="00A670C3">
        <w:t xml:space="preserve"> </w:t>
      </w:r>
      <w:r w:rsidR="00A670C3" w:rsidRPr="00A670C3">
        <w:rPr>
          <w:u w:val="single"/>
        </w:rPr>
        <w:t>also</w:t>
      </w:r>
      <w:r w:rsidR="00A670C3">
        <w:t xml:space="preserve"> </w:t>
      </w:r>
      <w:r w:rsidR="00A670C3" w:rsidRPr="00A670C3">
        <w:t>Hansen</w:t>
      </w:r>
      <w:r w:rsidR="00A670C3">
        <w:t xml:space="preserve">, et. al., </w:t>
      </w:r>
      <w:r w:rsidR="00A670C3">
        <w:rPr>
          <w:i/>
          <w:iCs/>
        </w:rPr>
        <w:t>Variation in Use of Buprenorphine and Methadone Treatment by Racial, Ethnic, and Income Characteristics of Residential Social Areas in New York City</w:t>
      </w:r>
      <w:r w:rsidR="00A670C3">
        <w:t xml:space="preserve">, </w:t>
      </w:r>
      <w:r w:rsidR="00A670C3" w:rsidRPr="00770EDC">
        <w:rPr>
          <w:smallCaps/>
        </w:rPr>
        <w:t>Journal of Behavioral Health Services &amp; Research</w:t>
      </w:r>
      <w:r w:rsidR="00A670C3">
        <w:t xml:space="preserve"> (May 24, 2013)</w:t>
      </w:r>
      <w:r w:rsidR="00770EDC">
        <w:t xml:space="preserve">, </w:t>
      </w:r>
      <w:r w:rsidR="00770EDC">
        <w:rPr>
          <w:i/>
          <w:iCs/>
        </w:rPr>
        <w:t xml:space="preserve">available at: </w:t>
      </w:r>
      <w:hyperlink r:id="rId8" w:history="1">
        <w:r w:rsidR="00770EDC" w:rsidRPr="00770EDC">
          <w:rPr>
            <w:rStyle w:val="Hyperlink"/>
          </w:rPr>
          <w:t>https://www.ncbi.nlm.nih.gov/pmc/articles/PMC3818282</w:t>
        </w:r>
      </w:hyperlink>
      <w:r w:rsidR="00770EDC" w:rsidRPr="00770EDC">
        <w:t>.</w:t>
      </w:r>
      <w:r w:rsidR="00770EDC">
        <w:rPr>
          <w:i/>
          <w:iCs/>
        </w:rPr>
        <w:t xml:space="preserve"> </w:t>
      </w:r>
    </w:p>
  </w:footnote>
  <w:footnote w:id="19">
    <w:p w:rsidR="002E184F" w:rsidRPr="00770EDC" w:rsidRDefault="002E184F">
      <w:pPr>
        <w:pStyle w:val="FootnoteText"/>
      </w:pPr>
      <w:r>
        <w:rPr>
          <w:rStyle w:val="FootnoteReference"/>
        </w:rPr>
        <w:footnoteRef/>
      </w:r>
      <w:r>
        <w:t xml:space="preserve"> </w:t>
      </w:r>
      <w:r w:rsidR="00770EDC" w:rsidRPr="00770EDC">
        <w:rPr>
          <w:i/>
          <w:iCs/>
        </w:rPr>
        <w:t>Methadone</w:t>
      </w:r>
      <w:r w:rsidR="00770EDC">
        <w:t xml:space="preserve">, </w:t>
      </w:r>
      <w:r w:rsidR="00770EDC" w:rsidRPr="00770EDC">
        <w:rPr>
          <w:smallCaps/>
        </w:rPr>
        <w:t>Substance Abuse and Mental Health Services Administration (SAMHSA),</w:t>
      </w:r>
      <w:r w:rsidR="00770EDC">
        <w:t xml:space="preserve"> </w:t>
      </w:r>
      <w:hyperlink r:id="rId9" w:history="1">
        <w:r w:rsidR="00770EDC" w:rsidRPr="00B0477E">
          <w:rPr>
            <w:rStyle w:val="Hyperlink"/>
          </w:rPr>
          <w:t>https://www.samhsa.gov/medication-assisted-treatment/medications-counseling-related-conditions/methadone</w:t>
        </w:r>
      </w:hyperlink>
      <w:r w:rsidR="00770EDC">
        <w:t xml:space="preserve"> (last updated June 23, 2022)</w:t>
      </w:r>
      <w:r w:rsidR="00A404E1">
        <w:t xml:space="preserve">; </w:t>
      </w:r>
      <w:r w:rsidR="00770EDC">
        <w:t xml:space="preserve">see also </w:t>
      </w:r>
      <w:r w:rsidR="00770EDC">
        <w:rPr>
          <w:i/>
          <w:iCs/>
        </w:rPr>
        <w:t xml:space="preserve">supra </w:t>
      </w:r>
      <w:r w:rsidR="00770EDC">
        <w:t>note 16.</w:t>
      </w:r>
    </w:p>
  </w:footnote>
  <w:footnote w:id="20">
    <w:p w:rsidR="009139FF" w:rsidRDefault="009139FF">
      <w:pPr>
        <w:pStyle w:val="FootnoteText"/>
      </w:pPr>
      <w:r>
        <w:rPr>
          <w:rStyle w:val="FootnoteReference"/>
        </w:rPr>
        <w:footnoteRef/>
      </w:r>
      <w:r>
        <w:t xml:space="preserve"> </w:t>
      </w:r>
      <w:r w:rsidR="00770EDC">
        <w:rPr>
          <w:i/>
          <w:iCs/>
        </w:rPr>
        <w:t>Buprenorphine</w:t>
      </w:r>
      <w:r w:rsidR="00770EDC">
        <w:t xml:space="preserve">, </w:t>
      </w:r>
      <w:r w:rsidR="00770EDC" w:rsidRPr="00770EDC">
        <w:rPr>
          <w:smallCaps/>
        </w:rPr>
        <w:t>Substance Abuse and Mental Health Services Administration (SAMHSA),</w:t>
      </w:r>
      <w:r w:rsidR="00770EDC">
        <w:t xml:space="preserve"> </w:t>
      </w:r>
      <w:hyperlink r:id="rId10" w:anchor=":~:text=Buprenorphine%20is%20an%20opioid%20partial,buprenorphine%20is%20safe%20and%20effective" w:history="1">
        <w:r w:rsidR="00770EDC" w:rsidRPr="00B0477E">
          <w:rPr>
            <w:rStyle w:val="Hyperlink"/>
          </w:rPr>
          <w:t>https://www.samhsa.gov/medication-assisted-treatment/medications-counseling-related-conditions/buprenorphine#:~:text=Buprenorphine%20is%20an%20opioid%20partial,buprenorphine%20is%20safe%20and%20effective</w:t>
        </w:r>
      </w:hyperlink>
      <w:r>
        <w:t xml:space="preserve"> </w:t>
      </w:r>
      <w:r w:rsidR="00770EDC">
        <w:t xml:space="preserve">(last updated July 14, 2022). </w:t>
      </w:r>
    </w:p>
  </w:footnote>
  <w:footnote w:id="21">
    <w:p w:rsidR="009139FF" w:rsidRPr="00770EDC" w:rsidRDefault="009139FF">
      <w:pPr>
        <w:pStyle w:val="FootnoteText"/>
      </w:pPr>
      <w:r>
        <w:rPr>
          <w:rStyle w:val="FootnoteReference"/>
        </w:rPr>
        <w:footnoteRef/>
      </w:r>
      <w:r>
        <w:t xml:space="preserve"> </w:t>
      </w:r>
      <w:r w:rsidR="00770EDC">
        <w:rPr>
          <w:i/>
          <w:iCs/>
        </w:rPr>
        <w:t>Id</w:t>
      </w:r>
      <w:r w:rsidR="00770EDC">
        <w:t xml:space="preserve">. </w:t>
      </w:r>
    </w:p>
  </w:footnote>
  <w:footnote w:id="22">
    <w:p w:rsidR="00B72D52" w:rsidRPr="00A14641" w:rsidRDefault="00B72D52">
      <w:pPr>
        <w:pStyle w:val="FootnoteText"/>
      </w:pPr>
      <w:r>
        <w:rPr>
          <w:rStyle w:val="FootnoteReference"/>
        </w:rPr>
        <w:footnoteRef/>
      </w:r>
      <w:r>
        <w:t xml:space="preserve"> </w:t>
      </w:r>
      <w:r w:rsidR="00A14641">
        <w:rPr>
          <w:i/>
          <w:iCs/>
        </w:rPr>
        <w:t xml:space="preserve">Supra </w:t>
      </w:r>
      <w:r w:rsidR="00A14641">
        <w:t xml:space="preserve">note 16. </w:t>
      </w:r>
    </w:p>
  </w:footnote>
  <w:footnote w:id="23">
    <w:p w:rsidR="009139FF" w:rsidRPr="00A14641" w:rsidRDefault="009139FF">
      <w:pPr>
        <w:pStyle w:val="FootnoteText"/>
      </w:pPr>
      <w:r>
        <w:rPr>
          <w:rStyle w:val="FootnoteReference"/>
        </w:rPr>
        <w:footnoteRef/>
      </w:r>
      <w:r>
        <w:t xml:space="preserve"> </w:t>
      </w:r>
      <w:r w:rsidR="00A14641">
        <w:rPr>
          <w:i/>
          <w:iCs/>
        </w:rPr>
        <w:t>Id</w:t>
      </w:r>
      <w:r w:rsidR="00A14641">
        <w:t xml:space="preserve">. </w:t>
      </w:r>
    </w:p>
  </w:footnote>
  <w:footnote w:id="24">
    <w:p w:rsidR="00B72D52" w:rsidRDefault="00B72D52">
      <w:pPr>
        <w:pStyle w:val="FootnoteText"/>
      </w:pPr>
      <w:r>
        <w:rPr>
          <w:rStyle w:val="FootnoteReference"/>
        </w:rPr>
        <w:footnoteRef/>
      </w:r>
      <w:r>
        <w:t xml:space="preserve"> </w:t>
      </w:r>
      <w:r w:rsidR="00A14641">
        <w:rPr>
          <w:i/>
          <w:iCs/>
        </w:rPr>
        <w:t>Id</w:t>
      </w:r>
      <w:r w:rsidR="00A14641">
        <w:t>.</w:t>
      </w:r>
    </w:p>
  </w:footnote>
  <w:footnote w:id="25">
    <w:p w:rsidR="00B72D52" w:rsidRDefault="00B72D52">
      <w:pPr>
        <w:pStyle w:val="FootnoteText"/>
      </w:pPr>
      <w:r>
        <w:rPr>
          <w:rStyle w:val="FootnoteReference"/>
        </w:rPr>
        <w:footnoteRef/>
      </w:r>
      <w:r>
        <w:t xml:space="preserve"> </w:t>
      </w:r>
      <w:r w:rsidR="00A14641">
        <w:rPr>
          <w:i/>
          <w:iCs/>
        </w:rPr>
        <w:t>Id</w:t>
      </w:r>
      <w:r w:rsidR="00A14641">
        <w:t>.</w:t>
      </w:r>
    </w:p>
  </w:footnote>
  <w:footnote w:id="26">
    <w:p w:rsidR="00B72D52" w:rsidRDefault="00B72D52">
      <w:pPr>
        <w:pStyle w:val="FootnoteText"/>
      </w:pPr>
      <w:r>
        <w:rPr>
          <w:rStyle w:val="FootnoteReference"/>
        </w:rPr>
        <w:footnoteRef/>
      </w:r>
      <w:r>
        <w:t xml:space="preserve"> </w:t>
      </w:r>
      <w:r w:rsidR="00A14641">
        <w:rPr>
          <w:i/>
          <w:iCs/>
        </w:rPr>
        <w:t>Id</w:t>
      </w:r>
      <w:r w:rsidR="00A14641">
        <w:t>.</w:t>
      </w:r>
    </w:p>
  </w:footnote>
  <w:footnote w:id="27">
    <w:p w:rsidR="0001780D" w:rsidRDefault="0001780D">
      <w:pPr>
        <w:pStyle w:val="FootnoteText"/>
      </w:pPr>
      <w:r>
        <w:rPr>
          <w:rStyle w:val="FootnoteReference"/>
        </w:rPr>
        <w:footnoteRef/>
      </w:r>
      <w:r>
        <w:t xml:space="preserve"> </w:t>
      </w:r>
      <w:r w:rsidR="00A14641">
        <w:rPr>
          <w:i/>
          <w:iCs/>
        </w:rPr>
        <w:t>Id</w:t>
      </w:r>
      <w:r w:rsidR="00A14641">
        <w:t>.</w:t>
      </w:r>
    </w:p>
  </w:footnote>
  <w:footnote w:id="28">
    <w:p w:rsidR="00153223" w:rsidRDefault="00153223">
      <w:pPr>
        <w:pStyle w:val="FootnoteText"/>
      </w:pPr>
      <w:r>
        <w:rPr>
          <w:rStyle w:val="FootnoteReference"/>
        </w:rPr>
        <w:footnoteRef/>
      </w:r>
      <w:r>
        <w:t xml:space="preserve"> </w:t>
      </w:r>
      <w:r w:rsidR="00A14641">
        <w:rPr>
          <w:i/>
          <w:iCs/>
        </w:rPr>
        <w:t>Id</w:t>
      </w:r>
      <w:r w:rsidR="00A14641">
        <w:t>.</w:t>
      </w:r>
    </w:p>
  </w:footnote>
  <w:footnote w:id="29">
    <w:p w:rsidR="00E02654" w:rsidRDefault="00E02654">
      <w:pPr>
        <w:pStyle w:val="FootnoteText"/>
      </w:pPr>
      <w:r>
        <w:rPr>
          <w:rStyle w:val="FootnoteReference"/>
        </w:rPr>
        <w:footnoteRef/>
      </w:r>
      <w:r>
        <w:t xml:space="preserve"> </w:t>
      </w:r>
      <w:r w:rsidR="00CF0992" w:rsidRPr="009B5C66">
        <w:rPr>
          <w:i/>
        </w:rPr>
        <w:t>Id</w:t>
      </w:r>
      <w:r w:rsidR="00CF0992">
        <w:t>.</w:t>
      </w:r>
    </w:p>
  </w:footnote>
  <w:footnote w:id="30">
    <w:p w:rsidR="001A2EFF" w:rsidRDefault="001A2EFF" w:rsidP="007C3F49">
      <w:pPr>
        <w:pStyle w:val="FootnoteText"/>
      </w:pPr>
      <w:r>
        <w:rPr>
          <w:rStyle w:val="FootnoteReference"/>
        </w:rPr>
        <w:footnoteRef/>
      </w:r>
      <w:r>
        <w:t xml:space="preserve"> On June 30, 2022, the Committee on Mental Health, Disabilities</w:t>
      </w:r>
      <w:r w:rsidR="00DA49F4">
        <w:t>,</w:t>
      </w:r>
      <w:r>
        <w:t xml:space="preserve"> and Addiction held a hearing entitled </w:t>
      </w:r>
      <w:r w:rsidR="009F0804">
        <w:t>“</w:t>
      </w:r>
      <w:r>
        <w:t>Oversight: Tracking the Opioid Settlement Fund and Its Related Programs.</w:t>
      </w:r>
      <w:r w:rsidR="009F0804">
        <w:t xml:space="preserve">” </w:t>
      </w:r>
      <w:r>
        <w:t>The information in this section is primarily taken fro</w:t>
      </w:r>
      <w:r w:rsidR="00D72F04">
        <w:t>m</w:t>
      </w:r>
      <w:r>
        <w:t xml:space="preserve"> that report. </w:t>
      </w:r>
      <w:r w:rsidRPr="002169FE">
        <w:rPr>
          <w:i/>
        </w:rPr>
        <w:t>See</w:t>
      </w:r>
      <w:r>
        <w:t xml:space="preserve"> Committee on Mental Health, Disabilities</w:t>
      </w:r>
      <w:r w:rsidR="00DA49F4">
        <w:t>,</w:t>
      </w:r>
      <w:r>
        <w:t xml:space="preserve"> and Addiction, Committee Report, Oversight: Tracking the Opioid Settlement Fund and Its Related Programs (June 30, 2022)</w:t>
      </w:r>
      <w:r w:rsidR="00DA49F4">
        <w:t>,</w:t>
      </w:r>
      <w:r>
        <w:t xml:space="preserve"> </w:t>
      </w:r>
      <w:r w:rsidR="00DA49F4">
        <w:rPr>
          <w:i/>
          <w:iCs/>
        </w:rPr>
        <w:t>a</w:t>
      </w:r>
      <w:r w:rsidRPr="00A14641">
        <w:rPr>
          <w:i/>
          <w:iCs/>
        </w:rPr>
        <w:t xml:space="preserve">vailable at </w:t>
      </w:r>
      <w:hyperlink r:id="rId11" w:history="1">
        <w:r w:rsidRPr="001C170B">
          <w:rPr>
            <w:rStyle w:val="Hyperlink"/>
          </w:rPr>
          <w:t>https://legistar.council.nyc.gov/LegislationDetail.aspx?ID=5644275&amp;GUID=405544C0-8E4D-45E2-87FE-2C7D58469AAE&amp;Options=&amp;Search</w:t>
        </w:r>
      </w:hyperlink>
      <w:r>
        <w:t>.</w:t>
      </w:r>
    </w:p>
  </w:footnote>
  <w:footnote w:id="31">
    <w:p w:rsidR="001A2EFF" w:rsidRPr="009C6245" w:rsidRDefault="001A2EFF" w:rsidP="007C3F49">
      <w:pPr>
        <w:pStyle w:val="FootnoteText"/>
      </w:pPr>
      <w:r w:rsidRPr="009C6245">
        <w:rPr>
          <w:rStyle w:val="FootnoteReference"/>
          <w:sz w:val="20"/>
        </w:rPr>
        <w:footnoteRef/>
      </w:r>
      <w:r w:rsidRPr="009C6245">
        <w:t xml:space="preserve"> </w:t>
      </w:r>
      <w:r w:rsidR="009F0804">
        <w:t xml:space="preserve">Press Release, </w:t>
      </w:r>
      <w:r w:rsidRPr="009F0804">
        <w:rPr>
          <w:i/>
          <w:iCs/>
          <w:color w:val="000000" w:themeColor="text1"/>
        </w:rPr>
        <w:t>Attorney General James Files Nation's Most Comprehensive Suit Against Opioid Distributors And Manufacturers</w:t>
      </w:r>
      <w:r w:rsidRPr="006456C0">
        <w:rPr>
          <w:color w:val="000000" w:themeColor="text1"/>
        </w:rPr>
        <w:t>,</w:t>
      </w:r>
      <w:r w:rsidR="009F0804">
        <w:rPr>
          <w:color w:val="000000" w:themeColor="text1"/>
        </w:rPr>
        <w:t xml:space="preserve"> </w:t>
      </w:r>
      <w:r w:rsidR="009F0804" w:rsidRPr="009F0804">
        <w:rPr>
          <w:smallCaps/>
          <w:color w:val="000000" w:themeColor="text1"/>
        </w:rPr>
        <w:t>ag.ny.gov</w:t>
      </w:r>
      <w:r w:rsidR="009F0804">
        <w:rPr>
          <w:color w:val="000000" w:themeColor="text1"/>
        </w:rPr>
        <w:t xml:space="preserve"> (March 28, 2019), </w:t>
      </w:r>
      <w:hyperlink r:id="rId12" w:history="1">
        <w:r w:rsidR="009F0804" w:rsidRPr="00B0477E">
          <w:rPr>
            <w:rStyle w:val="Hyperlink"/>
          </w:rPr>
          <w:t>https://ag.ny.gov/press-release/2019/attorney-general-james-files-nations-most-comprehensive-suit-against-opioid</w:t>
        </w:r>
      </w:hyperlink>
      <w:r w:rsidRPr="009C6245">
        <w:rPr>
          <w:color w:val="333333"/>
        </w:rPr>
        <w:t xml:space="preserve">. </w:t>
      </w:r>
    </w:p>
  </w:footnote>
  <w:footnote w:id="32">
    <w:p w:rsidR="001A2EFF" w:rsidRPr="009C6245" w:rsidRDefault="001A2EFF" w:rsidP="007C3F49">
      <w:pPr>
        <w:pStyle w:val="FootnoteText"/>
      </w:pPr>
      <w:r w:rsidRPr="009C6245">
        <w:rPr>
          <w:rStyle w:val="FootnoteReference"/>
          <w:sz w:val="20"/>
        </w:rPr>
        <w:footnoteRef/>
      </w:r>
      <w:r w:rsidRPr="009C6245">
        <w:t xml:space="preserve"> </w:t>
      </w:r>
      <w:r w:rsidRPr="009C6245">
        <w:rPr>
          <w:i/>
        </w:rPr>
        <w:t>Id</w:t>
      </w:r>
      <w:r w:rsidRPr="009C6245">
        <w:t>.</w:t>
      </w:r>
    </w:p>
  </w:footnote>
  <w:footnote w:id="33">
    <w:p w:rsidR="001A2EFF" w:rsidRPr="000329F7" w:rsidRDefault="001A2EFF">
      <w:pPr>
        <w:pStyle w:val="FootnoteText"/>
      </w:pPr>
      <w:r>
        <w:rPr>
          <w:rStyle w:val="FootnoteReference"/>
        </w:rPr>
        <w:footnoteRef/>
      </w:r>
      <w:r>
        <w:t xml:space="preserve"> </w:t>
      </w:r>
      <w:r>
        <w:rPr>
          <w:i/>
        </w:rPr>
        <w:t>Id</w:t>
      </w:r>
      <w:r>
        <w:t xml:space="preserve">. These include a $230 million settlement with Johnson &amp; Johnson, and a $200 million agreement with Allergan. </w:t>
      </w:r>
      <w:r>
        <w:rPr>
          <w:i/>
        </w:rPr>
        <w:t>Id</w:t>
      </w:r>
      <w:r>
        <w:t xml:space="preserve">. </w:t>
      </w:r>
    </w:p>
  </w:footnote>
  <w:footnote w:id="34">
    <w:p w:rsidR="001A2EFF" w:rsidRPr="004302FE" w:rsidRDefault="001A2EFF" w:rsidP="000329F7">
      <w:pPr>
        <w:pStyle w:val="FootnoteText"/>
      </w:pPr>
      <w:r w:rsidRPr="004302FE">
        <w:rPr>
          <w:rStyle w:val="FootnoteReference"/>
          <w:sz w:val="20"/>
        </w:rPr>
        <w:footnoteRef/>
      </w:r>
      <w:r w:rsidRPr="004302FE">
        <w:t xml:space="preserve"> </w:t>
      </w:r>
      <w:r w:rsidRPr="004302FE">
        <w:rPr>
          <w:i/>
        </w:rPr>
        <w:t>Id</w:t>
      </w:r>
      <w:r w:rsidRPr="004302FE">
        <w:t>.</w:t>
      </w:r>
    </w:p>
  </w:footnote>
  <w:footnote w:id="35">
    <w:p w:rsidR="001A2EFF" w:rsidRPr="004302FE" w:rsidRDefault="001A2EFF" w:rsidP="000329F7">
      <w:pPr>
        <w:pStyle w:val="FootnoteText"/>
      </w:pPr>
      <w:r w:rsidRPr="004302FE">
        <w:rPr>
          <w:rStyle w:val="FootnoteReference"/>
          <w:sz w:val="20"/>
        </w:rPr>
        <w:footnoteRef/>
      </w:r>
      <w:r w:rsidRPr="004302FE">
        <w:t xml:space="preserve"> </w:t>
      </w:r>
      <w:r w:rsidRPr="004302FE">
        <w:rPr>
          <w:i/>
        </w:rPr>
        <w:t>Id</w:t>
      </w:r>
      <w:r w:rsidRPr="004302FE">
        <w:t>.</w:t>
      </w:r>
    </w:p>
  </w:footnote>
  <w:footnote w:id="36">
    <w:p w:rsidR="001A2EFF" w:rsidRPr="004302FE" w:rsidRDefault="001A2EFF" w:rsidP="0028036B">
      <w:pPr>
        <w:pStyle w:val="FootnoteText"/>
        <w:rPr>
          <w:color w:val="333333"/>
        </w:rPr>
      </w:pPr>
      <w:r w:rsidRPr="004302FE">
        <w:rPr>
          <w:rStyle w:val="FootnoteReference"/>
          <w:sz w:val="20"/>
        </w:rPr>
        <w:footnoteRef/>
      </w:r>
      <w:r w:rsidRPr="004302FE">
        <w:t xml:space="preserve"> </w:t>
      </w:r>
      <w:r w:rsidR="009F0804">
        <w:t xml:space="preserve">Office of the Mayor, </w:t>
      </w:r>
      <w:r w:rsidRPr="009F0804">
        <w:rPr>
          <w:i/>
          <w:iCs/>
          <w:color w:val="333333"/>
        </w:rPr>
        <w:t xml:space="preserve">Mayor Adams and Attorney General James Fight Opioid Crisis </w:t>
      </w:r>
      <w:r w:rsidR="009F0804">
        <w:rPr>
          <w:i/>
          <w:iCs/>
          <w:color w:val="333333"/>
        </w:rPr>
        <w:t>W</w:t>
      </w:r>
      <w:r w:rsidRPr="009F0804">
        <w:rPr>
          <w:i/>
          <w:iCs/>
          <w:color w:val="333333"/>
        </w:rPr>
        <w:t>ith First of $286 Million in Payments for New York Cit</w:t>
      </w:r>
      <w:r w:rsidRPr="004302FE">
        <w:rPr>
          <w:color w:val="333333"/>
        </w:rPr>
        <w:t xml:space="preserve">y, </w:t>
      </w:r>
      <w:r w:rsidR="009F0804" w:rsidRPr="009F0804">
        <w:rPr>
          <w:smallCaps/>
          <w:color w:val="333333"/>
        </w:rPr>
        <w:t>NYC.</w:t>
      </w:r>
      <w:r w:rsidR="009F0804">
        <w:rPr>
          <w:smallCaps/>
          <w:color w:val="333333"/>
        </w:rPr>
        <w:t>gov</w:t>
      </w:r>
      <w:r w:rsidR="009F0804">
        <w:rPr>
          <w:color w:val="333333"/>
        </w:rPr>
        <w:t xml:space="preserve"> (</w:t>
      </w:r>
      <w:r w:rsidR="009F0804" w:rsidRPr="004302FE">
        <w:rPr>
          <w:rStyle w:val="Date1"/>
          <w:bCs/>
          <w:color w:val="333333"/>
        </w:rPr>
        <w:t>Ap</w:t>
      </w:r>
      <w:r w:rsidR="009F0804">
        <w:rPr>
          <w:rStyle w:val="Date1"/>
          <w:bCs/>
          <w:color w:val="333333"/>
        </w:rPr>
        <w:t>ril</w:t>
      </w:r>
      <w:r w:rsidRPr="004302FE">
        <w:rPr>
          <w:rStyle w:val="Date1"/>
          <w:bCs/>
          <w:color w:val="333333"/>
        </w:rPr>
        <w:t>. 21, 2022</w:t>
      </w:r>
      <w:r w:rsidR="009F0804">
        <w:rPr>
          <w:rStyle w:val="Date1"/>
          <w:bCs/>
          <w:color w:val="333333"/>
        </w:rPr>
        <w:t>)</w:t>
      </w:r>
      <w:r w:rsidRPr="004302FE">
        <w:rPr>
          <w:rStyle w:val="Date1"/>
          <w:bCs/>
          <w:color w:val="333333"/>
        </w:rPr>
        <w:t xml:space="preserve">, </w:t>
      </w:r>
      <w:hyperlink r:id="rId13" w:anchor="/0" w:history="1">
        <w:r w:rsidRPr="004302FE">
          <w:rPr>
            <w:rStyle w:val="Hyperlink"/>
            <w:bCs/>
          </w:rPr>
          <w:t>https://www1.nyc.gov/office-of-the-mayor/news/233-22/mayor-adams-attorney-general-james-fight-opioid-crisis-first-286-million-payments#/0</w:t>
        </w:r>
      </w:hyperlink>
      <w:r w:rsidRPr="004302FE">
        <w:rPr>
          <w:rStyle w:val="Date1"/>
          <w:bCs/>
          <w:color w:val="333333"/>
        </w:rPr>
        <w:t xml:space="preserve">. </w:t>
      </w:r>
    </w:p>
  </w:footnote>
  <w:footnote w:id="37">
    <w:p w:rsidR="007C4428" w:rsidRPr="001410F3" w:rsidRDefault="007C4428" w:rsidP="007C4428">
      <w:pPr>
        <w:pStyle w:val="FootnoteText"/>
      </w:pPr>
      <w:r w:rsidRPr="001410F3">
        <w:rPr>
          <w:rStyle w:val="FootnoteReference"/>
          <w:sz w:val="20"/>
        </w:rPr>
        <w:footnoteRef/>
      </w:r>
      <w:r w:rsidRPr="001410F3">
        <w:t xml:space="preserve"> </w:t>
      </w:r>
      <w:r w:rsidRPr="001410F3">
        <w:rPr>
          <w:i/>
        </w:rPr>
        <w:t>Id</w:t>
      </w:r>
      <w:r w:rsidRPr="001410F3">
        <w:t>.</w:t>
      </w:r>
    </w:p>
  </w:footnote>
  <w:footnote w:id="38">
    <w:p w:rsidR="007C4428" w:rsidRDefault="007C4428" w:rsidP="007C4428">
      <w:pPr>
        <w:pStyle w:val="FootnoteText"/>
      </w:pPr>
      <w:r w:rsidRPr="001410F3">
        <w:rPr>
          <w:rStyle w:val="FootnoteReference"/>
          <w:sz w:val="20"/>
        </w:rPr>
        <w:footnoteRef/>
      </w:r>
      <w:r w:rsidRPr="001410F3">
        <w:t xml:space="preserve"> </w:t>
      </w:r>
      <w:r w:rsidRPr="001410F3">
        <w:rPr>
          <w:i/>
        </w:rPr>
        <w:t>Id</w:t>
      </w:r>
      <w:r w:rsidRPr="001410F3">
        <w:t>.</w:t>
      </w:r>
    </w:p>
  </w:footnote>
  <w:footnote w:id="39">
    <w:p w:rsidR="007C4428" w:rsidRDefault="007C4428" w:rsidP="007C4428">
      <w:pPr>
        <w:pStyle w:val="FootnoteText"/>
      </w:pPr>
      <w:r>
        <w:rPr>
          <w:rStyle w:val="FootnoteReference"/>
        </w:rPr>
        <w:footnoteRef/>
      </w:r>
      <w:r>
        <w:t xml:space="preserve"> New York Opioid Settlement Sharing Agreement (2021) available at: </w:t>
      </w:r>
      <w:hyperlink r:id="rId14" w:history="1">
        <w:r w:rsidRPr="00032831">
          <w:rPr>
            <w:rStyle w:val="Hyperlink"/>
          </w:rPr>
          <w:t>https://nationalopioidsettlement.com/wp-content/uploads/2021/09/NY-Sharing-Agreement.pdf</w:t>
        </w:r>
      </w:hyperlink>
      <w:r>
        <w:t xml:space="preserve">. </w:t>
      </w:r>
    </w:p>
  </w:footnote>
  <w:footnote w:id="40">
    <w:p w:rsidR="001A2EFF" w:rsidRPr="005F6799" w:rsidRDefault="001A2EFF" w:rsidP="007C3F49">
      <w:pPr>
        <w:pStyle w:val="FootnoteText"/>
      </w:pPr>
      <w:r w:rsidRPr="005F6799">
        <w:rPr>
          <w:rStyle w:val="FootnoteReference"/>
        </w:rPr>
        <w:footnoteRef/>
      </w:r>
      <w:r w:rsidRPr="005F6799">
        <w:t xml:space="preserve"> NYC </w:t>
      </w:r>
      <w:r w:rsidR="005F6799" w:rsidRPr="005F6799">
        <w:t xml:space="preserve">Health, </w:t>
      </w:r>
      <w:r w:rsidR="005F6799" w:rsidRPr="005F6799">
        <w:rPr>
          <w:i/>
          <w:iCs/>
        </w:rPr>
        <w:t>Fact Sheet, S</w:t>
      </w:r>
      <w:r w:rsidR="00B31329" w:rsidRPr="005F6799">
        <w:rPr>
          <w:i/>
          <w:iCs/>
        </w:rPr>
        <w:t>yringe Litter: Know the Risks and Prevent Injury</w:t>
      </w:r>
      <w:r w:rsidR="00B31329" w:rsidRPr="005F6799">
        <w:t>,</w:t>
      </w:r>
      <w:r w:rsidR="005F6799" w:rsidRPr="005F6799">
        <w:t xml:space="preserve"> </w:t>
      </w:r>
      <w:r w:rsidR="005F6799" w:rsidRPr="005F6799">
        <w:rPr>
          <w:smallCaps/>
        </w:rPr>
        <w:t>NYC.gov</w:t>
      </w:r>
      <w:r w:rsidR="005F6799" w:rsidRPr="005F6799">
        <w:t xml:space="preserve">. </w:t>
      </w:r>
      <w:r w:rsidRPr="005F6799">
        <w:rPr>
          <w:i/>
          <w:iCs/>
        </w:rPr>
        <w:t>Available at</w:t>
      </w:r>
      <w:r w:rsidR="005F6799">
        <w:rPr>
          <w:i/>
          <w:iCs/>
        </w:rPr>
        <w:t>:</w:t>
      </w:r>
      <w:r w:rsidRPr="005F6799">
        <w:rPr>
          <w:i/>
          <w:iCs/>
        </w:rPr>
        <w:t xml:space="preserve"> </w:t>
      </w:r>
      <w:hyperlink r:id="rId15" w:history="1">
        <w:r w:rsidRPr="005F6799">
          <w:rPr>
            <w:rStyle w:val="Hyperlink"/>
          </w:rPr>
          <w:t>https://www1.nyc.gov/assets/doh/downloads/pdf/basas/syringe-needle-fact-sheet.pdf</w:t>
        </w:r>
      </w:hyperlink>
      <w:r w:rsidR="005F6799">
        <w:t xml:space="preserve"> (last visited Sept. 18, 2022).</w:t>
      </w:r>
    </w:p>
  </w:footnote>
  <w:footnote w:id="41">
    <w:p w:rsidR="001A2EFF" w:rsidRDefault="001A2EFF">
      <w:pPr>
        <w:pStyle w:val="FootnoteText"/>
      </w:pPr>
      <w:r>
        <w:rPr>
          <w:rStyle w:val="FootnoteReference"/>
        </w:rPr>
        <w:footnoteRef/>
      </w:r>
      <w:r w:rsidR="005F6799">
        <w:t xml:space="preserve"> Julien Scott, </w:t>
      </w:r>
      <w:r w:rsidR="005F6799">
        <w:rPr>
          <w:i/>
          <w:iCs/>
        </w:rPr>
        <w:t>Addressing Public Injection and Syringe Disposal in NYC Parks</w:t>
      </w:r>
      <w:r w:rsidR="005F6799">
        <w:t xml:space="preserve">, </w:t>
      </w:r>
      <w:r w:rsidR="005F6799" w:rsidRPr="005F6799">
        <w:rPr>
          <w:smallCaps/>
        </w:rPr>
        <w:t>Parks &amp; Recreation Magazine</w:t>
      </w:r>
      <w:r w:rsidR="005F6799">
        <w:t xml:space="preserve"> (Feb. 6, 2019),</w:t>
      </w:r>
      <w:r>
        <w:t xml:space="preserve"> </w:t>
      </w:r>
      <w:hyperlink r:id="rId16" w:history="1">
        <w:r w:rsidR="005F6799" w:rsidRPr="00B0477E">
          <w:rPr>
            <w:rStyle w:val="Hyperlink"/>
          </w:rPr>
          <w:t>https://www.nrpa.org/parks-recreation-magazine/2019/february/addressing-public-injection-and-syringe-disposal-in-nyc-parks.</w:t>
        </w:r>
      </w:hyperlink>
      <w:r>
        <w:t xml:space="preserve"> </w:t>
      </w:r>
    </w:p>
  </w:footnote>
  <w:footnote w:id="42">
    <w:p w:rsidR="001A2EFF" w:rsidRPr="001A2EFF" w:rsidRDefault="001A2EFF">
      <w:pPr>
        <w:pStyle w:val="FootnoteText"/>
      </w:pPr>
      <w:r>
        <w:rPr>
          <w:rStyle w:val="FootnoteReference"/>
        </w:rPr>
        <w:footnoteRef/>
      </w:r>
      <w:r>
        <w:t xml:space="preserve"> </w:t>
      </w:r>
      <w:r>
        <w:rPr>
          <w:i/>
        </w:rPr>
        <w:t>Id</w:t>
      </w:r>
      <w:r>
        <w:t xml:space="preserve">. </w:t>
      </w:r>
    </w:p>
  </w:footnote>
  <w:footnote w:id="43">
    <w:p w:rsidR="001A2EFF" w:rsidRDefault="001A2EFF">
      <w:pPr>
        <w:pStyle w:val="FootnoteText"/>
      </w:pPr>
      <w:r>
        <w:rPr>
          <w:rStyle w:val="FootnoteReference"/>
        </w:rPr>
        <w:footnoteRef/>
      </w:r>
      <w:r w:rsidR="005F6799">
        <w:t xml:space="preserve"> Caroline Lewis, </w:t>
      </w:r>
      <w:r w:rsidR="005F6799">
        <w:rPr>
          <w:i/>
          <w:iCs/>
        </w:rPr>
        <w:t>A Look Inside NYC’s Supervised Drug-Inject</w:t>
      </w:r>
      <w:r w:rsidR="008720A6">
        <w:rPr>
          <w:i/>
          <w:iCs/>
        </w:rPr>
        <w:t>ion Sites, the First In The Nation</w:t>
      </w:r>
      <w:r w:rsidR="008720A6">
        <w:t xml:space="preserve">, </w:t>
      </w:r>
      <w:r w:rsidR="008720A6" w:rsidRPr="008720A6">
        <w:rPr>
          <w:smallCaps/>
        </w:rPr>
        <w:t>Gothamist</w:t>
      </w:r>
      <w:r w:rsidR="008720A6">
        <w:t xml:space="preserve"> (Dec. 17, 2021),</w:t>
      </w:r>
      <w:r>
        <w:t xml:space="preserve"> </w:t>
      </w:r>
      <w:hyperlink r:id="rId17" w:history="1">
        <w:r w:rsidRPr="004E0650">
          <w:rPr>
            <w:rStyle w:val="Hyperlink"/>
          </w:rPr>
          <w:t>https://gothamist.com/news/inside-nycs-supervised-drug-injection-sites-the-first-in-the-nation</w:t>
        </w:r>
      </w:hyperlink>
      <w:r w:rsidR="008720A6">
        <w:t>.</w:t>
      </w:r>
    </w:p>
  </w:footnote>
  <w:footnote w:id="44">
    <w:p w:rsidR="00A17C45" w:rsidRDefault="00A17C45">
      <w:pPr>
        <w:pStyle w:val="FootnoteText"/>
      </w:pPr>
      <w:r>
        <w:rPr>
          <w:rStyle w:val="FootnoteReference"/>
        </w:rPr>
        <w:footnoteRef/>
      </w:r>
      <w:r>
        <w:t xml:space="preserve"> </w:t>
      </w:r>
      <w:r w:rsidR="008720A6">
        <w:t xml:space="preserve">NYC Health, </w:t>
      </w:r>
      <w:r w:rsidR="008720A6" w:rsidRPr="008720A6">
        <w:rPr>
          <w:i/>
          <w:iCs/>
        </w:rPr>
        <w:t>Press Release: Overdose Prevention Centers Averted 59 Overdoses in First Three Weeks of Operation</w:t>
      </w:r>
      <w:r w:rsidR="008720A6">
        <w:t xml:space="preserve">, </w:t>
      </w:r>
      <w:r w:rsidR="008720A6" w:rsidRPr="008720A6">
        <w:rPr>
          <w:smallCaps/>
        </w:rPr>
        <w:t>NYC.gov</w:t>
      </w:r>
      <w:r w:rsidR="008720A6">
        <w:t xml:space="preserve"> (Dec. 21, 2021), </w:t>
      </w:r>
      <w:hyperlink r:id="rId18" w:history="1">
        <w:r w:rsidR="008720A6" w:rsidRPr="00B0477E">
          <w:rPr>
            <w:rStyle w:val="Hyperlink"/>
          </w:rPr>
          <w:t>https://www1.nyc.gov/site/doh/about/press/pr2021/overdose-prevention-centers-prevent-59-deaths.page</w:t>
        </w:r>
      </w:hyperlink>
      <w:r>
        <w:t xml:space="preserve">. </w:t>
      </w:r>
    </w:p>
  </w:footnote>
  <w:footnote w:id="45">
    <w:p w:rsidR="001A2EFF" w:rsidRPr="008720A6" w:rsidRDefault="001A2EFF">
      <w:pPr>
        <w:pStyle w:val="FootnoteText"/>
      </w:pPr>
      <w:r>
        <w:rPr>
          <w:rStyle w:val="FootnoteReference"/>
        </w:rPr>
        <w:footnoteRef/>
      </w:r>
      <w:r>
        <w:t xml:space="preserve"> </w:t>
      </w:r>
      <w:r w:rsidR="008720A6">
        <w:rPr>
          <w:i/>
          <w:iCs/>
        </w:rPr>
        <w:t xml:space="preserve">Supra </w:t>
      </w:r>
      <w:r w:rsidR="008720A6">
        <w:t xml:space="preserve">note 42. </w:t>
      </w:r>
    </w:p>
  </w:footnote>
  <w:footnote w:id="46">
    <w:p w:rsidR="001A2EFF" w:rsidRPr="008720A6" w:rsidRDefault="001A2EFF">
      <w:pPr>
        <w:pStyle w:val="FootnoteText"/>
      </w:pPr>
      <w:r>
        <w:rPr>
          <w:rStyle w:val="FootnoteReference"/>
        </w:rPr>
        <w:footnoteRef/>
      </w:r>
      <w:r>
        <w:t xml:space="preserve"> </w:t>
      </w:r>
      <w:r w:rsidR="008720A6">
        <w:rPr>
          <w:i/>
          <w:iCs/>
        </w:rPr>
        <w:t>Id</w:t>
      </w:r>
      <w:r w:rsidR="008720A6">
        <w:t xml:space="preserve">. </w:t>
      </w:r>
    </w:p>
  </w:footnote>
  <w:footnote w:id="47">
    <w:p w:rsidR="001A2EFF" w:rsidRDefault="001A2EFF" w:rsidP="0028036B">
      <w:pPr>
        <w:pStyle w:val="FootnoteText"/>
      </w:pPr>
      <w:r>
        <w:rPr>
          <w:rStyle w:val="FootnoteReference"/>
        </w:rPr>
        <w:footnoteRef/>
      </w:r>
      <w:r>
        <w:t xml:space="preserve"> </w:t>
      </w:r>
      <w:r w:rsidR="008720A6">
        <w:t>Jose Martinez,</w:t>
      </w:r>
      <w:r>
        <w:t xml:space="preserve"> </w:t>
      </w:r>
      <w:r w:rsidRPr="008720A6">
        <w:rPr>
          <w:i/>
          <w:iCs/>
        </w:rPr>
        <w:t>When Safe Injection Sites Close, Subway Becomes Next Best Stop</w:t>
      </w:r>
      <w:r w:rsidR="008720A6">
        <w:t>,</w:t>
      </w:r>
      <w:r>
        <w:t xml:space="preserve"> </w:t>
      </w:r>
      <w:r w:rsidRPr="008720A6">
        <w:rPr>
          <w:iCs/>
          <w:smallCaps/>
        </w:rPr>
        <w:t>The City</w:t>
      </w:r>
      <w:r w:rsidR="008720A6">
        <w:t xml:space="preserve"> (</w:t>
      </w:r>
      <w:r>
        <w:t>May 17, 2022</w:t>
      </w:r>
      <w:r w:rsidR="008720A6">
        <w:t>),</w:t>
      </w:r>
      <w:r>
        <w:t xml:space="preserve"> </w:t>
      </w:r>
      <w:hyperlink r:id="rId19" w:history="1">
        <w:r w:rsidRPr="001C170B">
          <w:rPr>
            <w:rStyle w:val="Hyperlink"/>
          </w:rPr>
          <w:t>https://www.thecity.nyc/2022/5/17/23076577/safe-injection-sites-subway-harm-reduction</w:t>
        </w:r>
      </w:hyperlink>
      <w:r w:rsidR="008720A6">
        <w:t xml:space="preserve">. </w:t>
      </w:r>
    </w:p>
  </w:footnote>
  <w:footnote w:id="48">
    <w:p w:rsidR="001A2EFF" w:rsidRDefault="001A2EFF" w:rsidP="0028036B">
      <w:pPr>
        <w:pStyle w:val="FootnoteText"/>
      </w:pPr>
      <w:r>
        <w:rPr>
          <w:rStyle w:val="FootnoteReference"/>
        </w:rPr>
        <w:footnoteRef/>
      </w:r>
      <w:r>
        <w:t xml:space="preserve"> </w:t>
      </w:r>
      <w:r w:rsidRPr="006456C0">
        <w:rPr>
          <w:i/>
          <w:iCs/>
        </w:rPr>
        <w:t>Id.</w:t>
      </w:r>
    </w:p>
  </w:footnote>
  <w:footnote w:id="49">
    <w:p w:rsidR="001A2EFF" w:rsidRDefault="001A2EFF" w:rsidP="0028036B">
      <w:pPr>
        <w:pStyle w:val="FootnoteText"/>
      </w:pPr>
      <w:r>
        <w:rPr>
          <w:rStyle w:val="FootnoteReference"/>
        </w:rPr>
        <w:footnoteRef/>
      </w:r>
      <w:r>
        <w:t xml:space="preserve"> </w:t>
      </w:r>
      <w:r w:rsidRPr="006456C0">
        <w:rPr>
          <w:i/>
          <w:iCs/>
        </w:rPr>
        <w:t>Id.</w:t>
      </w:r>
    </w:p>
  </w:footnote>
  <w:footnote w:id="50">
    <w:p w:rsidR="001A2EFF" w:rsidRDefault="001A2EFF" w:rsidP="007C3F49">
      <w:pPr>
        <w:pStyle w:val="FootnoteText"/>
      </w:pPr>
      <w:r>
        <w:rPr>
          <w:rStyle w:val="FootnoteReference"/>
        </w:rPr>
        <w:footnoteRef/>
      </w:r>
      <w:r>
        <w:t xml:space="preserve"> </w:t>
      </w:r>
      <w:r w:rsidRPr="008720A6">
        <w:rPr>
          <w:i/>
          <w:iCs/>
        </w:rPr>
        <w:t>Sharps Safety for Healthcare Settings</w:t>
      </w:r>
      <w:r w:rsidR="008720A6">
        <w:t xml:space="preserve">, </w:t>
      </w:r>
      <w:r w:rsidR="008720A6" w:rsidRPr="008720A6">
        <w:rPr>
          <w:smallCaps/>
        </w:rPr>
        <w:t>CDC</w:t>
      </w:r>
      <w:r w:rsidR="008720A6">
        <w:t xml:space="preserve">, </w:t>
      </w:r>
      <w:hyperlink r:id="rId20" w:history="1">
        <w:r w:rsidR="008720A6" w:rsidRPr="00B0477E">
          <w:rPr>
            <w:rStyle w:val="Hyperlink"/>
          </w:rPr>
          <w:t>https://www.cdc.gov/sharpssafety/index.html</w:t>
        </w:r>
      </w:hyperlink>
      <w:r>
        <w:t xml:space="preserve"> </w:t>
      </w:r>
      <w:r w:rsidR="008720A6">
        <w:t xml:space="preserve">(last reviewed Feb. 11, 2015). </w:t>
      </w:r>
    </w:p>
  </w:footnote>
  <w:footnote w:id="51">
    <w:p w:rsidR="001A2EFF" w:rsidRDefault="001A2EFF" w:rsidP="007C3F49">
      <w:pPr>
        <w:pStyle w:val="FootnoteText"/>
      </w:pPr>
      <w:r>
        <w:rPr>
          <w:rStyle w:val="FootnoteReference"/>
        </w:rPr>
        <w:footnoteRef/>
      </w:r>
      <w:r>
        <w:t xml:space="preserve"> </w:t>
      </w:r>
      <w:r w:rsidRPr="00C32595">
        <w:rPr>
          <w:i/>
          <w:iCs/>
        </w:rPr>
        <w:t>Study: Virus may live up to four weeks in syringes</w:t>
      </w:r>
      <w:r w:rsidR="00C32595">
        <w:t xml:space="preserve">, </w:t>
      </w:r>
      <w:r w:rsidR="00C32595" w:rsidRPr="00C32595">
        <w:rPr>
          <w:smallCaps/>
        </w:rPr>
        <w:t>Relias Media</w:t>
      </w:r>
      <w:r w:rsidR="00C32595">
        <w:t xml:space="preserve"> (Sept. 16, 2022),</w:t>
      </w:r>
      <w:r>
        <w:t xml:space="preserve"> </w:t>
      </w:r>
      <w:hyperlink r:id="rId21" w:history="1">
        <w:r w:rsidRPr="00FA0291">
          <w:rPr>
            <w:rStyle w:val="Hyperlink"/>
          </w:rPr>
          <w:t>https://www.reliasmedia.com/articles/40925-study-virus-may-live-up-to-four-weeks-in-syringes</w:t>
        </w:r>
      </w:hyperlink>
      <w:r w:rsidR="00C32595">
        <w:t xml:space="preserve">. </w:t>
      </w:r>
    </w:p>
  </w:footnote>
  <w:footnote w:id="52">
    <w:p w:rsidR="001A2EFF" w:rsidRDefault="001A2EFF" w:rsidP="007C3F49">
      <w:pPr>
        <w:pStyle w:val="FootnoteText"/>
      </w:pPr>
      <w:r>
        <w:rPr>
          <w:rStyle w:val="FootnoteReference"/>
        </w:rPr>
        <w:footnoteRef/>
      </w:r>
      <w:r>
        <w:t xml:space="preserve"> </w:t>
      </w:r>
      <w:r w:rsidRPr="006456C0">
        <w:rPr>
          <w:i/>
          <w:iCs/>
        </w:rPr>
        <w:t>Id.</w:t>
      </w:r>
    </w:p>
  </w:footnote>
  <w:footnote w:id="53">
    <w:p w:rsidR="001A2EFF" w:rsidRDefault="001A2EFF" w:rsidP="007C3F49">
      <w:pPr>
        <w:pStyle w:val="FootnoteText"/>
      </w:pPr>
      <w:r>
        <w:rPr>
          <w:rStyle w:val="FootnoteReference"/>
        </w:rPr>
        <w:footnoteRef/>
      </w:r>
      <w:r>
        <w:t xml:space="preserve"> </w:t>
      </w:r>
      <w:r w:rsidR="00C32595">
        <w:t xml:space="preserve">Drew Karedes, </w:t>
      </w:r>
      <w:r w:rsidRPr="00C32595">
        <w:rPr>
          <w:i/>
          <w:iCs/>
        </w:rPr>
        <w:t>40,000 Needles Collected, Destroyed Through New Buy-Back Program</w:t>
      </w:r>
      <w:r w:rsidR="00C32595">
        <w:t xml:space="preserve">, </w:t>
      </w:r>
      <w:r w:rsidRPr="00C32595">
        <w:rPr>
          <w:smallCaps/>
        </w:rPr>
        <w:t>Boston 25</w:t>
      </w:r>
      <w:r w:rsidR="00C32595">
        <w:rPr>
          <w:smallCaps/>
        </w:rPr>
        <w:t xml:space="preserve"> News </w:t>
      </w:r>
      <w:r w:rsidR="00C32595" w:rsidRPr="00C32595">
        <w:t>(Feb. 2, 2022),</w:t>
      </w:r>
      <w:r>
        <w:t xml:space="preserve"> </w:t>
      </w:r>
      <w:hyperlink r:id="rId22" w:history="1">
        <w:r w:rsidR="002D0C0A" w:rsidRPr="00B0477E">
          <w:rPr>
            <w:rStyle w:val="Hyperlink"/>
          </w:rPr>
          <w:t>https://www.boston25news.com/news/health/40000-needles-collected-destroyed-through-new-buy-back-program/3MS7Q7I4M5EFPMQRNNG5Q6UNWY.</w:t>
        </w:r>
      </w:hyperlink>
      <w:r>
        <w:t xml:space="preserve"> </w:t>
      </w:r>
    </w:p>
  </w:footnote>
  <w:footnote w:id="54">
    <w:p w:rsidR="001A2EFF" w:rsidRDefault="001A2EFF" w:rsidP="007C3F49">
      <w:pPr>
        <w:pStyle w:val="FootnoteText"/>
      </w:pPr>
      <w:r>
        <w:rPr>
          <w:rStyle w:val="FootnoteReference"/>
        </w:rPr>
        <w:footnoteRef/>
      </w:r>
      <w:r>
        <w:t xml:space="preserve"> </w:t>
      </w:r>
      <w:r w:rsidRPr="00781BD4">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6F" w:rsidRDefault="000411CC">
    <w:pPr>
      <w:pStyle w:val="Header"/>
    </w:pPr>
  </w:p>
  <w:p w:rsidR="00B264DF" w:rsidRDefault="000411CC"/>
  <w:p w:rsidR="00B264DF" w:rsidRDefault="000411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6B8"/>
    <w:multiLevelType w:val="multilevel"/>
    <w:tmpl w:val="B6C8A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A229D"/>
    <w:multiLevelType w:val="multilevel"/>
    <w:tmpl w:val="27542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22477"/>
    <w:multiLevelType w:val="hybridMultilevel"/>
    <w:tmpl w:val="63B20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D2DBA"/>
    <w:multiLevelType w:val="hybridMultilevel"/>
    <w:tmpl w:val="B1F48362"/>
    <w:lvl w:ilvl="0" w:tplc="D5F4882C">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C440A"/>
    <w:multiLevelType w:val="multilevel"/>
    <w:tmpl w:val="FA287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955DD"/>
    <w:multiLevelType w:val="multilevel"/>
    <w:tmpl w:val="7C12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76D4A"/>
    <w:multiLevelType w:val="hybridMultilevel"/>
    <w:tmpl w:val="420A02F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D1464C"/>
    <w:multiLevelType w:val="multilevel"/>
    <w:tmpl w:val="07688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F63BE"/>
    <w:multiLevelType w:val="hybridMultilevel"/>
    <w:tmpl w:val="83BADE22"/>
    <w:lvl w:ilvl="0" w:tplc="DAE65F3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DE3C11"/>
    <w:multiLevelType w:val="hybridMultilevel"/>
    <w:tmpl w:val="2F1EE500"/>
    <w:lvl w:ilvl="0" w:tplc="B9987AA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F67655"/>
    <w:multiLevelType w:val="hybridMultilevel"/>
    <w:tmpl w:val="EB88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76593"/>
    <w:multiLevelType w:val="multilevel"/>
    <w:tmpl w:val="E60A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B1FE3"/>
    <w:multiLevelType w:val="hybridMultilevel"/>
    <w:tmpl w:val="CB609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324C5"/>
    <w:multiLevelType w:val="hybridMultilevel"/>
    <w:tmpl w:val="A2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8636F"/>
    <w:multiLevelType w:val="multilevel"/>
    <w:tmpl w:val="B1F45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B42538"/>
    <w:multiLevelType w:val="hybridMultilevel"/>
    <w:tmpl w:val="079E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4"/>
  </w:num>
  <w:num w:numId="9">
    <w:abstractNumId w:val="1"/>
  </w:num>
  <w:num w:numId="10">
    <w:abstractNumId w:val="4"/>
  </w:num>
  <w:num w:numId="11">
    <w:abstractNumId w:val="0"/>
  </w:num>
  <w:num w:numId="12">
    <w:abstractNumId w:val="11"/>
  </w:num>
  <w:num w:numId="13">
    <w:abstractNumId w:val="7"/>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6"/>
    <w:rsid w:val="00001EB9"/>
    <w:rsid w:val="00011453"/>
    <w:rsid w:val="00015C4C"/>
    <w:rsid w:val="0001780D"/>
    <w:rsid w:val="000329F7"/>
    <w:rsid w:val="0003424E"/>
    <w:rsid w:val="000411CC"/>
    <w:rsid w:val="000412C2"/>
    <w:rsid w:val="00045B82"/>
    <w:rsid w:val="000537F7"/>
    <w:rsid w:val="00064167"/>
    <w:rsid w:val="00075EE6"/>
    <w:rsid w:val="0008577E"/>
    <w:rsid w:val="00094666"/>
    <w:rsid w:val="000A67E5"/>
    <w:rsid w:val="000A7A41"/>
    <w:rsid w:val="000B5F8F"/>
    <w:rsid w:val="000D33B1"/>
    <w:rsid w:val="000E1F89"/>
    <w:rsid w:val="000F3BBC"/>
    <w:rsid w:val="00100B3E"/>
    <w:rsid w:val="00104614"/>
    <w:rsid w:val="00111959"/>
    <w:rsid w:val="00126DA0"/>
    <w:rsid w:val="001410F3"/>
    <w:rsid w:val="00153223"/>
    <w:rsid w:val="00157ACA"/>
    <w:rsid w:val="001603F9"/>
    <w:rsid w:val="00165212"/>
    <w:rsid w:val="001A275B"/>
    <w:rsid w:val="001A2EFF"/>
    <w:rsid w:val="001C0085"/>
    <w:rsid w:val="001D1C1E"/>
    <w:rsid w:val="001D528F"/>
    <w:rsid w:val="001D5D8A"/>
    <w:rsid w:val="001E2A54"/>
    <w:rsid w:val="002169FE"/>
    <w:rsid w:val="00225D82"/>
    <w:rsid w:val="00262AC4"/>
    <w:rsid w:val="00262EF4"/>
    <w:rsid w:val="0028036B"/>
    <w:rsid w:val="00292FCE"/>
    <w:rsid w:val="002D0C0A"/>
    <w:rsid w:val="002D3476"/>
    <w:rsid w:val="002D58BC"/>
    <w:rsid w:val="002E184F"/>
    <w:rsid w:val="002F29C7"/>
    <w:rsid w:val="002F5C85"/>
    <w:rsid w:val="002F7021"/>
    <w:rsid w:val="00301159"/>
    <w:rsid w:val="00302C30"/>
    <w:rsid w:val="00311568"/>
    <w:rsid w:val="00321CB3"/>
    <w:rsid w:val="00322281"/>
    <w:rsid w:val="00341CFB"/>
    <w:rsid w:val="00363E91"/>
    <w:rsid w:val="00372988"/>
    <w:rsid w:val="00382E8E"/>
    <w:rsid w:val="003F302B"/>
    <w:rsid w:val="003F7852"/>
    <w:rsid w:val="00403351"/>
    <w:rsid w:val="004074A5"/>
    <w:rsid w:val="004143E3"/>
    <w:rsid w:val="00421601"/>
    <w:rsid w:val="004302FE"/>
    <w:rsid w:val="004308D8"/>
    <w:rsid w:val="00430F79"/>
    <w:rsid w:val="00437979"/>
    <w:rsid w:val="00442294"/>
    <w:rsid w:val="0046411D"/>
    <w:rsid w:val="00483C57"/>
    <w:rsid w:val="00497E18"/>
    <w:rsid w:val="004A097D"/>
    <w:rsid w:val="004C3A05"/>
    <w:rsid w:val="004D1BA3"/>
    <w:rsid w:val="004E2A55"/>
    <w:rsid w:val="004E670B"/>
    <w:rsid w:val="00521741"/>
    <w:rsid w:val="00533E0B"/>
    <w:rsid w:val="0056550B"/>
    <w:rsid w:val="00582F13"/>
    <w:rsid w:val="0059171E"/>
    <w:rsid w:val="00593623"/>
    <w:rsid w:val="00596904"/>
    <w:rsid w:val="005D4FA2"/>
    <w:rsid w:val="005F352A"/>
    <w:rsid w:val="005F6799"/>
    <w:rsid w:val="00606F38"/>
    <w:rsid w:val="00610BD5"/>
    <w:rsid w:val="00610DC1"/>
    <w:rsid w:val="00643C1E"/>
    <w:rsid w:val="006456C0"/>
    <w:rsid w:val="00645D9E"/>
    <w:rsid w:val="00653A42"/>
    <w:rsid w:val="00655D30"/>
    <w:rsid w:val="006812D7"/>
    <w:rsid w:val="006A58A4"/>
    <w:rsid w:val="006F19A2"/>
    <w:rsid w:val="006F7936"/>
    <w:rsid w:val="007118A7"/>
    <w:rsid w:val="00716A98"/>
    <w:rsid w:val="0073470A"/>
    <w:rsid w:val="007517AF"/>
    <w:rsid w:val="007526C1"/>
    <w:rsid w:val="00753BE7"/>
    <w:rsid w:val="00756F00"/>
    <w:rsid w:val="00770EDC"/>
    <w:rsid w:val="00775A11"/>
    <w:rsid w:val="00781BD4"/>
    <w:rsid w:val="007908F2"/>
    <w:rsid w:val="007A6450"/>
    <w:rsid w:val="007B6307"/>
    <w:rsid w:val="007C3F49"/>
    <w:rsid w:val="007C4428"/>
    <w:rsid w:val="007E10C0"/>
    <w:rsid w:val="00806D20"/>
    <w:rsid w:val="00825A63"/>
    <w:rsid w:val="00834365"/>
    <w:rsid w:val="00835A6D"/>
    <w:rsid w:val="00842AB1"/>
    <w:rsid w:val="008720A6"/>
    <w:rsid w:val="00883918"/>
    <w:rsid w:val="0088734C"/>
    <w:rsid w:val="008916ED"/>
    <w:rsid w:val="008B646E"/>
    <w:rsid w:val="008D4088"/>
    <w:rsid w:val="008F5309"/>
    <w:rsid w:val="008F6358"/>
    <w:rsid w:val="00901B11"/>
    <w:rsid w:val="00913644"/>
    <w:rsid w:val="009139FF"/>
    <w:rsid w:val="009222BA"/>
    <w:rsid w:val="00927B09"/>
    <w:rsid w:val="00930342"/>
    <w:rsid w:val="00937300"/>
    <w:rsid w:val="00944D14"/>
    <w:rsid w:val="009450D1"/>
    <w:rsid w:val="009615D2"/>
    <w:rsid w:val="009659A8"/>
    <w:rsid w:val="00967C8E"/>
    <w:rsid w:val="009768E1"/>
    <w:rsid w:val="009849D0"/>
    <w:rsid w:val="00987C12"/>
    <w:rsid w:val="009B5C66"/>
    <w:rsid w:val="009C6245"/>
    <w:rsid w:val="009C6B91"/>
    <w:rsid w:val="009E042F"/>
    <w:rsid w:val="009E354E"/>
    <w:rsid w:val="009F0804"/>
    <w:rsid w:val="009F37D6"/>
    <w:rsid w:val="00A00862"/>
    <w:rsid w:val="00A03043"/>
    <w:rsid w:val="00A059F0"/>
    <w:rsid w:val="00A14641"/>
    <w:rsid w:val="00A16EDF"/>
    <w:rsid w:val="00A17C45"/>
    <w:rsid w:val="00A404E1"/>
    <w:rsid w:val="00A670C3"/>
    <w:rsid w:val="00A7330B"/>
    <w:rsid w:val="00A77374"/>
    <w:rsid w:val="00A878EF"/>
    <w:rsid w:val="00A90C9F"/>
    <w:rsid w:val="00A9567C"/>
    <w:rsid w:val="00AA2FD3"/>
    <w:rsid w:val="00AA38FD"/>
    <w:rsid w:val="00AA6EED"/>
    <w:rsid w:val="00AE2E4A"/>
    <w:rsid w:val="00AF5797"/>
    <w:rsid w:val="00B24E2C"/>
    <w:rsid w:val="00B31329"/>
    <w:rsid w:val="00B329B8"/>
    <w:rsid w:val="00B560F7"/>
    <w:rsid w:val="00B63942"/>
    <w:rsid w:val="00B63D1B"/>
    <w:rsid w:val="00B65B5D"/>
    <w:rsid w:val="00B72D52"/>
    <w:rsid w:val="00B775A7"/>
    <w:rsid w:val="00B81534"/>
    <w:rsid w:val="00B969FF"/>
    <w:rsid w:val="00BB54C5"/>
    <w:rsid w:val="00BD4867"/>
    <w:rsid w:val="00BD51D2"/>
    <w:rsid w:val="00BD6A24"/>
    <w:rsid w:val="00BF743B"/>
    <w:rsid w:val="00C17269"/>
    <w:rsid w:val="00C32595"/>
    <w:rsid w:val="00C64A0F"/>
    <w:rsid w:val="00C77358"/>
    <w:rsid w:val="00C8049D"/>
    <w:rsid w:val="00C871C5"/>
    <w:rsid w:val="00CB29F7"/>
    <w:rsid w:val="00CC0181"/>
    <w:rsid w:val="00CC09D3"/>
    <w:rsid w:val="00CC27DA"/>
    <w:rsid w:val="00CF0992"/>
    <w:rsid w:val="00D1088B"/>
    <w:rsid w:val="00D4089C"/>
    <w:rsid w:val="00D424B6"/>
    <w:rsid w:val="00D477C9"/>
    <w:rsid w:val="00D548F9"/>
    <w:rsid w:val="00D56639"/>
    <w:rsid w:val="00D66878"/>
    <w:rsid w:val="00D72F04"/>
    <w:rsid w:val="00D74751"/>
    <w:rsid w:val="00D76E1C"/>
    <w:rsid w:val="00D900BC"/>
    <w:rsid w:val="00DA49F4"/>
    <w:rsid w:val="00DB1625"/>
    <w:rsid w:val="00DB35E3"/>
    <w:rsid w:val="00DF4F55"/>
    <w:rsid w:val="00DF5A39"/>
    <w:rsid w:val="00DF710C"/>
    <w:rsid w:val="00E0151E"/>
    <w:rsid w:val="00E02654"/>
    <w:rsid w:val="00E0379B"/>
    <w:rsid w:val="00E05629"/>
    <w:rsid w:val="00E201F6"/>
    <w:rsid w:val="00E2057F"/>
    <w:rsid w:val="00E225AA"/>
    <w:rsid w:val="00E340B2"/>
    <w:rsid w:val="00E36B42"/>
    <w:rsid w:val="00E717D0"/>
    <w:rsid w:val="00E71C63"/>
    <w:rsid w:val="00E7742B"/>
    <w:rsid w:val="00EB5289"/>
    <w:rsid w:val="00EC0743"/>
    <w:rsid w:val="00ED21D3"/>
    <w:rsid w:val="00ED5100"/>
    <w:rsid w:val="00F01D90"/>
    <w:rsid w:val="00F14355"/>
    <w:rsid w:val="00F2041A"/>
    <w:rsid w:val="00F41DAC"/>
    <w:rsid w:val="00F80487"/>
    <w:rsid w:val="00F814A6"/>
    <w:rsid w:val="00F81560"/>
    <w:rsid w:val="00FC49DC"/>
    <w:rsid w:val="00FD1DB5"/>
    <w:rsid w:val="00FD2DE1"/>
    <w:rsid w:val="00FE181D"/>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C336D-385B-4ADC-9643-18AEA54C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201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201F6"/>
    <w:pPr>
      <w:keepNext/>
      <w:jc w:val="center"/>
      <w:outlineLvl w:val="1"/>
    </w:pPr>
    <w:rPr>
      <w:b/>
      <w:bCs/>
      <w:u w:val="single"/>
    </w:rPr>
  </w:style>
  <w:style w:type="paragraph" w:styleId="Heading4">
    <w:name w:val="heading 4"/>
    <w:basedOn w:val="Normal"/>
    <w:next w:val="Normal"/>
    <w:link w:val="Heading4Char"/>
    <w:qFormat/>
    <w:rsid w:val="00E201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01F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E201F6"/>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E201F6"/>
    <w:rPr>
      <w:rFonts w:ascii="Calibri" w:eastAsia="Times New Roman" w:hAnsi="Calibri" w:cs="Times New Roman"/>
      <w:b/>
      <w:bCs/>
      <w:sz w:val="28"/>
      <w:szCs w:val="28"/>
    </w:rPr>
  </w:style>
  <w:style w:type="paragraph" w:styleId="FootnoteText">
    <w:name w:val="footnote text"/>
    <w:aliases w:val="FT"/>
    <w:basedOn w:val="Normal"/>
    <w:link w:val="FootnoteTextChar"/>
    <w:uiPriority w:val="99"/>
    <w:unhideWhenUsed/>
    <w:rsid w:val="007526C1"/>
    <w:rPr>
      <w:sz w:val="20"/>
      <w:szCs w:val="20"/>
    </w:rPr>
  </w:style>
  <w:style w:type="character" w:customStyle="1" w:styleId="FootnoteTextChar">
    <w:name w:val="Footnote Text Char"/>
    <w:aliases w:val="FT Char"/>
    <w:basedOn w:val="DefaultParagraphFont"/>
    <w:link w:val="FootnoteText"/>
    <w:uiPriority w:val="99"/>
    <w:rsid w:val="007526C1"/>
    <w:rPr>
      <w:rFonts w:ascii="Times New Roman" w:eastAsia="Times New Roman" w:hAnsi="Times New Roman" w:cs="Times New Roman"/>
      <w:sz w:val="20"/>
      <w:szCs w:val="20"/>
    </w:rPr>
  </w:style>
  <w:style w:type="paragraph" w:styleId="NormalWeb">
    <w:name w:val="Normal (Web)"/>
    <w:basedOn w:val="Normal"/>
    <w:uiPriority w:val="99"/>
    <w:rsid w:val="00E201F6"/>
    <w:pPr>
      <w:spacing w:before="100" w:beforeAutospacing="1" w:after="100" w:afterAutospacing="1"/>
    </w:pPr>
  </w:style>
  <w:style w:type="character" w:styleId="Hyperlink">
    <w:name w:val="Hyperlink"/>
    <w:uiPriority w:val="99"/>
    <w:rsid w:val="00E201F6"/>
    <w:rPr>
      <w:rFonts w:cs="Times New Roman"/>
      <w:color w:val="0000FF"/>
      <w:u w:val="single"/>
    </w:rPr>
  </w:style>
  <w:style w:type="character" w:styleId="FootnoteReference">
    <w:name w:val="footnote reference"/>
    <w:uiPriority w:val="99"/>
    <w:rsid w:val="007526C1"/>
    <w:rPr>
      <w:rFonts w:ascii="Times New Roman" w:hAnsi="Times New Roman" w:cs="Times New Roman"/>
      <w:sz w:val="24"/>
      <w:vertAlign w:val="superscript"/>
    </w:rPr>
  </w:style>
  <w:style w:type="paragraph" w:styleId="Header">
    <w:name w:val="header"/>
    <w:basedOn w:val="Normal"/>
    <w:link w:val="HeaderChar"/>
    <w:uiPriority w:val="99"/>
    <w:rsid w:val="00E201F6"/>
    <w:pPr>
      <w:tabs>
        <w:tab w:val="center" w:pos="4680"/>
        <w:tab w:val="right" w:pos="9360"/>
      </w:tabs>
    </w:pPr>
  </w:style>
  <w:style w:type="character" w:customStyle="1" w:styleId="HeaderChar">
    <w:name w:val="Header Char"/>
    <w:basedOn w:val="DefaultParagraphFont"/>
    <w:link w:val="Header"/>
    <w:uiPriority w:val="99"/>
    <w:rsid w:val="00E201F6"/>
    <w:rPr>
      <w:rFonts w:ascii="Times New Roman" w:eastAsia="Times New Roman" w:hAnsi="Times New Roman" w:cs="Times New Roman"/>
      <w:sz w:val="24"/>
      <w:szCs w:val="24"/>
    </w:rPr>
  </w:style>
  <w:style w:type="paragraph" w:styleId="Footer">
    <w:name w:val="footer"/>
    <w:basedOn w:val="Normal"/>
    <w:link w:val="FooterChar"/>
    <w:uiPriority w:val="99"/>
    <w:rsid w:val="00E201F6"/>
    <w:pPr>
      <w:tabs>
        <w:tab w:val="center" w:pos="4680"/>
        <w:tab w:val="right" w:pos="9360"/>
      </w:tabs>
    </w:pPr>
  </w:style>
  <w:style w:type="character" w:customStyle="1" w:styleId="FooterChar">
    <w:name w:val="Footer Char"/>
    <w:basedOn w:val="DefaultParagraphFont"/>
    <w:link w:val="Footer"/>
    <w:uiPriority w:val="99"/>
    <w:rsid w:val="00E201F6"/>
    <w:rPr>
      <w:rFonts w:ascii="Times New Roman" w:eastAsia="Times New Roman" w:hAnsi="Times New Roman" w:cs="Times New Roman"/>
      <w:sz w:val="24"/>
      <w:szCs w:val="24"/>
    </w:rPr>
  </w:style>
  <w:style w:type="character" w:customStyle="1" w:styleId="normaltextrun">
    <w:name w:val="normaltextrun"/>
    <w:rsid w:val="00E201F6"/>
  </w:style>
  <w:style w:type="paragraph" w:styleId="ListParagraph">
    <w:name w:val="List Paragraph"/>
    <w:basedOn w:val="Normal"/>
    <w:uiPriority w:val="34"/>
    <w:qFormat/>
    <w:rsid w:val="00E201F6"/>
    <w:pPr>
      <w:ind w:left="720"/>
      <w:contextualSpacing/>
    </w:pPr>
  </w:style>
  <w:style w:type="character" w:customStyle="1" w:styleId="o-published-datetime">
    <w:name w:val="o-published-date__time"/>
    <w:basedOn w:val="DefaultParagraphFont"/>
    <w:rsid w:val="00E201F6"/>
  </w:style>
  <w:style w:type="character" w:styleId="Emphasis">
    <w:name w:val="Emphasis"/>
    <w:basedOn w:val="DefaultParagraphFont"/>
    <w:uiPriority w:val="20"/>
    <w:qFormat/>
    <w:rsid w:val="00E71C63"/>
    <w:rPr>
      <w:i/>
      <w:iCs/>
    </w:rPr>
  </w:style>
  <w:style w:type="paragraph" w:customStyle="1" w:styleId="xmsolistparagraph">
    <w:name w:val="x_msolistparagraph"/>
    <w:basedOn w:val="Normal"/>
    <w:rsid w:val="00A9567C"/>
    <w:pPr>
      <w:ind w:left="720"/>
    </w:pPr>
    <w:rPr>
      <w:rFonts w:ascii="Calibri" w:eastAsiaTheme="minorHAnsi" w:hAnsi="Calibri" w:cs="Calibri"/>
      <w:sz w:val="22"/>
      <w:szCs w:val="22"/>
    </w:rPr>
  </w:style>
  <w:style w:type="character" w:customStyle="1" w:styleId="apple-converted-space">
    <w:name w:val="apple-converted-space"/>
    <w:basedOn w:val="DefaultParagraphFont"/>
    <w:rsid w:val="005F352A"/>
  </w:style>
  <w:style w:type="character" w:customStyle="1" w:styleId="Date1">
    <w:name w:val="Date1"/>
    <w:basedOn w:val="DefaultParagraphFont"/>
    <w:rsid w:val="009C6245"/>
  </w:style>
  <w:style w:type="character" w:styleId="FollowedHyperlink">
    <w:name w:val="FollowedHyperlink"/>
    <w:basedOn w:val="DefaultParagraphFont"/>
    <w:uiPriority w:val="99"/>
    <w:semiHidden/>
    <w:unhideWhenUsed/>
    <w:rsid w:val="001410F3"/>
    <w:rPr>
      <w:color w:val="954F72" w:themeColor="followedHyperlink"/>
      <w:u w:val="single"/>
    </w:rPr>
  </w:style>
  <w:style w:type="paragraph" w:styleId="EndnoteText">
    <w:name w:val="endnote text"/>
    <w:basedOn w:val="Normal"/>
    <w:link w:val="EndnoteTextChar"/>
    <w:uiPriority w:val="99"/>
    <w:semiHidden/>
    <w:unhideWhenUsed/>
    <w:rsid w:val="001A275B"/>
    <w:rPr>
      <w:sz w:val="20"/>
      <w:szCs w:val="20"/>
    </w:rPr>
  </w:style>
  <w:style w:type="character" w:customStyle="1" w:styleId="EndnoteTextChar">
    <w:name w:val="Endnote Text Char"/>
    <w:basedOn w:val="DefaultParagraphFont"/>
    <w:link w:val="EndnoteText"/>
    <w:uiPriority w:val="99"/>
    <w:semiHidden/>
    <w:rsid w:val="001A275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A275B"/>
    <w:rPr>
      <w:vertAlign w:val="superscript"/>
    </w:rPr>
  </w:style>
  <w:style w:type="character" w:customStyle="1" w:styleId="UnresolvedMention1">
    <w:name w:val="Unresolved Mention1"/>
    <w:basedOn w:val="DefaultParagraphFont"/>
    <w:uiPriority w:val="99"/>
    <w:semiHidden/>
    <w:unhideWhenUsed/>
    <w:rsid w:val="000E1F89"/>
    <w:rPr>
      <w:color w:val="605E5C"/>
      <w:shd w:val="clear" w:color="auto" w:fill="E1DFDD"/>
    </w:rPr>
  </w:style>
  <w:style w:type="paragraph" w:styleId="Revision">
    <w:name w:val="Revision"/>
    <w:hidden/>
    <w:uiPriority w:val="99"/>
    <w:semiHidden/>
    <w:rsid w:val="00EB528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089C"/>
    <w:rPr>
      <w:sz w:val="16"/>
      <w:szCs w:val="16"/>
    </w:rPr>
  </w:style>
  <w:style w:type="paragraph" w:styleId="CommentText">
    <w:name w:val="annotation text"/>
    <w:basedOn w:val="Normal"/>
    <w:link w:val="CommentTextChar"/>
    <w:uiPriority w:val="99"/>
    <w:semiHidden/>
    <w:unhideWhenUsed/>
    <w:rsid w:val="00D4089C"/>
    <w:rPr>
      <w:sz w:val="20"/>
      <w:szCs w:val="20"/>
    </w:rPr>
  </w:style>
  <w:style w:type="character" w:customStyle="1" w:styleId="CommentTextChar">
    <w:name w:val="Comment Text Char"/>
    <w:basedOn w:val="DefaultParagraphFont"/>
    <w:link w:val="CommentText"/>
    <w:uiPriority w:val="99"/>
    <w:semiHidden/>
    <w:rsid w:val="00D40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089C"/>
    <w:rPr>
      <w:b/>
      <w:bCs/>
    </w:rPr>
  </w:style>
  <w:style w:type="character" w:customStyle="1" w:styleId="CommentSubjectChar">
    <w:name w:val="Comment Subject Char"/>
    <w:basedOn w:val="CommentTextChar"/>
    <w:link w:val="CommentSubject"/>
    <w:uiPriority w:val="99"/>
    <w:semiHidden/>
    <w:rsid w:val="00D408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2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81"/>
    <w:rPr>
      <w:rFonts w:ascii="Segoe UI" w:eastAsia="Times New Roman" w:hAnsi="Segoe UI" w:cs="Segoe UI"/>
      <w:sz w:val="18"/>
      <w:szCs w:val="18"/>
    </w:rPr>
  </w:style>
  <w:style w:type="paragraph" w:styleId="NoSpacing">
    <w:name w:val="No Spacing"/>
    <w:uiPriority w:val="1"/>
    <w:qFormat/>
    <w:rsid w:val="00341CFB"/>
    <w:pPr>
      <w:spacing w:after="0" w:line="240" w:lineRule="auto"/>
    </w:pPr>
    <w:rPr>
      <w:rFonts w:ascii="Times New Roman" w:hAnsi="Times New Roman"/>
      <w:sz w:val="24"/>
    </w:rPr>
  </w:style>
  <w:style w:type="paragraph" w:styleId="BodyText">
    <w:name w:val="Body Text"/>
    <w:basedOn w:val="Normal"/>
    <w:link w:val="BodyTextChar"/>
    <w:uiPriority w:val="99"/>
    <w:rsid w:val="00341CFB"/>
    <w:pPr>
      <w:spacing w:line="480" w:lineRule="auto"/>
      <w:ind w:firstLine="720"/>
      <w:jc w:val="both"/>
    </w:pPr>
  </w:style>
  <w:style w:type="character" w:customStyle="1" w:styleId="BodyTextChar">
    <w:name w:val="Body Text Char"/>
    <w:basedOn w:val="DefaultParagraphFont"/>
    <w:link w:val="BodyText"/>
    <w:uiPriority w:val="99"/>
    <w:rsid w:val="00341CF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41CFB"/>
  </w:style>
  <w:style w:type="character" w:customStyle="1" w:styleId="UnresolvedMention">
    <w:name w:val="Unresolved Mention"/>
    <w:basedOn w:val="DefaultParagraphFont"/>
    <w:uiPriority w:val="99"/>
    <w:semiHidden/>
    <w:unhideWhenUsed/>
    <w:rsid w:val="004E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2237">
      <w:bodyDiv w:val="1"/>
      <w:marLeft w:val="0"/>
      <w:marRight w:val="0"/>
      <w:marTop w:val="0"/>
      <w:marBottom w:val="0"/>
      <w:divBdr>
        <w:top w:val="none" w:sz="0" w:space="0" w:color="auto"/>
        <w:left w:val="none" w:sz="0" w:space="0" w:color="auto"/>
        <w:bottom w:val="none" w:sz="0" w:space="0" w:color="auto"/>
        <w:right w:val="none" w:sz="0" w:space="0" w:color="auto"/>
      </w:divBdr>
    </w:div>
    <w:div w:id="297033321">
      <w:bodyDiv w:val="1"/>
      <w:marLeft w:val="0"/>
      <w:marRight w:val="0"/>
      <w:marTop w:val="0"/>
      <w:marBottom w:val="0"/>
      <w:divBdr>
        <w:top w:val="none" w:sz="0" w:space="0" w:color="auto"/>
        <w:left w:val="none" w:sz="0" w:space="0" w:color="auto"/>
        <w:bottom w:val="none" w:sz="0" w:space="0" w:color="auto"/>
        <w:right w:val="none" w:sz="0" w:space="0" w:color="auto"/>
      </w:divBdr>
    </w:div>
    <w:div w:id="421073588">
      <w:bodyDiv w:val="1"/>
      <w:marLeft w:val="0"/>
      <w:marRight w:val="0"/>
      <w:marTop w:val="0"/>
      <w:marBottom w:val="0"/>
      <w:divBdr>
        <w:top w:val="none" w:sz="0" w:space="0" w:color="auto"/>
        <w:left w:val="none" w:sz="0" w:space="0" w:color="auto"/>
        <w:bottom w:val="none" w:sz="0" w:space="0" w:color="auto"/>
        <w:right w:val="none" w:sz="0" w:space="0" w:color="auto"/>
      </w:divBdr>
    </w:div>
    <w:div w:id="523058698">
      <w:bodyDiv w:val="1"/>
      <w:marLeft w:val="0"/>
      <w:marRight w:val="0"/>
      <w:marTop w:val="0"/>
      <w:marBottom w:val="0"/>
      <w:divBdr>
        <w:top w:val="none" w:sz="0" w:space="0" w:color="auto"/>
        <w:left w:val="none" w:sz="0" w:space="0" w:color="auto"/>
        <w:bottom w:val="none" w:sz="0" w:space="0" w:color="auto"/>
        <w:right w:val="none" w:sz="0" w:space="0" w:color="auto"/>
      </w:divBdr>
    </w:div>
    <w:div w:id="587887797">
      <w:bodyDiv w:val="1"/>
      <w:marLeft w:val="0"/>
      <w:marRight w:val="0"/>
      <w:marTop w:val="0"/>
      <w:marBottom w:val="0"/>
      <w:divBdr>
        <w:top w:val="none" w:sz="0" w:space="0" w:color="auto"/>
        <w:left w:val="none" w:sz="0" w:space="0" w:color="auto"/>
        <w:bottom w:val="none" w:sz="0" w:space="0" w:color="auto"/>
        <w:right w:val="none" w:sz="0" w:space="0" w:color="auto"/>
      </w:divBdr>
      <w:divsChild>
        <w:div w:id="93798229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C0C0C0"/>
                <w:left w:val="none" w:sz="0" w:space="0" w:color="C0C0C0"/>
                <w:bottom w:val="none" w:sz="0" w:space="0" w:color="C0C0C0"/>
                <w:right w:val="none" w:sz="0" w:space="0" w:color="C0C0C0"/>
              </w:divBdr>
              <w:divsChild>
                <w:div w:id="1905023086">
                  <w:marLeft w:val="0"/>
                  <w:marRight w:val="0"/>
                  <w:marTop w:val="0"/>
                  <w:marBottom w:val="0"/>
                  <w:divBdr>
                    <w:top w:val="none" w:sz="0" w:space="0" w:color="auto"/>
                    <w:left w:val="none" w:sz="0" w:space="0" w:color="auto"/>
                    <w:bottom w:val="none" w:sz="0" w:space="0" w:color="auto"/>
                    <w:right w:val="none" w:sz="0" w:space="0" w:color="auto"/>
                  </w:divBdr>
                  <w:divsChild>
                    <w:div w:id="1735543089">
                      <w:marLeft w:val="0"/>
                      <w:marRight w:val="0"/>
                      <w:marTop w:val="0"/>
                      <w:marBottom w:val="0"/>
                      <w:divBdr>
                        <w:top w:val="none" w:sz="0" w:space="0" w:color="auto"/>
                        <w:left w:val="none" w:sz="0" w:space="0" w:color="auto"/>
                        <w:bottom w:val="none" w:sz="0" w:space="0" w:color="auto"/>
                        <w:right w:val="none" w:sz="0" w:space="0" w:color="auto"/>
                      </w:divBdr>
                      <w:divsChild>
                        <w:div w:id="1251621858">
                          <w:marLeft w:val="150"/>
                          <w:marRight w:val="150"/>
                          <w:marTop w:val="150"/>
                          <w:marBottom w:val="150"/>
                          <w:divBdr>
                            <w:top w:val="none" w:sz="0" w:space="0" w:color="auto"/>
                            <w:left w:val="none" w:sz="0" w:space="0" w:color="auto"/>
                            <w:bottom w:val="none" w:sz="0" w:space="0" w:color="auto"/>
                            <w:right w:val="none" w:sz="0" w:space="0" w:color="auto"/>
                          </w:divBdr>
                          <w:divsChild>
                            <w:div w:id="978461233">
                              <w:marLeft w:val="0"/>
                              <w:marRight w:val="0"/>
                              <w:marTop w:val="0"/>
                              <w:marBottom w:val="0"/>
                              <w:divBdr>
                                <w:top w:val="none" w:sz="0" w:space="0" w:color="auto"/>
                                <w:left w:val="none" w:sz="0" w:space="0" w:color="auto"/>
                                <w:bottom w:val="none" w:sz="0" w:space="0" w:color="auto"/>
                                <w:right w:val="none" w:sz="0" w:space="0" w:color="auto"/>
                              </w:divBdr>
                              <w:divsChild>
                                <w:div w:id="5166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723671">
      <w:bodyDiv w:val="1"/>
      <w:marLeft w:val="0"/>
      <w:marRight w:val="0"/>
      <w:marTop w:val="0"/>
      <w:marBottom w:val="0"/>
      <w:divBdr>
        <w:top w:val="none" w:sz="0" w:space="0" w:color="auto"/>
        <w:left w:val="none" w:sz="0" w:space="0" w:color="auto"/>
        <w:bottom w:val="none" w:sz="0" w:space="0" w:color="auto"/>
        <w:right w:val="none" w:sz="0" w:space="0" w:color="auto"/>
      </w:divBdr>
    </w:div>
    <w:div w:id="905140825">
      <w:bodyDiv w:val="1"/>
      <w:marLeft w:val="0"/>
      <w:marRight w:val="0"/>
      <w:marTop w:val="0"/>
      <w:marBottom w:val="0"/>
      <w:divBdr>
        <w:top w:val="none" w:sz="0" w:space="0" w:color="auto"/>
        <w:left w:val="none" w:sz="0" w:space="0" w:color="auto"/>
        <w:bottom w:val="none" w:sz="0" w:space="0" w:color="auto"/>
        <w:right w:val="none" w:sz="0" w:space="0" w:color="auto"/>
      </w:divBdr>
    </w:div>
    <w:div w:id="1132334165">
      <w:bodyDiv w:val="1"/>
      <w:marLeft w:val="0"/>
      <w:marRight w:val="0"/>
      <w:marTop w:val="0"/>
      <w:marBottom w:val="0"/>
      <w:divBdr>
        <w:top w:val="none" w:sz="0" w:space="0" w:color="auto"/>
        <w:left w:val="none" w:sz="0" w:space="0" w:color="auto"/>
        <w:bottom w:val="none" w:sz="0" w:space="0" w:color="auto"/>
        <w:right w:val="none" w:sz="0" w:space="0" w:color="auto"/>
      </w:divBdr>
    </w:div>
    <w:div w:id="1255549353">
      <w:bodyDiv w:val="1"/>
      <w:marLeft w:val="0"/>
      <w:marRight w:val="0"/>
      <w:marTop w:val="0"/>
      <w:marBottom w:val="0"/>
      <w:divBdr>
        <w:top w:val="none" w:sz="0" w:space="0" w:color="auto"/>
        <w:left w:val="none" w:sz="0" w:space="0" w:color="auto"/>
        <w:bottom w:val="none" w:sz="0" w:space="0" w:color="auto"/>
        <w:right w:val="none" w:sz="0" w:space="0" w:color="auto"/>
      </w:divBdr>
    </w:div>
    <w:div w:id="1357388340">
      <w:bodyDiv w:val="1"/>
      <w:marLeft w:val="0"/>
      <w:marRight w:val="0"/>
      <w:marTop w:val="0"/>
      <w:marBottom w:val="0"/>
      <w:divBdr>
        <w:top w:val="none" w:sz="0" w:space="0" w:color="auto"/>
        <w:left w:val="none" w:sz="0" w:space="0" w:color="auto"/>
        <w:bottom w:val="none" w:sz="0" w:space="0" w:color="auto"/>
        <w:right w:val="none" w:sz="0" w:space="0" w:color="auto"/>
      </w:divBdr>
    </w:div>
    <w:div w:id="1440370794">
      <w:bodyDiv w:val="1"/>
      <w:marLeft w:val="0"/>
      <w:marRight w:val="0"/>
      <w:marTop w:val="0"/>
      <w:marBottom w:val="0"/>
      <w:divBdr>
        <w:top w:val="none" w:sz="0" w:space="0" w:color="auto"/>
        <w:left w:val="none" w:sz="0" w:space="0" w:color="auto"/>
        <w:bottom w:val="none" w:sz="0" w:space="0" w:color="auto"/>
        <w:right w:val="none" w:sz="0" w:space="0" w:color="auto"/>
      </w:divBdr>
    </w:div>
    <w:div w:id="1463428269">
      <w:bodyDiv w:val="1"/>
      <w:marLeft w:val="0"/>
      <w:marRight w:val="0"/>
      <w:marTop w:val="0"/>
      <w:marBottom w:val="0"/>
      <w:divBdr>
        <w:top w:val="none" w:sz="0" w:space="0" w:color="auto"/>
        <w:left w:val="none" w:sz="0" w:space="0" w:color="auto"/>
        <w:bottom w:val="none" w:sz="0" w:space="0" w:color="auto"/>
        <w:right w:val="none" w:sz="0" w:space="0" w:color="auto"/>
      </w:divBdr>
    </w:div>
    <w:div w:id="1555199057">
      <w:bodyDiv w:val="1"/>
      <w:marLeft w:val="0"/>
      <w:marRight w:val="0"/>
      <w:marTop w:val="0"/>
      <w:marBottom w:val="0"/>
      <w:divBdr>
        <w:top w:val="none" w:sz="0" w:space="0" w:color="auto"/>
        <w:left w:val="none" w:sz="0" w:space="0" w:color="auto"/>
        <w:bottom w:val="none" w:sz="0" w:space="0" w:color="auto"/>
        <w:right w:val="none" w:sz="0" w:space="0" w:color="auto"/>
      </w:divBdr>
    </w:div>
    <w:div w:id="1602571528">
      <w:bodyDiv w:val="1"/>
      <w:marLeft w:val="0"/>
      <w:marRight w:val="0"/>
      <w:marTop w:val="0"/>
      <w:marBottom w:val="0"/>
      <w:divBdr>
        <w:top w:val="none" w:sz="0" w:space="0" w:color="auto"/>
        <w:left w:val="none" w:sz="0" w:space="0" w:color="auto"/>
        <w:bottom w:val="none" w:sz="0" w:space="0" w:color="auto"/>
        <w:right w:val="none" w:sz="0" w:space="0" w:color="auto"/>
      </w:divBdr>
      <w:divsChild>
        <w:div w:id="1047683461">
          <w:marLeft w:val="0"/>
          <w:marRight w:val="0"/>
          <w:marTop w:val="0"/>
          <w:marBottom w:val="0"/>
          <w:divBdr>
            <w:top w:val="none" w:sz="0" w:space="0" w:color="auto"/>
            <w:left w:val="none" w:sz="0" w:space="0" w:color="auto"/>
            <w:bottom w:val="none" w:sz="0" w:space="0" w:color="auto"/>
            <w:right w:val="none" w:sz="0" w:space="0" w:color="auto"/>
          </w:divBdr>
        </w:div>
      </w:divsChild>
    </w:div>
    <w:div w:id="1829513710">
      <w:bodyDiv w:val="1"/>
      <w:marLeft w:val="0"/>
      <w:marRight w:val="0"/>
      <w:marTop w:val="0"/>
      <w:marBottom w:val="0"/>
      <w:divBdr>
        <w:top w:val="none" w:sz="0" w:space="0" w:color="auto"/>
        <w:left w:val="none" w:sz="0" w:space="0" w:color="auto"/>
        <w:bottom w:val="none" w:sz="0" w:space="0" w:color="auto"/>
        <w:right w:val="none" w:sz="0" w:space="0" w:color="auto"/>
      </w:divBdr>
    </w:div>
    <w:div w:id="2026248980">
      <w:bodyDiv w:val="1"/>
      <w:marLeft w:val="0"/>
      <w:marRight w:val="0"/>
      <w:marTop w:val="0"/>
      <w:marBottom w:val="0"/>
      <w:divBdr>
        <w:top w:val="none" w:sz="0" w:space="0" w:color="auto"/>
        <w:left w:val="none" w:sz="0" w:space="0" w:color="auto"/>
        <w:bottom w:val="none" w:sz="0" w:space="0" w:color="auto"/>
        <w:right w:val="none" w:sz="0" w:space="0" w:color="auto"/>
      </w:divBdr>
    </w:div>
    <w:div w:id="2104566807">
      <w:bodyDiv w:val="1"/>
      <w:marLeft w:val="0"/>
      <w:marRight w:val="0"/>
      <w:marTop w:val="0"/>
      <w:marBottom w:val="0"/>
      <w:divBdr>
        <w:top w:val="none" w:sz="0" w:space="0" w:color="auto"/>
        <w:left w:val="none" w:sz="0" w:space="0" w:color="auto"/>
        <w:bottom w:val="none" w:sz="0" w:space="0" w:color="auto"/>
        <w:right w:val="none" w:sz="0" w:space="0" w:color="auto"/>
      </w:divBdr>
    </w:div>
    <w:div w:id="21162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3818282" TargetMode="External"/><Relationship Id="rId13" Type="http://schemas.openxmlformats.org/officeDocument/2006/relationships/hyperlink" Target="https://www1.nyc.gov/office-of-the-mayor/news/233-22/mayor-adams-attorney-general-james-fight-opioid-crisis-first-286-million-payments" TargetMode="External"/><Relationship Id="rId18" Type="http://schemas.openxmlformats.org/officeDocument/2006/relationships/hyperlink" Target="https://www1.nyc.gov/site/doh/about/press/pr2021/overdose-prevention-centers-prevent-59-deaths.page" TargetMode="External"/><Relationship Id="rId3" Type="http://schemas.openxmlformats.org/officeDocument/2006/relationships/hyperlink" Target="https://www.health.ny.gov/statistics/opioid" TargetMode="External"/><Relationship Id="rId21" Type="http://schemas.openxmlformats.org/officeDocument/2006/relationships/hyperlink" Target="https://www.reliasmedia.com/articles/40925-study-virus-may-live-up-to-four-weeks-in-syringes" TargetMode="External"/><Relationship Id="rId7" Type="http://schemas.openxmlformats.org/officeDocument/2006/relationships/hyperlink" Target="https://store.samhsa.gov/sites/default/files/SAMHSA_Digital_Download/PEP20-05-02-001_508%20Final.pdf" TargetMode="External"/><Relationship Id="rId12" Type="http://schemas.openxmlformats.org/officeDocument/2006/relationships/hyperlink" Target="https://ag.ny.gov/press-release/2019/attorney-general-james-files-nations-most-comprehensive-suit-against-opioid" TargetMode="External"/><Relationship Id="rId17" Type="http://schemas.openxmlformats.org/officeDocument/2006/relationships/hyperlink" Target="https://gothamist.com/news/inside-nycs-supervised-drug-injection-sites-the-first-in-the-nation" TargetMode="External"/><Relationship Id="rId2" Type="http://schemas.openxmlformats.org/officeDocument/2006/relationships/hyperlink" Target="https://www.hhs.gov/opioids/about-the-epidemic/index.html" TargetMode="External"/><Relationship Id="rId16" Type="http://schemas.openxmlformats.org/officeDocument/2006/relationships/hyperlink" Target="https://www.nrpa.org/parks-recreation-magazine/2019/february/addressing-public-injection-and-syringe-disposal-in-nyc-parks." TargetMode="External"/><Relationship Id="rId20" Type="http://schemas.openxmlformats.org/officeDocument/2006/relationships/hyperlink" Target="https://www.cdc.gov/sharpssafety/index.html" TargetMode="External"/><Relationship Id="rId1" Type="http://schemas.openxmlformats.org/officeDocument/2006/relationships/hyperlink" Target="https://www.cdc.gov/opioids/data/index.html" TargetMode="External"/><Relationship Id="rId6" Type="http://schemas.openxmlformats.org/officeDocument/2006/relationships/hyperlink" Target="https://www1.nyc.gov/site/doh/about/press/pr2022/overdose-increases-as-harm-reduction-program-scales-up.page" TargetMode="External"/><Relationship Id="rId11" Type="http://schemas.openxmlformats.org/officeDocument/2006/relationships/hyperlink" Target="https://legistar.council.nyc.gov/LegislationDetail.aspx?ID=5644275&amp;GUID=405544C0-8E4D-45E2-87FE-2C7D58469AAE&amp;Options=&amp;Search" TargetMode="External"/><Relationship Id="rId5" Type="http://schemas.openxmlformats.org/officeDocument/2006/relationships/hyperlink" Target="https://www1.nyc.gov/site/doh/health/health-topics/alcohol-and-drug-use-data.page" TargetMode="External"/><Relationship Id="rId15" Type="http://schemas.openxmlformats.org/officeDocument/2006/relationships/hyperlink" Target="https://www1.nyc.gov/assets/doh/downloads/pdf/basas/syringe-needle-fact-sheet.pdf" TargetMode="External"/><Relationship Id="rId10" Type="http://schemas.openxmlformats.org/officeDocument/2006/relationships/hyperlink" Target="https://www.samhsa.gov/medication-assisted-treatment/medications-counseling-related-conditions/buprenorphine" TargetMode="External"/><Relationship Id="rId19" Type="http://schemas.openxmlformats.org/officeDocument/2006/relationships/hyperlink" Target="https://www.thecity.nyc/2022/5/17/23076577/safe-injection-sites-subway-harm-reduction" TargetMode="External"/><Relationship Id="rId4" Type="http://schemas.openxmlformats.org/officeDocument/2006/relationships/hyperlink" Target="https://www1.nyc.gov/site/doh/health/health-topics/alcohol-and-drug-use-prevent-overdose.page" TargetMode="External"/><Relationship Id="rId9" Type="http://schemas.openxmlformats.org/officeDocument/2006/relationships/hyperlink" Target="https://www.samhsa.gov/medication-assisted-treatment/medications-counseling-related-conditions/methadone" TargetMode="External"/><Relationship Id="rId14" Type="http://schemas.openxmlformats.org/officeDocument/2006/relationships/hyperlink" Target="https://nationalopioidsettlement.com/wp-content/uploads/2021/09/NY-Sharing-Agreement.pdf" TargetMode="External"/><Relationship Id="rId22" Type="http://schemas.openxmlformats.org/officeDocument/2006/relationships/hyperlink" Target="https://www.boston25news.com/news/health/40000-needles-collected-destroyed-through-new-buy-back-program/3MS7Q7I4M5EFPMQRNNG5Q6UN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2324-A0B4-4CAB-9E04-462BA9A5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3279</Words>
  <Characters>18695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Sara</dc:creator>
  <cp:keywords/>
  <dc:description/>
  <cp:lastModifiedBy>DelFranco, Ruthie</cp:lastModifiedBy>
  <cp:revision>2</cp:revision>
  <cp:lastPrinted>2022-09-19T14:52:00Z</cp:lastPrinted>
  <dcterms:created xsi:type="dcterms:W3CDTF">2022-11-18T22:38:00Z</dcterms:created>
  <dcterms:modified xsi:type="dcterms:W3CDTF">2022-11-18T22:38:00Z</dcterms:modified>
</cp:coreProperties>
</file>