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45" w:type="dxa"/>
        <w:jc w:val="center"/>
        <w:tblLook w:val="0600" w:firstRow="0" w:lastRow="0" w:firstColumn="0" w:lastColumn="0" w:noHBand="1" w:noVBand="1"/>
      </w:tblPr>
      <w:tblGrid>
        <w:gridCol w:w="5376"/>
        <w:gridCol w:w="4869"/>
      </w:tblGrid>
      <w:tr w:rsidR="00604104" w14:paraId="17B6CDE1" w14:textId="77777777" w:rsidTr="00D61240">
        <w:trPr>
          <w:jc w:val="center"/>
        </w:trPr>
        <w:tc>
          <w:tcPr>
            <w:tcW w:w="5376" w:type="dxa"/>
            <w:tcBorders>
              <w:top w:val="nil"/>
              <w:left w:val="nil"/>
              <w:bottom w:val="single" w:sz="4" w:space="0" w:color="auto"/>
              <w:right w:val="nil"/>
            </w:tcBorders>
          </w:tcPr>
          <w:p w14:paraId="0F62E4E7" w14:textId="77777777" w:rsidR="00604104" w:rsidRDefault="00604104">
            <w:pPr>
              <w:pBdr>
                <w:top w:val="single" w:sz="6" w:space="0" w:color="FFFFFF"/>
                <w:left w:val="single" w:sz="6" w:space="0" w:color="FFFFFF"/>
                <w:bottom w:val="single" w:sz="6" w:space="0" w:color="FFFFFF"/>
                <w:right w:val="single" w:sz="6" w:space="0" w:color="FFFFFF"/>
              </w:pBdr>
              <w:jc w:val="center"/>
            </w:pPr>
            <w:bookmarkStart w:id="0" w:name="_GoBack"/>
            <w:bookmarkEnd w:id="0"/>
            <w:r>
              <w:rPr>
                <w:noProof/>
              </w:rPr>
              <w:drawing>
                <wp:inline distT="0" distB="0" distL="0" distR="0" wp14:anchorId="47F82652" wp14:editId="15E30629">
                  <wp:extent cx="1363345" cy="137160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l="-1396" t="-970" r="-1396" b="-970"/>
                          <a:stretch>
                            <a:fillRect/>
                          </a:stretch>
                        </pic:blipFill>
                        <pic:spPr bwMode="auto">
                          <a:xfrm>
                            <a:off x="0" y="0"/>
                            <a:ext cx="1363345" cy="1371600"/>
                          </a:xfrm>
                          <a:prstGeom prst="rect">
                            <a:avLst/>
                          </a:prstGeom>
                          <a:noFill/>
                          <a:ln>
                            <a:noFill/>
                          </a:ln>
                        </pic:spPr>
                      </pic:pic>
                    </a:graphicData>
                  </a:graphic>
                </wp:inline>
              </w:drawing>
            </w:r>
          </w:p>
          <w:p w14:paraId="5FF422B2" w14:textId="77777777" w:rsidR="00604104" w:rsidRDefault="00604104"/>
        </w:tc>
        <w:tc>
          <w:tcPr>
            <w:tcW w:w="4869" w:type="dxa"/>
            <w:tcBorders>
              <w:top w:val="nil"/>
              <w:left w:val="nil"/>
              <w:bottom w:val="single" w:sz="4" w:space="0" w:color="auto"/>
              <w:right w:val="nil"/>
            </w:tcBorders>
          </w:tcPr>
          <w:p w14:paraId="33E3EA05" w14:textId="77777777" w:rsidR="00604104" w:rsidRDefault="00604104">
            <w:pPr>
              <w:rPr>
                <w:b/>
                <w:bCs/>
                <w:smallCaps/>
              </w:rPr>
            </w:pPr>
            <w:r>
              <w:rPr>
                <w:b/>
                <w:bCs/>
                <w:smallCaps/>
              </w:rPr>
              <w:t>The Council of the City of New York</w:t>
            </w:r>
          </w:p>
          <w:p w14:paraId="4995961C" w14:textId="77777777" w:rsidR="00604104" w:rsidRDefault="00604104">
            <w:pPr>
              <w:rPr>
                <w:b/>
                <w:bCs/>
                <w:smallCaps/>
              </w:rPr>
            </w:pPr>
            <w:r>
              <w:rPr>
                <w:b/>
                <w:bCs/>
                <w:smallCaps/>
              </w:rPr>
              <w:t>Finance Division</w:t>
            </w:r>
          </w:p>
          <w:p w14:paraId="0AAC9747" w14:textId="77777777" w:rsidR="00604104" w:rsidRDefault="00604104">
            <w:pPr>
              <w:spacing w:before="120"/>
              <w:rPr>
                <w:b/>
                <w:bCs/>
                <w:smallCaps/>
              </w:rPr>
            </w:pPr>
            <w:r>
              <w:rPr>
                <w:b/>
                <w:bCs/>
                <w:smallCaps/>
              </w:rPr>
              <w:t>Tanisha S. Edwards, Esq., Chief Financial Officer, and Deputy Chief of Staff to the Speaker</w:t>
            </w:r>
          </w:p>
          <w:p w14:paraId="1A342FE0" w14:textId="77777777" w:rsidR="00604104" w:rsidRDefault="00604104">
            <w:pPr>
              <w:spacing w:before="120"/>
            </w:pPr>
            <w:r>
              <w:rPr>
                <w:b/>
                <w:bCs/>
                <w:smallCaps/>
              </w:rPr>
              <w:t>Fiscal Impact Statement</w:t>
            </w:r>
          </w:p>
          <w:p w14:paraId="5F1D56E0" w14:textId="77777777" w:rsidR="00604104" w:rsidRDefault="00604104">
            <w:pPr>
              <w:rPr>
                <w:b/>
                <w:bCs/>
              </w:rPr>
            </w:pPr>
          </w:p>
          <w:p w14:paraId="039AB98D" w14:textId="6BABA1AC" w:rsidR="00604104" w:rsidRDefault="00604104">
            <w:pPr>
              <w:rPr>
                <w:b/>
                <w:bCs/>
              </w:rPr>
            </w:pPr>
            <w:r>
              <w:rPr>
                <w:b/>
                <w:bCs/>
                <w:smallCaps/>
              </w:rPr>
              <w:t>Proposed Intro. No</w:t>
            </w:r>
            <w:r>
              <w:rPr>
                <w:b/>
                <w:bCs/>
              </w:rPr>
              <w:t>:  4</w:t>
            </w:r>
            <w:r w:rsidR="00D61240">
              <w:rPr>
                <w:b/>
                <w:bCs/>
              </w:rPr>
              <w:t>77</w:t>
            </w:r>
            <w:r>
              <w:rPr>
                <w:b/>
                <w:bCs/>
              </w:rPr>
              <w:t>-A</w:t>
            </w:r>
          </w:p>
          <w:p w14:paraId="61CD1875" w14:textId="77777777" w:rsidR="00604104" w:rsidRDefault="00604104">
            <w:pPr>
              <w:rPr>
                <w:color w:val="FF0000"/>
                <w:sz w:val="16"/>
                <w:szCs w:val="16"/>
              </w:rPr>
            </w:pPr>
          </w:p>
          <w:p w14:paraId="1430303A" w14:textId="77777777" w:rsidR="00604104" w:rsidRDefault="00604104" w:rsidP="00604104">
            <w:pPr>
              <w:tabs>
                <w:tab w:val="left" w:pos="-1440"/>
              </w:tabs>
              <w:spacing w:after="120"/>
              <w:ind w:left="1440" w:hanging="1440"/>
              <w:jc w:val="left"/>
            </w:pPr>
            <w:r>
              <w:rPr>
                <w:b/>
                <w:bCs/>
                <w:smallCaps/>
              </w:rPr>
              <w:t>Committee</w:t>
            </w:r>
            <w:r>
              <w:rPr>
                <w:b/>
                <w:bCs/>
              </w:rPr>
              <w:t>:</w:t>
            </w:r>
            <w:r>
              <w:rPr>
                <w:bCs/>
              </w:rPr>
              <w:t xml:space="preserve"> </w:t>
            </w:r>
            <w:r w:rsidR="004B02E1">
              <w:t>Women and Gender Equity</w:t>
            </w:r>
          </w:p>
        </w:tc>
      </w:tr>
      <w:tr w:rsidR="00604104" w14:paraId="3CA8E04A" w14:textId="77777777" w:rsidTr="00D61240">
        <w:trPr>
          <w:jc w:val="center"/>
        </w:trPr>
        <w:tc>
          <w:tcPr>
            <w:tcW w:w="5376" w:type="dxa"/>
            <w:tcBorders>
              <w:top w:val="single" w:sz="4" w:space="0" w:color="auto"/>
              <w:left w:val="nil"/>
              <w:bottom w:val="nil"/>
              <w:right w:val="nil"/>
            </w:tcBorders>
            <w:hideMark/>
          </w:tcPr>
          <w:p w14:paraId="5B04FC0A" w14:textId="015DBEF4" w:rsidR="00604104" w:rsidRPr="00604104" w:rsidRDefault="00604104" w:rsidP="00604104">
            <w:r>
              <w:rPr>
                <w:b/>
                <w:bCs/>
                <w:smallCaps/>
              </w:rPr>
              <w:t>Title:</w:t>
            </w:r>
            <w:r>
              <w:rPr>
                <w:bCs/>
              </w:rPr>
              <w:t xml:space="preserve"> A Local Law to amend the administrative code of the city of New York, in </w:t>
            </w:r>
            <w:r w:rsidR="00303A40" w:rsidRPr="00880F2F">
              <w:rPr>
                <w:color w:val="000000"/>
              </w:rPr>
              <w:t>relation to establishing a child care task force</w:t>
            </w:r>
          </w:p>
        </w:tc>
        <w:tc>
          <w:tcPr>
            <w:tcW w:w="4869" w:type="dxa"/>
            <w:tcBorders>
              <w:top w:val="single" w:sz="4" w:space="0" w:color="auto"/>
              <w:left w:val="nil"/>
              <w:bottom w:val="nil"/>
              <w:right w:val="nil"/>
            </w:tcBorders>
            <w:hideMark/>
          </w:tcPr>
          <w:p w14:paraId="6945FA86" w14:textId="265D0AD0" w:rsidR="00604104" w:rsidRPr="00604104" w:rsidRDefault="00604104" w:rsidP="00303A40">
            <w:pPr>
              <w:autoSpaceDE w:val="0"/>
              <w:autoSpaceDN w:val="0"/>
              <w:adjustRightInd w:val="0"/>
            </w:pPr>
            <w:r>
              <w:rPr>
                <w:b/>
                <w:bCs/>
                <w:smallCaps/>
              </w:rPr>
              <w:t>Sponsor(S)</w:t>
            </w:r>
            <w:r>
              <w:rPr>
                <w:b/>
                <w:bCs/>
              </w:rPr>
              <w:t>:</w:t>
            </w:r>
            <w:r>
              <w:rPr>
                <w:color w:val="000000" w:themeColor="text1"/>
              </w:rPr>
              <w:t xml:space="preserve"> </w:t>
            </w:r>
            <w:r w:rsidR="00303A40">
              <w:t>By Council Members Hudson, Menin, Brooks-Powers, Joseph, Nurse, Abreu, Louis, Restler, Avilés, Cabán, Gennaro, De La Rosa, Hanif, Sanchez, Farías, The Speaker (Council Member Adams) and the Public Advocate (Mr. Williams)</w:t>
            </w:r>
          </w:p>
        </w:tc>
      </w:tr>
    </w:tbl>
    <w:p w14:paraId="35B14928" w14:textId="4A621876" w:rsidR="00604104" w:rsidRPr="00D61240" w:rsidRDefault="00604104" w:rsidP="00D61240">
      <w:pPr>
        <w:spacing w:before="100" w:beforeAutospacing="1" w:after="120"/>
      </w:pPr>
      <w:r>
        <w:rPr>
          <w:b/>
          <w:smallCaps/>
        </w:rPr>
        <w:t>Summary of Legislation:</w:t>
      </w:r>
      <w:r>
        <w:t xml:space="preserve"> </w:t>
      </w:r>
      <w:r w:rsidR="00303A40" w:rsidRPr="00303A40">
        <w:t>This bill would establish a child care task force (“task force”) to study how to make child care more affordable through free or low-cost child care, how to make child care more accessible for families in the city, and how to provide support and funding to child care programs and workers at such programs, taking into account: the number of children ages five and under in the city, the capacity of child care providers, the average incomes of families with children in the city, the projected costs of implementing any recommended programs, and any other considerations the task force deems relevant. The task force would be required to submit a report setting forth its findings and recommendations no later than one year after its first meeting. The task force would be comprised of the heads of the following agencies and offices, or their designees: the Department of Health and Mental Hygiene, the Department of Buildings, the Administration for Children’s Services, and the Commission on Gender Equity. The task force would also include two members appointed by the Mayor and three members appointed by the Speaker of the Council, and would have the ability to invite other officers and representatives of relevant federal, state, and local agencies and authorities to participate in the work of the task force. The task force would be required to convene its first meeting no later than 30 days after being informed of the last task force member’s appointment, meet no less than once every three months, and the task force would dissolve 180 days after the date on which the task force submits its report.</w:t>
      </w:r>
    </w:p>
    <w:p w14:paraId="6D5047F0" w14:textId="0F09F200" w:rsidR="00604104" w:rsidRDefault="00604104" w:rsidP="00604104">
      <w:pPr>
        <w:spacing w:before="100" w:beforeAutospacing="1"/>
        <w:contextualSpacing/>
      </w:pPr>
      <w:r>
        <w:rPr>
          <w:b/>
          <w:smallCaps/>
        </w:rPr>
        <w:t>Effective Date:</w:t>
      </w:r>
      <w:r>
        <w:t xml:space="preserve"> </w:t>
      </w:r>
      <w:r w:rsidR="00303A40">
        <w:t>Immediately.</w:t>
      </w:r>
    </w:p>
    <w:p w14:paraId="3BE4BC2C" w14:textId="77777777" w:rsidR="00604104" w:rsidRDefault="00604104" w:rsidP="00604104">
      <w:pPr>
        <w:spacing w:before="100" w:beforeAutospacing="1"/>
        <w:contextualSpacing/>
        <w:rPr>
          <w:sz w:val="22"/>
          <w:szCs w:val="22"/>
        </w:rPr>
      </w:pPr>
    </w:p>
    <w:p w14:paraId="5113B2BC" w14:textId="77777777" w:rsidR="00604104" w:rsidRDefault="00604104" w:rsidP="00604104">
      <w:pPr>
        <w:spacing w:before="100" w:beforeAutospacing="1"/>
        <w:contextualSpacing/>
      </w:pPr>
      <w:r>
        <w:rPr>
          <w:b/>
          <w:smallCaps/>
        </w:rPr>
        <w:t>Fiscal Year In Which Full Fiscal Impact Anticipated:</w:t>
      </w:r>
      <w:r>
        <w:t xml:space="preserve"> Fiscal 202</w:t>
      </w:r>
      <w:r w:rsidR="007C3EBD">
        <w:t>4</w:t>
      </w:r>
    </w:p>
    <w:p w14:paraId="7BBCAC76" w14:textId="77777777" w:rsidR="00604104" w:rsidRDefault="00604104" w:rsidP="00604104">
      <w:pPr>
        <w:pBdr>
          <w:top w:val="single" w:sz="4" w:space="1" w:color="auto"/>
        </w:pBdr>
        <w:spacing w:before="240"/>
        <w:rPr>
          <w:b/>
          <w:smallCaps/>
        </w:rPr>
      </w:pPr>
      <w:r>
        <w:rPr>
          <w:b/>
          <w:smallCaps/>
        </w:rPr>
        <w:t>Fiscal Impact Statement:</w:t>
      </w:r>
    </w:p>
    <w:p w14:paraId="103126BA" w14:textId="77777777" w:rsidR="00604104" w:rsidRDefault="00604104" w:rsidP="00604104">
      <w:pPr>
        <w:pBdr>
          <w:top w:val="single" w:sz="4" w:space="1" w:color="auto"/>
        </w:pBdr>
        <w:rPr>
          <w:b/>
          <w:smallCaps/>
          <w:sz w:val="21"/>
          <w:szCs w:val="21"/>
        </w:rPr>
      </w:pPr>
    </w:p>
    <w:tbl>
      <w:tblPr>
        <w:tblW w:w="0" w:type="auto"/>
        <w:jc w:val="center"/>
        <w:tblCellMar>
          <w:left w:w="141" w:type="dxa"/>
          <w:right w:w="141" w:type="dxa"/>
        </w:tblCellMar>
        <w:tblLook w:val="04A0" w:firstRow="1" w:lastRow="0" w:firstColumn="1" w:lastColumn="0" w:noHBand="0" w:noVBand="1"/>
      </w:tblPr>
      <w:tblGrid>
        <w:gridCol w:w="1692"/>
        <w:gridCol w:w="1754"/>
        <w:gridCol w:w="1754"/>
        <w:gridCol w:w="1754"/>
      </w:tblGrid>
      <w:tr w:rsidR="00604104" w14:paraId="51AB96F3" w14:textId="77777777" w:rsidTr="00604104">
        <w:trPr>
          <w:jc w:val="center"/>
        </w:trPr>
        <w:tc>
          <w:tcPr>
            <w:tcW w:w="1692" w:type="dxa"/>
            <w:tcBorders>
              <w:top w:val="double" w:sz="6" w:space="0" w:color="000000"/>
              <w:left w:val="double" w:sz="6" w:space="0" w:color="000000"/>
              <w:bottom w:val="single" w:sz="6" w:space="0" w:color="FFFFFF"/>
              <w:right w:val="single" w:sz="6" w:space="0" w:color="FFFFFF"/>
            </w:tcBorders>
            <w:vAlign w:val="center"/>
          </w:tcPr>
          <w:p w14:paraId="48A76AC9" w14:textId="77777777" w:rsidR="00604104" w:rsidRDefault="00604104">
            <w:pPr>
              <w:spacing w:line="201" w:lineRule="exact"/>
              <w:jc w:val="center"/>
              <w:rPr>
                <w:sz w:val="20"/>
                <w:szCs w:val="20"/>
              </w:rPr>
            </w:pPr>
          </w:p>
          <w:p w14:paraId="59B88A38" w14:textId="77777777" w:rsidR="00604104" w:rsidRDefault="00604104">
            <w:pPr>
              <w:jc w:val="center"/>
              <w:rPr>
                <w:b/>
                <w:bCs/>
                <w:sz w:val="20"/>
                <w:szCs w:val="20"/>
              </w:rPr>
            </w:pPr>
          </w:p>
        </w:tc>
        <w:tc>
          <w:tcPr>
            <w:tcW w:w="1754" w:type="dxa"/>
            <w:tcBorders>
              <w:top w:val="double" w:sz="6" w:space="0" w:color="000000"/>
              <w:left w:val="single" w:sz="8" w:space="0" w:color="000000"/>
              <w:bottom w:val="single" w:sz="6" w:space="0" w:color="FFFFFF"/>
              <w:right w:val="single" w:sz="6" w:space="0" w:color="FFFFFF"/>
            </w:tcBorders>
            <w:vAlign w:val="center"/>
            <w:hideMark/>
          </w:tcPr>
          <w:p w14:paraId="179B6116" w14:textId="77777777" w:rsidR="00604104" w:rsidRDefault="00CA2521">
            <w:pPr>
              <w:jc w:val="center"/>
              <w:rPr>
                <w:b/>
                <w:bCs/>
                <w:sz w:val="20"/>
                <w:szCs w:val="20"/>
              </w:rPr>
            </w:pPr>
            <w:r>
              <w:rPr>
                <w:b/>
                <w:bCs/>
                <w:sz w:val="20"/>
                <w:szCs w:val="20"/>
              </w:rPr>
              <w:t>Effective FY23</w:t>
            </w:r>
          </w:p>
        </w:tc>
        <w:tc>
          <w:tcPr>
            <w:tcW w:w="1754" w:type="dxa"/>
            <w:tcBorders>
              <w:top w:val="double" w:sz="6" w:space="0" w:color="000000"/>
              <w:left w:val="single" w:sz="8" w:space="0" w:color="000000"/>
              <w:bottom w:val="single" w:sz="6" w:space="0" w:color="FFFFFF"/>
              <w:right w:val="single" w:sz="6" w:space="0" w:color="FFFFFF"/>
            </w:tcBorders>
            <w:vAlign w:val="center"/>
            <w:hideMark/>
          </w:tcPr>
          <w:p w14:paraId="3EE83B32" w14:textId="77777777" w:rsidR="00604104" w:rsidRDefault="00CA2521">
            <w:pPr>
              <w:jc w:val="center"/>
              <w:rPr>
                <w:b/>
                <w:bCs/>
                <w:sz w:val="20"/>
                <w:szCs w:val="20"/>
              </w:rPr>
            </w:pPr>
            <w:r>
              <w:rPr>
                <w:b/>
                <w:bCs/>
                <w:sz w:val="20"/>
                <w:szCs w:val="20"/>
              </w:rPr>
              <w:t>FY Succeeding Effective FY24</w:t>
            </w:r>
          </w:p>
        </w:tc>
        <w:tc>
          <w:tcPr>
            <w:tcW w:w="1754" w:type="dxa"/>
            <w:tcBorders>
              <w:top w:val="double" w:sz="6" w:space="0" w:color="000000"/>
              <w:left w:val="single" w:sz="8" w:space="0" w:color="000000"/>
              <w:bottom w:val="single" w:sz="6" w:space="0" w:color="FFFFFF"/>
              <w:right w:val="double" w:sz="6" w:space="0" w:color="000000"/>
            </w:tcBorders>
            <w:vAlign w:val="center"/>
            <w:hideMark/>
          </w:tcPr>
          <w:p w14:paraId="6E33BB76" w14:textId="77777777" w:rsidR="00604104" w:rsidRDefault="00CA2521">
            <w:pPr>
              <w:jc w:val="center"/>
              <w:rPr>
                <w:b/>
                <w:bCs/>
                <w:sz w:val="20"/>
                <w:szCs w:val="20"/>
              </w:rPr>
            </w:pPr>
            <w:r>
              <w:rPr>
                <w:b/>
                <w:bCs/>
                <w:sz w:val="20"/>
                <w:szCs w:val="20"/>
              </w:rPr>
              <w:t>Full Fiscal Impact FY24</w:t>
            </w:r>
          </w:p>
        </w:tc>
      </w:tr>
      <w:tr w:rsidR="00604104" w14:paraId="259BAF8F" w14:textId="77777777" w:rsidTr="00604104">
        <w:trPr>
          <w:jc w:val="center"/>
        </w:trPr>
        <w:tc>
          <w:tcPr>
            <w:tcW w:w="1692" w:type="dxa"/>
            <w:tcBorders>
              <w:top w:val="single" w:sz="8" w:space="0" w:color="000000"/>
              <w:left w:val="double" w:sz="6" w:space="0" w:color="000000"/>
              <w:bottom w:val="single" w:sz="6" w:space="0" w:color="FFFFFF"/>
              <w:right w:val="single" w:sz="6" w:space="0" w:color="FFFFFF"/>
            </w:tcBorders>
            <w:vAlign w:val="center"/>
            <w:hideMark/>
          </w:tcPr>
          <w:p w14:paraId="3ECAD67F" w14:textId="77777777" w:rsidR="00604104" w:rsidRDefault="00604104">
            <w:pPr>
              <w:jc w:val="center"/>
              <w:rPr>
                <w:b/>
                <w:bCs/>
                <w:sz w:val="20"/>
                <w:szCs w:val="20"/>
              </w:rPr>
            </w:pPr>
            <w:r>
              <w:rPr>
                <w:b/>
                <w:bCs/>
                <w:sz w:val="20"/>
                <w:szCs w:val="20"/>
              </w:rPr>
              <w:t>Revenues</w:t>
            </w:r>
          </w:p>
        </w:tc>
        <w:tc>
          <w:tcPr>
            <w:tcW w:w="1754" w:type="dxa"/>
            <w:tcBorders>
              <w:top w:val="single" w:sz="8" w:space="0" w:color="000000"/>
              <w:left w:val="single" w:sz="8" w:space="0" w:color="000000"/>
              <w:bottom w:val="single" w:sz="6" w:space="0" w:color="FFFFFF"/>
              <w:right w:val="single" w:sz="6" w:space="0" w:color="FFFFFF"/>
            </w:tcBorders>
            <w:vAlign w:val="center"/>
            <w:hideMark/>
          </w:tcPr>
          <w:p w14:paraId="0693A766" w14:textId="77777777" w:rsidR="00604104" w:rsidRDefault="00604104">
            <w:pPr>
              <w:jc w:val="center"/>
              <w:rPr>
                <w:bCs/>
                <w:sz w:val="20"/>
                <w:szCs w:val="20"/>
              </w:rPr>
            </w:pPr>
            <w:r>
              <w:rPr>
                <w:bCs/>
                <w:sz w:val="20"/>
                <w:szCs w:val="20"/>
              </w:rPr>
              <w:t>$0</w:t>
            </w:r>
          </w:p>
        </w:tc>
        <w:tc>
          <w:tcPr>
            <w:tcW w:w="1754" w:type="dxa"/>
            <w:tcBorders>
              <w:top w:val="single" w:sz="8" w:space="0" w:color="000000"/>
              <w:left w:val="single" w:sz="8" w:space="0" w:color="000000"/>
              <w:bottom w:val="single" w:sz="6" w:space="0" w:color="FFFFFF"/>
              <w:right w:val="single" w:sz="6" w:space="0" w:color="FFFFFF"/>
            </w:tcBorders>
            <w:vAlign w:val="center"/>
            <w:hideMark/>
          </w:tcPr>
          <w:p w14:paraId="69899EB0" w14:textId="77777777" w:rsidR="00604104" w:rsidRDefault="00604104">
            <w:pPr>
              <w:jc w:val="center"/>
              <w:rPr>
                <w:bCs/>
                <w:sz w:val="20"/>
                <w:szCs w:val="20"/>
              </w:rPr>
            </w:pPr>
            <w:r>
              <w:rPr>
                <w:bCs/>
                <w:sz w:val="20"/>
                <w:szCs w:val="20"/>
              </w:rPr>
              <w:t>$0</w:t>
            </w:r>
          </w:p>
        </w:tc>
        <w:tc>
          <w:tcPr>
            <w:tcW w:w="1754" w:type="dxa"/>
            <w:tcBorders>
              <w:top w:val="single" w:sz="8" w:space="0" w:color="000000"/>
              <w:left w:val="single" w:sz="8" w:space="0" w:color="000000"/>
              <w:bottom w:val="single" w:sz="6" w:space="0" w:color="FFFFFF"/>
              <w:right w:val="double" w:sz="6" w:space="0" w:color="000000"/>
            </w:tcBorders>
            <w:vAlign w:val="center"/>
            <w:hideMark/>
          </w:tcPr>
          <w:p w14:paraId="5F99AD56" w14:textId="77777777" w:rsidR="00604104" w:rsidRDefault="00604104">
            <w:pPr>
              <w:jc w:val="center"/>
              <w:rPr>
                <w:bCs/>
                <w:sz w:val="20"/>
                <w:szCs w:val="20"/>
              </w:rPr>
            </w:pPr>
            <w:r>
              <w:rPr>
                <w:bCs/>
                <w:sz w:val="20"/>
                <w:szCs w:val="20"/>
              </w:rPr>
              <w:t>$0</w:t>
            </w:r>
          </w:p>
        </w:tc>
      </w:tr>
      <w:tr w:rsidR="00604104" w14:paraId="6FB42EA2" w14:textId="77777777" w:rsidTr="00604104">
        <w:trPr>
          <w:jc w:val="center"/>
        </w:trPr>
        <w:tc>
          <w:tcPr>
            <w:tcW w:w="1692" w:type="dxa"/>
            <w:tcBorders>
              <w:top w:val="single" w:sz="8" w:space="0" w:color="000000"/>
              <w:left w:val="double" w:sz="6" w:space="0" w:color="000000"/>
              <w:bottom w:val="single" w:sz="6" w:space="0" w:color="FFFFFF"/>
              <w:right w:val="single" w:sz="6" w:space="0" w:color="FFFFFF"/>
            </w:tcBorders>
            <w:vAlign w:val="center"/>
            <w:hideMark/>
          </w:tcPr>
          <w:p w14:paraId="60AAC954" w14:textId="77777777" w:rsidR="00604104" w:rsidRDefault="00604104">
            <w:pPr>
              <w:jc w:val="center"/>
              <w:rPr>
                <w:b/>
                <w:bCs/>
                <w:sz w:val="20"/>
                <w:szCs w:val="20"/>
              </w:rPr>
            </w:pPr>
            <w:r>
              <w:rPr>
                <w:b/>
                <w:bCs/>
                <w:sz w:val="20"/>
                <w:szCs w:val="20"/>
              </w:rPr>
              <w:t>Expenditures</w:t>
            </w:r>
          </w:p>
        </w:tc>
        <w:tc>
          <w:tcPr>
            <w:tcW w:w="1754" w:type="dxa"/>
            <w:tcBorders>
              <w:top w:val="single" w:sz="8" w:space="0" w:color="000000"/>
              <w:left w:val="single" w:sz="8" w:space="0" w:color="000000"/>
              <w:bottom w:val="single" w:sz="6" w:space="0" w:color="FFFFFF"/>
              <w:right w:val="single" w:sz="6" w:space="0" w:color="FFFFFF"/>
            </w:tcBorders>
            <w:vAlign w:val="center"/>
            <w:hideMark/>
          </w:tcPr>
          <w:p w14:paraId="12FA8731" w14:textId="77777777" w:rsidR="00604104" w:rsidRDefault="00604104">
            <w:pPr>
              <w:jc w:val="center"/>
              <w:rPr>
                <w:bCs/>
                <w:sz w:val="20"/>
                <w:szCs w:val="20"/>
              </w:rPr>
            </w:pPr>
            <w:r>
              <w:rPr>
                <w:bCs/>
                <w:sz w:val="20"/>
                <w:szCs w:val="20"/>
              </w:rPr>
              <w:t>$0</w:t>
            </w:r>
          </w:p>
        </w:tc>
        <w:tc>
          <w:tcPr>
            <w:tcW w:w="1754" w:type="dxa"/>
            <w:tcBorders>
              <w:top w:val="single" w:sz="8" w:space="0" w:color="000000"/>
              <w:left w:val="single" w:sz="8" w:space="0" w:color="000000"/>
              <w:bottom w:val="single" w:sz="6" w:space="0" w:color="FFFFFF"/>
              <w:right w:val="single" w:sz="6" w:space="0" w:color="FFFFFF"/>
            </w:tcBorders>
            <w:vAlign w:val="center"/>
            <w:hideMark/>
          </w:tcPr>
          <w:p w14:paraId="302116F4" w14:textId="77777777" w:rsidR="00604104" w:rsidRDefault="00604104">
            <w:pPr>
              <w:jc w:val="center"/>
              <w:rPr>
                <w:bCs/>
                <w:sz w:val="20"/>
                <w:szCs w:val="20"/>
              </w:rPr>
            </w:pPr>
            <w:r>
              <w:rPr>
                <w:bCs/>
                <w:sz w:val="20"/>
                <w:szCs w:val="20"/>
              </w:rPr>
              <w:t>$0</w:t>
            </w:r>
          </w:p>
        </w:tc>
        <w:tc>
          <w:tcPr>
            <w:tcW w:w="1754" w:type="dxa"/>
            <w:tcBorders>
              <w:top w:val="single" w:sz="8" w:space="0" w:color="000000"/>
              <w:left w:val="single" w:sz="8" w:space="0" w:color="000000"/>
              <w:bottom w:val="single" w:sz="6" w:space="0" w:color="FFFFFF"/>
              <w:right w:val="double" w:sz="6" w:space="0" w:color="000000"/>
            </w:tcBorders>
            <w:vAlign w:val="center"/>
            <w:hideMark/>
          </w:tcPr>
          <w:p w14:paraId="007A524E" w14:textId="77777777" w:rsidR="00604104" w:rsidRDefault="00604104">
            <w:pPr>
              <w:jc w:val="center"/>
              <w:rPr>
                <w:bCs/>
                <w:sz w:val="20"/>
                <w:szCs w:val="20"/>
              </w:rPr>
            </w:pPr>
            <w:r>
              <w:rPr>
                <w:bCs/>
                <w:sz w:val="20"/>
                <w:szCs w:val="20"/>
              </w:rPr>
              <w:t>$0</w:t>
            </w:r>
          </w:p>
        </w:tc>
      </w:tr>
      <w:tr w:rsidR="00604104" w14:paraId="160EF803" w14:textId="77777777" w:rsidTr="00604104">
        <w:trPr>
          <w:jc w:val="center"/>
        </w:trPr>
        <w:tc>
          <w:tcPr>
            <w:tcW w:w="1692" w:type="dxa"/>
            <w:tcBorders>
              <w:top w:val="single" w:sz="8" w:space="0" w:color="000000"/>
              <w:left w:val="double" w:sz="6" w:space="0" w:color="000000"/>
              <w:bottom w:val="single" w:sz="8" w:space="0" w:color="000000"/>
              <w:right w:val="single" w:sz="6" w:space="0" w:color="FFFFFF"/>
            </w:tcBorders>
            <w:vAlign w:val="center"/>
            <w:hideMark/>
          </w:tcPr>
          <w:p w14:paraId="6E6DF4CF" w14:textId="77777777" w:rsidR="00604104" w:rsidRDefault="00604104">
            <w:pPr>
              <w:spacing w:after="58"/>
              <w:jc w:val="center"/>
              <w:rPr>
                <w:b/>
                <w:bCs/>
                <w:sz w:val="20"/>
                <w:szCs w:val="20"/>
              </w:rPr>
            </w:pPr>
            <w:r>
              <w:rPr>
                <w:b/>
                <w:bCs/>
                <w:sz w:val="20"/>
                <w:szCs w:val="20"/>
              </w:rPr>
              <w:t>Net</w:t>
            </w:r>
          </w:p>
        </w:tc>
        <w:tc>
          <w:tcPr>
            <w:tcW w:w="1754" w:type="dxa"/>
            <w:tcBorders>
              <w:top w:val="single" w:sz="8" w:space="0" w:color="000000"/>
              <w:left w:val="single" w:sz="8" w:space="0" w:color="000000"/>
              <w:bottom w:val="single" w:sz="8" w:space="0" w:color="000000"/>
              <w:right w:val="single" w:sz="6" w:space="0" w:color="FFFFFF"/>
            </w:tcBorders>
            <w:vAlign w:val="center"/>
            <w:hideMark/>
          </w:tcPr>
          <w:p w14:paraId="0B55AD9A" w14:textId="77777777" w:rsidR="00604104" w:rsidRDefault="00604104">
            <w:pPr>
              <w:jc w:val="center"/>
              <w:rPr>
                <w:bCs/>
                <w:sz w:val="20"/>
                <w:szCs w:val="20"/>
              </w:rPr>
            </w:pPr>
            <w:r>
              <w:rPr>
                <w:bCs/>
                <w:sz w:val="20"/>
                <w:szCs w:val="20"/>
              </w:rPr>
              <w:t>$0</w:t>
            </w:r>
          </w:p>
        </w:tc>
        <w:tc>
          <w:tcPr>
            <w:tcW w:w="1754" w:type="dxa"/>
            <w:tcBorders>
              <w:top w:val="single" w:sz="8" w:space="0" w:color="000000"/>
              <w:left w:val="single" w:sz="8" w:space="0" w:color="000000"/>
              <w:bottom w:val="single" w:sz="8" w:space="0" w:color="000000"/>
              <w:right w:val="single" w:sz="6" w:space="0" w:color="FFFFFF"/>
            </w:tcBorders>
            <w:vAlign w:val="center"/>
            <w:hideMark/>
          </w:tcPr>
          <w:p w14:paraId="70F19EEB" w14:textId="77777777" w:rsidR="00604104" w:rsidRDefault="00604104">
            <w:pPr>
              <w:jc w:val="center"/>
              <w:rPr>
                <w:bCs/>
                <w:sz w:val="20"/>
                <w:szCs w:val="20"/>
              </w:rPr>
            </w:pPr>
            <w:r>
              <w:rPr>
                <w:bCs/>
                <w:sz w:val="20"/>
                <w:szCs w:val="20"/>
              </w:rPr>
              <w:t>$0</w:t>
            </w:r>
          </w:p>
        </w:tc>
        <w:tc>
          <w:tcPr>
            <w:tcW w:w="1754" w:type="dxa"/>
            <w:tcBorders>
              <w:top w:val="single" w:sz="8" w:space="0" w:color="000000"/>
              <w:left w:val="single" w:sz="8" w:space="0" w:color="000000"/>
              <w:bottom w:val="single" w:sz="8" w:space="0" w:color="000000"/>
              <w:right w:val="double" w:sz="6" w:space="0" w:color="000000"/>
            </w:tcBorders>
            <w:vAlign w:val="center"/>
            <w:hideMark/>
          </w:tcPr>
          <w:p w14:paraId="006AA37F" w14:textId="77777777" w:rsidR="00604104" w:rsidRDefault="00604104">
            <w:pPr>
              <w:jc w:val="center"/>
              <w:rPr>
                <w:bCs/>
                <w:sz w:val="20"/>
                <w:szCs w:val="20"/>
              </w:rPr>
            </w:pPr>
            <w:r>
              <w:rPr>
                <w:bCs/>
                <w:sz w:val="20"/>
                <w:szCs w:val="20"/>
              </w:rPr>
              <w:t>$0</w:t>
            </w:r>
          </w:p>
        </w:tc>
      </w:tr>
    </w:tbl>
    <w:p w14:paraId="574D3965" w14:textId="77777777" w:rsidR="00604104" w:rsidRDefault="00604104" w:rsidP="00604104">
      <w:pPr>
        <w:rPr>
          <w:sz w:val="21"/>
          <w:szCs w:val="21"/>
        </w:rPr>
      </w:pPr>
    </w:p>
    <w:p w14:paraId="489FC6C6" w14:textId="77777777" w:rsidR="00604104" w:rsidRDefault="00604104" w:rsidP="00604104">
      <w:pPr>
        <w:rPr>
          <w:spacing w:val="-3"/>
        </w:rPr>
      </w:pPr>
      <w:r>
        <w:rPr>
          <w:b/>
          <w:smallCaps/>
        </w:rPr>
        <w:t xml:space="preserve">Impact on Revenues: </w:t>
      </w:r>
      <w:r>
        <w:rPr>
          <w:spacing w:val="-3"/>
        </w:rPr>
        <w:t xml:space="preserve">It is anticipated that this legislation would </w:t>
      </w:r>
      <w:r w:rsidR="007C3EBD">
        <w:rPr>
          <w:spacing w:val="-3"/>
        </w:rPr>
        <w:t>not affect revenues.</w:t>
      </w:r>
    </w:p>
    <w:p w14:paraId="34996B74" w14:textId="77777777" w:rsidR="00604104" w:rsidRDefault="00604104" w:rsidP="00604104">
      <w:pPr>
        <w:rPr>
          <w:b/>
          <w:smallCaps/>
          <w:sz w:val="22"/>
          <w:szCs w:val="22"/>
        </w:rPr>
      </w:pPr>
    </w:p>
    <w:p w14:paraId="7CBC0C97" w14:textId="2938088B" w:rsidR="00604104" w:rsidRDefault="00604104" w:rsidP="007C3EBD">
      <w:r>
        <w:rPr>
          <w:b/>
          <w:smallCaps/>
        </w:rPr>
        <w:t>Impact on Expenditures:</w:t>
      </w:r>
      <w:r>
        <w:t xml:space="preserve"> It is anticipated that there would be </w:t>
      </w:r>
      <w:r w:rsidR="007C3EBD">
        <w:t xml:space="preserve">no impact on expenditures resulting from the enactment of this legislation because DOHMH would utilize existing resources to fulfill the requirements. </w:t>
      </w:r>
    </w:p>
    <w:p w14:paraId="553BF9AF" w14:textId="77777777" w:rsidR="00604104" w:rsidRDefault="00604104" w:rsidP="00604104"/>
    <w:p w14:paraId="78E6A016" w14:textId="77777777" w:rsidR="00604104" w:rsidRDefault="00604104" w:rsidP="00604104">
      <w:r>
        <w:rPr>
          <w:b/>
          <w:smallCaps/>
        </w:rPr>
        <w:t>Source of Funds To Cover Estimated Costs:</w:t>
      </w:r>
      <w:r>
        <w:t xml:space="preserve"> </w:t>
      </w:r>
      <w:r>
        <w:rPr>
          <w:bCs/>
          <w:lang w:eastAsia="zh-CN"/>
        </w:rPr>
        <w:t>General Fund</w:t>
      </w:r>
    </w:p>
    <w:p w14:paraId="42987350" w14:textId="77777777" w:rsidR="00604104" w:rsidRDefault="00604104" w:rsidP="00604104">
      <w:pPr>
        <w:spacing w:before="240"/>
      </w:pPr>
      <w:r>
        <w:rPr>
          <w:b/>
          <w:smallCaps/>
        </w:rPr>
        <w:t>Source of Information:</w:t>
      </w:r>
      <w:r>
        <w:t xml:space="preserve"> </w:t>
      </w:r>
      <w:r>
        <w:tab/>
        <w:t>New York City Council Finance Division</w:t>
      </w:r>
    </w:p>
    <w:p w14:paraId="46D7757C" w14:textId="37E0C2EA" w:rsidR="00954004" w:rsidRPr="00954004" w:rsidRDefault="00954004" w:rsidP="007C3EBD">
      <w:pPr>
        <w:spacing w:before="240"/>
        <w:rPr>
          <w:bCs/>
        </w:rPr>
      </w:pPr>
      <w:r>
        <w:rPr>
          <w:b/>
          <w:smallCaps/>
        </w:rPr>
        <w:t xml:space="preserve">Estimate Prepared By: </w:t>
      </w:r>
      <w:r w:rsidR="00604104">
        <w:rPr>
          <w:b/>
          <w:smallCaps/>
        </w:rPr>
        <w:tab/>
      </w:r>
      <w:r w:rsidR="00604104">
        <w:rPr>
          <w:bCs/>
        </w:rPr>
        <w:t xml:space="preserve">Crilhien R. Francisco, </w:t>
      </w:r>
      <w:r w:rsidR="004E110D">
        <w:rPr>
          <w:bCs/>
        </w:rPr>
        <w:t>Ass</w:t>
      </w:r>
      <w:r w:rsidR="00572631">
        <w:rPr>
          <w:bCs/>
        </w:rPr>
        <w:t>istant Director</w:t>
      </w:r>
      <w:r w:rsidR="00604104">
        <w:rPr>
          <w:bCs/>
        </w:rPr>
        <w:t xml:space="preserve">, NYC Council Finance Division </w:t>
      </w:r>
    </w:p>
    <w:p w14:paraId="52C2FFC5" w14:textId="77777777" w:rsidR="00604104" w:rsidRDefault="00604104" w:rsidP="00604104">
      <w:r>
        <w:rPr>
          <w:b/>
          <w:smallCaps/>
        </w:rPr>
        <w:tab/>
      </w:r>
      <w:r>
        <w:rPr>
          <w:b/>
          <w:smallCaps/>
        </w:rPr>
        <w:tab/>
      </w:r>
      <w:r>
        <w:rPr>
          <w:b/>
          <w:smallCaps/>
        </w:rPr>
        <w:tab/>
      </w:r>
      <w:r>
        <w:rPr>
          <w:b/>
          <w:smallCaps/>
        </w:rPr>
        <w:tab/>
      </w:r>
      <w:r>
        <w:rPr>
          <w:b/>
          <w:smallCaps/>
        </w:rPr>
        <w:tab/>
      </w:r>
    </w:p>
    <w:p w14:paraId="793E60AD" w14:textId="77777777" w:rsidR="00572631" w:rsidRDefault="00604104" w:rsidP="00572631">
      <w:pPr>
        <w:ind w:left="2880" w:hanging="2880"/>
      </w:pPr>
      <w:r>
        <w:rPr>
          <w:b/>
          <w:smallCaps/>
        </w:rPr>
        <w:t>Estimate Reviewed By:</w:t>
      </w:r>
      <w:r>
        <w:rPr>
          <w:b/>
          <w:smallCaps/>
        </w:rPr>
        <w:tab/>
      </w:r>
      <w:r w:rsidR="00572631">
        <w:t xml:space="preserve">Kathleen Ahn, Counsel, </w:t>
      </w:r>
      <w:r w:rsidR="00572631">
        <w:rPr>
          <w:bCs/>
        </w:rPr>
        <w:t>NYC Council Finance Division</w:t>
      </w:r>
    </w:p>
    <w:p w14:paraId="690FCC99" w14:textId="77777777" w:rsidR="00572631" w:rsidRDefault="00572631" w:rsidP="00572631">
      <w:pPr>
        <w:ind w:left="2880"/>
      </w:pPr>
      <w:r>
        <w:t>Jonathan Rosenberg, Managing Deputy Director, NYC Council Finance Division</w:t>
      </w:r>
    </w:p>
    <w:p w14:paraId="77AA2DEC" w14:textId="754FCC70" w:rsidR="00604104" w:rsidRPr="00B66522" w:rsidRDefault="00604104" w:rsidP="00604104">
      <w:pPr>
        <w:spacing w:before="240" w:after="240"/>
        <w:rPr>
          <w:color w:val="000000" w:themeColor="text1"/>
          <w:szCs w:val="22"/>
        </w:rPr>
      </w:pPr>
      <w:r w:rsidRPr="00B66522">
        <w:rPr>
          <w:b/>
          <w:smallCaps/>
          <w:color w:val="000000" w:themeColor="text1"/>
        </w:rPr>
        <w:t>Legislative History:</w:t>
      </w:r>
      <w:r w:rsidRPr="00B66522">
        <w:rPr>
          <w:color w:val="000000" w:themeColor="text1"/>
          <w:szCs w:val="22"/>
        </w:rPr>
        <w:t xml:space="preserve"> The legislation was introduced to the full Council on</w:t>
      </w:r>
      <w:r w:rsidR="00B66522" w:rsidRPr="00B66522">
        <w:rPr>
          <w:color w:val="000000" w:themeColor="text1"/>
          <w:szCs w:val="22"/>
        </w:rPr>
        <w:t xml:space="preserve"> May</w:t>
      </w:r>
      <w:r w:rsidR="00C27EA8" w:rsidRPr="00B66522">
        <w:rPr>
          <w:color w:val="000000" w:themeColor="text1"/>
          <w:szCs w:val="22"/>
        </w:rPr>
        <w:t xml:space="preserve"> 2</w:t>
      </w:r>
      <w:r w:rsidR="00B66522" w:rsidRPr="00B66522">
        <w:rPr>
          <w:color w:val="000000" w:themeColor="text1"/>
          <w:szCs w:val="22"/>
        </w:rPr>
        <w:t>6</w:t>
      </w:r>
      <w:r w:rsidR="00C27EA8" w:rsidRPr="00B66522">
        <w:rPr>
          <w:color w:val="000000" w:themeColor="text1"/>
          <w:szCs w:val="22"/>
        </w:rPr>
        <w:t xml:space="preserve">, </w:t>
      </w:r>
      <w:r w:rsidR="00B66522" w:rsidRPr="00B66522">
        <w:rPr>
          <w:color w:val="000000" w:themeColor="text1"/>
          <w:szCs w:val="22"/>
        </w:rPr>
        <w:t>2022,</w:t>
      </w:r>
      <w:r w:rsidR="00C27EA8" w:rsidRPr="00B66522">
        <w:rPr>
          <w:color w:val="000000" w:themeColor="text1"/>
          <w:szCs w:val="22"/>
        </w:rPr>
        <w:t xml:space="preserve"> as Intro. 4</w:t>
      </w:r>
      <w:r w:rsidR="00B66522" w:rsidRPr="00B66522">
        <w:rPr>
          <w:color w:val="000000" w:themeColor="text1"/>
          <w:szCs w:val="22"/>
        </w:rPr>
        <w:t>77</w:t>
      </w:r>
      <w:r w:rsidRPr="00B66522">
        <w:rPr>
          <w:color w:val="000000" w:themeColor="text1"/>
          <w:szCs w:val="22"/>
        </w:rPr>
        <w:t xml:space="preserve"> and referred to the Committee on Women and Gender Equity. The legislation was considered by the Committee on Women and Gender Equity at a hearing held on Ju</w:t>
      </w:r>
      <w:r w:rsidR="00B66522" w:rsidRPr="00B66522">
        <w:rPr>
          <w:color w:val="000000" w:themeColor="text1"/>
          <w:szCs w:val="22"/>
        </w:rPr>
        <w:t>ne</w:t>
      </w:r>
      <w:r w:rsidRPr="00B66522">
        <w:rPr>
          <w:color w:val="000000" w:themeColor="text1"/>
          <w:szCs w:val="22"/>
        </w:rPr>
        <w:t xml:space="preserve"> </w:t>
      </w:r>
      <w:r w:rsidR="00B66522" w:rsidRPr="00B66522">
        <w:rPr>
          <w:color w:val="000000" w:themeColor="text1"/>
          <w:szCs w:val="22"/>
        </w:rPr>
        <w:t>29</w:t>
      </w:r>
      <w:r w:rsidRPr="00B66522">
        <w:rPr>
          <w:color w:val="000000" w:themeColor="text1"/>
          <w:szCs w:val="22"/>
        </w:rPr>
        <w:t xml:space="preserve">, </w:t>
      </w:r>
      <w:r w:rsidR="00B66522" w:rsidRPr="00B66522">
        <w:rPr>
          <w:color w:val="000000" w:themeColor="text1"/>
          <w:szCs w:val="22"/>
        </w:rPr>
        <w:t>2022,</w:t>
      </w:r>
      <w:r w:rsidRPr="00B66522">
        <w:rPr>
          <w:color w:val="000000" w:themeColor="text1"/>
          <w:szCs w:val="22"/>
        </w:rPr>
        <w:t xml:space="preserve"> and was subsequently amended, and the ame</w:t>
      </w:r>
      <w:r w:rsidR="00C27EA8" w:rsidRPr="00B66522">
        <w:rPr>
          <w:color w:val="000000" w:themeColor="text1"/>
          <w:szCs w:val="22"/>
        </w:rPr>
        <w:t>nded version Proposed Intro. 4</w:t>
      </w:r>
      <w:r w:rsidR="00B66522" w:rsidRPr="00B66522">
        <w:rPr>
          <w:color w:val="000000" w:themeColor="text1"/>
          <w:szCs w:val="22"/>
        </w:rPr>
        <w:t>77</w:t>
      </w:r>
      <w:r w:rsidRPr="00B66522">
        <w:rPr>
          <w:color w:val="000000" w:themeColor="text1"/>
          <w:szCs w:val="22"/>
        </w:rPr>
        <w:t>-A will be considered by the Committee on</w:t>
      </w:r>
      <w:r w:rsidR="007E74B3" w:rsidRPr="00B66522">
        <w:rPr>
          <w:color w:val="000000" w:themeColor="text1"/>
          <w:szCs w:val="22"/>
        </w:rPr>
        <w:t xml:space="preserve"> W</w:t>
      </w:r>
      <w:r w:rsidR="009B05F5" w:rsidRPr="00B66522">
        <w:rPr>
          <w:color w:val="000000" w:themeColor="text1"/>
          <w:szCs w:val="22"/>
        </w:rPr>
        <w:t>omen and Gender Equity</w:t>
      </w:r>
      <w:r w:rsidR="00FB49AE" w:rsidRPr="00B66522">
        <w:rPr>
          <w:color w:val="000000" w:themeColor="text1"/>
          <w:szCs w:val="22"/>
        </w:rPr>
        <w:t xml:space="preserve"> on </w:t>
      </w:r>
      <w:r w:rsidR="00B66522" w:rsidRPr="00B66522">
        <w:rPr>
          <w:color w:val="000000" w:themeColor="text1"/>
          <w:szCs w:val="22"/>
        </w:rPr>
        <w:t>October</w:t>
      </w:r>
      <w:r w:rsidR="00FB49AE" w:rsidRPr="00B66522">
        <w:rPr>
          <w:color w:val="000000" w:themeColor="text1"/>
          <w:szCs w:val="22"/>
        </w:rPr>
        <w:t xml:space="preserve"> </w:t>
      </w:r>
      <w:r w:rsidR="00B66522" w:rsidRPr="00B66522">
        <w:rPr>
          <w:color w:val="000000" w:themeColor="text1"/>
          <w:szCs w:val="22"/>
        </w:rPr>
        <w:t>12,</w:t>
      </w:r>
      <w:r w:rsidR="00FB49AE" w:rsidRPr="00B66522">
        <w:rPr>
          <w:color w:val="000000" w:themeColor="text1"/>
          <w:szCs w:val="22"/>
        </w:rPr>
        <w:t xml:space="preserve"> 2022</w:t>
      </w:r>
      <w:r w:rsidRPr="00B66522">
        <w:rPr>
          <w:color w:val="000000" w:themeColor="text1"/>
          <w:szCs w:val="22"/>
        </w:rPr>
        <w:t>. Upon successful vote by the Committee on</w:t>
      </w:r>
      <w:r w:rsidRPr="00B66522">
        <w:rPr>
          <w:color w:val="000000" w:themeColor="text1"/>
        </w:rPr>
        <w:t xml:space="preserve"> </w:t>
      </w:r>
      <w:r w:rsidRPr="00B66522">
        <w:rPr>
          <w:color w:val="000000" w:themeColor="text1"/>
          <w:szCs w:val="22"/>
        </w:rPr>
        <w:t>Women and Gender</w:t>
      </w:r>
      <w:r w:rsidR="00C27EA8" w:rsidRPr="00B66522">
        <w:rPr>
          <w:color w:val="000000" w:themeColor="text1"/>
          <w:szCs w:val="22"/>
        </w:rPr>
        <w:t xml:space="preserve"> Equity, Proposed Intro. No. 4</w:t>
      </w:r>
      <w:r w:rsidR="00B66522" w:rsidRPr="00B66522">
        <w:rPr>
          <w:color w:val="000000" w:themeColor="text1"/>
          <w:szCs w:val="22"/>
        </w:rPr>
        <w:t>77</w:t>
      </w:r>
      <w:r w:rsidRPr="00B66522">
        <w:rPr>
          <w:color w:val="000000" w:themeColor="text1"/>
          <w:szCs w:val="22"/>
        </w:rPr>
        <w:t>-A will be submitted to the</w:t>
      </w:r>
      <w:r w:rsidR="009B05F5" w:rsidRPr="00B66522">
        <w:rPr>
          <w:color w:val="000000" w:themeColor="text1"/>
          <w:szCs w:val="22"/>
        </w:rPr>
        <w:t xml:space="preserve"> full Council for a vote</w:t>
      </w:r>
      <w:r w:rsidR="00FB49AE" w:rsidRPr="00B66522">
        <w:rPr>
          <w:color w:val="000000" w:themeColor="text1"/>
          <w:szCs w:val="22"/>
        </w:rPr>
        <w:t xml:space="preserve"> on </w:t>
      </w:r>
      <w:r w:rsidR="00B66522" w:rsidRPr="00B66522">
        <w:rPr>
          <w:color w:val="000000" w:themeColor="text1"/>
          <w:szCs w:val="22"/>
        </w:rPr>
        <w:t>October 12,</w:t>
      </w:r>
      <w:r w:rsidR="00FB49AE" w:rsidRPr="00B66522">
        <w:rPr>
          <w:color w:val="000000" w:themeColor="text1"/>
          <w:szCs w:val="22"/>
        </w:rPr>
        <w:t xml:space="preserve"> 2022</w:t>
      </w:r>
      <w:r w:rsidRPr="00B66522">
        <w:rPr>
          <w:color w:val="000000" w:themeColor="text1"/>
          <w:szCs w:val="22"/>
        </w:rPr>
        <w:t>.</w:t>
      </w:r>
    </w:p>
    <w:p w14:paraId="56B0AE05" w14:textId="580EA7CA" w:rsidR="00604104" w:rsidRDefault="00604104" w:rsidP="00604104">
      <w:pPr>
        <w:spacing w:before="120"/>
      </w:pPr>
      <w:r>
        <w:rPr>
          <w:b/>
          <w:smallCaps/>
        </w:rPr>
        <w:t>Date Prepared:</w:t>
      </w:r>
      <w:r w:rsidR="008621DA">
        <w:t xml:space="preserve"> </w:t>
      </w:r>
      <w:r w:rsidR="00B66522">
        <w:t>October 7</w:t>
      </w:r>
      <w:r>
        <w:t>, 2022</w:t>
      </w:r>
    </w:p>
    <w:p w14:paraId="5310D640" w14:textId="4547E26C" w:rsidR="009A6604" w:rsidRDefault="009A6604"/>
    <w:sectPr w:rsidR="009A6604" w:rsidSect="00D61240">
      <w:footerReference w:type="default" r:id="rId10"/>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451038" w14:textId="77777777" w:rsidR="00A66540" w:rsidRDefault="00A66540" w:rsidP="008873B4">
      <w:r>
        <w:separator/>
      </w:r>
    </w:p>
  </w:endnote>
  <w:endnote w:type="continuationSeparator" w:id="0">
    <w:p w14:paraId="0C1A5D7C" w14:textId="77777777" w:rsidR="00A66540" w:rsidRDefault="00A66540" w:rsidP="008873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718056" w14:textId="40DCC037" w:rsidR="008873B4" w:rsidRPr="00D61240" w:rsidRDefault="008873B4" w:rsidP="00D61240">
    <w:pPr>
      <w:pBdr>
        <w:top w:val="thinThickSmallGap" w:sz="24" w:space="1" w:color="622423"/>
      </w:pBdr>
      <w:tabs>
        <w:tab w:val="center" w:pos="4680"/>
        <w:tab w:val="right" w:pos="9360"/>
      </w:tabs>
      <w:rPr>
        <w:rFonts w:ascii="Cambria" w:hAnsi="Cambria"/>
      </w:rPr>
    </w:pPr>
    <w:r w:rsidRPr="008873B4">
      <w:rPr>
        <w:rFonts w:ascii="Cambria" w:hAnsi="Cambria"/>
      </w:rPr>
      <w:t>Proposed Intro. 4</w:t>
    </w:r>
    <w:r w:rsidR="00303A40">
      <w:rPr>
        <w:rFonts w:ascii="Cambria" w:hAnsi="Cambria"/>
      </w:rPr>
      <w:t>77</w:t>
    </w:r>
    <w:r w:rsidRPr="008873B4">
      <w:rPr>
        <w:rFonts w:ascii="Cambria" w:hAnsi="Cambria"/>
      </w:rPr>
      <w:t>-A</w:t>
    </w:r>
    <w:r w:rsidRPr="008873B4">
      <w:rPr>
        <w:rFonts w:ascii="Cambria" w:hAnsi="Cambria"/>
      </w:rPr>
      <w:ptab w:relativeTo="margin" w:alignment="right" w:leader="none"/>
    </w:r>
    <w:r w:rsidRPr="008873B4">
      <w:rPr>
        <w:rFonts w:ascii="Cambria" w:hAnsi="Cambria"/>
      </w:rPr>
      <w:t xml:space="preserve">Page </w:t>
    </w:r>
    <w:r w:rsidRPr="008873B4">
      <w:rPr>
        <w:rFonts w:ascii="Calibri" w:hAnsi="Calibri"/>
      </w:rPr>
      <w:fldChar w:fldCharType="begin"/>
    </w:r>
    <w:r w:rsidRPr="008873B4">
      <w:instrText xml:space="preserve"> PAGE   \* MERGEFORMAT </w:instrText>
    </w:r>
    <w:r w:rsidRPr="008873B4">
      <w:rPr>
        <w:rFonts w:ascii="Calibri" w:hAnsi="Calibri"/>
      </w:rPr>
      <w:fldChar w:fldCharType="separate"/>
    </w:r>
    <w:r w:rsidR="00992B10">
      <w:rPr>
        <w:noProof/>
      </w:rPr>
      <w:t>2</w:t>
    </w:r>
    <w:r w:rsidRPr="008873B4">
      <w:rPr>
        <w:rFonts w:ascii="Cambria" w:hAnsi="Cambria"/>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12C8A3" w14:textId="77777777" w:rsidR="00A66540" w:rsidRDefault="00A66540" w:rsidP="008873B4">
      <w:r>
        <w:separator/>
      </w:r>
    </w:p>
  </w:footnote>
  <w:footnote w:type="continuationSeparator" w:id="0">
    <w:p w14:paraId="6432FDD8" w14:textId="77777777" w:rsidR="00A66540" w:rsidRDefault="00A66540" w:rsidP="008873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104"/>
    <w:rsid w:val="00170AEF"/>
    <w:rsid w:val="002126A1"/>
    <w:rsid w:val="00257DD3"/>
    <w:rsid w:val="00300481"/>
    <w:rsid w:val="00303A40"/>
    <w:rsid w:val="003A6260"/>
    <w:rsid w:val="0048544B"/>
    <w:rsid w:val="004B02E1"/>
    <w:rsid w:val="004E110D"/>
    <w:rsid w:val="004F309F"/>
    <w:rsid w:val="00572631"/>
    <w:rsid w:val="005D2D03"/>
    <w:rsid w:val="00604104"/>
    <w:rsid w:val="007C3EBD"/>
    <w:rsid w:val="007E74B3"/>
    <w:rsid w:val="007F78FD"/>
    <w:rsid w:val="008621DA"/>
    <w:rsid w:val="008873B4"/>
    <w:rsid w:val="008F5D87"/>
    <w:rsid w:val="00954004"/>
    <w:rsid w:val="00992B10"/>
    <w:rsid w:val="009A6604"/>
    <w:rsid w:val="009B05F5"/>
    <w:rsid w:val="00A66540"/>
    <w:rsid w:val="00B66522"/>
    <w:rsid w:val="00B92F0E"/>
    <w:rsid w:val="00C27EA8"/>
    <w:rsid w:val="00CA2521"/>
    <w:rsid w:val="00D61240"/>
    <w:rsid w:val="00EC6F73"/>
    <w:rsid w:val="00FA6F13"/>
    <w:rsid w:val="00FB49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47754"/>
  <w15:chartTrackingRefBased/>
  <w15:docId w15:val="{D04B677B-5A7A-4EBE-877B-A2CF69F5C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4104"/>
    <w:pPr>
      <w:spacing w:after="0" w:line="240" w:lineRule="auto"/>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8873B4"/>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873B4"/>
    <w:pPr>
      <w:tabs>
        <w:tab w:val="center" w:pos="4680"/>
        <w:tab w:val="right" w:pos="9360"/>
      </w:tabs>
    </w:pPr>
  </w:style>
  <w:style w:type="character" w:customStyle="1" w:styleId="HeaderChar">
    <w:name w:val="Header Char"/>
    <w:basedOn w:val="DefaultParagraphFont"/>
    <w:link w:val="Header"/>
    <w:uiPriority w:val="99"/>
    <w:rsid w:val="008873B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873B4"/>
    <w:pPr>
      <w:tabs>
        <w:tab w:val="center" w:pos="4680"/>
        <w:tab w:val="right" w:pos="9360"/>
      </w:tabs>
    </w:pPr>
  </w:style>
  <w:style w:type="character" w:customStyle="1" w:styleId="FooterChar">
    <w:name w:val="Footer Char"/>
    <w:basedOn w:val="DefaultParagraphFont"/>
    <w:link w:val="Footer"/>
    <w:uiPriority w:val="99"/>
    <w:rsid w:val="008873B4"/>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2126A1"/>
    <w:rPr>
      <w:sz w:val="16"/>
      <w:szCs w:val="16"/>
    </w:rPr>
  </w:style>
  <w:style w:type="paragraph" w:styleId="CommentText">
    <w:name w:val="annotation text"/>
    <w:basedOn w:val="Normal"/>
    <w:link w:val="CommentTextChar"/>
    <w:uiPriority w:val="99"/>
    <w:unhideWhenUsed/>
    <w:rsid w:val="002126A1"/>
    <w:rPr>
      <w:sz w:val="20"/>
      <w:szCs w:val="20"/>
    </w:rPr>
  </w:style>
  <w:style w:type="character" w:customStyle="1" w:styleId="CommentTextChar">
    <w:name w:val="Comment Text Char"/>
    <w:basedOn w:val="DefaultParagraphFont"/>
    <w:link w:val="CommentText"/>
    <w:uiPriority w:val="99"/>
    <w:rsid w:val="002126A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126A1"/>
    <w:rPr>
      <w:b/>
      <w:bCs/>
    </w:rPr>
  </w:style>
  <w:style w:type="character" w:customStyle="1" w:styleId="CommentSubjectChar">
    <w:name w:val="Comment Subject Char"/>
    <w:basedOn w:val="CommentTextChar"/>
    <w:link w:val="CommentSubject"/>
    <w:uiPriority w:val="99"/>
    <w:semiHidden/>
    <w:rsid w:val="002126A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2126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26A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8033951">
      <w:bodyDiv w:val="1"/>
      <w:marLeft w:val="0"/>
      <w:marRight w:val="0"/>
      <w:marTop w:val="0"/>
      <w:marBottom w:val="0"/>
      <w:divBdr>
        <w:top w:val="none" w:sz="0" w:space="0" w:color="auto"/>
        <w:left w:val="none" w:sz="0" w:space="0" w:color="auto"/>
        <w:bottom w:val="none" w:sz="0" w:space="0" w:color="auto"/>
        <w:right w:val="none" w:sz="0" w:space="0" w:color="auto"/>
      </w:divBdr>
    </w:div>
    <w:div w:id="1237714906">
      <w:bodyDiv w:val="1"/>
      <w:marLeft w:val="0"/>
      <w:marRight w:val="0"/>
      <w:marTop w:val="0"/>
      <w:marBottom w:val="0"/>
      <w:divBdr>
        <w:top w:val="none" w:sz="0" w:space="0" w:color="auto"/>
        <w:left w:val="none" w:sz="0" w:space="0" w:color="auto"/>
        <w:bottom w:val="none" w:sz="0" w:space="0" w:color="auto"/>
        <w:right w:val="none" w:sz="0" w:space="0" w:color="auto"/>
      </w:divBdr>
    </w:div>
    <w:div w:id="1439835311">
      <w:bodyDiv w:val="1"/>
      <w:marLeft w:val="0"/>
      <w:marRight w:val="0"/>
      <w:marTop w:val="0"/>
      <w:marBottom w:val="0"/>
      <w:divBdr>
        <w:top w:val="none" w:sz="0" w:space="0" w:color="auto"/>
        <w:left w:val="none" w:sz="0" w:space="0" w:color="auto"/>
        <w:bottom w:val="none" w:sz="0" w:space="0" w:color="auto"/>
        <w:right w:val="none" w:sz="0" w:space="0" w:color="auto"/>
      </w:divBdr>
    </w:div>
    <w:div w:id="1816406638">
      <w:bodyDiv w:val="1"/>
      <w:marLeft w:val="0"/>
      <w:marRight w:val="0"/>
      <w:marTop w:val="0"/>
      <w:marBottom w:val="0"/>
      <w:divBdr>
        <w:top w:val="none" w:sz="0" w:space="0" w:color="auto"/>
        <w:left w:val="none" w:sz="0" w:space="0" w:color="auto"/>
        <w:bottom w:val="none" w:sz="0" w:space="0" w:color="auto"/>
        <w:right w:val="none" w:sz="0" w:space="0" w:color="auto"/>
      </w:divBdr>
    </w:div>
    <w:div w:id="2094474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7714F58CDFAFD4E8F44BB2F908672EE" ma:contentTypeVersion="12" ma:contentTypeDescription="Create a new document." ma:contentTypeScope="" ma:versionID="36c88814f5728564373292d8446a4853">
  <xsd:schema xmlns:xsd="http://www.w3.org/2001/XMLSchema" xmlns:xs="http://www.w3.org/2001/XMLSchema" xmlns:p="http://schemas.microsoft.com/office/2006/metadata/properties" xmlns:ns3="6643d114-9f0b-4f64-97b5-776969dd6e84" xmlns:ns4="e439e139-2b0c-4fc1-9916-e7e9fc29bb32" targetNamespace="http://schemas.microsoft.com/office/2006/metadata/properties" ma:root="true" ma:fieldsID="425bd479db79098a33c69f7b21b8120a" ns3:_="" ns4:_="">
    <xsd:import namespace="6643d114-9f0b-4f64-97b5-776969dd6e84"/>
    <xsd:import namespace="e439e139-2b0c-4fc1-9916-e7e9fc29bb3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43d114-9f0b-4f64-97b5-776969dd6e8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439e139-2b0c-4fc1-9916-e7e9fc29bb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C8A663-4C82-4C51-B4AA-D709B2E4516E}">
  <ds:schemaRefs>
    <ds:schemaRef ds:uri="http://purl.org/dc/dcmitype/"/>
    <ds:schemaRef ds:uri="http://schemas.microsoft.com/office/infopath/2007/PartnerControls"/>
    <ds:schemaRef ds:uri="6643d114-9f0b-4f64-97b5-776969dd6e84"/>
    <ds:schemaRef ds:uri="http://schemas.microsoft.com/office/2006/metadata/properties"/>
    <ds:schemaRef ds:uri="http://purl.org/dc/terms/"/>
    <ds:schemaRef ds:uri="http://schemas.microsoft.com/office/2006/documentManagement/types"/>
    <ds:schemaRef ds:uri="http://schemas.openxmlformats.org/package/2006/metadata/core-properties"/>
    <ds:schemaRef ds:uri="e439e139-2b0c-4fc1-9916-e7e9fc29bb32"/>
    <ds:schemaRef ds:uri="http://www.w3.org/XML/1998/namespace"/>
    <ds:schemaRef ds:uri="http://purl.org/dc/elements/1.1/"/>
  </ds:schemaRefs>
</ds:datastoreItem>
</file>

<file path=customXml/itemProps2.xml><?xml version="1.0" encoding="utf-8"?>
<ds:datastoreItem xmlns:ds="http://schemas.openxmlformats.org/officeDocument/2006/customXml" ds:itemID="{74C5FB21-4192-410D-9398-9A44EEE92712}">
  <ds:schemaRefs>
    <ds:schemaRef ds:uri="http://schemas.microsoft.com/sharepoint/v3/contenttype/forms"/>
  </ds:schemaRefs>
</ds:datastoreItem>
</file>

<file path=customXml/itemProps3.xml><?xml version="1.0" encoding="utf-8"?>
<ds:datastoreItem xmlns:ds="http://schemas.openxmlformats.org/officeDocument/2006/customXml" ds:itemID="{262676AA-ADC2-4259-A054-80AC84E630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43d114-9f0b-4f64-97b5-776969dd6e84"/>
    <ds:schemaRef ds:uri="e439e139-2b0c-4fc1-9916-e7e9fc29bb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565</Words>
  <Characters>3221</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3779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NYCCUser</dc:creator>
  <cp:keywords/>
  <dc:description/>
  <cp:lastModifiedBy>DelFranco, Ruthie</cp:lastModifiedBy>
  <cp:revision>2</cp:revision>
  <dcterms:created xsi:type="dcterms:W3CDTF">2022-10-12T13:23:00Z</dcterms:created>
  <dcterms:modified xsi:type="dcterms:W3CDTF">2022-10-12T13:23:00Z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0x01010037714F58CDFAFD4E8F44BB2F908672EE</vt:lpwstr>
  </property>
</Properties>
</file>