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5"/>
      </w:tblGrid>
      <w:tr w:rsidR="004050BF" w14:paraId="070DE010" w14:textId="77777777" w:rsidTr="44BDBE62">
        <w:tc>
          <w:tcPr>
            <w:tcW w:w="3960" w:type="dxa"/>
          </w:tcPr>
          <w:p w14:paraId="5094B226" w14:textId="77777777" w:rsidR="004050BF" w:rsidRPr="00CA2F13" w:rsidRDefault="004050BF" w:rsidP="00DC12FE">
            <w:pPr>
              <w:jc w:val="right"/>
              <w:rPr>
                <w:rFonts w:eastAsia="Arial Unicode MS"/>
                <w:smallCaps/>
                <w:color w:val="000000"/>
                <w:bdr w:val="nil"/>
              </w:rPr>
            </w:pPr>
            <w:r w:rsidRPr="00CA2F13">
              <w:rPr>
                <w:rFonts w:eastAsia="Arial Unicode MS"/>
                <w:smallCaps/>
                <w:color w:val="000000"/>
                <w:sz w:val="20"/>
                <w:szCs w:val="20"/>
                <w:u w:val="single"/>
                <w:bdr w:val="nil"/>
              </w:rPr>
              <w:t>Committee Staff:</w:t>
            </w:r>
          </w:p>
        </w:tc>
        <w:tc>
          <w:tcPr>
            <w:tcW w:w="3415" w:type="dxa"/>
          </w:tcPr>
          <w:p w14:paraId="738346A6" w14:textId="4E5AADF6" w:rsidR="004050BF" w:rsidRPr="003958E2" w:rsidRDefault="004050BF" w:rsidP="00DC12FE">
            <w:pPr>
              <w:pBdr>
                <w:top w:val="nil"/>
                <w:left w:val="nil"/>
                <w:bottom w:val="nil"/>
                <w:right w:val="nil"/>
                <w:between w:val="nil"/>
                <w:bar w:val="nil"/>
              </w:pBdr>
              <w:jc w:val="right"/>
              <w:rPr>
                <w:rFonts w:eastAsia="Arial Unicode MS"/>
                <w:color w:val="000000"/>
                <w:sz w:val="20"/>
                <w:bdr w:val="nil"/>
              </w:rPr>
            </w:pPr>
            <w:r>
              <w:rPr>
                <w:rFonts w:eastAsia="Arial Unicode MS"/>
                <w:color w:val="000000"/>
                <w:sz w:val="20"/>
                <w:bdr w:val="nil"/>
              </w:rPr>
              <w:t>Christopher Pepe</w:t>
            </w:r>
            <w:r w:rsidRPr="003958E2">
              <w:rPr>
                <w:rFonts w:eastAsia="Arial Unicode MS"/>
                <w:color w:val="000000"/>
                <w:sz w:val="20"/>
                <w:bdr w:val="nil"/>
              </w:rPr>
              <w:t xml:space="preserve">, </w:t>
            </w:r>
            <w:r w:rsidRPr="004050BF">
              <w:rPr>
                <w:rFonts w:eastAsia="Arial Unicode MS"/>
                <w:i/>
                <w:color w:val="000000"/>
                <w:sz w:val="20"/>
                <w:bdr w:val="nil"/>
              </w:rPr>
              <w:t xml:space="preserve">Senior </w:t>
            </w:r>
            <w:r w:rsidRPr="003958E2">
              <w:rPr>
                <w:rFonts w:eastAsia="Arial Unicode MS"/>
                <w:i/>
                <w:color w:val="000000"/>
                <w:sz w:val="20"/>
                <w:bdr w:val="nil"/>
              </w:rPr>
              <w:t>Counsel</w:t>
            </w:r>
          </w:p>
          <w:p w14:paraId="0E3A4F42" w14:textId="77777777" w:rsidR="004050BF" w:rsidRPr="003958E2" w:rsidRDefault="004050BF" w:rsidP="00DC12FE">
            <w:pPr>
              <w:pBdr>
                <w:top w:val="nil"/>
                <w:left w:val="nil"/>
                <w:bottom w:val="nil"/>
                <w:right w:val="nil"/>
                <w:between w:val="nil"/>
                <w:bar w:val="nil"/>
              </w:pBdr>
              <w:jc w:val="right"/>
              <w:rPr>
                <w:rFonts w:eastAsia="Arial Unicode MS"/>
                <w:i/>
                <w:color w:val="000000"/>
                <w:sz w:val="20"/>
                <w:bdr w:val="nil"/>
              </w:rPr>
            </w:pPr>
            <w:proofErr w:type="spellStart"/>
            <w:r w:rsidRPr="003958E2">
              <w:rPr>
                <w:rFonts w:eastAsia="Arial Unicode MS"/>
                <w:color w:val="000000"/>
                <w:sz w:val="20"/>
                <w:bdr w:val="nil"/>
              </w:rPr>
              <w:t>Chloë</w:t>
            </w:r>
            <w:proofErr w:type="spellEnd"/>
            <w:r w:rsidRPr="003958E2">
              <w:rPr>
                <w:rFonts w:eastAsia="Arial Unicode MS"/>
                <w:color w:val="000000"/>
                <w:sz w:val="20"/>
                <w:bdr w:val="nil"/>
              </w:rPr>
              <w:t xml:space="preserve"> Rivera, </w:t>
            </w:r>
            <w:r w:rsidRPr="003958E2">
              <w:rPr>
                <w:rFonts w:eastAsia="Arial Unicode MS"/>
                <w:i/>
                <w:color w:val="000000"/>
                <w:sz w:val="20"/>
                <w:bdr w:val="nil"/>
              </w:rPr>
              <w:t>Senior Policy Analyst</w:t>
            </w:r>
          </w:p>
          <w:p w14:paraId="7C7257D7" w14:textId="350EC8CC" w:rsidR="004050BF" w:rsidRDefault="44315565" w:rsidP="00DC12FE">
            <w:pPr>
              <w:pBdr>
                <w:top w:val="nil"/>
                <w:left w:val="nil"/>
                <w:bottom w:val="nil"/>
                <w:right w:val="nil"/>
                <w:between w:val="nil"/>
                <w:bar w:val="nil"/>
              </w:pBdr>
              <w:jc w:val="right"/>
              <w:rPr>
                <w:rFonts w:eastAsia="Arial Unicode MS"/>
                <w:color w:val="000000"/>
                <w:sz w:val="20"/>
                <w:szCs w:val="20"/>
                <w:bdr w:val="nil"/>
              </w:rPr>
            </w:pPr>
            <w:r>
              <w:rPr>
                <w:rFonts w:eastAsia="Arial Unicode MS"/>
                <w:color w:val="000000"/>
                <w:sz w:val="20"/>
                <w:szCs w:val="20"/>
                <w:bdr w:val="nil"/>
              </w:rPr>
              <w:t>Chima Obichere</w:t>
            </w:r>
            <w:r w:rsidR="004050BF">
              <w:rPr>
                <w:rFonts w:eastAsia="Arial Unicode MS"/>
                <w:color w:val="000000"/>
                <w:sz w:val="20"/>
                <w:szCs w:val="20"/>
                <w:bdr w:val="nil"/>
              </w:rPr>
              <w:t xml:space="preserve">, </w:t>
            </w:r>
            <w:r w:rsidR="004050BF" w:rsidRPr="44BDBE62">
              <w:rPr>
                <w:rFonts w:eastAsia="Arial Unicode MS"/>
                <w:i/>
                <w:iCs/>
                <w:color w:val="000000"/>
                <w:sz w:val="20"/>
                <w:szCs w:val="20"/>
                <w:bdr w:val="nil"/>
              </w:rPr>
              <w:t>Finance Unit Head</w:t>
            </w:r>
          </w:p>
          <w:p w14:paraId="3DC73049" w14:textId="5BD7AF71" w:rsidR="004050BF" w:rsidRDefault="004050BF" w:rsidP="00DC12FE">
            <w:pPr>
              <w:pBdr>
                <w:top w:val="nil"/>
                <w:left w:val="nil"/>
                <w:bottom w:val="nil"/>
                <w:right w:val="nil"/>
                <w:between w:val="nil"/>
                <w:bar w:val="nil"/>
              </w:pBdr>
              <w:jc w:val="right"/>
              <w:rPr>
                <w:rFonts w:eastAsia="Arial Unicode MS"/>
                <w:color w:val="000000"/>
                <w:sz w:val="20"/>
                <w:szCs w:val="20"/>
                <w:bdr w:val="nil"/>
              </w:rPr>
            </w:pPr>
            <w:r>
              <w:rPr>
                <w:rFonts w:eastAsia="Arial Unicode MS"/>
                <w:color w:val="000000"/>
                <w:sz w:val="20"/>
                <w:szCs w:val="20"/>
                <w:bdr w:val="nil"/>
              </w:rPr>
              <w:t xml:space="preserve">Daniel Kroop, </w:t>
            </w:r>
            <w:r w:rsidRPr="004050BF">
              <w:rPr>
                <w:rFonts w:eastAsia="Arial Unicode MS"/>
                <w:i/>
                <w:color w:val="000000"/>
                <w:sz w:val="20"/>
                <w:szCs w:val="20"/>
                <w:bdr w:val="nil"/>
              </w:rPr>
              <w:t>Senior Finance Analyst</w:t>
            </w:r>
          </w:p>
          <w:p w14:paraId="79532DB8" w14:textId="77777777" w:rsidR="004050BF" w:rsidRPr="00CA2F13" w:rsidRDefault="004050BF" w:rsidP="004050BF">
            <w:pPr>
              <w:pBdr>
                <w:top w:val="nil"/>
                <w:left w:val="nil"/>
                <w:bottom w:val="nil"/>
                <w:right w:val="nil"/>
                <w:between w:val="nil"/>
                <w:bar w:val="nil"/>
              </w:pBdr>
              <w:jc w:val="right"/>
              <w:rPr>
                <w:rFonts w:eastAsia="Arial Unicode MS"/>
                <w:color w:val="000000"/>
                <w:sz w:val="12"/>
                <w:bdr w:val="nil"/>
              </w:rPr>
            </w:pPr>
          </w:p>
        </w:tc>
      </w:tr>
    </w:tbl>
    <w:p w14:paraId="5859B823" w14:textId="77777777" w:rsidR="004050BF" w:rsidRPr="004050BF" w:rsidRDefault="004050BF" w:rsidP="004050BF">
      <w:pPr>
        <w:ind w:left="180" w:hanging="180"/>
        <w:rPr>
          <w:iCs/>
          <w:sz w:val="22"/>
          <w:szCs w:val="22"/>
        </w:rPr>
      </w:pPr>
    </w:p>
    <w:p w14:paraId="592A6289" w14:textId="77777777" w:rsidR="003F5DA8" w:rsidRPr="0061746C" w:rsidRDefault="003F5DA8" w:rsidP="6C666741">
      <w:pPr>
        <w:ind w:left="2880"/>
      </w:pPr>
    </w:p>
    <w:p w14:paraId="5795DB4C" w14:textId="172285DA" w:rsidR="003F5DA8" w:rsidRDefault="004050BF" w:rsidP="00F729B3">
      <w:pPr>
        <w:keepNext/>
        <w:autoSpaceDE w:val="0"/>
        <w:autoSpaceDN w:val="0"/>
        <w:adjustRightInd w:val="0"/>
        <w:jc w:val="center"/>
      </w:pPr>
      <w:r>
        <w:rPr>
          <w:noProof/>
        </w:rPr>
        <w:drawing>
          <wp:inline distT="0" distB="0" distL="0" distR="0" wp14:anchorId="54CF65D2" wp14:editId="338205D4">
            <wp:extent cx="1508760" cy="16276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2B0ACB53" w14:textId="77777777" w:rsidR="003F5DA8" w:rsidRDefault="003F5DA8" w:rsidP="6C666741">
      <w:pPr>
        <w:keepNext/>
        <w:autoSpaceDE w:val="0"/>
        <w:autoSpaceDN w:val="0"/>
        <w:adjustRightInd w:val="0"/>
        <w:jc w:val="center"/>
        <w:outlineLvl w:val="4"/>
        <w:rPr>
          <w:b/>
          <w:bCs/>
          <w:u w:val="single"/>
          <w:lang w:eastAsia="zh-CN"/>
        </w:rPr>
      </w:pPr>
    </w:p>
    <w:p w14:paraId="48254D35" w14:textId="77777777" w:rsidR="004050BF" w:rsidRPr="00CA2F13" w:rsidRDefault="004050BF" w:rsidP="004050BF">
      <w:pPr>
        <w:keepNext/>
        <w:jc w:val="center"/>
        <w:outlineLvl w:val="1"/>
        <w:rPr>
          <w:b/>
          <w:iCs/>
          <w:smallCaps/>
          <w:sz w:val="28"/>
        </w:rPr>
      </w:pPr>
      <w:r w:rsidRPr="00CA2F13">
        <w:rPr>
          <w:b/>
          <w:iCs/>
          <w:smallCaps/>
          <w:sz w:val="28"/>
        </w:rPr>
        <w:t>The Council of the City of New York</w:t>
      </w:r>
    </w:p>
    <w:p w14:paraId="5A0FC990" w14:textId="77777777" w:rsidR="004050BF" w:rsidRPr="00CA2F13" w:rsidRDefault="004050BF" w:rsidP="004050BF">
      <w:pPr>
        <w:keepNext/>
        <w:jc w:val="center"/>
        <w:outlineLvl w:val="1"/>
        <w:rPr>
          <w:b/>
          <w:bCs/>
        </w:rPr>
      </w:pPr>
    </w:p>
    <w:p w14:paraId="2AB474F4" w14:textId="77777777" w:rsidR="004050BF" w:rsidRPr="00CA2F13" w:rsidRDefault="004050BF" w:rsidP="004050BF">
      <w:pPr>
        <w:keepNext/>
        <w:jc w:val="center"/>
        <w:outlineLvl w:val="0"/>
        <w:rPr>
          <w:bCs/>
          <w:smallCaps/>
          <w:u w:val="single"/>
        </w:rPr>
      </w:pPr>
      <w:r>
        <w:rPr>
          <w:bCs/>
          <w:smallCaps/>
          <w:u w:val="single"/>
        </w:rPr>
        <w:t>Committee Report</w:t>
      </w:r>
      <w:r w:rsidRPr="00CA2F13">
        <w:rPr>
          <w:bCs/>
          <w:smallCaps/>
          <w:u w:val="single"/>
        </w:rPr>
        <w:t xml:space="preserve"> of the Human Services Division</w:t>
      </w:r>
    </w:p>
    <w:p w14:paraId="67F76DBC" w14:textId="63707023" w:rsidR="004050BF" w:rsidRDefault="004050BF" w:rsidP="004050BF">
      <w:pPr>
        <w:jc w:val="center"/>
        <w:rPr>
          <w:i/>
        </w:rPr>
      </w:pPr>
      <w:r w:rsidRPr="00CA2F13">
        <w:t>Andrea Vazquez</w:t>
      </w:r>
      <w:r>
        <w:rPr>
          <w:i/>
        </w:rPr>
        <w:t>, Legislative Director</w:t>
      </w:r>
    </w:p>
    <w:p w14:paraId="6B8AE746" w14:textId="3BD839C9" w:rsidR="004050BF" w:rsidRPr="00CA2F13" w:rsidRDefault="004050BF" w:rsidP="004050BF">
      <w:pPr>
        <w:jc w:val="center"/>
        <w:rPr>
          <w:i/>
        </w:rPr>
      </w:pPr>
      <w:r w:rsidRPr="00A71F74">
        <w:t>Smita Deshmukh,</w:t>
      </w:r>
      <w:r>
        <w:rPr>
          <w:i/>
        </w:rPr>
        <w:t xml:space="preserve"> Deputy Director</w:t>
      </w:r>
    </w:p>
    <w:p w14:paraId="1A39AEE0" w14:textId="77777777" w:rsidR="004050BF" w:rsidRPr="00CA2F13" w:rsidRDefault="004050BF" w:rsidP="004050BF">
      <w:pPr>
        <w:jc w:val="center"/>
        <w:rPr>
          <w:b/>
          <w:bCs/>
          <w:u w:val="single"/>
        </w:rPr>
      </w:pPr>
    </w:p>
    <w:p w14:paraId="576F3364" w14:textId="288B8178" w:rsidR="004050BF" w:rsidRPr="00CA2F13" w:rsidRDefault="004050BF" w:rsidP="004050BF">
      <w:pPr>
        <w:keepNext/>
        <w:jc w:val="center"/>
        <w:outlineLvl w:val="4"/>
        <w:rPr>
          <w:b/>
          <w:smallCaps/>
          <w:lang w:eastAsia="x-none"/>
        </w:rPr>
      </w:pPr>
      <w:r w:rsidRPr="00CA2F13">
        <w:rPr>
          <w:b/>
          <w:smallCaps/>
          <w:lang w:eastAsia="x-none"/>
        </w:rPr>
        <w:t xml:space="preserve">Committee on </w:t>
      </w:r>
      <w:r>
        <w:rPr>
          <w:b/>
          <w:smallCaps/>
          <w:lang w:eastAsia="x-none"/>
        </w:rPr>
        <w:t>Aging</w:t>
      </w:r>
    </w:p>
    <w:p w14:paraId="601379DD" w14:textId="5832F7C4" w:rsidR="004050BF" w:rsidRPr="00CA2F13" w:rsidRDefault="004050BF" w:rsidP="004050BF">
      <w:pPr>
        <w:keepNext/>
        <w:jc w:val="center"/>
        <w:outlineLvl w:val="3"/>
        <w:rPr>
          <w:noProof/>
          <w:lang w:val="x-none" w:eastAsia="x-none"/>
        </w:rPr>
      </w:pPr>
      <w:r w:rsidRPr="00CA2F13">
        <w:rPr>
          <w:noProof/>
          <w:lang w:eastAsia="x-none"/>
        </w:rPr>
        <w:t>Hon.</w:t>
      </w:r>
      <w:r w:rsidRPr="00CA2F13">
        <w:rPr>
          <w:noProof/>
          <w:lang w:val="x-none" w:eastAsia="x-none"/>
        </w:rPr>
        <w:t xml:space="preserve"> </w:t>
      </w:r>
      <w:r>
        <w:rPr>
          <w:noProof/>
          <w:lang w:eastAsia="x-none"/>
        </w:rPr>
        <w:t>Crystal Hudson</w:t>
      </w:r>
      <w:r w:rsidRPr="00CA2F13">
        <w:rPr>
          <w:noProof/>
          <w:lang w:val="x-none" w:eastAsia="x-none"/>
        </w:rPr>
        <w:t>, Chair</w:t>
      </w:r>
    </w:p>
    <w:p w14:paraId="6636FAC2" w14:textId="77777777" w:rsidR="004050BF" w:rsidRPr="00CA2F13" w:rsidRDefault="004050BF" w:rsidP="004050BF"/>
    <w:p w14:paraId="663EDEC2" w14:textId="182D0E0D" w:rsidR="004050BF" w:rsidRPr="00CA2F13" w:rsidRDefault="004050BF" w:rsidP="004050BF">
      <w:pPr>
        <w:keepNext/>
        <w:jc w:val="center"/>
        <w:outlineLvl w:val="4"/>
        <w:rPr>
          <w:lang w:eastAsia="x-none"/>
        </w:rPr>
      </w:pPr>
      <w:r>
        <w:t>September 7, 2022</w:t>
      </w:r>
    </w:p>
    <w:p w14:paraId="14F4A31A" w14:textId="77777777" w:rsidR="00ED7888" w:rsidRDefault="00ED7888" w:rsidP="186BDE68"/>
    <w:p w14:paraId="198EE320" w14:textId="5ABF4626" w:rsidR="004E4058" w:rsidRDefault="00ED0D44" w:rsidP="6C666741">
      <w:pPr>
        <w:jc w:val="center"/>
        <w:rPr>
          <w:rFonts w:ascii="Times New Roman Bold" w:hAnsi="Times New Roman Bold"/>
          <w:b/>
          <w:bCs/>
          <w:smallCaps/>
        </w:rPr>
      </w:pPr>
      <w:r w:rsidRPr="00ED0D44">
        <w:rPr>
          <w:rFonts w:ascii="Times New Roman Bold" w:hAnsi="Times New Roman Bold"/>
          <w:b/>
          <w:bCs/>
          <w:smallCaps/>
        </w:rPr>
        <w:t>Oversight</w:t>
      </w:r>
      <w:r>
        <w:rPr>
          <w:rFonts w:ascii="Times New Roman Bold" w:hAnsi="Times New Roman Bold"/>
          <w:b/>
          <w:bCs/>
          <w:smallCaps/>
        </w:rPr>
        <w:t>:</w:t>
      </w:r>
      <w:r w:rsidRPr="00ED0D44">
        <w:rPr>
          <w:rFonts w:ascii="Times New Roman Bold" w:hAnsi="Times New Roman Bold"/>
          <w:b/>
          <w:bCs/>
          <w:smallCaps/>
        </w:rPr>
        <w:t xml:space="preserve"> </w:t>
      </w:r>
      <w:r w:rsidR="00A34484">
        <w:rPr>
          <w:rFonts w:ascii="Times New Roman Bold" w:hAnsi="Times New Roman Bold"/>
          <w:b/>
          <w:bCs/>
          <w:smallCaps/>
        </w:rPr>
        <w:t>Improving Older New Yorkers’ Access to City Services</w:t>
      </w:r>
    </w:p>
    <w:p w14:paraId="5F6F2CEA" w14:textId="471AE56C" w:rsidR="00ED7888" w:rsidRDefault="00ED7888" w:rsidP="6C666741">
      <w:pPr>
        <w:jc w:val="center"/>
        <w:rPr>
          <w:rFonts w:ascii="Times New Roman Bold" w:hAnsi="Times New Roman Bold"/>
          <w:b/>
          <w:bCs/>
          <w:smallCaps/>
        </w:rPr>
      </w:pPr>
    </w:p>
    <w:tbl>
      <w:tblPr>
        <w:tblStyle w:val="TableGridLight"/>
        <w:tblW w:w="9530" w:type="dxa"/>
        <w:tblLayout w:type="fixed"/>
        <w:tblLook w:val="04A0" w:firstRow="1" w:lastRow="0" w:firstColumn="1" w:lastColumn="0" w:noHBand="0" w:noVBand="1"/>
      </w:tblPr>
      <w:tblGrid>
        <w:gridCol w:w="9530"/>
      </w:tblGrid>
      <w:tr w:rsidR="0052744F" w14:paraId="1607B680" w14:textId="77777777" w:rsidTr="0052744F">
        <w:tc>
          <w:tcPr>
            <w:tcW w:w="9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tbl>
            <w:tblPr>
              <w:tblStyle w:val="TableGridLight"/>
              <w:tblW w:w="92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48"/>
              <w:gridCol w:w="6165"/>
            </w:tblGrid>
            <w:tr w:rsidR="0052744F" w:rsidRPr="00015348" w14:paraId="560F37DD" w14:textId="77777777" w:rsidTr="00015348">
              <w:tc>
                <w:tcPr>
                  <w:tcW w:w="3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7B57D7B" w14:textId="20E1168F" w:rsidR="0052744F" w:rsidRPr="00015348" w:rsidRDefault="0052744F" w:rsidP="00EB78A7">
                  <w:pPr>
                    <w:spacing w:before="80"/>
                    <w:rPr>
                      <w:b/>
                      <w:bCs/>
                      <w:smallCaps/>
                      <w:sz w:val="23"/>
                      <w:szCs w:val="23"/>
                      <w:highlight w:val="yellow"/>
                    </w:rPr>
                  </w:pPr>
                  <w:r w:rsidRPr="00015348">
                    <w:rPr>
                      <w:b/>
                      <w:bCs/>
                      <w:smallCaps/>
                      <w:sz w:val="23"/>
                      <w:szCs w:val="23"/>
                    </w:rPr>
                    <w:t xml:space="preserve">Preconsidered Int. No. </w:t>
                  </w:r>
                  <w:r w:rsidR="00EB78A7">
                    <w:rPr>
                      <w:b/>
                      <w:bCs/>
                      <w:smallCaps/>
                      <w:sz w:val="23"/>
                      <w:szCs w:val="23"/>
                    </w:rPr>
                    <w:t>673</w:t>
                  </w:r>
                </w:p>
              </w:tc>
              <w:tc>
                <w:tcPr>
                  <w:tcW w:w="6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3FB60" w14:textId="5258B1DB" w:rsidR="0052744F" w:rsidRPr="00015348" w:rsidRDefault="0052744F" w:rsidP="00015348">
                  <w:pPr>
                    <w:spacing w:before="80"/>
                    <w:jc w:val="both"/>
                    <w:rPr>
                      <w:sz w:val="23"/>
                      <w:szCs w:val="23"/>
                    </w:rPr>
                  </w:pPr>
                  <w:r w:rsidRPr="00015348">
                    <w:rPr>
                      <w:sz w:val="23"/>
                      <w:szCs w:val="23"/>
                    </w:rPr>
                    <w:t>Council Member</w:t>
                  </w:r>
                  <w:r w:rsidR="001227E2">
                    <w:rPr>
                      <w:sz w:val="23"/>
                      <w:szCs w:val="23"/>
                    </w:rPr>
                    <w:t>s</w:t>
                  </w:r>
                  <w:r w:rsidRPr="00015348">
                    <w:rPr>
                      <w:sz w:val="23"/>
                      <w:szCs w:val="23"/>
                    </w:rPr>
                    <w:t xml:space="preserve"> Hudson</w:t>
                  </w:r>
                  <w:r w:rsidR="001227E2">
                    <w:rPr>
                      <w:sz w:val="23"/>
                      <w:szCs w:val="23"/>
                    </w:rPr>
                    <w:t>, Richardson Jordan, Lee</w:t>
                  </w:r>
                  <w:r w:rsidR="004D1E5F">
                    <w:rPr>
                      <w:sz w:val="23"/>
                      <w:szCs w:val="23"/>
                    </w:rPr>
                    <w:t>,</w:t>
                  </w:r>
                  <w:r w:rsidR="001227E2">
                    <w:rPr>
                      <w:sz w:val="23"/>
                      <w:szCs w:val="23"/>
                    </w:rPr>
                    <w:t xml:space="preserve"> Schulman</w:t>
                  </w:r>
                  <w:r w:rsidR="00284206">
                    <w:rPr>
                      <w:sz w:val="23"/>
                      <w:szCs w:val="23"/>
                    </w:rPr>
                    <w:t>, Brewer, and Avilés</w:t>
                  </w:r>
                </w:p>
              </w:tc>
            </w:tr>
            <w:tr w:rsidR="0052744F" w:rsidRPr="00015348" w14:paraId="55B2362B" w14:textId="77777777" w:rsidTr="00015348">
              <w:tc>
                <w:tcPr>
                  <w:tcW w:w="3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DEF6A6" w14:textId="77777777" w:rsidR="0052744F" w:rsidRPr="00015348" w:rsidRDefault="0052744F" w:rsidP="00015348">
                  <w:pPr>
                    <w:spacing w:before="80"/>
                    <w:rPr>
                      <w:sz w:val="23"/>
                      <w:szCs w:val="23"/>
                    </w:rPr>
                  </w:pPr>
                  <w:r w:rsidRPr="00015348">
                    <w:rPr>
                      <w:b/>
                      <w:bCs/>
                      <w:smallCaps/>
                      <w:sz w:val="23"/>
                      <w:szCs w:val="23"/>
                    </w:rPr>
                    <w:t>Title:</w:t>
                  </w:r>
                </w:p>
              </w:tc>
              <w:tc>
                <w:tcPr>
                  <w:tcW w:w="6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BB4C2" w14:textId="270B0A06" w:rsidR="0052744F" w:rsidRPr="00015348" w:rsidRDefault="0052744F" w:rsidP="00015348">
                  <w:pPr>
                    <w:pStyle w:val="BodyText"/>
                    <w:spacing w:before="80" w:after="0"/>
                    <w:jc w:val="both"/>
                    <w:rPr>
                      <w:sz w:val="23"/>
                      <w:szCs w:val="23"/>
                    </w:rPr>
                  </w:pPr>
                  <w:r w:rsidRPr="00015348">
                    <w:rPr>
                      <w:sz w:val="23"/>
                      <w:szCs w:val="23"/>
                    </w:rPr>
                    <w:t>In relation to promoting housing stability for seniors by entitling any person who is 60 years of age or older to full legal representation in eviction or termination of tenancy proceedings in housing court, expanding rental arrears assistance for persons 60 years of age or older and establishing a housing support program for persons 60 years of age or older who are at risk of eviction or foreclosure</w:t>
                  </w:r>
                </w:p>
              </w:tc>
            </w:tr>
            <w:tr w:rsidR="0052744F" w:rsidRPr="00015348" w14:paraId="0F92BADB" w14:textId="77777777" w:rsidTr="00015348">
              <w:tc>
                <w:tcPr>
                  <w:tcW w:w="3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D4E93D" w14:textId="737F6AFB" w:rsidR="0052744F" w:rsidRPr="00015348" w:rsidRDefault="0052744F" w:rsidP="00EB78A7">
                  <w:pPr>
                    <w:spacing w:before="80"/>
                    <w:rPr>
                      <w:b/>
                      <w:bCs/>
                      <w:smallCaps/>
                      <w:sz w:val="23"/>
                      <w:szCs w:val="23"/>
                    </w:rPr>
                  </w:pPr>
                  <w:r w:rsidRPr="00015348">
                    <w:rPr>
                      <w:b/>
                      <w:bCs/>
                      <w:smallCaps/>
                      <w:sz w:val="23"/>
                      <w:szCs w:val="23"/>
                    </w:rPr>
                    <w:t xml:space="preserve">Preconsidered Int. No. </w:t>
                  </w:r>
                  <w:r w:rsidR="00EB78A7">
                    <w:rPr>
                      <w:b/>
                      <w:bCs/>
                      <w:smallCaps/>
                      <w:sz w:val="23"/>
                      <w:szCs w:val="23"/>
                    </w:rPr>
                    <w:t>674</w:t>
                  </w:r>
                </w:p>
              </w:tc>
              <w:tc>
                <w:tcPr>
                  <w:tcW w:w="6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0485ED" w14:textId="216CEE0D" w:rsidR="0052744F" w:rsidRPr="00015348" w:rsidRDefault="0052744F" w:rsidP="00015348">
                  <w:pPr>
                    <w:pStyle w:val="BodyText"/>
                    <w:spacing w:before="80" w:after="0"/>
                    <w:jc w:val="both"/>
                    <w:rPr>
                      <w:sz w:val="23"/>
                      <w:szCs w:val="23"/>
                    </w:rPr>
                  </w:pPr>
                  <w:r w:rsidRPr="00015348">
                    <w:rPr>
                      <w:sz w:val="23"/>
                      <w:szCs w:val="23"/>
                    </w:rPr>
                    <w:t>Council Member</w:t>
                  </w:r>
                  <w:r w:rsidR="00410847">
                    <w:rPr>
                      <w:sz w:val="23"/>
                      <w:szCs w:val="23"/>
                    </w:rPr>
                    <w:t>s</w:t>
                  </w:r>
                  <w:r w:rsidRPr="00015348">
                    <w:rPr>
                      <w:sz w:val="23"/>
                      <w:szCs w:val="23"/>
                    </w:rPr>
                    <w:t xml:space="preserve"> Hudson</w:t>
                  </w:r>
                  <w:r w:rsidR="00410847">
                    <w:rPr>
                      <w:sz w:val="23"/>
                      <w:szCs w:val="23"/>
                    </w:rPr>
                    <w:t>, Schulman, Lee</w:t>
                  </w:r>
                  <w:r w:rsidR="004D1E5F">
                    <w:rPr>
                      <w:sz w:val="23"/>
                      <w:szCs w:val="23"/>
                    </w:rPr>
                    <w:t>,</w:t>
                  </w:r>
                  <w:r w:rsidR="00410847">
                    <w:rPr>
                      <w:sz w:val="23"/>
                      <w:szCs w:val="23"/>
                    </w:rPr>
                    <w:t xml:space="preserve"> Richardson Jordan</w:t>
                  </w:r>
                  <w:r w:rsidR="00284206">
                    <w:rPr>
                      <w:sz w:val="23"/>
                      <w:szCs w:val="23"/>
                    </w:rPr>
                    <w:t>, and Avilés</w:t>
                  </w:r>
                </w:p>
              </w:tc>
            </w:tr>
            <w:tr w:rsidR="0052744F" w:rsidRPr="00015348" w14:paraId="1578CA50" w14:textId="77777777" w:rsidTr="00015348">
              <w:tc>
                <w:tcPr>
                  <w:tcW w:w="3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170A73" w14:textId="77777777" w:rsidR="0052744F" w:rsidRPr="00015348" w:rsidRDefault="0052744F" w:rsidP="00015348">
                  <w:pPr>
                    <w:spacing w:before="80"/>
                    <w:rPr>
                      <w:b/>
                      <w:bCs/>
                      <w:smallCaps/>
                      <w:sz w:val="23"/>
                      <w:szCs w:val="23"/>
                    </w:rPr>
                  </w:pPr>
                  <w:r w:rsidRPr="00015348">
                    <w:rPr>
                      <w:b/>
                      <w:bCs/>
                      <w:smallCaps/>
                      <w:sz w:val="23"/>
                      <w:szCs w:val="23"/>
                    </w:rPr>
                    <w:t>Title:</w:t>
                  </w:r>
                </w:p>
              </w:tc>
              <w:tc>
                <w:tcPr>
                  <w:tcW w:w="6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F89BAC" w14:textId="6610F579" w:rsidR="0052744F" w:rsidRPr="00015348" w:rsidRDefault="0052744F" w:rsidP="00015348">
                  <w:pPr>
                    <w:pStyle w:val="BodyText"/>
                    <w:spacing w:before="80" w:after="0"/>
                    <w:jc w:val="both"/>
                    <w:rPr>
                      <w:sz w:val="23"/>
                      <w:szCs w:val="23"/>
                    </w:rPr>
                  </w:pPr>
                  <w:r w:rsidRPr="00015348">
                    <w:rPr>
                      <w:sz w:val="23"/>
                      <w:szCs w:val="23"/>
                    </w:rPr>
                    <w:t>In relation to requiring a know your rights pamphlet for older adults</w:t>
                  </w:r>
                </w:p>
              </w:tc>
            </w:tr>
            <w:tr w:rsidR="0052744F" w:rsidRPr="00015348" w14:paraId="04A8FC0F" w14:textId="77777777" w:rsidTr="00015348">
              <w:tc>
                <w:tcPr>
                  <w:tcW w:w="3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F614B6" w14:textId="5E5497AE" w:rsidR="0052744F" w:rsidRPr="00015348" w:rsidRDefault="0052744F" w:rsidP="00EB78A7">
                  <w:pPr>
                    <w:spacing w:before="80"/>
                    <w:rPr>
                      <w:b/>
                      <w:bCs/>
                      <w:smallCaps/>
                      <w:sz w:val="23"/>
                      <w:szCs w:val="23"/>
                    </w:rPr>
                  </w:pPr>
                  <w:r w:rsidRPr="00015348">
                    <w:rPr>
                      <w:b/>
                      <w:bCs/>
                      <w:smallCaps/>
                      <w:sz w:val="23"/>
                      <w:szCs w:val="23"/>
                    </w:rPr>
                    <w:t xml:space="preserve">Preconsidered Int. No. </w:t>
                  </w:r>
                  <w:r w:rsidR="00EB78A7">
                    <w:rPr>
                      <w:b/>
                      <w:bCs/>
                      <w:smallCaps/>
                      <w:sz w:val="23"/>
                      <w:szCs w:val="23"/>
                    </w:rPr>
                    <w:t>672</w:t>
                  </w:r>
                  <w:bookmarkStart w:id="0" w:name="_GoBack"/>
                  <w:bookmarkEnd w:id="0"/>
                </w:p>
              </w:tc>
              <w:tc>
                <w:tcPr>
                  <w:tcW w:w="6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85660E" w14:textId="29B86009" w:rsidR="0052744F" w:rsidRPr="00015348" w:rsidRDefault="00410847" w:rsidP="00015348">
                  <w:pPr>
                    <w:pStyle w:val="BodyText"/>
                    <w:spacing w:before="80" w:after="0"/>
                    <w:jc w:val="both"/>
                    <w:rPr>
                      <w:sz w:val="23"/>
                      <w:szCs w:val="23"/>
                    </w:rPr>
                  </w:pPr>
                  <w:r>
                    <w:rPr>
                      <w:sz w:val="23"/>
                      <w:szCs w:val="23"/>
                    </w:rPr>
                    <w:t>Council Members Hudson, Le</w:t>
                  </w:r>
                  <w:r w:rsidR="003A4A4D">
                    <w:rPr>
                      <w:sz w:val="23"/>
                      <w:szCs w:val="23"/>
                    </w:rPr>
                    <w:t>e,</w:t>
                  </w:r>
                  <w:r>
                    <w:rPr>
                      <w:sz w:val="23"/>
                      <w:szCs w:val="23"/>
                    </w:rPr>
                    <w:t xml:space="preserve"> Schulman</w:t>
                  </w:r>
                  <w:r w:rsidR="004D1E5F">
                    <w:rPr>
                      <w:sz w:val="23"/>
                      <w:szCs w:val="23"/>
                    </w:rPr>
                    <w:t>,</w:t>
                  </w:r>
                  <w:r w:rsidR="003A4A4D">
                    <w:rPr>
                      <w:sz w:val="23"/>
                      <w:szCs w:val="23"/>
                    </w:rPr>
                    <w:t xml:space="preserve"> Richardson Jordan</w:t>
                  </w:r>
                  <w:r w:rsidR="00284206">
                    <w:rPr>
                      <w:sz w:val="23"/>
                      <w:szCs w:val="23"/>
                    </w:rPr>
                    <w:t>, Brewer, and Avilés</w:t>
                  </w:r>
                </w:p>
              </w:tc>
            </w:tr>
            <w:tr w:rsidR="0052744F" w:rsidRPr="00015348" w14:paraId="0AF6BC34" w14:textId="77777777" w:rsidTr="00015348">
              <w:tc>
                <w:tcPr>
                  <w:tcW w:w="3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DA7E2D" w14:textId="77777777" w:rsidR="0052744F" w:rsidRPr="00015348" w:rsidRDefault="0052744F" w:rsidP="00015348">
                  <w:pPr>
                    <w:spacing w:before="80"/>
                    <w:rPr>
                      <w:b/>
                      <w:bCs/>
                      <w:smallCaps/>
                      <w:sz w:val="23"/>
                      <w:szCs w:val="23"/>
                    </w:rPr>
                  </w:pPr>
                  <w:r w:rsidRPr="00015348">
                    <w:rPr>
                      <w:b/>
                      <w:bCs/>
                      <w:smallCaps/>
                      <w:sz w:val="23"/>
                      <w:szCs w:val="23"/>
                    </w:rPr>
                    <w:t>Title:</w:t>
                  </w:r>
                </w:p>
              </w:tc>
              <w:tc>
                <w:tcPr>
                  <w:tcW w:w="6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A0B0C" w14:textId="5084616F" w:rsidR="0052744F" w:rsidRPr="00015348" w:rsidRDefault="0052744F" w:rsidP="00015348">
                  <w:pPr>
                    <w:pStyle w:val="BodyText"/>
                    <w:spacing w:before="80" w:after="0"/>
                    <w:jc w:val="both"/>
                    <w:rPr>
                      <w:sz w:val="23"/>
                      <w:szCs w:val="23"/>
                    </w:rPr>
                  </w:pPr>
                  <w:r w:rsidRPr="00015348">
                    <w:rPr>
                      <w:sz w:val="23"/>
                      <w:szCs w:val="23"/>
                    </w:rPr>
                    <w:t>In relation to diversity pro</w:t>
                  </w:r>
                  <w:r w:rsidR="00700797">
                    <w:rPr>
                      <w:sz w:val="23"/>
                      <w:szCs w:val="23"/>
                    </w:rPr>
                    <w:t>gramming at older adult</w:t>
                  </w:r>
                  <w:r w:rsidR="00015348" w:rsidRPr="00015348">
                    <w:rPr>
                      <w:sz w:val="23"/>
                      <w:szCs w:val="23"/>
                    </w:rPr>
                    <w:t xml:space="preserve"> centers</w:t>
                  </w:r>
                </w:p>
              </w:tc>
            </w:tr>
          </w:tbl>
          <w:p w14:paraId="3178C0AB" w14:textId="6E726A6C" w:rsidR="0052744F" w:rsidRDefault="0052744F" w:rsidP="186BDE68">
            <w:pPr>
              <w:jc w:val="both"/>
            </w:pPr>
          </w:p>
        </w:tc>
      </w:tr>
    </w:tbl>
    <w:p w14:paraId="73FB286B" w14:textId="6CC5E01C" w:rsidR="00867B3A" w:rsidRPr="00867B3A" w:rsidRDefault="00867B3A" w:rsidP="00867B3A">
      <w:pPr>
        <w:pStyle w:val="ListParagraph"/>
        <w:numPr>
          <w:ilvl w:val="0"/>
          <w:numId w:val="11"/>
        </w:numPr>
        <w:spacing w:line="480" w:lineRule="auto"/>
        <w:jc w:val="both"/>
        <w:rPr>
          <w:rFonts w:ascii="Times New Roman Bold" w:hAnsi="Times New Roman Bold"/>
          <w:b/>
          <w:smallCaps/>
        </w:rPr>
      </w:pPr>
      <w:r w:rsidRPr="00867B3A">
        <w:rPr>
          <w:rFonts w:ascii="Times New Roman Bold" w:hAnsi="Times New Roman Bold"/>
          <w:b/>
          <w:smallCaps/>
        </w:rPr>
        <w:lastRenderedPageBreak/>
        <w:t>Introduction</w:t>
      </w:r>
    </w:p>
    <w:p w14:paraId="57210344" w14:textId="34409AC2" w:rsidR="00950DA1" w:rsidRPr="00D67A3D" w:rsidRDefault="64415E8F" w:rsidP="00867B3A">
      <w:pPr>
        <w:spacing w:line="480" w:lineRule="auto"/>
        <w:ind w:firstLine="720"/>
        <w:contextualSpacing/>
        <w:jc w:val="both"/>
      </w:pPr>
      <w:r w:rsidRPr="00D67A3D">
        <w:t>O</w:t>
      </w:r>
      <w:r w:rsidR="00A34484">
        <w:t>n September 7</w:t>
      </w:r>
      <w:r w:rsidR="00026BB3" w:rsidRPr="00D67A3D">
        <w:t>, 2022</w:t>
      </w:r>
      <w:r w:rsidR="67B214E2" w:rsidRPr="00D67A3D">
        <w:t>,</w:t>
      </w:r>
      <w:r w:rsidRPr="00D67A3D">
        <w:t xml:space="preserve"> the Committee on Aging, chaired by Council Member </w:t>
      </w:r>
      <w:r w:rsidR="00026BB3" w:rsidRPr="00D67A3D">
        <w:t>Crystal Hudson</w:t>
      </w:r>
      <w:r w:rsidR="007C37CB">
        <w:t>,</w:t>
      </w:r>
      <w:r w:rsidR="00A34484">
        <w:t xml:space="preserve"> will hold an </w:t>
      </w:r>
      <w:r w:rsidR="0B908D5A" w:rsidRPr="00D67A3D">
        <w:t>oversight hearing on</w:t>
      </w:r>
      <w:r w:rsidR="00A34484">
        <w:t xml:space="preserve"> </w:t>
      </w:r>
      <w:r w:rsidR="00A34484">
        <w:rPr>
          <w:i/>
          <w:iCs/>
        </w:rPr>
        <w:t>Improving Older New Yorkers’ Access to City Services</w:t>
      </w:r>
      <w:r w:rsidR="0B908D5A" w:rsidRPr="00D67A3D">
        <w:rPr>
          <w:i/>
          <w:iCs/>
        </w:rPr>
        <w:t>.</w:t>
      </w:r>
      <w:r w:rsidR="0B908D5A" w:rsidRPr="00D67A3D">
        <w:t xml:space="preserve"> </w:t>
      </w:r>
      <w:r w:rsidR="00867B3A">
        <w:t>Additionally, the Committee will hear Preconsidered Introduction Number (Int. No.) ___, sponsored by Council Member</w:t>
      </w:r>
      <w:r w:rsidR="007C37CB">
        <w:t>s</w:t>
      </w:r>
      <w:r w:rsidR="00867B3A">
        <w:t xml:space="preserve"> Hudson,</w:t>
      </w:r>
      <w:r w:rsidR="007C37CB">
        <w:t xml:space="preserve"> </w:t>
      </w:r>
      <w:r w:rsidR="009A0DFE">
        <w:t xml:space="preserve">Kristin </w:t>
      </w:r>
      <w:r w:rsidR="007C37CB">
        <w:t xml:space="preserve">Richardson Jordan, </w:t>
      </w:r>
      <w:r w:rsidR="009A0DFE">
        <w:t xml:space="preserve">Linda </w:t>
      </w:r>
      <w:r w:rsidR="007C37CB">
        <w:t>Lee</w:t>
      </w:r>
      <w:r w:rsidR="004D1E5F">
        <w:t>,</w:t>
      </w:r>
      <w:r w:rsidR="007C37CB">
        <w:t xml:space="preserve"> </w:t>
      </w:r>
      <w:r w:rsidR="009A0DFE">
        <w:t xml:space="preserve">Lynn </w:t>
      </w:r>
      <w:r w:rsidR="007C37CB">
        <w:t>Schulman</w:t>
      </w:r>
      <w:r w:rsidR="009A0DFE">
        <w:t>,</w:t>
      </w:r>
      <w:r w:rsidR="00867B3A">
        <w:t xml:space="preserve"> </w:t>
      </w:r>
      <w:r w:rsidR="003E6F1E">
        <w:t xml:space="preserve">Gale Brewer, and Alexa Avilés, </w:t>
      </w:r>
      <w:r w:rsidR="00867B3A">
        <w:t xml:space="preserve">in </w:t>
      </w:r>
      <w:r w:rsidR="00867B3A" w:rsidRPr="00867B3A">
        <w:t>relation to promoting housing stability for seniors</w:t>
      </w:r>
      <w:r w:rsidR="00867B3A">
        <w:t xml:space="preserve">; </w:t>
      </w:r>
      <w:r w:rsidR="00BA4777">
        <w:t>Preconsidered Int. No. ___,</w:t>
      </w:r>
      <w:r w:rsidR="00867B3A">
        <w:t xml:space="preserve"> sponsored by Council Member</w:t>
      </w:r>
      <w:r w:rsidR="00BA4777">
        <w:t>s</w:t>
      </w:r>
      <w:r w:rsidR="00867B3A">
        <w:t xml:space="preserve"> Hudson, </w:t>
      </w:r>
      <w:r w:rsidR="00BA4777">
        <w:t>Schulman, Lee</w:t>
      </w:r>
      <w:r w:rsidR="004D1E5F">
        <w:t>,</w:t>
      </w:r>
      <w:r w:rsidR="00BA4777">
        <w:t xml:space="preserve"> Richardson Jordan, </w:t>
      </w:r>
      <w:r w:rsidR="003E6F1E">
        <w:t xml:space="preserve">and Avilés, </w:t>
      </w:r>
      <w:r w:rsidR="00867B3A">
        <w:t xml:space="preserve">in relation to </w:t>
      </w:r>
      <w:r w:rsidR="00700797" w:rsidRPr="00700797">
        <w:t xml:space="preserve">requiring </w:t>
      </w:r>
      <w:proofErr w:type="gramStart"/>
      <w:r w:rsidR="00700797" w:rsidRPr="00700797">
        <w:t>a know</w:t>
      </w:r>
      <w:proofErr w:type="gramEnd"/>
      <w:r w:rsidR="00700797" w:rsidRPr="00700797">
        <w:t xml:space="preserve"> your rights pamphlet for older adults</w:t>
      </w:r>
      <w:r w:rsidR="00700797">
        <w:t>; and Preconsidered Int. No. ___, co-sponsored b</w:t>
      </w:r>
      <w:r w:rsidR="009A0DFE">
        <w:t>y Council Members Hudson, Lee, Schulman</w:t>
      </w:r>
      <w:r w:rsidR="004D1E5F">
        <w:t>,</w:t>
      </w:r>
      <w:r w:rsidR="003E6F1E">
        <w:t xml:space="preserve"> </w:t>
      </w:r>
      <w:r w:rsidR="009A0DFE">
        <w:t>Richardson Jordan,</w:t>
      </w:r>
      <w:r w:rsidR="00700797">
        <w:t xml:space="preserve"> </w:t>
      </w:r>
      <w:r w:rsidR="003E6F1E">
        <w:t xml:space="preserve">Brewer, and Avilés, </w:t>
      </w:r>
      <w:r w:rsidR="00700797">
        <w:t>in relation to diversity programming at older adult centers. Witnesses</w:t>
      </w:r>
      <w:r w:rsidR="00E12087" w:rsidRPr="00D67A3D">
        <w:t xml:space="preserve"> invited to testify include the New York City </w:t>
      </w:r>
      <w:r w:rsidR="00700797">
        <w:t xml:space="preserve">(“NYC” or “City”) </w:t>
      </w:r>
      <w:r w:rsidR="00E12087" w:rsidRPr="00D67A3D">
        <w:t xml:space="preserve">Department </w:t>
      </w:r>
      <w:r w:rsidR="007F48A9">
        <w:t>for the Aging</w:t>
      </w:r>
      <w:r w:rsidR="00E12087" w:rsidRPr="00D67A3D">
        <w:t xml:space="preserve">, </w:t>
      </w:r>
      <w:r w:rsidR="00700797">
        <w:t>older adult advocacy groups and organizations</w:t>
      </w:r>
      <w:r w:rsidR="4CFF2D61" w:rsidRPr="00D67A3D">
        <w:t xml:space="preserve">, </w:t>
      </w:r>
      <w:r w:rsidR="00700797">
        <w:t>and other interested stakeholders.</w:t>
      </w:r>
    </w:p>
    <w:p w14:paraId="600C8F62" w14:textId="4EDFF67F" w:rsidR="00867B3A" w:rsidRDefault="00867B3A" w:rsidP="00CF1DC7">
      <w:pPr>
        <w:pStyle w:val="NoSpacing"/>
        <w:numPr>
          <w:ilvl w:val="0"/>
          <w:numId w:val="11"/>
        </w:numPr>
        <w:spacing w:before="120" w:line="480" w:lineRule="auto"/>
        <w:contextualSpacing/>
        <w:jc w:val="both"/>
        <w:rPr>
          <w:rFonts w:ascii="Times New Roman Bold" w:eastAsia="Times New Roman" w:hAnsi="Times New Roman Bold"/>
          <w:b/>
          <w:bCs/>
          <w:smallCaps/>
          <w:sz w:val="24"/>
          <w:szCs w:val="24"/>
        </w:rPr>
      </w:pPr>
      <w:r w:rsidRPr="00867B3A">
        <w:rPr>
          <w:rFonts w:ascii="Times New Roman Bold" w:eastAsia="Times New Roman" w:hAnsi="Times New Roman Bold"/>
          <w:b/>
          <w:bCs/>
          <w:smallCaps/>
          <w:sz w:val="24"/>
          <w:szCs w:val="24"/>
        </w:rPr>
        <w:t>Background</w:t>
      </w:r>
    </w:p>
    <w:p w14:paraId="01004AD8" w14:textId="74F5DBEB" w:rsidR="00CF1DC7" w:rsidRPr="00E76EB4" w:rsidRDefault="000E15ED" w:rsidP="00CF1DC7">
      <w:pPr>
        <w:pStyle w:val="NoSpacing"/>
        <w:spacing w:line="480" w:lineRule="auto"/>
        <w:contextualSpacing/>
        <w:jc w:val="both"/>
        <w:rPr>
          <w:rFonts w:ascii="Times New Roman Bold" w:eastAsia="Times New Roman" w:hAnsi="Times New Roman Bold"/>
          <w:b/>
          <w:i/>
          <w:sz w:val="24"/>
          <w:szCs w:val="24"/>
        </w:rPr>
      </w:pPr>
      <w:r>
        <w:rPr>
          <w:rFonts w:ascii="Times New Roman Bold" w:eastAsia="Times New Roman" w:hAnsi="Times New Roman Bold"/>
          <w:b/>
          <w:bCs/>
          <w:i/>
          <w:sz w:val="24"/>
          <w:szCs w:val="24"/>
        </w:rPr>
        <w:t>New York City Department for the Aging</w:t>
      </w:r>
    </w:p>
    <w:p w14:paraId="217B449D" w14:textId="29FC44F1" w:rsidR="007F48A9" w:rsidRPr="007F48A9" w:rsidRDefault="000E5F29" w:rsidP="00183A32">
      <w:pPr>
        <w:pStyle w:val="NoSpacing"/>
        <w:spacing w:line="480" w:lineRule="auto"/>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In NYC</w:t>
      </w:r>
      <w:r w:rsidR="007F48A9" w:rsidRPr="007F48A9">
        <w:rPr>
          <w:rFonts w:ascii="Times New Roman" w:eastAsia="Times New Roman" w:hAnsi="Times New Roman"/>
          <w:bCs/>
          <w:sz w:val="24"/>
          <w:szCs w:val="24"/>
        </w:rPr>
        <w:t xml:space="preserve">, </w:t>
      </w:r>
      <w:r w:rsidR="007F48A9">
        <w:rPr>
          <w:rFonts w:ascii="Times New Roman" w:eastAsia="Times New Roman" w:hAnsi="Times New Roman"/>
          <w:bCs/>
          <w:sz w:val="24"/>
          <w:szCs w:val="24"/>
        </w:rPr>
        <w:t xml:space="preserve">the Department for </w:t>
      </w:r>
      <w:r w:rsidR="004728EF">
        <w:rPr>
          <w:rFonts w:ascii="Times New Roman" w:eastAsia="Times New Roman" w:hAnsi="Times New Roman"/>
          <w:bCs/>
          <w:sz w:val="24"/>
          <w:szCs w:val="24"/>
        </w:rPr>
        <w:t xml:space="preserve">the Aging (DFTA) </w:t>
      </w:r>
      <w:r w:rsidR="00950C46">
        <w:rPr>
          <w:rFonts w:ascii="Times New Roman" w:eastAsia="Times New Roman" w:hAnsi="Times New Roman"/>
          <w:bCs/>
          <w:sz w:val="24"/>
          <w:szCs w:val="24"/>
        </w:rPr>
        <w:t>provides support and information for older adults.</w:t>
      </w:r>
      <w:r w:rsidR="00950C46">
        <w:rPr>
          <w:rStyle w:val="FootnoteReference"/>
          <w:rFonts w:ascii="Times New Roman" w:eastAsia="Times New Roman" w:hAnsi="Times New Roman"/>
          <w:bCs/>
          <w:sz w:val="24"/>
          <w:szCs w:val="24"/>
        </w:rPr>
        <w:footnoteReference w:id="2"/>
      </w:r>
      <w:r w:rsidR="000E15ED">
        <w:rPr>
          <w:rFonts w:ascii="Times New Roman" w:eastAsia="Times New Roman" w:hAnsi="Times New Roman"/>
          <w:bCs/>
          <w:sz w:val="24"/>
          <w:szCs w:val="24"/>
        </w:rPr>
        <w:t xml:space="preserve"> This includes</w:t>
      </w:r>
      <w:r w:rsidR="000D028E">
        <w:rPr>
          <w:rFonts w:ascii="Times New Roman" w:eastAsia="Times New Roman" w:hAnsi="Times New Roman"/>
          <w:bCs/>
          <w:sz w:val="24"/>
          <w:szCs w:val="24"/>
        </w:rPr>
        <w:t>, but is not limited to,</w:t>
      </w:r>
      <w:r w:rsidR="000E15ED">
        <w:rPr>
          <w:rFonts w:ascii="Times New Roman" w:eastAsia="Times New Roman" w:hAnsi="Times New Roman"/>
          <w:bCs/>
          <w:sz w:val="24"/>
          <w:szCs w:val="24"/>
        </w:rPr>
        <w:t xml:space="preserve"> promoting public awarenes</w:t>
      </w:r>
      <w:r w:rsidR="004002CD">
        <w:rPr>
          <w:rFonts w:ascii="Times New Roman" w:eastAsia="Times New Roman" w:hAnsi="Times New Roman"/>
          <w:bCs/>
          <w:sz w:val="24"/>
          <w:szCs w:val="24"/>
        </w:rPr>
        <w:t>s of resources available for</w:t>
      </w:r>
      <w:r w:rsidR="000E15ED">
        <w:rPr>
          <w:rFonts w:ascii="Times New Roman" w:eastAsia="Times New Roman" w:hAnsi="Times New Roman"/>
          <w:bCs/>
          <w:sz w:val="24"/>
          <w:szCs w:val="24"/>
        </w:rPr>
        <w:t xml:space="preserve"> </w:t>
      </w:r>
      <w:r w:rsidR="00531938">
        <w:rPr>
          <w:rFonts w:ascii="Times New Roman" w:eastAsia="Times New Roman" w:hAnsi="Times New Roman"/>
          <w:bCs/>
          <w:sz w:val="24"/>
          <w:szCs w:val="24"/>
        </w:rPr>
        <w:t>older adults</w:t>
      </w:r>
      <w:r w:rsidR="000E15ED">
        <w:rPr>
          <w:rFonts w:ascii="Times New Roman" w:eastAsia="Times New Roman" w:hAnsi="Times New Roman"/>
          <w:bCs/>
          <w:sz w:val="24"/>
          <w:szCs w:val="24"/>
        </w:rPr>
        <w:t xml:space="preserve">; </w:t>
      </w:r>
      <w:r w:rsidR="000D028E">
        <w:rPr>
          <w:rFonts w:ascii="Times New Roman" w:eastAsia="Times New Roman" w:hAnsi="Times New Roman"/>
          <w:bCs/>
          <w:sz w:val="24"/>
          <w:szCs w:val="24"/>
        </w:rPr>
        <w:t>cooperating</w:t>
      </w:r>
      <w:r w:rsidR="000E15ED">
        <w:rPr>
          <w:rFonts w:ascii="Times New Roman" w:eastAsia="Times New Roman" w:hAnsi="Times New Roman"/>
          <w:bCs/>
          <w:sz w:val="24"/>
          <w:szCs w:val="24"/>
        </w:rPr>
        <w:t xml:space="preserve"> with and assist</w:t>
      </w:r>
      <w:r w:rsidR="005F3AB4">
        <w:rPr>
          <w:rFonts w:ascii="Times New Roman" w:eastAsia="Times New Roman" w:hAnsi="Times New Roman"/>
          <w:bCs/>
          <w:sz w:val="24"/>
          <w:szCs w:val="24"/>
        </w:rPr>
        <w:t>ing</w:t>
      </w:r>
      <w:r w:rsidR="000E15ED">
        <w:rPr>
          <w:rFonts w:ascii="Times New Roman" w:eastAsia="Times New Roman" w:hAnsi="Times New Roman"/>
          <w:bCs/>
          <w:sz w:val="24"/>
          <w:szCs w:val="24"/>
        </w:rPr>
        <w:t xml:space="preserve"> local neighborhoods in the development of programs and the establishment of local offices; </w:t>
      </w:r>
      <w:r w:rsidR="005F3AB4">
        <w:rPr>
          <w:rFonts w:ascii="Times New Roman" w:eastAsia="Times New Roman" w:hAnsi="Times New Roman"/>
          <w:bCs/>
          <w:sz w:val="24"/>
          <w:szCs w:val="24"/>
        </w:rPr>
        <w:t>serving</w:t>
      </w:r>
      <w:r w:rsidR="004002CD">
        <w:rPr>
          <w:rFonts w:ascii="Times New Roman" w:eastAsia="Times New Roman" w:hAnsi="Times New Roman"/>
          <w:bCs/>
          <w:sz w:val="24"/>
          <w:szCs w:val="24"/>
        </w:rPr>
        <w:t xml:space="preserve"> as a clearing </w:t>
      </w:r>
      <w:r w:rsidR="000E15ED">
        <w:rPr>
          <w:rFonts w:ascii="Times New Roman" w:eastAsia="Times New Roman" w:hAnsi="Times New Roman"/>
          <w:bCs/>
          <w:sz w:val="24"/>
          <w:szCs w:val="24"/>
        </w:rPr>
        <w:t xml:space="preserve">house for information relating to the needs of </w:t>
      </w:r>
      <w:r w:rsidR="005F3AB4">
        <w:rPr>
          <w:rFonts w:ascii="Times New Roman" w:eastAsia="Times New Roman" w:hAnsi="Times New Roman"/>
          <w:bCs/>
          <w:sz w:val="24"/>
          <w:szCs w:val="24"/>
        </w:rPr>
        <w:t>older adults</w:t>
      </w:r>
      <w:r w:rsidR="000E15ED">
        <w:rPr>
          <w:rFonts w:ascii="Times New Roman" w:eastAsia="Times New Roman" w:hAnsi="Times New Roman"/>
          <w:bCs/>
          <w:sz w:val="24"/>
          <w:szCs w:val="24"/>
        </w:rPr>
        <w:t xml:space="preserve">; </w:t>
      </w:r>
      <w:r w:rsidR="005F3AB4">
        <w:rPr>
          <w:rFonts w:ascii="Times New Roman" w:eastAsia="Times New Roman" w:hAnsi="Times New Roman"/>
          <w:bCs/>
          <w:sz w:val="24"/>
          <w:szCs w:val="24"/>
        </w:rPr>
        <w:t>disbursing</w:t>
      </w:r>
      <w:r w:rsidR="000E15ED">
        <w:rPr>
          <w:rFonts w:ascii="Times New Roman" w:eastAsia="Times New Roman" w:hAnsi="Times New Roman"/>
          <w:bCs/>
          <w:sz w:val="24"/>
          <w:szCs w:val="24"/>
        </w:rPr>
        <w:t xml:space="preserve"> available </w:t>
      </w:r>
      <w:r w:rsidR="009E339A">
        <w:rPr>
          <w:rFonts w:ascii="Times New Roman" w:eastAsia="Times New Roman" w:hAnsi="Times New Roman"/>
          <w:bCs/>
          <w:sz w:val="24"/>
          <w:szCs w:val="24"/>
        </w:rPr>
        <w:t>City</w:t>
      </w:r>
      <w:r w:rsidR="000E15ED">
        <w:rPr>
          <w:rFonts w:ascii="Times New Roman" w:eastAsia="Times New Roman" w:hAnsi="Times New Roman"/>
          <w:bCs/>
          <w:sz w:val="24"/>
          <w:szCs w:val="24"/>
        </w:rPr>
        <w:t xml:space="preserve">, </w:t>
      </w:r>
      <w:r w:rsidR="009E339A">
        <w:rPr>
          <w:rFonts w:ascii="Times New Roman" w:eastAsia="Times New Roman" w:hAnsi="Times New Roman"/>
          <w:bCs/>
          <w:sz w:val="24"/>
          <w:szCs w:val="24"/>
        </w:rPr>
        <w:t>State</w:t>
      </w:r>
      <w:r w:rsidR="004D1E5F">
        <w:rPr>
          <w:rFonts w:ascii="Times New Roman" w:eastAsia="Times New Roman" w:hAnsi="Times New Roman"/>
          <w:bCs/>
          <w:sz w:val="24"/>
          <w:szCs w:val="24"/>
        </w:rPr>
        <w:t>,</w:t>
      </w:r>
      <w:r w:rsidR="009E339A">
        <w:rPr>
          <w:rFonts w:ascii="Times New Roman" w:eastAsia="Times New Roman" w:hAnsi="Times New Roman"/>
          <w:bCs/>
          <w:sz w:val="24"/>
          <w:szCs w:val="24"/>
        </w:rPr>
        <w:t xml:space="preserve"> </w:t>
      </w:r>
      <w:r w:rsidR="000E15ED">
        <w:rPr>
          <w:rFonts w:ascii="Times New Roman" w:eastAsia="Times New Roman" w:hAnsi="Times New Roman"/>
          <w:bCs/>
          <w:sz w:val="24"/>
          <w:szCs w:val="24"/>
        </w:rPr>
        <w:t xml:space="preserve">and federal funds to programs throughout the </w:t>
      </w:r>
      <w:r w:rsidR="009E339A">
        <w:rPr>
          <w:rFonts w:ascii="Times New Roman" w:eastAsia="Times New Roman" w:hAnsi="Times New Roman"/>
          <w:bCs/>
          <w:sz w:val="24"/>
          <w:szCs w:val="24"/>
        </w:rPr>
        <w:t>city</w:t>
      </w:r>
      <w:r w:rsidR="000E15ED">
        <w:rPr>
          <w:rFonts w:ascii="Times New Roman" w:eastAsia="Times New Roman" w:hAnsi="Times New Roman"/>
          <w:bCs/>
          <w:sz w:val="24"/>
          <w:szCs w:val="24"/>
        </w:rPr>
        <w:t xml:space="preserve">; and </w:t>
      </w:r>
      <w:r w:rsidR="005F3AB4">
        <w:rPr>
          <w:rFonts w:ascii="Times New Roman" w:eastAsia="Times New Roman" w:hAnsi="Times New Roman"/>
          <w:bCs/>
          <w:sz w:val="24"/>
          <w:szCs w:val="24"/>
        </w:rPr>
        <w:t>promulgating</w:t>
      </w:r>
      <w:r w:rsidR="000E15ED">
        <w:rPr>
          <w:rFonts w:ascii="Times New Roman" w:eastAsia="Times New Roman" w:hAnsi="Times New Roman"/>
          <w:bCs/>
          <w:sz w:val="24"/>
          <w:szCs w:val="24"/>
        </w:rPr>
        <w:t xml:space="preserve"> rules and regulations for the operation of facilities, services</w:t>
      </w:r>
      <w:r w:rsidR="004D1E5F">
        <w:rPr>
          <w:rFonts w:ascii="Times New Roman" w:eastAsia="Times New Roman" w:hAnsi="Times New Roman"/>
          <w:bCs/>
          <w:sz w:val="24"/>
          <w:szCs w:val="24"/>
        </w:rPr>
        <w:t>,</w:t>
      </w:r>
      <w:r w:rsidR="000E15ED">
        <w:rPr>
          <w:rFonts w:ascii="Times New Roman" w:eastAsia="Times New Roman" w:hAnsi="Times New Roman"/>
          <w:bCs/>
          <w:sz w:val="24"/>
          <w:szCs w:val="24"/>
        </w:rPr>
        <w:t xml:space="preserve"> and programs under its jurisdiction</w:t>
      </w:r>
      <w:r w:rsidR="00670DB7">
        <w:rPr>
          <w:rFonts w:ascii="Times New Roman" w:eastAsia="Times New Roman" w:hAnsi="Times New Roman"/>
          <w:bCs/>
          <w:sz w:val="24"/>
          <w:szCs w:val="24"/>
        </w:rPr>
        <w:t>.</w:t>
      </w:r>
      <w:r w:rsidR="00670DB7">
        <w:rPr>
          <w:rStyle w:val="FootnoteReference"/>
          <w:rFonts w:ascii="Times New Roman" w:eastAsia="Times New Roman" w:hAnsi="Times New Roman"/>
          <w:bCs/>
          <w:sz w:val="24"/>
          <w:szCs w:val="24"/>
        </w:rPr>
        <w:footnoteReference w:id="3"/>
      </w:r>
      <w:r w:rsidR="00CE73EA">
        <w:rPr>
          <w:rFonts w:ascii="Times New Roman" w:eastAsia="Times New Roman" w:hAnsi="Times New Roman"/>
          <w:bCs/>
          <w:sz w:val="24"/>
          <w:szCs w:val="24"/>
        </w:rPr>
        <w:t xml:space="preserve"> </w:t>
      </w:r>
      <w:r w:rsidR="00932042">
        <w:rPr>
          <w:rFonts w:ascii="Times New Roman" w:eastAsia="Times New Roman" w:hAnsi="Times New Roman"/>
          <w:bCs/>
          <w:sz w:val="24"/>
          <w:szCs w:val="24"/>
        </w:rPr>
        <w:t xml:space="preserve">Additionally, </w:t>
      </w:r>
      <w:r w:rsidR="00CE73EA">
        <w:rPr>
          <w:rFonts w:ascii="Times New Roman" w:eastAsia="Times New Roman" w:hAnsi="Times New Roman"/>
          <w:bCs/>
          <w:sz w:val="24"/>
          <w:szCs w:val="24"/>
        </w:rPr>
        <w:t xml:space="preserve">DFTA </w:t>
      </w:r>
      <w:r w:rsidR="006B443A">
        <w:rPr>
          <w:rFonts w:ascii="Times New Roman" w:eastAsia="Times New Roman" w:hAnsi="Times New Roman"/>
          <w:bCs/>
          <w:sz w:val="24"/>
          <w:szCs w:val="24"/>
        </w:rPr>
        <w:t>engages in work to support caregivers through service, advocacy</w:t>
      </w:r>
      <w:r w:rsidR="009E339A">
        <w:rPr>
          <w:rFonts w:ascii="Times New Roman" w:eastAsia="Times New Roman" w:hAnsi="Times New Roman"/>
          <w:bCs/>
          <w:sz w:val="24"/>
          <w:szCs w:val="24"/>
        </w:rPr>
        <w:t>,</w:t>
      </w:r>
      <w:r w:rsidR="006B443A">
        <w:rPr>
          <w:rFonts w:ascii="Times New Roman" w:eastAsia="Times New Roman" w:hAnsi="Times New Roman"/>
          <w:bCs/>
          <w:sz w:val="24"/>
          <w:szCs w:val="24"/>
        </w:rPr>
        <w:t xml:space="preserve"> and education</w:t>
      </w:r>
      <w:r w:rsidR="00932042">
        <w:rPr>
          <w:rFonts w:ascii="Times New Roman" w:eastAsia="Times New Roman" w:hAnsi="Times New Roman"/>
          <w:bCs/>
          <w:sz w:val="24"/>
          <w:szCs w:val="24"/>
        </w:rPr>
        <w:t>.</w:t>
      </w:r>
      <w:r w:rsidR="00932042">
        <w:rPr>
          <w:rStyle w:val="FootnoteReference"/>
          <w:rFonts w:ascii="Times New Roman" w:eastAsia="Times New Roman" w:hAnsi="Times New Roman"/>
          <w:bCs/>
          <w:sz w:val="24"/>
          <w:szCs w:val="24"/>
        </w:rPr>
        <w:footnoteReference w:id="4"/>
      </w:r>
      <w:r w:rsidR="006B443A">
        <w:rPr>
          <w:rFonts w:ascii="Times New Roman" w:eastAsia="Times New Roman" w:hAnsi="Times New Roman"/>
          <w:bCs/>
          <w:sz w:val="24"/>
          <w:szCs w:val="24"/>
        </w:rPr>
        <w:t xml:space="preserve"> </w:t>
      </w:r>
      <w:r w:rsidR="00932042">
        <w:rPr>
          <w:rFonts w:ascii="Times New Roman" w:eastAsia="Times New Roman" w:hAnsi="Times New Roman"/>
          <w:bCs/>
          <w:sz w:val="24"/>
          <w:szCs w:val="24"/>
        </w:rPr>
        <w:t>DFTA</w:t>
      </w:r>
      <w:r w:rsidR="00752445">
        <w:rPr>
          <w:rFonts w:ascii="Times New Roman" w:eastAsia="Times New Roman" w:hAnsi="Times New Roman"/>
          <w:bCs/>
          <w:sz w:val="24"/>
          <w:szCs w:val="24"/>
        </w:rPr>
        <w:t xml:space="preserve"> </w:t>
      </w:r>
      <w:r w:rsidR="00CE73EA">
        <w:rPr>
          <w:rFonts w:ascii="Times New Roman" w:eastAsia="Times New Roman" w:hAnsi="Times New Roman"/>
          <w:bCs/>
          <w:sz w:val="24"/>
          <w:szCs w:val="24"/>
        </w:rPr>
        <w:t>carries out these responsibilities with the mission “to eliminate ageism</w:t>
      </w:r>
      <w:r w:rsidR="000E15ED">
        <w:rPr>
          <w:rFonts w:ascii="Times New Roman" w:eastAsia="Times New Roman" w:hAnsi="Times New Roman"/>
          <w:bCs/>
          <w:sz w:val="24"/>
          <w:szCs w:val="24"/>
        </w:rPr>
        <w:t xml:space="preserve"> and </w:t>
      </w:r>
      <w:r w:rsidR="00CE73EA">
        <w:rPr>
          <w:rFonts w:ascii="Times New Roman" w:eastAsia="Times New Roman" w:hAnsi="Times New Roman"/>
          <w:bCs/>
          <w:sz w:val="24"/>
          <w:szCs w:val="24"/>
        </w:rPr>
        <w:t>ensure the dignity</w:t>
      </w:r>
      <w:r w:rsidR="000E15ED">
        <w:rPr>
          <w:rFonts w:ascii="Times New Roman" w:eastAsia="Times New Roman" w:hAnsi="Times New Roman"/>
          <w:bCs/>
          <w:sz w:val="24"/>
          <w:szCs w:val="24"/>
        </w:rPr>
        <w:t xml:space="preserve"> and </w:t>
      </w:r>
      <w:r w:rsidR="00CE73EA">
        <w:rPr>
          <w:rFonts w:ascii="Times New Roman" w:eastAsia="Times New Roman" w:hAnsi="Times New Roman"/>
          <w:bCs/>
          <w:sz w:val="24"/>
          <w:szCs w:val="24"/>
        </w:rPr>
        <w:t xml:space="preserve">quality </w:t>
      </w:r>
      <w:r w:rsidR="00752445">
        <w:rPr>
          <w:rFonts w:ascii="Times New Roman" w:eastAsia="Times New Roman" w:hAnsi="Times New Roman"/>
          <w:bCs/>
          <w:sz w:val="24"/>
          <w:szCs w:val="24"/>
        </w:rPr>
        <w:t>of life of diverse older adults</w:t>
      </w:r>
      <w:r w:rsidR="00FC7DEA">
        <w:rPr>
          <w:rFonts w:ascii="Times New Roman" w:eastAsia="Times New Roman" w:hAnsi="Times New Roman"/>
          <w:bCs/>
          <w:sz w:val="24"/>
          <w:szCs w:val="24"/>
        </w:rPr>
        <w:t>,</w:t>
      </w:r>
      <w:r w:rsidR="006B443A">
        <w:rPr>
          <w:rFonts w:ascii="Times New Roman" w:eastAsia="Times New Roman" w:hAnsi="Times New Roman"/>
          <w:bCs/>
          <w:sz w:val="24"/>
          <w:szCs w:val="24"/>
        </w:rPr>
        <w:t>”</w:t>
      </w:r>
      <w:r w:rsidR="00CE73EA">
        <w:rPr>
          <w:rStyle w:val="FootnoteReference"/>
          <w:rFonts w:ascii="Times New Roman" w:eastAsia="Times New Roman" w:hAnsi="Times New Roman"/>
          <w:bCs/>
          <w:sz w:val="24"/>
          <w:szCs w:val="24"/>
        </w:rPr>
        <w:footnoteReference w:id="5"/>
      </w:r>
      <w:r w:rsidR="00D21A3A" w:rsidRPr="00D21A3A">
        <w:rPr>
          <w:rFonts w:ascii="Times New Roman" w:eastAsia="Times New Roman" w:hAnsi="Times New Roman"/>
          <w:bCs/>
          <w:sz w:val="24"/>
          <w:szCs w:val="24"/>
        </w:rPr>
        <w:t xml:space="preserve"> </w:t>
      </w:r>
      <w:r w:rsidR="00FC7DEA">
        <w:rPr>
          <w:rFonts w:ascii="Times New Roman" w:eastAsia="Times New Roman" w:hAnsi="Times New Roman"/>
          <w:bCs/>
          <w:sz w:val="24"/>
          <w:szCs w:val="24"/>
        </w:rPr>
        <w:t>and a</w:t>
      </w:r>
      <w:r w:rsidR="00D21A3A">
        <w:rPr>
          <w:rFonts w:ascii="Times New Roman" w:eastAsia="Times New Roman" w:hAnsi="Times New Roman"/>
          <w:bCs/>
          <w:sz w:val="24"/>
          <w:szCs w:val="24"/>
        </w:rPr>
        <w:t>ll New Yorkers may access DFTA and City services regardless of immigration status.</w:t>
      </w:r>
      <w:r w:rsidR="00D21A3A">
        <w:rPr>
          <w:rStyle w:val="FootnoteReference"/>
          <w:rFonts w:ascii="Times New Roman" w:eastAsia="Times New Roman" w:hAnsi="Times New Roman"/>
          <w:bCs/>
          <w:sz w:val="24"/>
          <w:szCs w:val="24"/>
        </w:rPr>
        <w:footnoteReference w:id="6"/>
      </w:r>
    </w:p>
    <w:p w14:paraId="7AA7F0A1" w14:textId="49BDFA34" w:rsidR="00235814" w:rsidRDefault="00A65CA6" w:rsidP="00EB5EB6">
      <w:pPr>
        <w:pStyle w:val="NoSpacing"/>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Within DFTA, </w:t>
      </w:r>
      <w:r w:rsidR="009E339A">
        <w:rPr>
          <w:rFonts w:ascii="Times New Roman" w:eastAsia="Times New Roman" w:hAnsi="Times New Roman"/>
          <w:bCs/>
          <w:sz w:val="24"/>
          <w:szCs w:val="24"/>
        </w:rPr>
        <w:t>the</w:t>
      </w:r>
      <w:r>
        <w:rPr>
          <w:rFonts w:ascii="Times New Roman" w:eastAsia="Times New Roman" w:hAnsi="Times New Roman"/>
          <w:bCs/>
          <w:sz w:val="24"/>
          <w:szCs w:val="24"/>
        </w:rPr>
        <w:t xml:space="preserve"> </w:t>
      </w:r>
      <w:r w:rsidRPr="00E9137F">
        <w:rPr>
          <w:rFonts w:ascii="Times New Roman" w:eastAsia="Times New Roman" w:hAnsi="Times New Roman"/>
          <w:bCs/>
          <w:sz w:val="24"/>
          <w:szCs w:val="24"/>
        </w:rPr>
        <w:t>Senior Employment Services Unit</w:t>
      </w:r>
      <w:r w:rsidR="00035D1D">
        <w:rPr>
          <w:rFonts w:ascii="Times New Roman" w:eastAsia="Times New Roman" w:hAnsi="Times New Roman"/>
          <w:bCs/>
          <w:sz w:val="24"/>
          <w:szCs w:val="24"/>
        </w:rPr>
        <w:t xml:space="preserve"> (SESU)</w:t>
      </w:r>
      <w:r w:rsidR="009E339A">
        <w:rPr>
          <w:rFonts w:ascii="Times New Roman" w:eastAsia="Times New Roman" w:hAnsi="Times New Roman"/>
          <w:bCs/>
          <w:sz w:val="24"/>
          <w:szCs w:val="24"/>
        </w:rPr>
        <w:t xml:space="preserve"> </w:t>
      </w:r>
      <w:r w:rsidR="005A7031">
        <w:rPr>
          <w:rFonts w:ascii="Times New Roman" w:eastAsia="Times New Roman" w:hAnsi="Times New Roman"/>
          <w:bCs/>
          <w:sz w:val="24"/>
          <w:szCs w:val="24"/>
        </w:rPr>
        <w:t>helps older adults 55 and older prepare for and find work while paying them.</w:t>
      </w:r>
      <w:r w:rsidR="004B3D68">
        <w:rPr>
          <w:rStyle w:val="FootnoteReference"/>
          <w:rFonts w:ascii="Times New Roman" w:eastAsia="Times New Roman" w:hAnsi="Times New Roman"/>
          <w:bCs/>
          <w:sz w:val="24"/>
          <w:szCs w:val="24"/>
        </w:rPr>
        <w:footnoteReference w:id="7"/>
      </w:r>
      <w:r w:rsidR="005A7031">
        <w:rPr>
          <w:rFonts w:ascii="Times New Roman" w:eastAsia="Times New Roman" w:hAnsi="Times New Roman"/>
          <w:bCs/>
          <w:sz w:val="24"/>
          <w:szCs w:val="24"/>
        </w:rPr>
        <w:t xml:space="preserve"> SESU trains older adults to use computers, look for work, </w:t>
      </w:r>
      <w:r w:rsidR="00F94A2C">
        <w:rPr>
          <w:rFonts w:ascii="Times New Roman" w:eastAsia="Times New Roman" w:hAnsi="Times New Roman"/>
          <w:bCs/>
          <w:sz w:val="24"/>
          <w:szCs w:val="24"/>
        </w:rPr>
        <w:t xml:space="preserve">and </w:t>
      </w:r>
      <w:r w:rsidR="005A7031">
        <w:rPr>
          <w:rFonts w:ascii="Times New Roman" w:eastAsia="Times New Roman" w:hAnsi="Times New Roman"/>
          <w:bCs/>
          <w:sz w:val="24"/>
          <w:szCs w:val="24"/>
        </w:rPr>
        <w:t>write résum</w:t>
      </w:r>
      <w:r w:rsidR="00F94A2C">
        <w:rPr>
          <w:rFonts w:ascii="Times New Roman" w:eastAsia="Times New Roman" w:hAnsi="Times New Roman"/>
          <w:bCs/>
          <w:sz w:val="24"/>
          <w:szCs w:val="24"/>
        </w:rPr>
        <w:t>és</w:t>
      </w:r>
      <w:r w:rsidR="00C104DC">
        <w:rPr>
          <w:rFonts w:ascii="Times New Roman" w:eastAsia="Times New Roman" w:hAnsi="Times New Roman"/>
          <w:bCs/>
          <w:sz w:val="24"/>
          <w:szCs w:val="24"/>
        </w:rPr>
        <w:t>;</w:t>
      </w:r>
      <w:r w:rsidR="00F94A2C">
        <w:rPr>
          <w:rFonts w:ascii="Times New Roman" w:eastAsia="Times New Roman" w:hAnsi="Times New Roman"/>
          <w:bCs/>
          <w:sz w:val="24"/>
          <w:szCs w:val="24"/>
        </w:rPr>
        <w:t xml:space="preserve"> </w:t>
      </w:r>
      <w:r w:rsidR="00C104DC">
        <w:rPr>
          <w:rFonts w:ascii="Times New Roman" w:eastAsia="Times New Roman" w:hAnsi="Times New Roman"/>
          <w:bCs/>
          <w:sz w:val="24"/>
          <w:szCs w:val="24"/>
        </w:rPr>
        <w:t>as the unit also</w:t>
      </w:r>
      <w:r w:rsidR="00F94A2C">
        <w:rPr>
          <w:rFonts w:ascii="Times New Roman" w:eastAsia="Times New Roman" w:hAnsi="Times New Roman"/>
          <w:bCs/>
          <w:sz w:val="24"/>
          <w:szCs w:val="24"/>
        </w:rPr>
        <w:t xml:space="preserve"> offers career counselors to give advice</w:t>
      </w:r>
      <w:r w:rsidR="004B3D68">
        <w:rPr>
          <w:rFonts w:ascii="Times New Roman" w:eastAsia="Times New Roman" w:hAnsi="Times New Roman"/>
          <w:bCs/>
          <w:sz w:val="24"/>
          <w:szCs w:val="24"/>
        </w:rPr>
        <w:t>.</w:t>
      </w:r>
      <w:r w:rsidR="004B3D68">
        <w:rPr>
          <w:rStyle w:val="FootnoteReference"/>
          <w:rFonts w:ascii="Times New Roman" w:eastAsia="Times New Roman" w:hAnsi="Times New Roman"/>
          <w:bCs/>
          <w:sz w:val="24"/>
          <w:szCs w:val="24"/>
        </w:rPr>
        <w:footnoteReference w:id="8"/>
      </w:r>
      <w:r w:rsidR="00F667FB">
        <w:rPr>
          <w:rFonts w:ascii="Times New Roman" w:eastAsia="Times New Roman" w:hAnsi="Times New Roman"/>
          <w:bCs/>
          <w:sz w:val="24"/>
          <w:szCs w:val="24"/>
        </w:rPr>
        <w:t xml:space="preserve"> Older adults ma</w:t>
      </w:r>
      <w:r w:rsidR="00680D5B">
        <w:rPr>
          <w:rFonts w:ascii="Times New Roman" w:eastAsia="Times New Roman" w:hAnsi="Times New Roman"/>
          <w:bCs/>
          <w:sz w:val="24"/>
          <w:szCs w:val="24"/>
        </w:rPr>
        <w:t xml:space="preserve">y access SESU via </w:t>
      </w:r>
      <w:r w:rsidR="00C104DC">
        <w:rPr>
          <w:rFonts w:ascii="Times New Roman" w:eastAsia="Times New Roman" w:hAnsi="Times New Roman"/>
          <w:bCs/>
          <w:sz w:val="24"/>
          <w:szCs w:val="24"/>
        </w:rPr>
        <w:t xml:space="preserve">its </w:t>
      </w:r>
      <w:r w:rsidR="00680D5B">
        <w:rPr>
          <w:rFonts w:ascii="Times New Roman" w:eastAsia="Times New Roman" w:hAnsi="Times New Roman"/>
          <w:bCs/>
          <w:sz w:val="24"/>
          <w:szCs w:val="24"/>
        </w:rPr>
        <w:t xml:space="preserve">website, </w:t>
      </w:r>
      <w:hyperlink r:id="rId12" w:history="1">
        <w:r w:rsidR="004B3D68" w:rsidRPr="00AB68F7">
          <w:rPr>
            <w:rStyle w:val="Hyperlink"/>
            <w:rFonts w:ascii="Times New Roman" w:eastAsia="Times New Roman" w:hAnsi="Times New Roman"/>
            <w:bCs/>
            <w:sz w:val="24"/>
            <w:szCs w:val="24"/>
          </w:rPr>
          <w:t>https://www1.nyc.gov/site/dfta/services/older-adult-employment.page</w:t>
        </w:r>
      </w:hyperlink>
      <w:r w:rsidR="004B3D68">
        <w:rPr>
          <w:rFonts w:ascii="Times New Roman" w:eastAsia="Times New Roman" w:hAnsi="Times New Roman"/>
          <w:bCs/>
          <w:sz w:val="24"/>
          <w:szCs w:val="24"/>
        </w:rPr>
        <w:t>, or by calling 311 or Senior Employment Services at 212-602-6958.</w:t>
      </w:r>
      <w:r w:rsidR="004B3D68">
        <w:rPr>
          <w:rStyle w:val="FootnoteReference"/>
          <w:rFonts w:ascii="Times New Roman" w:eastAsia="Times New Roman" w:hAnsi="Times New Roman"/>
          <w:bCs/>
          <w:sz w:val="24"/>
          <w:szCs w:val="24"/>
        </w:rPr>
        <w:footnoteReference w:id="9"/>
      </w:r>
    </w:p>
    <w:p w14:paraId="1F09D353" w14:textId="43B51AC7" w:rsidR="0056320A" w:rsidRDefault="0012131E" w:rsidP="00235814">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DFTA’s Caregiver Resource Center provides free </w:t>
      </w:r>
      <w:r w:rsidR="00375BCD" w:rsidRPr="00375BCD">
        <w:rPr>
          <w:rFonts w:ascii="Times New Roman" w:eastAsia="Times New Roman" w:hAnsi="Times New Roman"/>
          <w:bCs/>
          <w:sz w:val="24"/>
          <w:szCs w:val="24"/>
        </w:rPr>
        <w:t>counseling and assistance to New Yorkers caring for persons with Alzheimer’s and other forms of dementia.</w:t>
      </w:r>
      <w:r w:rsidR="00375BCD">
        <w:rPr>
          <w:rStyle w:val="FootnoteReference"/>
          <w:rFonts w:ascii="Times New Roman" w:eastAsia="Times New Roman" w:hAnsi="Times New Roman"/>
          <w:bCs/>
          <w:sz w:val="24"/>
          <w:szCs w:val="24"/>
        </w:rPr>
        <w:footnoteReference w:id="10"/>
      </w:r>
      <w:r w:rsidR="001F3EC0">
        <w:rPr>
          <w:rFonts w:ascii="Times New Roman" w:eastAsia="Times New Roman" w:hAnsi="Times New Roman"/>
          <w:bCs/>
          <w:sz w:val="24"/>
          <w:szCs w:val="24"/>
        </w:rPr>
        <w:t xml:space="preserve"> DFTA funds 12</w:t>
      </w:r>
      <w:r w:rsidR="00C104DC">
        <w:rPr>
          <w:rFonts w:ascii="Times New Roman" w:eastAsia="Times New Roman" w:hAnsi="Times New Roman"/>
          <w:bCs/>
          <w:sz w:val="24"/>
          <w:szCs w:val="24"/>
        </w:rPr>
        <w:t xml:space="preserve"> </w:t>
      </w:r>
      <w:r w:rsidR="001F3EC0">
        <w:rPr>
          <w:rFonts w:ascii="Times New Roman" w:eastAsia="Times New Roman" w:hAnsi="Times New Roman"/>
          <w:bCs/>
          <w:sz w:val="24"/>
          <w:szCs w:val="24"/>
        </w:rPr>
        <w:t>community</w:t>
      </w:r>
      <w:r w:rsidR="00C104DC">
        <w:rPr>
          <w:rFonts w:ascii="Times New Roman" w:eastAsia="Times New Roman" w:hAnsi="Times New Roman"/>
          <w:bCs/>
          <w:sz w:val="24"/>
          <w:szCs w:val="24"/>
        </w:rPr>
        <w:t>-</w:t>
      </w:r>
      <w:r w:rsidR="001F3EC0">
        <w:rPr>
          <w:rFonts w:ascii="Times New Roman" w:eastAsia="Times New Roman" w:hAnsi="Times New Roman"/>
          <w:bCs/>
          <w:sz w:val="24"/>
          <w:szCs w:val="24"/>
        </w:rPr>
        <w:t>based caregiver programs across the five boroughs that can provide</w:t>
      </w:r>
      <w:r w:rsidR="00C104DC">
        <w:rPr>
          <w:rFonts w:ascii="Times New Roman" w:eastAsia="Times New Roman" w:hAnsi="Times New Roman"/>
          <w:bCs/>
          <w:sz w:val="24"/>
          <w:szCs w:val="24"/>
        </w:rPr>
        <w:t>:</w:t>
      </w:r>
      <w:r w:rsidR="001F3EC0">
        <w:rPr>
          <w:rFonts w:ascii="Times New Roman" w:eastAsia="Times New Roman" w:hAnsi="Times New Roman"/>
          <w:bCs/>
          <w:sz w:val="24"/>
          <w:szCs w:val="24"/>
        </w:rPr>
        <w:t xml:space="preserve"> information &amp; referrals; </w:t>
      </w:r>
      <w:r w:rsidR="006C399B">
        <w:rPr>
          <w:rFonts w:ascii="Times New Roman" w:eastAsia="Times New Roman" w:hAnsi="Times New Roman"/>
          <w:bCs/>
          <w:sz w:val="24"/>
          <w:szCs w:val="24"/>
        </w:rPr>
        <w:t>long-term care planning; support groups; counseling; training; respite care; and financial assistance for some t</w:t>
      </w:r>
      <w:r w:rsidR="004D1E5F">
        <w:rPr>
          <w:rFonts w:ascii="Times New Roman" w:eastAsia="Times New Roman" w:hAnsi="Times New Roman"/>
          <w:bCs/>
          <w:sz w:val="24"/>
          <w:szCs w:val="24"/>
        </w:rPr>
        <w:t>ypes</w:t>
      </w:r>
      <w:r w:rsidR="006C399B">
        <w:rPr>
          <w:rFonts w:ascii="Times New Roman" w:eastAsia="Times New Roman" w:hAnsi="Times New Roman"/>
          <w:bCs/>
          <w:sz w:val="24"/>
          <w:szCs w:val="24"/>
        </w:rPr>
        <w:t xml:space="preserve"> of assistive devices (e.g., medical alert systems, limited home modifications, and caregiving supplies).</w:t>
      </w:r>
      <w:r w:rsidR="006C399B">
        <w:rPr>
          <w:rStyle w:val="FootnoteReference"/>
          <w:rFonts w:ascii="Times New Roman" w:eastAsia="Times New Roman" w:hAnsi="Times New Roman"/>
          <w:bCs/>
          <w:sz w:val="24"/>
          <w:szCs w:val="24"/>
        </w:rPr>
        <w:footnoteReference w:id="11"/>
      </w:r>
    </w:p>
    <w:p w14:paraId="23D7AEEC" w14:textId="431199E2" w:rsidR="007C1ABA" w:rsidRDefault="00CF27F7" w:rsidP="00235814">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DFTA’s </w:t>
      </w:r>
      <w:r w:rsidR="00A65CA6">
        <w:rPr>
          <w:rFonts w:ascii="Times New Roman" w:eastAsia="Times New Roman" w:hAnsi="Times New Roman"/>
          <w:bCs/>
          <w:sz w:val="24"/>
          <w:szCs w:val="24"/>
        </w:rPr>
        <w:t>Elderly</w:t>
      </w:r>
      <w:r>
        <w:rPr>
          <w:rFonts w:ascii="Times New Roman" w:eastAsia="Times New Roman" w:hAnsi="Times New Roman"/>
          <w:bCs/>
          <w:sz w:val="24"/>
          <w:szCs w:val="24"/>
        </w:rPr>
        <w:t xml:space="preserve"> Crime Victims Resource Center </w:t>
      </w:r>
      <w:r w:rsidRPr="00CF27F7">
        <w:rPr>
          <w:rFonts w:ascii="Times New Roman" w:eastAsia="Times New Roman" w:hAnsi="Times New Roman"/>
          <w:bCs/>
          <w:sz w:val="24"/>
          <w:szCs w:val="24"/>
        </w:rPr>
        <w:t>helps older victims of crimes committed by strangers.</w:t>
      </w:r>
      <w:r>
        <w:rPr>
          <w:rStyle w:val="FootnoteReference"/>
          <w:rFonts w:ascii="Times New Roman" w:eastAsia="Times New Roman" w:hAnsi="Times New Roman"/>
          <w:bCs/>
          <w:sz w:val="24"/>
          <w:szCs w:val="24"/>
        </w:rPr>
        <w:footnoteReference w:id="12"/>
      </w:r>
      <w:r>
        <w:rPr>
          <w:rFonts w:ascii="Times New Roman" w:eastAsia="Times New Roman" w:hAnsi="Times New Roman"/>
          <w:bCs/>
          <w:sz w:val="24"/>
          <w:szCs w:val="24"/>
        </w:rPr>
        <w:t xml:space="preserve"> Such c</w:t>
      </w:r>
      <w:r w:rsidRPr="00CF27F7">
        <w:rPr>
          <w:rFonts w:ascii="Times New Roman" w:eastAsia="Times New Roman" w:hAnsi="Times New Roman"/>
          <w:bCs/>
          <w:sz w:val="24"/>
          <w:szCs w:val="24"/>
        </w:rPr>
        <w:t xml:space="preserve">rimes can be financial, physical, </w:t>
      </w:r>
      <w:r w:rsidR="00C104DC">
        <w:rPr>
          <w:rFonts w:ascii="Times New Roman" w:eastAsia="Times New Roman" w:hAnsi="Times New Roman"/>
          <w:bCs/>
          <w:sz w:val="24"/>
          <w:szCs w:val="24"/>
        </w:rPr>
        <w:t xml:space="preserve">or </w:t>
      </w:r>
      <w:r w:rsidRPr="00CF27F7">
        <w:rPr>
          <w:rFonts w:ascii="Times New Roman" w:eastAsia="Times New Roman" w:hAnsi="Times New Roman"/>
          <w:bCs/>
          <w:sz w:val="24"/>
          <w:szCs w:val="24"/>
        </w:rPr>
        <w:t>emotional, and include neglect - the same crimes that are committed in elder abuse cases.</w:t>
      </w:r>
      <w:r>
        <w:rPr>
          <w:rStyle w:val="FootnoteReference"/>
          <w:rFonts w:ascii="Times New Roman" w:eastAsia="Times New Roman" w:hAnsi="Times New Roman"/>
          <w:bCs/>
          <w:sz w:val="24"/>
          <w:szCs w:val="24"/>
        </w:rPr>
        <w:footnoteReference w:id="13"/>
      </w:r>
      <w:r w:rsidR="00020FA6" w:rsidRPr="00020FA6">
        <w:rPr>
          <w:rFonts w:ascii="Helvetica" w:eastAsia="Times New Roman" w:hAnsi="Helvetica"/>
          <w:color w:val="333333"/>
          <w:sz w:val="24"/>
          <w:szCs w:val="24"/>
          <w:shd w:val="clear" w:color="auto" w:fill="FFFFFF"/>
        </w:rPr>
        <w:t xml:space="preserve"> </w:t>
      </w:r>
      <w:r w:rsidR="00020FA6" w:rsidRPr="00020FA6">
        <w:rPr>
          <w:rFonts w:ascii="Times New Roman" w:eastAsia="Times New Roman" w:hAnsi="Times New Roman"/>
          <w:bCs/>
          <w:sz w:val="24"/>
          <w:szCs w:val="24"/>
        </w:rPr>
        <w:t>DFTA partners with a community-based program</w:t>
      </w:r>
      <w:r w:rsidR="00EF7CE7">
        <w:rPr>
          <w:rFonts w:ascii="Times New Roman" w:eastAsia="Times New Roman" w:hAnsi="Times New Roman"/>
          <w:bCs/>
          <w:sz w:val="24"/>
          <w:szCs w:val="24"/>
        </w:rPr>
        <w:t>s</w:t>
      </w:r>
      <w:r w:rsidR="00020FA6" w:rsidRPr="00020FA6">
        <w:rPr>
          <w:rFonts w:ascii="Times New Roman" w:eastAsia="Times New Roman" w:hAnsi="Times New Roman"/>
          <w:bCs/>
          <w:sz w:val="24"/>
          <w:szCs w:val="24"/>
        </w:rPr>
        <w:t xml:space="preserve"> in each borough to provide elder abuse victims with crisis intervention and safety planning.</w:t>
      </w:r>
      <w:r w:rsidR="00020FA6">
        <w:rPr>
          <w:rStyle w:val="FootnoteReference"/>
          <w:rFonts w:ascii="Times New Roman" w:eastAsia="Times New Roman" w:hAnsi="Times New Roman"/>
          <w:bCs/>
          <w:sz w:val="24"/>
          <w:szCs w:val="24"/>
        </w:rPr>
        <w:footnoteReference w:id="14"/>
      </w:r>
      <w:r w:rsidR="00020FA6" w:rsidRPr="00020FA6">
        <w:rPr>
          <w:rFonts w:ascii="Times New Roman" w:eastAsia="Times New Roman" w:hAnsi="Times New Roman"/>
          <w:bCs/>
          <w:sz w:val="24"/>
          <w:szCs w:val="24"/>
        </w:rPr>
        <w:t xml:space="preserve"> The programs also help victims compile evidence, work with authorities, and seek compensation through the New York State Office of Victim Services.</w:t>
      </w:r>
      <w:r w:rsidR="00020FA6">
        <w:rPr>
          <w:rStyle w:val="FootnoteReference"/>
          <w:rFonts w:ascii="Times New Roman" w:eastAsia="Times New Roman" w:hAnsi="Times New Roman"/>
          <w:bCs/>
          <w:sz w:val="24"/>
          <w:szCs w:val="24"/>
        </w:rPr>
        <w:footnoteReference w:id="15"/>
      </w:r>
    </w:p>
    <w:p w14:paraId="1753A17C" w14:textId="4BE7D97B" w:rsidR="001E1A82" w:rsidRDefault="001E1A82" w:rsidP="0069003C">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DFTA’s </w:t>
      </w:r>
      <w:r w:rsidR="0069003C">
        <w:rPr>
          <w:rFonts w:ascii="Times New Roman" w:eastAsia="Times New Roman" w:hAnsi="Times New Roman"/>
          <w:bCs/>
          <w:sz w:val="24"/>
          <w:szCs w:val="24"/>
        </w:rPr>
        <w:t>Grandparent Resource Center aims to help older adults adjust to their role as a kinship caregiver.</w:t>
      </w:r>
      <w:r w:rsidR="0069003C">
        <w:rPr>
          <w:rStyle w:val="FootnoteReference"/>
          <w:rFonts w:ascii="Times New Roman" w:eastAsia="Times New Roman" w:hAnsi="Times New Roman"/>
          <w:bCs/>
          <w:sz w:val="24"/>
          <w:szCs w:val="24"/>
        </w:rPr>
        <w:footnoteReference w:id="16"/>
      </w:r>
      <w:r w:rsidR="0069003C">
        <w:rPr>
          <w:rFonts w:ascii="Times New Roman" w:eastAsia="Times New Roman" w:hAnsi="Times New Roman"/>
          <w:bCs/>
          <w:sz w:val="24"/>
          <w:szCs w:val="24"/>
        </w:rPr>
        <w:t xml:space="preserve"> Available services include w</w:t>
      </w:r>
      <w:r w:rsidR="0069003C" w:rsidRPr="0069003C">
        <w:rPr>
          <w:rFonts w:ascii="Times New Roman" w:eastAsia="Times New Roman" w:hAnsi="Times New Roman"/>
          <w:bCs/>
          <w:sz w:val="24"/>
          <w:szCs w:val="24"/>
        </w:rPr>
        <w:t>orkshops on legal issues, benefits and entitlements, nutrition, budgeting, and other topics</w:t>
      </w:r>
      <w:r w:rsidR="0069003C">
        <w:rPr>
          <w:rFonts w:ascii="Times New Roman" w:eastAsia="Times New Roman" w:hAnsi="Times New Roman"/>
          <w:bCs/>
          <w:sz w:val="24"/>
          <w:szCs w:val="24"/>
        </w:rPr>
        <w:t xml:space="preserve">; referrals </w:t>
      </w:r>
      <w:r w:rsidR="00EF7CE7">
        <w:rPr>
          <w:rFonts w:ascii="Times New Roman" w:eastAsia="Times New Roman" w:hAnsi="Times New Roman"/>
          <w:bCs/>
          <w:sz w:val="24"/>
          <w:szCs w:val="24"/>
        </w:rPr>
        <w:t>and</w:t>
      </w:r>
      <w:r w:rsidR="0069003C" w:rsidRPr="0069003C">
        <w:rPr>
          <w:rFonts w:ascii="Times New Roman" w:eastAsia="Times New Roman" w:hAnsi="Times New Roman"/>
          <w:bCs/>
          <w:sz w:val="24"/>
          <w:szCs w:val="24"/>
        </w:rPr>
        <w:t xml:space="preserve"> information</w:t>
      </w:r>
      <w:r w:rsidR="0069003C">
        <w:rPr>
          <w:rFonts w:ascii="Times New Roman" w:eastAsia="Times New Roman" w:hAnsi="Times New Roman"/>
          <w:bCs/>
          <w:sz w:val="24"/>
          <w:szCs w:val="24"/>
        </w:rPr>
        <w:t>; p</w:t>
      </w:r>
      <w:r w:rsidR="0069003C" w:rsidRPr="0069003C">
        <w:rPr>
          <w:rFonts w:ascii="Times New Roman" w:eastAsia="Times New Roman" w:hAnsi="Times New Roman"/>
          <w:bCs/>
          <w:sz w:val="24"/>
          <w:szCs w:val="24"/>
        </w:rPr>
        <w:t xml:space="preserve">eer support groups </w:t>
      </w:r>
      <w:r w:rsidR="00EF7CE7">
        <w:rPr>
          <w:rFonts w:ascii="Times New Roman" w:eastAsia="Times New Roman" w:hAnsi="Times New Roman"/>
          <w:bCs/>
          <w:sz w:val="24"/>
          <w:szCs w:val="24"/>
        </w:rPr>
        <w:t>and</w:t>
      </w:r>
      <w:r w:rsidR="0069003C" w:rsidRPr="0069003C">
        <w:rPr>
          <w:rFonts w:ascii="Times New Roman" w:eastAsia="Times New Roman" w:hAnsi="Times New Roman"/>
          <w:bCs/>
          <w:sz w:val="24"/>
          <w:szCs w:val="24"/>
        </w:rPr>
        <w:t xml:space="preserve"> guidance on starting individual groups</w:t>
      </w:r>
      <w:r w:rsidR="0069003C">
        <w:rPr>
          <w:rFonts w:ascii="Times New Roman" w:eastAsia="Times New Roman" w:hAnsi="Times New Roman"/>
          <w:bCs/>
          <w:sz w:val="24"/>
          <w:szCs w:val="24"/>
        </w:rPr>
        <w:t>; expanded outreach at Mayor’</w:t>
      </w:r>
      <w:r w:rsidR="0069003C" w:rsidRPr="0069003C">
        <w:rPr>
          <w:rFonts w:ascii="Times New Roman" w:eastAsia="Times New Roman" w:hAnsi="Times New Roman"/>
          <w:bCs/>
          <w:sz w:val="24"/>
          <w:szCs w:val="24"/>
        </w:rPr>
        <w:t>s Action Plan for Neighborhood Safety</w:t>
      </w:r>
      <w:r w:rsidR="00F304CB">
        <w:rPr>
          <w:rStyle w:val="FootnoteReference"/>
          <w:rFonts w:ascii="Times New Roman" w:eastAsia="Times New Roman" w:hAnsi="Times New Roman"/>
          <w:bCs/>
          <w:sz w:val="24"/>
          <w:szCs w:val="24"/>
        </w:rPr>
        <w:footnoteReference w:id="17"/>
      </w:r>
      <w:r w:rsidR="0069003C" w:rsidRPr="0069003C">
        <w:rPr>
          <w:rFonts w:ascii="Times New Roman" w:eastAsia="Times New Roman" w:hAnsi="Times New Roman"/>
          <w:bCs/>
          <w:sz w:val="24"/>
          <w:szCs w:val="24"/>
        </w:rPr>
        <w:t xml:space="preserve"> sites</w:t>
      </w:r>
      <w:r w:rsidR="0069003C">
        <w:rPr>
          <w:rFonts w:ascii="Times New Roman" w:eastAsia="Times New Roman" w:hAnsi="Times New Roman"/>
          <w:bCs/>
          <w:sz w:val="24"/>
          <w:szCs w:val="24"/>
        </w:rPr>
        <w:t>; P</w:t>
      </w:r>
      <w:r w:rsidR="0069003C" w:rsidRPr="0069003C">
        <w:rPr>
          <w:rFonts w:ascii="Times New Roman" w:eastAsia="Times New Roman" w:hAnsi="Times New Roman"/>
          <w:bCs/>
          <w:sz w:val="24"/>
          <w:szCs w:val="24"/>
        </w:rPr>
        <w:t>arenting a Second Time Around classes</w:t>
      </w:r>
      <w:r w:rsidR="0069003C">
        <w:rPr>
          <w:rFonts w:ascii="Times New Roman" w:eastAsia="Times New Roman" w:hAnsi="Times New Roman"/>
          <w:bCs/>
          <w:sz w:val="24"/>
          <w:szCs w:val="24"/>
        </w:rPr>
        <w:t>; and “</w:t>
      </w:r>
      <w:r w:rsidR="0069003C" w:rsidRPr="0069003C">
        <w:rPr>
          <w:rFonts w:ascii="Times New Roman" w:eastAsia="Times New Roman" w:hAnsi="Times New Roman"/>
          <w:bCs/>
          <w:sz w:val="24"/>
          <w:szCs w:val="24"/>
        </w:rPr>
        <w:t>G</w:t>
      </w:r>
      <w:r w:rsidR="0069003C">
        <w:rPr>
          <w:rFonts w:ascii="Times New Roman" w:eastAsia="Times New Roman" w:hAnsi="Times New Roman"/>
          <w:bCs/>
          <w:sz w:val="24"/>
          <w:szCs w:val="24"/>
        </w:rPr>
        <w:t>randparent sensitivity training”</w:t>
      </w:r>
      <w:r w:rsidR="0069003C" w:rsidRPr="0069003C">
        <w:rPr>
          <w:rFonts w:ascii="Times New Roman" w:eastAsia="Times New Roman" w:hAnsi="Times New Roman"/>
          <w:bCs/>
          <w:sz w:val="24"/>
          <w:szCs w:val="24"/>
        </w:rPr>
        <w:t xml:space="preserve"> for professionals</w:t>
      </w:r>
      <w:r w:rsidR="0069003C">
        <w:rPr>
          <w:rFonts w:ascii="Times New Roman" w:eastAsia="Times New Roman" w:hAnsi="Times New Roman"/>
          <w:bCs/>
          <w:sz w:val="24"/>
          <w:szCs w:val="24"/>
        </w:rPr>
        <w:t>.</w:t>
      </w:r>
      <w:r w:rsidR="001C24AF">
        <w:rPr>
          <w:rStyle w:val="FootnoteReference"/>
          <w:rFonts w:ascii="Times New Roman" w:eastAsia="Times New Roman" w:hAnsi="Times New Roman"/>
          <w:bCs/>
          <w:sz w:val="24"/>
          <w:szCs w:val="24"/>
        </w:rPr>
        <w:footnoteReference w:id="18"/>
      </w:r>
      <w:r w:rsidR="0069003C">
        <w:rPr>
          <w:rFonts w:ascii="Times New Roman" w:eastAsia="Times New Roman" w:hAnsi="Times New Roman"/>
          <w:bCs/>
          <w:sz w:val="24"/>
          <w:szCs w:val="24"/>
        </w:rPr>
        <w:t xml:space="preserve"> These services are accessible by calling 311.</w:t>
      </w:r>
      <w:r w:rsidR="0069003C">
        <w:rPr>
          <w:rStyle w:val="FootnoteReference"/>
          <w:rFonts w:ascii="Times New Roman" w:eastAsia="Times New Roman" w:hAnsi="Times New Roman"/>
          <w:bCs/>
          <w:sz w:val="24"/>
          <w:szCs w:val="24"/>
        </w:rPr>
        <w:footnoteReference w:id="19"/>
      </w:r>
    </w:p>
    <w:p w14:paraId="5518F756" w14:textId="600F5074" w:rsidR="001E1A82" w:rsidRDefault="001E1A82" w:rsidP="0018174C">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DFTA’s </w:t>
      </w:r>
      <w:r w:rsidR="0018174C">
        <w:rPr>
          <w:rFonts w:ascii="Times New Roman" w:eastAsia="Times New Roman" w:hAnsi="Times New Roman"/>
          <w:bCs/>
          <w:sz w:val="24"/>
          <w:szCs w:val="24"/>
        </w:rPr>
        <w:t xml:space="preserve">Foster Grandparent Program </w:t>
      </w:r>
      <w:r w:rsidR="0018174C" w:rsidRPr="0018174C">
        <w:rPr>
          <w:rFonts w:ascii="Times New Roman" w:eastAsia="Times New Roman" w:hAnsi="Times New Roman"/>
          <w:bCs/>
          <w:sz w:val="24"/>
          <w:szCs w:val="24"/>
        </w:rPr>
        <w:t>is a volunteer-based program that offers New Yorkers age 55</w:t>
      </w:r>
      <w:r w:rsidR="0018174C">
        <w:rPr>
          <w:rFonts w:ascii="Times New Roman" w:eastAsia="Times New Roman" w:hAnsi="Times New Roman"/>
          <w:bCs/>
          <w:sz w:val="24"/>
          <w:szCs w:val="24"/>
        </w:rPr>
        <w:t xml:space="preserve"> and older,</w:t>
      </w:r>
      <w:r w:rsidR="0018174C" w:rsidRPr="0018174C">
        <w:rPr>
          <w:rFonts w:ascii="Times New Roman" w:eastAsia="Times New Roman" w:hAnsi="Times New Roman"/>
          <w:bCs/>
          <w:sz w:val="24"/>
          <w:szCs w:val="24"/>
        </w:rPr>
        <w:t xml:space="preserve"> who meet income eligibility requirements</w:t>
      </w:r>
      <w:r w:rsidR="0018174C">
        <w:rPr>
          <w:rFonts w:ascii="Times New Roman" w:eastAsia="Times New Roman" w:hAnsi="Times New Roman"/>
          <w:bCs/>
          <w:sz w:val="24"/>
          <w:szCs w:val="24"/>
        </w:rPr>
        <w:t>,</w:t>
      </w:r>
      <w:r w:rsidR="0018174C" w:rsidRPr="0018174C">
        <w:rPr>
          <w:rFonts w:ascii="Times New Roman" w:eastAsia="Times New Roman" w:hAnsi="Times New Roman"/>
          <w:bCs/>
          <w:sz w:val="24"/>
          <w:szCs w:val="24"/>
        </w:rPr>
        <w:t xml:space="preserve"> a paid non-taxable stipend to serve as mentors, tutors, and emotional support for children and youth with special and exceptional needs.</w:t>
      </w:r>
      <w:r w:rsidR="0018174C">
        <w:rPr>
          <w:rStyle w:val="FootnoteReference"/>
          <w:rFonts w:ascii="Times New Roman" w:eastAsia="Times New Roman" w:hAnsi="Times New Roman"/>
          <w:bCs/>
          <w:sz w:val="24"/>
          <w:szCs w:val="24"/>
        </w:rPr>
        <w:footnoteReference w:id="20"/>
      </w:r>
      <w:r w:rsidR="0018174C">
        <w:rPr>
          <w:rFonts w:ascii="Times New Roman" w:eastAsia="Times New Roman" w:hAnsi="Times New Roman"/>
          <w:bCs/>
          <w:sz w:val="24"/>
          <w:szCs w:val="24"/>
        </w:rPr>
        <w:t xml:space="preserve"> </w:t>
      </w:r>
      <w:r w:rsidR="0018174C" w:rsidRPr="0018174C">
        <w:rPr>
          <w:rFonts w:ascii="Times New Roman" w:eastAsia="Times New Roman" w:hAnsi="Times New Roman"/>
          <w:bCs/>
          <w:sz w:val="24"/>
          <w:szCs w:val="24"/>
        </w:rPr>
        <w:t>Volunteers serve a minimum of 15 hours per week</w:t>
      </w:r>
      <w:r w:rsidR="004257EF">
        <w:rPr>
          <w:rFonts w:ascii="Times New Roman" w:eastAsia="Times New Roman" w:hAnsi="Times New Roman"/>
          <w:bCs/>
          <w:sz w:val="24"/>
          <w:szCs w:val="24"/>
        </w:rPr>
        <w:t xml:space="preserve">, and are </w:t>
      </w:r>
      <w:r w:rsidR="0018174C" w:rsidRPr="0018174C">
        <w:rPr>
          <w:rFonts w:ascii="Times New Roman" w:eastAsia="Times New Roman" w:hAnsi="Times New Roman"/>
          <w:bCs/>
          <w:sz w:val="24"/>
          <w:szCs w:val="24"/>
        </w:rPr>
        <w:t>placed in a variety of community settings, such as Head Start Programs, day care centers, schools, hospitals</w:t>
      </w:r>
      <w:r w:rsidR="00EF7CE7">
        <w:rPr>
          <w:rFonts w:ascii="Times New Roman" w:eastAsia="Times New Roman" w:hAnsi="Times New Roman"/>
          <w:bCs/>
          <w:sz w:val="24"/>
          <w:szCs w:val="24"/>
        </w:rPr>
        <w:t>,</w:t>
      </w:r>
      <w:r w:rsidR="0018174C" w:rsidRPr="0018174C">
        <w:rPr>
          <w:rFonts w:ascii="Times New Roman" w:eastAsia="Times New Roman" w:hAnsi="Times New Roman"/>
          <w:bCs/>
          <w:sz w:val="24"/>
          <w:szCs w:val="24"/>
        </w:rPr>
        <w:t xml:space="preserve"> and family courts.</w:t>
      </w:r>
      <w:r w:rsidR="00AE4A3F">
        <w:rPr>
          <w:rStyle w:val="FootnoteReference"/>
          <w:rFonts w:ascii="Times New Roman" w:eastAsia="Times New Roman" w:hAnsi="Times New Roman"/>
          <w:bCs/>
          <w:sz w:val="24"/>
          <w:szCs w:val="24"/>
        </w:rPr>
        <w:footnoteReference w:id="21"/>
      </w:r>
      <w:r w:rsidR="00AE4A3F">
        <w:rPr>
          <w:rFonts w:ascii="Times New Roman" w:eastAsia="Times New Roman" w:hAnsi="Times New Roman"/>
          <w:bCs/>
          <w:sz w:val="24"/>
          <w:szCs w:val="24"/>
        </w:rPr>
        <w:t xml:space="preserve"> Those</w:t>
      </w:r>
      <w:r w:rsidR="0018174C" w:rsidRPr="0018174C">
        <w:rPr>
          <w:rFonts w:ascii="Times New Roman" w:eastAsia="Times New Roman" w:hAnsi="Times New Roman"/>
          <w:bCs/>
          <w:sz w:val="24"/>
          <w:szCs w:val="24"/>
        </w:rPr>
        <w:t xml:space="preserve"> interested in being</w:t>
      </w:r>
      <w:r w:rsidR="00AE4A3F">
        <w:rPr>
          <w:rFonts w:ascii="Times New Roman" w:eastAsia="Times New Roman" w:hAnsi="Times New Roman"/>
          <w:bCs/>
          <w:sz w:val="24"/>
          <w:szCs w:val="24"/>
        </w:rPr>
        <w:t xml:space="preserve"> a Foster Grandparent volunteer can</w:t>
      </w:r>
      <w:r w:rsidR="0018174C" w:rsidRPr="0018174C">
        <w:rPr>
          <w:rFonts w:ascii="Times New Roman" w:eastAsia="Times New Roman" w:hAnsi="Times New Roman"/>
          <w:bCs/>
          <w:sz w:val="24"/>
          <w:szCs w:val="24"/>
        </w:rPr>
        <w:t xml:space="preserve"> contact Aging Connect at 212-AGING-NYC (212-244-6469).</w:t>
      </w:r>
      <w:r w:rsidR="00AE4A3F">
        <w:rPr>
          <w:rStyle w:val="FootnoteReference"/>
          <w:rFonts w:ascii="Times New Roman" w:eastAsia="Times New Roman" w:hAnsi="Times New Roman"/>
          <w:bCs/>
          <w:sz w:val="24"/>
          <w:szCs w:val="24"/>
        </w:rPr>
        <w:footnoteReference w:id="22"/>
      </w:r>
    </w:p>
    <w:p w14:paraId="77B62B8A" w14:textId="0D59ECE6" w:rsidR="001E1A82" w:rsidRDefault="00F92E8A" w:rsidP="00235814">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DFTA’s Bill Payer Program partners older New Yorkers with a financial-technology company to help </w:t>
      </w:r>
      <w:r w:rsidR="00EF7CE7">
        <w:rPr>
          <w:rFonts w:ascii="Times New Roman" w:eastAsia="Times New Roman" w:hAnsi="Times New Roman"/>
          <w:bCs/>
          <w:sz w:val="24"/>
          <w:szCs w:val="24"/>
        </w:rPr>
        <w:t>them</w:t>
      </w:r>
      <w:r>
        <w:rPr>
          <w:rFonts w:ascii="Times New Roman" w:eastAsia="Times New Roman" w:hAnsi="Times New Roman"/>
          <w:bCs/>
          <w:sz w:val="24"/>
          <w:szCs w:val="24"/>
        </w:rPr>
        <w:t xml:space="preserve"> manage their household bills.</w:t>
      </w:r>
      <w:r>
        <w:rPr>
          <w:rStyle w:val="FootnoteReference"/>
          <w:rFonts w:ascii="Times New Roman" w:eastAsia="Times New Roman" w:hAnsi="Times New Roman"/>
          <w:bCs/>
          <w:sz w:val="24"/>
          <w:szCs w:val="24"/>
        </w:rPr>
        <w:footnoteReference w:id="23"/>
      </w:r>
      <w:r>
        <w:rPr>
          <w:rFonts w:ascii="Times New Roman" w:eastAsia="Times New Roman" w:hAnsi="Times New Roman"/>
          <w:bCs/>
          <w:sz w:val="24"/>
          <w:szCs w:val="24"/>
        </w:rPr>
        <w:t xml:space="preserve"> For eligible clients, a Bill Payer representative will make a one-time visit to their </w:t>
      </w:r>
      <w:r w:rsidR="00EF7CE7">
        <w:rPr>
          <w:rFonts w:ascii="Times New Roman" w:eastAsia="Times New Roman" w:hAnsi="Times New Roman"/>
          <w:bCs/>
          <w:sz w:val="24"/>
          <w:szCs w:val="24"/>
        </w:rPr>
        <w:t xml:space="preserve">home </w:t>
      </w:r>
      <w:r>
        <w:rPr>
          <w:rFonts w:ascii="Times New Roman" w:eastAsia="Times New Roman" w:hAnsi="Times New Roman"/>
          <w:bCs/>
          <w:sz w:val="24"/>
          <w:szCs w:val="24"/>
        </w:rPr>
        <w:t>to help with their budget and enroll them in the program.</w:t>
      </w:r>
      <w:r>
        <w:rPr>
          <w:rStyle w:val="FootnoteReference"/>
          <w:rFonts w:ascii="Times New Roman" w:eastAsia="Times New Roman" w:hAnsi="Times New Roman"/>
          <w:bCs/>
          <w:sz w:val="24"/>
          <w:szCs w:val="24"/>
        </w:rPr>
        <w:footnoteReference w:id="24"/>
      </w:r>
      <w:r>
        <w:rPr>
          <w:rFonts w:ascii="Times New Roman" w:eastAsia="Times New Roman" w:hAnsi="Times New Roman"/>
          <w:bCs/>
          <w:sz w:val="24"/>
          <w:szCs w:val="24"/>
        </w:rPr>
        <w:t xml:space="preserve"> After that, the program will continue to review and process the payment of their bills each month and inform them of any discrepancies or potential fraud.</w:t>
      </w:r>
      <w:r>
        <w:rPr>
          <w:rStyle w:val="FootnoteReference"/>
          <w:rFonts w:ascii="Times New Roman" w:eastAsia="Times New Roman" w:hAnsi="Times New Roman"/>
          <w:bCs/>
          <w:sz w:val="24"/>
          <w:szCs w:val="24"/>
        </w:rPr>
        <w:footnoteReference w:id="25"/>
      </w:r>
      <w:r>
        <w:rPr>
          <w:rFonts w:ascii="Times New Roman" w:eastAsia="Times New Roman" w:hAnsi="Times New Roman"/>
          <w:bCs/>
          <w:sz w:val="24"/>
          <w:szCs w:val="24"/>
        </w:rPr>
        <w:t xml:space="preserve"> For a referral, older adults may call Aging Connect.</w:t>
      </w:r>
      <w:r>
        <w:rPr>
          <w:rStyle w:val="FootnoteReference"/>
          <w:rFonts w:ascii="Times New Roman" w:eastAsia="Times New Roman" w:hAnsi="Times New Roman"/>
          <w:bCs/>
          <w:sz w:val="24"/>
          <w:szCs w:val="24"/>
        </w:rPr>
        <w:footnoteReference w:id="26"/>
      </w:r>
    </w:p>
    <w:p w14:paraId="1F0FA3F9" w14:textId="48E7BC62" w:rsidR="00CB0721" w:rsidRPr="00CB0721" w:rsidRDefault="00365709" w:rsidP="00CB0721">
      <w:pPr>
        <w:pStyle w:val="NoSpacing"/>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00497856">
        <w:rPr>
          <w:rFonts w:ascii="Times New Roman" w:eastAsia="Times New Roman" w:hAnsi="Times New Roman"/>
          <w:sz w:val="24"/>
          <w:szCs w:val="24"/>
        </w:rPr>
        <w:t xml:space="preserve">Aging Connect, which is DFTA’s information and referral contact center for older adults and their families, can be accessed by calling 212-Aging-NYC (212-244-646) or </w:t>
      </w:r>
      <w:r w:rsidR="004A463C">
        <w:rPr>
          <w:rFonts w:ascii="Times New Roman" w:eastAsia="Times New Roman" w:hAnsi="Times New Roman"/>
          <w:sz w:val="24"/>
          <w:szCs w:val="24"/>
        </w:rPr>
        <w:t xml:space="preserve">by sending a message via </w:t>
      </w:r>
      <w:hyperlink r:id="rId13" w:history="1">
        <w:r w:rsidR="004A463C" w:rsidRPr="004C12E3">
          <w:rPr>
            <w:rStyle w:val="Hyperlink"/>
            <w:rFonts w:ascii="Times New Roman" w:eastAsia="Times New Roman" w:hAnsi="Times New Roman"/>
            <w:sz w:val="24"/>
            <w:szCs w:val="24"/>
          </w:rPr>
          <w:t>https://www1.nyc.gov/site/dfta/about/contact-aging-connect.page</w:t>
        </w:r>
      </w:hyperlink>
      <w:r w:rsidR="004A463C">
        <w:rPr>
          <w:rFonts w:ascii="Times New Roman" w:eastAsia="Times New Roman" w:hAnsi="Times New Roman"/>
          <w:sz w:val="24"/>
          <w:szCs w:val="24"/>
        </w:rPr>
        <w:t>.</w:t>
      </w:r>
      <w:r w:rsidR="004A463C">
        <w:rPr>
          <w:rStyle w:val="FootnoteReference"/>
          <w:rFonts w:ascii="Times New Roman" w:eastAsia="Times New Roman" w:hAnsi="Times New Roman"/>
          <w:sz w:val="24"/>
          <w:szCs w:val="24"/>
        </w:rPr>
        <w:footnoteReference w:id="27"/>
      </w:r>
      <w:r w:rsidR="00326236">
        <w:rPr>
          <w:rFonts w:ascii="Times New Roman" w:eastAsia="Times New Roman" w:hAnsi="Times New Roman"/>
          <w:sz w:val="24"/>
          <w:szCs w:val="24"/>
        </w:rPr>
        <w:t xml:space="preserve"> </w:t>
      </w:r>
      <w:r w:rsidR="001D25B6">
        <w:rPr>
          <w:rFonts w:ascii="Times New Roman" w:eastAsia="Times New Roman" w:hAnsi="Times New Roman"/>
          <w:sz w:val="24"/>
          <w:szCs w:val="24"/>
        </w:rPr>
        <w:t xml:space="preserve">It also includes a search tool to find </w:t>
      </w:r>
      <w:r w:rsidR="00836AC4">
        <w:rPr>
          <w:rFonts w:ascii="Times New Roman" w:eastAsia="Times New Roman" w:hAnsi="Times New Roman"/>
          <w:sz w:val="24"/>
          <w:szCs w:val="24"/>
        </w:rPr>
        <w:t>older adult centers (</w:t>
      </w:r>
      <w:r w:rsidR="001D25B6">
        <w:rPr>
          <w:rFonts w:ascii="Times New Roman" w:eastAsia="Times New Roman" w:hAnsi="Times New Roman"/>
          <w:sz w:val="24"/>
          <w:szCs w:val="24"/>
        </w:rPr>
        <w:t>OACs</w:t>
      </w:r>
      <w:r w:rsidR="00836AC4">
        <w:rPr>
          <w:rFonts w:ascii="Times New Roman" w:eastAsia="Times New Roman" w:hAnsi="Times New Roman"/>
          <w:sz w:val="24"/>
          <w:szCs w:val="24"/>
        </w:rPr>
        <w:t>)</w:t>
      </w:r>
      <w:r w:rsidR="001D25B6">
        <w:rPr>
          <w:rFonts w:ascii="Times New Roman" w:eastAsia="Times New Roman" w:hAnsi="Times New Roman"/>
          <w:sz w:val="24"/>
          <w:szCs w:val="24"/>
        </w:rPr>
        <w:t>, services, programs, and more by zip code or borough.</w:t>
      </w:r>
      <w:r w:rsidR="001D25B6">
        <w:rPr>
          <w:rStyle w:val="FootnoteReference"/>
          <w:rFonts w:ascii="Times New Roman" w:eastAsia="Times New Roman" w:hAnsi="Times New Roman"/>
          <w:sz w:val="24"/>
          <w:szCs w:val="24"/>
        </w:rPr>
        <w:footnoteReference w:id="28"/>
      </w:r>
    </w:p>
    <w:p w14:paraId="7D19EC58" w14:textId="21571082" w:rsidR="00883268" w:rsidRDefault="00246DD9" w:rsidP="00DB269D">
      <w:pPr>
        <w:pStyle w:val="NoSpacing"/>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t>DFTA funds more than 300 OACs and affiliated sites through community partnerships in every borough.</w:t>
      </w:r>
      <w:r w:rsidR="008976D5">
        <w:rPr>
          <w:rStyle w:val="FootnoteReference"/>
          <w:rFonts w:ascii="Times New Roman" w:eastAsia="Times New Roman" w:hAnsi="Times New Roman"/>
          <w:sz w:val="24"/>
          <w:szCs w:val="24"/>
        </w:rPr>
        <w:footnoteReference w:id="29"/>
      </w:r>
      <w:r>
        <w:rPr>
          <w:rFonts w:ascii="Times New Roman" w:eastAsia="Times New Roman" w:hAnsi="Times New Roman"/>
          <w:sz w:val="24"/>
          <w:szCs w:val="24"/>
        </w:rPr>
        <w:t xml:space="preserve"> OAC membership is free and open to anyone age 60 or older, without restriction on </w:t>
      </w:r>
      <w:r w:rsidR="008B04D6">
        <w:rPr>
          <w:rFonts w:ascii="Times New Roman" w:eastAsia="Times New Roman" w:hAnsi="Times New Roman"/>
          <w:sz w:val="24"/>
          <w:szCs w:val="24"/>
        </w:rPr>
        <w:t>center choice.</w:t>
      </w:r>
      <w:r w:rsidR="008B04D6">
        <w:rPr>
          <w:rStyle w:val="FootnoteReference"/>
          <w:rFonts w:ascii="Times New Roman" w:eastAsia="Times New Roman" w:hAnsi="Times New Roman"/>
          <w:sz w:val="24"/>
          <w:szCs w:val="24"/>
        </w:rPr>
        <w:footnoteReference w:id="30"/>
      </w:r>
      <w:r w:rsidR="007C30AD">
        <w:rPr>
          <w:rFonts w:ascii="Times New Roman" w:eastAsia="Times New Roman" w:hAnsi="Times New Roman"/>
          <w:sz w:val="24"/>
          <w:szCs w:val="24"/>
        </w:rPr>
        <w:t xml:space="preserve"> OACs offer both in-person and virtual </w:t>
      </w:r>
      <w:r w:rsidR="0031652E">
        <w:rPr>
          <w:rFonts w:ascii="Times New Roman" w:eastAsia="Times New Roman" w:hAnsi="Times New Roman"/>
          <w:sz w:val="24"/>
          <w:szCs w:val="24"/>
        </w:rPr>
        <w:t>activities</w:t>
      </w:r>
      <w:r w:rsidR="00F751AF">
        <w:rPr>
          <w:rFonts w:ascii="Times New Roman" w:eastAsia="Times New Roman" w:hAnsi="Times New Roman"/>
          <w:sz w:val="24"/>
          <w:szCs w:val="24"/>
        </w:rPr>
        <w:t xml:space="preserve">, and while not all services are available at all sites, popular </w:t>
      </w:r>
      <w:r w:rsidR="00DB0BEE">
        <w:rPr>
          <w:rFonts w:ascii="Times New Roman" w:eastAsia="Times New Roman" w:hAnsi="Times New Roman"/>
          <w:sz w:val="24"/>
          <w:szCs w:val="24"/>
        </w:rPr>
        <w:t>activities and services include</w:t>
      </w:r>
      <w:r w:rsidR="00940FCB">
        <w:rPr>
          <w:rFonts w:ascii="Times New Roman" w:eastAsia="Times New Roman" w:hAnsi="Times New Roman"/>
          <w:sz w:val="24"/>
          <w:szCs w:val="24"/>
        </w:rPr>
        <w:t>:</w:t>
      </w:r>
    </w:p>
    <w:p w14:paraId="14B15735" w14:textId="50E4C532"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Art, music, and dance classes</w:t>
      </w:r>
      <w:r w:rsidR="004C0646">
        <w:rPr>
          <w:rFonts w:ascii="Times New Roman" w:eastAsia="Times New Roman" w:hAnsi="Times New Roman"/>
          <w:sz w:val="24"/>
          <w:szCs w:val="24"/>
        </w:rPr>
        <w:t>;</w:t>
      </w:r>
    </w:p>
    <w:p w14:paraId="726B541B" w14:textId="4C5DDAFF"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 xml:space="preserve">Walking clubs, yoga, and tai chi </w:t>
      </w:r>
      <w:r w:rsidR="004C0646">
        <w:rPr>
          <w:rFonts w:ascii="Times New Roman" w:eastAsia="Times New Roman" w:hAnsi="Times New Roman"/>
          <w:sz w:val="24"/>
          <w:szCs w:val="24"/>
        </w:rPr>
        <w:t>(</w:t>
      </w:r>
      <w:r w:rsidRPr="00221B60">
        <w:rPr>
          <w:rFonts w:ascii="Times New Roman" w:eastAsia="Times New Roman" w:hAnsi="Times New Roman"/>
          <w:sz w:val="24"/>
          <w:szCs w:val="24"/>
        </w:rPr>
        <w:t>that can help assist with falls prevention</w:t>
      </w:r>
      <w:r w:rsidR="004C0646">
        <w:rPr>
          <w:rFonts w:ascii="Times New Roman" w:eastAsia="Times New Roman" w:hAnsi="Times New Roman"/>
          <w:sz w:val="24"/>
          <w:szCs w:val="24"/>
        </w:rPr>
        <w:t>);</w:t>
      </w:r>
    </w:p>
    <w:p w14:paraId="1A86976E" w14:textId="11B5006E"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Chronic disease self-management classes for people with arthritis, diabetes, and high blood pressure</w:t>
      </w:r>
      <w:r w:rsidR="004C0646">
        <w:rPr>
          <w:rFonts w:ascii="Times New Roman" w:eastAsia="Times New Roman" w:hAnsi="Times New Roman"/>
          <w:sz w:val="24"/>
          <w:szCs w:val="24"/>
        </w:rPr>
        <w:t>;</w:t>
      </w:r>
    </w:p>
    <w:p w14:paraId="386C281C" w14:textId="7999341B"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Nutrition and other workshops</w:t>
      </w:r>
      <w:r w:rsidR="004C0646">
        <w:rPr>
          <w:rFonts w:ascii="Times New Roman" w:eastAsia="Times New Roman" w:hAnsi="Times New Roman"/>
          <w:sz w:val="24"/>
          <w:szCs w:val="24"/>
        </w:rPr>
        <w:t>;</w:t>
      </w:r>
    </w:p>
    <w:p w14:paraId="284B8926" w14:textId="13BC6205"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Benefits screenings (Medicare, Medicaid, the Supplemental Nutrition Assistance Program, and other programs)</w:t>
      </w:r>
      <w:r w:rsidR="004C0646">
        <w:rPr>
          <w:rFonts w:ascii="Times New Roman" w:eastAsia="Times New Roman" w:hAnsi="Times New Roman"/>
          <w:sz w:val="24"/>
          <w:szCs w:val="24"/>
        </w:rPr>
        <w:t>;</w:t>
      </w:r>
    </w:p>
    <w:p w14:paraId="74D93B83" w14:textId="65D4DA82"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Technology classes</w:t>
      </w:r>
      <w:r w:rsidR="004C0646">
        <w:rPr>
          <w:rFonts w:ascii="Times New Roman" w:eastAsia="Times New Roman" w:hAnsi="Times New Roman"/>
          <w:sz w:val="24"/>
          <w:szCs w:val="24"/>
        </w:rPr>
        <w:t>;</w:t>
      </w:r>
    </w:p>
    <w:p w14:paraId="4CCD0015" w14:textId="520A34E2"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Recreational trips</w:t>
      </w:r>
      <w:r w:rsidR="004C0646">
        <w:rPr>
          <w:rFonts w:ascii="Times New Roman" w:eastAsia="Times New Roman" w:hAnsi="Times New Roman"/>
          <w:sz w:val="24"/>
          <w:szCs w:val="24"/>
        </w:rPr>
        <w:t>;</w:t>
      </w:r>
    </w:p>
    <w:p w14:paraId="6F890A41" w14:textId="63B936E2"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Transportation</w:t>
      </w:r>
      <w:r w:rsidR="004C0646">
        <w:rPr>
          <w:rFonts w:ascii="Times New Roman" w:eastAsia="Times New Roman" w:hAnsi="Times New Roman"/>
          <w:sz w:val="24"/>
          <w:szCs w:val="24"/>
        </w:rPr>
        <w:t>;</w:t>
      </w:r>
    </w:p>
    <w:p w14:paraId="775B5DA4" w14:textId="3C27D9C5" w:rsidR="00221B60" w:rsidRPr="00221B60" w:rsidRDefault="00221B60" w:rsidP="003B7ACD">
      <w:pPr>
        <w:pStyle w:val="NoSpacing"/>
        <w:numPr>
          <w:ilvl w:val="0"/>
          <w:numId w:val="13"/>
        </w:numPr>
        <w:jc w:val="both"/>
        <w:rPr>
          <w:rFonts w:ascii="Times New Roman" w:eastAsia="Times New Roman" w:hAnsi="Times New Roman"/>
          <w:sz w:val="24"/>
          <w:szCs w:val="24"/>
        </w:rPr>
      </w:pPr>
      <w:r w:rsidRPr="00221B60">
        <w:rPr>
          <w:rFonts w:ascii="Times New Roman" w:eastAsia="Times New Roman" w:hAnsi="Times New Roman"/>
          <w:sz w:val="24"/>
          <w:szCs w:val="24"/>
        </w:rPr>
        <w:t>Lunch (some centers also serve breakfast and/or dinner)</w:t>
      </w:r>
      <w:r w:rsidR="004C0646">
        <w:rPr>
          <w:rFonts w:ascii="Times New Roman" w:eastAsia="Times New Roman" w:hAnsi="Times New Roman"/>
          <w:sz w:val="24"/>
          <w:szCs w:val="24"/>
        </w:rPr>
        <w:t>; and</w:t>
      </w:r>
    </w:p>
    <w:p w14:paraId="695BC6C4" w14:textId="33AFCD77" w:rsidR="00270DCE" w:rsidRPr="00270DCE" w:rsidRDefault="00221B60" w:rsidP="004D7AE5">
      <w:pPr>
        <w:pStyle w:val="NoSpacing"/>
        <w:numPr>
          <w:ilvl w:val="0"/>
          <w:numId w:val="13"/>
        </w:numPr>
        <w:spacing w:after="240"/>
        <w:jc w:val="both"/>
        <w:rPr>
          <w:rFonts w:ascii="Times New Roman" w:eastAsia="Times New Roman" w:hAnsi="Times New Roman"/>
          <w:sz w:val="24"/>
          <w:szCs w:val="24"/>
        </w:rPr>
      </w:pPr>
      <w:r w:rsidRPr="00221B60">
        <w:rPr>
          <w:rFonts w:ascii="Times New Roman" w:eastAsia="Times New Roman" w:hAnsi="Times New Roman"/>
          <w:sz w:val="24"/>
          <w:szCs w:val="24"/>
        </w:rPr>
        <w:t>Holiday and birthday celebrations</w:t>
      </w:r>
      <w:r w:rsidR="004C0646">
        <w:rPr>
          <w:rFonts w:ascii="Times New Roman" w:eastAsia="Times New Roman" w:hAnsi="Times New Roman"/>
          <w:sz w:val="24"/>
          <w:szCs w:val="24"/>
        </w:rPr>
        <w:t>.</w:t>
      </w:r>
    </w:p>
    <w:p w14:paraId="1E8629F8" w14:textId="00179D1F" w:rsidR="007041CA" w:rsidRPr="007041CA" w:rsidRDefault="007A3DDB" w:rsidP="007041CA">
      <w:pPr>
        <w:pStyle w:val="NoSpacing"/>
        <w:spacing w:line="48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DFTA partners with hundreds of community-based organizations to provide services through older adult centers (OACs), naturally occurring retirement communities (NORCs), case-management and home-care agencies, home-delivered meal programs, and mental health and friendly visiting programs in each borough.</w:t>
      </w:r>
      <w:r>
        <w:rPr>
          <w:rStyle w:val="FootnoteReference"/>
          <w:rFonts w:ascii="Times New Roman" w:eastAsia="Times New Roman" w:hAnsi="Times New Roman"/>
          <w:bCs/>
          <w:sz w:val="24"/>
          <w:szCs w:val="24"/>
        </w:rPr>
        <w:footnoteReference w:id="31"/>
      </w:r>
      <w:r>
        <w:rPr>
          <w:rFonts w:ascii="Times New Roman" w:eastAsia="Times New Roman" w:hAnsi="Times New Roman"/>
          <w:bCs/>
          <w:sz w:val="24"/>
          <w:szCs w:val="24"/>
        </w:rPr>
        <w:t xml:space="preserve"> </w:t>
      </w:r>
      <w:r w:rsidR="00221B60">
        <w:rPr>
          <w:rFonts w:ascii="Times New Roman" w:eastAsia="Times New Roman" w:hAnsi="Times New Roman"/>
          <w:sz w:val="24"/>
          <w:szCs w:val="24"/>
        </w:rPr>
        <w:t>Some OACs also provide mental health services through the Mayor’s Office of Community Mental Health Geriatric Mental Health Initiative.</w:t>
      </w:r>
      <w:r w:rsidR="00A02F92">
        <w:rPr>
          <w:rStyle w:val="FootnoteReference"/>
          <w:rFonts w:ascii="Times New Roman" w:eastAsia="Times New Roman" w:hAnsi="Times New Roman"/>
          <w:sz w:val="24"/>
          <w:szCs w:val="24"/>
        </w:rPr>
        <w:footnoteReference w:id="32"/>
      </w:r>
      <w:r w:rsidR="00183A32" w:rsidRPr="00183A32">
        <w:rPr>
          <w:rFonts w:ascii="Times New Roman" w:eastAsia="Times New Roman" w:hAnsi="Times New Roman"/>
          <w:bCs/>
          <w:sz w:val="24"/>
          <w:szCs w:val="24"/>
        </w:rPr>
        <w:t xml:space="preserve"> </w:t>
      </w:r>
    </w:p>
    <w:p w14:paraId="011AFFD4" w14:textId="4EEB24FD" w:rsidR="00FC097B" w:rsidRDefault="00FC097B" w:rsidP="004D7AE5">
      <w:pPr>
        <w:pStyle w:val="NoSpacing"/>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DFTA also funds OACs for special populations, including SAGE centers </w:t>
      </w:r>
      <w:r w:rsidR="00940FCB">
        <w:rPr>
          <w:rFonts w:ascii="Times New Roman" w:eastAsia="Times New Roman" w:hAnsi="Times New Roman"/>
          <w:sz w:val="24"/>
          <w:szCs w:val="24"/>
        </w:rPr>
        <w:t>(</w:t>
      </w:r>
      <w:r>
        <w:rPr>
          <w:rFonts w:ascii="Times New Roman" w:eastAsia="Times New Roman" w:hAnsi="Times New Roman"/>
          <w:sz w:val="24"/>
          <w:szCs w:val="24"/>
        </w:rPr>
        <w:t>in every borough</w:t>
      </w:r>
      <w:r w:rsidR="00940FCB">
        <w:rPr>
          <w:rFonts w:ascii="Times New Roman" w:eastAsia="Times New Roman" w:hAnsi="Times New Roman"/>
          <w:sz w:val="24"/>
          <w:szCs w:val="24"/>
        </w:rPr>
        <w:t>)</w:t>
      </w:r>
      <w:r w:rsidR="00B263B7">
        <w:rPr>
          <w:rFonts w:ascii="Times New Roman" w:eastAsia="Times New Roman" w:hAnsi="Times New Roman"/>
          <w:sz w:val="24"/>
          <w:szCs w:val="24"/>
        </w:rPr>
        <w:t xml:space="preserve"> and </w:t>
      </w:r>
      <w:r>
        <w:rPr>
          <w:rFonts w:ascii="Times New Roman" w:eastAsia="Times New Roman" w:hAnsi="Times New Roman"/>
          <w:sz w:val="24"/>
          <w:szCs w:val="24"/>
        </w:rPr>
        <w:t xml:space="preserve">the Queens Center for Gay Seniors, </w:t>
      </w:r>
      <w:r w:rsidR="00B263B7">
        <w:rPr>
          <w:rFonts w:ascii="Times New Roman" w:eastAsia="Times New Roman" w:hAnsi="Times New Roman"/>
          <w:sz w:val="24"/>
          <w:szCs w:val="24"/>
        </w:rPr>
        <w:t xml:space="preserve">which </w:t>
      </w:r>
      <w:r w:rsidR="00940FCB">
        <w:rPr>
          <w:rFonts w:ascii="Times New Roman" w:eastAsia="Times New Roman" w:hAnsi="Times New Roman"/>
          <w:sz w:val="24"/>
          <w:szCs w:val="24"/>
        </w:rPr>
        <w:t>support</w:t>
      </w:r>
      <w:r w:rsidR="00B263B7">
        <w:rPr>
          <w:rFonts w:ascii="Times New Roman" w:eastAsia="Times New Roman" w:hAnsi="Times New Roman"/>
          <w:sz w:val="24"/>
          <w:szCs w:val="24"/>
        </w:rPr>
        <w:t xml:space="preserve"> LGBTQIA+ older adults, as well as</w:t>
      </w:r>
      <w:r>
        <w:rPr>
          <w:rFonts w:ascii="Times New Roman" w:eastAsia="Times New Roman" w:hAnsi="Times New Roman"/>
          <w:sz w:val="24"/>
          <w:szCs w:val="24"/>
        </w:rPr>
        <w:t xml:space="preserve"> VISIONS at </w:t>
      </w:r>
      <w:proofErr w:type="spellStart"/>
      <w:r>
        <w:rPr>
          <w:rFonts w:ascii="Times New Roman" w:eastAsia="Times New Roman" w:hAnsi="Times New Roman"/>
          <w:sz w:val="24"/>
          <w:szCs w:val="24"/>
        </w:rPr>
        <w:t>Selis</w:t>
      </w:r>
      <w:proofErr w:type="spellEnd"/>
      <w:r>
        <w:rPr>
          <w:rFonts w:ascii="Times New Roman" w:eastAsia="Times New Roman" w:hAnsi="Times New Roman"/>
          <w:sz w:val="24"/>
          <w:szCs w:val="24"/>
        </w:rPr>
        <w:t xml:space="preserve"> Manor Senior Center</w:t>
      </w:r>
      <w:r w:rsidR="00B263B7">
        <w:rPr>
          <w:rFonts w:ascii="Times New Roman" w:eastAsia="Times New Roman" w:hAnsi="Times New Roman"/>
          <w:sz w:val="24"/>
          <w:szCs w:val="24"/>
        </w:rPr>
        <w:t xml:space="preserve">, which </w:t>
      </w:r>
      <w:r w:rsidR="00B71460">
        <w:rPr>
          <w:rFonts w:ascii="Times New Roman" w:eastAsia="Times New Roman" w:hAnsi="Times New Roman"/>
          <w:sz w:val="24"/>
          <w:szCs w:val="24"/>
        </w:rPr>
        <w:t xml:space="preserve">is an adapted center that offers an array of services for blind and </w:t>
      </w:r>
      <w:r w:rsidR="00940FCB">
        <w:rPr>
          <w:rFonts w:ascii="Times New Roman" w:eastAsia="Times New Roman" w:hAnsi="Times New Roman"/>
          <w:sz w:val="24"/>
          <w:szCs w:val="24"/>
        </w:rPr>
        <w:t>low-</w:t>
      </w:r>
      <w:r w:rsidR="00362773">
        <w:rPr>
          <w:rFonts w:ascii="Times New Roman" w:eastAsia="Times New Roman" w:hAnsi="Times New Roman"/>
          <w:sz w:val="24"/>
          <w:szCs w:val="24"/>
        </w:rPr>
        <w:t>vision older</w:t>
      </w:r>
      <w:r w:rsidR="00B71460">
        <w:rPr>
          <w:rFonts w:ascii="Times New Roman" w:eastAsia="Times New Roman" w:hAnsi="Times New Roman"/>
          <w:sz w:val="24"/>
          <w:szCs w:val="24"/>
        </w:rPr>
        <w:t xml:space="preserve"> adults</w:t>
      </w:r>
      <w:r>
        <w:rPr>
          <w:rFonts w:ascii="Times New Roman" w:eastAsia="Times New Roman" w:hAnsi="Times New Roman"/>
          <w:sz w:val="24"/>
          <w:szCs w:val="24"/>
        </w:rPr>
        <w:t>.</w:t>
      </w:r>
      <w:r w:rsidR="00B71460">
        <w:rPr>
          <w:rStyle w:val="FootnoteReference"/>
          <w:rFonts w:ascii="Times New Roman" w:eastAsia="Times New Roman" w:hAnsi="Times New Roman"/>
          <w:sz w:val="24"/>
          <w:szCs w:val="24"/>
        </w:rPr>
        <w:footnoteReference w:id="33"/>
      </w:r>
      <w:r>
        <w:rPr>
          <w:rFonts w:ascii="Times New Roman" w:eastAsia="Times New Roman" w:hAnsi="Times New Roman"/>
          <w:sz w:val="24"/>
          <w:szCs w:val="24"/>
        </w:rPr>
        <w:t xml:space="preserve"> </w:t>
      </w:r>
    </w:p>
    <w:p w14:paraId="02461897" w14:textId="77777777" w:rsidR="002B19BA" w:rsidRDefault="00BA5D92" w:rsidP="002B19BA">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sz w:val="24"/>
          <w:szCs w:val="24"/>
        </w:rPr>
        <w:t xml:space="preserve">In addition to the Geriatric Mental Health Initiative at OACs, DFTA </w:t>
      </w:r>
      <w:r w:rsidR="0062452D">
        <w:rPr>
          <w:rFonts w:ascii="Times New Roman" w:eastAsia="Times New Roman" w:hAnsi="Times New Roman"/>
          <w:sz w:val="24"/>
          <w:szCs w:val="24"/>
        </w:rPr>
        <w:t>offers</w:t>
      </w:r>
      <w:r w:rsidR="00205EF9">
        <w:rPr>
          <w:rFonts w:ascii="Times New Roman" w:eastAsia="Times New Roman" w:hAnsi="Times New Roman"/>
          <w:sz w:val="24"/>
          <w:szCs w:val="24"/>
        </w:rPr>
        <w:t xml:space="preserve"> </w:t>
      </w:r>
      <w:r w:rsidR="00B16D9C">
        <w:rPr>
          <w:rFonts w:ascii="Times New Roman" w:eastAsia="Times New Roman" w:hAnsi="Times New Roman"/>
          <w:sz w:val="24"/>
          <w:szCs w:val="24"/>
        </w:rPr>
        <w:t>a free</w:t>
      </w:r>
      <w:r w:rsidR="00205EF9">
        <w:rPr>
          <w:rFonts w:ascii="Times New Roman" w:eastAsia="Times New Roman" w:hAnsi="Times New Roman"/>
          <w:sz w:val="24"/>
          <w:szCs w:val="24"/>
        </w:rPr>
        <w:t xml:space="preserve"> in-home Friendly Visiting Program through the Mayor’s Office of Community Mental Health.</w:t>
      </w:r>
      <w:r w:rsidR="00B16D9C">
        <w:rPr>
          <w:rStyle w:val="FootnoteReference"/>
          <w:rFonts w:ascii="Times New Roman" w:eastAsia="Times New Roman" w:hAnsi="Times New Roman"/>
          <w:sz w:val="24"/>
          <w:szCs w:val="24"/>
        </w:rPr>
        <w:footnoteReference w:id="34"/>
      </w:r>
      <w:r w:rsidR="002D6220">
        <w:rPr>
          <w:rFonts w:ascii="Times New Roman" w:eastAsia="Times New Roman" w:hAnsi="Times New Roman"/>
          <w:sz w:val="24"/>
          <w:szCs w:val="24"/>
        </w:rPr>
        <w:t xml:space="preserve"> Friendly Visiting is for traditionally homebound older adults who have ongoing health challenges that make it difficult for them to go out.</w:t>
      </w:r>
      <w:r w:rsidR="002D6220">
        <w:rPr>
          <w:rStyle w:val="FootnoteReference"/>
          <w:rFonts w:ascii="Times New Roman" w:eastAsia="Times New Roman" w:hAnsi="Times New Roman"/>
          <w:sz w:val="24"/>
          <w:szCs w:val="24"/>
        </w:rPr>
        <w:footnoteReference w:id="35"/>
      </w:r>
      <w:r w:rsidR="003909F4">
        <w:rPr>
          <w:rFonts w:ascii="Times New Roman" w:eastAsia="Times New Roman" w:hAnsi="Times New Roman"/>
          <w:sz w:val="24"/>
          <w:szCs w:val="24"/>
        </w:rPr>
        <w:t xml:space="preserve"> Volunteer</w:t>
      </w:r>
      <w:r w:rsidR="002C7A5F">
        <w:rPr>
          <w:rFonts w:ascii="Times New Roman" w:eastAsia="Times New Roman" w:hAnsi="Times New Roman"/>
          <w:sz w:val="24"/>
          <w:szCs w:val="24"/>
        </w:rPr>
        <w:t>s</w:t>
      </w:r>
      <w:r w:rsidR="003909F4">
        <w:rPr>
          <w:rFonts w:ascii="Times New Roman" w:eastAsia="Times New Roman" w:hAnsi="Times New Roman"/>
          <w:sz w:val="24"/>
          <w:szCs w:val="24"/>
        </w:rPr>
        <w:t xml:space="preserve"> visit the older adult in their home to talk about shared interests and experiences, forming friendships in the process.</w:t>
      </w:r>
      <w:r w:rsidR="003909F4">
        <w:rPr>
          <w:rStyle w:val="FootnoteReference"/>
          <w:rFonts w:ascii="Times New Roman" w:eastAsia="Times New Roman" w:hAnsi="Times New Roman"/>
          <w:sz w:val="24"/>
          <w:szCs w:val="24"/>
        </w:rPr>
        <w:footnoteReference w:id="36"/>
      </w:r>
      <w:r w:rsidR="003909F4">
        <w:rPr>
          <w:rFonts w:ascii="Times New Roman" w:eastAsia="Times New Roman" w:hAnsi="Times New Roman"/>
          <w:sz w:val="24"/>
          <w:szCs w:val="24"/>
        </w:rPr>
        <w:t xml:space="preserve"> According to DFTA’s website, due to the pandemic, volunteers are currently maintaining social distancing guidelines and are connecting with their matches by phone and video calls.</w:t>
      </w:r>
      <w:r w:rsidR="003909F4">
        <w:rPr>
          <w:rStyle w:val="FootnoteReference"/>
          <w:rFonts w:ascii="Times New Roman" w:eastAsia="Times New Roman" w:hAnsi="Times New Roman"/>
          <w:sz w:val="24"/>
          <w:szCs w:val="24"/>
        </w:rPr>
        <w:footnoteReference w:id="37"/>
      </w:r>
      <w:r w:rsidR="003E6AF1">
        <w:rPr>
          <w:rFonts w:ascii="Times New Roman" w:eastAsia="Times New Roman" w:hAnsi="Times New Roman"/>
          <w:sz w:val="24"/>
          <w:szCs w:val="24"/>
        </w:rPr>
        <w:t xml:space="preserve"> Similarly, the Friendly VOICES program, which is based on the Friendly Visiting model, </w:t>
      </w:r>
      <w:r w:rsidR="001B3879">
        <w:rPr>
          <w:rFonts w:ascii="Times New Roman" w:eastAsia="Times New Roman" w:hAnsi="Times New Roman"/>
          <w:sz w:val="24"/>
          <w:szCs w:val="24"/>
        </w:rPr>
        <w:t>is for older adults who are isolated for other reasons (such as COVID-19).</w:t>
      </w:r>
      <w:r w:rsidR="001B3879">
        <w:rPr>
          <w:rStyle w:val="FootnoteReference"/>
          <w:rFonts w:ascii="Times New Roman" w:eastAsia="Times New Roman" w:hAnsi="Times New Roman"/>
          <w:sz w:val="24"/>
          <w:szCs w:val="24"/>
        </w:rPr>
        <w:footnoteReference w:id="38"/>
      </w:r>
      <w:r w:rsidR="001B3879">
        <w:rPr>
          <w:rFonts w:ascii="Times New Roman" w:eastAsia="Times New Roman" w:hAnsi="Times New Roman"/>
          <w:sz w:val="24"/>
          <w:szCs w:val="24"/>
        </w:rPr>
        <w:t xml:space="preserve"> Volunteers are </w:t>
      </w:r>
      <w:r w:rsidR="00FF5994">
        <w:rPr>
          <w:rFonts w:ascii="Times New Roman" w:eastAsia="Times New Roman" w:hAnsi="Times New Roman"/>
          <w:sz w:val="24"/>
          <w:szCs w:val="24"/>
        </w:rPr>
        <w:t>matched with older adults and keep in touch with them by calling them via phone or video calls.</w:t>
      </w:r>
      <w:r w:rsidR="00ED1E21">
        <w:rPr>
          <w:rStyle w:val="FootnoteReference"/>
          <w:rFonts w:ascii="Times New Roman" w:eastAsia="Times New Roman" w:hAnsi="Times New Roman"/>
          <w:sz w:val="24"/>
          <w:szCs w:val="24"/>
        </w:rPr>
        <w:footnoteReference w:id="39"/>
      </w:r>
      <w:r w:rsidR="00FF5994">
        <w:rPr>
          <w:rFonts w:ascii="Times New Roman" w:eastAsia="Times New Roman" w:hAnsi="Times New Roman"/>
          <w:sz w:val="24"/>
          <w:szCs w:val="24"/>
        </w:rPr>
        <w:t xml:space="preserve"> Older adults also have the option to join a virtual group, or be matched with a peer closer to their age.</w:t>
      </w:r>
      <w:r w:rsidR="00FF5994">
        <w:rPr>
          <w:rStyle w:val="FootnoteReference"/>
          <w:rFonts w:ascii="Times New Roman" w:eastAsia="Times New Roman" w:hAnsi="Times New Roman"/>
          <w:sz w:val="24"/>
          <w:szCs w:val="24"/>
        </w:rPr>
        <w:footnoteReference w:id="40"/>
      </w:r>
      <w:r w:rsidR="002B19BA" w:rsidRPr="002B19BA">
        <w:rPr>
          <w:rFonts w:ascii="Times New Roman" w:eastAsia="Times New Roman" w:hAnsi="Times New Roman"/>
          <w:bCs/>
          <w:sz w:val="24"/>
          <w:szCs w:val="24"/>
        </w:rPr>
        <w:t xml:space="preserve"> In partnership with NYC Service, DFTA also has a Volunteer Resource Center, which recruits, trains, engages, and hosts individuals who are interested in learning about Aging services.</w:t>
      </w:r>
      <w:r w:rsidR="002B19BA" w:rsidRPr="002B19BA">
        <w:rPr>
          <w:rFonts w:ascii="Times New Roman" w:eastAsia="Times New Roman" w:hAnsi="Times New Roman"/>
          <w:bCs/>
          <w:sz w:val="24"/>
          <w:szCs w:val="24"/>
          <w:vertAlign w:val="superscript"/>
        </w:rPr>
        <w:footnoteReference w:id="41"/>
      </w:r>
    </w:p>
    <w:p w14:paraId="6DEEBF4E" w14:textId="1BAD81FB" w:rsidR="004A463C" w:rsidRPr="002B19BA" w:rsidRDefault="002B19BA" w:rsidP="002B19BA">
      <w:pPr>
        <w:pStyle w:val="NoSpacing"/>
        <w:spacing w:line="480" w:lineRule="auto"/>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Lastly</w:t>
      </w:r>
      <w:r w:rsidR="00E7138E">
        <w:rPr>
          <w:rFonts w:ascii="Times New Roman" w:eastAsia="Times New Roman" w:hAnsi="Times New Roman"/>
          <w:sz w:val="24"/>
          <w:szCs w:val="24"/>
        </w:rPr>
        <w:t>, DFTA partners with Older Adult Technology Services (OATS) to offer free online classes every week through their website,</w:t>
      </w:r>
      <w:r w:rsidR="00940FCB">
        <w:rPr>
          <w:rFonts w:ascii="Times New Roman" w:eastAsia="Times New Roman" w:hAnsi="Times New Roman"/>
          <w:sz w:val="24"/>
          <w:szCs w:val="24"/>
        </w:rPr>
        <w:t xml:space="preserve"> Senior Planet</w:t>
      </w:r>
      <w:r w:rsidR="00E7138E">
        <w:rPr>
          <w:rFonts w:ascii="Times New Roman" w:eastAsia="Times New Roman" w:hAnsi="Times New Roman"/>
          <w:sz w:val="24"/>
          <w:szCs w:val="24"/>
        </w:rPr>
        <w:t xml:space="preserve"> </w:t>
      </w:r>
      <w:r w:rsidR="00940FCB">
        <w:rPr>
          <w:rFonts w:ascii="Times New Roman" w:eastAsia="Times New Roman" w:hAnsi="Times New Roman"/>
          <w:sz w:val="24"/>
          <w:szCs w:val="24"/>
        </w:rPr>
        <w:t>(</w:t>
      </w:r>
      <w:hyperlink r:id="rId14" w:history="1">
        <w:r w:rsidR="004D7AE5" w:rsidRPr="004C12E3">
          <w:rPr>
            <w:rStyle w:val="Hyperlink"/>
            <w:rFonts w:ascii="Times New Roman" w:eastAsia="Times New Roman" w:hAnsi="Times New Roman"/>
            <w:sz w:val="24"/>
            <w:szCs w:val="24"/>
          </w:rPr>
          <w:t>https://seniorplanet.org/</w:t>
        </w:r>
      </w:hyperlink>
      <w:r w:rsidR="00836AC4">
        <w:rPr>
          <w:rStyle w:val="Hyperlink"/>
          <w:rFonts w:ascii="Times New Roman" w:eastAsia="Times New Roman" w:hAnsi="Times New Roman"/>
          <w:sz w:val="24"/>
          <w:szCs w:val="24"/>
        </w:rPr>
        <w:t>)</w:t>
      </w:r>
      <w:r w:rsidR="004D7AE5">
        <w:rPr>
          <w:rFonts w:ascii="Times New Roman" w:eastAsia="Times New Roman" w:hAnsi="Times New Roman"/>
          <w:sz w:val="24"/>
          <w:szCs w:val="24"/>
        </w:rPr>
        <w:t>.</w:t>
      </w:r>
    </w:p>
    <w:p w14:paraId="7CE71237" w14:textId="66FF8002" w:rsidR="005365D4" w:rsidRPr="005365D4" w:rsidRDefault="005365D4" w:rsidP="00CF1DC7">
      <w:pPr>
        <w:pStyle w:val="NoSpacing"/>
        <w:numPr>
          <w:ilvl w:val="0"/>
          <w:numId w:val="11"/>
        </w:numPr>
        <w:spacing w:before="120" w:line="480" w:lineRule="auto"/>
        <w:contextualSpacing/>
        <w:jc w:val="both"/>
        <w:rPr>
          <w:rFonts w:ascii="Times New Roman Bold" w:eastAsia="Times New Roman" w:hAnsi="Times New Roman Bold"/>
          <w:b/>
          <w:bCs/>
          <w:smallCaps/>
          <w:sz w:val="24"/>
          <w:szCs w:val="24"/>
        </w:rPr>
      </w:pPr>
      <w:r>
        <w:rPr>
          <w:rFonts w:ascii="Times New Roman Bold" w:eastAsia="Times New Roman" w:hAnsi="Times New Roman Bold"/>
          <w:b/>
          <w:bCs/>
          <w:smallCaps/>
          <w:sz w:val="24"/>
          <w:szCs w:val="24"/>
        </w:rPr>
        <w:t>Issues &amp; Concerns</w:t>
      </w:r>
    </w:p>
    <w:p w14:paraId="7E2AA977" w14:textId="410BBED4" w:rsidR="00B45AB5" w:rsidRPr="0003435F" w:rsidRDefault="001B5DBD" w:rsidP="002B19BA">
      <w:pPr>
        <w:pStyle w:val="NoSpacing"/>
        <w:spacing w:line="480" w:lineRule="auto"/>
        <w:jc w:val="both"/>
        <w:rPr>
          <w:rFonts w:ascii="Times New Roman" w:eastAsia="Times New Roman" w:hAnsi="Times New Roman"/>
          <w:bCs/>
          <w:sz w:val="24"/>
          <w:szCs w:val="24"/>
        </w:rPr>
      </w:pPr>
      <w:r w:rsidRPr="00CF1DC7">
        <w:rPr>
          <w:rFonts w:ascii="Times New Roman" w:eastAsia="Times New Roman" w:hAnsi="Times New Roman"/>
          <w:b/>
          <w:bCs/>
          <w:i/>
          <w:sz w:val="24"/>
          <w:szCs w:val="24"/>
        </w:rPr>
        <w:t>Older Adults’ Access to Legal Services, Financial Assistance, and Housing Support</w:t>
      </w:r>
    </w:p>
    <w:p w14:paraId="2825B7B9" w14:textId="59B30D8E" w:rsidR="006E456B" w:rsidRPr="002B19BA" w:rsidRDefault="00684EDB" w:rsidP="00684EDB">
      <w:pPr>
        <w:pStyle w:val="NoSpacing"/>
        <w:numPr>
          <w:ilvl w:val="0"/>
          <w:numId w:val="14"/>
        </w:numPr>
        <w:spacing w:line="480" w:lineRule="auto"/>
        <w:jc w:val="both"/>
        <w:rPr>
          <w:rFonts w:ascii="Times New Roman" w:eastAsia="Times New Roman" w:hAnsi="Times New Roman"/>
          <w:bCs/>
          <w:i/>
          <w:sz w:val="24"/>
          <w:szCs w:val="24"/>
        </w:rPr>
      </w:pPr>
      <w:r w:rsidRPr="002B19BA">
        <w:rPr>
          <w:rFonts w:ascii="Times New Roman" w:eastAsia="Times New Roman" w:hAnsi="Times New Roman"/>
          <w:bCs/>
          <w:i/>
          <w:sz w:val="24"/>
          <w:szCs w:val="24"/>
        </w:rPr>
        <w:t>Legal Services</w:t>
      </w:r>
      <w:r w:rsidR="004E3237" w:rsidRPr="002B19BA">
        <w:rPr>
          <w:rFonts w:ascii="Times New Roman" w:eastAsia="Times New Roman" w:hAnsi="Times New Roman"/>
          <w:bCs/>
          <w:i/>
          <w:sz w:val="24"/>
          <w:szCs w:val="24"/>
        </w:rPr>
        <w:t xml:space="preserve"> for Older Adults Facing Eviction</w:t>
      </w:r>
    </w:p>
    <w:p w14:paraId="5E8706E6" w14:textId="39FA51F4" w:rsidR="005D1126" w:rsidRDefault="00E67204" w:rsidP="002C7A5F">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Older adults face a high risk of homelessness, and often live on fixed incomes or are</w:t>
      </w:r>
      <w:r w:rsidRPr="00AA06F2">
        <w:rPr>
          <w:rFonts w:ascii="Times New Roman" w:eastAsia="Times New Roman" w:hAnsi="Times New Roman"/>
          <w:bCs/>
          <w:sz w:val="24"/>
          <w:szCs w:val="24"/>
        </w:rPr>
        <w:t xml:space="preserve"> rent burdened, even for those enrolled in </w:t>
      </w:r>
      <w:r>
        <w:rPr>
          <w:rFonts w:ascii="Times New Roman" w:eastAsia="Times New Roman" w:hAnsi="Times New Roman"/>
          <w:bCs/>
          <w:sz w:val="24"/>
          <w:szCs w:val="24"/>
        </w:rPr>
        <w:t>programs to freeze their rent, such as the Senior Citizen Rent Increase Exemption (SCRIE).</w:t>
      </w:r>
      <w:r>
        <w:rPr>
          <w:rStyle w:val="FootnoteReference"/>
          <w:rFonts w:ascii="Times New Roman" w:eastAsia="Times New Roman" w:hAnsi="Times New Roman"/>
          <w:bCs/>
          <w:sz w:val="24"/>
          <w:szCs w:val="24"/>
        </w:rPr>
        <w:footnoteReference w:id="42"/>
      </w:r>
      <w:r>
        <w:rPr>
          <w:rFonts w:ascii="Times New Roman" w:eastAsia="Times New Roman" w:hAnsi="Times New Roman"/>
          <w:bCs/>
          <w:sz w:val="24"/>
          <w:szCs w:val="24"/>
        </w:rPr>
        <w:t xml:space="preserve"> </w:t>
      </w:r>
      <w:r w:rsidR="003800B3">
        <w:rPr>
          <w:rFonts w:ascii="Times New Roman" w:eastAsia="Times New Roman" w:hAnsi="Times New Roman"/>
          <w:bCs/>
          <w:sz w:val="24"/>
          <w:szCs w:val="24"/>
        </w:rPr>
        <w:t xml:space="preserve">Older adults </w:t>
      </w:r>
      <w:r w:rsidR="003800B3" w:rsidRPr="003800B3">
        <w:rPr>
          <w:rFonts w:ascii="Times New Roman" w:eastAsia="Times New Roman" w:hAnsi="Times New Roman"/>
          <w:bCs/>
          <w:sz w:val="24"/>
          <w:szCs w:val="24"/>
        </w:rPr>
        <w:t>are more likely to spend in excess of 30</w:t>
      </w:r>
      <w:r w:rsidR="002B19BA">
        <w:rPr>
          <w:rFonts w:ascii="Times New Roman" w:eastAsia="Times New Roman" w:hAnsi="Times New Roman"/>
          <w:bCs/>
          <w:sz w:val="24"/>
          <w:szCs w:val="24"/>
        </w:rPr>
        <w:t xml:space="preserve"> percent</w:t>
      </w:r>
      <w:r w:rsidR="003800B3" w:rsidRPr="003800B3">
        <w:rPr>
          <w:rFonts w:ascii="Times New Roman" w:eastAsia="Times New Roman" w:hAnsi="Times New Roman"/>
          <w:bCs/>
          <w:sz w:val="24"/>
          <w:szCs w:val="24"/>
        </w:rPr>
        <w:t xml:space="preserve"> of their income on housing than the total populati</w:t>
      </w:r>
      <w:r w:rsidR="003800B3">
        <w:rPr>
          <w:rFonts w:ascii="Times New Roman" w:eastAsia="Times New Roman" w:hAnsi="Times New Roman"/>
          <w:bCs/>
          <w:sz w:val="24"/>
          <w:szCs w:val="24"/>
        </w:rPr>
        <w:t>on, whether they rent or own.</w:t>
      </w:r>
      <w:r w:rsidR="003800B3">
        <w:rPr>
          <w:rStyle w:val="FootnoteReference"/>
          <w:rFonts w:ascii="Times New Roman" w:eastAsia="Times New Roman" w:hAnsi="Times New Roman"/>
          <w:bCs/>
          <w:sz w:val="24"/>
          <w:szCs w:val="24"/>
        </w:rPr>
        <w:footnoteReference w:id="43"/>
      </w:r>
      <w:r w:rsidR="002C7A5F">
        <w:rPr>
          <w:rFonts w:ascii="Times New Roman" w:eastAsia="Times New Roman" w:hAnsi="Times New Roman"/>
          <w:bCs/>
          <w:sz w:val="24"/>
          <w:szCs w:val="24"/>
        </w:rPr>
        <w:t xml:space="preserve"> </w:t>
      </w:r>
    </w:p>
    <w:p w14:paraId="67C63879" w14:textId="33162813" w:rsidR="00CF1DC7" w:rsidRDefault="00B45AB5" w:rsidP="002C7A5F">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DFTA</w:t>
      </w:r>
      <w:r w:rsidR="00A171FA">
        <w:rPr>
          <w:rFonts w:ascii="Times New Roman" w:eastAsia="Times New Roman" w:hAnsi="Times New Roman"/>
          <w:bCs/>
          <w:sz w:val="24"/>
          <w:szCs w:val="24"/>
        </w:rPr>
        <w:t xml:space="preserve"> </w:t>
      </w:r>
      <w:r>
        <w:rPr>
          <w:rFonts w:ascii="Times New Roman" w:eastAsia="Times New Roman" w:hAnsi="Times New Roman"/>
          <w:bCs/>
          <w:sz w:val="24"/>
          <w:szCs w:val="24"/>
        </w:rPr>
        <w:t>partners with</w:t>
      </w:r>
      <w:r w:rsidRPr="00B45AB5">
        <w:rPr>
          <w:rFonts w:ascii="Times New Roman" w:eastAsia="Times New Roman" w:hAnsi="Times New Roman"/>
          <w:bCs/>
          <w:sz w:val="24"/>
          <w:szCs w:val="24"/>
        </w:rPr>
        <w:t xml:space="preserve"> </w:t>
      </w:r>
      <w:r w:rsidR="005D1126">
        <w:rPr>
          <w:rFonts w:ascii="Times New Roman" w:eastAsia="Times New Roman" w:hAnsi="Times New Roman"/>
          <w:bCs/>
          <w:sz w:val="24"/>
          <w:szCs w:val="24"/>
        </w:rPr>
        <w:t>legal services</w:t>
      </w:r>
      <w:r>
        <w:rPr>
          <w:rFonts w:ascii="Times New Roman" w:eastAsia="Times New Roman" w:hAnsi="Times New Roman"/>
          <w:bCs/>
          <w:sz w:val="24"/>
          <w:szCs w:val="24"/>
        </w:rPr>
        <w:t xml:space="preserve"> organizations</w:t>
      </w:r>
      <w:r w:rsidR="004E61D6">
        <w:rPr>
          <w:rFonts w:ascii="Times New Roman" w:eastAsia="Times New Roman" w:hAnsi="Times New Roman"/>
          <w:bCs/>
          <w:sz w:val="24"/>
          <w:szCs w:val="24"/>
        </w:rPr>
        <w:t xml:space="preserve"> to assist older adults</w:t>
      </w:r>
      <w:r w:rsidR="00574DFA">
        <w:rPr>
          <w:rFonts w:ascii="Times New Roman" w:eastAsia="Times New Roman" w:hAnsi="Times New Roman"/>
          <w:bCs/>
          <w:sz w:val="24"/>
          <w:szCs w:val="24"/>
        </w:rPr>
        <w:t xml:space="preserve"> with a variety of legal issues, including</w:t>
      </w:r>
      <w:r>
        <w:rPr>
          <w:rFonts w:ascii="Times New Roman" w:eastAsia="Times New Roman" w:hAnsi="Times New Roman"/>
          <w:bCs/>
          <w:sz w:val="24"/>
          <w:szCs w:val="24"/>
        </w:rPr>
        <w:t xml:space="preserve"> </w:t>
      </w:r>
      <w:r w:rsidRPr="00B45AB5">
        <w:rPr>
          <w:rFonts w:ascii="Times New Roman" w:eastAsia="Times New Roman" w:hAnsi="Times New Roman"/>
          <w:bCs/>
          <w:sz w:val="24"/>
          <w:szCs w:val="24"/>
        </w:rPr>
        <w:t>landlord-tenant issues.</w:t>
      </w:r>
      <w:r>
        <w:rPr>
          <w:rStyle w:val="FootnoteReference"/>
          <w:rFonts w:ascii="Times New Roman" w:eastAsia="Times New Roman" w:hAnsi="Times New Roman"/>
          <w:bCs/>
          <w:sz w:val="24"/>
          <w:szCs w:val="24"/>
        </w:rPr>
        <w:footnoteReference w:id="44"/>
      </w:r>
      <w:r w:rsidR="004E61D6">
        <w:rPr>
          <w:rFonts w:ascii="Times New Roman" w:eastAsia="Times New Roman" w:hAnsi="Times New Roman"/>
          <w:bCs/>
          <w:sz w:val="24"/>
          <w:szCs w:val="24"/>
        </w:rPr>
        <w:t xml:space="preserve"> According to DFTA’s website, the agency currently contracts with three organizations: Legal Services NYC for older adults in the Bronx, </w:t>
      </w:r>
      <w:r w:rsidR="00B634BF">
        <w:rPr>
          <w:rFonts w:ascii="Times New Roman" w:eastAsia="Times New Roman" w:hAnsi="Times New Roman"/>
          <w:bCs/>
          <w:sz w:val="24"/>
          <w:szCs w:val="24"/>
        </w:rPr>
        <w:t>Brooklyn</w:t>
      </w:r>
      <w:r w:rsidR="004E61D6">
        <w:rPr>
          <w:rFonts w:ascii="Times New Roman" w:eastAsia="Times New Roman" w:hAnsi="Times New Roman"/>
          <w:bCs/>
          <w:sz w:val="24"/>
          <w:szCs w:val="24"/>
        </w:rPr>
        <w:t xml:space="preserve">, and Staten Island; </w:t>
      </w:r>
      <w:r w:rsidR="00B634BF">
        <w:rPr>
          <w:rFonts w:ascii="Times New Roman" w:eastAsia="Times New Roman" w:hAnsi="Times New Roman"/>
          <w:bCs/>
          <w:sz w:val="24"/>
          <w:szCs w:val="24"/>
        </w:rPr>
        <w:t>Mobilization for Justice for older adults in Manhattan; and the Jewish Association Serving the Aging for older adults in Queens.</w:t>
      </w:r>
      <w:r w:rsidR="00B634BF">
        <w:rPr>
          <w:rStyle w:val="FootnoteReference"/>
          <w:rFonts w:ascii="Times New Roman" w:eastAsia="Times New Roman" w:hAnsi="Times New Roman"/>
          <w:bCs/>
          <w:sz w:val="24"/>
          <w:szCs w:val="24"/>
        </w:rPr>
        <w:footnoteReference w:id="45"/>
      </w:r>
      <w:r w:rsidR="004E3F9F">
        <w:rPr>
          <w:rFonts w:ascii="Times New Roman" w:eastAsia="Times New Roman" w:hAnsi="Times New Roman"/>
          <w:bCs/>
          <w:sz w:val="24"/>
          <w:szCs w:val="24"/>
        </w:rPr>
        <w:t xml:space="preserve"> Additionally, DFTA partners with </w:t>
      </w:r>
      <w:r w:rsidR="00AE26C8">
        <w:rPr>
          <w:rFonts w:ascii="Times New Roman" w:eastAsia="Times New Roman" w:hAnsi="Times New Roman"/>
          <w:bCs/>
          <w:sz w:val="24"/>
          <w:szCs w:val="24"/>
        </w:rPr>
        <w:t>the Civil Court of the City of New York in operating the Assigned Counsel Project</w:t>
      </w:r>
      <w:r w:rsidR="00A201F9">
        <w:rPr>
          <w:rFonts w:ascii="Times New Roman" w:eastAsia="Times New Roman" w:hAnsi="Times New Roman"/>
          <w:bCs/>
          <w:sz w:val="24"/>
          <w:szCs w:val="24"/>
        </w:rPr>
        <w:t xml:space="preserve"> (ACP)</w:t>
      </w:r>
      <w:r w:rsidR="00D5414E">
        <w:rPr>
          <w:rFonts w:ascii="Times New Roman" w:eastAsia="Times New Roman" w:hAnsi="Times New Roman"/>
          <w:bCs/>
          <w:sz w:val="24"/>
          <w:szCs w:val="24"/>
        </w:rPr>
        <w:t>.</w:t>
      </w:r>
      <w:r w:rsidR="00D5414E">
        <w:rPr>
          <w:rStyle w:val="FootnoteReference"/>
          <w:rFonts w:ascii="Times New Roman" w:eastAsia="Times New Roman" w:hAnsi="Times New Roman"/>
          <w:bCs/>
          <w:sz w:val="24"/>
          <w:szCs w:val="24"/>
        </w:rPr>
        <w:footnoteReference w:id="46"/>
      </w:r>
      <w:r w:rsidR="00424590">
        <w:rPr>
          <w:rFonts w:ascii="Times New Roman" w:eastAsia="Times New Roman" w:hAnsi="Times New Roman"/>
          <w:bCs/>
          <w:sz w:val="24"/>
          <w:szCs w:val="24"/>
        </w:rPr>
        <w:t xml:space="preserve"> This program is available to older adults aged 60 or above who </w:t>
      </w:r>
      <w:r w:rsidR="009B1B28">
        <w:rPr>
          <w:rFonts w:ascii="Times New Roman" w:eastAsia="Times New Roman" w:hAnsi="Times New Roman"/>
          <w:bCs/>
          <w:sz w:val="24"/>
          <w:szCs w:val="24"/>
        </w:rPr>
        <w:t xml:space="preserve">live in Brooklyn, the Bronx, Manhattan, or Queens, and </w:t>
      </w:r>
      <w:r w:rsidR="003332DA">
        <w:rPr>
          <w:rFonts w:ascii="Times New Roman" w:eastAsia="Times New Roman" w:hAnsi="Times New Roman"/>
          <w:bCs/>
          <w:sz w:val="24"/>
          <w:szCs w:val="24"/>
        </w:rPr>
        <w:t xml:space="preserve">are tenants in </w:t>
      </w:r>
      <w:r w:rsidR="001F15CF">
        <w:rPr>
          <w:rFonts w:ascii="Times New Roman" w:eastAsia="Times New Roman" w:hAnsi="Times New Roman"/>
          <w:bCs/>
          <w:sz w:val="24"/>
          <w:szCs w:val="24"/>
        </w:rPr>
        <w:t>h</w:t>
      </w:r>
      <w:r w:rsidR="003332DA">
        <w:rPr>
          <w:rFonts w:ascii="Times New Roman" w:eastAsia="Times New Roman" w:hAnsi="Times New Roman"/>
          <w:bCs/>
          <w:sz w:val="24"/>
          <w:szCs w:val="24"/>
        </w:rPr>
        <w:t xml:space="preserve">ousing </w:t>
      </w:r>
      <w:r w:rsidR="001F15CF">
        <w:rPr>
          <w:rFonts w:ascii="Times New Roman" w:eastAsia="Times New Roman" w:hAnsi="Times New Roman"/>
          <w:bCs/>
          <w:sz w:val="24"/>
          <w:szCs w:val="24"/>
        </w:rPr>
        <w:t>c</w:t>
      </w:r>
      <w:r w:rsidR="003332DA">
        <w:rPr>
          <w:rFonts w:ascii="Times New Roman" w:eastAsia="Times New Roman" w:hAnsi="Times New Roman"/>
          <w:bCs/>
          <w:sz w:val="24"/>
          <w:szCs w:val="24"/>
        </w:rPr>
        <w:t>ourt facing eviction due to nonpayment of rent or holdover allegations.</w:t>
      </w:r>
      <w:r w:rsidR="003332DA">
        <w:rPr>
          <w:rStyle w:val="FootnoteReference"/>
          <w:rFonts w:ascii="Times New Roman" w:eastAsia="Times New Roman" w:hAnsi="Times New Roman"/>
          <w:bCs/>
          <w:sz w:val="24"/>
          <w:szCs w:val="24"/>
        </w:rPr>
        <w:footnoteReference w:id="47"/>
      </w:r>
      <w:r w:rsidR="00A201F9">
        <w:rPr>
          <w:rFonts w:ascii="Times New Roman" w:eastAsia="Times New Roman" w:hAnsi="Times New Roman"/>
          <w:bCs/>
          <w:sz w:val="24"/>
          <w:szCs w:val="24"/>
        </w:rPr>
        <w:t xml:space="preserve"> ACP</w:t>
      </w:r>
      <w:r w:rsidR="00982BA8">
        <w:rPr>
          <w:rFonts w:ascii="Times New Roman" w:eastAsia="Times New Roman" w:hAnsi="Times New Roman"/>
          <w:bCs/>
          <w:sz w:val="24"/>
          <w:szCs w:val="24"/>
        </w:rPr>
        <w:t xml:space="preserve"> assigns an attorney and a social worker or social work intern to </w:t>
      </w:r>
      <w:r w:rsidR="005C5BAB">
        <w:rPr>
          <w:rFonts w:ascii="Times New Roman" w:eastAsia="Times New Roman" w:hAnsi="Times New Roman"/>
          <w:bCs/>
          <w:sz w:val="24"/>
          <w:szCs w:val="24"/>
        </w:rPr>
        <w:t>e</w:t>
      </w:r>
      <w:r w:rsidR="00E11109">
        <w:rPr>
          <w:rFonts w:ascii="Times New Roman" w:eastAsia="Times New Roman" w:hAnsi="Times New Roman"/>
          <w:bCs/>
          <w:sz w:val="24"/>
          <w:szCs w:val="24"/>
        </w:rPr>
        <w:t>ach older adult accepted into the program</w:t>
      </w:r>
      <w:r w:rsidR="002A486A">
        <w:rPr>
          <w:rFonts w:ascii="Times New Roman" w:eastAsia="Times New Roman" w:hAnsi="Times New Roman"/>
          <w:bCs/>
          <w:sz w:val="24"/>
          <w:szCs w:val="24"/>
        </w:rPr>
        <w:t>.</w:t>
      </w:r>
      <w:r w:rsidR="002A486A">
        <w:rPr>
          <w:rStyle w:val="FootnoteReference"/>
          <w:rFonts w:ascii="Times New Roman" w:eastAsia="Times New Roman" w:hAnsi="Times New Roman"/>
          <w:bCs/>
          <w:sz w:val="24"/>
          <w:szCs w:val="24"/>
        </w:rPr>
        <w:footnoteReference w:id="48"/>
      </w:r>
      <w:r w:rsidR="001F15CF">
        <w:rPr>
          <w:rFonts w:ascii="Times New Roman" w:eastAsia="Times New Roman" w:hAnsi="Times New Roman"/>
          <w:bCs/>
          <w:sz w:val="24"/>
          <w:szCs w:val="24"/>
        </w:rPr>
        <w:t xml:space="preserve"> Accepted older adults then receive free legal representation in housing court</w:t>
      </w:r>
      <w:r w:rsidR="00F26775">
        <w:rPr>
          <w:rFonts w:ascii="Times New Roman" w:eastAsia="Times New Roman" w:hAnsi="Times New Roman"/>
          <w:bCs/>
          <w:sz w:val="24"/>
          <w:szCs w:val="24"/>
        </w:rPr>
        <w:t xml:space="preserve">, as well as free assistance with obtaining financial assistance to cover past due rent, </w:t>
      </w:r>
      <w:r w:rsidR="00C80CDE">
        <w:rPr>
          <w:rFonts w:ascii="Times New Roman" w:eastAsia="Times New Roman" w:hAnsi="Times New Roman"/>
          <w:bCs/>
          <w:sz w:val="24"/>
          <w:szCs w:val="24"/>
        </w:rPr>
        <w:t>obtaining protection from rental increases, obtaining healthcare benefits, and other related services.</w:t>
      </w:r>
      <w:r w:rsidR="00C80CDE">
        <w:rPr>
          <w:rStyle w:val="FootnoteReference"/>
          <w:rFonts w:ascii="Times New Roman" w:eastAsia="Times New Roman" w:hAnsi="Times New Roman"/>
          <w:bCs/>
          <w:sz w:val="24"/>
          <w:szCs w:val="24"/>
        </w:rPr>
        <w:footnoteReference w:id="49"/>
      </w:r>
      <w:r w:rsidR="00D31240">
        <w:rPr>
          <w:rFonts w:ascii="Times New Roman" w:eastAsia="Times New Roman" w:hAnsi="Times New Roman"/>
          <w:bCs/>
          <w:sz w:val="24"/>
          <w:szCs w:val="24"/>
        </w:rPr>
        <w:t xml:space="preserve"> At a Committee on Aging hearing in December 2021 on housing New Yorker’s older adult population, DFTA Commissioner Lorraine Cortés-Vázquez testified that ACP worked with 415 clients each year,</w:t>
      </w:r>
      <w:r w:rsidR="00D31240">
        <w:rPr>
          <w:rStyle w:val="FootnoteReference"/>
          <w:rFonts w:ascii="Times New Roman" w:eastAsia="Times New Roman" w:hAnsi="Times New Roman"/>
          <w:bCs/>
          <w:sz w:val="24"/>
          <w:szCs w:val="24"/>
        </w:rPr>
        <w:footnoteReference w:id="50"/>
      </w:r>
      <w:r w:rsidR="00D31240">
        <w:rPr>
          <w:rFonts w:ascii="Times New Roman" w:eastAsia="Times New Roman" w:hAnsi="Times New Roman"/>
          <w:bCs/>
          <w:sz w:val="24"/>
          <w:szCs w:val="24"/>
        </w:rPr>
        <w:t xml:space="preserve"> and acknowledged that demand for this specialized program outweighs the available resources.</w:t>
      </w:r>
    </w:p>
    <w:p w14:paraId="5F09ED26" w14:textId="1B6BC920" w:rsidR="006A1F9F" w:rsidRDefault="00E20E6C" w:rsidP="00A05E9D">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T</w:t>
      </w:r>
      <w:r w:rsidRPr="00F57A22">
        <w:rPr>
          <w:rFonts w:ascii="Times New Roman" w:eastAsia="Times New Roman" w:hAnsi="Times New Roman"/>
          <w:bCs/>
          <w:sz w:val="24"/>
          <w:szCs w:val="24"/>
        </w:rPr>
        <w:t>he Human Resources Administration (HRA) Office of Civil Justice (OCJ) Universa</w:t>
      </w:r>
      <w:r>
        <w:rPr>
          <w:rFonts w:ascii="Times New Roman" w:eastAsia="Times New Roman" w:hAnsi="Times New Roman"/>
          <w:bCs/>
          <w:sz w:val="24"/>
          <w:szCs w:val="24"/>
        </w:rPr>
        <w:t xml:space="preserve">l Access (UA) initiative </w:t>
      </w:r>
      <w:r w:rsidRPr="00F57A22">
        <w:rPr>
          <w:rFonts w:ascii="Times New Roman" w:eastAsia="Times New Roman" w:hAnsi="Times New Roman"/>
          <w:bCs/>
          <w:sz w:val="24"/>
          <w:szCs w:val="24"/>
        </w:rPr>
        <w:t>makes full legal representation available in eviction proceedings to all New Yorkers at or below the 200</w:t>
      </w:r>
      <w:r w:rsidR="002B19BA">
        <w:rPr>
          <w:rFonts w:ascii="Times New Roman" w:eastAsia="Times New Roman" w:hAnsi="Times New Roman"/>
          <w:bCs/>
          <w:sz w:val="24"/>
          <w:szCs w:val="24"/>
        </w:rPr>
        <w:t xml:space="preserve"> percent</w:t>
      </w:r>
      <w:r w:rsidRPr="00F57A22">
        <w:rPr>
          <w:rFonts w:ascii="Times New Roman" w:eastAsia="Times New Roman" w:hAnsi="Times New Roman"/>
          <w:bCs/>
          <w:sz w:val="24"/>
          <w:szCs w:val="24"/>
        </w:rPr>
        <w:t xml:space="preserve"> federal poverty level (FPL). According to OCJ’s 2021 Annual Report, under UA, approximately 27,000 clients received full legal r</w:t>
      </w:r>
      <w:r w:rsidR="00AC2287">
        <w:rPr>
          <w:rFonts w:ascii="Times New Roman" w:eastAsia="Times New Roman" w:hAnsi="Times New Roman"/>
          <w:bCs/>
          <w:sz w:val="24"/>
          <w:szCs w:val="24"/>
        </w:rPr>
        <w:t>epresentation with $136 million</w:t>
      </w:r>
      <w:r w:rsidRPr="00F57A22">
        <w:rPr>
          <w:rFonts w:ascii="Times New Roman" w:eastAsia="Times New Roman" w:hAnsi="Times New Roman"/>
          <w:bCs/>
          <w:sz w:val="24"/>
          <w:szCs w:val="24"/>
        </w:rPr>
        <w:t>.</w:t>
      </w:r>
      <w:r w:rsidR="00DC1D8F">
        <w:rPr>
          <w:rFonts w:ascii="Times New Roman" w:eastAsia="Times New Roman" w:hAnsi="Times New Roman"/>
          <w:bCs/>
          <w:sz w:val="24"/>
          <w:szCs w:val="24"/>
        </w:rPr>
        <w:t xml:space="preserve"> However, legal service providers report that they are </w:t>
      </w:r>
      <w:r w:rsidR="00027CDE">
        <w:rPr>
          <w:rFonts w:ascii="Times New Roman" w:eastAsia="Times New Roman" w:hAnsi="Times New Roman"/>
          <w:bCs/>
          <w:sz w:val="24"/>
          <w:szCs w:val="24"/>
        </w:rPr>
        <w:t xml:space="preserve">understaffed and </w:t>
      </w:r>
      <w:r w:rsidR="00DC1D8F">
        <w:rPr>
          <w:rFonts w:ascii="Times New Roman" w:eastAsia="Times New Roman" w:hAnsi="Times New Roman"/>
          <w:bCs/>
          <w:sz w:val="24"/>
          <w:szCs w:val="24"/>
        </w:rPr>
        <w:t>under</w:t>
      </w:r>
      <w:r w:rsidR="00883B66">
        <w:rPr>
          <w:rFonts w:ascii="Times New Roman" w:eastAsia="Times New Roman" w:hAnsi="Times New Roman"/>
          <w:bCs/>
          <w:sz w:val="24"/>
          <w:szCs w:val="24"/>
        </w:rPr>
        <w:t>-</w:t>
      </w:r>
      <w:r w:rsidR="00DC1D8F">
        <w:rPr>
          <w:rFonts w:ascii="Times New Roman" w:eastAsia="Times New Roman" w:hAnsi="Times New Roman"/>
          <w:bCs/>
          <w:sz w:val="24"/>
          <w:szCs w:val="24"/>
        </w:rPr>
        <w:t>resourced</w:t>
      </w:r>
      <w:r w:rsidR="00DC1D8F" w:rsidRPr="00DC1D8F">
        <w:rPr>
          <w:rFonts w:ascii="Times New Roman" w:eastAsia="Times New Roman" w:hAnsi="Times New Roman"/>
          <w:bCs/>
          <w:sz w:val="24"/>
          <w:szCs w:val="24"/>
        </w:rPr>
        <w:t>, and</w:t>
      </w:r>
      <w:r w:rsidR="00883B66">
        <w:rPr>
          <w:rFonts w:ascii="Times New Roman" w:eastAsia="Times New Roman" w:hAnsi="Times New Roman"/>
          <w:bCs/>
          <w:sz w:val="24"/>
          <w:szCs w:val="24"/>
        </w:rPr>
        <w:t xml:space="preserve"> they argue that</w:t>
      </w:r>
      <w:r w:rsidR="00DC1D8F" w:rsidRPr="00DC1D8F">
        <w:rPr>
          <w:rFonts w:ascii="Times New Roman" w:eastAsia="Times New Roman" w:hAnsi="Times New Roman"/>
          <w:bCs/>
          <w:sz w:val="24"/>
          <w:szCs w:val="24"/>
        </w:rPr>
        <w:t xml:space="preserve"> tenants facing eviction are not getting adequate representation under the city's Right to Counsel </w:t>
      </w:r>
      <w:proofErr w:type="gramStart"/>
      <w:r w:rsidR="00DC1D8F" w:rsidRPr="00DC1D8F">
        <w:rPr>
          <w:rFonts w:ascii="Times New Roman" w:eastAsia="Times New Roman" w:hAnsi="Times New Roman"/>
          <w:bCs/>
          <w:sz w:val="24"/>
          <w:szCs w:val="24"/>
        </w:rPr>
        <w:t>law</w:t>
      </w:r>
      <w:proofErr w:type="gramEnd"/>
      <w:r w:rsidR="00DC1D8F" w:rsidRPr="00DC1D8F">
        <w:rPr>
          <w:rFonts w:ascii="Times New Roman" w:eastAsia="Times New Roman" w:hAnsi="Times New Roman"/>
          <w:bCs/>
          <w:sz w:val="24"/>
          <w:szCs w:val="24"/>
        </w:rPr>
        <w:t>.</w:t>
      </w:r>
      <w:r w:rsidR="00883B66">
        <w:rPr>
          <w:rStyle w:val="FootnoteReference"/>
          <w:rFonts w:ascii="Times New Roman" w:eastAsia="Times New Roman" w:hAnsi="Times New Roman"/>
          <w:bCs/>
          <w:sz w:val="24"/>
          <w:szCs w:val="24"/>
        </w:rPr>
        <w:footnoteReference w:id="51"/>
      </w:r>
      <w:r w:rsidR="00027CDE">
        <w:rPr>
          <w:rFonts w:ascii="Times New Roman" w:eastAsia="Times New Roman" w:hAnsi="Times New Roman"/>
          <w:bCs/>
          <w:sz w:val="24"/>
          <w:szCs w:val="24"/>
        </w:rPr>
        <w:t xml:space="preserve"> </w:t>
      </w:r>
      <w:r w:rsidR="002B33E0">
        <w:rPr>
          <w:rFonts w:ascii="Times New Roman" w:eastAsia="Times New Roman" w:hAnsi="Times New Roman"/>
          <w:bCs/>
          <w:sz w:val="24"/>
          <w:szCs w:val="24"/>
        </w:rPr>
        <w:t>Amid rising caseloads in the city’s housing courts during the pandemic, legal service providers have reportedly struggled to take on additional clients.</w:t>
      </w:r>
      <w:r w:rsidR="002B33E0">
        <w:rPr>
          <w:rStyle w:val="FootnoteReference"/>
          <w:rFonts w:ascii="Times New Roman" w:eastAsia="Times New Roman" w:hAnsi="Times New Roman"/>
          <w:bCs/>
          <w:sz w:val="24"/>
          <w:szCs w:val="24"/>
        </w:rPr>
        <w:footnoteReference w:id="52"/>
      </w:r>
      <w:r w:rsidR="00650331">
        <w:rPr>
          <w:rFonts w:ascii="Times New Roman" w:eastAsia="Times New Roman" w:hAnsi="Times New Roman"/>
          <w:bCs/>
          <w:sz w:val="24"/>
          <w:szCs w:val="24"/>
        </w:rPr>
        <w:t xml:space="preserve"> As of March 2022, there were </w:t>
      </w:r>
      <w:r w:rsidR="00650331" w:rsidRPr="00650331">
        <w:rPr>
          <w:rFonts w:ascii="Times New Roman" w:eastAsia="Times New Roman" w:hAnsi="Times New Roman"/>
          <w:bCs/>
          <w:sz w:val="24"/>
          <w:szCs w:val="24"/>
        </w:rPr>
        <w:t xml:space="preserve">more than 219,335 active eviction cases in </w:t>
      </w:r>
      <w:r w:rsidR="002B19BA">
        <w:rPr>
          <w:rFonts w:ascii="Times New Roman" w:eastAsia="Times New Roman" w:hAnsi="Times New Roman"/>
          <w:bCs/>
          <w:sz w:val="24"/>
          <w:szCs w:val="24"/>
        </w:rPr>
        <w:t>NYC</w:t>
      </w:r>
      <w:r w:rsidR="00650331" w:rsidRPr="00650331">
        <w:rPr>
          <w:rFonts w:ascii="Times New Roman" w:eastAsia="Times New Roman" w:hAnsi="Times New Roman"/>
          <w:bCs/>
          <w:sz w:val="24"/>
          <w:szCs w:val="24"/>
        </w:rPr>
        <w:t>, more than 65</w:t>
      </w:r>
      <w:r w:rsidR="002B19BA">
        <w:rPr>
          <w:rFonts w:ascii="Times New Roman" w:eastAsia="Times New Roman" w:hAnsi="Times New Roman"/>
          <w:bCs/>
          <w:sz w:val="24"/>
          <w:szCs w:val="24"/>
        </w:rPr>
        <w:t xml:space="preserve"> percent</w:t>
      </w:r>
      <w:r w:rsidR="00650331" w:rsidRPr="00650331">
        <w:rPr>
          <w:rFonts w:ascii="Times New Roman" w:eastAsia="Times New Roman" w:hAnsi="Times New Roman"/>
          <w:bCs/>
          <w:sz w:val="24"/>
          <w:szCs w:val="24"/>
        </w:rPr>
        <w:t xml:space="preserve"> of which were filed before the coronavirus pandemic, according to Office of Court Administration data compiled by groups including the Right to Counsel Coalition and the Housing Data Coalition.</w:t>
      </w:r>
      <w:r w:rsidR="006E456B">
        <w:rPr>
          <w:rStyle w:val="FootnoteReference"/>
          <w:rFonts w:ascii="Times New Roman" w:eastAsia="Times New Roman" w:hAnsi="Times New Roman"/>
          <w:bCs/>
          <w:sz w:val="24"/>
          <w:szCs w:val="24"/>
        </w:rPr>
        <w:footnoteReference w:id="53"/>
      </w:r>
    </w:p>
    <w:p w14:paraId="01E93F49" w14:textId="40137183" w:rsidR="00787304" w:rsidRDefault="00A05E9D" w:rsidP="002B19BA">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Given these capaci</w:t>
      </w:r>
      <w:r w:rsidR="00005092">
        <w:rPr>
          <w:rFonts w:ascii="Times New Roman" w:eastAsia="Times New Roman" w:hAnsi="Times New Roman"/>
          <w:bCs/>
          <w:sz w:val="24"/>
          <w:szCs w:val="24"/>
        </w:rPr>
        <w:t>ty concerns, it is crucial that older adults</w:t>
      </w:r>
      <w:r w:rsidR="00B45397">
        <w:rPr>
          <w:rFonts w:ascii="Times New Roman" w:eastAsia="Times New Roman" w:hAnsi="Times New Roman"/>
          <w:bCs/>
          <w:sz w:val="24"/>
          <w:szCs w:val="24"/>
        </w:rPr>
        <w:t xml:space="preserve"> are prioritized and given the resources they need to obtain </w:t>
      </w:r>
      <w:r w:rsidR="000215F7">
        <w:rPr>
          <w:rFonts w:ascii="Times New Roman" w:eastAsia="Times New Roman" w:hAnsi="Times New Roman"/>
          <w:bCs/>
          <w:sz w:val="24"/>
          <w:szCs w:val="24"/>
        </w:rPr>
        <w:t xml:space="preserve">competent </w:t>
      </w:r>
      <w:r w:rsidR="00B45397">
        <w:rPr>
          <w:rFonts w:ascii="Times New Roman" w:eastAsia="Times New Roman" w:hAnsi="Times New Roman"/>
          <w:bCs/>
          <w:sz w:val="24"/>
          <w:szCs w:val="24"/>
        </w:rPr>
        <w:t>legal counsel to ensure they can remain in their homes.</w:t>
      </w:r>
      <w:r w:rsidR="00F643A4">
        <w:rPr>
          <w:rFonts w:ascii="Times New Roman" w:eastAsia="Times New Roman" w:hAnsi="Times New Roman"/>
          <w:bCs/>
          <w:sz w:val="24"/>
          <w:szCs w:val="24"/>
        </w:rPr>
        <w:t xml:space="preserve"> </w:t>
      </w:r>
      <w:r w:rsidR="00813B61">
        <w:rPr>
          <w:rFonts w:ascii="Times New Roman" w:eastAsia="Times New Roman" w:hAnsi="Times New Roman"/>
          <w:bCs/>
          <w:sz w:val="24"/>
          <w:szCs w:val="24"/>
        </w:rPr>
        <w:t>DFTA, in partnership</w:t>
      </w:r>
      <w:r w:rsidR="00F643A4">
        <w:rPr>
          <w:rFonts w:ascii="Times New Roman" w:eastAsia="Times New Roman" w:hAnsi="Times New Roman"/>
          <w:bCs/>
          <w:sz w:val="24"/>
          <w:szCs w:val="24"/>
        </w:rPr>
        <w:t xml:space="preserve"> with</w:t>
      </w:r>
      <w:r w:rsidR="003C153E">
        <w:rPr>
          <w:rFonts w:ascii="Times New Roman" w:eastAsia="Times New Roman" w:hAnsi="Times New Roman"/>
          <w:bCs/>
          <w:sz w:val="24"/>
          <w:szCs w:val="24"/>
        </w:rPr>
        <w:t xml:space="preserve"> the Council, </w:t>
      </w:r>
      <w:r w:rsidR="00B374E9">
        <w:rPr>
          <w:rFonts w:ascii="Times New Roman" w:eastAsia="Times New Roman" w:hAnsi="Times New Roman"/>
          <w:bCs/>
          <w:sz w:val="24"/>
          <w:szCs w:val="24"/>
        </w:rPr>
        <w:t>legal services providers</w:t>
      </w:r>
      <w:r w:rsidR="003C153E">
        <w:rPr>
          <w:rFonts w:ascii="Times New Roman" w:eastAsia="Times New Roman" w:hAnsi="Times New Roman"/>
          <w:bCs/>
          <w:sz w:val="24"/>
          <w:szCs w:val="24"/>
        </w:rPr>
        <w:t>,</w:t>
      </w:r>
      <w:r w:rsidR="00B374E9">
        <w:rPr>
          <w:rFonts w:ascii="Times New Roman" w:eastAsia="Times New Roman" w:hAnsi="Times New Roman"/>
          <w:bCs/>
          <w:sz w:val="24"/>
          <w:szCs w:val="24"/>
        </w:rPr>
        <w:t xml:space="preserve"> and </w:t>
      </w:r>
      <w:r w:rsidR="00F643A4">
        <w:rPr>
          <w:rFonts w:ascii="Times New Roman" w:eastAsia="Times New Roman" w:hAnsi="Times New Roman"/>
          <w:bCs/>
          <w:sz w:val="24"/>
          <w:szCs w:val="24"/>
        </w:rPr>
        <w:t>HRA</w:t>
      </w:r>
      <w:r w:rsidR="00813B61">
        <w:rPr>
          <w:rFonts w:ascii="Times New Roman" w:eastAsia="Times New Roman" w:hAnsi="Times New Roman"/>
          <w:bCs/>
          <w:sz w:val="24"/>
          <w:szCs w:val="24"/>
        </w:rPr>
        <w:t xml:space="preserve">, </w:t>
      </w:r>
      <w:r w:rsidR="00DD4C6D">
        <w:rPr>
          <w:rFonts w:ascii="Times New Roman" w:eastAsia="Times New Roman" w:hAnsi="Times New Roman"/>
          <w:bCs/>
          <w:sz w:val="24"/>
          <w:szCs w:val="24"/>
        </w:rPr>
        <w:t>should explore additional avenues</w:t>
      </w:r>
      <w:r w:rsidR="003C153E">
        <w:rPr>
          <w:rFonts w:ascii="Times New Roman" w:eastAsia="Times New Roman" w:hAnsi="Times New Roman"/>
          <w:bCs/>
          <w:sz w:val="24"/>
          <w:szCs w:val="24"/>
        </w:rPr>
        <w:t xml:space="preserve"> </w:t>
      </w:r>
      <w:r w:rsidR="00414C18">
        <w:rPr>
          <w:rFonts w:ascii="Times New Roman" w:eastAsia="Times New Roman" w:hAnsi="Times New Roman"/>
          <w:bCs/>
          <w:sz w:val="24"/>
          <w:szCs w:val="24"/>
        </w:rPr>
        <w:t xml:space="preserve">in </w:t>
      </w:r>
      <w:r w:rsidR="003C153E">
        <w:rPr>
          <w:rFonts w:ascii="Times New Roman" w:eastAsia="Times New Roman" w:hAnsi="Times New Roman"/>
          <w:bCs/>
          <w:sz w:val="24"/>
          <w:szCs w:val="24"/>
        </w:rPr>
        <w:t>securing</w:t>
      </w:r>
      <w:r w:rsidR="00F643A4">
        <w:rPr>
          <w:rFonts w:ascii="Times New Roman" w:eastAsia="Times New Roman" w:hAnsi="Times New Roman"/>
          <w:bCs/>
          <w:sz w:val="24"/>
          <w:szCs w:val="24"/>
        </w:rPr>
        <w:t xml:space="preserve"> legal representation</w:t>
      </w:r>
      <w:r w:rsidR="00414C18">
        <w:rPr>
          <w:rFonts w:ascii="Times New Roman" w:eastAsia="Times New Roman" w:hAnsi="Times New Roman"/>
          <w:bCs/>
          <w:sz w:val="24"/>
          <w:szCs w:val="24"/>
        </w:rPr>
        <w:t xml:space="preserve"> for</w:t>
      </w:r>
      <w:r w:rsidR="00F643A4">
        <w:rPr>
          <w:rFonts w:ascii="Times New Roman" w:eastAsia="Times New Roman" w:hAnsi="Times New Roman"/>
          <w:bCs/>
          <w:sz w:val="24"/>
          <w:szCs w:val="24"/>
        </w:rPr>
        <w:t xml:space="preserve"> older adults with landlord-tenant issues,</w:t>
      </w:r>
      <w:r w:rsidR="00B374E9">
        <w:rPr>
          <w:rFonts w:ascii="Times New Roman" w:eastAsia="Times New Roman" w:hAnsi="Times New Roman"/>
          <w:bCs/>
          <w:sz w:val="24"/>
          <w:szCs w:val="24"/>
        </w:rPr>
        <w:t xml:space="preserve"> especially as rents hit record highs</w:t>
      </w:r>
      <w:r w:rsidR="00677BEE">
        <w:rPr>
          <w:rFonts w:ascii="Times New Roman" w:eastAsia="Times New Roman" w:hAnsi="Times New Roman"/>
          <w:bCs/>
          <w:sz w:val="24"/>
          <w:szCs w:val="24"/>
        </w:rPr>
        <w:t xml:space="preserve"> and the city’s affordability crisis deepens</w:t>
      </w:r>
      <w:r w:rsidR="00B374E9">
        <w:rPr>
          <w:rFonts w:ascii="Times New Roman" w:eastAsia="Times New Roman" w:hAnsi="Times New Roman"/>
          <w:bCs/>
          <w:sz w:val="24"/>
          <w:szCs w:val="24"/>
        </w:rPr>
        <w:t>.</w:t>
      </w:r>
      <w:r w:rsidR="00677BEE">
        <w:rPr>
          <w:rStyle w:val="FootnoteReference"/>
          <w:rFonts w:ascii="Times New Roman" w:eastAsia="Times New Roman" w:hAnsi="Times New Roman"/>
          <w:bCs/>
          <w:sz w:val="24"/>
          <w:szCs w:val="24"/>
        </w:rPr>
        <w:footnoteReference w:id="54"/>
      </w:r>
    </w:p>
    <w:p w14:paraId="0F3C146A" w14:textId="7490A449" w:rsidR="00985E10" w:rsidRPr="002B19BA" w:rsidRDefault="00985E10" w:rsidP="00985E10">
      <w:pPr>
        <w:pStyle w:val="NoSpacing"/>
        <w:numPr>
          <w:ilvl w:val="0"/>
          <w:numId w:val="14"/>
        </w:numPr>
        <w:spacing w:line="480" w:lineRule="auto"/>
        <w:jc w:val="both"/>
        <w:rPr>
          <w:rFonts w:ascii="Times New Roman" w:eastAsia="Times New Roman" w:hAnsi="Times New Roman"/>
          <w:bCs/>
          <w:i/>
          <w:sz w:val="24"/>
          <w:szCs w:val="24"/>
        </w:rPr>
      </w:pPr>
      <w:r w:rsidRPr="002B19BA">
        <w:rPr>
          <w:rFonts w:ascii="Times New Roman" w:eastAsia="Times New Roman" w:hAnsi="Times New Roman"/>
          <w:bCs/>
          <w:i/>
          <w:sz w:val="24"/>
          <w:szCs w:val="24"/>
        </w:rPr>
        <w:t>Financial Assistance</w:t>
      </w:r>
      <w:r w:rsidR="001034AA" w:rsidRPr="002B19BA">
        <w:rPr>
          <w:rFonts w:ascii="Times New Roman" w:eastAsia="Times New Roman" w:hAnsi="Times New Roman"/>
          <w:bCs/>
          <w:i/>
          <w:sz w:val="24"/>
          <w:szCs w:val="24"/>
        </w:rPr>
        <w:t xml:space="preserve"> </w:t>
      </w:r>
      <w:r w:rsidR="002B19BA">
        <w:rPr>
          <w:rFonts w:ascii="Times New Roman" w:eastAsia="Times New Roman" w:hAnsi="Times New Roman"/>
          <w:bCs/>
          <w:i/>
          <w:sz w:val="24"/>
          <w:szCs w:val="24"/>
        </w:rPr>
        <w:t>&amp;</w:t>
      </w:r>
      <w:r w:rsidR="001034AA" w:rsidRPr="002B19BA">
        <w:rPr>
          <w:rFonts w:ascii="Times New Roman" w:eastAsia="Times New Roman" w:hAnsi="Times New Roman"/>
          <w:bCs/>
          <w:i/>
          <w:sz w:val="24"/>
          <w:szCs w:val="24"/>
        </w:rPr>
        <w:t xml:space="preserve"> Housing Support</w:t>
      </w:r>
    </w:p>
    <w:p w14:paraId="79C15603" w14:textId="46D39299" w:rsidR="001034AA" w:rsidRPr="001034AA" w:rsidRDefault="001034AA" w:rsidP="001034AA">
      <w:pPr>
        <w:pStyle w:val="NoSpacing"/>
        <w:spacing w:line="480" w:lineRule="auto"/>
        <w:ind w:firstLine="720"/>
        <w:jc w:val="both"/>
        <w:rPr>
          <w:rFonts w:ascii="Times New Roman" w:eastAsia="Times New Roman" w:hAnsi="Times New Roman"/>
          <w:bCs/>
          <w:sz w:val="24"/>
          <w:szCs w:val="24"/>
        </w:rPr>
      </w:pPr>
      <w:r w:rsidRPr="001034AA">
        <w:rPr>
          <w:rFonts w:ascii="Times New Roman" w:eastAsia="Times New Roman" w:hAnsi="Times New Roman"/>
          <w:bCs/>
          <w:sz w:val="24"/>
          <w:szCs w:val="24"/>
        </w:rPr>
        <w:t>Improved collaboration between City agencies</w:t>
      </w:r>
      <w:r w:rsidR="00DC3FFD">
        <w:rPr>
          <w:rFonts w:ascii="Times New Roman" w:eastAsia="Times New Roman" w:hAnsi="Times New Roman"/>
          <w:bCs/>
          <w:sz w:val="24"/>
          <w:szCs w:val="24"/>
        </w:rPr>
        <w:t xml:space="preserve">, as well as additional </w:t>
      </w:r>
      <w:r w:rsidRPr="001034AA">
        <w:rPr>
          <w:rFonts w:ascii="Times New Roman" w:eastAsia="Times New Roman" w:hAnsi="Times New Roman"/>
          <w:bCs/>
          <w:sz w:val="24"/>
          <w:szCs w:val="24"/>
        </w:rPr>
        <w:t>outreach efforts</w:t>
      </w:r>
      <w:r w:rsidR="00DC3FFD">
        <w:rPr>
          <w:rFonts w:ascii="Times New Roman" w:eastAsia="Times New Roman" w:hAnsi="Times New Roman"/>
          <w:bCs/>
          <w:sz w:val="24"/>
          <w:szCs w:val="24"/>
        </w:rPr>
        <w:t>,</w:t>
      </w:r>
      <w:r w:rsidRPr="001034AA">
        <w:rPr>
          <w:rFonts w:ascii="Times New Roman" w:eastAsia="Times New Roman" w:hAnsi="Times New Roman"/>
          <w:bCs/>
          <w:sz w:val="24"/>
          <w:szCs w:val="24"/>
        </w:rPr>
        <w:t xml:space="preserve"> are es</w:t>
      </w:r>
      <w:r w:rsidR="005D1126">
        <w:rPr>
          <w:rFonts w:ascii="Times New Roman" w:eastAsia="Times New Roman" w:hAnsi="Times New Roman"/>
          <w:bCs/>
          <w:sz w:val="24"/>
          <w:szCs w:val="24"/>
        </w:rPr>
        <w:t>sential to ensuring that older adults</w:t>
      </w:r>
      <w:r w:rsidRPr="001034AA">
        <w:rPr>
          <w:rFonts w:ascii="Times New Roman" w:eastAsia="Times New Roman" w:hAnsi="Times New Roman"/>
          <w:bCs/>
          <w:sz w:val="24"/>
          <w:szCs w:val="24"/>
        </w:rPr>
        <w:t xml:space="preserve"> are aware of their potential eligibility for </w:t>
      </w:r>
      <w:r w:rsidR="00017781">
        <w:rPr>
          <w:rFonts w:ascii="Times New Roman" w:eastAsia="Times New Roman" w:hAnsi="Times New Roman"/>
          <w:bCs/>
          <w:sz w:val="24"/>
          <w:szCs w:val="24"/>
        </w:rPr>
        <w:t xml:space="preserve">financial assistance and </w:t>
      </w:r>
      <w:r w:rsidRPr="001034AA">
        <w:rPr>
          <w:rFonts w:ascii="Times New Roman" w:eastAsia="Times New Roman" w:hAnsi="Times New Roman"/>
          <w:bCs/>
          <w:sz w:val="24"/>
          <w:szCs w:val="24"/>
        </w:rPr>
        <w:t xml:space="preserve">housing supports, including the City’s rental </w:t>
      </w:r>
      <w:r w:rsidR="00017781">
        <w:rPr>
          <w:rFonts w:ascii="Times New Roman" w:eastAsia="Times New Roman" w:hAnsi="Times New Roman"/>
          <w:bCs/>
          <w:sz w:val="24"/>
          <w:szCs w:val="24"/>
        </w:rPr>
        <w:t xml:space="preserve">assistance program, </w:t>
      </w:r>
      <w:proofErr w:type="spellStart"/>
      <w:r w:rsidR="00017781">
        <w:rPr>
          <w:rFonts w:ascii="Times New Roman" w:eastAsia="Times New Roman" w:hAnsi="Times New Roman"/>
          <w:bCs/>
          <w:sz w:val="24"/>
          <w:szCs w:val="24"/>
        </w:rPr>
        <w:t>CityFHEPS</w:t>
      </w:r>
      <w:proofErr w:type="spellEnd"/>
      <w:r w:rsidR="00017781">
        <w:rPr>
          <w:rFonts w:ascii="Times New Roman" w:eastAsia="Times New Roman" w:hAnsi="Times New Roman"/>
          <w:bCs/>
          <w:sz w:val="24"/>
          <w:szCs w:val="24"/>
        </w:rPr>
        <w:t>,</w:t>
      </w:r>
      <w:r w:rsidR="00D07150">
        <w:rPr>
          <w:rStyle w:val="FootnoteReference"/>
          <w:rFonts w:ascii="Times New Roman" w:eastAsia="Times New Roman" w:hAnsi="Times New Roman"/>
          <w:bCs/>
          <w:sz w:val="24"/>
          <w:szCs w:val="24"/>
        </w:rPr>
        <w:footnoteReference w:id="55"/>
      </w:r>
      <w:r w:rsidRPr="001034AA">
        <w:rPr>
          <w:rFonts w:ascii="Times New Roman" w:eastAsia="Times New Roman" w:hAnsi="Times New Roman"/>
          <w:bCs/>
          <w:sz w:val="24"/>
          <w:szCs w:val="24"/>
        </w:rPr>
        <w:t xml:space="preserve"> a</w:t>
      </w:r>
      <w:r w:rsidR="00E6042B">
        <w:rPr>
          <w:rFonts w:ascii="Times New Roman" w:eastAsia="Times New Roman" w:hAnsi="Times New Roman"/>
          <w:bCs/>
          <w:sz w:val="24"/>
          <w:szCs w:val="24"/>
        </w:rPr>
        <w:t>nd HRA</w:t>
      </w:r>
      <w:r w:rsidRPr="001034AA">
        <w:rPr>
          <w:rFonts w:ascii="Times New Roman" w:eastAsia="Times New Roman" w:hAnsi="Times New Roman"/>
          <w:bCs/>
          <w:sz w:val="24"/>
          <w:szCs w:val="24"/>
        </w:rPr>
        <w:t xml:space="preserve"> </w:t>
      </w:r>
      <w:proofErr w:type="spellStart"/>
      <w:r w:rsidRPr="001034AA">
        <w:rPr>
          <w:rFonts w:ascii="Times New Roman" w:eastAsia="Times New Roman" w:hAnsi="Times New Roman"/>
          <w:bCs/>
          <w:sz w:val="24"/>
          <w:szCs w:val="24"/>
        </w:rPr>
        <w:t>Homebase</w:t>
      </w:r>
      <w:proofErr w:type="spellEnd"/>
      <w:r w:rsidRPr="001034AA">
        <w:rPr>
          <w:rFonts w:ascii="Times New Roman" w:eastAsia="Times New Roman" w:hAnsi="Times New Roman"/>
          <w:bCs/>
          <w:sz w:val="24"/>
          <w:szCs w:val="24"/>
        </w:rPr>
        <w:t>,</w:t>
      </w:r>
      <w:r w:rsidR="00D07150">
        <w:rPr>
          <w:rStyle w:val="FootnoteReference"/>
          <w:rFonts w:ascii="Times New Roman" w:eastAsia="Times New Roman" w:hAnsi="Times New Roman"/>
          <w:bCs/>
          <w:sz w:val="24"/>
          <w:szCs w:val="24"/>
        </w:rPr>
        <w:footnoteReference w:id="56"/>
      </w:r>
      <w:r w:rsidRPr="001034AA">
        <w:rPr>
          <w:rFonts w:ascii="Times New Roman" w:eastAsia="Times New Roman" w:hAnsi="Times New Roman"/>
          <w:bCs/>
          <w:sz w:val="24"/>
          <w:szCs w:val="24"/>
        </w:rPr>
        <w:t xml:space="preserve"> which provides homel</w:t>
      </w:r>
      <w:r w:rsidR="00E6042B">
        <w:rPr>
          <w:rFonts w:ascii="Times New Roman" w:eastAsia="Times New Roman" w:hAnsi="Times New Roman"/>
          <w:bCs/>
          <w:sz w:val="24"/>
          <w:szCs w:val="24"/>
        </w:rPr>
        <w:t>ess prevention services to individuals</w:t>
      </w:r>
      <w:r w:rsidRPr="001034AA">
        <w:rPr>
          <w:rFonts w:ascii="Times New Roman" w:eastAsia="Times New Roman" w:hAnsi="Times New Roman"/>
          <w:bCs/>
          <w:sz w:val="24"/>
          <w:szCs w:val="24"/>
        </w:rPr>
        <w:t xml:space="preserve"> exp</w:t>
      </w:r>
      <w:r w:rsidR="00D07150">
        <w:rPr>
          <w:rFonts w:ascii="Times New Roman" w:eastAsia="Times New Roman" w:hAnsi="Times New Roman"/>
          <w:bCs/>
          <w:sz w:val="24"/>
          <w:szCs w:val="24"/>
        </w:rPr>
        <w:t>eriencing housing instability.</w:t>
      </w:r>
      <w:r w:rsidRPr="001034AA">
        <w:rPr>
          <w:rFonts w:ascii="Times New Roman" w:eastAsia="Times New Roman" w:hAnsi="Times New Roman"/>
          <w:bCs/>
          <w:sz w:val="24"/>
          <w:szCs w:val="24"/>
        </w:rPr>
        <w:t xml:space="preserve"> The NYC Housing Preservation and Development (HPD) Housing Ambassadors program partners with community-based organizations to provide assistance to </w:t>
      </w:r>
      <w:r w:rsidR="00C8661D">
        <w:rPr>
          <w:rFonts w:ascii="Times New Roman" w:eastAsia="Times New Roman" w:hAnsi="Times New Roman"/>
          <w:bCs/>
          <w:sz w:val="24"/>
          <w:szCs w:val="24"/>
        </w:rPr>
        <w:t>affordable housing applicants.</w:t>
      </w:r>
      <w:r w:rsidR="00C8661D">
        <w:rPr>
          <w:rStyle w:val="FootnoteReference"/>
          <w:rFonts w:ascii="Times New Roman" w:eastAsia="Times New Roman" w:hAnsi="Times New Roman"/>
          <w:bCs/>
          <w:sz w:val="24"/>
          <w:szCs w:val="24"/>
        </w:rPr>
        <w:footnoteReference w:id="57"/>
      </w:r>
      <w:r w:rsidRPr="001034AA">
        <w:rPr>
          <w:rFonts w:ascii="Times New Roman" w:eastAsia="Times New Roman" w:hAnsi="Times New Roman"/>
          <w:bCs/>
          <w:sz w:val="24"/>
          <w:szCs w:val="24"/>
        </w:rPr>
        <w:t xml:space="preserve"> Existing programs and resources,</w:t>
      </w:r>
      <w:r w:rsidR="00E6042B">
        <w:rPr>
          <w:rFonts w:ascii="Times New Roman" w:eastAsia="Times New Roman" w:hAnsi="Times New Roman"/>
          <w:bCs/>
          <w:sz w:val="24"/>
          <w:szCs w:val="24"/>
        </w:rPr>
        <w:t xml:space="preserve"> such as this program and </w:t>
      </w:r>
      <w:r w:rsidR="000E5DF3">
        <w:rPr>
          <w:rFonts w:ascii="Times New Roman" w:eastAsia="Times New Roman" w:hAnsi="Times New Roman"/>
          <w:bCs/>
          <w:sz w:val="24"/>
          <w:szCs w:val="24"/>
        </w:rPr>
        <w:t>OACs</w:t>
      </w:r>
      <w:r w:rsidRPr="001034AA">
        <w:rPr>
          <w:rFonts w:ascii="Times New Roman" w:eastAsia="Times New Roman" w:hAnsi="Times New Roman"/>
          <w:bCs/>
          <w:sz w:val="24"/>
          <w:szCs w:val="24"/>
        </w:rPr>
        <w:t>, could</w:t>
      </w:r>
      <w:r w:rsidR="00E6042B">
        <w:rPr>
          <w:rFonts w:ascii="Times New Roman" w:eastAsia="Times New Roman" w:hAnsi="Times New Roman"/>
          <w:bCs/>
          <w:sz w:val="24"/>
          <w:szCs w:val="24"/>
        </w:rPr>
        <w:t xml:space="preserve"> be leveraged to connect older adults</w:t>
      </w:r>
      <w:r w:rsidRPr="001034AA">
        <w:rPr>
          <w:rFonts w:ascii="Times New Roman" w:eastAsia="Times New Roman" w:hAnsi="Times New Roman"/>
          <w:bCs/>
          <w:sz w:val="24"/>
          <w:szCs w:val="24"/>
        </w:rPr>
        <w:t xml:space="preserve"> with housi</w:t>
      </w:r>
      <w:r w:rsidR="006F1238">
        <w:rPr>
          <w:rFonts w:ascii="Times New Roman" w:eastAsia="Times New Roman" w:hAnsi="Times New Roman"/>
          <w:bCs/>
          <w:sz w:val="24"/>
          <w:szCs w:val="24"/>
        </w:rPr>
        <w:t>ng assistance.</w:t>
      </w:r>
    </w:p>
    <w:p w14:paraId="17612E8B" w14:textId="7B8E8767" w:rsidR="003B6E43" w:rsidRDefault="00E6042B" w:rsidP="00031A39">
      <w:pPr>
        <w:pStyle w:val="NoSpacing"/>
        <w:spacing w:line="480" w:lineRule="auto"/>
        <w:ind w:firstLine="720"/>
        <w:jc w:val="both"/>
        <w:rPr>
          <w:rFonts w:ascii="Times New Roman" w:hAnsi="Times New Roman"/>
          <w:color w:val="000000"/>
          <w:sz w:val="24"/>
          <w:szCs w:val="24"/>
          <w:shd w:val="clear" w:color="auto" w:fill="FFFFFF"/>
        </w:rPr>
      </w:pPr>
      <w:r>
        <w:rPr>
          <w:rFonts w:ascii="Times New Roman" w:eastAsia="Times New Roman" w:hAnsi="Times New Roman"/>
          <w:bCs/>
          <w:sz w:val="24"/>
          <w:szCs w:val="24"/>
        </w:rPr>
        <w:t xml:space="preserve">DFTA </w:t>
      </w:r>
      <w:r w:rsidR="001034AA" w:rsidRPr="001034AA">
        <w:rPr>
          <w:rFonts w:ascii="Times New Roman" w:eastAsia="Times New Roman" w:hAnsi="Times New Roman"/>
          <w:bCs/>
          <w:sz w:val="24"/>
          <w:szCs w:val="24"/>
        </w:rPr>
        <w:t>offer</w:t>
      </w:r>
      <w:r>
        <w:rPr>
          <w:rFonts w:ascii="Times New Roman" w:eastAsia="Times New Roman" w:hAnsi="Times New Roman"/>
          <w:bCs/>
          <w:sz w:val="24"/>
          <w:szCs w:val="24"/>
        </w:rPr>
        <w:t>s</w:t>
      </w:r>
      <w:r w:rsidR="001034AA" w:rsidRPr="001034AA">
        <w:rPr>
          <w:rFonts w:ascii="Times New Roman" w:eastAsia="Times New Roman" w:hAnsi="Times New Roman"/>
          <w:bCs/>
          <w:sz w:val="24"/>
          <w:szCs w:val="24"/>
        </w:rPr>
        <w:t xml:space="preserve"> </w:t>
      </w:r>
      <w:r w:rsidR="00DC3FFD">
        <w:rPr>
          <w:rFonts w:ascii="Times New Roman" w:eastAsia="Times New Roman" w:hAnsi="Times New Roman"/>
          <w:bCs/>
          <w:sz w:val="24"/>
          <w:szCs w:val="24"/>
        </w:rPr>
        <w:t xml:space="preserve">its own </w:t>
      </w:r>
      <w:r>
        <w:rPr>
          <w:rFonts w:ascii="Times New Roman" w:eastAsia="Times New Roman" w:hAnsi="Times New Roman"/>
          <w:bCs/>
          <w:sz w:val="24"/>
          <w:szCs w:val="24"/>
        </w:rPr>
        <w:t>programs to help older adults</w:t>
      </w:r>
      <w:r w:rsidR="001034AA" w:rsidRPr="001034AA">
        <w:rPr>
          <w:rFonts w:ascii="Times New Roman" w:eastAsia="Times New Roman" w:hAnsi="Times New Roman"/>
          <w:bCs/>
          <w:sz w:val="24"/>
          <w:szCs w:val="24"/>
        </w:rPr>
        <w:t xml:space="preserve"> afford their housing needs. For example, the agency partners with the New York Founda</w:t>
      </w:r>
      <w:r w:rsidR="003A78A2">
        <w:rPr>
          <w:rFonts w:ascii="Times New Roman" w:eastAsia="Times New Roman" w:hAnsi="Times New Roman"/>
          <w:bCs/>
          <w:sz w:val="24"/>
          <w:szCs w:val="24"/>
        </w:rPr>
        <w:t>tion for Senior Citizens</w:t>
      </w:r>
      <w:r w:rsidR="001034AA" w:rsidRPr="001034AA">
        <w:rPr>
          <w:rFonts w:ascii="Times New Roman" w:eastAsia="Times New Roman" w:hAnsi="Times New Roman"/>
          <w:bCs/>
          <w:sz w:val="24"/>
          <w:szCs w:val="24"/>
        </w:rPr>
        <w:t xml:space="preserve"> to operate a Home Sha</w:t>
      </w:r>
      <w:r w:rsidR="00DC12FE">
        <w:rPr>
          <w:rFonts w:ascii="Times New Roman" w:eastAsia="Times New Roman" w:hAnsi="Times New Roman"/>
          <w:bCs/>
          <w:sz w:val="24"/>
          <w:szCs w:val="24"/>
        </w:rPr>
        <w:t>ring Program for older adults,</w:t>
      </w:r>
      <w:r w:rsidR="00DC12FE">
        <w:rPr>
          <w:rStyle w:val="FootnoteReference"/>
          <w:rFonts w:ascii="Times New Roman" w:eastAsia="Times New Roman" w:hAnsi="Times New Roman"/>
          <w:bCs/>
          <w:sz w:val="24"/>
          <w:szCs w:val="24"/>
        </w:rPr>
        <w:footnoteReference w:id="58"/>
      </w:r>
      <w:r w:rsidR="00DC12FE">
        <w:rPr>
          <w:rFonts w:ascii="Times New Roman" w:eastAsia="Times New Roman" w:hAnsi="Times New Roman"/>
          <w:bCs/>
          <w:sz w:val="24"/>
          <w:szCs w:val="24"/>
        </w:rPr>
        <w:t xml:space="preserve"> which </w:t>
      </w:r>
      <w:r w:rsidR="001034AA" w:rsidRPr="001034AA">
        <w:rPr>
          <w:rFonts w:ascii="Times New Roman" w:eastAsia="Times New Roman" w:hAnsi="Times New Roman"/>
          <w:bCs/>
          <w:sz w:val="24"/>
          <w:szCs w:val="24"/>
        </w:rPr>
        <w:t xml:space="preserve">pairs individuals aged 60 or older with other older adults, younger adults, or </w:t>
      </w:r>
      <w:r w:rsidR="00DC3FFD">
        <w:rPr>
          <w:rFonts w:ascii="Times New Roman" w:eastAsia="Times New Roman" w:hAnsi="Times New Roman"/>
          <w:bCs/>
          <w:sz w:val="24"/>
          <w:szCs w:val="24"/>
        </w:rPr>
        <w:t xml:space="preserve">individuals with </w:t>
      </w:r>
      <w:r w:rsidR="001034AA" w:rsidRPr="001034AA">
        <w:rPr>
          <w:rFonts w:ascii="Times New Roman" w:eastAsia="Times New Roman" w:hAnsi="Times New Roman"/>
          <w:bCs/>
          <w:sz w:val="24"/>
          <w:szCs w:val="24"/>
        </w:rPr>
        <w:t xml:space="preserve">developmental </w:t>
      </w:r>
      <w:r w:rsidR="00DC3FFD">
        <w:rPr>
          <w:rFonts w:ascii="Times New Roman" w:eastAsia="Times New Roman" w:hAnsi="Times New Roman"/>
          <w:bCs/>
          <w:sz w:val="24"/>
          <w:szCs w:val="24"/>
        </w:rPr>
        <w:t>disabilities</w:t>
      </w:r>
      <w:r w:rsidR="00DC3FFD" w:rsidRPr="001034AA">
        <w:rPr>
          <w:rFonts w:ascii="Times New Roman" w:eastAsia="Times New Roman" w:hAnsi="Times New Roman"/>
          <w:bCs/>
          <w:sz w:val="24"/>
          <w:szCs w:val="24"/>
        </w:rPr>
        <w:t xml:space="preserve"> </w:t>
      </w:r>
      <w:r w:rsidR="001034AA" w:rsidRPr="001034AA">
        <w:rPr>
          <w:rFonts w:ascii="Times New Roman" w:eastAsia="Times New Roman" w:hAnsi="Times New Roman"/>
          <w:bCs/>
          <w:sz w:val="24"/>
          <w:szCs w:val="24"/>
        </w:rPr>
        <w:t>into homes owned by a non-profit</w:t>
      </w:r>
      <w:r w:rsidR="00DC12FE">
        <w:rPr>
          <w:rFonts w:ascii="Times New Roman" w:eastAsia="Times New Roman" w:hAnsi="Times New Roman"/>
          <w:bCs/>
          <w:sz w:val="24"/>
          <w:szCs w:val="24"/>
        </w:rPr>
        <w:t xml:space="preserve"> organization or an individual.</w:t>
      </w:r>
      <w:r w:rsidR="00485BAF">
        <w:rPr>
          <w:rFonts w:ascii="Times New Roman" w:eastAsia="Times New Roman" w:hAnsi="Times New Roman"/>
          <w:bCs/>
          <w:sz w:val="24"/>
          <w:szCs w:val="24"/>
        </w:rPr>
        <w:t xml:space="preserve"> DFTA also connects older adults to other </w:t>
      </w:r>
      <w:r w:rsidR="00DC3FFD">
        <w:rPr>
          <w:rFonts w:ascii="Times New Roman" w:eastAsia="Times New Roman" w:hAnsi="Times New Roman"/>
          <w:bCs/>
          <w:sz w:val="24"/>
          <w:szCs w:val="24"/>
        </w:rPr>
        <w:t xml:space="preserve">City </w:t>
      </w:r>
      <w:r w:rsidR="00485BAF">
        <w:rPr>
          <w:rFonts w:ascii="Times New Roman" w:eastAsia="Times New Roman" w:hAnsi="Times New Roman"/>
          <w:bCs/>
          <w:sz w:val="24"/>
          <w:szCs w:val="24"/>
        </w:rPr>
        <w:t xml:space="preserve">resources, such as HRA’s one-shot </w:t>
      </w:r>
      <w:r w:rsidR="00485BAF" w:rsidRPr="00485BAF">
        <w:rPr>
          <w:rFonts w:ascii="Times New Roman" w:eastAsia="Times New Roman" w:hAnsi="Times New Roman"/>
          <w:bCs/>
          <w:sz w:val="24"/>
          <w:szCs w:val="24"/>
        </w:rPr>
        <w:t xml:space="preserve">deal, an </w:t>
      </w:r>
      <w:r w:rsidR="00485BAF" w:rsidRPr="00485BAF">
        <w:rPr>
          <w:rFonts w:ascii="Times New Roman" w:hAnsi="Times New Roman"/>
          <w:color w:val="000000"/>
          <w:sz w:val="24"/>
          <w:szCs w:val="24"/>
          <w:shd w:val="clear" w:color="auto" w:fill="FFFFFF"/>
        </w:rPr>
        <w:t>emergency assistance program which helps people who can't meet an expense due to an unexpected situation or event.</w:t>
      </w:r>
      <w:r w:rsidR="00485BAF" w:rsidRPr="00485BAF">
        <w:rPr>
          <w:rStyle w:val="FootnoteReference"/>
          <w:rFonts w:ascii="Times New Roman" w:eastAsia="Times New Roman" w:hAnsi="Times New Roman"/>
          <w:bCs/>
          <w:sz w:val="24"/>
          <w:szCs w:val="24"/>
        </w:rPr>
        <w:t xml:space="preserve"> </w:t>
      </w:r>
      <w:r w:rsidR="00485BAF">
        <w:rPr>
          <w:rStyle w:val="FootnoteReference"/>
          <w:rFonts w:ascii="Times New Roman" w:eastAsia="Times New Roman" w:hAnsi="Times New Roman"/>
          <w:bCs/>
          <w:sz w:val="24"/>
          <w:szCs w:val="24"/>
        </w:rPr>
        <w:footnoteReference w:id="59"/>
      </w:r>
      <w:r w:rsidR="00485BAF">
        <w:rPr>
          <w:rFonts w:ascii="Times New Roman" w:eastAsia="Times New Roman" w:hAnsi="Times New Roman"/>
          <w:bCs/>
          <w:sz w:val="24"/>
          <w:szCs w:val="24"/>
        </w:rPr>
        <w:t xml:space="preserve"> </w:t>
      </w:r>
      <w:r w:rsidR="00485BAF" w:rsidRPr="00485BAF">
        <w:rPr>
          <w:rFonts w:ascii="Times New Roman" w:hAnsi="Times New Roman"/>
          <w:color w:val="000000"/>
          <w:sz w:val="24"/>
          <w:szCs w:val="24"/>
          <w:shd w:val="clear" w:color="auto" w:fill="FFFFFF"/>
        </w:rPr>
        <w:t>One of the most common uses of the one-shot deal is for rental assistance to prevent or forestall an eviction</w:t>
      </w:r>
      <w:r w:rsidR="00485BAF">
        <w:rPr>
          <w:rFonts w:ascii="Times New Roman" w:hAnsi="Times New Roman"/>
          <w:color w:val="000000"/>
          <w:sz w:val="24"/>
          <w:szCs w:val="24"/>
          <w:shd w:val="clear" w:color="auto" w:fill="FFFFFF"/>
        </w:rPr>
        <w:t>.</w:t>
      </w:r>
      <w:r w:rsidR="00485BAF">
        <w:rPr>
          <w:rStyle w:val="FootnoteReference"/>
          <w:rFonts w:ascii="Times New Roman" w:hAnsi="Times New Roman"/>
          <w:color w:val="000000"/>
          <w:sz w:val="24"/>
          <w:szCs w:val="24"/>
          <w:shd w:val="clear" w:color="auto" w:fill="FFFFFF"/>
        </w:rPr>
        <w:footnoteReference w:id="60"/>
      </w:r>
      <w:r w:rsidR="00FD7302">
        <w:rPr>
          <w:rFonts w:ascii="Times New Roman" w:hAnsi="Times New Roman"/>
          <w:color w:val="000000"/>
          <w:sz w:val="24"/>
          <w:szCs w:val="24"/>
          <w:shd w:val="clear" w:color="auto" w:fill="FFFFFF"/>
        </w:rPr>
        <w:t xml:space="preserve"> Older adult</w:t>
      </w:r>
      <w:r w:rsidR="00C052C9">
        <w:rPr>
          <w:rFonts w:ascii="Times New Roman" w:hAnsi="Times New Roman"/>
          <w:color w:val="000000"/>
          <w:sz w:val="24"/>
          <w:szCs w:val="24"/>
          <w:shd w:val="clear" w:color="auto" w:fill="FFFFFF"/>
        </w:rPr>
        <w:t>s may also be eligible for SCRIE, which is administered by t</w:t>
      </w:r>
      <w:r w:rsidR="00496680">
        <w:rPr>
          <w:rFonts w:ascii="Times New Roman" w:hAnsi="Times New Roman"/>
          <w:color w:val="000000"/>
          <w:sz w:val="24"/>
          <w:szCs w:val="24"/>
          <w:shd w:val="clear" w:color="auto" w:fill="FFFFFF"/>
        </w:rPr>
        <w:t xml:space="preserve">he Department of Finance (DOF). This program </w:t>
      </w:r>
      <w:r w:rsidR="00496680" w:rsidRPr="00496680">
        <w:rPr>
          <w:rFonts w:ascii="Times New Roman" w:hAnsi="Times New Roman"/>
          <w:color w:val="000000"/>
          <w:sz w:val="24"/>
          <w:szCs w:val="24"/>
          <w:shd w:val="clear" w:color="auto" w:fill="FFFFFF"/>
        </w:rPr>
        <w:t>protects low-income tenants aged 62 and older from certain rent increases in rent regulated apartments and certain types of cooperative apartments</w:t>
      </w:r>
      <w:r w:rsidR="00496680">
        <w:rPr>
          <w:rFonts w:ascii="Times New Roman" w:hAnsi="Times New Roman"/>
          <w:color w:val="000000"/>
          <w:sz w:val="24"/>
          <w:szCs w:val="24"/>
          <w:shd w:val="clear" w:color="auto" w:fill="FFFFFF"/>
        </w:rPr>
        <w:t>.</w:t>
      </w:r>
      <w:r w:rsidR="00371702">
        <w:rPr>
          <w:rStyle w:val="FootnoteReference"/>
          <w:rFonts w:ascii="Times New Roman" w:hAnsi="Times New Roman"/>
          <w:color w:val="000000"/>
          <w:sz w:val="24"/>
          <w:szCs w:val="24"/>
          <w:shd w:val="clear" w:color="auto" w:fill="FFFFFF"/>
        </w:rPr>
        <w:footnoteReference w:id="61"/>
      </w:r>
      <w:r w:rsidR="00031A39">
        <w:rPr>
          <w:rFonts w:ascii="Times New Roman" w:hAnsi="Times New Roman"/>
          <w:color w:val="000000"/>
          <w:sz w:val="24"/>
          <w:szCs w:val="24"/>
          <w:shd w:val="clear" w:color="auto" w:fill="FFFFFF"/>
        </w:rPr>
        <w:t xml:space="preserve"> Advocates and elected officials have called </w:t>
      </w:r>
      <w:r w:rsidR="00FA0B2D">
        <w:rPr>
          <w:rFonts w:ascii="Times New Roman" w:hAnsi="Times New Roman"/>
          <w:color w:val="000000"/>
          <w:sz w:val="24"/>
          <w:szCs w:val="24"/>
          <w:shd w:val="clear" w:color="auto" w:fill="FFFFFF"/>
        </w:rPr>
        <w:t>for</w:t>
      </w:r>
      <w:r w:rsidR="00031A39">
        <w:rPr>
          <w:rFonts w:ascii="Times New Roman" w:hAnsi="Times New Roman"/>
          <w:color w:val="000000"/>
          <w:sz w:val="24"/>
          <w:szCs w:val="24"/>
          <w:shd w:val="clear" w:color="auto" w:fill="FFFFFF"/>
        </w:rPr>
        <w:t xml:space="preserve"> </w:t>
      </w:r>
      <w:r w:rsidR="00EB708C">
        <w:rPr>
          <w:rFonts w:ascii="Times New Roman" w:hAnsi="Times New Roman"/>
          <w:color w:val="000000"/>
          <w:sz w:val="24"/>
          <w:szCs w:val="24"/>
          <w:shd w:val="clear" w:color="auto" w:fill="FFFFFF"/>
        </w:rPr>
        <w:t xml:space="preserve">the State Legislature to reform </w:t>
      </w:r>
      <w:r w:rsidR="00031A39">
        <w:rPr>
          <w:rFonts w:ascii="Times New Roman" w:hAnsi="Times New Roman"/>
          <w:color w:val="000000"/>
          <w:sz w:val="24"/>
          <w:szCs w:val="24"/>
          <w:shd w:val="clear" w:color="auto" w:fill="FFFFFF"/>
        </w:rPr>
        <w:t xml:space="preserve">SCRIE so that </w:t>
      </w:r>
      <w:r w:rsidR="009B3BEE">
        <w:rPr>
          <w:rFonts w:ascii="Times New Roman" w:hAnsi="Times New Roman"/>
          <w:color w:val="000000"/>
          <w:sz w:val="24"/>
          <w:szCs w:val="24"/>
          <w:shd w:val="clear" w:color="auto" w:fill="FFFFFF"/>
        </w:rPr>
        <w:t>eligible older adults are automatically enrolled into the program, rather than having to apply for assistance</w:t>
      </w:r>
      <w:r w:rsidR="00FA0B2D">
        <w:rPr>
          <w:rFonts w:ascii="Times New Roman" w:hAnsi="Times New Roman"/>
          <w:color w:val="000000"/>
          <w:sz w:val="24"/>
          <w:szCs w:val="24"/>
          <w:shd w:val="clear" w:color="auto" w:fill="FFFFFF"/>
        </w:rPr>
        <w:t xml:space="preserve">, in order to reach eligible adults who may not </w:t>
      </w:r>
      <w:r w:rsidR="00DD30BC">
        <w:rPr>
          <w:rFonts w:ascii="Times New Roman" w:hAnsi="Times New Roman"/>
          <w:color w:val="000000"/>
          <w:sz w:val="24"/>
          <w:szCs w:val="24"/>
          <w:shd w:val="clear" w:color="auto" w:fill="FFFFFF"/>
        </w:rPr>
        <w:t>be aware of the program or may have difficulty completing an application</w:t>
      </w:r>
      <w:r w:rsidR="009B3BEE">
        <w:rPr>
          <w:rFonts w:ascii="Times New Roman" w:hAnsi="Times New Roman"/>
          <w:color w:val="000000"/>
          <w:sz w:val="24"/>
          <w:szCs w:val="24"/>
          <w:shd w:val="clear" w:color="auto" w:fill="FFFFFF"/>
        </w:rPr>
        <w:t>.</w:t>
      </w:r>
      <w:r w:rsidR="00D925F6">
        <w:rPr>
          <w:rStyle w:val="FootnoteReference"/>
          <w:rFonts w:ascii="Times New Roman" w:hAnsi="Times New Roman"/>
          <w:color w:val="000000"/>
          <w:sz w:val="24"/>
          <w:szCs w:val="24"/>
          <w:shd w:val="clear" w:color="auto" w:fill="FFFFFF"/>
        </w:rPr>
        <w:footnoteReference w:id="62"/>
      </w:r>
      <w:r w:rsidR="008C650B">
        <w:rPr>
          <w:rFonts w:ascii="Times New Roman" w:hAnsi="Times New Roman"/>
          <w:color w:val="000000"/>
          <w:sz w:val="24"/>
          <w:szCs w:val="24"/>
          <w:shd w:val="clear" w:color="auto" w:fill="FFFFFF"/>
        </w:rPr>
        <w:t xml:space="preserve"> </w:t>
      </w:r>
    </w:p>
    <w:p w14:paraId="7BECDC52" w14:textId="69CF3C8E" w:rsidR="00031A39" w:rsidRPr="00031A39" w:rsidRDefault="00204AAC" w:rsidP="00031A39">
      <w:pPr>
        <w:pStyle w:val="NoSpacing"/>
        <w:spacing w:line="480" w:lineRule="auto"/>
        <w:ind w:firstLine="72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Eviction rates are generally up since January 2022</w:t>
      </w:r>
      <w:r w:rsidR="00587C8A">
        <w:rPr>
          <w:rFonts w:ascii="Times New Roman" w:hAnsi="Times New Roman"/>
          <w:color w:val="000000"/>
          <w:sz w:val="24"/>
          <w:szCs w:val="24"/>
          <w:shd w:val="clear" w:color="auto" w:fill="FFFFFF"/>
        </w:rPr>
        <w:t>,</w:t>
      </w:r>
      <w:r w:rsidR="00B973D0">
        <w:rPr>
          <w:rFonts w:ascii="Times New Roman" w:hAnsi="Times New Roman"/>
          <w:color w:val="000000"/>
          <w:sz w:val="24"/>
          <w:szCs w:val="24"/>
          <w:shd w:val="clear" w:color="auto" w:fill="FFFFFF"/>
        </w:rPr>
        <w:t xml:space="preserve"> and Housing Court </w:t>
      </w:r>
      <w:r w:rsidR="008C650B" w:rsidRPr="008C650B">
        <w:rPr>
          <w:rFonts w:ascii="Times New Roman" w:hAnsi="Times New Roman"/>
          <w:color w:val="000000"/>
          <w:sz w:val="24"/>
          <w:szCs w:val="24"/>
          <w:shd w:val="clear" w:color="auto" w:fill="FFFFFF"/>
        </w:rPr>
        <w:t xml:space="preserve">is seeing hundreds of </w:t>
      </w:r>
      <w:r w:rsidR="001A2187">
        <w:rPr>
          <w:rFonts w:ascii="Times New Roman" w:hAnsi="Times New Roman"/>
          <w:color w:val="000000"/>
          <w:sz w:val="24"/>
          <w:szCs w:val="24"/>
          <w:shd w:val="clear" w:color="auto" w:fill="FFFFFF"/>
        </w:rPr>
        <w:t>new</w:t>
      </w:r>
      <w:r w:rsidR="008C650B" w:rsidRPr="008C650B">
        <w:rPr>
          <w:rFonts w:ascii="Times New Roman" w:hAnsi="Times New Roman"/>
          <w:color w:val="000000"/>
          <w:sz w:val="24"/>
          <w:szCs w:val="24"/>
          <w:shd w:val="clear" w:color="auto" w:fill="FFFFFF"/>
        </w:rPr>
        <w:t xml:space="preserve"> eviction cases filed each week.</w:t>
      </w:r>
      <w:r w:rsidR="00BA0288">
        <w:rPr>
          <w:rStyle w:val="FootnoteReference"/>
          <w:rFonts w:ascii="Times New Roman" w:hAnsi="Times New Roman"/>
          <w:color w:val="000000"/>
          <w:sz w:val="24"/>
          <w:szCs w:val="24"/>
          <w:shd w:val="clear" w:color="auto" w:fill="FFFFFF"/>
        </w:rPr>
        <w:footnoteReference w:id="63"/>
      </w:r>
      <w:r w:rsidR="003B6E43">
        <w:rPr>
          <w:rFonts w:ascii="Times New Roman" w:hAnsi="Times New Roman"/>
          <w:color w:val="000000"/>
          <w:sz w:val="24"/>
          <w:szCs w:val="24"/>
          <w:shd w:val="clear" w:color="auto" w:fill="FFFFFF"/>
        </w:rPr>
        <w:t xml:space="preserve"> </w:t>
      </w:r>
      <w:r w:rsidR="003B6E43" w:rsidRPr="003B6E43">
        <w:rPr>
          <w:rFonts w:ascii="Times New Roman" w:hAnsi="Times New Roman"/>
          <w:color w:val="000000"/>
          <w:sz w:val="24"/>
          <w:szCs w:val="24"/>
          <w:shd w:val="clear" w:color="auto" w:fill="FFFFFF"/>
        </w:rPr>
        <w:t>HRA has shifted from offering in-person to virtual help, now provided by a</w:t>
      </w:r>
      <w:r w:rsidR="00EB708C">
        <w:rPr>
          <w:rFonts w:ascii="Times New Roman" w:hAnsi="Times New Roman"/>
          <w:color w:val="000000"/>
          <w:sz w:val="24"/>
          <w:szCs w:val="24"/>
          <w:shd w:val="clear" w:color="auto" w:fill="FFFFFF"/>
        </w:rPr>
        <w:t xml:space="preserve"> mobile </w:t>
      </w:r>
      <w:r w:rsidR="003B6E43" w:rsidRPr="003B6E43">
        <w:rPr>
          <w:rFonts w:ascii="Times New Roman" w:hAnsi="Times New Roman"/>
          <w:color w:val="000000"/>
          <w:sz w:val="24"/>
          <w:szCs w:val="24"/>
          <w:shd w:val="clear" w:color="auto" w:fill="FFFFFF"/>
        </w:rPr>
        <w:t>app</w:t>
      </w:r>
      <w:r w:rsidR="00EB708C">
        <w:rPr>
          <w:rFonts w:ascii="Times New Roman" w:hAnsi="Times New Roman"/>
          <w:color w:val="000000"/>
          <w:sz w:val="24"/>
          <w:szCs w:val="24"/>
          <w:shd w:val="clear" w:color="auto" w:fill="FFFFFF"/>
        </w:rPr>
        <w:t>lication</w:t>
      </w:r>
      <w:r w:rsidR="003B6E43" w:rsidRPr="003B6E43">
        <w:rPr>
          <w:rFonts w:ascii="Times New Roman" w:hAnsi="Times New Roman"/>
          <w:color w:val="000000"/>
          <w:sz w:val="24"/>
          <w:szCs w:val="24"/>
          <w:shd w:val="clear" w:color="auto" w:fill="FFFFFF"/>
        </w:rPr>
        <w:t>.</w:t>
      </w:r>
      <w:r w:rsidR="001D5327">
        <w:rPr>
          <w:rStyle w:val="FootnoteReference"/>
          <w:rFonts w:ascii="Times New Roman" w:hAnsi="Times New Roman"/>
          <w:color w:val="000000"/>
          <w:sz w:val="24"/>
          <w:szCs w:val="24"/>
          <w:shd w:val="clear" w:color="auto" w:fill="FFFFFF"/>
        </w:rPr>
        <w:footnoteReference w:id="64"/>
      </w:r>
      <w:r w:rsidR="001D5327">
        <w:rPr>
          <w:rFonts w:ascii="Times New Roman" w:hAnsi="Times New Roman"/>
          <w:color w:val="000000"/>
          <w:sz w:val="24"/>
          <w:szCs w:val="24"/>
          <w:shd w:val="clear" w:color="auto" w:fill="FFFFFF"/>
        </w:rPr>
        <w:t xml:space="preserve"> However, the app does not</w:t>
      </w:r>
      <w:r w:rsidR="003B6E43" w:rsidRPr="003B6E43">
        <w:rPr>
          <w:rFonts w:ascii="Times New Roman" w:hAnsi="Times New Roman"/>
          <w:color w:val="000000"/>
          <w:sz w:val="24"/>
          <w:szCs w:val="24"/>
          <w:shd w:val="clear" w:color="auto" w:fill="FFFFFF"/>
        </w:rPr>
        <w:t xml:space="preserve"> approve all rental assistance applications, particularly for aid programs that most </w:t>
      </w:r>
      <w:r w:rsidR="00E607FF">
        <w:rPr>
          <w:rFonts w:ascii="Times New Roman" w:hAnsi="Times New Roman"/>
          <w:color w:val="000000"/>
          <w:sz w:val="24"/>
          <w:szCs w:val="24"/>
          <w:shd w:val="clear" w:color="auto" w:fill="FFFFFF"/>
        </w:rPr>
        <w:t>contribute to housing stability. Prior to recent staff cuts,</w:t>
      </w:r>
      <w:r w:rsidR="003B6E43" w:rsidRPr="003B6E43">
        <w:rPr>
          <w:rFonts w:ascii="Times New Roman" w:hAnsi="Times New Roman"/>
          <w:color w:val="000000"/>
          <w:sz w:val="24"/>
          <w:szCs w:val="24"/>
          <w:shd w:val="clear" w:color="auto" w:fill="FFFFFF"/>
        </w:rPr>
        <w:t xml:space="preserve"> HRA placed representatives in Housing Court and other l</w:t>
      </w:r>
      <w:r w:rsidR="00E607FF">
        <w:rPr>
          <w:rFonts w:ascii="Times New Roman" w:hAnsi="Times New Roman"/>
          <w:color w:val="000000"/>
          <w:sz w:val="24"/>
          <w:szCs w:val="24"/>
          <w:shd w:val="clear" w:color="auto" w:fill="FFFFFF"/>
        </w:rPr>
        <w:t>ocations, allowing for one-shot deal</w:t>
      </w:r>
      <w:r w:rsidR="003B6E43" w:rsidRPr="003B6E43">
        <w:rPr>
          <w:rFonts w:ascii="Times New Roman" w:hAnsi="Times New Roman"/>
          <w:color w:val="000000"/>
          <w:sz w:val="24"/>
          <w:szCs w:val="24"/>
          <w:shd w:val="clear" w:color="auto" w:fill="FFFFFF"/>
        </w:rPr>
        <w:t xml:space="preserve"> emergency rental assistance applications to be processed </w:t>
      </w:r>
      <w:r w:rsidR="009D1249">
        <w:rPr>
          <w:rFonts w:ascii="Times New Roman" w:hAnsi="Times New Roman"/>
          <w:color w:val="000000"/>
          <w:sz w:val="24"/>
          <w:szCs w:val="24"/>
          <w:shd w:val="clear" w:color="auto" w:fill="FFFFFF"/>
        </w:rPr>
        <w:t>immediately</w:t>
      </w:r>
      <w:r w:rsidR="003B6E43" w:rsidRPr="003B6E43">
        <w:rPr>
          <w:rFonts w:ascii="Times New Roman" w:hAnsi="Times New Roman"/>
          <w:color w:val="000000"/>
          <w:sz w:val="24"/>
          <w:szCs w:val="24"/>
          <w:shd w:val="clear" w:color="auto" w:fill="FFFFFF"/>
        </w:rPr>
        <w:t>.</w:t>
      </w:r>
      <w:r w:rsidR="009D1249">
        <w:rPr>
          <w:rStyle w:val="FootnoteReference"/>
          <w:rFonts w:ascii="Times New Roman" w:hAnsi="Times New Roman"/>
          <w:color w:val="000000"/>
          <w:sz w:val="24"/>
          <w:szCs w:val="24"/>
          <w:shd w:val="clear" w:color="auto" w:fill="FFFFFF"/>
        </w:rPr>
        <w:footnoteReference w:id="65"/>
      </w:r>
      <w:r w:rsidR="003B6E43" w:rsidRPr="003B6E43">
        <w:rPr>
          <w:rFonts w:ascii="Times New Roman" w:hAnsi="Times New Roman"/>
          <w:color w:val="000000"/>
          <w:sz w:val="24"/>
          <w:szCs w:val="24"/>
          <w:shd w:val="clear" w:color="auto" w:fill="FFFFFF"/>
        </w:rPr>
        <w:t xml:space="preserve"> These on-site resources are no longer available, and with </w:t>
      </w:r>
      <w:r w:rsidR="00F15F53">
        <w:rPr>
          <w:rFonts w:ascii="Times New Roman" w:hAnsi="Times New Roman"/>
          <w:color w:val="000000"/>
          <w:sz w:val="24"/>
          <w:szCs w:val="24"/>
          <w:shd w:val="clear" w:color="auto" w:fill="FFFFFF"/>
        </w:rPr>
        <w:t>agency staff</w:t>
      </w:r>
      <w:r w:rsidR="003B6E43" w:rsidRPr="003B6E43">
        <w:rPr>
          <w:rFonts w:ascii="Times New Roman" w:hAnsi="Times New Roman"/>
          <w:color w:val="000000"/>
          <w:sz w:val="24"/>
          <w:szCs w:val="24"/>
          <w:shd w:val="clear" w:color="auto" w:fill="FFFFFF"/>
        </w:rPr>
        <w:t xml:space="preserve"> less accessible, many households eligible for rental assistance are </w:t>
      </w:r>
      <w:r w:rsidR="00F15F53">
        <w:rPr>
          <w:rFonts w:ascii="Times New Roman" w:hAnsi="Times New Roman"/>
          <w:color w:val="000000"/>
          <w:sz w:val="24"/>
          <w:szCs w:val="24"/>
          <w:shd w:val="clear" w:color="auto" w:fill="FFFFFF"/>
        </w:rPr>
        <w:t>not aware of such assistance.</w:t>
      </w:r>
      <w:r w:rsidR="00BB47C0">
        <w:rPr>
          <w:rStyle w:val="FootnoteReference"/>
          <w:rFonts w:ascii="Times New Roman" w:hAnsi="Times New Roman"/>
          <w:color w:val="000000"/>
          <w:sz w:val="24"/>
          <w:szCs w:val="24"/>
          <w:shd w:val="clear" w:color="auto" w:fill="FFFFFF"/>
        </w:rPr>
        <w:footnoteReference w:id="66"/>
      </w:r>
    </w:p>
    <w:p w14:paraId="5A6846C3" w14:textId="544D348B" w:rsidR="001B5DBD" w:rsidRPr="00CF701B" w:rsidRDefault="001B5DBD" w:rsidP="00DA6CAB">
      <w:pPr>
        <w:pStyle w:val="NoSpacing"/>
        <w:spacing w:before="240" w:line="480" w:lineRule="auto"/>
        <w:contextualSpacing/>
        <w:jc w:val="both"/>
        <w:rPr>
          <w:rFonts w:ascii="Times New Roman" w:eastAsia="Times New Roman" w:hAnsi="Times New Roman"/>
          <w:bCs/>
          <w:i/>
          <w:sz w:val="24"/>
          <w:szCs w:val="24"/>
        </w:rPr>
      </w:pPr>
      <w:r w:rsidRPr="00CF701B">
        <w:rPr>
          <w:rFonts w:ascii="Times New Roman" w:eastAsia="Times New Roman" w:hAnsi="Times New Roman"/>
          <w:b/>
          <w:bCs/>
          <w:i/>
          <w:sz w:val="24"/>
          <w:szCs w:val="24"/>
        </w:rPr>
        <w:t>Informing Older Adults of Their Rights</w:t>
      </w:r>
    </w:p>
    <w:p w14:paraId="14C62305" w14:textId="68E3CFDD" w:rsidR="00CF1DC7" w:rsidRDefault="00EE3248" w:rsidP="00CF1DC7">
      <w:pPr>
        <w:pStyle w:val="NoSpacing"/>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Older adults have </w:t>
      </w:r>
      <w:r w:rsidR="00987AA0">
        <w:rPr>
          <w:rFonts w:ascii="Times New Roman" w:eastAsia="Times New Roman" w:hAnsi="Times New Roman"/>
          <w:bCs/>
          <w:sz w:val="24"/>
          <w:szCs w:val="24"/>
        </w:rPr>
        <w:t xml:space="preserve">certain </w:t>
      </w:r>
      <w:r w:rsidR="0031431E">
        <w:rPr>
          <w:rFonts w:ascii="Times New Roman" w:eastAsia="Times New Roman" w:hAnsi="Times New Roman"/>
          <w:bCs/>
          <w:sz w:val="24"/>
          <w:szCs w:val="24"/>
        </w:rPr>
        <w:t>special rights in New York, and all DFTA-funded centers are required by City law to post and honor th</w:t>
      </w:r>
      <w:r w:rsidR="000C7286">
        <w:rPr>
          <w:rFonts w:ascii="Times New Roman" w:eastAsia="Times New Roman" w:hAnsi="Times New Roman"/>
          <w:bCs/>
          <w:sz w:val="24"/>
          <w:szCs w:val="24"/>
        </w:rPr>
        <w:t>e Senior Center Bill of Rights.</w:t>
      </w:r>
      <w:r w:rsidR="000C7286">
        <w:rPr>
          <w:rStyle w:val="FootnoteReference"/>
          <w:rFonts w:ascii="Times New Roman" w:eastAsia="Times New Roman" w:hAnsi="Times New Roman"/>
          <w:bCs/>
          <w:sz w:val="24"/>
          <w:szCs w:val="24"/>
        </w:rPr>
        <w:footnoteReference w:id="67"/>
      </w:r>
      <w:r w:rsidR="00A4729B">
        <w:rPr>
          <w:rFonts w:ascii="Times New Roman" w:eastAsia="Times New Roman" w:hAnsi="Times New Roman"/>
          <w:bCs/>
          <w:sz w:val="24"/>
          <w:szCs w:val="24"/>
        </w:rPr>
        <w:t xml:space="preserve"> These rights are enumerated in the law, pertain specifically to the rights of older adults while using OACs, and must be posted conspicuously in or near the entrance to each OAC.</w:t>
      </w:r>
      <w:r w:rsidR="00A4729B">
        <w:rPr>
          <w:rStyle w:val="FootnoteReference"/>
          <w:rFonts w:ascii="Times New Roman" w:eastAsia="Times New Roman" w:hAnsi="Times New Roman"/>
          <w:bCs/>
          <w:sz w:val="24"/>
          <w:szCs w:val="24"/>
        </w:rPr>
        <w:footnoteReference w:id="68"/>
      </w:r>
      <w:r w:rsidR="00A4729B">
        <w:rPr>
          <w:rFonts w:ascii="Times New Roman" w:eastAsia="Times New Roman" w:hAnsi="Times New Roman"/>
          <w:bCs/>
          <w:sz w:val="24"/>
          <w:szCs w:val="24"/>
        </w:rPr>
        <w:t xml:space="preserve"> </w:t>
      </w:r>
      <w:r w:rsidR="00EB708C">
        <w:rPr>
          <w:rFonts w:ascii="Times New Roman" w:eastAsia="Times New Roman" w:hAnsi="Times New Roman"/>
          <w:bCs/>
          <w:sz w:val="24"/>
          <w:szCs w:val="24"/>
        </w:rPr>
        <w:t xml:space="preserve">The law currently </w:t>
      </w:r>
      <w:r w:rsidR="00A4729B">
        <w:rPr>
          <w:rFonts w:ascii="Times New Roman" w:eastAsia="Times New Roman" w:hAnsi="Times New Roman"/>
          <w:bCs/>
          <w:sz w:val="24"/>
          <w:szCs w:val="24"/>
        </w:rPr>
        <w:t xml:space="preserve">only applies to OACs, however, and </w:t>
      </w:r>
      <w:r w:rsidR="00EB708C">
        <w:rPr>
          <w:rFonts w:ascii="Times New Roman" w:eastAsia="Times New Roman" w:hAnsi="Times New Roman"/>
          <w:bCs/>
          <w:sz w:val="24"/>
          <w:szCs w:val="24"/>
        </w:rPr>
        <w:t>does not currently require that</w:t>
      </w:r>
      <w:r w:rsidR="00A4729B">
        <w:rPr>
          <w:rFonts w:ascii="Times New Roman" w:eastAsia="Times New Roman" w:hAnsi="Times New Roman"/>
          <w:bCs/>
          <w:sz w:val="24"/>
          <w:szCs w:val="24"/>
        </w:rPr>
        <w:t xml:space="preserve"> older adults be given materials to proactively inform them of their legal protections and other special rights.</w:t>
      </w:r>
      <w:r w:rsidR="00A4729B">
        <w:rPr>
          <w:rStyle w:val="FootnoteReference"/>
          <w:rFonts w:ascii="Times New Roman" w:eastAsia="Times New Roman" w:hAnsi="Times New Roman"/>
          <w:bCs/>
          <w:sz w:val="24"/>
          <w:szCs w:val="24"/>
        </w:rPr>
        <w:footnoteReference w:id="69"/>
      </w:r>
      <w:r w:rsidR="00854824">
        <w:rPr>
          <w:rFonts w:ascii="Times New Roman" w:eastAsia="Times New Roman" w:hAnsi="Times New Roman"/>
          <w:bCs/>
          <w:sz w:val="24"/>
          <w:szCs w:val="24"/>
        </w:rPr>
        <w:t xml:space="preserve"> DFTA also informs older adults of their rights and options when they are the victims of elder abuse or crime.</w:t>
      </w:r>
      <w:r w:rsidR="00854824">
        <w:rPr>
          <w:rStyle w:val="FootnoteReference"/>
          <w:rFonts w:ascii="Times New Roman" w:eastAsia="Times New Roman" w:hAnsi="Times New Roman"/>
          <w:bCs/>
          <w:sz w:val="24"/>
          <w:szCs w:val="24"/>
        </w:rPr>
        <w:footnoteReference w:id="70"/>
      </w:r>
    </w:p>
    <w:p w14:paraId="2B8768BF" w14:textId="369D19D4" w:rsidR="008E31C2" w:rsidRDefault="008E31C2" w:rsidP="00CF1DC7">
      <w:pPr>
        <w:pStyle w:val="NoSpacing"/>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Additionally, the NYC Commission on </w:t>
      </w:r>
      <w:r w:rsidR="00EB708C">
        <w:rPr>
          <w:rFonts w:ascii="Times New Roman" w:eastAsia="Times New Roman" w:hAnsi="Times New Roman"/>
          <w:bCs/>
          <w:sz w:val="24"/>
          <w:szCs w:val="24"/>
        </w:rPr>
        <w:t xml:space="preserve">Human </w:t>
      </w:r>
      <w:r>
        <w:rPr>
          <w:rFonts w:ascii="Times New Roman" w:eastAsia="Times New Roman" w:hAnsi="Times New Roman"/>
          <w:bCs/>
          <w:sz w:val="24"/>
          <w:szCs w:val="24"/>
        </w:rPr>
        <w:t>Rights posts information on its website regarding legal protections for older adults from discrimination on the basis of age, immigration or citizenship status, color, disability, gender, gender identity, marital status, national origin, race, religion or creed, sexual orientation, or status as a veteran.</w:t>
      </w:r>
      <w:r>
        <w:rPr>
          <w:rStyle w:val="FootnoteReference"/>
          <w:rFonts w:ascii="Times New Roman" w:eastAsia="Times New Roman" w:hAnsi="Times New Roman"/>
          <w:bCs/>
          <w:sz w:val="24"/>
          <w:szCs w:val="24"/>
        </w:rPr>
        <w:footnoteReference w:id="71"/>
      </w:r>
      <w:r w:rsidR="00357070">
        <w:rPr>
          <w:rFonts w:ascii="Times New Roman" w:eastAsia="Times New Roman" w:hAnsi="Times New Roman"/>
          <w:bCs/>
          <w:sz w:val="24"/>
          <w:szCs w:val="24"/>
        </w:rPr>
        <w:t xml:space="preserve"> Further, the New York State Division of Homes and Community Renewal provides information and guidance regarding older adults’ rights with respect to rent protections, including SCRIE and certain eviction protections.</w:t>
      </w:r>
      <w:r w:rsidR="00854824">
        <w:rPr>
          <w:rStyle w:val="FootnoteReference"/>
          <w:rFonts w:ascii="Times New Roman" w:eastAsia="Times New Roman" w:hAnsi="Times New Roman"/>
          <w:bCs/>
          <w:sz w:val="24"/>
          <w:szCs w:val="24"/>
        </w:rPr>
        <w:footnoteReference w:id="72"/>
      </w:r>
    </w:p>
    <w:p w14:paraId="3C5FD7DD" w14:textId="587977C0" w:rsidR="00D361AC" w:rsidRPr="00A04DC9" w:rsidRDefault="00854824" w:rsidP="00CF1DC7">
      <w:pPr>
        <w:pStyle w:val="NoSpacing"/>
        <w:spacing w:line="480" w:lineRule="auto"/>
        <w:contextualSpacing/>
        <w:jc w:val="both"/>
        <w:rPr>
          <w:rFonts w:ascii="Times New Roman" w:eastAsia="Times New Roman" w:hAnsi="Times New Roman"/>
          <w:sz w:val="24"/>
          <w:szCs w:val="24"/>
        </w:rPr>
      </w:pPr>
      <w:r>
        <w:rPr>
          <w:rFonts w:ascii="Times New Roman" w:eastAsia="Times New Roman" w:hAnsi="Times New Roman"/>
          <w:bCs/>
          <w:sz w:val="24"/>
          <w:szCs w:val="24"/>
        </w:rPr>
        <w:tab/>
      </w:r>
      <w:r w:rsidR="00EB708C">
        <w:rPr>
          <w:rFonts w:ascii="Times New Roman" w:eastAsia="Times New Roman" w:hAnsi="Times New Roman"/>
          <w:bCs/>
          <w:sz w:val="24"/>
          <w:szCs w:val="24"/>
        </w:rPr>
        <w:t>Whether or to what extent</w:t>
      </w:r>
      <w:r>
        <w:rPr>
          <w:rFonts w:ascii="Times New Roman" w:eastAsia="Times New Roman" w:hAnsi="Times New Roman"/>
          <w:bCs/>
          <w:sz w:val="24"/>
          <w:szCs w:val="24"/>
        </w:rPr>
        <w:t xml:space="preserve"> </w:t>
      </w:r>
      <w:r w:rsidR="003315F4">
        <w:rPr>
          <w:rFonts w:ascii="Times New Roman" w:eastAsia="Times New Roman" w:hAnsi="Times New Roman"/>
          <w:bCs/>
          <w:sz w:val="24"/>
          <w:szCs w:val="24"/>
        </w:rPr>
        <w:t>DFTA partners with other agencies or organizations to</w:t>
      </w:r>
      <w:r>
        <w:rPr>
          <w:rFonts w:ascii="Times New Roman" w:eastAsia="Times New Roman" w:hAnsi="Times New Roman"/>
          <w:bCs/>
          <w:sz w:val="24"/>
          <w:szCs w:val="24"/>
        </w:rPr>
        <w:t xml:space="preserve"> offer informational sessions or distribute know-your-rights materials to older adults in their communities</w:t>
      </w:r>
      <w:r w:rsidR="00836AC4">
        <w:rPr>
          <w:rFonts w:ascii="Times New Roman" w:eastAsia="Times New Roman" w:hAnsi="Times New Roman"/>
          <w:bCs/>
          <w:sz w:val="24"/>
          <w:szCs w:val="24"/>
        </w:rPr>
        <w:t>,</w:t>
      </w:r>
      <w:r>
        <w:rPr>
          <w:rFonts w:ascii="Times New Roman" w:eastAsia="Times New Roman" w:hAnsi="Times New Roman"/>
          <w:bCs/>
          <w:sz w:val="24"/>
          <w:szCs w:val="24"/>
        </w:rPr>
        <w:t xml:space="preserve"> and whether </w:t>
      </w:r>
      <w:r w:rsidR="00836AC4">
        <w:rPr>
          <w:rFonts w:ascii="Times New Roman" w:eastAsia="Times New Roman" w:hAnsi="Times New Roman"/>
          <w:bCs/>
          <w:sz w:val="24"/>
          <w:szCs w:val="24"/>
        </w:rPr>
        <w:t>DFTA</w:t>
      </w:r>
      <w:r>
        <w:rPr>
          <w:rFonts w:ascii="Times New Roman" w:eastAsia="Times New Roman" w:hAnsi="Times New Roman"/>
          <w:bCs/>
          <w:sz w:val="24"/>
          <w:szCs w:val="24"/>
        </w:rPr>
        <w:t xml:space="preserve"> </w:t>
      </w:r>
      <w:r w:rsidR="00836AC4">
        <w:rPr>
          <w:rFonts w:ascii="Times New Roman" w:eastAsia="Times New Roman" w:hAnsi="Times New Roman"/>
          <w:bCs/>
          <w:sz w:val="24"/>
          <w:szCs w:val="24"/>
        </w:rPr>
        <w:t>promotes</w:t>
      </w:r>
      <w:r>
        <w:rPr>
          <w:rFonts w:ascii="Times New Roman" w:eastAsia="Times New Roman" w:hAnsi="Times New Roman"/>
          <w:bCs/>
          <w:sz w:val="24"/>
          <w:szCs w:val="24"/>
        </w:rPr>
        <w:t xml:space="preserve"> available resources to assist older adults in protecting th</w:t>
      </w:r>
      <w:r w:rsidR="00836AC4">
        <w:rPr>
          <w:rFonts w:ascii="Times New Roman" w:eastAsia="Times New Roman" w:hAnsi="Times New Roman"/>
          <w:bCs/>
          <w:sz w:val="24"/>
          <w:szCs w:val="24"/>
        </w:rPr>
        <w:t>eir</w:t>
      </w:r>
      <w:r>
        <w:rPr>
          <w:rFonts w:ascii="Times New Roman" w:eastAsia="Times New Roman" w:hAnsi="Times New Roman"/>
          <w:bCs/>
          <w:sz w:val="24"/>
          <w:szCs w:val="24"/>
        </w:rPr>
        <w:t xml:space="preserve"> rights</w:t>
      </w:r>
      <w:r w:rsidR="00836AC4">
        <w:rPr>
          <w:rFonts w:ascii="Times New Roman" w:eastAsia="Times New Roman" w:hAnsi="Times New Roman"/>
          <w:bCs/>
          <w:sz w:val="24"/>
          <w:szCs w:val="24"/>
        </w:rPr>
        <w:t>, is not clear</w:t>
      </w:r>
    </w:p>
    <w:p w14:paraId="7C835F95" w14:textId="649EE536" w:rsidR="001B5DBD" w:rsidRPr="004728EF" w:rsidRDefault="001B5DBD" w:rsidP="00DA6CAB">
      <w:pPr>
        <w:pStyle w:val="NoSpacing"/>
        <w:spacing w:before="240" w:line="480" w:lineRule="auto"/>
        <w:contextualSpacing/>
        <w:jc w:val="both"/>
        <w:rPr>
          <w:rFonts w:ascii="Times New Roman" w:eastAsia="Times New Roman" w:hAnsi="Times New Roman"/>
          <w:bCs/>
          <w:sz w:val="24"/>
          <w:szCs w:val="24"/>
        </w:rPr>
      </w:pPr>
      <w:r w:rsidRPr="00CF1DC7">
        <w:rPr>
          <w:rFonts w:ascii="Times New Roman" w:eastAsia="Times New Roman" w:hAnsi="Times New Roman"/>
          <w:b/>
          <w:bCs/>
          <w:i/>
          <w:sz w:val="24"/>
          <w:szCs w:val="24"/>
        </w:rPr>
        <w:t>Increasing Older Adults’ Access to Diverse and Culturally Relevant Programming</w:t>
      </w:r>
    </w:p>
    <w:p w14:paraId="1A1B7A90" w14:textId="23B3287D" w:rsidR="00E03DD9" w:rsidRDefault="00CF701B" w:rsidP="00CF701B">
      <w:pPr>
        <w:pStyle w:val="NoSpacing"/>
        <w:spacing w:line="480" w:lineRule="auto"/>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A core function of DFTA is its funding of more than 300 OACs and affiliated sites through community partnerships in every borough. OACs offer in-person and virtual activities for older adults.</w:t>
      </w:r>
      <w:r>
        <w:rPr>
          <w:rStyle w:val="FootnoteReference"/>
          <w:rFonts w:ascii="Times New Roman" w:eastAsia="Times New Roman" w:hAnsi="Times New Roman"/>
          <w:bCs/>
          <w:sz w:val="24"/>
          <w:szCs w:val="24"/>
        </w:rPr>
        <w:footnoteReference w:id="73"/>
      </w:r>
      <w:r>
        <w:rPr>
          <w:rFonts w:ascii="Times New Roman" w:eastAsia="Times New Roman" w:hAnsi="Times New Roman"/>
          <w:bCs/>
          <w:sz w:val="24"/>
          <w:szCs w:val="24"/>
        </w:rPr>
        <w:t xml:space="preserve"> While some OACs serve special populations, such as centers for LGBTQIA+ older adults and visually impaired older adults, </w:t>
      </w:r>
      <w:r w:rsidR="00EB1D9A">
        <w:rPr>
          <w:rFonts w:ascii="Times New Roman" w:eastAsia="Times New Roman" w:hAnsi="Times New Roman"/>
          <w:bCs/>
          <w:sz w:val="24"/>
          <w:szCs w:val="24"/>
        </w:rPr>
        <w:t xml:space="preserve">others offer </w:t>
      </w:r>
      <w:r w:rsidR="00F05AD3">
        <w:rPr>
          <w:rFonts w:ascii="Times New Roman" w:eastAsia="Times New Roman" w:hAnsi="Times New Roman"/>
          <w:bCs/>
          <w:sz w:val="24"/>
          <w:szCs w:val="24"/>
        </w:rPr>
        <w:t xml:space="preserve">programming reflecting the cultural diversity of the communities they serve. For example, the Fort Greene Council’s 13 neighborhood </w:t>
      </w:r>
      <w:r w:rsidR="00DA6CAB">
        <w:rPr>
          <w:rFonts w:ascii="Times New Roman" w:eastAsia="Times New Roman" w:hAnsi="Times New Roman"/>
          <w:bCs/>
          <w:sz w:val="24"/>
          <w:szCs w:val="24"/>
        </w:rPr>
        <w:t>OACs</w:t>
      </w:r>
      <w:r w:rsidR="00F05AD3">
        <w:rPr>
          <w:rFonts w:ascii="Times New Roman" w:eastAsia="Times New Roman" w:hAnsi="Times New Roman"/>
          <w:bCs/>
          <w:sz w:val="24"/>
          <w:szCs w:val="24"/>
        </w:rPr>
        <w:t xml:space="preserve"> offer culturally specific programming</w:t>
      </w:r>
      <w:r w:rsidR="0062199B">
        <w:rPr>
          <w:rFonts w:ascii="Times New Roman" w:eastAsia="Times New Roman" w:hAnsi="Times New Roman"/>
          <w:bCs/>
          <w:sz w:val="24"/>
          <w:szCs w:val="24"/>
        </w:rPr>
        <w:t xml:space="preserve"> catering to the largest</w:t>
      </w:r>
      <w:r w:rsidR="004B5C29">
        <w:rPr>
          <w:rFonts w:ascii="Times New Roman" w:eastAsia="Times New Roman" w:hAnsi="Times New Roman"/>
          <w:bCs/>
          <w:sz w:val="24"/>
          <w:szCs w:val="24"/>
        </w:rPr>
        <w:t xml:space="preserve"> African-American</w:t>
      </w:r>
      <w:r w:rsidR="0062199B">
        <w:rPr>
          <w:rFonts w:ascii="Times New Roman" w:eastAsia="Times New Roman" w:hAnsi="Times New Roman"/>
          <w:bCs/>
          <w:sz w:val="24"/>
          <w:szCs w:val="24"/>
        </w:rPr>
        <w:t xml:space="preserve"> and Caribbean population in </w:t>
      </w:r>
      <w:r w:rsidR="002B19BA">
        <w:rPr>
          <w:rFonts w:ascii="Times New Roman" w:eastAsia="Times New Roman" w:hAnsi="Times New Roman"/>
          <w:bCs/>
          <w:sz w:val="24"/>
          <w:szCs w:val="24"/>
        </w:rPr>
        <w:t>NYC</w:t>
      </w:r>
      <w:r w:rsidR="0062199B">
        <w:rPr>
          <w:rFonts w:ascii="Times New Roman" w:eastAsia="Times New Roman" w:hAnsi="Times New Roman"/>
          <w:bCs/>
          <w:sz w:val="24"/>
          <w:szCs w:val="24"/>
        </w:rPr>
        <w:t>.</w:t>
      </w:r>
      <w:r w:rsidR="0062199B">
        <w:rPr>
          <w:rStyle w:val="FootnoteReference"/>
          <w:rFonts w:ascii="Times New Roman" w:eastAsia="Times New Roman" w:hAnsi="Times New Roman"/>
          <w:bCs/>
          <w:sz w:val="24"/>
          <w:szCs w:val="24"/>
        </w:rPr>
        <w:footnoteReference w:id="74"/>
      </w:r>
    </w:p>
    <w:p w14:paraId="0738B853" w14:textId="6D2C142E" w:rsidR="003B4BEF" w:rsidRDefault="003B4BEF" w:rsidP="005A15C1">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Studies have shown </w:t>
      </w:r>
      <w:r w:rsidRPr="0062199B">
        <w:rPr>
          <w:rFonts w:ascii="Times New Roman" w:eastAsia="Times New Roman" w:hAnsi="Times New Roman"/>
          <w:bCs/>
          <w:sz w:val="24"/>
          <w:szCs w:val="24"/>
        </w:rPr>
        <w:t xml:space="preserve">that increasing the representation of </w:t>
      </w:r>
      <w:r>
        <w:rPr>
          <w:rFonts w:ascii="Times New Roman" w:eastAsia="Times New Roman" w:hAnsi="Times New Roman"/>
          <w:bCs/>
          <w:sz w:val="24"/>
          <w:szCs w:val="24"/>
        </w:rPr>
        <w:t xml:space="preserve">diverse programming in OACs </w:t>
      </w:r>
      <w:r w:rsidRPr="0062199B">
        <w:rPr>
          <w:rFonts w:ascii="Times New Roman" w:eastAsia="Times New Roman" w:hAnsi="Times New Roman"/>
          <w:bCs/>
          <w:sz w:val="24"/>
          <w:szCs w:val="24"/>
        </w:rPr>
        <w:t>increases the level of</w:t>
      </w:r>
      <w:r w:rsidR="0035511D">
        <w:rPr>
          <w:rFonts w:ascii="Times New Roman" w:eastAsia="Times New Roman" w:hAnsi="Times New Roman"/>
          <w:bCs/>
          <w:sz w:val="24"/>
          <w:szCs w:val="24"/>
        </w:rPr>
        <w:t xml:space="preserve"> participation of diverse</w:t>
      </w:r>
      <w:r w:rsidRPr="0062199B">
        <w:rPr>
          <w:rFonts w:ascii="Times New Roman" w:eastAsia="Times New Roman" w:hAnsi="Times New Roman"/>
          <w:bCs/>
          <w:sz w:val="24"/>
          <w:szCs w:val="24"/>
        </w:rPr>
        <w:t xml:space="preserve"> elders in </w:t>
      </w:r>
      <w:r>
        <w:rPr>
          <w:rFonts w:ascii="Times New Roman" w:eastAsia="Times New Roman" w:hAnsi="Times New Roman"/>
          <w:bCs/>
          <w:sz w:val="24"/>
          <w:szCs w:val="24"/>
        </w:rPr>
        <w:t>those centers.</w:t>
      </w:r>
      <w:r>
        <w:rPr>
          <w:rStyle w:val="FootnoteReference"/>
          <w:rFonts w:ascii="Times New Roman" w:eastAsia="Times New Roman" w:hAnsi="Times New Roman"/>
          <w:bCs/>
          <w:sz w:val="24"/>
          <w:szCs w:val="24"/>
        </w:rPr>
        <w:footnoteReference w:id="75"/>
      </w:r>
      <w:r w:rsidR="005A7683">
        <w:rPr>
          <w:rFonts w:ascii="Times New Roman" w:eastAsia="Times New Roman" w:hAnsi="Times New Roman"/>
          <w:bCs/>
          <w:sz w:val="24"/>
          <w:szCs w:val="24"/>
        </w:rPr>
        <w:t xml:space="preserve"> Where cultural competency is addressed in older adult center programming, attendance improves and outcomes among diverse participants improve, especially when multilingual programming is offered.</w:t>
      </w:r>
      <w:r w:rsidR="005A7683">
        <w:rPr>
          <w:rStyle w:val="FootnoteReference"/>
          <w:rFonts w:ascii="Times New Roman" w:eastAsia="Times New Roman" w:hAnsi="Times New Roman"/>
          <w:bCs/>
          <w:sz w:val="24"/>
          <w:szCs w:val="24"/>
        </w:rPr>
        <w:footnoteReference w:id="76"/>
      </w:r>
      <w:r w:rsidR="005A15C1">
        <w:rPr>
          <w:rFonts w:ascii="Times New Roman" w:eastAsia="Times New Roman" w:hAnsi="Times New Roman"/>
          <w:bCs/>
          <w:sz w:val="24"/>
          <w:szCs w:val="24"/>
        </w:rPr>
        <w:t xml:space="preserve"> S</w:t>
      </w:r>
      <w:r w:rsidR="005A15C1" w:rsidRPr="005A15C1">
        <w:rPr>
          <w:rFonts w:ascii="Times New Roman" w:eastAsia="Times New Roman" w:hAnsi="Times New Roman"/>
          <w:bCs/>
          <w:sz w:val="24"/>
          <w:szCs w:val="24"/>
        </w:rPr>
        <w:t xml:space="preserve">atisfaction levels are </w:t>
      </w:r>
      <w:r w:rsidR="005A15C1">
        <w:rPr>
          <w:rFonts w:ascii="Times New Roman" w:eastAsia="Times New Roman" w:hAnsi="Times New Roman"/>
          <w:bCs/>
          <w:sz w:val="24"/>
          <w:szCs w:val="24"/>
        </w:rPr>
        <w:t xml:space="preserve">typically </w:t>
      </w:r>
      <w:r w:rsidR="005A15C1" w:rsidRPr="005A15C1">
        <w:rPr>
          <w:rFonts w:ascii="Times New Roman" w:eastAsia="Times New Roman" w:hAnsi="Times New Roman"/>
          <w:bCs/>
          <w:sz w:val="24"/>
          <w:szCs w:val="24"/>
        </w:rPr>
        <w:t>lower f</w:t>
      </w:r>
      <w:r w:rsidR="005A15C1">
        <w:rPr>
          <w:rFonts w:ascii="Times New Roman" w:eastAsia="Times New Roman" w:hAnsi="Times New Roman"/>
          <w:bCs/>
          <w:sz w:val="24"/>
          <w:szCs w:val="24"/>
        </w:rPr>
        <w:t xml:space="preserve">or older adults who attend culturally </w:t>
      </w:r>
      <w:r w:rsidR="005A15C1" w:rsidRPr="005A15C1">
        <w:rPr>
          <w:rFonts w:ascii="Times New Roman" w:eastAsia="Times New Roman" w:hAnsi="Times New Roman"/>
          <w:bCs/>
          <w:sz w:val="24"/>
          <w:szCs w:val="24"/>
        </w:rPr>
        <w:t xml:space="preserve">diverse </w:t>
      </w:r>
      <w:r w:rsidR="00DA6CAB">
        <w:rPr>
          <w:rFonts w:ascii="Times New Roman" w:eastAsia="Times New Roman" w:hAnsi="Times New Roman"/>
          <w:bCs/>
          <w:sz w:val="24"/>
          <w:szCs w:val="24"/>
        </w:rPr>
        <w:t>OACs</w:t>
      </w:r>
      <w:r w:rsidR="005A15C1" w:rsidRPr="005A15C1">
        <w:rPr>
          <w:rFonts w:ascii="Times New Roman" w:eastAsia="Times New Roman" w:hAnsi="Times New Roman"/>
          <w:bCs/>
          <w:sz w:val="24"/>
          <w:szCs w:val="24"/>
        </w:rPr>
        <w:t xml:space="preserve"> because multicultural programs are not sufficiently presen</w:t>
      </w:r>
      <w:r w:rsidR="005A15C1">
        <w:rPr>
          <w:rFonts w:ascii="Times New Roman" w:eastAsia="Times New Roman" w:hAnsi="Times New Roman"/>
          <w:bCs/>
          <w:sz w:val="24"/>
          <w:szCs w:val="24"/>
        </w:rPr>
        <w:t>t.</w:t>
      </w:r>
      <w:r w:rsidR="005A15C1">
        <w:rPr>
          <w:rStyle w:val="FootnoteReference"/>
          <w:rFonts w:ascii="Times New Roman" w:eastAsia="Times New Roman" w:hAnsi="Times New Roman"/>
          <w:bCs/>
          <w:sz w:val="24"/>
          <w:szCs w:val="24"/>
        </w:rPr>
        <w:footnoteReference w:id="77"/>
      </w:r>
    </w:p>
    <w:p w14:paraId="6C4C696A" w14:textId="1A9B0CF5" w:rsidR="00396C96" w:rsidRDefault="00805F5A" w:rsidP="00EB708C">
      <w:pPr>
        <w:pStyle w:val="NoSpacing"/>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Many OACs have committees or councils which, among other duties, </w:t>
      </w:r>
      <w:r w:rsidR="003E1CCD">
        <w:rPr>
          <w:rFonts w:ascii="Times New Roman" w:eastAsia="Times New Roman" w:hAnsi="Times New Roman"/>
          <w:bCs/>
          <w:sz w:val="24"/>
          <w:szCs w:val="24"/>
        </w:rPr>
        <w:t>set the programming calendars</w:t>
      </w:r>
      <w:r>
        <w:rPr>
          <w:rFonts w:ascii="Times New Roman" w:eastAsia="Times New Roman" w:hAnsi="Times New Roman"/>
          <w:bCs/>
          <w:sz w:val="24"/>
          <w:szCs w:val="24"/>
        </w:rPr>
        <w:t xml:space="preserve"> at </w:t>
      </w:r>
      <w:r w:rsidR="00133F3B">
        <w:rPr>
          <w:rFonts w:ascii="Times New Roman" w:eastAsia="Times New Roman" w:hAnsi="Times New Roman"/>
          <w:bCs/>
          <w:sz w:val="24"/>
          <w:szCs w:val="24"/>
        </w:rPr>
        <w:t>their</w:t>
      </w:r>
      <w:r>
        <w:rPr>
          <w:rFonts w:ascii="Times New Roman" w:eastAsia="Times New Roman" w:hAnsi="Times New Roman"/>
          <w:bCs/>
          <w:sz w:val="24"/>
          <w:szCs w:val="24"/>
        </w:rPr>
        <w:t xml:space="preserve"> centers.</w:t>
      </w:r>
      <w:r>
        <w:rPr>
          <w:rStyle w:val="FootnoteReference"/>
          <w:rFonts w:ascii="Times New Roman" w:eastAsia="Times New Roman" w:hAnsi="Times New Roman"/>
          <w:bCs/>
          <w:sz w:val="24"/>
          <w:szCs w:val="24"/>
        </w:rPr>
        <w:footnoteReference w:id="78"/>
      </w:r>
      <w:r>
        <w:rPr>
          <w:rFonts w:ascii="Times New Roman" w:eastAsia="Times New Roman" w:hAnsi="Times New Roman"/>
          <w:bCs/>
          <w:sz w:val="24"/>
          <w:szCs w:val="24"/>
        </w:rPr>
        <w:t xml:space="preserve"> </w:t>
      </w:r>
      <w:r w:rsidR="009A7342">
        <w:rPr>
          <w:rFonts w:ascii="Times New Roman" w:eastAsia="Times New Roman" w:hAnsi="Times New Roman"/>
          <w:bCs/>
          <w:sz w:val="24"/>
          <w:szCs w:val="24"/>
        </w:rPr>
        <w:t xml:space="preserve">In expanding access to culturally diverse </w:t>
      </w:r>
      <w:r w:rsidR="004B5BC5">
        <w:rPr>
          <w:rFonts w:ascii="Times New Roman" w:eastAsia="Times New Roman" w:hAnsi="Times New Roman"/>
          <w:bCs/>
          <w:sz w:val="24"/>
          <w:szCs w:val="24"/>
        </w:rPr>
        <w:t xml:space="preserve">programming, advocates have encouraged </w:t>
      </w:r>
      <w:r w:rsidR="00D5162F">
        <w:rPr>
          <w:rFonts w:ascii="Times New Roman" w:eastAsia="Times New Roman" w:hAnsi="Times New Roman"/>
          <w:bCs/>
          <w:sz w:val="24"/>
          <w:szCs w:val="24"/>
        </w:rPr>
        <w:t>local aging networks</w:t>
      </w:r>
      <w:r w:rsidR="00967AC2">
        <w:rPr>
          <w:rFonts w:ascii="Times New Roman" w:eastAsia="Times New Roman" w:hAnsi="Times New Roman"/>
          <w:bCs/>
          <w:sz w:val="24"/>
          <w:szCs w:val="24"/>
        </w:rPr>
        <w:t xml:space="preserve"> </w:t>
      </w:r>
      <w:r w:rsidR="00FB4C7D">
        <w:rPr>
          <w:rFonts w:ascii="Times New Roman" w:eastAsia="Times New Roman" w:hAnsi="Times New Roman"/>
          <w:bCs/>
          <w:sz w:val="24"/>
          <w:szCs w:val="24"/>
        </w:rPr>
        <w:t xml:space="preserve">to include representatives of </w:t>
      </w:r>
      <w:r w:rsidR="0035511D">
        <w:rPr>
          <w:rFonts w:ascii="Times New Roman" w:eastAsia="Times New Roman" w:hAnsi="Times New Roman"/>
          <w:bCs/>
          <w:sz w:val="24"/>
          <w:szCs w:val="24"/>
        </w:rPr>
        <w:t>diverse</w:t>
      </w:r>
      <w:r w:rsidR="00FB4C7D">
        <w:rPr>
          <w:rFonts w:ascii="Times New Roman" w:eastAsia="Times New Roman" w:hAnsi="Times New Roman"/>
          <w:bCs/>
          <w:sz w:val="24"/>
          <w:szCs w:val="24"/>
        </w:rPr>
        <w:t xml:space="preserve"> communities and diverse backgrounds </w:t>
      </w:r>
      <w:r w:rsidR="00967AC2">
        <w:rPr>
          <w:rFonts w:ascii="Times New Roman" w:eastAsia="Times New Roman" w:hAnsi="Times New Roman"/>
          <w:bCs/>
          <w:sz w:val="24"/>
          <w:szCs w:val="24"/>
        </w:rPr>
        <w:t>in the planning process.</w:t>
      </w:r>
      <w:r w:rsidR="00967AC2">
        <w:rPr>
          <w:rStyle w:val="FootnoteReference"/>
          <w:rFonts w:ascii="Times New Roman" w:eastAsia="Times New Roman" w:hAnsi="Times New Roman"/>
          <w:bCs/>
          <w:sz w:val="24"/>
          <w:szCs w:val="24"/>
        </w:rPr>
        <w:footnoteReference w:id="79"/>
      </w:r>
    </w:p>
    <w:p w14:paraId="096C62CE" w14:textId="0DBBCE06" w:rsidR="00D37F55" w:rsidRPr="00CF1DC7" w:rsidRDefault="00CF1DC7" w:rsidP="00EB1D9A">
      <w:pPr>
        <w:pStyle w:val="NoSpacing"/>
        <w:numPr>
          <w:ilvl w:val="0"/>
          <w:numId w:val="11"/>
        </w:numPr>
        <w:spacing w:before="120" w:line="480" w:lineRule="auto"/>
        <w:jc w:val="both"/>
        <w:rPr>
          <w:rFonts w:ascii="Times New Roman Bold" w:eastAsia="Times New Roman" w:hAnsi="Times New Roman Bold"/>
          <w:b/>
          <w:bCs/>
          <w:smallCaps/>
          <w:sz w:val="24"/>
          <w:szCs w:val="24"/>
        </w:rPr>
      </w:pPr>
      <w:r w:rsidRPr="00CF1DC7">
        <w:rPr>
          <w:rFonts w:ascii="Times New Roman Bold" w:eastAsia="Times New Roman" w:hAnsi="Times New Roman Bold"/>
          <w:b/>
          <w:bCs/>
          <w:smallCaps/>
          <w:sz w:val="24"/>
          <w:szCs w:val="24"/>
        </w:rPr>
        <w:t>Analysis of Preconsidered Introductions</w:t>
      </w:r>
    </w:p>
    <w:p w14:paraId="2813F623" w14:textId="77777777" w:rsidR="00CF1DC7" w:rsidRDefault="00D37F55" w:rsidP="00CF1DC7">
      <w:pPr>
        <w:pStyle w:val="NoSpacing"/>
        <w:spacing w:line="480" w:lineRule="auto"/>
        <w:jc w:val="both"/>
        <w:rPr>
          <w:rFonts w:ascii="Times New Roman" w:eastAsia="Times New Roman" w:hAnsi="Times New Roman"/>
          <w:b/>
          <w:bCs/>
          <w:i/>
          <w:sz w:val="24"/>
          <w:szCs w:val="24"/>
          <w:u w:val="single"/>
        </w:rPr>
      </w:pPr>
      <w:r w:rsidRPr="00CF1DC7">
        <w:rPr>
          <w:rFonts w:ascii="Times New Roman" w:eastAsia="Times New Roman" w:hAnsi="Times New Roman"/>
          <w:b/>
          <w:bCs/>
          <w:i/>
          <w:sz w:val="24"/>
          <w:szCs w:val="24"/>
        </w:rPr>
        <w:t>Pre</w:t>
      </w:r>
      <w:r w:rsidR="00CF1DC7" w:rsidRPr="00CF1DC7">
        <w:rPr>
          <w:rFonts w:ascii="Times New Roman" w:eastAsia="Times New Roman" w:hAnsi="Times New Roman"/>
          <w:b/>
          <w:bCs/>
          <w:i/>
          <w:sz w:val="24"/>
          <w:szCs w:val="24"/>
        </w:rPr>
        <w:t xml:space="preserve">considered </w:t>
      </w:r>
      <w:r w:rsidRPr="00CF1DC7">
        <w:rPr>
          <w:rFonts w:ascii="Times New Roman" w:eastAsia="Times New Roman" w:hAnsi="Times New Roman"/>
          <w:b/>
          <w:bCs/>
          <w:i/>
          <w:sz w:val="24"/>
          <w:szCs w:val="24"/>
        </w:rPr>
        <w:t>Int. No. ____</w:t>
      </w:r>
    </w:p>
    <w:p w14:paraId="48243D86" w14:textId="1FFF9FDA" w:rsidR="00D37F55" w:rsidRPr="00CF1DC7" w:rsidRDefault="00D37F55" w:rsidP="00CF1DC7">
      <w:pPr>
        <w:pStyle w:val="NoSpacing"/>
        <w:spacing w:line="480" w:lineRule="auto"/>
        <w:ind w:firstLine="720"/>
        <w:jc w:val="both"/>
        <w:rPr>
          <w:rFonts w:ascii="Times New Roman" w:eastAsia="Times New Roman" w:hAnsi="Times New Roman"/>
          <w:b/>
          <w:bCs/>
          <w:i/>
          <w:sz w:val="24"/>
          <w:szCs w:val="24"/>
          <w:u w:val="single"/>
        </w:rPr>
      </w:pPr>
      <w:r w:rsidRPr="00D37F55">
        <w:rPr>
          <w:rFonts w:ascii="Times New Roman" w:eastAsia="Times New Roman" w:hAnsi="Times New Roman"/>
          <w:bCs/>
          <w:sz w:val="24"/>
          <w:szCs w:val="24"/>
        </w:rPr>
        <w:t xml:space="preserve">This bill would </w:t>
      </w:r>
      <w:r w:rsidR="00EB708C">
        <w:rPr>
          <w:rFonts w:ascii="Times New Roman" w:eastAsia="Times New Roman" w:hAnsi="Times New Roman"/>
          <w:bCs/>
          <w:sz w:val="24"/>
          <w:szCs w:val="24"/>
        </w:rPr>
        <w:t>provide</w:t>
      </w:r>
      <w:r w:rsidR="00EB708C" w:rsidRPr="00D37F55">
        <w:rPr>
          <w:rFonts w:ascii="Times New Roman" w:eastAsia="Times New Roman" w:hAnsi="Times New Roman"/>
          <w:bCs/>
          <w:sz w:val="24"/>
          <w:szCs w:val="24"/>
        </w:rPr>
        <w:t xml:space="preserve"> </w:t>
      </w:r>
      <w:r w:rsidRPr="00D37F55">
        <w:rPr>
          <w:rFonts w:ascii="Times New Roman" w:eastAsia="Times New Roman" w:hAnsi="Times New Roman"/>
          <w:bCs/>
          <w:sz w:val="24"/>
          <w:szCs w:val="24"/>
        </w:rPr>
        <w:t xml:space="preserve">any person 60 years of age or older facing eviction or termination of tenancy in housing court </w:t>
      </w:r>
      <w:r w:rsidR="00EB708C">
        <w:rPr>
          <w:rFonts w:ascii="Times New Roman" w:eastAsia="Times New Roman" w:hAnsi="Times New Roman"/>
          <w:bCs/>
          <w:sz w:val="24"/>
          <w:szCs w:val="24"/>
        </w:rPr>
        <w:t>with</w:t>
      </w:r>
      <w:r w:rsidR="00EB708C" w:rsidRPr="00D37F55">
        <w:rPr>
          <w:rFonts w:ascii="Times New Roman" w:eastAsia="Times New Roman" w:hAnsi="Times New Roman"/>
          <w:bCs/>
          <w:sz w:val="24"/>
          <w:szCs w:val="24"/>
        </w:rPr>
        <w:t xml:space="preserve"> </w:t>
      </w:r>
      <w:r w:rsidRPr="00D37F55">
        <w:rPr>
          <w:rFonts w:ascii="Times New Roman" w:eastAsia="Times New Roman" w:hAnsi="Times New Roman"/>
          <w:bCs/>
          <w:sz w:val="24"/>
          <w:szCs w:val="24"/>
        </w:rPr>
        <w:t xml:space="preserve">full legal representation at no cost. This bill would also require </w:t>
      </w:r>
      <w:r w:rsidR="00EB708C">
        <w:rPr>
          <w:rFonts w:ascii="Times New Roman" w:eastAsia="Times New Roman" w:hAnsi="Times New Roman"/>
          <w:bCs/>
          <w:sz w:val="24"/>
          <w:szCs w:val="24"/>
        </w:rPr>
        <w:t xml:space="preserve">DFTA </w:t>
      </w:r>
      <w:r w:rsidRPr="00D37F55">
        <w:rPr>
          <w:rFonts w:ascii="Times New Roman" w:eastAsia="Times New Roman" w:hAnsi="Times New Roman"/>
          <w:bCs/>
          <w:sz w:val="24"/>
          <w:szCs w:val="24"/>
        </w:rPr>
        <w:t xml:space="preserve">to provide financial assistance to persons 60 years of age or older for the purpose of paying rental arrears when such persons are not eligible to receive other forms of rental arrears assistance. This bill would </w:t>
      </w:r>
      <w:r w:rsidR="00EB708C">
        <w:rPr>
          <w:rFonts w:ascii="Times New Roman" w:eastAsia="Times New Roman" w:hAnsi="Times New Roman"/>
          <w:bCs/>
          <w:sz w:val="24"/>
          <w:szCs w:val="24"/>
        </w:rPr>
        <w:t>further</w:t>
      </w:r>
      <w:r w:rsidR="00EB708C" w:rsidRPr="00D37F55">
        <w:rPr>
          <w:rFonts w:ascii="Times New Roman" w:eastAsia="Times New Roman" w:hAnsi="Times New Roman"/>
          <w:bCs/>
          <w:sz w:val="24"/>
          <w:szCs w:val="24"/>
        </w:rPr>
        <w:t xml:space="preserve"> </w:t>
      </w:r>
      <w:r w:rsidRPr="00D37F55">
        <w:rPr>
          <w:rFonts w:ascii="Times New Roman" w:eastAsia="Times New Roman" w:hAnsi="Times New Roman"/>
          <w:bCs/>
          <w:sz w:val="24"/>
          <w:szCs w:val="24"/>
        </w:rPr>
        <w:t xml:space="preserve">require </w:t>
      </w:r>
      <w:r w:rsidR="00EB708C">
        <w:rPr>
          <w:rFonts w:ascii="Times New Roman" w:eastAsia="Times New Roman" w:hAnsi="Times New Roman"/>
          <w:bCs/>
          <w:sz w:val="24"/>
          <w:szCs w:val="24"/>
        </w:rPr>
        <w:t>DFTA</w:t>
      </w:r>
      <w:r w:rsidRPr="00D37F55">
        <w:rPr>
          <w:rFonts w:ascii="Times New Roman" w:eastAsia="Times New Roman" w:hAnsi="Times New Roman"/>
          <w:bCs/>
          <w:sz w:val="24"/>
          <w:szCs w:val="24"/>
        </w:rPr>
        <w:t xml:space="preserve"> to establish a housing support program for the purpose of providing tailored advice and support, through case management services, to persons 60 years of age or older who are at risk of eviction or foreclosure.</w:t>
      </w:r>
    </w:p>
    <w:p w14:paraId="380833A6" w14:textId="1D16183E" w:rsidR="00D37F55" w:rsidRPr="00CF1DC7" w:rsidRDefault="00D37F55" w:rsidP="00CF1DC7">
      <w:pPr>
        <w:pStyle w:val="NoSpacing"/>
        <w:spacing w:before="120" w:line="480" w:lineRule="auto"/>
        <w:jc w:val="both"/>
        <w:rPr>
          <w:rFonts w:ascii="Times New Roman" w:eastAsia="Times New Roman" w:hAnsi="Times New Roman"/>
          <w:b/>
          <w:bCs/>
          <w:i/>
          <w:sz w:val="24"/>
          <w:szCs w:val="24"/>
          <w:u w:val="single"/>
        </w:rPr>
      </w:pPr>
      <w:r w:rsidRPr="00CF1DC7">
        <w:rPr>
          <w:rFonts w:ascii="Times New Roman" w:eastAsia="Times New Roman" w:hAnsi="Times New Roman"/>
          <w:b/>
          <w:bCs/>
          <w:i/>
          <w:sz w:val="24"/>
          <w:szCs w:val="24"/>
        </w:rPr>
        <w:t>Pre</w:t>
      </w:r>
      <w:r w:rsidR="00CF1DC7" w:rsidRPr="00CF1DC7">
        <w:rPr>
          <w:rFonts w:ascii="Times New Roman" w:eastAsia="Times New Roman" w:hAnsi="Times New Roman"/>
          <w:b/>
          <w:bCs/>
          <w:i/>
          <w:sz w:val="24"/>
          <w:szCs w:val="24"/>
        </w:rPr>
        <w:t xml:space="preserve">considered </w:t>
      </w:r>
      <w:r w:rsidRPr="00CF1DC7">
        <w:rPr>
          <w:rFonts w:ascii="Times New Roman" w:eastAsia="Times New Roman" w:hAnsi="Times New Roman"/>
          <w:b/>
          <w:bCs/>
          <w:i/>
          <w:sz w:val="24"/>
          <w:szCs w:val="24"/>
        </w:rPr>
        <w:t>Int. No. ____</w:t>
      </w:r>
    </w:p>
    <w:p w14:paraId="0387D098" w14:textId="19845B10" w:rsidR="00D37F55" w:rsidRPr="00D37F55" w:rsidRDefault="00D37F55" w:rsidP="00867B3A">
      <w:pPr>
        <w:pStyle w:val="NoSpacing"/>
        <w:spacing w:line="480" w:lineRule="auto"/>
        <w:ind w:firstLine="720"/>
        <w:jc w:val="both"/>
        <w:rPr>
          <w:rFonts w:ascii="Times New Roman" w:eastAsia="Times New Roman" w:hAnsi="Times New Roman"/>
          <w:sz w:val="24"/>
          <w:szCs w:val="24"/>
        </w:rPr>
      </w:pPr>
      <w:r w:rsidRPr="47F9E883">
        <w:rPr>
          <w:rFonts w:ascii="Times New Roman" w:eastAsia="Times New Roman" w:hAnsi="Times New Roman"/>
          <w:sz w:val="24"/>
          <w:szCs w:val="24"/>
        </w:rPr>
        <w:t xml:space="preserve">This bill would require the </w:t>
      </w:r>
      <w:r w:rsidR="00EB708C">
        <w:rPr>
          <w:rFonts w:ascii="Times New Roman" w:eastAsia="Times New Roman" w:hAnsi="Times New Roman"/>
          <w:sz w:val="24"/>
          <w:szCs w:val="24"/>
        </w:rPr>
        <w:t>DFTA</w:t>
      </w:r>
      <w:r w:rsidRPr="47F9E883">
        <w:rPr>
          <w:rFonts w:ascii="Times New Roman" w:eastAsia="Times New Roman" w:hAnsi="Times New Roman"/>
          <w:sz w:val="24"/>
          <w:szCs w:val="24"/>
        </w:rPr>
        <w:t xml:space="preserve"> to create and maintain </w:t>
      </w:r>
      <w:proofErr w:type="gramStart"/>
      <w:r w:rsidRPr="47F9E883">
        <w:rPr>
          <w:rFonts w:ascii="Times New Roman" w:eastAsia="Times New Roman" w:hAnsi="Times New Roman"/>
          <w:sz w:val="24"/>
          <w:szCs w:val="24"/>
        </w:rPr>
        <w:t>a know</w:t>
      </w:r>
      <w:proofErr w:type="gramEnd"/>
      <w:r w:rsidRPr="47F9E883">
        <w:rPr>
          <w:rFonts w:ascii="Times New Roman" w:eastAsia="Times New Roman" w:hAnsi="Times New Roman"/>
          <w:sz w:val="24"/>
          <w:szCs w:val="24"/>
        </w:rPr>
        <w:t xml:space="preserve"> your rights pamphlet for older adults who are 60 years of age and above, to inform them of their rights on various topics. The pamphlet would describe each topic and older adults’ related rights and provide the name, address, contact information, and website of the relevant agency and community-based organization that an older adult may contact to obtain information to address such rights. The bill would also require such pamphlet to be posted on DFTA’s website and other City websites and platforms. DFTA would also be required to conduct outreach on the pamphlet and annually report on such outreach efforts.</w:t>
      </w:r>
    </w:p>
    <w:p w14:paraId="1CF338BF" w14:textId="3F14AC9E" w:rsidR="00657688" w:rsidRPr="00CF1DC7" w:rsidRDefault="00D37F55" w:rsidP="00CF1DC7">
      <w:pPr>
        <w:pStyle w:val="NoSpacing"/>
        <w:spacing w:before="120" w:line="480" w:lineRule="auto"/>
        <w:jc w:val="both"/>
        <w:rPr>
          <w:rFonts w:ascii="Times New Roman" w:eastAsia="Times New Roman" w:hAnsi="Times New Roman"/>
          <w:b/>
          <w:bCs/>
          <w:i/>
          <w:sz w:val="24"/>
          <w:szCs w:val="24"/>
          <w:u w:val="single"/>
        </w:rPr>
      </w:pPr>
      <w:r w:rsidRPr="00CF1DC7">
        <w:rPr>
          <w:rFonts w:ascii="Times New Roman" w:eastAsia="Times New Roman" w:hAnsi="Times New Roman"/>
          <w:b/>
          <w:bCs/>
          <w:i/>
          <w:sz w:val="24"/>
          <w:szCs w:val="24"/>
        </w:rPr>
        <w:t>Pre</w:t>
      </w:r>
      <w:r w:rsidR="00CF1DC7" w:rsidRPr="00CF1DC7">
        <w:rPr>
          <w:rFonts w:ascii="Times New Roman" w:eastAsia="Times New Roman" w:hAnsi="Times New Roman"/>
          <w:b/>
          <w:bCs/>
          <w:i/>
          <w:sz w:val="24"/>
          <w:szCs w:val="24"/>
        </w:rPr>
        <w:t xml:space="preserve">considered </w:t>
      </w:r>
      <w:r w:rsidRPr="00CF1DC7">
        <w:rPr>
          <w:rFonts w:ascii="Times New Roman" w:eastAsia="Times New Roman" w:hAnsi="Times New Roman"/>
          <w:b/>
          <w:bCs/>
          <w:i/>
          <w:sz w:val="24"/>
          <w:szCs w:val="24"/>
        </w:rPr>
        <w:t>Int. No. ____</w:t>
      </w:r>
    </w:p>
    <w:p w14:paraId="3DBB8960" w14:textId="66D241C3" w:rsidR="00C23312" w:rsidRDefault="00D37F55" w:rsidP="00836AC4">
      <w:pPr>
        <w:pStyle w:val="NoSpacing"/>
        <w:spacing w:line="480" w:lineRule="auto"/>
        <w:ind w:firstLine="720"/>
        <w:jc w:val="both"/>
        <w:rPr>
          <w:rFonts w:ascii="Times New Roman" w:eastAsia="Times New Roman" w:hAnsi="Times New Roman"/>
          <w:bCs/>
          <w:sz w:val="24"/>
          <w:szCs w:val="24"/>
        </w:rPr>
      </w:pPr>
      <w:r w:rsidRPr="00D37F55">
        <w:rPr>
          <w:rFonts w:ascii="Times New Roman" w:eastAsia="Times New Roman" w:hAnsi="Times New Roman"/>
          <w:bCs/>
          <w:sz w:val="24"/>
          <w:szCs w:val="24"/>
        </w:rPr>
        <w:t xml:space="preserve">The proposed bill would require </w:t>
      </w:r>
      <w:r w:rsidR="00EB708C">
        <w:rPr>
          <w:rFonts w:ascii="Times New Roman" w:eastAsia="Times New Roman" w:hAnsi="Times New Roman"/>
          <w:bCs/>
          <w:sz w:val="24"/>
          <w:szCs w:val="24"/>
        </w:rPr>
        <w:t>DFTA</w:t>
      </w:r>
      <w:r w:rsidRPr="00D37F55">
        <w:rPr>
          <w:rFonts w:ascii="Times New Roman" w:eastAsia="Times New Roman" w:hAnsi="Times New Roman"/>
          <w:bCs/>
          <w:sz w:val="24"/>
          <w:szCs w:val="24"/>
        </w:rPr>
        <w:t xml:space="preserve"> to require senior centers to expand</w:t>
      </w:r>
      <w:r>
        <w:rPr>
          <w:rFonts w:ascii="Times New Roman" w:eastAsia="Times New Roman" w:hAnsi="Times New Roman"/>
          <w:bCs/>
          <w:sz w:val="24"/>
          <w:szCs w:val="24"/>
        </w:rPr>
        <w:t xml:space="preserve"> </w:t>
      </w:r>
      <w:r w:rsidRPr="00D37F55">
        <w:rPr>
          <w:rFonts w:ascii="Times New Roman" w:eastAsia="Times New Roman" w:hAnsi="Times New Roman"/>
          <w:bCs/>
          <w:sz w:val="24"/>
          <w:szCs w:val="24"/>
        </w:rPr>
        <w:t>their programming to include linguistic and cultural programs relev</w:t>
      </w:r>
      <w:r>
        <w:rPr>
          <w:rFonts w:ascii="Times New Roman" w:eastAsia="Times New Roman" w:hAnsi="Times New Roman"/>
          <w:bCs/>
          <w:sz w:val="24"/>
          <w:szCs w:val="24"/>
        </w:rPr>
        <w:t xml:space="preserve">ant to the local communities in </w:t>
      </w:r>
      <w:r w:rsidRPr="00D37F55">
        <w:rPr>
          <w:rFonts w:ascii="Times New Roman" w:eastAsia="Times New Roman" w:hAnsi="Times New Roman"/>
          <w:bCs/>
          <w:sz w:val="24"/>
          <w:szCs w:val="24"/>
        </w:rPr>
        <w:t xml:space="preserve">which they </w:t>
      </w:r>
      <w:r w:rsidR="00EB708C">
        <w:rPr>
          <w:rFonts w:ascii="Times New Roman" w:eastAsia="Times New Roman" w:hAnsi="Times New Roman"/>
          <w:bCs/>
          <w:sz w:val="24"/>
          <w:szCs w:val="24"/>
        </w:rPr>
        <w:t>are located</w:t>
      </w:r>
      <w:r w:rsidRPr="00D37F55">
        <w:rPr>
          <w:rFonts w:ascii="Times New Roman" w:eastAsia="Times New Roman" w:hAnsi="Times New Roman"/>
          <w:bCs/>
          <w:sz w:val="24"/>
          <w:szCs w:val="24"/>
        </w:rPr>
        <w:t>.</w:t>
      </w:r>
    </w:p>
    <w:p w14:paraId="6350B283" w14:textId="00E4F5DA" w:rsidR="00F943EB" w:rsidRPr="00CF1DC7" w:rsidRDefault="00CF1DC7" w:rsidP="00CF1DC7">
      <w:pPr>
        <w:pStyle w:val="NoSpacing"/>
        <w:numPr>
          <w:ilvl w:val="0"/>
          <w:numId w:val="11"/>
        </w:numPr>
        <w:spacing w:before="120" w:line="480" w:lineRule="auto"/>
        <w:jc w:val="both"/>
        <w:rPr>
          <w:rFonts w:ascii="Times New Roman Bold" w:eastAsia="Times New Roman" w:hAnsi="Times New Roman Bold"/>
          <w:b/>
          <w:bCs/>
          <w:smallCaps/>
          <w:sz w:val="24"/>
          <w:szCs w:val="24"/>
        </w:rPr>
      </w:pPr>
      <w:r w:rsidRPr="00CF1DC7">
        <w:rPr>
          <w:rFonts w:ascii="Times New Roman Bold" w:eastAsia="Times New Roman" w:hAnsi="Times New Roman Bold"/>
          <w:b/>
          <w:bCs/>
          <w:smallCaps/>
          <w:sz w:val="24"/>
          <w:szCs w:val="24"/>
        </w:rPr>
        <w:t>Conclusion</w:t>
      </w:r>
    </w:p>
    <w:p w14:paraId="24BE4AF7" w14:textId="2505C2F3" w:rsidR="00396C96" w:rsidRDefault="45AF6186" w:rsidP="00396C96">
      <w:pPr>
        <w:spacing w:line="480" w:lineRule="auto"/>
        <w:ind w:firstLine="720"/>
        <w:jc w:val="both"/>
      </w:pPr>
      <w:r w:rsidRPr="00D67A3D">
        <w:t xml:space="preserve"> </w:t>
      </w:r>
      <w:r w:rsidR="007F48A9" w:rsidRPr="007F48A9">
        <w:t>At this hearing, the Committee is interested in understanding the landscape of</w:t>
      </w:r>
      <w:r w:rsidR="00EB708C">
        <w:t xml:space="preserve"> C</w:t>
      </w:r>
      <w:r w:rsidR="007F48A9" w:rsidRPr="007F48A9">
        <w:t xml:space="preserve">ity services available to older adults in </w:t>
      </w:r>
      <w:r w:rsidR="007F48A9">
        <w:t>NYC</w:t>
      </w:r>
      <w:r w:rsidR="007F48A9" w:rsidRPr="007F48A9">
        <w:t>. This includes the rate at which older New Yorkers access such services, and how. The Committee is also interested in learning how the City educates and assists older New Yorkers on accessing available services. Lastly, the Committee is interested in learning how the City is preparing to adapt to the aging population. This includes understanding the City’s plan to respond to the changing demographics of the City on a neighborhood-by-neighborhood basis, especially as it relates to creating safe and affordable housing; developing livable communities; ensuring equitable access to services; and supporting the well-being of older New Yorkers.</w:t>
      </w:r>
    </w:p>
    <w:p w14:paraId="56B042ED" w14:textId="322A682E" w:rsidR="00867B3A" w:rsidRDefault="00396C96" w:rsidP="00396C96">
      <w:r>
        <w:br w:type="page"/>
      </w:r>
    </w:p>
    <w:p w14:paraId="287A870E" w14:textId="67DE5002" w:rsidR="000B4933" w:rsidRDefault="00671201" w:rsidP="00AB487C">
      <w:pPr>
        <w:jc w:val="center"/>
      </w:pPr>
      <w:r>
        <w:t xml:space="preserve">Preconsidered </w:t>
      </w:r>
      <w:r w:rsidR="000B4933">
        <w:t>Int. No.</w:t>
      </w:r>
    </w:p>
    <w:p w14:paraId="7F9BFBF9" w14:textId="77777777" w:rsidR="000B4933" w:rsidRDefault="000B4933" w:rsidP="00EB6ADA">
      <w:pPr>
        <w:contextualSpacing/>
        <w:jc w:val="both"/>
      </w:pPr>
    </w:p>
    <w:p w14:paraId="0D8A640D" w14:textId="6700664A" w:rsidR="00671201" w:rsidRDefault="000B4933" w:rsidP="00EB6ADA">
      <w:pPr>
        <w:contextualSpacing/>
        <w:jc w:val="both"/>
      </w:pPr>
      <w:r>
        <w:t>By Council Member</w:t>
      </w:r>
      <w:r w:rsidR="003E6F1E">
        <w:t>s</w:t>
      </w:r>
      <w:r>
        <w:t xml:space="preserve"> Hudson</w:t>
      </w:r>
      <w:r w:rsidR="003E6F1E">
        <w:t>, Richardson Jordan, Lee, Schulman, Brewer, and Avilés</w:t>
      </w:r>
    </w:p>
    <w:p w14:paraId="540076EB" w14:textId="77777777" w:rsidR="00EB6ADA" w:rsidRDefault="00EB6ADA" w:rsidP="00EB6ADA">
      <w:pPr>
        <w:contextualSpacing/>
        <w:jc w:val="both"/>
      </w:pPr>
    </w:p>
    <w:p w14:paraId="3224EE03" w14:textId="2349B308" w:rsidR="000B4933" w:rsidRDefault="00671201" w:rsidP="00EB6ADA">
      <w:pPr>
        <w:pStyle w:val="BodyText"/>
        <w:spacing w:before="80"/>
        <w:contextualSpacing/>
        <w:jc w:val="both"/>
      </w:pPr>
      <w:r>
        <w:t>A Local Law t</w:t>
      </w:r>
      <w:r w:rsidR="000B4933">
        <w:t>o amend the administrative code of the city of New York, in relation to promoting housing stability for seniors by entitling any person who is 60 years of age or older to full legal representation in eviction or termination of tenancy proceedings in housing court, expanding rental arrears assistance for persons 60 years of age or older and establishing a housing support program for persons 60 years of age or older who are at risk of eviction or foreclosure</w:t>
      </w:r>
    </w:p>
    <w:p w14:paraId="5D65F53F" w14:textId="77777777" w:rsidR="00EB6ADA" w:rsidRPr="00EB6ADA" w:rsidRDefault="00EB6ADA" w:rsidP="00EB6ADA">
      <w:pPr>
        <w:pStyle w:val="BodyText"/>
        <w:spacing w:before="80"/>
        <w:contextualSpacing/>
        <w:jc w:val="both"/>
      </w:pPr>
    </w:p>
    <w:p w14:paraId="4DCBA781" w14:textId="77777777" w:rsidR="000B4933" w:rsidRDefault="000B4933" w:rsidP="00EB6ADA">
      <w:pPr>
        <w:contextualSpacing/>
        <w:jc w:val="both"/>
      </w:pPr>
      <w:r>
        <w:rPr>
          <w:u w:val="single"/>
        </w:rPr>
        <w:t>Be it enacted by the Council as follows</w:t>
      </w:r>
      <w:r w:rsidRPr="005B5DE4">
        <w:rPr>
          <w:u w:val="single"/>
        </w:rPr>
        <w:t>:</w:t>
      </w:r>
    </w:p>
    <w:p w14:paraId="18E5E578" w14:textId="77777777" w:rsidR="000B4933" w:rsidRDefault="000B4933" w:rsidP="000B4933">
      <w:pPr>
        <w:jc w:val="both"/>
      </w:pPr>
    </w:p>
    <w:p w14:paraId="46A0EBC2" w14:textId="77777777" w:rsidR="000B4933" w:rsidRDefault="000B4933" w:rsidP="000B4933">
      <w:pPr>
        <w:spacing w:line="480" w:lineRule="auto"/>
        <w:jc w:val="both"/>
        <w:sectPr w:rsidR="000B4933" w:rsidSect="0001534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2681500A" w14:textId="77777777" w:rsidR="000B4933" w:rsidRDefault="000B4933" w:rsidP="000B4933">
      <w:pPr>
        <w:spacing w:line="480" w:lineRule="auto"/>
        <w:ind w:firstLine="720"/>
        <w:jc w:val="both"/>
      </w:pPr>
      <w:r>
        <w:t>Section 1. The definition of the term “income-eligible individual” in section 26-1301 of the administrative code of the city of New York, as added by local law number 136 for the year 2017, is amended to read as follows:</w:t>
      </w:r>
    </w:p>
    <w:p w14:paraId="49E84BF3" w14:textId="77777777" w:rsidR="000B4933" w:rsidRDefault="000B4933" w:rsidP="000B4933">
      <w:pPr>
        <w:spacing w:line="480" w:lineRule="auto"/>
        <w:ind w:firstLine="720"/>
        <w:jc w:val="both"/>
      </w:pPr>
      <w:r>
        <w:t xml:space="preserve">Income-eligible individual. The term “income-eligible individual” means a covered individual </w:t>
      </w:r>
      <w:r>
        <w:rPr>
          <w:u w:val="single"/>
        </w:rPr>
        <w:t>who is 60 years of age or older or</w:t>
      </w:r>
      <w:r w:rsidRPr="0082440C">
        <w:t xml:space="preserve"> </w:t>
      </w:r>
      <w:r>
        <w:t>whose annual gross household income is not in excess of 200 percent of the federal poverty guidelines as updated periodically in the federal register by the United States department of health and human services pursuant to subsection (2) of section 9902 of title 42 of the United States code.</w:t>
      </w:r>
    </w:p>
    <w:p w14:paraId="6FB68B95" w14:textId="77777777" w:rsidR="000B4933" w:rsidRDefault="000B4933" w:rsidP="000B4933">
      <w:pPr>
        <w:spacing w:line="480" w:lineRule="auto"/>
        <w:ind w:firstLine="720"/>
        <w:jc w:val="both"/>
      </w:pPr>
      <w:r w:rsidRPr="005D6CBE">
        <w:t xml:space="preserve">§ 2. </w:t>
      </w:r>
      <w:r>
        <w:t>Chapter 2 of title 21 of the administrative code of the city of New York is amended by adding a new section 21-210 to read as follows:</w:t>
      </w:r>
    </w:p>
    <w:p w14:paraId="4915B8F5" w14:textId="77777777" w:rsidR="000B4933" w:rsidRDefault="000B4933" w:rsidP="000B4933">
      <w:pPr>
        <w:spacing w:line="480" w:lineRule="auto"/>
        <w:ind w:firstLine="720"/>
        <w:jc w:val="both"/>
        <w:rPr>
          <w:u w:val="single"/>
        </w:rPr>
      </w:pPr>
      <w:r w:rsidRPr="00E72D49">
        <w:rPr>
          <w:u w:val="single"/>
        </w:rPr>
        <w:t xml:space="preserve">§ 21-210 </w:t>
      </w:r>
      <w:proofErr w:type="gramStart"/>
      <w:r w:rsidRPr="00E72D49">
        <w:rPr>
          <w:u w:val="single"/>
        </w:rPr>
        <w:t>Financial</w:t>
      </w:r>
      <w:proofErr w:type="gramEnd"/>
      <w:r w:rsidRPr="00E72D49">
        <w:rPr>
          <w:u w:val="single"/>
        </w:rPr>
        <w:t xml:space="preserve"> assistance for rent</w:t>
      </w:r>
      <w:r>
        <w:rPr>
          <w:u w:val="single"/>
        </w:rPr>
        <w:t>al arrears</w:t>
      </w:r>
      <w:r w:rsidRPr="00E72D49">
        <w:rPr>
          <w:u w:val="single"/>
        </w:rPr>
        <w:t xml:space="preserve">. </w:t>
      </w:r>
      <w:r>
        <w:rPr>
          <w:u w:val="single"/>
        </w:rPr>
        <w:t>a. Subject to appropriation and any</w:t>
      </w:r>
      <w:r w:rsidRPr="00E72D49">
        <w:rPr>
          <w:u w:val="single"/>
        </w:rPr>
        <w:t xml:space="preserve"> </w:t>
      </w:r>
      <w:r>
        <w:rPr>
          <w:u w:val="single"/>
        </w:rPr>
        <w:t>applicable</w:t>
      </w:r>
      <w:r w:rsidRPr="00E72D49">
        <w:rPr>
          <w:u w:val="single"/>
        </w:rPr>
        <w:t xml:space="preserve"> requirements of the social services law, the department shall provide financial assistance</w:t>
      </w:r>
      <w:r>
        <w:rPr>
          <w:u w:val="single"/>
        </w:rPr>
        <w:t xml:space="preserve"> for the purpose of paying rental arrears</w:t>
      </w:r>
      <w:r w:rsidRPr="00E72D49">
        <w:rPr>
          <w:u w:val="single"/>
        </w:rPr>
        <w:t xml:space="preserve"> to person</w:t>
      </w:r>
      <w:r>
        <w:rPr>
          <w:u w:val="single"/>
        </w:rPr>
        <w:t>s</w:t>
      </w:r>
      <w:r w:rsidRPr="00E72D49">
        <w:rPr>
          <w:u w:val="single"/>
        </w:rPr>
        <w:t xml:space="preserve"> 6</w:t>
      </w:r>
      <w:r>
        <w:rPr>
          <w:u w:val="single"/>
        </w:rPr>
        <w:t>0</w:t>
      </w:r>
      <w:r w:rsidRPr="00E72D49">
        <w:rPr>
          <w:u w:val="single"/>
        </w:rPr>
        <w:t xml:space="preserve"> years </w:t>
      </w:r>
      <w:r>
        <w:rPr>
          <w:u w:val="single"/>
        </w:rPr>
        <w:t xml:space="preserve">of age </w:t>
      </w:r>
      <w:r w:rsidRPr="00E72D49">
        <w:rPr>
          <w:u w:val="single"/>
        </w:rPr>
        <w:t>or older</w:t>
      </w:r>
      <w:r>
        <w:rPr>
          <w:u w:val="single"/>
        </w:rPr>
        <w:t xml:space="preserve"> who are ineligible to receive other forms of rental arrears assistance. Such assistance shall be given at the discretion of the commissioner upon consideration of need and other factors the commissioner determines are relevant to an applicant’s inability to pay rent.</w:t>
      </w:r>
    </w:p>
    <w:p w14:paraId="61656326" w14:textId="77777777" w:rsidR="000B4933" w:rsidRDefault="000B4933" w:rsidP="000B4933">
      <w:pPr>
        <w:spacing w:line="480" w:lineRule="auto"/>
        <w:ind w:firstLine="720"/>
        <w:jc w:val="both"/>
        <w:rPr>
          <w:u w:val="single"/>
        </w:rPr>
      </w:pPr>
      <w:r>
        <w:rPr>
          <w:u w:val="single"/>
        </w:rPr>
        <w:t>b. The commissioner shall make rules to carry out this section, which shall include, but need not be limited to, provisions establishing eligibility criteria for persons applying for financial assistance, whether and under what circumstances any financial assistance provided must be repaid, and any other terms and conditions of receiving financial assistance.</w:t>
      </w:r>
    </w:p>
    <w:p w14:paraId="099981F9" w14:textId="77777777" w:rsidR="000B4933" w:rsidRDefault="000B4933" w:rsidP="000B4933">
      <w:pPr>
        <w:spacing w:line="480" w:lineRule="auto"/>
        <w:ind w:firstLine="720"/>
        <w:jc w:val="both"/>
      </w:pPr>
      <w:r>
        <w:t>§ 3. Chapter 2 of title 21 of the administrative code of the city of New York is amended by adding a new section 21-211 to read as follows:</w:t>
      </w:r>
    </w:p>
    <w:p w14:paraId="611BE6C7" w14:textId="77777777" w:rsidR="000B4933" w:rsidRDefault="000B4933" w:rsidP="000B4933">
      <w:pPr>
        <w:spacing w:line="480" w:lineRule="auto"/>
        <w:ind w:firstLine="720"/>
        <w:jc w:val="both"/>
        <w:rPr>
          <w:u w:val="single"/>
        </w:rPr>
      </w:pPr>
      <w:r>
        <w:rPr>
          <w:u w:val="single"/>
        </w:rPr>
        <w:t>§ 21-211 Housing support. a. The department shall establish a housing support program for the purpose of helping persons 60 years of age or older who are at risk of eviction or foreclosure identify and access relevant aid and other support to remain in their residence.</w:t>
      </w:r>
    </w:p>
    <w:p w14:paraId="0671386A" w14:textId="77777777" w:rsidR="000B4933" w:rsidRDefault="000B4933" w:rsidP="000B4933">
      <w:pPr>
        <w:spacing w:line="480" w:lineRule="auto"/>
        <w:ind w:firstLine="720"/>
        <w:jc w:val="both"/>
        <w:rPr>
          <w:u w:val="single"/>
        </w:rPr>
      </w:pPr>
      <w:r>
        <w:rPr>
          <w:u w:val="single"/>
        </w:rPr>
        <w:t>b. Such program shall provide case management services designed to provide situation-specific advice and support to each participating person. Such services shall be provided at no cost and, at minimum, include:</w:t>
      </w:r>
    </w:p>
    <w:p w14:paraId="408DDF00" w14:textId="77777777" w:rsidR="000B4933" w:rsidRDefault="000B4933" w:rsidP="000B4933">
      <w:pPr>
        <w:spacing w:line="480" w:lineRule="auto"/>
        <w:ind w:firstLine="720"/>
        <w:jc w:val="both"/>
        <w:rPr>
          <w:u w:val="single"/>
        </w:rPr>
      </w:pPr>
      <w:r>
        <w:rPr>
          <w:u w:val="single"/>
        </w:rPr>
        <w:t>1. An intake session, which may be conducted at the participating person’s residence, for the purpose of identifying and assessing the factors contributing to such person’s risk of eviction or foreclosure, and how such factors could be addressed under relevant assistance, services or programs;</w:t>
      </w:r>
    </w:p>
    <w:p w14:paraId="1DB0C816" w14:textId="77777777" w:rsidR="000B4933" w:rsidRDefault="000B4933" w:rsidP="000B4933">
      <w:pPr>
        <w:spacing w:line="480" w:lineRule="auto"/>
        <w:ind w:firstLine="720"/>
        <w:jc w:val="both"/>
        <w:rPr>
          <w:u w:val="single"/>
        </w:rPr>
      </w:pPr>
      <w:r>
        <w:rPr>
          <w:u w:val="single"/>
        </w:rPr>
        <w:t xml:space="preserve">2. Referrals for assistance, services or programs that could address factors contributing to such person’s risk of eviction or foreclosure; </w:t>
      </w:r>
    </w:p>
    <w:p w14:paraId="21F8B99A" w14:textId="77777777" w:rsidR="000B4933" w:rsidRDefault="000B4933" w:rsidP="000B4933">
      <w:pPr>
        <w:spacing w:line="480" w:lineRule="auto"/>
        <w:ind w:firstLine="720"/>
        <w:jc w:val="both"/>
        <w:rPr>
          <w:u w:val="single"/>
        </w:rPr>
      </w:pPr>
      <w:r>
        <w:rPr>
          <w:u w:val="single"/>
        </w:rPr>
        <w:t>3. Assistance completing applications for financial assistance or enrollment in services or programs; and</w:t>
      </w:r>
    </w:p>
    <w:p w14:paraId="5DF518F8" w14:textId="77777777" w:rsidR="000B4933" w:rsidRDefault="000B4933" w:rsidP="000B4933">
      <w:pPr>
        <w:spacing w:line="480" w:lineRule="auto"/>
        <w:ind w:firstLine="720"/>
        <w:jc w:val="both"/>
        <w:rPr>
          <w:u w:val="single"/>
        </w:rPr>
      </w:pPr>
      <w:r>
        <w:rPr>
          <w:u w:val="single"/>
        </w:rPr>
        <w:t xml:space="preserve">4. Ongoing support to monitor such person’s risk of eviction or foreclosure, the effect of referred assistance, services or programs on reducing or eliminating such risk and any factors contributing to such risk that could be ameliorated with further advice and support.   </w:t>
      </w:r>
    </w:p>
    <w:p w14:paraId="1ECBBBA3" w14:textId="77777777" w:rsidR="000B4933" w:rsidRDefault="000B4933" w:rsidP="000B4933">
      <w:pPr>
        <w:spacing w:line="480" w:lineRule="auto"/>
        <w:ind w:firstLine="720"/>
        <w:jc w:val="both"/>
        <w:rPr>
          <w:u w:val="single"/>
        </w:rPr>
      </w:pPr>
      <w:r>
        <w:rPr>
          <w:u w:val="single"/>
        </w:rPr>
        <w:t xml:space="preserve">c. In assessing a person’s risk for eviction or foreclosure to administer the program required in this section, the department shall consider any relevant factor, including, but not limited to, such person’s health status and whether other persons, including family members, also live in such person’s residence.  </w:t>
      </w:r>
    </w:p>
    <w:p w14:paraId="08EA1204" w14:textId="77777777" w:rsidR="000B4933" w:rsidRDefault="000B4933" w:rsidP="000B4933">
      <w:pPr>
        <w:spacing w:line="480" w:lineRule="auto"/>
        <w:ind w:firstLine="720"/>
        <w:jc w:val="both"/>
        <w:rPr>
          <w:u w:val="single"/>
        </w:rPr>
      </w:pPr>
      <w:r>
        <w:rPr>
          <w:u w:val="single"/>
        </w:rPr>
        <w:t xml:space="preserve">d. In administering the program required in this section, the department shall: </w:t>
      </w:r>
    </w:p>
    <w:p w14:paraId="16C1E6F7" w14:textId="77777777" w:rsidR="000B4933" w:rsidRDefault="000B4933" w:rsidP="000B4933">
      <w:pPr>
        <w:spacing w:line="480" w:lineRule="auto"/>
        <w:ind w:firstLine="720"/>
        <w:jc w:val="both"/>
        <w:rPr>
          <w:u w:val="single"/>
        </w:rPr>
      </w:pPr>
      <w:r>
        <w:rPr>
          <w:u w:val="single"/>
        </w:rPr>
        <w:t>1. Maintain an online portal, accessible to program participants, for the purpose of tracking events and progress of individual cases and storing information relevant to each case;</w:t>
      </w:r>
    </w:p>
    <w:p w14:paraId="27C65E75" w14:textId="77777777" w:rsidR="000B4933" w:rsidRDefault="000B4933" w:rsidP="000B4933">
      <w:pPr>
        <w:spacing w:line="480" w:lineRule="auto"/>
        <w:ind w:firstLine="720"/>
        <w:jc w:val="both"/>
        <w:rPr>
          <w:u w:val="single"/>
        </w:rPr>
      </w:pPr>
      <w:r>
        <w:rPr>
          <w:u w:val="single"/>
        </w:rPr>
        <w:t>2. Operate a help center, accessible to the public, for the purpose of providing in person assistance to persons seeking to enroll or enrolled in such program; and</w:t>
      </w:r>
    </w:p>
    <w:p w14:paraId="00228859" w14:textId="77777777" w:rsidR="000B4933" w:rsidRDefault="000B4933" w:rsidP="000B4933">
      <w:pPr>
        <w:spacing w:line="480" w:lineRule="auto"/>
        <w:ind w:firstLine="720"/>
        <w:jc w:val="both"/>
        <w:rPr>
          <w:u w:val="single"/>
        </w:rPr>
      </w:pPr>
      <w:r>
        <w:rPr>
          <w:u w:val="single"/>
        </w:rPr>
        <w:t>3. Establish a phone number for the purpose of taking questions about the department’s housing support services and providing assistance to persons seeking to enroll or enrolled in such program.</w:t>
      </w:r>
    </w:p>
    <w:p w14:paraId="47D569A4" w14:textId="77777777" w:rsidR="000B4933" w:rsidRDefault="000B4933" w:rsidP="000B4933">
      <w:pPr>
        <w:spacing w:line="480" w:lineRule="auto"/>
        <w:ind w:firstLine="720"/>
        <w:jc w:val="both"/>
        <w:rPr>
          <w:u w:val="single"/>
        </w:rPr>
      </w:pPr>
      <w:r>
        <w:rPr>
          <w:u w:val="single"/>
        </w:rPr>
        <w:t xml:space="preserve">e. The department shall conduct ongoing outreach and education to promote awareness of the program required in this section. Such outreach shall include, but not be limited to, an annual mailing to persons who may benefit from enrollment in such program or who may care for or serve such persons. </w:t>
      </w:r>
    </w:p>
    <w:p w14:paraId="614291F8" w14:textId="77777777" w:rsidR="000B4933" w:rsidRPr="00E72D49" w:rsidRDefault="000B4933" w:rsidP="000B4933">
      <w:pPr>
        <w:spacing w:line="480" w:lineRule="auto"/>
        <w:ind w:firstLine="720"/>
        <w:jc w:val="both"/>
        <w:rPr>
          <w:u w:val="single"/>
        </w:rPr>
      </w:pPr>
      <w:r>
        <w:rPr>
          <w:u w:val="single"/>
        </w:rPr>
        <w:t>f. The department shall administer the program required in this section in accordance with section 23-1102.</w:t>
      </w:r>
    </w:p>
    <w:p w14:paraId="1A88EDB7" w14:textId="7F2F205F" w:rsidR="000B4933" w:rsidRPr="006D66A3" w:rsidRDefault="000B4933" w:rsidP="006D66A3">
      <w:pPr>
        <w:spacing w:line="480" w:lineRule="auto"/>
        <w:ind w:firstLine="720"/>
        <w:jc w:val="both"/>
        <w:rPr>
          <w:u w:val="single"/>
        </w:rPr>
        <w:sectPr w:rsidR="000B4933" w:rsidRPr="006D66A3" w:rsidSect="00DC12FE">
          <w:type w:val="continuous"/>
          <w:pgSz w:w="12240" w:h="15840"/>
          <w:pgMar w:top="1440" w:right="1440" w:bottom="1440" w:left="1440" w:header="720" w:footer="720" w:gutter="0"/>
          <w:lnNumType w:countBy="1"/>
          <w:cols w:space="720"/>
          <w:titlePg/>
          <w:docGrid w:linePitch="360"/>
        </w:sectPr>
      </w:pPr>
      <w:r>
        <w:t>§ 4. This loc</w:t>
      </w:r>
      <w:r w:rsidR="00396C96">
        <w:t>al law takes effect immediately.</w:t>
      </w:r>
    </w:p>
    <w:p w14:paraId="1214397C" w14:textId="77777777" w:rsidR="000B4933" w:rsidRDefault="000B4933" w:rsidP="000B4933">
      <w:pPr>
        <w:jc w:val="both"/>
        <w:rPr>
          <w:sz w:val="18"/>
          <w:szCs w:val="18"/>
        </w:rPr>
      </w:pPr>
    </w:p>
    <w:p w14:paraId="2CEDFFC6" w14:textId="77777777" w:rsidR="000B4933" w:rsidRDefault="000B4933" w:rsidP="000B4933">
      <w:pPr>
        <w:jc w:val="both"/>
        <w:rPr>
          <w:sz w:val="18"/>
          <w:szCs w:val="18"/>
        </w:rPr>
      </w:pPr>
      <w:r>
        <w:rPr>
          <w:sz w:val="18"/>
          <w:szCs w:val="18"/>
        </w:rPr>
        <w:t>NC</w:t>
      </w:r>
    </w:p>
    <w:p w14:paraId="417A0B79" w14:textId="77777777" w:rsidR="000B4933" w:rsidRDefault="000B4933" w:rsidP="000B4933">
      <w:pPr>
        <w:jc w:val="both"/>
        <w:rPr>
          <w:sz w:val="18"/>
          <w:szCs w:val="18"/>
        </w:rPr>
      </w:pPr>
      <w:r>
        <w:rPr>
          <w:sz w:val="18"/>
          <w:szCs w:val="18"/>
        </w:rPr>
        <w:t>LS #6713</w:t>
      </w:r>
    </w:p>
    <w:p w14:paraId="70EC0FD4" w14:textId="77777777" w:rsidR="00396C96" w:rsidRDefault="00236DC5" w:rsidP="00396C96">
      <w:pPr>
        <w:rPr>
          <w:sz w:val="18"/>
          <w:szCs w:val="18"/>
        </w:rPr>
      </w:pPr>
      <w:r>
        <w:rPr>
          <w:sz w:val="18"/>
          <w:szCs w:val="18"/>
        </w:rPr>
        <w:t>8/22/22</w:t>
      </w:r>
    </w:p>
    <w:p w14:paraId="43186A5B" w14:textId="6C11C0BD" w:rsidR="00E31565" w:rsidRPr="00396C96" w:rsidRDefault="00396C96" w:rsidP="00396C96">
      <w:pPr>
        <w:rPr>
          <w:sz w:val="18"/>
          <w:szCs w:val="18"/>
        </w:rPr>
      </w:pPr>
      <w:r>
        <w:rPr>
          <w:sz w:val="18"/>
          <w:szCs w:val="18"/>
        </w:rPr>
        <w:br w:type="page"/>
      </w:r>
    </w:p>
    <w:p w14:paraId="0CD7CE01" w14:textId="7A3DD796" w:rsidR="000C2B12" w:rsidRDefault="00171145" w:rsidP="000C2B12">
      <w:pPr>
        <w:jc w:val="center"/>
      </w:pPr>
      <w:r>
        <w:t xml:space="preserve">Preconsidered </w:t>
      </w:r>
      <w:r w:rsidR="000C2B12">
        <w:t>Int. No.</w:t>
      </w:r>
    </w:p>
    <w:p w14:paraId="719FE554" w14:textId="77777777" w:rsidR="000C2B12" w:rsidRDefault="000C2B12" w:rsidP="000C2B12">
      <w:pPr>
        <w:jc w:val="center"/>
      </w:pPr>
    </w:p>
    <w:p w14:paraId="4E06A666" w14:textId="4DDE39F2" w:rsidR="000C2B12" w:rsidRDefault="000C2B12" w:rsidP="000C2B12">
      <w:pPr>
        <w:jc w:val="both"/>
      </w:pPr>
      <w:r>
        <w:t>By Council Member</w:t>
      </w:r>
      <w:r w:rsidR="003E6F1E">
        <w:t>s</w:t>
      </w:r>
      <w:r>
        <w:t xml:space="preserve"> Hudson</w:t>
      </w:r>
      <w:r w:rsidR="003E6F1E">
        <w:t xml:space="preserve"> Schulman, Lee, Richardson Jordan and Avilés</w:t>
      </w:r>
    </w:p>
    <w:p w14:paraId="0FA68412" w14:textId="77777777" w:rsidR="000C2B12" w:rsidRDefault="000C2B12" w:rsidP="000C2B12">
      <w:pPr>
        <w:jc w:val="both"/>
      </w:pPr>
    </w:p>
    <w:p w14:paraId="702A6D12" w14:textId="37B93E40" w:rsidR="000C2B12" w:rsidRDefault="000C2B12" w:rsidP="000C2B12">
      <w:pPr>
        <w:jc w:val="both"/>
      </w:pPr>
    </w:p>
    <w:p w14:paraId="26A73976" w14:textId="118F432B" w:rsidR="000C2B12" w:rsidRDefault="000C2B12" w:rsidP="000C2B12">
      <w:pPr>
        <w:jc w:val="both"/>
      </w:pPr>
      <w:r>
        <w:t>A Local Law to amend the administrative code of the city of New York, in relation to requiring a know your rights pamphlet for older adults</w:t>
      </w:r>
    </w:p>
    <w:p w14:paraId="40107428" w14:textId="77777777" w:rsidR="000C2B12" w:rsidRDefault="000C2B12" w:rsidP="000C2B12">
      <w:pPr>
        <w:jc w:val="both"/>
      </w:pPr>
    </w:p>
    <w:p w14:paraId="2984E753" w14:textId="2A252382" w:rsidR="00E03DD9" w:rsidRDefault="000C2B12" w:rsidP="006D66A3">
      <w:pPr>
        <w:jc w:val="both"/>
        <w:rPr>
          <w:u w:val="single"/>
        </w:rPr>
      </w:pPr>
      <w:r w:rsidRPr="000C2B12">
        <w:rPr>
          <w:u w:val="single"/>
        </w:rPr>
        <w:t>Be it ena</w:t>
      </w:r>
      <w:r w:rsidR="006D66A3">
        <w:rPr>
          <w:u w:val="single"/>
        </w:rPr>
        <w:t>cted by the Council as follows:</w:t>
      </w:r>
    </w:p>
    <w:p w14:paraId="6DD0004D" w14:textId="77777777" w:rsidR="00AF54A4" w:rsidRPr="006D66A3" w:rsidRDefault="00AF54A4" w:rsidP="006D66A3">
      <w:pPr>
        <w:jc w:val="both"/>
        <w:rPr>
          <w:u w:val="single"/>
        </w:rPr>
      </w:pPr>
    </w:p>
    <w:p w14:paraId="7CBD187B" w14:textId="77777777" w:rsidR="006D66A3" w:rsidRDefault="006D66A3" w:rsidP="00A33997">
      <w:pPr>
        <w:ind w:firstLine="720"/>
        <w:jc w:val="both"/>
        <w:sectPr w:rsidR="006D66A3" w:rsidSect="00E03DD9">
          <w:headerReference w:type="even" r:id="rId21"/>
          <w:headerReference w:type="default" r:id="rId22"/>
          <w:footerReference w:type="even" r:id="rId23"/>
          <w:footerReference w:type="default" r:id="rId24"/>
          <w:headerReference w:type="first" r:id="rId25"/>
          <w:footerReference w:type="first" r:id="rId26"/>
          <w:pgSz w:w="12240" w:h="15840"/>
          <w:pgMar w:top="1354" w:right="1296" w:bottom="1397" w:left="734" w:header="0" w:footer="1224" w:gutter="0"/>
          <w:pgNumType w:start="1"/>
          <w:cols w:space="720"/>
          <w:docGrid w:linePitch="326"/>
        </w:sectPr>
      </w:pPr>
    </w:p>
    <w:p w14:paraId="4B127D92" w14:textId="77777777" w:rsidR="00E03DD9" w:rsidRPr="00E03DD9" w:rsidRDefault="000C2B12" w:rsidP="00E03DD9">
      <w:pPr>
        <w:spacing w:line="480" w:lineRule="auto"/>
        <w:ind w:firstLine="720"/>
        <w:jc w:val="both"/>
      </w:pPr>
      <w:r w:rsidRPr="00E03DD9">
        <w:t>Section 1. Chapter 2 of title 21 of the administrative c</w:t>
      </w:r>
      <w:r w:rsidR="00A33997" w:rsidRPr="00E03DD9">
        <w:t>ode of the city of New York is</w:t>
      </w:r>
      <w:r w:rsidRPr="00E03DD9">
        <w:t xml:space="preserve"> amended by adding a new section 21-210 to read as follo</w:t>
      </w:r>
      <w:r w:rsidR="00A33997" w:rsidRPr="00E03DD9">
        <w:t>ws:</w:t>
      </w:r>
      <w:r w:rsidRPr="00E03DD9">
        <w:t xml:space="preserve"> </w:t>
      </w:r>
    </w:p>
    <w:p w14:paraId="433A4923" w14:textId="76AC4CFD" w:rsidR="00A33997" w:rsidRPr="00E03DD9" w:rsidRDefault="000C2B12" w:rsidP="00E03DD9">
      <w:pPr>
        <w:spacing w:line="480" w:lineRule="auto"/>
        <w:ind w:firstLine="720"/>
        <w:jc w:val="both"/>
        <w:rPr>
          <w:u w:val="single"/>
        </w:rPr>
      </w:pPr>
      <w:r w:rsidRPr="00E03DD9">
        <w:rPr>
          <w:u w:val="single"/>
        </w:rPr>
        <w:t xml:space="preserve">§ 21-210 </w:t>
      </w:r>
      <w:proofErr w:type="gramStart"/>
      <w:r w:rsidRPr="00E03DD9">
        <w:rPr>
          <w:u w:val="single"/>
        </w:rPr>
        <w:t>Older</w:t>
      </w:r>
      <w:proofErr w:type="gramEnd"/>
      <w:r w:rsidRPr="00E03DD9">
        <w:rPr>
          <w:u w:val="single"/>
        </w:rPr>
        <w:t xml:space="preserve"> adults know your rights pamphlet. a. Definitions. For purposes of this 3 section, the following term</w:t>
      </w:r>
      <w:r w:rsidR="00A33997" w:rsidRPr="00E03DD9">
        <w:rPr>
          <w:u w:val="single"/>
        </w:rPr>
        <w:t>s have the following meanings:</w:t>
      </w:r>
      <w:r w:rsidRPr="00E03DD9">
        <w:rPr>
          <w:u w:val="single"/>
        </w:rPr>
        <w:t xml:space="preserve"> </w:t>
      </w:r>
    </w:p>
    <w:p w14:paraId="27185141" w14:textId="4994052E" w:rsidR="00A33997" w:rsidRPr="00E03DD9" w:rsidRDefault="000C2B12" w:rsidP="00E03DD9">
      <w:pPr>
        <w:spacing w:line="480" w:lineRule="auto"/>
        <w:ind w:firstLine="720"/>
        <w:jc w:val="both"/>
        <w:rPr>
          <w:u w:val="single"/>
        </w:rPr>
      </w:pPr>
      <w:r w:rsidRPr="00E03DD9">
        <w:rPr>
          <w:u w:val="single"/>
        </w:rPr>
        <w:t>Designated citywide languages. The term “designated cit</w:t>
      </w:r>
      <w:r w:rsidR="00A33997" w:rsidRPr="00E03DD9">
        <w:rPr>
          <w:u w:val="single"/>
        </w:rPr>
        <w:t>ywide languages” means (</w:t>
      </w:r>
      <w:proofErr w:type="spellStart"/>
      <w:r w:rsidR="00A33997" w:rsidRPr="00E03DD9">
        <w:rPr>
          <w:u w:val="single"/>
        </w:rPr>
        <w:t>i</w:t>
      </w:r>
      <w:proofErr w:type="spellEnd"/>
      <w:r w:rsidR="00A33997" w:rsidRPr="00E03DD9">
        <w:rPr>
          <w:u w:val="single"/>
        </w:rPr>
        <w:t>) the</w:t>
      </w:r>
      <w:r w:rsidRPr="00E03DD9">
        <w:rPr>
          <w:u w:val="single"/>
        </w:rPr>
        <w:t xml:space="preserve"> top six limited English proficiency languages spoken by the </w:t>
      </w:r>
      <w:r w:rsidR="00A33997" w:rsidRPr="00E03DD9">
        <w:rPr>
          <w:u w:val="single"/>
        </w:rPr>
        <w:t>population of New York city as</w:t>
      </w:r>
      <w:r w:rsidRPr="00E03DD9">
        <w:rPr>
          <w:u w:val="single"/>
        </w:rPr>
        <w:t xml:space="preserve"> determined by the department of city planning and the office of the </w:t>
      </w:r>
      <w:r w:rsidR="00A33997" w:rsidRPr="00E03DD9">
        <w:rPr>
          <w:u w:val="single"/>
        </w:rPr>
        <w:t>language services coordinator,</w:t>
      </w:r>
      <w:r w:rsidRPr="00E03DD9">
        <w:rPr>
          <w:u w:val="single"/>
        </w:rPr>
        <w:t xml:space="preserve"> based on United States census data; and (ii) the top four limited English pr</w:t>
      </w:r>
      <w:r w:rsidR="00A33997" w:rsidRPr="00E03DD9">
        <w:rPr>
          <w:u w:val="single"/>
        </w:rPr>
        <w:t>oficiency languages</w:t>
      </w:r>
      <w:r w:rsidRPr="00E03DD9">
        <w:rPr>
          <w:u w:val="single"/>
        </w:rPr>
        <w:t xml:space="preserve"> spoken by the population served or likely to be served by the agenc</w:t>
      </w:r>
      <w:r w:rsidR="00A33997" w:rsidRPr="00E03DD9">
        <w:rPr>
          <w:u w:val="single"/>
        </w:rPr>
        <w:t>ies of the city of New York as</w:t>
      </w:r>
      <w:r w:rsidRPr="00E03DD9">
        <w:rPr>
          <w:u w:val="single"/>
        </w:rPr>
        <w:t xml:space="preserve"> determined by the office of the language services coordinator, </w:t>
      </w:r>
      <w:r w:rsidR="00A33997" w:rsidRPr="00E03DD9">
        <w:rPr>
          <w:u w:val="single"/>
        </w:rPr>
        <w:t>based on language access data</w:t>
      </w:r>
      <w:r w:rsidRPr="00E03DD9">
        <w:rPr>
          <w:u w:val="single"/>
        </w:rPr>
        <w:t xml:space="preserve"> collected by the department of education, excluding the languages designated based on U</w:t>
      </w:r>
      <w:r w:rsidR="00E03DD9">
        <w:rPr>
          <w:u w:val="single"/>
        </w:rPr>
        <w:t>nited</w:t>
      </w:r>
      <w:r w:rsidR="00A33997" w:rsidRPr="00E03DD9">
        <w:rPr>
          <w:u w:val="single"/>
        </w:rPr>
        <w:t xml:space="preserve"> States census data. </w:t>
      </w:r>
    </w:p>
    <w:p w14:paraId="08B55B58" w14:textId="6432DDD8" w:rsidR="00A33997" w:rsidRPr="00E03DD9" w:rsidRDefault="000C2B12" w:rsidP="00E03DD9">
      <w:pPr>
        <w:spacing w:line="480" w:lineRule="auto"/>
        <w:ind w:firstLine="720"/>
        <w:jc w:val="both"/>
        <w:rPr>
          <w:u w:val="single"/>
        </w:rPr>
      </w:pPr>
      <w:r w:rsidRPr="00E03DD9">
        <w:rPr>
          <w:u w:val="single"/>
        </w:rPr>
        <w:t>Naturally occurring retirement community. The term “n</w:t>
      </w:r>
      <w:r w:rsidR="00A33997" w:rsidRPr="00E03DD9">
        <w:rPr>
          <w:u w:val="single"/>
        </w:rPr>
        <w:t>aturally occurring retirement</w:t>
      </w:r>
      <w:r w:rsidRPr="00E03DD9">
        <w:rPr>
          <w:u w:val="single"/>
        </w:rPr>
        <w:t xml:space="preserve"> community” means an apartment building, a housing complex</w:t>
      </w:r>
      <w:r w:rsidR="00A33997" w:rsidRPr="00E03DD9">
        <w:rPr>
          <w:u w:val="single"/>
        </w:rPr>
        <w:t xml:space="preserve"> or a housing development, as</w:t>
      </w:r>
      <w:r w:rsidRPr="00E03DD9">
        <w:rPr>
          <w:u w:val="single"/>
        </w:rPr>
        <w:t xml:space="preserve"> identified by the department, (</w:t>
      </w:r>
      <w:proofErr w:type="spellStart"/>
      <w:r w:rsidRPr="00E03DD9">
        <w:rPr>
          <w:u w:val="single"/>
        </w:rPr>
        <w:t>i</w:t>
      </w:r>
      <w:proofErr w:type="spellEnd"/>
      <w:r w:rsidRPr="00E03DD9">
        <w:rPr>
          <w:u w:val="single"/>
        </w:rPr>
        <w:t>) that was not originally built for o</w:t>
      </w:r>
      <w:r w:rsidR="00A33997" w:rsidRPr="00E03DD9">
        <w:rPr>
          <w:u w:val="single"/>
        </w:rPr>
        <w:t>lder adults, (ii) that is not</w:t>
      </w:r>
      <w:r w:rsidRPr="00E03DD9">
        <w:rPr>
          <w:u w:val="single"/>
        </w:rPr>
        <w:t xml:space="preserve"> restricted in admissions solely to older adults and (iii) where at least </w:t>
      </w:r>
      <w:r w:rsidR="00A33997" w:rsidRPr="00E03DD9">
        <w:rPr>
          <w:u w:val="single"/>
        </w:rPr>
        <w:t xml:space="preserve">2,500 older adults reside or </w:t>
      </w:r>
      <w:r w:rsidRPr="00E03DD9">
        <w:rPr>
          <w:u w:val="single"/>
        </w:rPr>
        <w:t xml:space="preserve">at least 50 percent of the dwelling units are occupied </w:t>
      </w:r>
      <w:r w:rsidR="00E03DD9" w:rsidRPr="00E03DD9">
        <w:rPr>
          <w:u w:val="single"/>
        </w:rPr>
        <w:t>by one or more older adults.</w:t>
      </w:r>
    </w:p>
    <w:p w14:paraId="4FC23D9A" w14:textId="75FB230E" w:rsidR="000C2B12" w:rsidRPr="00E03DD9" w:rsidRDefault="000C2B12" w:rsidP="00E03DD9">
      <w:pPr>
        <w:spacing w:line="480" w:lineRule="auto"/>
        <w:ind w:firstLine="720"/>
        <w:jc w:val="both"/>
        <w:rPr>
          <w:u w:val="single"/>
        </w:rPr>
      </w:pPr>
      <w:r w:rsidRPr="00E03DD9">
        <w:rPr>
          <w:u w:val="single"/>
        </w:rPr>
        <w:t>Older adult. The term “older adult” means an adult who</w:t>
      </w:r>
      <w:r w:rsidR="00A33997" w:rsidRPr="00E03DD9">
        <w:rPr>
          <w:u w:val="single"/>
        </w:rPr>
        <w:t xml:space="preserve"> is 60 years of age or older.</w:t>
      </w:r>
    </w:p>
    <w:p w14:paraId="06EF1B54" w14:textId="77777777" w:rsidR="00A33997" w:rsidRPr="00E03DD9" w:rsidRDefault="000C2B12" w:rsidP="00E03DD9">
      <w:pPr>
        <w:spacing w:line="480" w:lineRule="auto"/>
        <w:ind w:firstLine="720"/>
        <w:jc w:val="both"/>
        <w:rPr>
          <w:u w:val="single"/>
        </w:rPr>
      </w:pPr>
      <w:r w:rsidRPr="00E03DD9">
        <w:rPr>
          <w:u w:val="single"/>
        </w:rPr>
        <w:t>Relevant agencies. The term “relevant agencies” means t</w:t>
      </w:r>
      <w:r w:rsidR="00A33997" w:rsidRPr="00E03DD9">
        <w:rPr>
          <w:u w:val="single"/>
        </w:rPr>
        <w:t>he commission on human rights,</w:t>
      </w:r>
      <w:r w:rsidRPr="00E03DD9">
        <w:rPr>
          <w:u w:val="single"/>
        </w:rPr>
        <w:t xml:space="preserve"> the department of consumer and worker protection, the department</w:t>
      </w:r>
      <w:r w:rsidR="00A33997" w:rsidRPr="00E03DD9">
        <w:rPr>
          <w:u w:val="single"/>
        </w:rPr>
        <w:t xml:space="preserve"> of health and mental hygiene,</w:t>
      </w:r>
      <w:r w:rsidRPr="00E03DD9">
        <w:rPr>
          <w:u w:val="single"/>
        </w:rPr>
        <w:t xml:space="preserve"> the department of housing preservation and development, the depar</w:t>
      </w:r>
      <w:r w:rsidR="00A33997" w:rsidRPr="00E03DD9">
        <w:rPr>
          <w:u w:val="single"/>
        </w:rPr>
        <w:t>tment of parks and recreation,</w:t>
      </w:r>
      <w:r w:rsidRPr="00E03DD9">
        <w:rPr>
          <w:u w:val="single"/>
        </w:rPr>
        <w:t xml:space="preserve"> the department of social services, the department of youth </w:t>
      </w:r>
      <w:r w:rsidR="00A33997" w:rsidRPr="00E03DD9">
        <w:rPr>
          <w:u w:val="single"/>
        </w:rPr>
        <w:t>and community development, the</w:t>
      </w:r>
      <w:r w:rsidRPr="00E03DD9">
        <w:rPr>
          <w:u w:val="single"/>
        </w:rPr>
        <w:t xml:space="preserve"> mayor’s office for people with disabilities, the mayor’s office of i</w:t>
      </w:r>
      <w:r w:rsidR="00A33997" w:rsidRPr="00E03DD9">
        <w:rPr>
          <w:u w:val="single"/>
        </w:rPr>
        <w:t>mmigrant affairs and any other</w:t>
      </w:r>
      <w:r w:rsidRPr="00E03DD9">
        <w:rPr>
          <w:u w:val="single"/>
        </w:rPr>
        <w:t xml:space="preserve"> agency that th</w:t>
      </w:r>
      <w:r w:rsidR="00A33997" w:rsidRPr="00E03DD9">
        <w:rPr>
          <w:u w:val="single"/>
        </w:rPr>
        <w:t>e commissioner deems relevant.</w:t>
      </w:r>
      <w:r w:rsidRPr="00E03DD9">
        <w:rPr>
          <w:u w:val="single"/>
        </w:rPr>
        <w:t xml:space="preserve"> </w:t>
      </w:r>
    </w:p>
    <w:p w14:paraId="03F21807" w14:textId="77777777" w:rsidR="00A33997" w:rsidRPr="00E03DD9" w:rsidRDefault="000C2B12" w:rsidP="00E03DD9">
      <w:pPr>
        <w:spacing w:line="480" w:lineRule="auto"/>
        <w:ind w:firstLine="720"/>
        <w:jc w:val="both"/>
        <w:rPr>
          <w:u w:val="single"/>
        </w:rPr>
      </w:pPr>
      <w:r w:rsidRPr="00E03DD9">
        <w:rPr>
          <w:u w:val="single"/>
        </w:rPr>
        <w:t xml:space="preserve">b. Pamphlet. The commissioner, in consultation with </w:t>
      </w:r>
      <w:r w:rsidR="00A33997" w:rsidRPr="00E03DD9">
        <w:rPr>
          <w:u w:val="single"/>
        </w:rPr>
        <w:t>relevant agencies and relevant</w:t>
      </w:r>
      <w:r w:rsidRPr="00E03DD9">
        <w:rPr>
          <w:u w:val="single"/>
        </w:rPr>
        <w:t xml:space="preserve"> community-based organizations, shall create and maintain a c</w:t>
      </w:r>
      <w:r w:rsidR="00A33997" w:rsidRPr="00E03DD9">
        <w:rPr>
          <w:u w:val="single"/>
        </w:rPr>
        <w:t>ulturally appropriate pamphlet</w:t>
      </w:r>
      <w:r w:rsidRPr="00E03DD9">
        <w:rPr>
          <w:u w:val="single"/>
        </w:rPr>
        <w:t xml:space="preserve"> written in plain English to educate older adults about their rights in top</w:t>
      </w:r>
      <w:r w:rsidR="00A33997" w:rsidRPr="00E03DD9">
        <w:rPr>
          <w:u w:val="single"/>
        </w:rPr>
        <w:t>ics including, but not limited</w:t>
      </w:r>
      <w:r w:rsidRPr="00E03DD9">
        <w:rPr>
          <w:u w:val="single"/>
        </w:rPr>
        <w:t xml:space="preserve"> to, age discrimination, deed theft, digital resources, elder abuse, emergency preparedne</w:t>
      </w:r>
      <w:r w:rsidR="00A33997" w:rsidRPr="00E03DD9">
        <w:rPr>
          <w:u w:val="single"/>
        </w:rPr>
        <w:t>ss and</w:t>
      </w:r>
      <w:r w:rsidRPr="00E03DD9">
        <w:rPr>
          <w:u w:val="single"/>
        </w:rPr>
        <w:t xml:space="preserve"> response, food security, health care and insurance, home care, h</w:t>
      </w:r>
      <w:r w:rsidR="00A33997" w:rsidRPr="00E03DD9">
        <w:rPr>
          <w:u w:val="single"/>
        </w:rPr>
        <w:t>ousing accommodations, living</w:t>
      </w:r>
      <w:r w:rsidRPr="00E03DD9">
        <w:rPr>
          <w:u w:val="single"/>
        </w:rPr>
        <w:t xml:space="preserve"> wills and transportation. Such pamphlet shall (</w:t>
      </w:r>
      <w:proofErr w:type="spellStart"/>
      <w:r w:rsidRPr="00E03DD9">
        <w:rPr>
          <w:u w:val="single"/>
        </w:rPr>
        <w:t>i</w:t>
      </w:r>
      <w:proofErr w:type="spellEnd"/>
      <w:r w:rsidRPr="00E03DD9">
        <w:rPr>
          <w:u w:val="single"/>
        </w:rPr>
        <w:t xml:space="preserve">) describe each such </w:t>
      </w:r>
      <w:r w:rsidR="00A33997" w:rsidRPr="00E03DD9">
        <w:rPr>
          <w:u w:val="single"/>
        </w:rPr>
        <w:t>topic and the rights of older</w:t>
      </w:r>
      <w:r w:rsidRPr="00E03DD9">
        <w:rPr>
          <w:u w:val="single"/>
        </w:rPr>
        <w:t xml:space="preserve"> adults regarding such topic and (ii) provide the name, address, conta</w:t>
      </w:r>
      <w:r w:rsidR="00A33997" w:rsidRPr="00E03DD9">
        <w:rPr>
          <w:u w:val="single"/>
        </w:rPr>
        <w:t>ct information and website of</w:t>
      </w:r>
      <w:r w:rsidRPr="00E03DD9">
        <w:rPr>
          <w:u w:val="single"/>
        </w:rPr>
        <w:t xml:space="preserve"> the relevant agency and the relevant community-based organization th</w:t>
      </w:r>
      <w:r w:rsidR="00A33997" w:rsidRPr="00E03DD9">
        <w:rPr>
          <w:u w:val="single"/>
        </w:rPr>
        <w:t>at an older adult may contact</w:t>
      </w:r>
      <w:r w:rsidRPr="00E03DD9">
        <w:rPr>
          <w:u w:val="single"/>
        </w:rPr>
        <w:t xml:space="preserve"> to obtain additional information to address such rights. The commiss</w:t>
      </w:r>
      <w:r w:rsidR="00A33997" w:rsidRPr="00E03DD9">
        <w:rPr>
          <w:u w:val="single"/>
        </w:rPr>
        <w:t xml:space="preserve">ioner shall post, and update </w:t>
      </w:r>
      <w:r w:rsidRPr="00E03DD9">
        <w:rPr>
          <w:u w:val="single"/>
        </w:rPr>
        <w:t>as necessary, such pamphlet on the department’s website and make it</w:t>
      </w:r>
      <w:r w:rsidR="00A33997" w:rsidRPr="00E03DD9">
        <w:rPr>
          <w:u w:val="single"/>
        </w:rPr>
        <w:t xml:space="preserve"> available in the designated </w:t>
      </w:r>
      <w:r w:rsidRPr="00E03DD9">
        <w:rPr>
          <w:u w:val="single"/>
        </w:rPr>
        <w:t>citywide languages. Such pamphlet shall also be posted on the webs</w:t>
      </w:r>
      <w:r w:rsidR="00A33997" w:rsidRPr="00E03DD9">
        <w:rPr>
          <w:u w:val="single"/>
        </w:rPr>
        <w:t xml:space="preserve">ite of each relevant agency, </w:t>
      </w:r>
      <w:r w:rsidRPr="00E03DD9">
        <w:rPr>
          <w:u w:val="single"/>
        </w:rPr>
        <w:t xml:space="preserve">the 311 citizen center website, and other city websites or </w:t>
      </w:r>
      <w:r w:rsidR="00A33997" w:rsidRPr="00E03DD9">
        <w:rPr>
          <w:u w:val="single"/>
        </w:rPr>
        <w:t>platforms as appropriate.</w:t>
      </w:r>
    </w:p>
    <w:p w14:paraId="572760B9" w14:textId="5A18E356" w:rsidR="000C2B12" w:rsidRPr="00E03DD9" w:rsidRDefault="000C2B12" w:rsidP="00E03DD9">
      <w:pPr>
        <w:spacing w:line="480" w:lineRule="auto"/>
        <w:ind w:firstLine="720"/>
        <w:jc w:val="both"/>
        <w:rPr>
          <w:u w:val="single"/>
        </w:rPr>
      </w:pPr>
      <w:r w:rsidRPr="00E03DD9">
        <w:rPr>
          <w:u w:val="single"/>
        </w:rPr>
        <w:t>c. Outreach. Beginning no later than 30 days after the commis</w:t>
      </w:r>
      <w:r w:rsidR="00A33997" w:rsidRPr="00E03DD9">
        <w:rPr>
          <w:u w:val="single"/>
        </w:rPr>
        <w:t>sioner publishes the pamphlet</w:t>
      </w:r>
      <w:r w:rsidRPr="00E03DD9">
        <w:rPr>
          <w:u w:val="single"/>
        </w:rPr>
        <w:t xml:space="preserve"> as required by subdivision b of this section, and continuing the</w:t>
      </w:r>
      <w:r w:rsidR="00A33997" w:rsidRPr="00E03DD9">
        <w:rPr>
          <w:u w:val="single"/>
        </w:rPr>
        <w:t>reafter, the commissioner, in</w:t>
      </w:r>
      <w:r w:rsidRPr="00E03DD9">
        <w:rPr>
          <w:u w:val="single"/>
        </w:rPr>
        <w:t xml:space="preserve"> collaboration with relevant agencies</w:t>
      </w:r>
      <w:r w:rsidR="00837B26" w:rsidRPr="00E03DD9">
        <w:rPr>
          <w:u w:val="single"/>
        </w:rPr>
        <w:t xml:space="preserve"> </w:t>
      </w:r>
      <w:r w:rsidRPr="00E03DD9">
        <w:rPr>
          <w:u w:val="single"/>
        </w:rPr>
        <w:t xml:space="preserve">and relevant community-based </w:t>
      </w:r>
      <w:r w:rsidR="00A33997" w:rsidRPr="00E03DD9">
        <w:rPr>
          <w:u w:val="single"/>
        </w:rPr>
        <w:t xml:space="preserve">organizations, shall conduct </w:t>
      </w:r>
      <w:r w:rsidRPr="00E03DD9">
        <w:rPr>
          <w:u w:val="single"/>
        </w:rPr>
        <w:t>culturally appropriate outreach on such pamphlet in the desig</w:t>
      </w:r>
      <w:r w:rsidR="00A33997" w:rsidRPr="00E03DD9">
        <w:rPr>
          <w:u w:val="single"/>
        </w:rPr>
        <w:t>nated citywide languages. Such</w:t>
      </w:r>
      <w:r w:rsidRPr="00E03DD9">
        <w:rPr>
          <w:u w:val="single"/>
        </w:rPr>
        <w:t xml:space="preserve"> outreach shall include, but need no</w:t>
      </w:r>
      <w:r w:rsidR="00A33997" w:rsidRPr="00E03DD9">
        <w:rPr>
          <w:u w:val="single"/>
        </w:rPr>
        <w:t>t be limited to, the following:</w:t>
      </w:r>
    </w:p>
    <w:p w14:paraId="682ED898" w14:textId="5C25B073" w:rsidR="00A33997" w:rsidRPr="00E03DD9" w:rsidRDefault="000C2B12" w:rsidP="00E03DD9">
      <w:pPr>
        <w:spacing w:line="480" w:lineRule="auto"/>
        <w:ind w:firstLine="720"/>
        <w:jc w:val="both"/>
        <w:rPr>
          <w:u w:val="single"/>
        </w:rPr>
      </w:pPr>
      <w:r w:rsidRPr="00E03DD9">
        <w:rPr>
          <w:u w:val="single"/>
        </w:rPr>
        <w:t>1. Mailing such pamphlet to each older adult in the cit</w:t>
      </w:r>
      <w:r w:rsidR="00A33997" w:rsidRPr="00E03DD9">
        <w:rPr>
          <w:u w:val="single"/>
        </w:rPr>
        <w:t>y who receives services from a</w:t>
      </w:r>
      <w:r w:rsidRPr="00E03DD9">
        <w:rPr>
          <w:u w:val="single"/>
        </w:rPr>
        <w:t xml:space="preserve"> relevant ag</w:t>
      </w:r>
      <w:r w:rsidR="00A33997" w:rsidRPr="00E03DD9">
        <w:rPr>
          <w:u w:val="single"/>
        </w:rPr>
        <w:t xml:space="preserve">ency, to the extent feasible; </w:t>
      </w:r>
    </w:p>
    <w:p w14:paraId="6C59ECDA" w14:textId="77777777" w:rsidR="00A33997" w:rsidRPr="00E03DD9" w:rsidRDefault="000C2B12" w:rsidP="00E03DD9">
      <w:pPr>
        <w:spacing w:line="480" w:lineRule="auto"/>
        <w:ind w:firstLine="720"/>
        <w:jc w:val="both"/>
        <w:rPr>
          <w:u w:val="single"/>
        </w:rPr>
      </w:pPr>
      <w:r w:rsidRPr="00E03DD9">
        <w:rPr>
          <w:u w:val="single"/>
        </w:rPr>
        <w:t>2. Conducting information</w:t>
      </w:r>
      <w:r w:rsidR="00A33997" w:rsidRPr="00E03DD9">
        <w:rPr>
          <w:u w:val="single"/>
        </w:rPr>
        <w:t>al sessions on such pamphlet;</w:t>
      </w:r>
    </w:p>
    <w:p w14:paraId="3647C2C6" w14:textId="66A526E6" w:rsidR="00A33997" w:rsidRPr="00E03DD9" w:rsidRDefault="000C2B12" w:rsidP="00E03DD9">
      <w:pPr>
        <w:spacing w:line="480" w:lineRule="auto"/>
        <w:ind w:firstLine="720"/>
        <w:jc w:val="both"/>
        <w:rPr>
          <w:u w:val="single"/>
        </w:rPr>
      </w:pPr>
      <w:r w:rsidRPr="00E03DD9">
        <w:rPr>
          <w:u w:val="single"/>
        </w:rPr>
        <w:t>3. Providing such pamphlet to organizations and institutions in</w:t>
      </w:r>
      <w:r w:rsidR="00A33997" w:rsidRPr="00E03DD9">
        <w:rPr>
          <w:u w:val="single"/>
        </w:rPr>
        <w:t xml:space="preserve"> the city serving older adults, </w:t>
      </w:r>
      <w:r w:rsidRPr="00E03DD9">
        <w:rPr>
          <w:u w:val="single"/>
        </w:rPr>
        <w:t>including, but not limited to, community centers, food pantries,</w:t>
      </w:r>
      <w:r w:rsidR="00A33997" w:rsidRPr="00E03DD9">
        <w:rPr>
          <w:u w:val="single"/>
        </w:rPr>
        <w:t xml:space="preserve"> medical facilities, naturally</w:t>
      </w:r>
      <w:r w:rsidRPr="00E03DD9">
        <w:rPr>
          <w:u w:val="single"/>
        </w:rPr>
        <w:t xml:space="preserve"> occurring retirement communities, New York city housing authority</w:t>
      </w:r>
      <w:r w:rsidR="00E03DD9" w:rsidRPr="00E03DD9">
        <w:rPr>
          <w:u w:val="single"/>
        </w:rPr>
        <w:t xml:space="preserve"> buildings, relevant agencies,</w:t>
      </w:r>
      <w:r w:rsidRPr="00E03DD9">
        <w:rPr>
          <w:u w:val="single"/>
        </w:rPr>
        <w:t xml:space="preserve"> relevant community-based organizations and older adult cent</w:t>
      </w:r>
      <w:r w:rsidR="00A33997" w:rsidRPr="00E03DD9">
        <w:rPr>
          <w:u w:val="single"/>
        </w:rPr>
        <w:t>ers; and</w:t>
      </w:r>
    </w:p>
    <w:p w14:paraId="308C6D7E" w14:textId="6DCC2E72" w:rsidR="00A33997" w:rsidRPr="00E03DD9" w:rsidRDefault="000C2B12" w:rsidP="00E03DD9">
      <w:pPr>
        <w:spacing w:line="480" w:lineRule="auto"/>
        <w:ind w:firstLine="720"/>
        <w:jc w:val="both"/>
        <w:rPr>
          <w:u w:val="single"/>
        </w:rPr>
      </w:pPr>
      <w:r w:rsidRPr="00E03DD9">
        <w:rPr>
          <w:u w:val="single"/>
        </w:rPr>
        <w:t>4. Conducting targeted outreach regarding such pamphlet to</w:t>
      </w:r>
      <w:r w:rsidR="00A33997" w:rsidRPr="00E03DD9">
        <w:rPr>
          <w:u w:val="single"/>
        </w:rPr>
        <w:t xml:space="preserve"> paid care workers and informal caregivers of older adults.</w:t>
      </w:r>
    </w:p>
    <w:p w14:paraId="7EE95E68" w14:textId="77777777" w:rsidR="00E03DD9" w:rsidRPr="00E03DD9" w:rsidRDefault="000C2B12" w:rsidP="00E03DD9">
      <w:pPr>
        <w:spacing w:line="480" w:lineRule="auto"/>
        <w:ind w:firstLine="720"/>
        <w:jc w:val="both"/>
        <w:rPr>
          <w:u w:val="single"/>
        </w:rPr>
      </w:pPr>
      <w:r w:rsidRPr="00E03DD9">
        <w:rPr>
          <w:u w:val="single"/>
        </w:rPr>
        <w:t>d. Report. Beginning no later than one year after the comm</w:t>
      </w:r>
      <w:r w:rsidR="00E03DD9" w:rsidRPr="00E03DD9">
        <w:rPr>
          <w:u w:val="single"/>
        </w:rPr>
        <w:t>issioner publishes the pamphlet</w:t>
      </w:r>
      <w:r w:rsidRPr="00E03DD9">
        <w:rPr>
          <w:u w:val="single"/>
        </w:rPr>
        <w:t xml:space="preserve"> as required by subdivision b of this section, and annually thereafter, </w:t>
      </w:r>
      <w:r w:rsidR="00E03DD9" w:rsidRPr="00E03DD9">
        <w:rPr>
          <w:u w:val="single"/>
        </w:rPr>
        <w:t>the commissioner shall report</w:t>
      </w:r>
      <w:r w:rsidRPr="00E03DD9">
        <w:rPr>
          <w:u w:val="single"/>
        </w:rPr>
        <w:t xml:space="preserve"> on the department’s outreach efforts as required by subdivision c of t</w:t>
      </w:r>
      <w:r w:rsidR="00E03DD9" w:rsidRPr="00E03DD9">
        <w:rPr>
          <w:u w:val="single"/>
        </w:rPr>
        <w:t>his section. The commissioner</w:t>
      </w:r>
      <w:r w:rsidRPr="00E03DD9">
        <w:rPr>
          <w:u w:val="single"/>
        </w:rPr>
        <w:t xml:space="preserve"> shall submit such report to the mayor and the speaker of the council and post such re</w:t>
      </w:r>
      <w:r w:rsidR="00E03DD9" w:rsidRPr="00E03DD9">
        <w:rPr>
          <w:u w:val="single"/>
        </w:rPr>
        <w:t>port on the</w:t>
      </w:r>
      <w:r w:rsidRPr="00E03DD9">
        <w:rPr>
          <w:u w:val="single"/>
        </w:rPr>
        <w:t xml:space="preserve"> department’s website. The annual report shall include, but need not</w:t>
      </w:r>
      <w:r w:rsidR="00E03DD9" w:rsidRPr="00E03DD9">
        <w:rPr>
          <w:u w:val="single"/>
        </w:rPr>
        <w:t xml:space="preserve"> be limited to, the following</w:t>
      </w:r>
      <w:r w:rsidRPr="00E03DD9">
        <w:rPr>
          <w:u w:val="single"/>
        </w:rPr>
        <w:t xml:space="preserve"> infor</w:t>
      </w:r>
      <w:r w:rsidR="00E03DD9" w:rsidRPr="00E03DD9">
        <w:rPr>
          <w:u w:val="single"/>
        </w:rPr>
        <w:t xml:space="preserve">mation for the previous year: </w:t>
      </w:r>
      <w:r w:rsidRPr="00E03DD9">
        <w:rPr>
          <w:u w:val="single"/>
        </w:rPr>
        <w:t xml:space="preserve"> </w:t>
      </w:r>
    </w:p>
    <w:p w14:paraId="11CB4B78" w14:textId="77777777" w:rsidR="00E03DD9" w:rsidRPr="00E03DD9" w:rsidRDefault="000C2B12" w:rsidP="00E03DD9">
      <w:pPr>
        <w:spacing w:line="480" w:lineRule="auto"/>
        <w:ind w:firstLine="720"/>
        <w:jc w:val="both"/>
        <w:rPr>
          <w:u w:val="single"/>
        </w:rPr>
      </w:pPr>
      <w:r w:rsidRPr="00E03DD9">
        <w:rPr>
          <w:u w:val="single"/>
        </w:rPr>
        <w:t>1. The number of downloads of the pamphlet f</w:t>
      </w:r>
      <w:r w:rsidR="00E03DD9" w:rsidRPr="00E03DD9">
        <w:rPr>
          <w:u w:val="single"/>
        </w:rPr>
        <w:t>rom the department’s website;</w:t>
      </w:r>
      <w:r w:rsidRPr="00E03DD9">
        <w:rPr>
          <w:u w:val="single"/>
        </w:rPr>
        <w:t xml:space="preserve"> </w:t>
      </w:r>
    </w:p>
    <w:p w14:paraId="18BADEC1" w14:textId="77777777" w:rsidR="00E03DD9" w:rsidRPr="00E03DD9" w:rsidRDefault="000C2B12" w:rsidP="00E03DD9">
      <w:pPr>
        <w:spacing w:line="480" w:lineRule="auto"/>
        <w:ind w:firstLine="720"/>
        <w:jc w:val="both"/>
        <w:rPr>
          <w:u w:val="single"/>
        </w:rPr>
      </w:pPr>
      <w:r w:rsidRPr="00E03DD9">
        <w:rPr>
          <w:u w:val="single"/>
        </w:rPr>
        <w:t>2. The number of pamphlets</w:t>
      </w:r>
      <w:r w:rsidR="00E03DD9" w:rsidRPr="00E03DD9">
        <w:rPr>
          <w:u w:val="single"/>
        </w:rPr>
        <w:t xml:space="preserve"> mailed to older adults;</w:t>
      </w:r>
    </w:p>
    <w:p w14:paraId="511BC68A" w14:textId="77777777" w:rsidR="00E03DD9" w:rsidRPr="00E03DD9" w:rsidRDefault="000C2B12" w:rsidP="00E03DD9">
      <w:pPr>
        <w:spacing w:line="480" w:lineRule="auto"/>
        <w:ind w:firstLine="720"/>
        <w:jc w:val="both"/>
        <w:rPr>
          <w:u w:val="single"/>
        </w:rPr>
      </w:pPr>
      <w:r w:rsidRPr="00E03DD9">
        <w:rPr>
          <w:u w:val="single"/>
        </w:rPr>
        <w:t>3. The number of informational session</w:t>
      </w:r>
      <w:r w:rsidR="00E03DD9" w:rsidRPr="00E03DD9">
        <w:rPr>
          <w:u w:val="single"/>
        </w:rPr>
        <w:t>s conducted on the pamphlet;</w:t>
      </w:r>
    </w:p>
    <w:p w14:paraId="0D1BB17C" w14:textId="77777777" w:rsidR="00E03DD9" w:rsidRPr="00E03DD9" w:rsidRDefault="000C2B12" w:rsidP="00E03DD9">
      <w:pPr>
        <w:spacing w:line="480" w:lineRule="auto"/>
        <w:ind w:firstLine="720"/>
        <w:jc w:val="both"/>
        <w:rPr>
          <w:u w:val="single"/>
        </w:rPr>
      </w:pPr>
      <w:r w:rsidRPr="00E03DD9">
        <w:rPr>
          <w:u w:val="single"/>
        </w:rPr>
        <w:t>4. The number of pamphlets provided to organizations and instit</w:t>
      </w:r>
      <w:r w:rsidR="00E03DD9" w:rsidRPr="00E03DD9">
        <w:rPr>
          <w:u w:val="single"/>
        </w:rPr>
        <w:t>utions serving older adults;</w:t>
      </w:r>
    </w:p>
    <w:p w14:paraId="3E0A90F1" w14:textId="77777777" w:rsidR="00E03DD9" w:rsidRPr="00E03DD9" w:rsidRDefault="000C2B12" w:rsidP="00E03DD9">
      <w:pPr>
        <w:spacing w:line="480" w:lineRule="auto"/>
        <w:ind w:firstLine="720"/>
        <w:jc w:val="both"/>
        <w:rPr>
          <w:u w:val="single"/>
        </w:rPr>
      </w:pPr>
      <w:r w:rsidRPr="00E03DD9">
        <w:rPr>
          <w:u w:val="single"/>
        </w:rPr>
        <w:t>5. The targeted outreach regarding the pamphlet to paid care workers and informal 20 car</w:t>
      </w:r>
      <w:r w:rsidR="00E03DD9" w:rsidRPr="00E03DD9">
        <w:rPr>
          <w:u w:val="single"/>
        </w:rPr>
        <w:t>egivers of older adults; and</w:t>
      </w:r>
    </w:p>
    <w:p w14:paraId="31ADF61B" w14:textId="77777777" w:rsidR="00E03DD9" w:rsidRPr="00E03DD9" w:rsidRDefault="000C2B12" w:rsidP="00E03DD9">
      <w:pPr>
        <w:spacing w:line="480" w:lineRule="auto"/>
        <w:ind w:firstLine="720"/>
        <w:jc w:val="both"/>
        <w:rPr>
          <w:u w:val="single"/>
        </w:rPr>
      </w:pPr>
      <w:r w:rsidRPr="00E03DD9">
        <w:rPr>
          <w:u w:val="single"/>
        </w:rPr>
        <w:t>6. Any recommendations to im</w:t>
      </w:r>
      <w:r w:rsidR="00E03DD9" w:rsidRPr="00E03DD9">
        <w:rPr>
          <w:u w:val="single"/>
        </w:rPr>
        <w:t>prove such outreach efforts.</w:t>
      </w:r>
    </w:p>
    <w:p w14:paraId="7795F1FC" w14:textId="477B6D1D" w:rsidR="00E03DD9" w:rsidRPr="00E03DD9" w:rsidRDefault="000C2B12" w:rsidP="00E03DD9">
      <w:pPr>
        <w:spacing w:line="480" w:lineRule="auto"/>
        <w:ind w:firstLine="720"/>
        <w:jc w:val="both"/>
        <w:sectPr w:rsidR="00E03DD9" w:rsidRPr="00E03DD9" w:rsidSect="00E03DD9">
          <w:type w:val="continuous"/>
          <w:pgSz w:w="12240" w:h="15840" w:code="1"/>
          <w:pgMar w:top="1354" w:right="1296" w:bottom="1397" w:left="1440" w:header="0" w:footer="1224" w:gutter="0"/>
          <w:lnNumType w:countBy="1" w:restart="continuous"/>
          <w:pgNumType w:start="1"/>
          <w:cols w:space="720"/>
          <w:docGrid w:linePitch="326"/>
        </w:sectPr>
      </w:pPr>
      <w:r>
        <w:t>§ 2. This local law takes effect</w:t>
      </w:r>
      <w:r w:rsidR="00E03DD9">
        <w:t xml:space="preserve"> 60 days after it becomes law.</w:t>
      </w:r>
    </w:p>
    <w:p w14:paraId="706EA3A5" w14:textId="2D496B2B" w:rsidR="000C2B12" w:rsidRPr="00E03DD9" w:rsidRDefault="000C2B12" w:rsidP="001073FB">
      <w:pPr>
        <w:ind w:left="720"/>
        <w:jc w:val="both"/>
        <w:rPr>
          <w:sz w:val="18"/>
          <w:szCs w:val="18"/>
        </w:rPr>
      </w:pPr>
      <w:r w:rsidRPr="00E03DD9">
        <w:rPr>
          <w:sz w:val="18"/>
          <w:szCs w:val="18"/>
        </w:rPr>
        <w:t>NLB</w:t>
      </w:r>
    </w:p>
    <w:p w14:paraId="5F88E2FB" w14:textId="77777777" w:rsidR="000C2B12" w:rsidRPr="00E03DD9" w:rsidRDefault="000C2B12" w:rsidP="001073FB">
      <w:pPr>
        <w:ind w:left="720"/>
        <w:jc w:val="both"/>
        <w:rPr>
          <w:sz w:val="18"/>
          <w:szCs w:val="18"/>
        </w:rPr>
      </w:pPr>
      <w:r w:rsidRPr="00E03DD9">
        <w:rPr>
          <w:sz w:val="18"/>
          <w:szCs w:val="18"/>
        </w:rPr>
        <w:t>LS #7944</w:t>
      </w:r>
    </w:p>
    <w:p w14:paraId="7847D5F2" w14:textId="2178A2B5" w:rsidR="005A7031" w:rsidRPr="005A7031" w:rsidRDefault="000C2B12" w:rsidP="005A7031">
      <w:pPr>
        <w:ind w:left="720"/>
        <w:jc w:val="both"/>
        <w:rPr>
          <w:sz w:val="18"/>
          <w:szCs w:val="18"/>
        </w:rPr>
      </w:pPr>
      <w:r w:rsidRPr="00E03DD9">
        <w:rPr>
          <w:sz w:val="18"/>
          <w:szCs w:val="18"/>
        </w:rPr>
        <w:t>7/1/2022</w:t>
      </w:r>
    </w:p>
    <w:p w14:paraId="13934288" w14:textId="77777777" w:rsidR="00396C96" w:rsidRDefault="00396C96" w:rsidP="00171145"/>
    <w:p w14:paraId="2E397B2F" w14:textId="7F97A04E" w:rsidR="00171145" w:rsidRDefault="00396C96" w:rsidP="00171145">
      <w:r>
        <w:br w:type="page"/>
      </w:r>
    </w:p>
    <w:p w14:paraId="3438F07B" w14:textId="258065F0" w:rsidR="00236DC5" w:rsidRDefault="00905329" w:rsidP="00396C96">
      <w:pPr>
        <w:jc w:val="center"/>
      </w:pPr>
      <w:r>
        <w:t xml:space="preserve">Preconsidered </w:t>
      </w:r>
      <w:r w:rsidR="00236DC5">
        <w:t>Int. No.</w:t>
      </w:r>
    </w:p>
    <w:p w14:paraId="411BCE06" w14:textId="77777777" w:rsidR="00F04650" w:rsidRDefault="00F04650" w:rsidP="00236DC5"/>
    <w:p w14:paraId="076E6545" w14:textId="7D3A4193" w:rsidR="00236DC5" w:rsidRDefault="00905329" w:rsidP="00F04650">
      <w:pPr>
        <w:ind w:left="720"/>
      </w:pPr>
      <w:r>
        <w:t>By Council Members Hudson, Lee</w:t>
      </w:r>
      <w:r w:rsidR="003E6F1E">
        <w:t>,</w:t>
      </w:r>
      <w:r w:rsidR="00236DC5">
        <w:t xml:space="preserve"> Schulman</w:t>
      </w:r>
      <w:r w:rsidR="003E6F1E">
        <w:t>, Richardson Jordan, Brewer and Avilés</w:t>
      </w:r>
    </w:p>
    <w:p w14:paraId="7749C895" w14:textId="77777777" w:rsidR="00832FD1" w:rsidRDefault="00832FD1" w:rsidP="00832FD1">
      <w:pPr>
        <w:jc w:val="both"/>
      </w:pPr>
    </w:p>
    <w:p w14:paraId="0FD5CE30" w14:textId="3D7B963D" w:rsidR="00236DC5" w:rsidRDefault="00236DC5" w:rsidP="00F04650">
      <w:pPr>
        <w:ind w:left="720"/>
        <w:jc w:val="both"/>
      </w:pPr>
      <w:r>
        <w:t>A Local Law to amend the administrative code of the city of New</w:t>
      </w:r>
      <w:r w:rsidR="00832FD1">
        <w:t xml:space="preserve"> York, in relation to diversity </w:t>
      </w:r>
      <w:r>
        <w:t>programming at senior centers</w:t>
      </w:r>
    </w:p>
    <w:p w14:paraId="270E4BCE" w14:textId="77777777" w:rsidR="00832FD1" w:rsidRDefault="00832FD1" w:rsidP="00236DC5"/>
    <w:p w14:paraId="1853C21C" w14:textId="39DE7A80" w:rsidR="00236DC5" w:rsidRPr="00832FD1" w:rsidRDefault="00236DC5" w:rsidP="001073FB">
      <w:pPr>
        <w:ind w:firstLine="720"/>
        <w:rPr>
          <w:u w:val="single"/>
        </w:rPr>
      </w:pPr>
      <w:r w:rsidRPr="00832FD1">
        <w:rPr>
          <w:u w:val="single"/>
        </w:rPr>
        <w:t>Be it enacted by the Council as follows:</w:t>
      </w:r>
    </w:p>
    <w:p w14:paraId="1FB15597" w14:textId="77777777" w:rsidR="00832FD1" w:rsidRDefault="00832FD1" w:rsidP="00236DC5"/>
    <w:p w14:paraId="196F97AB" w14:textId="77777777" w:rsidR="00E03DD9" w:rsidRDefault="00E03DD9" w:rsidP="00832FD1">
      <w:pPr>
        <w:spacing w:line="480" w:lineRule="auto"/>
        <w:ind w:firstLine="720"/>
        <w:contextualSpacing/>
        <w:jc w:val="both"/>
        <w:sectPr w:rsidR="00E03DD9" w:rsidSect="00E03DD9">
          <w:type w:val="continuous"/>
          <w:pgSz w:w="12240" w:h="15840"/>
          <w:pgMar w:top="1354" w:right="1296" w:bottom="1397" w:left="734" w:header="0" w:footer="1224" w:gutter="0"/>
          <w:pgNumType w:start="1"/>
          <w:cols w:space="720"/>
          <w:docGrid w:linePitch="326"/>
        </w:sectPr>
      </w:pPr>
    </w:p>
    <w:p w14:paraId="065FBE51" w14:textId="4754C0A7" w:rsidR="00832FD1" w:rsidRDefault="00236DC5" w:rsidP="00832FD1">
      <w:pPr>
        <w:spacing w:line="480" w:lineRule="auto"/>
        <w:ind w:firstLine="720"/>
        <w:contextualSpacing/>
        <w:jc w:val="both"/>
      </w:pPr>
      <w:r>
        <w:t>Section 1. Chapter 2 of title 21 of the administrative co</w:t>
      </w:r>
      <w:r w:rsidR="00832FD1">
        <w:t>de 1 of the city of New York is</w:t>
      </w:r>
      <w:r>
        <w:t xml:space="preserve"> amended by adding a new section 21-210 to read as follows:</w:t>
      </w:r>
    </w:p>
    <w:p w14:paraId="4F3B57DF" w14:textId="2D43EF02" w:rsidR="00236DC5" w:rsidRPr="00832FD1" w:rsidRDefault="00236DC5" w:rsidP="00832FD1">
      <w:pPr>
        <w:spacing w:line="480" w:lineRule="auto"/>
        <w:ind w:firstLine="720"/>
        <w:contextualSpacing/>
        <w:jc w:val="both"/>
        <w:rPr>
          <w:u w:val="single"/>
        </w:rPr>
      </w:pPr>
      <w:r w:rsidRPr="00832FD1">
        <w:rPr>
          <w:u w:val="single"/>
        </w:rPr>
        <w:t>§ 21-210 Diversity programming at senior centers. a.</w:t>
      </w:r>
      <w:r w:rsidR="00832FD1" w:rsidRPr="00832FD1">
        <w:rPr>
          <w:u w:val="single"/>
        </w:rPr>
        <w:t xml:space="preserve"> The commissioner shall require </w:t>
      </w:r>
      <w:r w:rsidRPr="00832FD1">
        <w:rPr>
          <w:u w:val="single"/>
        </w:rPr>
        <w:t>each senior center to conduct a survey of the languages spok</w:t>
      </w:r>
      <w:r w:rsidR="00832FD1" w:rsidRPr="00832FD1">
        <w:rPr>
          <w:u w:val="single"/>
        </w:rPr>
        <w:t xml:space="preserve">en by seniors within a one-mile </w:t>
      </w:r>
      <w:r w:rsidRPr="00832FD1">
        <w:rPr>
          <w:u w:val="single"/>
        </w:rPr>
        <w:t>radius of such center every three years. The format and distr</w:t>
      </w:r>
      <w:r w:rsidR="00832FD1" w:rsidRPr="00832FD1">
        <w:rPr>
          <w:u w:val="single"/>
        </w:rPr>
        <w:t xml:space="preserve">ibution of such survey shall be </w:t>
      </w:r>
      <w:r w:rsidRPr="00832FD1">
        <w:rPr>
          <w:u w:val="single"/>
        </w:rPr>
        <w:t>determined by the department.</w:t>
      </w:r>
    </w:p>
    <w:p w14:paraId="34D8A6D1" w14:textId="5734C8C5" w:rsidR="00236DC5" w:rsidRPr="00832FD1" w:rsidRDefault="00236DC5" w:rsidP="00832FD1">
      <w:pPr>
        <w:spacing w:line="480" w:lineRule="auto"/>
        <w:ind w:firstLine="720"/>
        <w:contextualSpacing/>
        <w:jc w:val="both"/>
        <w:rPr>
          <w:u w:val="single"/>
        </w:rPr>
      </w:pPr>
      <w:r w:rsidRPr="00832FD1">
        <w:rPr>
          <w:u w:val="single"/>
        </w:rPr>
        <w:t xml:space="preserve">b. The commissioner shall require each senior center </w:t>
      </w:r>
      <w:r w:rsidR="00832FD1" w:rsidRPr="00832FD1">
        <w:rPr>
          <w:u w:val="single"/>
        </w:rPr>
        <w:t xml:space="preserve">to develop and conduct specific </w:t>
      </w:r>
      <w:r w:rsidRPr="00832FD1">
        <w:rPr>
          <w:u w:val="single"/>
        </w:rPr>
        <w:t>programming for seniors in each language spoken by 20 pe</w:t>
      </w:r>
      <w:r w:rsidR="00832FD1" w:rsidRPr="00832FD1">
        <w:rPr>
          <w:u w:val="single"/>
        </w:rPr>
        <w:t xml:space="preserve">rcent or more of the seniors </w:t>
      </w:r>
      <w:r w:rsidRPr="00832FD1">
        <w:rPr>
          <w:u w:val="single"/>
        </w:rPr>
        <w:t>responding to the survey required by subdivision a of this sec</w:t>
      </w:r>
      <w:r w:rsidR="00832FD1" w:rsidRPr="00832FD1">
        <w:rPr>
          <w:u w:val="single"/>
        </w:rPr>
        <w:t xml:space="preserve">tion. Such programming shall be </w:t>
      </w:r>
      <w:r w:rsidRPr="00832FD1">
        <w:rPr>
          <w:u w:val="single"/>
        </w:rPr>
        <w:t>culturally responsive to the communities represented by eac</w:t>
      </w:r>
      <w:r w:rsidR="00832FD1" w:rsidRPr="00832FD1">
        <w:rPr>
          <w:u w:val="single"/>
        </w:rPr>
        <w:t xml:space="preserve">h program. For purposes of this </w:t>
      </w:r>
      <w:r w:rsidRPr="00832FD1">
        <w:rPr>
          <w:u w:val="single"/>
        </w:rPr>
        <w:t>section, “culturally responsive” means including cultural and ethni</w:t>
      </w:r>
      <w:r w:rsidR="00832FD1" w:rsidRPr="00832FD1">
        <w:rPr>
          <w:u w:val="single"/>
        </w:rPr>
        <w:t xml:space="preserve">c events relevant to linguistic </w:t>
      </w:r>
      <w:r w:rsidRPr="00832FD1">
        <w:rPr>
          <w:u w:val="single"/>
        </w:rPr>
        <w:t>communities.</w:t>
      </w:r>
    </w:p>
    <w:p w14:paraId="2E82BDD9" w14:textId="4ECCD4EC" w:rsidR="00E03DD9" w:rsidRDefault="00236DC5" w:rsidP="00E03DD9">
      <w:pPr>
        <w:spacing w:line="480" w:lineRule="auto"/>
        <w:ind w:firstLine="720"/>
        <w:contextualSpacing/>
        <w:jc w:val="both"/>
        <w:sectPr w:rsidR="00E03DD9" w:rsidSect="001073FB">
          <w:type w:val="continuous"/>
          <w:pgSz w:w="12240" w:h="15840" w:code="1"/>
          <w:pgMar w:top="1354" w:right="1296" w:bottom="1397" w:left="1440" w:header="0" w:footer="1224" w:gutter="0"/>
          <w:lnNumType w:countBy="1" w:restart="continuous"/>
          <w:pgNumType w:start="1"/>
          <w:cols w:space="720"/>
          <w:docGrid w:linePitch="326"/>
        </w:sectPr>
      </w:pPr>
      <w:r>
        <w:t>§ 2. This local law shall take effect 120 days a</w:t>
      </w:r>
      <w:r w:rsidR="00832FD1">
        <w:t>fter enactment, except that the com</w:t>
      </w:r>
      <w:r>
        <w:t>missioner of the department for the aging may tak</w:t>
      </w:r>
      <w:r w:rsidR="00832FD1">
        <w:t xml:space="preserve">e all actions necessary for its </w:t>
      </w:r>
      <w:r>
        <w:t>implementation, including the promulgation of rule</w:t>
      </w:r>
      <w:r w:rsidR="00E03DD9">
        <w:t>s, prior to such effective date.</w:t>
      </w:r>
    </w:p>
    <w:p w14:paraId="78310DCA" w14:textId="691A3C28" w:rsidR="00832FD1" w:rsidRDefault="00832FD1" w:rsidP="001073FB">
      <w:pPr>
        <w:ind w:left="720"/>
      </w:pPr>
    </w:p>
    <w:p w14:paraId="065319DA" w14:textId="3DD6E58C" w:rsidR="00236DC5" w:rsidRPr="00905329" w:rsidRDefault="00236DC5" w:rsidP="001073FB">
      <w:pPr>
        <w:ind w:left="720"/>
        <w:rPr>
          <w:sz w:val="18"/>
          <w:u w:val="single"/>
        </w:rPr>
      </w:pPr>
      <w:r w:rsidRPr="00905329">
        <w:rPr>
          <w:sz w:val="18"/>
          <w:u w:val="single"/>
        </w:rPr>
        <w:t>Session 12</w:t>
      </w:r>
    </w:p>
    <w:p w14:paraId="3D136F07" w14:textId="77777777" w:rsidR="00236DC5" w:rsidRPr="00905329" w:rsidRDefault="00236DC5" w:rsidP="001073FB">
      <w:pPr>
        <w:ind w:left="720"/>
        <w:rPr>
          <w:sz w:val="18"/>
        </w:rPr>
      </w:pPr>
      <w:r w:rsidRPr="00905329">
        <w:rPr>
          <w:sz w:val="18"/>
        </w:rPr>
        <w:t>IP</w:t>
      </w:r>
    </w:p>
    <w:p w14:paraId="2D97272D" w14:textId="77777777" w:rsidR="00236DC5" w:rsidRPr="00905329" w:rsidRDefault="00236DC5" w:rsidP="001073FB">
      <w:pPr>
        <w:ind w:left="720"/>
        <w:rPr>
          <w:sz w:val="18"/>
        </w:rPr>
      </w:pPr>
      <w:r w:rsidRPr="00905329">
        <w:rPr>
          <w:sz w:val="18"/>
        </w:rPr>
        <w:t>LS #8450</w:t>
      </w:r>
    </w:p>
    <w:p w14:paraId="7C07AFF6" w14:textId="79AF52E1" w:rsidR="00832FD1" w:rsidRDefault="00905329" w:rsidP="001073FB">
      <w:pPr>
        <w:ind w:left="720"/>
        <w:rPr>
          <w:sz w:val="18"/>
        </w:rPr>
      </w:pPr>
      <w:r>
        <w:rPr>
          <w:sz w:val="18"/>
        </w:rPr>
        <w:t>6/14/22 3:30pm</w:t>
      </w:r>
    </w:p>
    <w:p w14:paraId="560B6817" w14:textId="3A828A61" w:rsidR="00905329" w:rsidRDefault="00905329" w:rsidP="001073FB">
      <w:pPr>
        <w:ind w:left="720"/>
        <w:rPr>
          <w:sz w:val="18"/>
        </w:rPr>
      </w:pPr>
    </w:p>
    <w:p w14:paraId="3D037378" w14:textId="77777777" w:rsidR="00396C96" w:rsidRPr="00905329" w:rsidRDefault="00396C96" w:rsidP="001073FB">
      <w:pPr>
        <w:ind w:left="720"/>
        <w:rPr>
          <w:sz w:val="18"/>
        </w:rPr>
      </w:pPr>
    </w:p>
    <w:p w14:paraId="54357163" w14:textId="77777777" w:rsidR="00236DC5" w:rsidRPr="00905329" w:rsidRDefault="00236DC5" w:rsidP="001073FB">
      <w:pPr>
        <w:ind w:left="720"/>
        <w:rPr>
          <w:sz w:val="18"/>
          <w:u w:val="single"/>
        </w:rPr>
      </w:pPr>
      <w:r w:rsidRPr="00905329">
        <w:rPr>
          <w:sz w:val="18"/>
          <w:u w:val="single"/>
        </w:rPr>
        <w:t>Session 11</w:t>
      </w:r>
    </w:p>
    <w:p w14:paraId="214BC93F" w14:textId="77777777" w:rsidR="00236DC5" w:rsidRPr="00905329" w:rsidRDefault="00236DC5" w:rsidP="001073FB">
      <w:pPr>
        <w:ind w:left="720"/>
        <w:rPr>
          <w:sz w:val="18"/>
        </w:rPr>
      </w:pPr>
      <w:r w:rsidRPr="00905329">
        <w:rPr>
          <w:sz w:val="18"/>
        </w:rPr>
        <w:t>ARP</w:t>
      </w:r>
    </w:p>
    <w:p w14:paraId="73742709" w14:textId="77777777" w:rsidR="00236DC5" w:rsidRPr="00905329" w:rsidRDefault="00236DC5" w:rsidP="001073FB">
      <w:pPr>
        <w:ind w:left="720"/>
        <w:rPr>
          <w:sz w:val="18"/>
        </w:rPr>
      </w:pPr>
      <w:r w:rsidRPr="00905329">
        <w:rPr>
          <w:sz w:val="18"/>
        </w:rPr>
        <w:t>LS #1079</w:t>
      </w:r>
    </w:p>
    <w:p w14:paraId="6FF9AE50" w14:textId="4A0A8A77" w:rsidR="00236DC5" w:rsidRPr="00905329" w:rsidRDefault="00236DC5" w:rsidP="001073FB">
      <w:pPr>
        <w:ind w:left="720"/>
        <w:rPr>
          <w:sz w:val="18"/>
        </w:rPr>
      </w:pPr>
      <w:r w:rsidRPr="00905329">
        <w:rPr>
          <w:sz w:val="18"/>
        </w:rPr>
        <w:t>Int. #493-2018</w:t>
      </w:r>
    </w:p>
    <w:sectPr w:rsidR="00236DC5" w:rsidRPr="00905329" w:rsidSect="001073FB">
      <w:type w:val="continuous"/>
      <w:pgSz w:w="12240" w:h="15840" w:code="1"/>
      <w:pgMar w:top="1354" w:right="1296" w:bottom="1397" w:left="734" w:header="0" w:footer="12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86D3" w14:textId="77777777" w:rsidR="00563D46" w:rsidRDefault="00563D46" w:rsidP="003F5DA8">
      <w:r>
        <w:separator/>
      </w:r>
    </w:p>
  </w:endnote>
  <w:endnote w:type="continuationSeparator" w:id="0">
    <w:p w14:paraId="3BE46BAA" w14:textId="77777777" w:rsidR="00563D46" w:rsidRDefault="00563D46" w:rsidP="003F5DA8">
      <w:r>
        <w:continuationSeparator/>
      </w:r>
    </w:p>
  </w:endnote>
  <w:endnote w:type="continuationNotice" w:id="1">
    <w:p w14:paraId="23B3AC0B" w14:textId="77777777" w:rsidR="00563D46" w:rsidRDefault="0056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5168" w14:textId="77777777" w:rsidR="00C626E2" w:rsidRDefault="00C6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A743" w14:textId="692E67C8" w:rsidR="00C626E2" w:rsidRDefault="00C626E2" w:rsidP="00015348">
    <w:pPr>
      <w:pStyle w:val="Footer"/>
      <w:jc w:val="center"/>
    </w:pPr>
    <w:r>
      <w:fldChar w:fldCharType="begin"/>
    </w:r>
    <w:r>
      <w:instrText xml:space="preserve"> PAGE   \* MERGEFORMAT </w:instrText>
    </w:r>
    <w:r>
      <w:fldChar w:fldCharType="separate"/>
    </w:r>
    <w:r w:rsidR="00EB78A7">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61E2" w14:textId="1FE114D2" w:rsidR="00C626E2" w:rsidRDefault="00C626E2">
    <w:pPr>
      <w:pStyle w:val="Footer"/>
      <w:jc w:val="center"/>
    </w:pPr>
  </w:p>
  <w:p w14:paraId="72C0EBA6" w14:textId="77777777" w:rsidR="00C626E2" w:rsidRDefault="00C626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58FD" w14:textId="77777777" w:rsidR="00C626E2" w:rsidRDefault="00C626E2">
    <w:pPr>
      <w:pStyle w:val="Footer"/>
    </w:pPr>
  </w:p>
  <w:p w14:paraId="1B77C899" w14:textId="77777777" w:rsidR="00C626E2" w:rsidRDefault="00C626E2"/>
  <w:p w14:paraId="73C35D28" w14:textId="77777777" w:rsidR="00C626E2" w:rsidRDefault="00C626E2"/>
  <w:p w14:paraId="04254A9C" w14:textId="77777777" w:rsidR="00C626E2" w:rsidRDefault="00C626E2"/>
  <w:p w14:paraId="2DA65443" w14:textId="77777777" w:rsidR="00C626E2" w:rsidRDefault="00C626E2"/>
  <w:p w14:paraId="123FD49B" w14:textId="77777777" w:rsidR="00C626E2" w:rsidRDefault="00C626E2"/>
  <w:p w14:paraId="51D4CF8B" w14:textId="77777777" w:rsidR="00C626E2" w:rsidRDefault="00C626E2"/>
  <w:p w14:paraId="267E639F" w14:textId="77777777" w:rsidR="00C626E2" w:rsidRDefault="00C626E2"/>
  <w:p w14:paraId="06A8DBAC" w14:textId="77777777" w:rsidR="00C626E2" w:rsidRDefault="00C626E2"/>
  <w:p w14:paraId="2800D526" w14:textId="77777777" w:rsidR="00C626E2" w:rsidRDefault="00C626E2"/>
  <w:p w14:paraId="71FAC1B1" w14:textId="77777777" w:rsidR="00C626E2" w:rsidRDefault="00C626E2"/>
  <w:p w14:paraId="5FFB1E6D" w14:textId="77777777" w:rsidR="00C626E2" w:rsidRDefault="00C626E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4CDB" w14:textId="77777777" w:rsidR="00C626E2" w:rsidRDefault="00C626E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5AAB" w14:textId="77777777" w:rsidR="00C626E2" w:rsidRDefault="00C6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70CF" w14:textId="77777777" w:rsidR="00563D46" w:rsidRDefault="00563D46" w:rsidP="003F5DA8">
      <w:r>
        <w:separator/>
      </w:r>
    </w:p>
  </w:footnote>
  <w:footnote w:type="continuationSeparator" w:id="0">
    <w:p w14:paraId="7A3BAC10" w14:textId="77777777" w:rsidR="00563D46" w:rsidRDefault="00563D46" w:rsidP="003F5DA8">
      <w:r>
        <w:continuationSeparator/>
      </w:r>
    </w:p>
  </w:footnote>
  <w:footnote w:type="continuationNotice" w:id="1">
    <w:p w14:paraId="137A26F6" w14:textId="77777777" w:rsidR="00563D46" w:rsidRDefault="00563D46"/>
  </w:footnote>
  <w:footnote w:id="2">
    <w:p w14:paraId="55C4FAC6" w14:textId="5E4E0D81" w:rsidR="00C626E2" w:rsidRPr="000D028E" w:rsidRDefault="00C626E2">
      <w:pPr>
        <w:pStyle w:val="FootnoteText"/>
      </w:pPr>
      <w:r w:rsidRPr="000D028E">
        <w:rPr>
          <w:rStyle w:val="FootnoteReference"/>
          <w:rFonts w:cs="Times New Roman"/>
        </w:rPr>
        <w:footnoteRef/>
      </w:r>
      <w:r w:rsidRPr="000D028E">
        <w:t xml:space="preserve"> </w:t>
      </w:r>
      <w:r>
        <w:t xml:space="preserve">N.Y.C. </w:t>
      </w:r>
      <w:r w:rsidRPr="000D028E">
        <w:t>Charter §2402.</w:t>
      </w:r>
    </w:p>
  </w:footnote>
  <w:footnote w:id="3">
    <w:p w14:paraId="097177A8" w14:textId="7E895370" w:rsidR="00C626E2" w:rsidRDefault="00C626E2" w:rsidP="00486FDD">
      <w:pPr>
        <w:pStyle w:val="FootnoteText"/>
      </w:pPr>
      <w:r>
        <w:rPr>
          <w:rStyle w:val="FootnoteReference"/>
        </w:rPr>
        <w:footnoteRef/>
      </w:r>
      <w:r>
        <w:t xml:space="preserve"> </w:t>
      </w:r>
      <w:r w:rsidRPr="00670DB7">
        <w:rPr>
          <w:i/>
        </w:rPr>
        <w:t>Id.</w:t>
      </w:r>
    </w:p>
  </w:footnote>
  <w:footnote w:id="4">
    <w:p w14:paraId="1F65BF30" w14:textId="388DC5AE" w:rsidR="00C626E2" w:rsidRDefault="00C626E2">
      <w:pPr>
        <w:pStyle w:val="FootnoteText"/>
      </w:pPr>
      <w:r>
        <w:rPr>
          <w:rStyle w:val="FootnoteReference"/>
        </w:rPr>
        <w:footnoteRef/>
      </w:r>
      <w:r>
        <w:t xml:space="preserve"> N.Y.C. Dep’t for the Aging, Commissioner’s Message (</w:t>
      </w:r>
      <w:proofErr w:type="spellStart"/>
      <w:r>
        <w:t>n.d.</w:t>
      </w:r>
      <w:proofErr w:type="spellEnd"/>
      <w:r>
        <w:t xml:space="preserve">), </w:t>
      </w:r>
      <w:r w:rsidRPr="00CE73EA">
        <w:rPr>
          <w:i/>
        </w:rPr>
        <w:t>available at</w:t>
      </w:r>
      <w:r>
        <w:t xml:space="preserve"> </w:t>
      </w:r>
      <w:hyperlink r:id="rId1" w:history="1">
        <w:r w:rsidRPr="004C12E3">
          <w:rPr>
            <w:rStyle w:val="Hyperlink"/>
          </w:rPr>
          <w:t>https://www1.nyc.gov/site/dfta/about/commissioners-message.page</w:t>
        </w:r>
      </w:hyperlink>
      <w:r>
        <w:t>.</w:t>
      </w:r>
    </w:p>
  </w:footnote>
  <w:footnote w:id="5">
    <w:p w14:paraId="7F539D7C" w14:textId="1FF30CFB" w:rsidR="00C626E2" w:rsidRDefault="00C626E2">
      <w:pPr>
        <w:pStyle w:val="FootnoteText"/>
      </w:pPr>
      <w:r>
        <w:rPr>
          <w:rStyle w:val="FootnoteReference"/>
        </w:rPr>
        <w:footnoteRef/>
      </w:r>
      <w:r>
        <w:t xml:space="preserve"> </w:t>
      </w:r>
      <w:r w:rsidRPr="0069628C">
        <w:rPr>
          <w:i/>
        </w:rPr>
        <w:t>Id.</w:t>
      </w:r>
    </w:p>
  </w:footnote>
  <w:footnote w:id="6">
    <w:p w14:paraId="5E7D9C2B" w14:textId="4BDA2FCD" w:rsidR="00C626E2" w:rsidRDefault="00C626E2" w:rsidP="00D21A3A">
      <w:pPr>
        <w:pStyle w:val="FootnoteText"/>
      </w:pPr>
      <w:r>
        <w:rPr>
          <w:rStyle w:val="FootnoteReference"/>
        </w:rPr>
        <w:footnoteRef/>
      </w:r>
      <w:r>
        <w:t xml:space="preserve"> </w:t>
      </w:r>
      <w:r w:rsidRPr="0069628C">
        <w:rPr>
          <w:i/>
        </w:rPr>
        <w:t>Id.</w:t>
      </w:r>
      <w:r>
        <w:t xml:space="preserve">; see also N.Y.C. Mayor’s Off. </w:t>
      </w:r>
      <w:proofErr w:type="gramStart"/>
      <w:r>
        <w:t>of</w:t>
      </w:r>
      <w:proofErr w:type="gramEnd"/>
      <w:r>
        <w:t xml:space="preserve"> </w:t>
      </w:r>
      <w:proofErr w:type="spellStart"/>
      <w:r>
        <w:t>Immigr</w:t>
      </w:r>
      <w:proofErr w:type="spellEnd"/>
      <w:r>
        <w:t xml:space="preserve">. </w:t>
      </w:r>
      <w:proofErr w:type="spellStart"/>
      <w:proofErr w:type="gramStart"/>
      <w:r>
        <w:t>Aff</w:t>
      </w:r>
      <w:proofErr w:type="spellEnd"/>
      <w:r>
        <w:t>.,</w:t>
      </w:r>
      <w:proofErr w:type="gramEnd"/>
      <w:r>
        <w:t xml:space="preserve"> Our Programs: Immigrant Enforcement (</w:t>
      </w:r>
      <w:proofErr w:type="spellStart"/>
      <w:r>
        <w:t>n.d.</w:t>
      </w:r>
      <w:proofErr w:type="spellEnd"/>
      <w:r>
        <w:t xml:space="preserve">), </w:t>
      </w:r>
      <w:r w:rsidRPr="005363A2">
        <w:rPr>
          <w:i/>
        </w:rPr>
        <w:t>available at</w:t>
      </w:r>
      <w:r>
        <w:t xml:space="preserve"> </w:t>
      </w:r>
      <w:hyperlink r:id="rId2" w:history="1">
        <w:r w:rsidRPr="004C12E3">
          <w:rPr>
            <w:rStyle w:val="Hyperlink"/>
          </w:rPr>
          <w:t>https://www1.nyc.gov/site/immigrants/programs/social-economic/immigration-enforcement.page</w:t>
        </w:r>
      </w:hyperlink>
      <w:r>
        <w:t xml:space="preserve">. </w:t>
      </w:r>
    </w:p>
  </w:footnote>
  <w:footnote w:id="7">
    <w:p w14:paraId="69ED4CD9" w14:textId="3D5B101C" w:rsidR="00C626E2" w:rsidRDefault="00C626E2">
      <w:pPr>
        <w:pStyle w:val="FootnoteText"/>
      </w:pPr>
      <w:r>
        <w:rPr>
          <w:rStyle w:val="FootnoteReference"/>
        </w:rPr>
        <w:footnoteRef/>
      </w:r>
      <w:r>
        <w:t xml:space="preserve"> ACCESS NYC, Job training and placement for older adults (</w:t>
      </w:r>
      <w:proofErr w:type="spellStart"/>
      <w:r>
        <w:t>n.d.</w:t>
      </w:r>
      <w:proofErr w:type="spellEnd"/>
      <w:r>
        <w:t xml:space="preserve">), </w:t>
      </w:r>
      <w:r w:rsidRPr="00D43F0F">
        <w:rPr>
          <w:i/>
        </w:rPr>
        <w:t xml:space="preserve">available at </w:t>
      </w:r>
      <w:hyperlink r:id="rId3" w:history="1">
        <w:r w:rsidRPr="00AB68F7">
          <w:rPr>
            <w:rStyle w:val="Hyperlink"/>
          </w:rPr>
          <w:t>https://access.nyc.gov/programs/senior-employment-services-ses/</w:t>
        </w:r>
      </w:hyperlink>
      <w:r>
        <w:t xml:space="preserve">. </w:t>
      </w:r>
    </w:p>
  </w:footnote>
  <w:footnote w:id="8">
    <w:p w14:paraId="2019B539" w14:textId="5916607E" w:rsidR="00C626E2" w:rsidRDefault="00C626E2">
      <w:pPr>
        <w:pStyle w:val="FootnoteText"/>
      </w:pPr>
      <w:r>
        <w:rPr>
          <w:rStyle w:val="FootnoteReference"/>
        </w:rPr>
        <w:footnoteRef/>
      </w:r>
      <w:r>
        <w:t xml:space="preserve"> </w:t>
      </w:r>
      <w:r w:rsidRPr="0069628C">
        <w:rPr>
          <w:i/>
        </w:rPr>
        <w:t>Id.</w:t>
      </w:r>
    </w:p>
  </w:footnote>
  <w:footnote w:id="9">
    <w:p w14:paraId="643B2777" w14:textId="2001122C" w:rsidR="00C626E2" w:rsidRDefault="00C626E2">
      <w:pPr>
        <w:pStyle w:val="FootnoteText"/>
      </w:pPr>
      <w:r>
        <w:rPr>
          <w:rStyle w:val="FootnoteReference"/>
        </w:rPr>
        <w:footnoteRef/>
      </w:r>
      <w:r>
        <w:t xml:space="preserve"> </w:t>
      </w:r>
      <w:r w:rsidRPr="0069628C">
        <w:rPr>
          <w:i/>
        </w:rPr>
        <w:t>Id.</w:t>
      </w:r>
    </w:p>
  </w:footnote>
  <w:footnote w:id="10">
    <w:p w14:paraId="65B10681" w14:textId="439167DC" w:rsidR="00C626E2" w:rsidRDefault="00C626E2">
      <w:pPr>
        <w:pStyle w:val="FootnoteText"/>
      </w:pPr>
      <w:r>
        <w:rPr>
          <w:rStyle w:val="FootnoteReference"/>
        </w:rPr>
        <w:footnoteRef/>
      </w:r>
      <w:r>
        <w:t xml:space="preserve"> N.Y.C. Dep’t for the Aging, Caregiving: Caring for Adults (</w:t>
      </w:r>
      <w:proofErr w:type="spellStart"/>
      <w:r>
        <w:t>n.d.</w:t>
      </w:r>
      <w:proofErr w:type="spellEnd"/>
      <w:r>
        <w:t xml:space="preserve">), </w:t>
      </w:r>
      <w:r w:rsidRPr="00375BCD">
        <w:rPr>
          <w:i/>
        </w:rPr>
        <w:t xml:space="preserve">available at </w:t>
      </w:r>
      <w:hyperlink r:id="rId4" w:history="1">
        <w:r w:rsidRPr="00AB68F7">
          <w:rPr>
            <w:rStyle w:val="Hyperlink"/>
          </w:rPr>
          <w:t>https://www1.nyc.gov/site/dfta/services/caregiving.page</w:t>
        </w:r>
      </w:hyperlink>
      <w:r>
        <w:t xml:space="preserve">. </w:t>
      </w:r>
    </w:p>
  </w:footnote>
  <w:footnote w:id="11">
    <w:p w14:paraId="7B89E235" w14:textId="393AC7E9" w:rsidR="00C626E2" w:rsidRDefault="00C626E2">
      <w:pPr>
        <w:pStyle w:val="FootnoteText"/>
      </w:pPr>
      <w:r>
        <w:rPr>
          <w:rStyle w:val="FootnoteReference"/>
        </w:rPr>
        <w:footnoteRef/>
      </w:r>
      <w:r>
        <w:t xml:space="preserve"> </w:t>
      </w:r>
      <w:r w:rsidRPr="007C1ABA">
        <w:rPr>
          <w:i/>
        </w:rPr>
        <w:t>Id.</w:t>
      </w:r>
    </w:p>
  </w:footnote>
  <w:footnote w:id="12">
    <w:p w14:paraId="3BD42D67" w14:textId="559AB8B9" w:rsidR="00C626E2" w:rsidRDefault="00C626E2">
      <w:pPr>
        <w:pStyle w:val="FootnoteText"/>
      </w:pPr>
      <w:r>
        <w:rPr>
          <w:rStyle w:val="FootnoteReference"/>
        </w:rPr>
        <w:footnoteRef/>
      </w:r>
      <w:r>
        <w:t xml:space="preserve"> N.Y.C. Dep’t for the Aging, Elder Abuse &amp; Crime (</w:t>
      </w:r>
      <w:proofErr w:type="spellStart"/>
      <w:r>
        <w:t>n.d.</w:t>
      </w:r>
      <w:proofErr w:type="spellEnd"/>
      <w:r>
        <w:t xml:space="preserve">), </w:t>
      </w:r>
      <w:r w:rsidRPr="00CF27F7">
        <w:rPr>
          <w:i/>
        </w:rPr>
        <w:t xml:space="preserve">available at </w:t>
      </w:r>
      <w:hyperlink r:id="rId5" w:history="1">
        <w:r w:rsidRPr="00AB68F7">
          <w:rPr>
            <w:rStyle w:val="Hyperlink"/>
          </w:rPr>
          <w:t>https://www1.nyc.gov/site/dfta/services/elder-abuse-crime.page</w:t>
        </w:r>
      </w:hyperlink>
      <w:r>
        <w:t xml:space="preserve">. </w:t>
      </w:r>
    </w:p>
  </w:footnote>
  <w:footnote w:id="13">
    <w:p w14:paraId="1C6AAC9D" w14:textId="635DD1E1" w:rsidR="00C626E2" w:rsidRDefault="00C626E2">
      <w:pPr>
        <w:pStyle w:val="FootnoteText"/>
      </w:pPr>
      <w:r>
        <w:rPr>
          <w:rStyle w:val="FootnoteReference"/>
        </w:rPr>
        <w:footnoteRef/>
      </w:r>
      <w:r>
        <w:t xml:space="preserve"> </w:t>
      </w:r>
      <w:r w:rsidRPr="00CF27F7">
        <w:rPr>
          <w:i/>
        </w:rPr>
        <w:t>Id.</w:t>
      </w:r>
    </w:p>
  </w:footnote>
  <w:footnote w:id="14">
    <w:p w14:paraId="35D3147E" w14:textId="7B242741" w:rsidR="00C626E2" w:rsidRDefault="00C626E2">
      <w:pPr>
        <w:pStyle w:val="FootnoteText"/>
      </w:pPr>
      <w:r>
        <w:rPr>
          <w:rStyle w:val="FootnoteReference"/>
        </w:rPr>
        <w:footnoteRef/>
      </w:r>
      <w:r>
        <w:t xml:space="preserve"> </w:t>
      </w:r>
      <w:r w:rsidRPr="00CF27F7">
        <w:rPr>
          <w:i/>
        </w:rPr>
        <w:t>Id.</w:t>
      </w:r>
    </w:p>
  </w:footnote>
  <w:footnote w:id="15">
    <w:p w14:paraId="0C73409B" w14:textId="1298EF7E" w:rsidR="00C626E2" w:rsidRDefault="00C626E2">
      <w:pPr>
        <w:pStyle w:val="FootnoteText"/>
      </w:pPr>
      <w:r>
        <w:rPr>
          <w:rStyle w:val="FootnoteReference"/>
        </w:rPr>
        <w:footnoteRef/>
      </w:r>
      <w:r>
        <w:t xml:space="preserve"> </w:t>
      </w:r>
      <w:r w:rsidRPr="00CF27F7">
        <w:rPr>
          <w:i/>
        </w:rPr>
        <w:t>Id.</w:t>
      </w:r>
    </w:p>
  </w:footnote>
  <w:footnote w:id="16">
    <w:p w14:paraId="258D7520" w14:textId="48F4B8EF" w:rsidR="00C626E2" w:rsidRDefault="00C626E2">
      <w:pPr>
        <w:pStyle w:val="FootnoteText"/>
      </w:pPr>
      <w:r>
        <w:rPr>
          <w:rStyle w:val="FootnoteReference"/>
        </w:rPr>
        <w:footnoteRef/>
      </w:r>
      <w:r>
        <w:t xml:space="preserve"> N.Y.C. Dep’t for the Aging, Caring for Children (</w:t>
      </w:r>
      <w:proofErr w:type="spellStart"/>
      <w:r>
        <w:t>n.d.</w:t>
      </w:r>
      <w:proofErr w:type="spellEnd"/>
      <w:r>
        <w:t xml:space="preserve">), </w:t>
      </w:r>
      <w:r w:rsidRPr="00F77930">
        <w:rPr>
          <w:i/>
        </w:rPr>
        <w:t xml:space="preserve">available at </w:t>
      </w:r>
      <w:hyperlink r:id="rId6" w:history="1">
        <w:r w:rsidRPr="00AB68F7">
          <w:rPr>
            <w:rStyle w:val="Hyperlink"/>
          </w:rPr>
          <w:t>https://www1.nyc.gov/site/dfta/caregivers/caring-for-children.page</w:t>
        </w:r>
      </w:hyperlink>
      <w:r>
        <w:t xml:space="preserve">. </w:t>
      </w:r>
    </w:p>
  </w:footnote>
  <w:footnote w:id="17">
    <w:p w14:paraId="188F1AC1" w14:textId="0878CF97" w:rsidR="00F304CB" w:rsidRDefault="00F304CB">
      <w:pPr>
        <w:pStyle w:val="FootnoteText"/>
      </w:pPr>
      <w:r>
        <w:rPr>
          <w:rStyle w:val="FootnoteReference"/>
        </w:rPr>
        <w:footnoteRef/>
      </w:r>
      <w:r>
        <w:t xml:space="preserve"> According to the Mayor’s Office of Criminal Justice, the Mayor’s Action Plan for Neighborhood Safety (MAP) is “</w:t>
      </w:r>
      <w:r w:rsidRPr="00F304CB">
        <w:t>a targeted, comprehensive approach to reduce violent crime in and around the 15 public housing developments that</w:t>
      </w:r>
      <w:r>
        <w:t xml:space="preserve"> [as of 2014]</w:t>
      </w:r>
      <w:r w:rsidRPr="00F304CB">
        <w:t xml:space="preserve"> comprise almost 20 percent of violent crime in the City’s public housing.</w:t>
      </w:r>
      <w:r>
        <w:t xml:space="preserve">” MAP was launched in 2014 by the de </w:t>
      </w:r>
      <w:proofErr w:type="spellStart"/>
      <w:r>
        <w:t>Blasio</w:t>
      </w:r>
      <w:proofErr w:type="spellEnd"/>
      <w:r>
        <w:t xml:space="preserve"> Administration.</w:t>
      </w:r>
    </w:p>
  </w:footnote>
  <w:footnote w:id="18">
    <w:p w14:paraId="08E9266A" w14:textId="4DC1A8D6" w:rsidR="00C626E2" w:rsidRDefault="00C626E2">
      <w:pPr>
        <w:pStyle w:val="FootnoteText"/>
      </w:pPr>
      <w:r>
        <w:rPr>
          <w:rStyle w:val="FootnoteReference"/>
        </w:rPr>
        <w:footnoteRef/>
      </w:r>
      <w:r>
        <w:t xml:space="preserve"> </w:t>
      </w:r>
      <w:r w:rsidRPr="00CF27F7">
        <w:rPr>
          <w:i/>
        </w:rPr>
        <w:t>Id.</w:t>
      </w:r>
    </w:p>
  </w:footnote>
  <w:footnote w:id="19">
    <w:p w14:paraId="6954B65C" w14:textId="787F470C" w:rsidR="00C626E2" w:rsidRDefault="00C626E2">
      <w:pPr>
        <w:pStyle w:val="FootnoteText"/>
      </w:pPr>
      <w:r>
        <w:rPr>
          <w:rStyle w:val="FootnoteReference"/>
        </w:rPr>
        <w:footnoteRef/>
      </w:r>
      <w:r>
        <w:t xml:space="preserve"> </w:t>
      </w:r>
      <w:r w:rsidRPr="00CF27F7">
        <w:rPr>
          <w:i/>
        </w:rPr>
        <w:t>Id.</w:t>
      </w:r>
    </w:p>
  </w:footnote>
  <w:footnote w:id="20">
    <w:p w14:paraId="1D726227" w14:textId="2EB61CB6" w:rsidR="00C626E2" w:rsidRDefault="00C626E2">
      <w:pPr>
        <w:pStyle w:val="FootnoteText"/>
      </w:pPr>
      <w:r>
        <w:rPr>
          <w:rStyle w:val="FootnoteReference"/>
        </w:rPr>
        <w:footnoteRef/>
      </w:r>
      <w:r>
        <w:t xml:space="preserve"> N.Y.C</w:t>
      </w:r>
      <w:r w:rsidR="00731B09">
        <w:t>.</w:t>
      </w:r>
      <w:r>
        <w:t xml:space="preserve"> Dep’t for the Aging, Services: Intergenerational, Foster Grandparent Program (</w:t>
      </w:r>
      <w:proofErr w:type="spellStart"/>
      <w:r>
        <w:t>n.d.</w:t>
      </w:r>
      <w:proofErr w:type="spellEnd"/>
      <w:r>
        <w:t xml:space="preserve">), </w:t>
      </w:r>
      <w:r w:rsidRPr="00AE4A3F">
        <w:rPr>
          <w:i/>
        </w:rPr>
        <w:t>available at</w:t>
      </w:r>
      <w:r>
        <w:t xml:space="preserve"> </w:t>
      </w:r>
      <w:hyperlink r:id="rId7" w:history="1">
        <w:r w:rsidRPr="00AB68F7">
          <w:rPr>
            <w:rStyle w:val="Hyperlink"/>
          </w:rPr>
          <w:t>https://www1.nyc.gov/site/dfta/services/intergenerational.page</w:t>
        </w:r>
      </w:hyperlink>
      <w:r>
        <w:t xml:space="preserve">. </w:t>
      </w:r>
    </w:p>
  </w:footnote>
  <w:footnote w:id="21">
    <w:p w14:paraId="1FD1CE37" w14:textId="39E02AA4" w:rsidR="00C626E2" w:rsidRDefault="00C626E2">
      <w:pPr>
        <w:pStyle w:val="FootnoteText"/>
      </w:pPr>
      <w:r>
        <w:rPr>
          <w:rStyle w:val="FootnoteReference"/>
        </w:rPr>
        <w:footnoteRef/>
      </w:r>
      <w:r>
        <w:t xml:space="preserve"> </w:t>
      </w:r>
      <w:r w:rsidRPr="00CF27F7">
        <w:rPr>
          <w:i/>
        </w:rPr>
        <w:t>Id.</w:t>
      </w:r>
    </w:p>
  </w:footnote>
  <w:footnote w:id="22">
    <w:p w14:paraId="651B1B18" w14:textId="71ACFF82" w:rsidR="00C626E2" w:rsidRDefault="00C626E2">
      <w:pPr>
        <w:pStyle w:val="FootnoteText"/>
      </w:pPr>
      <w:r>
        <w:rPr>
          <w:rStyle w:val="FootnoteReference"/>
        </w:rPr>
        <w:footnoteRef/>
      </w:r>
      <w:r>
        <w:t xml:space="preserve"> </w:t>
      </w:r>
      <w:r w:rsidRPr="00CF27F7">
        <w:rPr>
          <w:i/>
        </w:rPr>
        <w:t>Id.</w:t>
      </w:r>
    </w:p>
  </w:footnote>
  <w:footnote w:id="23">
    <w:p w14:paraId="1EB03244" w14:textId="692A9E59" w:rsidR="00C626E2" w:rsidRDefault="00C626E2">
      <w:pPr>
        <w:pStyle w:val="FootnoteText"/>
      </w:pPr>
      <w:r>
        <w:rPr>
          <w:rStyle w:val="FootnoteReference"/>
        </w:rPr>
        <w:footnoteRef/>
      </w:r>
      <w:r>
        <w:t xml:space="preserve"> N.Y.C. Dep’t for the Aging, Bill Payer Program (</w:t>
      </w:r>
      <w:proofErr w:type="spellStart"/>
      <w:r>
        <w:t>n.d.</w:t>
      </w:r>
      <w:proofErr w:type="spellEnd"/>
      <w:r>
        <w:t xml:space="preserve">), </w:t>
      </w:r>
      <w:r w:rsidRPr="00F92E8A">
        <w:rPr>
          <w:i/>
        </w:rPr>
        <w:t>available at</w:t>
      </w:r>
      <w:r>
        <w:t xml:space="preserve"> </w:t>
      </w:r>
      <w:hyperlink r:id="rId8" w:history="1">
        <w:r w:rsidRPr="005E0832">
          <w:rPr>
            <w:rStyle w:val="Hyperlink"/>
          </w:rPr>
          <w:t>https://www1.nyc.gov/site/dfta/services/bill-payer-program.page</w:t>
        </w:r>
      </w:hyperlink>
      <w:r>
        <w:t xml:space="preserve">. </w:t>
      </w:r>
    </w:p>
  </w:footnote>
  <w:footnote w:id="24">
    <w:p w14:paraId="24B8E536" w14:textId="03670C82" w:rsidR="00C626E2" w:rsidRDefault="00C626E2">
      <w:pPr>
        <w:pStyle w:val="FootnoteText"/>
      </w:pPr>
      <w:r>
        <w:rPr>
          <w:rStyle w:val="FootnoteReference"/>
        </w:rPr>
        <w:footnoteRef/>
      </w:r>
      <w:r>
        <w:t xml:space="preserve"> </w:t>
      </w:r>
      <w:r w:rsidRPr="00E7110F">
        <w:rPr>
          <w:i/>
        </w:rPr>
        <w:t>Id.</w:t>
      </w:r>
    </w:p>
  </w:footnote>
  <w:footnote w:id="25">
    <w:p w14:paraId="33D087C6" w14:textId="49A94AFA" w:rsidR="00C626E2" w:rsidRDefault="00C626E2">
      <w:pPr>
        <w:pStyle w:val="FootnoteText"/>
      </w:pPr>
      <w:r>
        <w:rPr>
          <w:rStyle w:val="FootnoteReference"/>
        </w:rPr>
        <w:footnoteRef/>
      </w:r>
      <w:r>
        <w:t xml:space="preserve"> </w:t>
      </w:r>
      <w:r w:rsidRPr="00E7110F">
        <w:rPr>
          <w:i/>
        </w:rPr>
        <w:t>Id.</w:t>
      </w:r>
    </w:p>
  </w:footnote>
  <w:footnote w:id="26">
    <w:p w14:paraId="2D0FD13D" w14:textId="12DF2809" w:rsidR="00C626E2" w:rsidRDefault="00C626E2">
      <w:pPr>
        <w:pStyle w:val="FootnoteText"/>
      </w:pPr>
      <w:r>
        <w:rPr>
          <w:rStyle w:val="FootnoteReference"/>
        </w:rPr>
        <w:footnoteRef/>
      </w:r>
      <w:r>
        <w:t xml:space="preserve"> </w:t>
      </w:r>
      <w:r w:rsidRPr="00E7110F">
        <w:rPr>
          <w:i/>
        </w:rPr>
        <w:t>Id.</w:t>
      </w:r>
    </w:p>
  </w:footnote>
  <w:footnote w:id="27">
    <w:p w14:paraId="66C2B088" w14:textId="620256AA" w:rsidR="00C626E2" w:rsidRDefault="00C626E2">
      <w:pPr>
        <w:pStyle w:val="FootnoteText"/>
      </w:pPr>
      <w:r>
        <w:rPr>
          <w:rStyle w:val="FootnoteReference"/>
        </w:rPr>
        <w:footnoteRef/>
      </w:r>
      <w:r>
        <w:t xml:space="preserve"> N.Y.C. Dep’t for the Aging, Services: Find Services (</w:t>
      </w:r>
      <w:proofErr w:type="spellStart"/>
      <w:r>
        <w:t>n.d.</w:t>
      </w:r>
      <w:proofErr w:type="spellEnd"/>
      <w:r>
        <w:t xml:space="preserve">), </w:t>
      </w:r>
      <w:r w:rsidRPr="00326236">
        <w:rPr>
          <w:i/>
        </w:rPr>
        <w:t xml:space="preserve">available at </w:t>
      </w:r>
      <w:hyperlink r:id="rId9" w:history="1">
        <w:r w:rsidRPr="004C12E3">
          <w:rPr>
            <w:rStyle w:val="Hyperlink"/>
          </w:rPr>
          <w:t>https://www1.nyc.gov/site/dfta/services/find-help.page</w:t>
        </w:r>
      </w:hyperlink>
      <w:r>
        <w:t xml:space="preserve">. </w:t>
      </w:r>
    </w:p>
  </w:footnote>
  <w:footnote w:id="28">
    <w:p w14:paraId="59D16045" w14:textId="28600579" w:rsidR="00C626E2" w:rsidRDefault="00C626E2">
      <w:pPr>
        <w:pStyle w:val="FootnoteText"/>
      </w:pPr>
      <w:r>
        <w:rPr>
          <w:rStyle w:val="FootnoteReference"/>
        </w:rPr>
        <w:footnoteRef/>
      </w:r>
      <w:r>
        <w:t xml:space="preserve"> </w:t>
      </w:r>
      <w:r w:rsidRPr="00E7110F">
        <w:rPr>
          <w:i/>
        </w:rPr>
        <w:t>Id.</w:t>
      </w:r>
    </w:p>
  </w:footnote>
  <w:footnote w:id="29">
    <w:p w14:paraId="72D85C95" w14:textId="48B028DF" w:rsidR="00C626E2" w:rsidRDefault="00C626E2">
      <w:pPr>
        <w:pStyle w:val="FootnoteText"/>
      </w:pPr>
      <w:r>
        <w:rPr>
          <w:rStyle w:val="FootnoteReference"/>
        </w:rPr>
        <w:footnoteRef/>
      </w:r>
      <w:r>
        <w:t xml:space="preserve"> N.Y.C. Dep’t for the Aging, Older Adult Centers (</w:t>
      </w:r>
      <w:proofErr w:type="spellStart"/>
      <w:r>
        <w:t>n.d.</w:t>
      </w:r>
      <w:proofErr w:type="spellEnd"/>
      <w:r>
        <w:t xml:space="preserve">), </w:t>
      </w:r>
      <w:r w:rsidRPr="008B04D6">
        <w:rPr>
          <w:i/>
        </w:rPr>
        <w:t xml:space="preserve">available at </w:t>
      </w:r>
      <w:hyperlink r:id="rId10" w:history="1">
        <w:r w:rsidRPr="004C12E3">
          <w:rPr>
            <w:rStyle w:val="Hyperlink"/>
          </w:rPr>
          <w:t>https://www1.nyc.gov/site/dfta/services/older-adult-center.page</w:t>
        </w:r>
      </w:hyperlink>
      <w:r>
        <w:t>.</w:t>
      </w:r>
    </w:p>
  </w:footnote>
  <w:footnote w:id="30">
    <w:p w14:paraId="5C026EBD" w14:textId="77824685" w:rsidR="00C626E2" w:rsidRDefault="00C626E2">
      <w:pPr>
        <w:pStyle w:val="FootnoteText"/>
      </w:pPr>
      <w:r>
        <w:rPr>
          <w:rStyle w:val="FootnoteReference"/>
        </w:rPr>
        <w:footnoteRef/>
      </w:r>
      <w:r>
        <w:t xml:space="preserve"> </w:t>
      </w:r>
      <w:r>
        <w:rPr>
          <w:i/>
          <w:iCs/>
        </w:rPr>
        <w:t>Id.</w:t>
      </w:r>
    </w:p>
  </w:footnote>
  <w:footnote w:id="31">
    <w:p w14:paraId="404EE78C" w14:textId="77777777" w:rsidR="00C626E2" w:rsidRDefault="00C626E2" w:rsidP="007A3DDB">
      <w:pPr>
        <w:pStyle w:val="FootnoteText"/>
      </w:pPr>
      <w:r>
        <w:rPr>
          <w:rStyle w:val="FootnoteReference"/>
        </w:rPr>
        <w:footnoteRef/>
      </w:r>
      <w:r>
        <w:t xml:space="preserve"> </w:t>
      </w:r>
      <w:r w:rsidRPr="00A65CA6">
        <w:rPr>
          <w:i/>
        </w:rPr>
        <w:t>Id.</w:t>
      </w:r>
    </w:p>
  </w:footnote>
  <w:footnote w:id="32">
    <w:p w14:paraId="1C14BCD4" w14:textId="527DBF69" w:rsidR="00C626E2" w:rsidRDefault="00C626E2">
      <w:pPr>
        <w:pStyle w:val="FootnoteText"/>
      </w:pPr>
      <w:r>
        <w:rPr>
          <w:rStyle w:val="FootnoteReference"/>
        </w:rPr>
        <w:footnoteRef/>
      </w:r>
      <w:r>
        <w:t xml:space="preserve"> </w:t>
      </w:r>
      <w:r>
        <w:rPr>
          <w:i/>
          <w:iCs/>
        </w:rPr>
        <w:t>Id.</w:t>
      </w:r>
    </w:p>
  </w:footnote>
  <w:footnote w:id="33">
    <w:p w14:paraId="506C267D" w14:textId="5E31A271" w:rsidR="00C626E2" w:rsidRDefault="00C626E2">
      <w:pPr>
        <w:pStyle w:val="FootnoteText"/>
      </w:pPr>
      <w:r>
        <w:rPr>
          <w:rStyle w:val="FootnoteReference"/>
        </w:rPr>
        <w:footnoteRef/>
      </w:r>
      <w:r>
        <w:t xml:space="preserve"> VISIONS, About: VISIONS Center on Aging (</w:t>
      </w:r>
      <w:proofErr w:type="spellStart"/>
      <w:r>
        <w:t>n.d.</w:t>
      </w:r>
      <w:proofErr w:type="spellEnd"/>
      <w:r>
        <w:t xml:space="preserve">), </w:t>
      </w:r>
      <w:r w:rsidRPr="00781787">
        <w:rPr>
          <w:i/>
        </w:rPr>
        <w:t>available at</w:t>
      </w:r>
      <w:r>
        <w:t xml:space="preserve"> </w:t>
      </w:r>
      <w:hyperlink r:id="rId11" w:history="1">
        <w:r w:rsidRPr="004C12E3">
          <w:rPr>
            <w:rStyle w:val="Hyperlink"/>
          </w:rPr>
          <w:t>https://visionsvcb.org/what-we-do/senior-center/</w:t>
        </w:r>
      </w:hyperlink>
      <w:r>
        <w:t xml:space="preserve">. </w:t>
      </w:r>
    </w:p>
  </w:footnote>
  <w:footnote w:id="34">
    <w:p w14:paraId="57FA4AEA" w14:textId="6989970C" w:rsidR="00C626E2" w:rsidRDefault="00C626E2">
      <w:pPr>
        <w:pStyle w:val="FootnoteText"/>
      </w:pPr>
      <w:r>
        <w:rPr>
          <w:rStyle w:val="FootnoteReference"/>
        </w:rPr>
        <w:footnoteRef/>
      </w:r>
      <w:r>
        <w:t xml:space="preserve"> N.Y.C. Dep’t for the Aging, Services: In-Home Services (</w:t>
      </w:r>
      <w:proofErr w:type="spellStart"/>
      <w:r>
        <w:t>n.d.</w:t>
      </w:r>
      <w:proofErr w:type="spellEnd"/>
      <w:r>
        <w:t xml:space="preserve">), </w:t>
      </w:r>
      <w:r w:rsidRPr="00D93FF5">
        <w:rPr>
          <w:i/>
        </w:rPr>
        <w:t>available at</w:t>
      </w:r>
      <w:r>
        <w:t xml:space="preserve"> </w:t>
      </w:r>
      <w:hyperlink r:id="rId12" w:history="1">
        <w:r w:rsidRPr="004C12E3">
          <w:rPr>
            <w:rStyle w:val="Hyperlink"/>
          </w:rPr>
          <w:t>https://www1.nyc.gov/site/dfta/services/in-home-services.page</w:t>
        </w:r>
      </w:hyperlink>
      <w:r>
        <w:t xml:space="preserve">. </w:t>
      </w:r>
    </w:p>
  </w:footnote>
  <w:footnote w:id="35">
    <w:p w14:paraId="0B586485" w14:textId="04CABB81" w:rsidR="00C626E2" w:rsidRDefault="00C626E2">
      <w:pPr>
        <w:pStyle w:val="FootnoteText"/>
      </w:pPr>
      <w:r>
        <w:rPr>
          <w:rStyle w:val="FootnoteReference"/>
        </w:rPr>
        <w:footnoteRef/>
      </w:r>
      <w:r>
        <w:t xml:space="preserve"> N.Y.C. Dep’t for the Aging, Friendly Programs: How Friendly Visiting and Friendly VOICES Can Help (</w:t>
      </w:r>
      <w:proofErr w:type="spellStart"/>
      <w:r>
        <w:t>n.d.</w:t>
      </w:r>
      <w:proofErr w:type="spellEnd"/>
      <w:r>
        <w:t xml:space="preserve">), </w:t>
      </w:r>
      <w:r w:rsidRPr="00A812CB">
        <w:rPr>
          <w:i/>
        </w:rPr>
        <w:t>available at</w:t>
      </w:r>
      <w:r>
        <w:t xml:space="preserve"> </w:t>
      </w:r>
      <w:hyperlink r:id="rId13" w:history="1">
        <w:r w:rsidRPr="004C12E3">
          <w:rPr>
            <w:rStyle w:val="Hyperlink"/>
          </w:rPr>
          <w:t>https://www1.nyc.gov/site/dfta/services/friendly-programs.page</w:t>
        </w:r>
      </w:hyperlink>
      <w:r>
        <w:t xml:space="preserve">. </w:t>
      </w:r>
    </w:p>
  </w:footnote>
  <w:footnote w:id="36">
    <w:p w14:paraId="5130E807" w14:textId="4A16278E" w:rsidR="00C626E2" w:rsidRDefault="00C626E2">
      <w:pPr>
        <w:pStyle w:val="FootnoteText"/>
      </w:pPr>
      <w:r>
        <w:rPr>
          <w:rStyle w:val="FootnoteReference"/>
        </w:rPr>
        <w:footnoteRef/>
      </w:r>
      <w:r>
        <w:t xml:space="preserve"> </w:t>
      </w:r>
      <w:r>
        <w:rPr>
          <w:i/>
          <w:iCs/>
        </w:rPr>
        <w:t>Id.</w:t>
      </w:r>
    </w:p>
  </w:footnote>
  <w:footnote w:id="37">
    <w:p w14:paraId="5C9A7103" w14:textId="004D17DF" w:rsidR="00C626E2" w:rsidRDefault="00C626E2">
      <w:pPr>
        <w:pStyle w:val="FootnoteText"/>
      </w:pPr>
      <w:r>
        <w:rPr>
          <w:rStyle w:val="FootnoteReference"/>
        </w:rPr>
        <w:footnoteRef/>
      </w:r>
      <w:r>
        <w:t xml:space="preserve"> </w:t>
      </w:r>
      <w:r>
        <w:rPr>
          <w:i/>
          <w:iCs/>
        </w:rPr>
        <w:t>Id.</w:t>
      </w:r>
    </w:p>
  </w:footnote>
  <w:footnote w:id="38">
    <w:p w14:paraId="3BB2F78A" w14:textId="46E81394" w:rsidR="00C626E2" w:rsidRDefault="00C626E2">
      <w:pPr>
        <w:pStyle w:val="FootnoteText"/>
      </w:pPr>
      <w:r>
        <w:rPr>
          <w:rStyle w:val="FootnoteReference"/>
        </w:rPr>
        <w:footnoteRef/>
      </w:r>
      <w:r>
        <w:t xml:space="preserve"> </w:t>
      </w:r>
      <w:r>
        <w:rPr>
          <w:i/>
          <w:iCs/>
        </w:rPr>
        <w:t>Id.</w:t>
      </w:r>
    </w:p>
  </w:footnote>
  <w:footnote w:id="39">
    <w:p w14:paraId="03EA9769" w14:textId="2A46D073" w:rsidR="00C626E2" w:rsidRDefault="00C626E2">
      <w:pPr>
        <w:pStyle w:val="FootnoteText"/>
      </w:pPr>
      <w:r>
        <w:rPr>
          <w:rStyle w:val="FootnoteReference"/>
        </w:rPr>
        <w:footnoteRef/>
      </w:r>
      <w:r>
        <w:t xml:space="preserve"> </w:t>
      </w:r>
      <w:r>
        <w:rPr>
          <w:i/>
          <w:iCs/>
        </w:rPr>
        <w:t>Id.</w:t>
      </w:r>
    </w:p>
  </w:footnote>
  <w:footnote w:id="40">
    <w:p w14:paraId="053A68B1" w14:textId="50C4C94D" w:rsidR="00C626E2" w:rsidRDefault="00C626E2">
      <w:pPr>
        <w:pStyle w:val="FootnoteText"/>
      </w:pPr>
      <w:r>
        <w:rPr>
          <w:rStyle w:val="FootnoteReference"/>
        </w:rPr>
        <w:footnoteRef/>
      </w:r>
      <w:r>
        <w:t xml:space="preserve"> </w:t>
      </w:r>
      <w:r>
        <w:rPr>
          <w:i/>
          <w:iCs/>
        </w:rPr>
        <w:t>Id.</w:t>
      </w:r>
    </w:p>
  </w:footnote>
  <w:footnote w:id="41">
    <w:p w14:paraId="1F561C17" w14:textId="0F76A1A3" w:rsidR="00C626E2" w:rsidRDefault="00C626E2" w:rsidP="002B19BA">
      <w:pPr>
        <w:pStyle w:val="FootnoteText"/>
      </w:pPr>
      <w:r>
        <w:rPr>
          <w:rStyle w:val="FootnoteReference"/>
        </w:rPr>
        <w:footnoteRef/>
      </w:r>
      <w:r>
        <w:t xml:space="preserve"> N.Y.C. Dep’t for the Aging, Volunteer Resources (</w:t>
      </w:r>
      <w:proofErr w:type="spellStart"/>
      <w:r>
        <w:t>n.d.</w:t>
      </w:r>
      <w:proofErr w:type="spellEnd"/>
      <w:r>
        <w:t xml:space="preserve">), </w:t>
      </w:r>
      <w:r w:rsidRPr="0073473D">
        <w:rPr>
          <w:i/>
        </w:rPr>
        <w:t xml:space="preserve">available at </w:t>
      </w:r>
      <w:hyperlink r:id="rId14" w:history="1">
        <w:r w:rsidRPr="005E0832">
          <w:rPr>
            <w:rStyle w:val="Hyperlink"/>
          </w:rPr>
          <w:t>https://www1.nyc.gov/site/dfta/volunteering/volunteer-resources.page</w:t>
        </w:r>
      </w:hyperlink>
      <w:r>
        <w:t xml:space="preserve">. </w:t>
      </w:r>
    </w:p>
  </w:footnote>
  <w:footnote w:id="42">
    <w:p w14:paraId="6E76D041" w14:textId="444211EC" w:rsidR="00C626E2" w:rsidRDefault="00C626E2" w:rsidP="00E67204">
      <w:pPr>
        <w:pStyle w:val="FootnoteText"/>
      </w:pPr>
      <w:r>
        <w:rPr>
          <w:rStyle w:val="FootnoteReference"/>
        </w:rPr>
        <w:footnoteRef/>
      </w:r>
      <w:r>
        <w:t xml:space="preserve"> </w:t>
      </w:r>
      <w:r>
        <w:rPr>
          <w:rStyle w:val="normaltextrun"/>
          <w:color w:val="000000"/>
          <w:shd w:val="clear" w:color="auto" w:fill="FFFFFF"/>
        </w:rPr>
        <w:t> N.Y.C. Council,</w:t>
      </w:r>
      <w:r>
        <w:rPr>
          <w:rStyle w:val="normaltextrun"/>
          <w:i/>
          <w:iCs/>
          <w:color w:val="000000"/>
          <w:shd w:val="clear" w:color="auto" w:fill="FFFFFF"/>
        </w:rPr>
        <w:t> </w:t>
      </w:r>
      <w:r>
        <w:rPr>
          <w:rStyle w:val="normaltextrun"/>
          <w:color w:val="000000"/>
          <w:shd w:val="clear" w:color="auto" w:fill="FFFFFF"/>
        </w:rPr>
        <w:t>Our Homelessness Crises: The Case for Change</w:t>
      </w:r>
      <w:r>
        <w:rPr>
          <w:rStyle w:val="normaltextrun"/>
          <w:i/>
          <w:iCs/>
          <w:color w:val="000000"/>
          <w:shd w:val="clear" w:color="auto" w:fill="FFFFFF"/>
        </w:rPr>
        <w:t>, available at: </w:t>
      </w:r>
      <w:hyperlink r:id="rId15" w:tgtFrame="_blank" w:history="1">
        <w:r>
          <w:rPr>
            <w:rStyle w:val="normaltextrun"/>
            <w:i/>
            <w:iCs/>
            <w:color w:val="0000FF"/>
            <w:u w:val="single"/>
            <w:shd w:val="clear" w:color="auto" w:fill="FFFFFF"/>
          </w:rPr>
          <w:t>http://council.nyc.gov/data/wp-content/uploads/sites/73/2020/01/FINAL-PAPER.pdf</w:t>
        </w:r>
      </w:hyperlink>
      <w:r>
        <w:t>.</w:t>
      </w:r>
    </w:p>
  </w:footnote>
  <w:footnote w:id="43">
    <w:p w14:paraId="442D8D41" w14:textId="323B1096" w:rsidR="00C626E2" w:rsidRPr="003800B3" w:rsidRDefault="00C626E2">
      <w:pPr>
        <w:pStyle w:val="FootnoteText"/>
      </w:pPr>
      <w:r>
        <w:rPr>
          <w:rStyle w:val="FootnoteReference"/>
        </w:rPr>
        <w:footnoteRef/>
      </w:r>
      <w:r>
        <w:t xml:space="preserve"> </w:t>
      </w:r>
      <w:r>
        <w:rPr>
          <w:i/>
        </w:rPr>
        <w:t>Id.</w:t>
      </w:r>
    </w:p>
  </w:footnote>
  <w:footnote w:id="44">
    <w:p w14:paraId="03AA0AFE" w14:textId="2EC852CA" w:rsidR="00C626E2" w:rsidRPr="00B45AB5" w:rsidRDefault="00C626E2">
      <w:pPr>
        <w:pStyle w:val="FootnoteText"/>
      </w:pPr>
      <w:r>
        <w:rPr>
          <w:rStyle w:val="FootnoteReference"/>
        </w:rPr>
        <w:footnoteRef/>
      </w:r>
      <w:r>
        <w:t xml:space="preserve"> </w:t>
      </w:r>
      <w:r>
        <w:rPr>
          <w:i/>
          <w:iCs/>
        </w:rPr>
        <w:t>Id.</w:t>
      </w:r>
    </w:p>
  </w:footnote>
  <w:footnote w:id="45">
    <w:p w14:paraId="6D87029B" w14:textId="177254AD" w:rsidR="00C626E2" w:rsidRPr="00B634BF" w:rsidRDefault="00C626E2">
      <w:pPr>
        <w:pStyle w:val="FootnoteText"/>
      </w:pPr>
      <w:r>
        <w:rPr>
          <w:rStyle w:val="FootnoteReference"/>
        </w:rPr>
        <w:footnoteRef/>
      </w:r>
      <w:r>
        <w:t xml:space="preserve"> NYC 311, </w:t>
      </w:r>
      <w:r w:rsidRPr="00EB7C51">
        <w:t>Senior Legal Assistance and Inquiries</w:t>
      </w:r>
      <w:r>
        <w:t xml:space="preserve">, </w:t>
      </w:r>
      <w:r>
        <w:rPr>
          <w:i/>
        </w:rPr>
        <w:t>available at</w:t>
      </w:r>
      <w:r>
        <w:t xml:space="preserve"> </w:t>
      </w:r>
      <w:hyperlink r:id="rId16" w:history="1">
        <w:r w:rsidRPr="00EB4AC5">
          <w:rPr>
            <w:rStyle w:val="Hyperlink"/>
          </w:rPr>
          <w:t>https://portal.311.nyc.gov/article/?kanumber=KA-03171</w:t>
        </w:r>
      </w:hyperlink>
      <w:r>
        <w:t xml:space="preserve"> (last accessed Sep. 9, 2022). </w:t>
      </w:r>
      <w:r>
        <w:rPr>
          <w:i/>
          <w:iCs/>
        </w:rPr>
        <w:t xml:space="preserve">See also </w:t>
      </w:r>
      <w:r>
        <w:rPr>
          <w:iCs/>
        </w:rPr>
        <w:t>N.Y.C. Dept.</w:t>
      </w:r>
      <w:hyperlink r:id="rId17" w:history="1">
        <w:r w:rsidRPr="00EB4AC5">
          <w:rPr>
            <w:rStyle w:val="Hyperlink"/>
          </w:rPr>
          <w:t>https://data.cityofnewyork.us/Social-Services/Department-for-the-Aging-DFTA-Contracted-Providers/cqc8-am9x/data</w:t>
        </w:r>
      </w:hyperlink>
      <w:r>
        <w:t xml:space="preserve">. </w:t>
      </w:r>
    </w:p>
  </w:footnote>
  <w:footnote w:id="46">
    <w:p w14:paraId="1735FBCD" w14:textId="6085FD02" w:rsidR="00C626E2" w:rsidRDefault="00C626E2">
      <w:pPr>
        <w:pStyle w:val="FootnoteText"/>
      </w:pPr>
      <w:r>
        <w:rPr>
          <w:rStyle w:val="FootnoteReference"/>
        </w:rPr>
        <w:footnoteRef/>
      </w:r>
      <w:r>
        <w:t xml:space="preserve"> N.Y. St. Unified Ct. Sys. Off. </w:t>
      </w:r>
      <w:r w:rsidR="00731B09">
        <w:t>For</w:t>
      </w:r>
      <w:r>
        <w:t xml:space="preserve"> Justice Initiatives, </w:t>
      </w:r>
      <w:r w:rsidRPr="00EB7C51">
        <w:t>Assigned Counsel Project (ACP)</w:t>
      </w:r>
      <w:r>
        <w:t xml:space="preserve">, </w:t>
      </w:r>
      <w:hyperlink r:id="rId18" w:history="1">
        <w:r w:rsidRPr="00D433CD">
          <w:rPr>
            <w:rStyle w:val="Hyperlink"/>
          </w:rPr>
          <w:t>https://www.nycourts.gov/courts/nyc/civil/pdfs/acp_brochure.pdf</w:t>
        </w:r>
      </w:hyperlink>
      <w:r>
        <w:t xml:space="preserve"> (last accessed Sep. 2, 2022). </w:t>
      </w:r>
    </w:p>
  </w:footnote>
  <w:footnote w:id="47">
    <w:p w14:paraId="6AF7D542" w14:textId="65BFB945" w:rsidR="00C626E2" w:rsidRPr="00A201F9" w:rsidRDefault="00C626E2">
      <w:pPr>
        <w:pStyle w:val="FootnoteText"/>
      </w:pPr>
      <w:r>
        <w:rPr>
          <w:rStyle w:val="FootnoteReference"/>
        </w:rPr>
        <w:footnoteRef/>
      </w:r>
      <w:r>
        <w:t xml:space="preserve"> </w:t>
      </w:r>
      <w:r>
        <w:rPr>
          <w:i/>
        </w:rPr>
        <w:t>Id.</w:t>
      </w:r>
    </w:p>
  </w:footnote>
  <w:footnote w:id="48">
    <w:p w14:paraId="1CCA81ED" w14:textId="0184FBB8" w:rsidR="00C626E2" w:rsidRPr="002A486A" w:rsidRDefault="00C626E2">
      <w:pPr>
        <w:pStyle w:val="FootnoteText"/>
      </w:pPr>
      <w:r>
        <w:rPr>
          <w:rStyle w:val="FootnoteReference"/>
        </w:rPr>
        <w:footnoteRef/>
      </w:r>
      <w:r>
        <w:t xml:space="preserve"> </w:t>
      </w:r>
      <w:r>
        <w:rPr>
          <w:i/>
        </w:rPr>
        <w:t>Id.</w:t>
      </w:r>
    </w:p>
  </w:footnote>
  <w:footnote w:id="49">
    <w:p w14:paraId="0566172D" w14:textId="5384EC5C" w:rsidR="00C626E2" w:rsidRPr="00C80CDE" w:rsidRDefault="00C626E2">
      <w:pPr>
        <w:pStyle w:val="FootnoteText"/>
      </w:pPr>
      <w:r>
        <w:rPr>
          <w:rStyle w:val="FootnoteReference"/>
        </w:rPr>
        <w:footnoteRef/>
      </w:r>
      <w:r>
        <w:t xml:space="preserve"> </w:t>
      </w:r>
      <w:r>
        <w:rPr>
          <w:i/>
        </w:rPr>
        <w:t>Id</w:t>
      </w:r>
      <w:r>
        <w:t>.</w:t>
      </w:r>
    </w:p>
  </w:footnote>
  <w:footnote w:id="50">
    <w:p w14:paraId="15D97F1C" w14:textId="3603B272" w:rsidR="00C626E2" w:rsidRDefault="00C626E2" w:rsidP="00D31240">
      <w:pPr>
        <w:pStyle w:val="FootnoteText"/>
      </w:pPr>
      <w:r>
        <w:rPr>
          <w:rStyle w:val="FootnoteReference"/>
        </w:rPr>
        <w:footnoteRef/>
      </w:r>
      <w:r>
        <w:t xml:space="preserve"> Testimony of Lorraine Cortés-Vázquez, Commissioner, N.Y.C. Dep’t for the Aging, to the N.Y.C. Council Committee on Aging, Dec. 3, 2021.</w:t>
      </w:r>
    </w:p>
  </w:footnote>
  <w:footnote w:id="51">
    <w:p w14:paraId="6635562D" w14:textId="1CCF102A" w:rsidR="00C626E2" w:rsidRDefault="00C626E2">
      <w:pPr>
        <w:pStyle w:val="FootnoteText"/>
      </w:pPr>
      <w:r>
        <w:rPr>
          <w:rStyle w:val="FootnoteReference"/>
        </w:rPr>
        <w:footnoteRef/>
      </w:r>
      <w:r>
        <w:t xml:space="preserve"> Emma </w:t>
      </w:r>
      <w:proofErr w:type="spellStart"/>
      <w:r>
        <w:t>Whitford</w:t>
      </w:r>
      <w:proofErr w:type="spellEnd"/>
      <w:r>
        <w:t xml:space="preserve">, </w:t>
      </w:r>
      <w:r w:rsidRPr="00EB7C51">
        <w:rPr>
          <w:i/>
        </w:rPr>
        <w:t xml:space="preserve">NYC Housing Court Memo </w:t>
      </w:r>
      <w:r w:rsidR="00731B09" w:rsidRPr="00EB7C51">
        <w:rPr>
          <w:i/>
        </w:rPr>
        <w:t>on</w:t>
      </w:r>
      <w:r w:rsidRPr="00EB7C51">
        <w:rPr>
          <w:i/>
        </w:rPr>
        <w:t xml:space="preserve"> </w:t>
      </w:r>
      <w:proofErr w:type="spellStart"/>
      <w:r w:rsidRPr="00EB7C51">
        <w:rPr>
          <w:i/>
        </w:rPr>
        <w:t>Atty</w:t>
      </w:r>
      <w:proofErr w:type="spellEnd"/>
      <w:r w:rsidRPr="00EB7C51">
        <w:rPr>
          <w:i/>
        </w:rPr>
        <w:t xml:space="preserve"> Shortages Meets Pushback</w:t>
      </w:r>
      <w:r>
        <w:t xml:space="preserve">, Law360 (Apt. 1, 2022, 6:18 PM), </w:t>
      </w:r>
      <w:hyperlink r:id="rId19" w:history="1">
        <w:r w:rsidRPr="00D433CD">
          <w:rPr>
            <w:rStyle w:val="Hyperlink"/>
          </w:rPr>
          <w:t>https://www.law360.com/articles/1479990/nyc-housing-court-memo-on-atty-shortages-meets-pushback</w:t>
        </w:r>
      </w:hyperlink>
      <w:r>
        <w:t xml:space="preserve">. </w:t>
      </w:r>
    </w:p>
  </w:footnote>
  <w:footnote w:id="52">
    <w:p w14:paraId="4B2E70FF" w14:textId="598348C7" w:rsidR="00C626E2" w:rsidRDefault="00C626E2">
      <w:pPr>
        <w:pStyle w:val="FootnoteText"/>
      </w:pPr>
      <w:r>
        <w:rPr>
          <w:rStyle w:val="FootnoteReference"/>
        </w:rPr>
        <w:footnoteRef/>
      </w:r>
      <w:r>
        <w:t xml:space="preserve"> Emma </w:t>
      </w:r>
      <w:proofErr w:type="spellStart"/>
      <w:r>
        <w:t>Whitford</w:t>
      </w:r>
      <w:proofErr w:type="spellEnd"/>
      <w:r>
        <w:t xml:space="preserve">, </w:t>
      </w:r>
      <w:r>
        <w:rPr>
          <w:i/>
        </w:rPr>
        <w:t xml:space="preserve">NYC Housing Court Rejects ‘Inundated </w:t>
      </w:r>
      <w:proofErr w:type="spellStart"/>
      <w:r>
        <w:rPr>
          <w:i/>
        </w:rPr>
        <w:t>Attys</w:t>
      </w:r>
      <w:proofErr w:type="spellEnd"/>
      <w:r>
        <w:rPr>
          <w:i/>
        </w:rPr>
        <w:t>’ Slowdown Ask</w:t>
      </w:r>
      <w:r>
        <w:t xml:space="preserve">, Law360 (Mar. 4, 2022, 7:37 PM), </w:t>
      </w:r>
      <w:hyperlink r:id="rId20" w:history="1">
        <w:r w:rsidRPr="00D433CD">
          <w:rPr>
            <w:rStyle w:val="Hyperlink"/>
          </w:rPr>
          <w:t>https://www.law360.com/articles/1470771/nyc-housing-court-rejects-inundated-attys-slowdown-ask</w:t>
        </w:r>
      </w:hyperlink>
      <w:r>
        <w:t xml:space="preserve">. </w:t>
      </w:r>
    </w:p>
  </w:footnote>
  <w:footnote w:id="53">
    <w:p w14:paraId="295210E5" w14:textId="662E91E2" w:rsidR="00C626E2" w:rsidRPr="006E456B" w:rsidRDefault="00C626E2">
      <w:pPr>
        <w:pStyle w:val="FootnoteText"/>
      </w:pPr>
      <w:r>
        <w:rPr>
          <w:rStyle w:val="FootnoteReference"/>
        </w:rPr>
        <w:footnoteRef/>
      </w:r>
      <w:r>
        <w:t xml:space="preserve"> </w:t>
      </w:r>
      <w:r>
        <w:rPr>
          <w:i/>
        </w:rPr>
        <w:t>Id.</w:t>
      </w:r>
    </w:p>
  </w:footnote>
  <w:footnote w:id="54">
    <w:p w14:paraId="7418CD15" w14:textId="5FEC5963" w:rsidR="00C626E2" w:rsidRDefault="00C626E2">
      <w:pPr>
        <w:pStyle w:val="FootnoteText"/>
      </w:pPr>
      <w:r>
        <w:rPr>
          <w:rStyle w:val="FootnoteReference"/>
        </w:rPr>
        <w:footnoteRef/>
      </w:r>
      <w:r>
        <w:t xml:space="preserve"> Peter </w:t>
      </w:r>
      <w:proofErr w:type="spellStart"/>
      <w:r>
        <w:t>Champelli</w:t>
      </w:r>
      <w:proofErr w:type="spellEnd"/>
      <w:r>
        <w:t xml:space="preserve">, </w:t>
      </w:r>
      <w:r w:rsidRPr="00EB7C51">
        <w:rPr>
          <w:i/>
        </w:rPr>
        <w:t xml:space="preserve">New York City Rents Hit Record Highs </w:t>
      </w:r>
      <w:r w:rsidR="00731B09" w:rsidRPr="00EB7C51">
        <w:rPr>
          <w:i/>
        </w:rPr>
        <w:t>amid</w:t>
      </w:r>
      <w:r w:rsidRPr="00EB7C51">
        <w:rPr>
          <w:i/>
        </w:rPr>
        <w:t xml:space="preserve"> Nationwide Housing-Price Increases</w:t>
      </w:r>
      <w:r>
        <w:t xml:space="preserve">, Wall Street Journal (Aug. 11, 2022, 8:00 AM), </w:t>
      </w:r>
      <w:hyperlink r:id="rId21" w:history="1">
        <w:r w:rsidRPr="00D433CD">
          <w:rPr>
            <w:rStyle w:val="Hyperlink"/>
          </w:rPr>
          <w:t>https://www.wsj.com/articles/new-york-city-rents-hit-record-highs-amid-nationwide-housing-price-increases-11660219200</w:t>
        </w:r>
      </w:hyperlink>
      <w:r>
        <w:t xml:space="preserve">. </w:t>
      </w:r>
    </w:p>
  </w:footnote>
  <w:footnote w:id="55">
    <w:p w14:paraId="22DF1207" w14:textId="2E897AB2" w:rsidR="00C626E2" w:rsidRDefault="00C626E2">
      <w:pPr>
        <w:pStyle w:val="FootnoteText"/>
      </w:pPr>
      <w:r>
        <w:rPr>
          <w:rStyle w:val="FootnoteReference"/>
        </w:rPr>
        <w:footnoteRef/>
      </w:r>
      <w:r>
        <w:t xml:space="preserve"> N.Y.C. Dep’t of Soc. </w:t>
      </w:r>
      <w:proofErr w:type="spellStart"/>
      <w:r>
        <w:t>Servs</w:t>
      </w:r>
      <w:proofErr w:type="spellEnd"/>
      <w:r>
        <w:t xml:space="preserve">., Human Resources Administration, Rental Assistance: </w:t>
      </w:r>
      <w:proofErr w:type="spellStart"/>
      <w:r>
        <w:t>CityFHEPS</w:t>
      </w:r>
      <w:proofErr w:type="spellEnd"/>
      <w:r>
        <w:t xml:space="preserve">, </w:t>
      </w:r>
      <w:r>
        <w:rPr>
          <w:i/>
        </w:rPr>
        <w:t>available at</w:t>
      </w:r>
      <w:r>
        <w:t xml:space="preserve"> </w:t>
      </w:r>
      <w:hyperlink r:id="rId22" w:history="1">
        <w:r w:rsidRPr="00D433CD">
          <w:rPr>
            <w:rStyle w:val="Hyperlink"/>
          </w:rPr>
          <w:t>https://www1.nyc.gov/site/hra/help/cityfheps.page</w:t>
        </w:r>
      </w:hyperlink>
      <w:r>
        <w:t xml:space="preserve"> (last accessed Sep. 2, 2022).</w:t>
      </w:r>
    </w:p>
  </w:footnote>
  <w:footnote w:id="56">
    <w:p w14:paraId="659B45FE" w14:textId="1AF843F1" w:rsidR="00C626E2" w:rsidRDefault="00C626E2">
      <w:pPr>
        <w:pStyle w:val="FootnoteText"/>
      </w:pPr>
      <w:r>
        <w:rPr>
          <w:rStyle w:val="FootnoteReference"/>
        </w:rPr>
        <w:footnoteRef/>
      </w:r>
      <w:r>
        <w:t xml:space="preserve"> N.Y.C. Dep’t of Soc. </w:t>
      </w:r>
      <w:proofErr w:type="spellStart"/>
      <w:r>
        <w:t>Servs</w:t>
      </w:r>
      <w:proofErr w:type="spellEnd"/>
      <w:r>
        <w:t xml:space="preserve">., Human Resources Administration, Homelessness Prevention: </w:t>
      </w:r>
      <w:proofErr w:type="spellStart"/>
      <w:r>
        <w:t>Homebase</w:t>
      </w:r>
      <w:proofErr w:type="spellEnd"/>
      <w:r>
        <w:t xml:space="preserve">, </w:t>
      </w:r>
      <w:hyperlink r:id="rId23" w:history="1">
        <w:r w:rsidRPr="00D433CD">
          <w:rPr>
            <w:rStyle w:val="Hyperlink"/>
          </w:rPr>
          <w:t>https://www1.nyc.gov/site/hra/help/homebase.page</w:t>
        </w:r>
      </w:hyperlink>
      <w:r>
        <w:t xml:space="preserve"> (last accessed Sep. 2, 2022).</w:t>
      </w:r>
    </w:p>
  </w:footnote>
  <w:footnote w:id="57">
    <w:p w14:paraId="41E35C05" w14:textId="59CF6DE8" w:rsidR="00C626E2" w:rsidRDefault="00C626E2">
      <w:pPr>
        <w:pStyle w:val="FootnoteText"/>
      </w:pPr>
      <w:r>
        <w:rPr>
          <w:rStyle w:val="FootnoteReference"/>
        </w:rPr>
        <w:footnoteRef/>
      </w:r>
      <w:r>
        <w:t xml:space="preserve"> N.Y.C. Dep’t of Housing Preservation &amp; Development, Affordable Housing: Housing Ambassadors, </w:t>
      </w:r>
      <w:r>
        <w:rPr>
          <w:i/>
        </w:rPr>
        <w:t xml:space="preserve">available at </w:t>
      </w:r>
      <w:hyperlink r:id="rId24" w:anchor=":~:text=HPD%20partners%20with%20community%2Dbased,assistance%20with%20the%20application%20process" w:history="1">
        <w:r w:rsidRPr="00D433CD">
          <w:rPr>
            <w:rStyle w:val="Hyperlink"/>
          </w:rPr>
          <w:t>https://www1.nyc.gov/site/hpd/services-and-information/housing-ambassadors.page#:~:text=HPD%20partners%20with%20community%2Dbased,assistance%20with%20the%20application%20process</w:t>
        </w:r>
      </w:hyperlink>
      <w:r>
        <w:t xml:space="preserve"> (last accessed Sep. 2, 2022).</w:t>
      </w:r>
    </w:p>
  </w:footnote>
  <w:footnote w:id="58">
    <w:p w14:paraId="6C017E35" w14:textId="2CB24DE9" w:rsidR="00C626E2" w:rsidRDefault="00C626E2">
      <w:pPr>
        <w:pStyle w:val="FootnoteText"/>
      </w:pPr>
      <w:r>
        <w:rPr>
          <w:rStyle w:val="FootnoteReference"/>
        </w:rPr>
        <w:footnoteRef/>
      </w:r>
      <w:r>
        <w:t xml:space="preserve"> </w:t>
      </w:r>
      <w:r>
        <w:rPr>
          <w:rStyle w:val="normaltextrun"/>
          <w:i/>
          <w:iCs/>
          <w:color w:val="000000"/>
          <w:shd w:val="clear" w:color="auto" w:fill="FFFFFF"/>
        </w:rPr>
        <w:t>New York Foundation for Senior Citizens, Department for the Aging Expand Home Sharing Program</w:t>
      </w:r>
      <w:r>
        <w:rPr>
          <w:rStyle w:val="normaltextrun"/>
          <w:color w:val="000000"/>
          <w:shd w:val="clear" w:color="auto" w:fill="FFFFFF"/>
        </w:rPr>
        <w:t>,</w:t>
      </w:r>
      <w:r>
        <w:rPr>
          <w:rStyle w:val="normaltextrun"/>
          <w:i/>
          <w:iCs/>
          <w:color w:val="000000"/>
          <w:shd w:val="clear" w:color="auto" w:fill="FFFFFF"/>
        </w:rPr>
        <w:t> </w:t>
      </w:r>
      <w:r w:rsidRPr="00FA00AB">
        <w:rPr>
          <w:rStyle w:val="normaltextrun"/>
          <w:color w:val="000000"/>
          <w:shd w:val="clear" w:color="auto" w:fill="FFFFFF"/>
        </w:rPr>
        <w:t>N</w:t>
      </w:r>
      <w:r>
        <w:rPr>
          <w:rStyle w:val="normaltextrun"/>
          <w:color w:val="000000"/>
          <w:shd w:val="clear" w:color="auto" w:fill="FFFFFF"/>
        </w:rPr>
        <w:t>.</w:t>
      </w:r>
      <w:r w:rsidRPr="00FA00AB">
        <w:rPr>
          <w:rStyle w:val="normaltextrun"/>
          <w:color w:val="000000"/>
          <w:shd w:val="clear" w:color="auto" w:fill="FFFFFF"/>
        </w:rPr>
        <w:t>Y</w:t>
      </w:r>
      <w:r>
        <w:rPr>
          <w:rStyle w:val="normaltextrun"/>
          <w:color w:val="000000"/>
          <w:shd w:val="clear" w:color="auto" w:fill="FFFFFF"/>
        </w:rPr>
        <w:t>.</w:t>
      </w:r>
      <w:r w:rsidRPr="00FA00AB">
        <w:rPr>
          <w:rStyle w:val="normaltextrun"/>
          <w:color w:val="000000"/>
          <w:shd w:val="clear" w:color="auto" w:fill="FFFFFF"/>
        </w:rPr>
        <w:t>C</w:t>
      </w:r>
      <w:r>
        <w:rPr>
          <w:rStyle w:val="normaltextrun"/>
          <w:color w:val="000000"/>
          <w:shd w:val="clear" w:color="auto" w:fill="FFFFFF"/>
        </w:rPr>
        <w:t>. Dep’</w:t>
      </w:r>
      <w:r w:rsidRPr="00FA00AB">
        <w:rPr>
          <w:rStyle w:val="normaltextrun"/>
          <w:color w:val="000000"/>
          <w:shd w:val="clear" w:color="auto" w:fill="FFFFFF"/>
        </w:rPr>
        <w:t>t for the Aging,</w:t>
      </w:r>
      <w:r>
        <w:rPr>
          <w:rStyle w:val="normaltextrun"/>
          <w:color w:val="000000"/>
          <w:shd w:val="clear" w:color="auto" w:fill="FFFFFF"/>
        </w:rPr>
        <w:t xml:space="preserve"> Mar. 27, 2019, </w:t>
      </w:r>
      <w:r>
        <w:rPr>
          <w:rStyle w:val="normaltextrun"/>
          <w:i/>
          <w:iCs/>
          <w:color w:val="000000"/>
          <w:shd w:val="clear" w:color="auto" w:fill="FFFFFF"/>
        </w:rPr>
        <w:t>available at</w:t>
      </w:r>
      <w:r>
        <w:rPr>
          <w:rStyle w:val="normaltextrun"/>
          <w:color w:val="000000"/>
          <w:shd w:val="clear" w:color="auto" w:fill="FFFFFF"/>
        </w:rPr>
        <w:t> </w:t>
      </w:r>
      <w:hyperlink r:id="rId25" w:tgtFrame="_blank" w:history="1">
        <w:r>
          <w:rPr>
            <w:rStyle w:val="normaltextrun"/>
            <w:color w:val="0000FF"/>
            <w:u w:val="single"/>
            <w:shd w:val="clear" w:color="auto" w:fill="FFFFFF"/>
          </w:rPr>
          <w:t>https://www1.nyc.gov/site/dfta/about/pr-NYFC-and-DFTA-hold-pr-for-homesharing-program.page</w:t>
        </w:r>
      </w:hyperlink>
      <w:r>
        <w:rPr>
          <w:rStyle w:val="normaltextrun"/>
          <w:color w:val="000000"/>
          <w:shd w:val="clear" w:color="auto" w:fill="FFFFFF"/>
        </w:rPr>
        <w:t>. </w:t>
      </w:r>
    </w:p>
  </w:footnote>
  <w:footnote w:id="59">
    <w:p w14:paraId="449D6290" w14:textId="52B300E4" w:rsidR="00C626E2" w:rsidRDefault="00C626E2" w:rsidP="00485BAF">
      <w:pPr>
        <w:pStyle w:val="FootnoteText"/>
      </w:pPr>
      <w:r>
        <w:rPr>
          <w:rStyle w:val="FootnoteReference"/>
        </w:rPr>
        <w:footnoteRef/>
      </w:r>
      <w:r>
        <w:t xml:space="preserve"> ACCESS NYC, </w:t>
      </w:r>
      <w:r>
        <w:rPr>
          <w:i/>
        </w:rPr>
        <w:t>Cash during an emergency: Emergency Assistance / One Shot Deal</w:t>
      </w:r>
      <w:r>
        <w:t xml:space="preserve">, </w:t>
      </w:r>
      <w:hyperlink r:id="rId26" w:history="1">
        <w:r w:rsidRPr="00D433CD">
          <w:rPr>
            <w:rStyle w:val="Hyperlink"/>
          </w:rPr>
          <w:t>https://access.nyc.gov/programs/one-shot-deal/</w:t>
        </w:r>
      </w:hyperlink>
      <w:r>
        <w:t xml:space="preserve"> (last accessed Sep. 2, 2022).</w:t>
      </w:r>
    </w:p>
  </w:footnote>
  <w:footnote w:id="60">
    <w:p w14:paraId="39D0F4E8" w14:textId="7EDF2D2B" w:rsidR="00C626E2" w:rsidRDefault="00C626E2">
      <w:pPr>
        <w:pStyle w:val="FootnoteText"/>
      </w:pPr>
      <w:r>
        <w:rPr>
          <w:rStyle w:val="FootnoteReference"/>
        </w:rPr>
        <w:footnoteRef/>
      </w:r>
      <w:r>
        <w:t xml:space="preserve"> </w:t>
      </w:r>
      <w:r w:rsidRPr="00C626E2">
        <w:t>MHANY Management</w:t>
      </w:r>
      <w:r>
        <w:t xml:space="preserve">, One Shot Deal, </w:t>
      </w:r>
      <w:r>
        <w:rPr>
          <w:i/>
        </w:rPr>
        <w:t>Emergency Rent Relief – HRA’s One Shot Deal</w:t>
      </w:r>
      <w:r>
        <w:t xml:space="preserve">, </w:t>
      </w:r>
      <w:hyperlink r:id="rId27" w:history="1">
        <w:r w:rsidRPr="00D433CD">
          <w:rPr>
            <w:rStyle w:val="Hyperlink"/>
          </w:rPr>
          <w:t>https://www.mutualhousingny.org/one-shot-deal</w:t>
        </w:r>
      </w:hyperlink>
      <w:r>
        <w:t xml:space="preserve"> (last accessed Sep. 2, 2022).</w:t>
      </w:r>
    </w:p>
  </w:footnote>
  <w:footnote w:id="61">
    <w:p w14:paraId="0A78ECAA" w14:textId="1491D57D" w:rsidR="00C626E2" w:rsidRDefault="00C626E2">
      <w:pPr>
        <w:pStyle w:val="FootnoteText"/>
      </w:pPr>
      <w:r>
        <w:rPr>
          <w:rStyle w:val="FootnoteReference"/>
        </w:rPr>
        <w:footnoteRef/>
      </w:r>
      <w:r>
        <w:t xml:space="preserve"> N.Y.C. Dep’t of Finance, </w:t>
      </w:r>
      <w:r>
        <w:rPr>
          <w:i/>
        </w:rPr>
        <w:t xml:space="preserve">A Guide </w:t>
      </w:r>
      <w:r w:rsidR="00731B09">
        <w:rPr>
          <w:i/>
        </w:rPr>
        <w:t>for</w:t>
      </w:r>
      <w:r>
        <w:rPr>
          <w:i/>
        </w:rPr>
        <w:t xml:space="preserve"> Tenants: Senior Citizens (62 and over) and People with Disabilities (18 an over)</w:t>
      </w:r>
      <w:r>
        <w:t xml:space="preserve">, rev. Nov. 11, 2017, </w:t>
      </w:r>
      <w:r>
        <w:rPr>
          <w:i/>
        </w:rPr>
        <w:t>available at</w:t>
      </w:r>
      <w:r>
        <w:t xml:space="preserve"> </w:t>
      </w:r>
      <w:hyperlink r:id="rId28" w:history="1">
        <w:r w:rsidRPr="00D433CD">
          <w:rPr>
            <w:rStyle w:val="Hyperlink"/>
          </w:rPr>
          <w:t>https://www1.nyc.gov/assets/finance/downloads/pdf/brochures/scriedriebrochure.pdf</w:t>
        </w:r>
      </w:hyperlink>
      <w:r>
        <w:t xml:space="preserve"> (last accessed Sep. 2, 2022).</w:t>
      </w:r>
    </w:p>
  </w:footnote>
  <w:footnote w:id="62">
    <w:p w14:paraId="1FB6EB67" w14:textId="282E0646" w:rsidR="00C626E2" w:rsidRDefault="00C626E2">
      <w:pPr>
        <w:pStyle w:val="FootnoteText"/>
      </w:pPr>
      <w:r>
        <w:rPr>
          <w:rStyle w:val="FootnoteReference"/>
        </w:rPr>
        <w:footnoteRef/>
      </w:r>
      <w:r>
        <w:t xml:space="preserve"> N.Y. S. 5102, </w:t>
      </w:r>
      <w:r>
        <w:rPr>
          <w:i/>
        </w:rPr>
        <w:t xml:space="preserve">available at </w:t>
      </w:r>
      <w:hyperlink r:id="rId29" w:history="1">
        <w:r w:rsidRPr="00D433CD">
          <w:rPr>
            <w:rStyle w:val="Hyperlink"/>
          </w:rPr>
          <w:t>https://www.nysenate.gov/legislation/bills/2021/S5102</w:t>
        </w:r>
      </w:hyperlink>
      <w:r>
        <w:t xml:space="preserve">; </w:t>
      </w:r>
      <w:hyperlink r:id="rId30" w:history="1">
        <w:r w:rsidRPr="00DA1846">
          <w:rPr>
            <w:rStyle w:val="Hyperlink"/>
            <w:i/>
          </w:rPr>
          <w:t>see also</w:t>
        </w:r>
        <w:r w:rsidRPr="00DA1846">
          <w:rPr>
            <w:rStyle w:val="Hyperlink"/>
          </w:rPr>
          <w:t xml:space="preserve"> Nikkia Rivera, </w:t>
        </w:r>
        <w:r w:rsidRPr="00DA1846">
          <w:rPr>
            <w:rStyle w:val="Hyperlink"/>
            <w:i/>
          </w:rPr>
          <w:t>Scott Stringer Calls for Strategic City Planning for Seniors,</w:t>
        </w:r>
        <w:r w:rsidRPr="00DA1846">
          <w:rPr>
            <w:rStyle w:val="Hyperlink"/>
          </w:rPr>
          <w:t xml:space="preserve"> N.Y. for Seniors (Jun. 6, 2017),</w:t>
        </w:r>
        <w:r w:rsidRPr="00DA1846">
          <w:rPr>
            <w:rStyle w:val="Hyperlink"/>
            <w:i/>
          </w:rPr>
          <w:t xml:space="preserve"> </w:t>
        </w:r>
        <w:r w:rsidRPr="00DA1846">
          <w:rPr>
            <w:rStyle w:val="Hyperlink"/>
          </w:rPr>
          <w:t>https://nyforseniors.com/scott-stringer-calls-for-strategic-city-planning-for-seniors/</w:t>
        </w:r>
      </w:hyperlink>
      <w:r>
        <w:t xml:space="preserve">.  </w:t>
      </w:r>
    </w:p>
  </w:footnote>
  <w:footnote w:id="63">
    <w:p w14:paraId="6C87BDE9" w14:textId="7E70AC6B" w:rsidR="00C626E2" w:rsidRDefault="00C626E2">
      <w:pPr>
        <w:pStyle w:val="FootnoteText"/>
      </w:pPr>
      <w:r>
        <w:rPr>
          <w:rStyle w:val="FootnoteReference"/>
        </w:rPr>
        <w:footnoteRef/>
      </w:r>
      <w:r>
        <w:t xml:space="preserve"> Princeton U.: Eviction Lab, New York, New York, </w:t>
      </w:r>
      <w:hyperlink r:id="rId31" w:history="1">
        <w:r w:rsidRPr="00D433CD">
          <w:rPr>
            <w:rStyle w:val="Hyperlink"/>
          </w:rPr>
          <w:t>https://evictionlab.org/eviction-tracking/new-york-ny/</w:t>
        </w:r>
      </w:hyperlink>
      <w:r>
        <w:t xml:space="preserve"> (last accessed Sep. 2, 2022). </w:t>
      </w:r>
    </w:p>
  </w:footnote>
  <w:footnote w:id="64">
    <w:p w14:paraId="1F49CB5D" w14:textId="708DB7BA" w:rsidR="00C626E2" w:rsidRDefault="00C626E2">
      <w:pPr>
        <w:pStyle w:val="FootnoteText"/>
      </w:pPr>
      <w:r>
        <w:rPr>
          <w:rStyle w:val="FootnoteReference"/>
        </w:rPr>
        <w:footnoteRef/>
      </w:r>
      <w:r>
        <w:t xml:space="preserve"> </w:t>
      </w:r>
      <w:r w:rsidR="008D41A7">
        <w:t xml:space="preserve">N.Y.C. Dep’t of Soc. </w:t>
      </w:r>
      <w:proofErr w:type="spellStart"/>
      <w:r w:rsidR="008D41A7">
        <w:t>Servs</w:t>
      </w:r>
      <w:proofErr w:type="spellEnd"/>
      <w:r w:rsidR="008D41A7">
        <w:t xml:space="preserve">., Human Resources Administration, ACCESS HRA Mobile, </w:t>
      </w:r>
      <w:hyperlink r:id="rId32" w:history="1">
        <w:r w:rsidRPr="00D433CD">
          <w:rPr>
            <w:rStyle w:val="Hyperlink"/>
          </w:rPr>
          <w:t>https://www1.nyc.gov/site/hra/help/accesshramobile.page</w:t>
        </w:r>
      </w:hyperlink>
      <w:r w:rsidR="008D41A7">
        <w:t xml:space="preserve"> (last accessed Sep. 2, 2022).</w:t>
      </w:r>
    </w:p>
  </w:footnote>
  <w:footnote w:id="65">
    <w:p w14:paraId="7C2DA7C9" w14:textId="45F6D53B" w:rsidR="00C626E2" w:rsidRDefault="00C626E2">
      <w:pPr>
        <w:pStyle w:val="FootnoteText"/>
      </w:pPr>
      <w:r>
        <w:rPr>
          <w:rStyle w:val="FootnoteReference"/>
        </w:rPr>
        <w:footnoteRef/>
      </w:r>
      <w:r>
        <w:t xml:space="preserve"> </w:t>
      </w:r>
      <w:proofErr w:type="spellStart"/>
      <w:r w:rsidR="008D41A7">
        <w:t>Baaba</w:t>
      </w:r>
      <w:proofErr w:type="spellEnd"/>
      <w:r w:rsidR="008D41A7">
        <w:t xml:space="preserve"> Halm &amp; Catherine Trapani, </w:t>
      </w:r>
      <w:r w:rsidR="008D41A7">
        <w:rPr>
          <w:i/>
        </w:rPr>
        <w:t>Opinion: In this city budget, housing is going begging</w:t>
      </w:r>
      <w:r w:rsidR="008D41A7">
        <w:t xml:space="preserve">, N.Y. Daily News (Jun. 4, 2022, 5:00 AM), </w:t>
      </w:r>
      <w:hyperlink r:id="rId33" w:history="1">
        <w:r w:rsidRPr="00D433CD">
          <w:rPr>
            <w:rStyle w:val="Hyperlink"/>
          </w:rPr>
          <w:t>https://www.nydailynews.com/opinion/ny-oped-city-budget-housing-funding-20220604-kuw3widf3fbxtgtblj5n5kpwu4-story.html</w:t>
        </w:r>
      </w:hyperlink>
      <w:r>
        <w:t xml:space="preserve">. </w:t>
      </w:r>
    </w:p>
  </w:footnote>
  <w:footnote w:id="66">
    <w:p w14:paraId="6B4D362E" w14:textId="6262C7A1" w:rsidR="00C626E2" w:rsidRPr="00BB47C0" w:rsidRDefault="00C626E2">
      <w:pPr>
        <w:pStyle w:val="FootnoteText"/>
      </w:pPr>
      <w:r>
        <w:rPr>
          <w:rStyle w:val="FootnoteReference"/>
        </w:rPr>
        <w:footnoteRef/>
      </w:r>
      <w:r>
        <w:t xml:space="preserve"> </w:t>
      </w:r>
      <w:r>
        <w:rPr>
          <w:i/>
        </w:rPr>
        <w:t>Id.</w:t>
      </w:r>
    </w:p>
  </w:footnote>
  <w:footnote w:id="67">
    <w:p w14:paraId="0AC72710" w14:textId="438F8B50" w:rsidR="00C626E2" w:rsidRDefault="00C626E2">
      <w:pPr>
        <w:pStyle w:val="FootnoteText"/>
      </w:pPr>
      <w:r>
        <w:rPr>
          <w:rStyle w:val="FootnoteReference"/>
        </w:rPr>
        <w:footnoteRef/>
      </w:r>
      <w:r>
        <w:t xml:space="preserve"> Ad. Code </w:t>
      </w:r>
      <w:r w:rsidRPr="000C7286">
        <w:t>§ 21-202</w:t>
      </w:r>
      <w:r>
        <w:t>.</w:t>
      </w:r>
    </w:p>
  </w:footnote>
  <w:footnote w:id="68">
    <w:p w14:paraId="538A566E" w14:textId="4465A3EE" w:rsidR="00C626E2" w:rsidRPr="00A4729B" w:rsidRDefault="00C626E2">
      <w:pPr>
        <w:pStyle w:val="FootnoteText"/>
      </w:pPr>
      <w:r>
        <w:rPr>
          <w:rStyle w:val="FootnoteReference"/>
        </w:rPr>
        <w:footnoteRef/>
      </w:r>
      <w:r>
        <w:t xml:space="preserve"> </w:t>
      </w:r>
      <w:r>
        <w:rPr>
          <w:i/>
        </w:rPr>
        <w:t>Id.</w:t>
      </w:r>
    </w:p>
  </w:footnote>
  <w:footnote w:id="69">
    <w:p w14:paraId="3CE163E4" w14:textId="07B2B000" w:rsidR="00C626E2" w:rsidRPr="00A4729B" w:rsidRDefault="00C626E2">
      <w:pPr>
        <w:pStyle w:val="FootnoteText"/>
      </w:pPr>
      <w:r>
        <w:rPr>
          <w:rStyle w:val="FootnoteReference"/>
        </w:rPr>
        <w:footnoteRef/>
      </w:r>
      <w:r>
        <w:t xml:space="preserve"> </w:t>
      </w:r>
      <w:r>
        <w:rPr>
          <w:i/>
        </w:rPr>
        <w:t>Id.</w:t>
      </w:r>
    </w:p>
  </w:footnote>
  <w:footnote w:id="70">
    <w:p w14:paraId="48685B08" w14:textId="532A27C3" w:rsidR="00C626E2" w:rsidRDefault="00C626E2">
      <w:pPr>
        <w:pStyle w:val="FootnoteText"/>
      </w:pPr>
      <w:r>
        <w:rPr>
          <w:rStyle w:val="FootnoteReference"/>
        </w:rPr>
        <w:footnoteRef/>
      </w:r>
      <w:r>
        <w:t xml:space="preserve"> </w:t>
      </w:r>
      <w:r w:rsidR="00592A34">
        <w:t xml:space="preserve">N.Y.C. Dep’t for the Aging, Elder Abuse &amp; Crime, </w:t>
      </w:r>
      <w:hyperlink r:id="rId34" w:history="1">
        <w:r w:rsidRPr="00D433CD">
          <w:rPr>
            <w:rStyle w:val="Hyperlink"/>
          </w:rPr>
          <w:t>https://www1.nyc.gov/site/dfta/services/elder-abuse-crime.page</w:t>
        </w:r>
      </w:hyperlink>
      <w:r w:rsidR="00592A34">
        <w:t xml:space="preserve"> (last accessed Sep. 2, 2022).</w:t>
      </w:r>
    </w:p>
  </w:footnote>
  <w:footnote w:id="71">
    <w:p w14:paraId="65B0CCDA" w14:textId="7EA63EF0" w:rsidR="00C626E2" w:rsidRDefault="00C626E2">
      <w:pPr>
        <w:pStyle w:val="FootnoteText"/>
      </w:pPr>
      <w:r>
        <w:rPr>
          <w:rStyle w:val="FootnoteReference"/>
        </w:rPr>
        <w:footnoteRef/>
      </w:r>
      <w:r>
        <w:t xml:space="preserve"> </w:t>
      </w:r>
      <w:r w:rsidR="00592A34">
        <w:t xml:space="preserve">N.Y.C. Comm. on Hum. </w:t>
      </w:r>
      <w:proofErr w:type="spellStart"/>
      <w:proofErr w:type="gramStart"/>
      <w:r w:rsidR="00592A34">
        <w:t>Rts</w:t>
      </w:r>
      <w:proofErr w:type="spellEnd"/>
      <w:r w:rsidR="00592A34">
        <w:t>.,</w:t>
      </w:r>
      <w:proofErr w:type="gramEnd"/>
      <w:r w:rsidR="00592A34">
        <w:t xml:space="preserve"> </w:t>
      </w:r>
      <w:r w:rsidR="00592A34">
        <w:rPr>
          <w:i/>
        </w:rPr>
        <w:t xml:space="preserve">NYC Commission on Human Rights Legal Enforcement Guidance on Employment Discrimination on the Basis of Age </w:t>
      </w:r>
      <w:r w:rsidR="00592A34">
        <w:t xml:space="preserve">(Jul. 2020), </w:t>
      </w:r>
      <w:hyperlink r:id="rId35" w:history="1">
        <w:r w:rsidR="00592A34" w:rsidRPr="00DA1846">
          <w:rPr>
            <w:rStyle w:val="Hyperlink"/>
          </w:rPr>
          <w:t>https://www1.nyc.gov/assets/cchr/downloads/pdf/AgeDiscriminationGuide-2020.pdf</w:t>
        </w:r>
      </w:hyperlink>
      <w:r w:rsidR="00592A34">
        <w:t xml:space="preserve"> (last accessed Sep. 2, 2022).</w:t>
      </w:r>
    </w:p>
  </w:footnote>
  <w:footnote w:id="72">
    <w:p w14:paraId="30260851" w14:textId="335FC218" w:rsidR="00C626E2" w:rsidRDefault="00C626E2">
      <w:pPr>
        <w:pStyle w:val="FootnoteText"/>
      </w:pPr>
      <w:r>
        <w:rPr>
          <w:rStyle w:val="FootnoteReference"/>
        </w:rPr>
        <w:footnoteRef/>
      </w:r>
      <w:r>
        <w:t xml:space="preserve"> </w:t>
      </w:r>
      <w:r w:rsidR="00592A34">
        <w:t xml:space="preserve">N.Y. Div. of Homes and Community Renewal, Off. </w:t>
      </w:r>
      <w:proofErr w:type="gramStart"/>
      <w:r w:rsidR="00592A34">
        <w:t>of</w:t>
      </w:r>
      <w:proofErr w:type="gramEnd"/>
      <w:r w:rsidR="00592A34">
        <w:t xml:space="preserve"> Rent Admin., </w:t>
      </w:r>
      <w:r w:rsidR="00592A34">
        <w:rPr>
          <w:i/>
        </w:rPr>
        <w:t>Special Rights of Senior Citizens</w:t>
      </w:r>
      <w:r w:rsidR="00592A34">
        <w:t xml:space="preserve"> (updated Nov. 2020), </w:t>
      </w:r>
      <w:hyperlink r:id="rId36" w:history="1">
        <w:r w:rsidRPr="00D433CD">
          <w:rPr>
            <w:rStyle w:val="Hyperlink"/>
          </w:rPr>
          <w:t>https://hcr.ny.gov/system/files/documents/2020/11/fact-sheet-21-11-2020.pdf</w:t>
        </w:r>
      </w:hyperlink>
      <w:r w:rsidR="00592A34">
        <w:t xml:space="preserve"> (last accessed Sep. 2, 2022).</w:t>
      </w:r>
    </w:p>
  </w:footnote>
  <w:footnote w:id="73">
    <w:p w14:paraId="21560D65" w14:textId="319E1646" w:rsidR="00C626E2" w:rsidRDefault="00C626E2">
      <w:pPr>
        <w:pStyle w:val="FootnoteText"/>
      </w:pPr>
      <w:r>
        <w:rPr>
          <w:rStyle w:val="FootnoteReference"/>
        </w:rPr>
        <w:footnoteRef/>
      </w:r>
      <w:r>
        <w:t xml:space="preserve"> </w:t>
      </w:r>
      <w:r w:rsidR="00592A34">
        <w:t xml:space="preserve">N.Y.C. Dep’t for the Aging, Older Adult Centers, </w:t>
      </w:r>
      <w:hyperlink r:id="rId37" w:history="1">
        <w:r w:rsidRPr="00D433CD">
          <w:rPr>
            <w:rStyle w:val="Hyperlink"/>
          </w:rPr>
          <w:t>https://www1.nyc.gov/site/dfta/services/older-adult-center.page</w:t>
        </w:r>
      </w:hyperlink>
      <w:r w:rsidR="00592A34">
        <w:t xml:space="preserve"> (last accessed Sep. 2, 2022).</w:t>
      </w:r>
      <w:r>
        <w:t xml:space="preserve"> </w:t>
      </w:r>
    </w:p>
  </w:footnote>
  <w:footnote w:id="74">
    <w:p w14:paraId="304FAC24" w14:textId="284596B9" w:rsidR="00C626E2" w:rsidRDefault="00C626E2">
      <w:pPr>
        <w:pStyle w:val="FootnoteText"/>
      </w:pPr>
      <w:r>
        <w:rPr>
          <w:rStyle w:val="FootnoteReference"/>
        </w:rPr>
        <w:footnoteRef/>
      </w:r>
      <w:r>
        <w:t xml:space="preserve"> </w:t>
      </w:r>
      <w:r w:rsidR="00AC7CB2">
        <w:t xml:space="preserve">Fort Greene Council Inc., Neighborhood Senior Centers of Fort Greene Council, Inc., </w:t>
      </w:r>
      <w:hyperlink r:id="rId38" w:history="1">
        <w:r w:rsidRPr="00D433CD">
          <w:rPr>
            <w:rStyle w:val="Hyperlink"/>
          </w:rPr>
          <w:t>https://www.fortgreenecouncil.org/fgc-nsc</w:t>
        </w:r>
      </w:hyperlink>
      <w:r>
        <w:t xml:space="preserve">. </w:t>
      </w:r>
    </w:p>
  </w:footnote>
  <w:footnote w:id="75">
    <w:p w14:paraId="636A0461" w14:textId="317D0996" w:rsidR="00C626E2" w:rsidRDefault="00C626E2">
      <w:pPr>
        <w:pStyle w:val="FootnoteText"/>
      </w:pPr>
      <w:r>
        <w:rPr>
          <w:rStyle w:val="FootnoteReference"/>
        </w:rPr>
        <w:footnoteRef/>
      </w:r>
      <w:r>
        <w:t xml:space="preserve"> </w:t>
      </w:r>
      <w:proofErr w:type="spellStart"/>
      <w:r w:rsidR="00AC7CB2">
        <w:t>Manoj</w:t>
      </w:r>
      <w:proofErr w:type="spellEnd"/>
      <w:r w:rsidR="00AC7CB2">
        <w:t xml:space="preserve"> P.</w:t>
      </w:r>
      <w:r w:rsidR="00C23312">
        <w:t xml:space="preserve"> </w:t>
      </w:r>
      <w:proofErr w:type="spellStart"/>
      <w:r w:rsidR="00C23312">
        <w:t>Pardasani</w:t>
      </w:r>
      <w:proofErr w:type="spellEnd"/>
      <w:r w:rsidR="00AC7CB2">
        <w:t xml:space="preserve">, </w:t>
      </w:r>
      <w:r w:rsidR="00413022">
        <w:rPr>
          <w:i/>
        </w:rPr>
        <w:t>Senior</w:t>
      </w:r>
      <w:r w:rsidR="00AC7CB2">
        <w:rPr>
          <w:i/>
        </w:rPr>
        <w:t xml:space="preserve"> Centers: Increasing Minority Participation </w:t>
      </w:r>
      <w:proofErr w:type="gramStart"/>
      <w:r w:rsidR="00AC7CB2">
        <w:rPr>
          <w:i/>
        </w:rPr>
        <w:t>Through</w:t>
      </w:r>
      <w:proofErr w:type="gramEnd"/>
      <w:r w:rsidR="00AC7CB2">
        <w:rPr>
          <w:i/>
        </w:rPr>
        <w:t xml:space="preserve"> Diversification</w:t>
      </w:r>
      <w:r w:rsidR="00AC7CB2">
        <w:t xml:space="preserve">, Journal of </w:t>
      </w:r>
      <w:proofErr w:type="spellStart"/>
      <w:r w:rsidR="00AC7CB2">
        <w:t>Gerontological</w:t>
      </w:r>
      <w:proofErr w:type="spellEnd"/>
      <w:r w:rsidR="00AC7CB2">
        <w:t xml:space="preserve"> Social Work, pp. 41-56, vol. 43, 2004, </w:t>
      </w:r>
      <w:proofErr w:type="spellStart"/>
      <w:r w:rsidR="00AC7CB2">
        <w:t>iss</w:t>
      </w:r>
      <w:proofErr w:type="spellEnd"/>
      <w:r w:rsidR="00AC7CB2">
        <w:t xml:space="preserve">. 2-3, pub. Online Oct. 4, 2008, </w:t>
      </w:r>
      <w:r w:rsidR="00AC7CB2">
        <w:rPr>
          <w:i/>
        </w:rPr>
        <w:t xml:space="preserve">available at </w:t>
      </w:r>
      <w:hyperlink r:id="rId39" w:history="1">
        <w:r w:rsidRPr="00D433CD">
          <w:rPr>
            <w:rStyle w:val="Hyperlink"/>
          </w:rPr>
          <w:t>https://www.tandfonline.com/doi/abs/10.1300/J083v43n02_04?cookieSet=1</w:t>
        </w:r>
      </w:hyperlink>
      <w:r>
        <w:t xml:space="preserve">. </w:t>
      </w:r>
    </w:p>
  </w:footnote>
  <w:footnote w:id="76">
    <w:p w14:paraId="0A367A60" w14:textId="0035D0E5" w:rsidR="00C626E2" w:rsidRDefault="00C626E2">
      <w:pPr>
        <w:pStyle w:val="FootnoteText"/>
      </w:pPr>
      <w:r>
        <w:rPr>
          <w:rStyle w:val="FootnoteReference"/>
        </w:rPr>
        <w:footnoteRef/>
      </w:r>
      <w:r w:rsidR="00C23312">
        <w:t xml:space="preserve">Nancy </w:t>
      </w:r>
      <w:proofErr w:type="spellStart"/>
      <w:r w:rsidR="00C23312">
        <w:t>Giunta</w:t>
      </w:r>
      <w:proofErr w:type="spellEnd"/>
      <w:r w:rsidR="00C23312">
        <w:t xml:space="preserve">, Carmen L. Morano, Nina S. Parikh &amp; Dana Friedman, </w:t>
      </w:r>
      <w:r w:rsidR="00C23312" w:rsidRPr="00C23312">
        <w:rPr>
          <w:i/>
        </w:rPr>
        <w:t>Racial and Ethnic Diversity in Senior Centers: Comparing Participant Characteristics in More and Less Multicultural Settings</w:t>
      </w:r>
      <w:r w:rsidR="00C23312">
        <w:t xml:space="preserve">, Journal of </w:t>
      </w:r>
      <w:proofErr w:type="spellStart"/>
      <w:r w:rsidR="00C23312">
        <w:t>Gerontological</w:t>
      </w:r>
      <w:proofErr w:type="spellEnd"/>
      <w:r w:rsidR="00C23312">
        <w:t xml:space="preserve"> Social Work, pp. 467-83, vol. 55, 2012, </w:t>
      </w:r>
      <w:proofErr w:type="spellStart"/>
      <w:r w:rsidR="00C23312">
        <w:t>iss</w:t>
      </w:r>
      <w:proofErr w:type="spellEnd"/>
      <w:r w:rsidR="00C23312">
        <w:t xml:space="preserve">. 6., </w:t>
      </w:r>
      <w:r w:rsidR="00C23312">
        <w:rPr>
          <w:i/>
        </w:rPr>
        <w:t>available at</w:t>
      </w:r>
      <w:r w:rsidR="00C23312">
        <w:t xml:space="preserve"> </w:t>
      </w:r>
      <w:hyperlink r:id="rId40" w:history="1">
        <w:r w:rsidRPr="00D433CD">
          <w:rPr>
            <w:rStyle w:val="Hyperlink"/>
          </w:rPr>
          <w:t>https://www.researchgate.net/publication/230594125_Racial_and_Ethnic_Diversity_in_Senior_Centers_Comparing_Participant_Characteristics_in_More_and_Less_Multicultural_Settings</w:t>
        </w:r>
      </w:hyperlink>
      <w:r>
        <w:t xml:space="preserve">. </w:t>
      </w:r>
    </w:p>
  </w:footnote>
  <w:footnote w:id="77">
    <w:p w14:paraId="554B8F7A" w14:textId="4620F50B" w:rsidR="00C626E2" w:rsidRDefault="00C626E2">
      <w:pPr>
        <w:pStyle w:val="FootnoteText"/>
      </w:pPr>
      <w:r>
        <w:rPr>
          <w:rStyle w:val="FootnoteReference"/>
        </w:rPr>
        <w:footnoteRef/>
      </w:r>
      <w:r>
        <w:t xml:space="preserve"> </w:t>
      </w:r>
      <w:r w:rsidR="00C23312">
        <w:t xml:space="preserve">Nicole </w:t>
      </w:r>
      <w:proofErr w:type="spellStart"/>
      <w:r w:rsidR="00C23312">
        <w:t>Dumbeck</w:t>
      </w:r>
      <w:proofErr w:type="spellEnd"/>
      <w:r w:rsidR="00C23312">
        <w:t xml:space="preserve">, </w:t>
      </w:r>
      <w:r w:rsidR="00C23312" w:rsidRPr="00C23312">
        <w:rPr>
          <w:i/>
        </w:rPr>
        <w:t>The Importance of Cultural Competence in Diverse Senior Centers: Case Study at Fullerton Community Center</w:t>
      </w:r>
      <w:r w:rsidR="00C23312">
        <w:t xml:space="preserve">, </w:t>
      </w:r>
      <w:r w:rsidR="00C23312" w:rsidRPr="00C23312">
        <w:t> California State University, Fullerton ProQuest</w:t>
      </w:r>
      <w:r w:rsidR="00C23312">
        <w:t xml:space="preserve"> Dissertations Publishing (2019), </w:t>
      </w:r>
      <w:r w:rsidR="00C23312">
        <w:rPr>
          <w:i/>
        </w:rPr>
        <w:t xml:space="preserve">available at </w:t>
      </w:r>
      <w:hyperlink r:id="rId41" w:history="1">
        <w:r w:rsidRPr="00D433CD">
          <w:rPr>
            <w:rStyle w:val="Hyperlink"/>
          </w:rPr>
          <w:t>https://www.proquest.com/openview/f728d247701e465496cc0ff5117259ca/1?pq-origsite=gscholar&amp;cbl=18750&amp;diss=y</w:t>
        </w:r>
      </w:hyperlink>
      <w:r>
        <w:t xml:space="preserve">. </w:t>
      </w:r>
    </w:p>
  </w:footnote>
  <w:footnote w:id="78">
    <w:p w14:paraId="5AD353A0" w14:textId="7A9B76E3" w:rsidR="00C626E2" w:rsidRPr="00805F5A" w:rsidRDefault="00C626E2">
      <w:pPr>
        <w:pStyle w:val="FootnoteText"/>
      </w:pPr>
      <w:r>
        <w:rPr>
          <w:rStyle w:val="FootnoteReference"/>
        </w:rPr>
        <w:footnoteRef/>
      </w:r>
      <w:r>
        <w:t xml:space="preserve"> </w:t>
      </w:r>
      <w:r>
        <w:rPr>
          <w:i/>
        </w:rPr>
        <w:t>See e.g.</w:t>
      </w:r>
      <w:r>
        <w:t>,</w:t>
      </w:r>
      <w:r w:rsidR="00C23312">
        <w:t xml:space="preserve"> Henry Street Settlement Older Adults Center: September 2022 Calendar, </w:t>
      </w:r>
      <w:r w:rsidR="00C23312">
        <w:rPr>
          <w:i/>
        </w:rPr>
        <w:t>available at</w:t>
      </w:r>
      <w:r>
        <w:t xml:space="preserve"> </w:t>
      </w:r>
      <w:hyperlink r:id="rId42" w:history="1">
        <w:r w:rsidRPr="00D433CD">
          <w:rPr>
            <w:rStyle w:val="Hyperlink"/>
          </w:rPr>
          <w:t>https://www.henrystreet.org/wp-content/uploads/2022/08/Calendar_Older-Adult-Center-09.2022-English.pdf</w:t>
        </w:r>
      </w:hyperlink>
      <w:r>
        <w:t xml:space="preserve">.   </w:t>
      </w:r>
    </w:p>
  </w:footnote>
  <w:footnote w:id="79">
    <w:p w14:paraId="23949839" w14:textId="38B9E6A9" w:rsidR="00C626E2" w:rsidRDefault="00C626E2">
      <w:pPr>
        <w:pStyle w:val="FootnoteText"/>
      </w:pPr>
      <w:r>
        <w:rPr>
          <w:rStyle w:val="FootnoteReference"/>
        </w:rPr>
        <w:footnoteRef/>
      </w:r>
      <w:r>
        <w:t xml:space="preserve"> </w:t>
      </w:r>
      <w:r w:rsidR="00C23312">
        <w:t xml:space="preserve">Nat’l Consortium </w:t>
      </w:r>
      <w:proofErr w:type="gramStart"/>
      <w:r w:rsidR="00C23312">
        <w:t>On Aging Resources For</w:t>
      </w:r>
      <w:proofErr w:type="gramEnd"/>
      <w:r w:rsidR="00C23312">
        <w:t xml:space="preserve"> Seniors’ Equity, </w:t>
      </w:r>
      <w:r w:rsidR="00C23312">
        <w:rPr>
          <w:i/>
        </w:rPr>
        <w:t>Serving Diverse Elders: Strategies for Meaningful Inclusion in Service Planning and Delivery</w:t>
      </w:r>
      <w:r w:rsidR="00C23312">
        <w:t xml:space="preserve">, </w:t>
      </w:r>
      <w:r w:rsidR="00C23312">
        <w:rPr>
          <w:i/>
        </w:rPr>
        <w:t>available at</w:t>
      </w:r>
      <w:r w:rsidR="00C23312" w:rsidRPr="00C23312">
        <w:t xml:space="preserve"> </w:t>
      </w:r>
      <w:hyperlink r:id="rId43" w:history="1">
        <w:r w:rsidRPr="00D433CD">
          <w:rPr>
            <w:rStyle w:val="Hyperlink"/>
          </w:rPr>
          <w:t>https://www.lgbtagingcenter.org/resources/pdfs/Consortium%20Planning%20Guide%20Digital%20Final.pdf</w:t>
        </w:r>
      </w:hyperlink>
      <w:r w:rsidR="00C23312">
        <w:t xml:space="preserve"> (last accessed Sep. 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098E" w14:textId="77777777" w:rsidR="00C626E2" w:rsidRDefault="00C6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C243" w14:textId="78EC287D" w:rsidR="00C626E2" w:rsidRDefault="00C6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8F5D" w14:textId="77777777" w:rsidR="00C626E2" w:rsidRDefault="00C626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8116" w14:textId="2E6B3D02" w:rsidR="00C626E2" w:rsidRDefault="00C626E2">
    <w:pPr>
      <w:pStyle w:val="Header"/>
    </w:pPr>
  </w:p>
  <w:p w14:paraId="77874403" w14:textId="77777777" w:rsidR="00C626E2" w:rsidRDefault="00C626E2"/>
  <w:p w14:paraId="283D7C87" w14:textId="77777777" w:rsidR="00C626E2" w:rsidRDefault="00C626E2"/>
  <w:p w14:paraId="00460A50" w14:textId="77777777" w:rsidR="00C626E2" w:rsidRDefault="00C626E2"/>
  <w:p w14:paraId="27F06FE2" w14:textId="77777777" w:rsidR="00C626E2" w:rsidRDefault="00C626E2"/>
  <w:p w14:paraId="77E1821A" w14:textId="77777777" w:rsidR="00C626E2" w:rsidRDefault="00C626E2"/>
  <w:p w14:paraId="3D8C12D6" w14:textId="77777777" w:rsidR="00C626E2" w:rsidRDefault="00C626E2"/>
  <w:p w14:paraId="6A47388D" w14:textId="77777777" w:rsidR="00C626E2" w:rsidRDefault="00C626E2"/>
  <w:p w14:paraId="62C4228B" w14:textId="77777777" w:rsidR="00C626E2" w:rsidRDefault="00C626E2"/>
  <w:p w14:paraId="1DD77ED5" w14:textId="77777777" w:rsidR="00C626E2" w:rsidRDefault="00C626E2"/>
  <w:p w14:paraId="4F83BF0B" w14:textId="77777777" w:rsidR="00C626E2" w:rsidRDefault="00C626E2"/>
  <w:p w14:paraId="34F881C8" w14:textId="77777777" w:rsidR="00C626E2" w:rsidRDefault="00C626E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91DF" w14:textId="63103005" w:rsidR="00C626E2" w:rsidRDefault="00C626E2">
    <w:pPr>
      <w:pStyle w:val="Header"/>
    </w:pPr>
  </w:p>
  <w:p w14:paraId="5533CF04" w14:textId="77777777" w:rsidR="00C626E2" w:rsidRDefault="00C626E2"/>
  <w:p w14:paraId="392901AE" w14:textId="77777777" w:rsidR="00C626E2" w:rsidRDefault="00C626E2"/>
  <w:p w14:paraId="2197B52C" w14:textId="77777777" w:rsidR="00C626E2" w:rsidRDefault="00C626E2"/>
  <w:p w14:paraId="2D64348B" w14:textId="77777777" w:rsidR="00C626E2" w:rsidRDefault="00C626E2"/>
  <w:p w14:paraId="1A622E3A" w14:textId="77777777" w:rsidR="00C626E2" w:rsidRDefault="00C626E2"/>
  <w:p w14:paraId="1D88CF88" w14:textId="77777777" w:rsidR="00C626E2" w:rsidRDefault="00C626E2"/>
  <w:p w14:paraId="35D35363" w14:textId="77777777" w:rsidR="00C626E2" w:rsidRDefault="00C626E2"/>
  <w:p w14:paraId="2A225B7F" w14:textId="77777777" w:rsidR="00C626E2" w:rsidRDefault="00C626E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0EFC" w14:textId="439E63E6" w:rsidR="00C626E2" w:rsidRDefault="00C6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B1"/>
    <w:multiLevelType w:val="hybridMultilevel"/>
    <w:tmpl w:val="9ECCA426"/>
    <w:lvl w:ilvl="0" w:tplc="18EC9E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268C8"/>
    <w:multiLevelType w:val="hybridMultilevel"/>
    <w:tmpl w:val="002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313"/>
    <w:multiLevelType w:val="hybridMultilevel"/>
    <w:tmpl w:val="1C72B43C"/>
    <w:lvl w:ilvl="0" w:tplc="EB6C386C">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D1509ADA">
      <w:numFmt w:val="bullet"/>
      <w:lvlText w:val="•"/>
      <w:lvlJc w:val="left"/>
      <w:pPr>
        <w:ind w:left="2298" w:hanging="1201"/>
      </w:pPr>
      <w:rPr>
        <w:rFonts w:hint="default"/>
        <w:lang w:val="en-US" w:eastAsia="en-US" w:bidi="ar-SA"/>
      </w:rPr>
    </w:lvl>
    <w:lvl w:ilvl="2" w:tplc="1EB21658">
      <w:numFmt w:val="bullet"/>
      <w:lvlText w:val="•"/>
      <w:lvlJc w:val="left"/>
      <w:pPr>
        <w:ind w:left="3176" w:hanging="1201"/>
      </w:pPr>
      <w:rPr>
        <w:rFonts w:hint="default"/>
        <w:lang w:val="en-US" w:eastAsia="en-US" w:bidi="ar-SA"/>
      </w:rPr>
    </w:lvl>
    <w:lvl w:ilvl="3" w:tplc="8D4073E4">
      <w:numFmt w:val="bullet"/>
      <w:lvlText w:val="•"/>
      <w:lvlJc w:val="left"/>
      <w:pPr>
        <w:ind w:left="4054" w:hanging="1201"/>
      </w:pPr>
      <w:rPr>
        <w:rFonts w:hint="default"/>
        <w:lang w:val="en-US" w:eastAsia="en-US" w:bidi="ar-SA"/>
      </w:rPr>
    </w:lvl>
    <w:lvl w:ilvl="4" w:tplc="956E00A6">
      <w:numFmt w:val="bullet"/>
      <w:lvlText w:val="•"/>
      <w:lvlJc w:val="left"/>
      <w:pPr>
        <w:ind w:left="4932" w:hanging="1201"/>
      </w:pPr>
      <w:rPr>
        <w:rFonts w:hint="default"/>
        <w:lang w:val="en-US" w:eastAsia="en-US" w:bidi="ar-SA"/>
      </w:rPr>
    </w:lvl>
    <w:lvl w:ilvl="5" w:tplc="52C81B0C">
      <w:numFmt w:val="bullet"/>
      <w:lvlText w:val="•"/>
      <w:lvlJc w:val="left"/>
      <w:pPr>
        <w:ind w:left="5810" w:hanging="1201"/>
      </w:pPr>
      <w:rPr>
        <w:rFonts w:hint="default"/>
        <w:lang w:val="en-US" w:eastAsia="en-US" w:bidi="ar-SA"/>
      </w:rPr>
    </w:lvl>
    <w:lvl w:ilvl="6" w:tplc="12A49B5A">
      <w:numFmt w:val="bullet"/>
      <w:lvlText w:val="•"/>
      <w:lvlJc w:val="left"/>
      <w:pPr>
        <w:ind w:left="6688" w:hanging="1201"/>
      </w:pPr>
      <w:rPr>
        <w:rFonts w:hint="default"/>
        <w:lang w:val="en-US" w:eastAsia="en-US" w:bidi="ar-SA"/>
      </w:rPr>
    </w:lvl>
    <w:lvl w:ilvl="7" w:tplc="6358AABC">
      <w:numFmt w:val="bullet"/>
      <w:lvlText w:val="•"/>
      <w:lvlJc w:val="left"/>
      <w:pPr>
        <w:ind w:left="7566" w:hanging="1201"/>
      </w:pPr>
      <w:rPr>
        <w:rFonts w:hint="default"/>
        <w:lang w:val="en-US" w:eastAsia="en-US" w:bidi="ar-SA"/>
      </w:rPr>
    </w:lvl>
    <w:lvl w:ilvl="8" w:tplc="77E061A4">
      <w:numFmt w:val="bullet"/>
      <w:lvlText w:val="•"/>
      <w:lvlJc w:val="left"/>
      <w:pPr>
        <w:ind w:left="8444" w:hanging="1201"/>
      </w:pPr>
      <w:rPr>
        <w:rFonts w:hint="default"/>
        <w:lang w:val="en-US" w:eastAsia="en-US" w:bidi="ar-SA"/>
      </w:rPr>
    </w:lvl>
  </w:abstractNum>
  <w:abstractNum w:abstractNumId="3" w15:restartNumberingAfterBreak="0">
    <w:nsid w:val="0F9C78C0"/>
    <w:multiLevelType w:val="multilevel"/>
    <w:tmpl w:val="71F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22276"/>
    <w:multiLevelType w:val="hybridMultilevel"/>
    <w:tmpl w:val="61D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C4C14"/>
    <w:multiLevelType w:val="hybridMultilevel"/>
    <w:tmpl w:val="E508EAB6"/>
    <w:lvl w:ilvl="0" w:tplc="2E26D58E">
      <w:start w:val="1"/>
      <w:numFmt w:val="upperRoman"/>
      <w:lvlText w:val="%1."/>
      <w:lvlJc w:val="left"/>
      <w:pPr>
        <w:ind w:left="720" w:hanging="720"/>
      </w:pPr>
      <w:rPr>
        <w:rFonts w:hint="default"/>
      </w:rPr>
    </w:lvl>
    <w:lvl w:ilvl="1" w:tplc="FBF8F8E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E10AF"/>
    <w:multiLevelType w:val="hybridMultilevel"/>
    <w:tmpl w:val="FFFFFFFF"/>
    <w:lvl w:ilvl="0" w:tplc="7F72D92E">
      <w:start w:val="1"/>
      <w:numFmt w:val="bullet"/>
      <w:lvlText w:val=""/>
      <w:lvlJc w:val="left"/>
      <w:pPr>
        <w:ind w:left="720" w:hanging="360"/>
      </w:pPr>
      <w:rPr>
        <w:rFonts w:ascii="Symbol" w:hAnsi="Symbol" w:hint="default"/>
      </w:rPr>
    </w:lvl>
    <w:lvl w:ilvl="1" w:tplc="3B4AE452">
      <w:start w:val="1"/>
      <w:numFmt w:val="bullet"/>
      <w:lvlText w:val=""/>
      <w:lvlJc w:val="left"/>
      <w:pPr>
        <w:ind w:left="1440" w:hanging="360"/>
      </w:pPr>
      <w:rPr>
        <w:rFonts w:ascii="Symbol" w:hAnsi="Symbol" w:hint="default"/>
      </w:rPr>
    </w:lvl>
    <w:lvl w:ilvl="2" w:tplc="CFC69C36">
      <w:start w:val="1"/>
      <w:numFmt w:val="bullet"/>
      <w:lvlText w:val=""/>
      <w:lvlJc w:val="left"/>
      <w:pPr>
        <w:ind w:left="2160" w:hanging="360"/>
      </w:pPr>
      <w:rPr>
        <w:rFonts w:ascii="Wingdings" w:hAnsi="Wingdings" w:hint="default"/>
      </w:rPr>
    </w:lvl>
    <w:lvl w:ilvl="3" w:tplc="6074974C">
      <w:start w:val="1"/>
      <w:numFmt w:val="bullet"/>
      <w:lvlText w:val=""/>
      <w:lvlJc w:val="left"/>
      <w:pPr>
        <w:ind w:left="2880" w:hanging="360"/>
      </w:pPr>
      <w:rPr>
        <w:rFonts w:ascii="Symbol" w:hAnsi="Symbol" w:hint="default"/>
      </w:rPr>
    </w:lvl>
    <w:lvl w:ilvl="4" w:tplc="AA78591E">
      <w:start w:val="1"/>
      <w:numFmt w:val="bullet"/>
      <w:lvlText w:val="o"/>
      <w:lvlJc w:val="left"/>
      <w:pPr>
        <w:ind w:left="3600" w:hanging="360"/>
      </w:pPr>
      <w:rPr>
        <w:rFonts w:ascii="Courier New" w:hAnsi="Courier New" w:hint="default"/>
      </w:rPr>
    </w:lvl>
    <w:lvl w:ilvl="5" w:tplc="60E00A3C">
      <w:start w:val="1"/>
      <w:numFmt w:val="bullet"/>
      <w:lvlText w:val=""/>
      <w:lvlJc w:val="left"/>
      <w:pPr>
        <w:ind w:left="4320" w:hanging="360"/>
      </w:pPr>
      <w:rPr>
        <w:rFonts w:ascii="Wingdings" w:hAnsi="Wingdings" w:hint="default"/>
      </w:rPr>
    </w:lvl>
    <w:lvl w:ilvl="6" w:tplc="F848A100">
      <w:start w:val="1"/>
      <w:numFmt w:val="bullet"/>
      <w:lvlText w:val=""/>
      <w:lvlJc w:val="left"/>
      <w:pPr>
        <w:ind w:left="5040" w:hanging="360"/>
      </w:pPr>
      <w:rPr>
        <w:rFonts w:ascii="Symbol" w:hAnsi="Symbol" w:hint="default"/>
      </w:rPr>
    </w:lvl>
    <w:lvl w:ilvl="7" w:tplc="1752EF08">
      <w:start w:val="1"/>
      <w:numFmt w:val="bullet"/>
      <w:lvlText w:val="o"/>
      <w:lvlJc w:val="left"/>
      <w:pPr>
        <w:ind w:left="5760" w:hanging="360"/>
      </w:pPr>
      <w:rPr>
        <w:rFonts w:ascii="Courier New" w:hAnsi="Courier New" w:hint="default"/>
      </w:rPr>
    </w:lvl>
    <w:lvl w:ilvl="8" w:tplc="B61E3C7A">
      <w:start w:val="1"/>
      <w:numFmt w:val="bullet"/>
      <w:lvlText w:val=""/>
      <w:lvlJc w:val="left"/>
      <w:pPr>
        <w:ind w:left="6480" w:hanging="360"/>
      </w:pPr>
      <w:rPr>
        <w:rFonts w:ascii="Wingdings" w:hAnsi="Wingdings" w:hint="default"/>
      </w:rPr>
    </w:lvl>
  </w:abstractNum>
  <w:abstractNum w:abstractNumId="7" w15:restartNumberingAfterBreak="0">
    <w:nsid w:val="3D2D23AC"/>
    <w:multiLevelType w:val="hybridMultilevel"/>
    <w:tmpl w:val="7C3A2494"/>
    <w:lvl w:ilvl="0" w:tplc="3A9A75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2C48B6"/>
    <w:multiLevelType w:val="hybridMultilevel"/>
    <w:tmpl w:val="75EEC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606A9"/>
    <w:multiLevelType w:val="hybridMultilevel"/>
    <w:tmpl w:val="893C42A2"/>
    <w:lvl w:ilvl="0" w:tplc="BF50F938">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6322858E">
      <w:start w:val="1"/>
      <w:numFmt w:val="decimal"/>
      <w:lvlText w:val="%2"/>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2" w:tplc="16621A0C">
      <w:numFmt w:val="bullet"/>
      <w:lvlText w:val="•"/>
      <w:lvlJc w:val="left"/>
      <w:pPr>
        <w:ind w:left="3176" w:hanging="1201"/>
      </w:pPr>
      <w:rPr>
        <w:rFonts w:hint="default"/>
        <w:lang w:val="en-US" w:eastAsia="en-US" w:bidi="ar-SA"/>
      </w:rPr>
    </w:lvl>
    <w:lvl w:ilvl="3" w:tplc="C57EF6DA">
      <w:numFmt w:val="bullet"/>
      <w:lvlText w:val="•"/>
      <w:lvlJc w:val="left"/>
      <w:pPr>
        <w:ind w:left="4054" w:hanging="1201"/>
      </w:pPr>
      <w:rPr>
        <w:rFonts w:hint="default"/>
        <w:lang w:val="en-US" w:eastAsia="en-US" w:bidi="ar-SA"/>
      </w:rPr>
    </w:lvl>
    <w:lvl w:ilvl="4" w:tplc="C27E051E">
      <w:numFmt w:val="bullet"/>
      <w:lvlText w:val="•"/>
      <w:lvlJc w:val="left"/>
      <w:pPr>
        <w:ind w:left="4932" w:hanging="1201"/>
      </w:pPr>
      <w:rPr>
        <w:rFonts w:hint="default"/>
        <w:lang w:val="en-US" w:eastAsia="en-US" w:bidi="ar-SA"/>
      </w:rPr>
    </w:lvl>
    <w:lvl w:ilvl="5" w:tplc="D3389EF2">
      <w:numFmt w:val="bullet"/>
      <w:lvlText w:val="•"/>
      <w:lvlJc w:val="left"/>
      <w:pPr>
        <w:ind w:left="5810" w:hanging="1201"/>
      </w:pPr>
      <w:rPr>
        <w:rFonts w:hint="default"/>
        <w:lang w:val="en-US" w:eastAsia="en-US" w:bidi="ar-SA"/>
      </w:rPr>
    </w:lvl>
    <w:lvl w:ilvl="6" w:tplc="24D0AAD6">
      <w:numFmt w:val="bullet"/>
      <w:lvlText w:val="•"/>
      <w:lvlJc w:val="left"/>
      <w:pPr>
        <w:ind w:left="6688" w:hanging="1201"/>
      </w:pPr>
      <w:rPr>
        <w:rFonts w:hint="default"/>
        <w:lang w:val="en-US" w:eastAsia="en-US" w:bidi="ar-SA"/>
      </w:rPr>
    </w:lvl>
    <w:lvl w:ilvl="7" w:tplc="475C28E0">
      <w:numFmt w:val="bullet"/>
      <w:lvlText w:val="•"/>
      <w:lvlJc w:val="left"/>
      <w:pPr>
        <w:ind w:left="7566" w:hanging="1201"/>
      </w:pPr>
      <w:rPr>
        <w:rFonts w:hint="default"/>
        <w:lang w:val="en-US" w:eastAsia="en-US" w:bidi="ar-SA"/>
      </w:rPr>
    </w:lvl>
    <w:lvl w:ilvl="8" w:tplc="62E6A422">
      <w:numFmt w:val="bullet"/>
      <w:lvlText w:val="•"/>
      <w:lvlJc w:val="left"/>
      <w:pPr>
        <w:ind w:left="8444" w:hanging="1201"/>
      </w:pPr>
      <w:rPr>
        <w:rFonts w:hint="default"/>
        <w:lang w:val="en-US" w:eastAsia="en-US" w:bidi="ar-SA"/>
      </w:rPr>
    </w:lvl>
  </w:abstractNum>
  <w:abstractNum w:abstractNumId="10" w15:restartNumberingAfterBreak="0">
    <w:nsid w:val="56C75180"/>
    <w:multiLevelType w:val="hybridMultilevel"/>
    <w:tmpl w:val="5A0CE940"/>
    <w:lvl w:ilvl="0" w:tplc="F09E8E04">
      <w:start w:val="1"/>
      <w:numFmt w:val="upperRoman"/>
      <w:lvlText w:val="%1."/>
      <w:lvlJc w:val="left"/>
      <w:pPr>
        <w:ind w:left="1080" w:hanging="720"/>
      </w:pPr>
      <w:rPr>
        <w:rFonts w:hint="default"/>
        <w:b w:val="0"/>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B4A05"/>
    <w:multiLevelType w:val="hybridMultilevel"/>
    <w:tmpl w:val="CC428B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1395583"/>
    <w:multiLevelType w:val="hybridMultilevel"/>
    <w:tmpl w:val="D14A79E2"/>
    <w:lvl w:ilvl="0" w:tplc="505AF090">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A979BD"/>
    <w:multiLevelType w:val="hybridMultilevel"/>
    <w:tmpl w:val="4CE0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7"/>
  </w:num>
  <w:num w:numId="4">
    <w:abstractNumId w:val="1"/>
  </w:num>
  <w:num w:numId="5">
    <w:abstractNumId w:val="13"/>
  </w:num>
  <w:num w:numId="6">
    <w:abstractNumId w:val="3"/>
  </w:num>
  <w:num w:numId="7">
    <w:abstractNumId w:val="8"/>
  </w:num>
  <w:num w:numId="8">
    <w:abstractNumId w:val="11"/>
  </w:num>
  <w:num w:numId="9">
    <w:abstractNumId w:val="9"/>
  </w:num>
  <w:num w:numId="10">
    <w:abstractNumId w:val="2"/>
  </w:num>
  <w:num w:numId="11">
    <w:abstractNumId w:val="5"/>
  </w:num>
  <w:num w:numId="12">
    <w:abstractNumId w:val="0"/>
  </w:num>
  <w:num w:numId="13">
    <w:abstractNumId w:val="4"/>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8"/>
    <w:rsid w:val="00000E01"/>
    <w:rsid w:val="00005092"/>
    <w:rsid w:val="0000512D"/>
    <w:rsid w:val="00007009"/>
    <w:rsid w:val="00010E60"/>
    <w:rsid w:val="000147FA"/>
    <w:rsid w:val="00015348"/>
    <w:rsid w:val="000155BC"/>
    <w:rsid w:val="00017781"/>
    <w:rsid w:val="00020537"/>
    <w:rsid w:val="00020FA6"/>
    <w:rsid w:val="000215F7"/>
    <w:rsid w:val="000235BC"/>
    <w:rsid w:val="00023B2C"/>
    <w:rsid w:val="000267E5"/>
    <w:rsid w:val="00026876"/>
    <w:rsid w:val="00026BB3"/>
    <w:rsid w:val="00027CDE"/>
    <w:rsid w:val="00030D2F"/>
    <w:rsid w:val="00031898"/>
    <w:rsid w:val="00031A39"/>
    <w:rsid w:val="00032EE2"/>
    <w:rsid w:val="0003435F"/>
    <w:rsid w:val="00035D1D"/>
    <w:rsid w:val="00035F1A"/>
    <w:rsid w:val="000446C4"/>
    <w:rsid w:val="00044C0D"/>
    <w:rsid w:val="000463B8"/>
    <w:rsid w:val="0004781F"/>
    <w:rsid w:val="00047FA4"/>
    <w:rsid w:val="00051807"/>
    <w:rsid w:val="00052889"/>
    <w:rsid w:val="00052F12"/>
    <w:rsid w:val="00053C9F"/>
    <w:rsid w:val="00053D36"/>
    <w:rsid w:val="000545ED"/>
    <w:rsid w:val="000628BC"/>
    <w:rsid w:val="00062976"/>
    <w:rsid w:val="00065694"/>
    <w:rsid w:val="000677FD"/>
    <w:rsid w:val="0007538C"/>
    <w:rsid w:val="00077D61"/>
    <w:rsid w:val="000802A0"/>
    <w:rsid w:val="0008065E"/>
    <w:rsid w:val="0008177F"/>
    <w:rsid w:val="00085D19"/>
    <w:rsid w:val="000865E5"/>
    <w:rsid w:val="00090BF3"/>
    <w:rsid w:val="000929FB"/>
    <w:rsid w:val="000961E0"/>
    <w:rsid w:val="00097DF8"/>
    <w:rsid w:val="000A09B9"/>
    <w:rsid w:val="000A1398"/>
    <w:rsid w:val="000A2B7D"/>
    <w:rsid w:val="000A3826"/>
    <w:rsid w:val="000A4DB3"/>
    <w:rsid w:val="000A55FD"/>
    <w:rsid w:val="000A70D5"/>
    <w:rsid w:val="000A76E2"/>
    <w:rsid w:val="000B45CB"/>
    <w:rsid w:val="000B4933"/>
    <w:rsid w:val="000B7F84"/>
    <w:rsid w:val="000C057F"/>
    <w:rsid w:val="000C2B12"/>
    <w:rsid w:val="000C2F13"/>
    <w:rsid w:val="000C47AE"/>
    <w:rsid w:val="000C589E"/>
    <w:rsid w:val="000C6B6A"/>
    <w:rsid w:val="000C7286"/>
    <w:rsid w:val="000C7B0F"/>
    <w:rsid w:val="000D01A2"/>
    <w:rsid w:val="000D028E"/>
    <w:rsid w:val="000E15ED"/>
    <w:rsid w:val="000E2C3B"/>
    <w:rsid w:val="000E3BDF"/>
    <w:rsid w:val="000E5DF3"/>
    <w:rsid w:val="000E5F29"/>
    <w:rsid w:val="000F027D"/>
    <w:rsid w:val="000F347B"/>
    <w:rsid w:val="000F4602"/>
    <w:rsid w:val="000F54DD"/>
    <w:rsid w:val="00100B89"/>
    <w:rsid w:val="001019C9"/>
    <w:rsid w:val="001034AA"/>
    <w:rsid w:val="00103867"/>
    <w:rsid w:val="001053D4"/>
    <w:rsid w:val="00105C5D"/>
    <w:rsid w:val="00105FD4"/>
    <w:rsid w:val="00106537"/>
    <w:rsid w:val="00106847"/>
    <w:rsid w:val="001073FB"/>
    <w:rsid w:val="001076C4"/>
    <w:rsid w:val="00113BAE"/>
    <w:rsid w:val="0012131E"/>
    <w:rsid w:val="001227E2"/>
    <w:rsid w:val="00122ED4"/>
    <w:rsid w:val="00124458"/>
    <w:rsid w:val="001244A1"/>
    <w:rsid w:val="00124A95"/>
    <w:rsid w:val="00130D9B"/>
    <w:rsid w:val="00131185"/>
    <w:rsid w:val="00132507"/>
    <w:rsid w:val="0013316D"/>
    <w:rsid w:val="00133A87"/>
    <w:rsid w:val="00133F3B"/>
    <w:rsid w:val="00137C44"/>
    <w:rsid w:val="0014022A"/>
    <w:rsid w:val="00143BCA"/>
    <w:rsid w:val="00145037"/>
    <w:rsid w:val="001455BC"/>
    <w:rsid w:val="001476C8"/>
    <w:rsid w:val="001501DD"/>
    <w:rsid w:val="001514AD"/>
    <w:rsid w:val="001537B1"/>
    <w:rsid w:val="001548A8"/>
    <w:rsid w:val="00155463"/>
    <w:rsid w:val="001561AB"/>
    <w:rsid w:val="00160E56"/>
    <w:rsid w:val="00161B7E"/>
    <w:rsid w:val="00161DB6"/>
    <w:rsid w:val="001621C6"/>
    <w:rsid w:val="00162989"/>
    <w:rsid w:val="00162994"/>
    <w:rsid w:val="00162B95"/>
    <w:rsid w:val="00165211"/>
    <w:rsid w:val="0016BC44"/>
    <w:rsid w:val="001706AB"/>
    <w:rsid w:val="00171145"/>
    <w:rsid w:val="00171E61"/>
    <w:rsid w:val="00171EB2"/>
    <w:rsid w:val="001725BD"/>
    <w:rsid w:val="001732D2"/>
    <w:rsid w:val="00173D7E"/>
    <w:rsid w:val="00173FF5"/>
    <w:rsid w:val="0018174C"/>
    <w:rsid w:val="00183A32"/>
    <w:rsid w:val="0018493F"/>
    <w:rsid w:val="00184F1B"/>
    <w:rsid w:val="00185960"/>
    <w:rsid w:val="00190B3B"/>
    <w:rsid w:val="00192CDC"/>
    <w:rsid w:val="00193726"/>
    <w:rsid w:val="001951FE"/>
    <w:rsid w:val="00195B46"/>
    <w:rsid w:val="00195DF9"/>
    <w:rsid w:val="0019629E"/>
    <w:rsid w:val="001970D2"/>
    <w:rsid w:val="0019784E"/>
    <w:rsid w:val="001A139A"/>
    <w:rsid w:val="001A1B09"/>
    <w:rsid w:val="001A2187"/>
    <w:rsid w:val="001A30FF"/>
    <w:rsid w:val="001A5BA8"/>
    <w:rsid w:val="001A6D3F"/>
    <w:rsid w:val="001B0413"/>
    <w:rsid w:val="001B1A1C"/>
    <w:rsid w:val="001B2DC0"/>
    <w:rsid w:val="001B35C1"/>
    <w:rsid w:val="001B3879"/>
    <w:rsid w:val="001B3D1D"/>
    <w:rsid w:val="001B5DBD"/>
    <w:rsid w:val="001B64CC"/>
    <w:rsid w:val="001C090A"/>
    <w:rsid w:val="001C0968"/>
    <w:rsid w:val="001C180C"/>
    <w:rsid w:val="001C2095"/>
    <w:rsid w:val="001C24A4"/>
    <w:rsid w:val="001C24AF"/>
    <w:rsid w:val="001C4DF9"/>
    <w:rsid w:val="001C67B3"/>
    <w:rsid w:val="001D25B6"/>
    <w:rsid w:val="001D5327"/>
    <w:rsid w:val="001D62A7"/>
    <w:rsid w:val="001D756D"/>
    <w:rsid w:val="001D78CD"/>
    <w:rsid w:val="001E077D"/>
    <w:rsid w:val="001E16AB"/>
    <w:rsid w:val="001E1A82"/>
    <w:rsid w:val="001E2A45"/>
    <w:rsid w:val="001E79D5"/>
    <w:rsid w:val="001F03C9"/>
    <w:rsid w:val="001F15CF"/>
    <w:rsid w:val="001F28AE"/>
    <w:rsid w:val="001F31F8"/>
    <w:rsid w:val="001F3EC0"/>
    <w:rsid w:val="001F473E"/>
    <w:rsid w:val="001F6D59"/>
    <w:rsid w:val="00200AFF"/>
    <w:rsid w:val="002016D5"/>
    <w:rsid w:val="0020348C"/>
    <w:rsid w:val="00204AAC"/>
    <w:rsid w:val="00204C12"/>
    <w:rsid w:val="00205EF9"/>
    <w:rsid w:val="00207C05"/>
    <w:rsid w:val="002118AB"/>
    <w:rsid w:val="002127A7"/>
    <w:rsid w:val="002129C9"/>
    <w:rsid w:val="00212A57"/>
    <w:rsid w:val="00213D1E"/>
    <w:rsid w:val="002146AE"/>
    <w:rsid w:val="00217607"/>
    <w:rsid w:val="002213E0"/>
    <w:rsid w:val="00221B60"/>
    <w:rsid w:val="002243FD"/>
    <w:rsid w:val="00225056"/>
    <w:rsid w:val="00227EE5"/>
    <w:rsid w:val="0022C785"/>
    <w:rsid w:val="00232367"/>
    <w:rsid w:val="002344A0"/>
    <w:rsid w:val="00235814"/>
    <w:rsid w:val="00235A0E"/>
    <w:rsid w:val="00235D01"/>
    <w:rsid w:val="00236DC5"/>
    <w:rsid w:val="0023739E"/>
    <w:rsid w:val="002374E4"/>
    <w:rsid w:val="00241950"/>
    <w:rsid w:val="002443F4"/>
    <w:rsid w:val="00244D03"/>
    <w:rsid w:val="00244EB9"/>
    <w:rsid w:val="00246686"/>
    <w:rsid w:val="00246894"/>
    <w:rsid w:val="00246932"/>
    <w:rsid w:val="00246DD9"/>
    <w:rsid w:val="00250280"/>
    <w:rsid w:val="00251911"/>
    <w:rsid w:val="00253A29"/>
    <w:rsid w:val="00256B82"/>
    <w:rsid w:val="002571B7"/>
    <w:rsid w:val="00257FCB"/>
    <w:rsid w:val="00261085"/>
    <w:rsid w:val="0026118A"/>
    <w:rsid w:val="00261B9E"/>
    <w:rsid w:val="00262548"/>
    <w:rsid w:val="00263B20"/>
    <w:rsid w:val="00266942"/>
    <w:rsid w:val="0026791E"/>
    <w:rsid w:val="00267D95"/>
    <w:rsid w:val="0027012E"/>
    <w:rsid w:val="00270DCE"/>
    <w:rsid w:val="0027482C"/>
    <w:rsid w:val="00275B5E"/>
    <w:rsid w:val="00277927"/>
    <w:rsid w:val="0028255A"/>
    <w:rsid w:val="00284206"/>
    <w:rsid w:val="00290778"/>
    <w:rsid w:val="00291294"/>
    <w:rsid w:val="0029304F"/>
    <w:rsid w:val="002936D5"/>
    <w:rsid w:val="0029798E"/>
    <w:rsid w:val="002A06BC"/>
    <w:rsid w:val="002A0BE0"/>
    <w:rsid w:val="002A16E2"/>
    <w:rsid w:val="002A2FB4"/>
    <w:rsid w:val="002A46AE"/>
    <w:rsid w:val="002A486A"/>
    <w:rsid w:val="002A520D"/>
    <w:rsid w:val="002A69E5"/>
    <w:rsid w:val="002B19BA"/>
    <w:rsid w:val="002B2BBB"/>
    <w:rsid w:val="002B33E0"/>
    <w:rsid w:val="002B4F9D"/>
    <w:rsid w:val="002B6823"/>
    <w:rsid w:val="002B6C60"/>
    <w:rsid w:val="002B735F"/>
    <w:rsid w:val="002B77A6"/>
    <w:rsid w:val="002C331B"/>
    <w:rsid w:val="002C44FC"/>
    <w:rsid w:val="002C7A5F"/>
    <w:rsid w:val="002C7D4A"/>
    <w:rsid w:val="002C7FB8"/>
    <w:rsid w:val="002D1D53"/>
    <w:rsid w:val="002D1D96"/>
    <w:rsid w:val="002D29FF"/>
    <w:rsid w:val="002D40CF"/>
    <w:rsid w:val="002D5FF5"/>
    <w:rsid w:val="002D6220"/>
    <w:rsid w:val="002D6C52"/>
    <w:rsid w:val="002D7BDB"/>
    <w:rsid w:val="002E311D"/>
    <w:rsid w:val="002E475F"/>
    <w:rsid w:val="002E54C8"/>
    <w:rsid w:val="002E745F"/>
    <w:rsid w:val="002F0EBD"/>
    <w:rsid w:val="002F1B94"/>
    <w:rsid w:val="002F5E45"/>
    <w:rsid w:val="002F7A96"/>
    <w:rsid w:val="00300736"/>
    <w:rsid w:val="003021FE"/>
    <w:rsid w:val="003032CB"/>
    <w:rsid w:val="00303C51"/>
    <w:rsid w:val="0030591D"/>
    <w:rsid w:val="00310697"/>
    <w:rsid w:val="00310E27"/>
    <w:rsid w:val="0031431E"/>
    <w:rsid w:val="0031549C"/>
    <w:rsid w:val="0031652E"/>
    <w:rsid w:val="003207C0"/>
    <w:rsid w:val="00321B84"/>
    <w:rsid w:val="00321E9B"/>
    <w:rsid w:val="00326236"/>
    <w:rsid w:val="00327973"/>
    <w:rsid w:val="0033044E"/>
    <w:rsid w:val="003315F4"/>
    <w:rsid w:val="00331A91"/>
    <w:rsid w:val="003332DA"/>
    <w:rsid w:val="00333BB1"/>
    <w:rsid w:val="00337419"/>
    <w:rsid w:val="003418B3"/>
    <w:rsid w:val="00343232"/>
    <w:rsid w:val="00344EE1"/>
    <w:rsid w:val="00346FD7"/>
    <w:rsid w:val="0035011E"/>
    <w:rsid w:val="003521C6"/>
    <w:rsid w:val="0035511D"/>
    <w:rsid w:val="00357070"/>
    <w:rsid w:val="00362231"/>
    <w:rsid w:val="00362773"/>
    <w:rsid w:val="0036299F"/>
    <w:rsid w:val="003630D9"/>
    <w:rsid w:val="003642BA"/>
    <w:rsid w:val="00365709"/>
    <w:rsid w:val="00367B25"/>
    <w:rsid w:val="003712F2"/>
    <w:rsid w:val="00371702"/>
    <w:rsid w:val="00375088"/>
    <w:rsid w:val="00375555"/>
    <w:rsid w:val="00375BCD"/>
    <w:rsid w:val="00376A1A"/>
    <w:rsid w:val="00376CBB"/>
    <w:rsid w:val="003774F1"/>
    <w:rsid w:val="0037783E"/>
    <w:rsid w:val="003800B3"/>
    <w:rsid w:val="00380808"/>
    <w:rsid w:val="00380E22"/>
    <w:rsid w:val="00381404"/>
    <w:rsid w:val="00381E4D"/>
    <w:rsid w:val="00386A4F"/>
    <w:rsid w:val="003909F4"/>
    <w:rsid w:val="0039295B"/>
    <w:rsid w:val="003935EB"/>
    <w:rsid w:val="00394925"/>
    <w:rsid w:val="00396AE4"/>
    <w:rsid w:val="00396C96"/>
    <w:rsid w:val="003975D3"/>
    <w:rsid w:val="003A15B6"/>
    <w:rsid w:val="003A253B"/>
    <w:rsid w:val="003A2CAA"/>
    <w:rsid w:val="003A392B"/>
    <w:rsid w:val="003A4A4D"/>
    <w:rsid w:val="003A554D"/>
    <w:rsid w:val="003A730C"/>
    <w:rsid w:val="003A78A2"/>
    <w:rsid w:val="003B0C3B"/>
    <w:rsid w:val="003B1005"/>
    <w:rsid w:val="003B4BEF"/>
    <w:rsid w:val="003B510E"/>
    <w:rsid w:val="003B6E43"/>
    <w:rsid w:val="003B6F81"/>
    <w:rsid w:val="003B6FA0"/>
    <w:rsid w:val="003B7ACD"/>
    <w:rsid w:val="003C0353"/>
    <w:rsid w:val="003C0EBF"/>
    <w:rsid w:val="003C153E"/>
    <w:rsid w:val="003C1567"/>
    <w:rsid w:val="003C398F"/>
    <w:rsid w:val="003C3EB6"/>
    <w:rsid w:val="003C429A"/>
    <w:rsid w:val="003C6CD2"/>
    <w:rsid w:val="003C76BA"/>
    <w:rsid w:val="003D5A94"/>
    <w:rsid w:val="003D6EB4"/>
    <w:rsid w:val="003D7014"/>
    <w:rsid w:val="003D791D"/>
    <w:rsid w:val="003E02F7"/>
    <w:rsid w:val="003E157E"/>
    <w:rsid w:val="003E1C6F"/>
    <w:rsid w:val="003E1CCD"/>
    <w:rsid w:val="003E6AF1"/>
    <w:rsid w:val="003E6F1E"/>
    <w:rsid w:val="003E7638"/>
    <w:rsid w:val="003E7913"/>
    <w:rsid w:val="003F4180"/>
    <w:rsid w:val="003F5DA8"/>
    <w:rsid w:val="004002CD"/>
    <w:rsid w:val="004050BF"/>
    <w:rsid w:val="004059F5"/>
    <w:rsid w:val="00406101"/>
    <w:rsid w:val="0041070E"/>
    <w:rsid w:val="00410847"/>
    <w:rsid w:val="004112A7"/>
    <w:rsid w:val="00412073"/>
    <w:rsid w:val="00413022"/>
    <w:rsid w:val="0041328B"/>
    <w:rsid w:val="00413B66"/>
    <w:rsid w:val="0041401D"/>
    <w:rsid w:val="00414384"/>
    <w:rsid w:val="00414C18"/>
    <w:rsid w:val="004154E2"/>
    <w:rsid w:val="00416846"/>
    <w:rsid w:val="004178AD"/>
    <w:rsid w:val="0042099D"/>
    <w:rsid w:val="00422355"/>
    <w:rsid w:val="004242F6"/>
    <w:rsid w:val="0042430F"/>
    <w:rsid w:val="00424590"/>
    <w:rsid w:val="004257EF"/>
    <w:rsid w:val="00427EF7"/>
    <w:rsid w:val="004323C1"/>
    <w:rsid w:val="0043570C"/>
    <w:rsid w:val="00435791"/>
    <w:rsid w:val="00436575"/>
    <w:rsid w:val="00436E85"/>
    <w:rsid w:val="00441454"/>
    <w:rsid w:val="00443C05"/>
    <w:rsid w:val="0045094D"/>
    <w:rsid w:val="00451400"/>
    <w:rsid w:val="00453142"/>
    <w:rsid w:val="004567F8"/>
    <w:rsid w:val="004611FF"/>
    <w:rsid w:val="00461397"/>
    <w:rsid w:val="00464670"/>
    <w:rsid w:val="00470613"/>
    <w:rsid w:val="004728EF"/>
    <w:rsid w:val="00473004"/>
    <w:rsid w:val="00473EC1"/>
    <w:rsid w:val="00474FA1"/>
    <w:rsid w:val="0047665D"/>
    <w:rsid w:val="00480DDB"/>
    <w:rsid w:val="00481492"/>
    <w:rsid w:val="00483288"/>
    <w:rsid w:val="00485BAF"/>
    <w:rsid w:val="00486C09"/>
    <w:rsid w:val="00486FDD"/>
    <w:rsid w:val="0048702C"/>
    <w:rsid w:val="0049130E"/>
    <w:rsid w:val="00491A0C"/>
    <w:rsid w:val="00493C57"/>
    <w:rsid w:val="00496680"/>
    <w:rsid w:val="00496722"/>
    <w:rsid w:val="00496D1F"/>
    <w:rsid w:val="004977BB"/>
    <w:rsid w:val="00497856"/>
    <w:rsid w:val="004A0B14"/>
    <w:rsid w:val="004A12AF"/>
    <w:rsid w:val="004A1E60"/>
    <w:rsid w:val="004A463C"/>
    <w:rsid w:val="004A5808"/>
    <w:rsid w:val="004A5E5F"/>
    <w:rsid w:val="004A62B2"/>
    <w:rsid w:val="004A64ED"/>
    <w:rsid w:val="004B1257"/>
    <w:rsid w:val="004B3D68"/>
    <w:rsid w:val="004B4D0B"/>
    <w:rsid w:val="004B5BC5"/>
    <w:rsid w:val="004B5C29"/>
    <w:rsid w:val="004B64EC"/>
    <w:rsid w:val="004C0646"/>
    <w:rsid w:val="004C64D5"/>
    <w:rsid w:val="004C6C78"/>
    <w:rsid w:val="004C7584"/>
    <w:rsid w:val="004D01E8"/>
    <w:rsid w:val="004D0BE0"/>
    <w:rsid w:val="004D0C88"/>
    <w:rsid w:val="004D176A"/>
    <w:rsid w:val="004D18A9"/>
    <w:rsid w:val="004D1E5F"/>
    <w:rsid w:val="004D3A3B"/>
    <w:rsid w:val="004D7AE5"/>
    <w:rsid w:val="004D7FD1"/>
    <w:rsid w:val="004E0CA1"/>
    <w:rsid w:val="004E21DE"/>
    <w:rsid w:val="004E3237"/>
    <w:rsid w:val="004E3F9F"/>
    <w:rsid w:val="004E4058"/>
    <w:rsid w:val="004E61D6"/>
    <w:rsid w:val="004E627E"/>
    <w:rsid w:val="004F11E6"/>
    <w:rsid w:val="004F40E5"/>
    <w:rsid w:val="004F4CC7"/>
    <w:rsid w:val="00500085"/>
    <w:rsid w:val="00502E00"/>
    <w:rsid w:val="00502E6A"/>
    <w:rsid w:val="00506381"/>
    <w:rsid w:val="0051234E"/>
    <w:rsid w:val="00520B54"/>
    <w:rsid w:val="00523828"/>
    <w:rsid w:val="00523EE1"/>
    <w:rsid w:val="005266D0"/>
    <w:rsid w:val="0052744F"/>
    <w:rsid w:val="00531938"/>
    <w:rsid w:val="005363A2"/>
    <w:rsid w:val="005364CF"/>
    <w:rsid w:val="005365D4"/>
    <w:rsid w:val="00537F20"/>
    <w:rsid w:val="005404B7"/>
    <w:rsid w:val="00541C61"/>
    <w:rsid w:val="00542902"/>
    <w:rsid w:val="00546D87"/>
    <w:rsid w:val="00546DE8"/>
    <w:rsid w:val="00552D74"/>
    <w:rsid w:val="0055417C"/>
    <w:rsid w:val="00554F63"/>
    <w:rsid w:val="00556B97"/>
    <w:rsid w:val="005604E1"/>
    <w:rsid w:val="0056278D"/>
    <w:rsid w:val="00562F02"/>
    <w:rsid w:val="0056320A"/>
    <w:rsid w:val="00563D46"/>
    <w:rsid w:val="005648CA"/>
    <w:rsid w:val="00573E15"/>
    <w:rsid w:val="00574DFA"/>
    <w:rsid w:val="0057530F"/>
    <w:rsid w:val="00577E03"/>
    <w:rsid w:val="00580458"/>
    <w:rsid w:val="00583149"/>
    <w:rsid w:val="00587C8A"/>
    <w:rsid w:val="00592A34"/>
    <w:rsid w:val="00592FD0"/>
    <w:rsid w:val="00593307"/>
    <w:rsid w:val="00593B86"/>
    <w:rsid w:val="005948C3"/>
    <w:rsid w:val="0059530A"/>
    <w:rsid w:val="005975A7"/>
    <w:rsid w:val="00597AB3"/>
    <w:rsid w:val="00597B6E"/>
    <w:rsid w:val="005A0ADC"/>
    <w:rsid w:val="005A15C1"/>
    <w:rsid w:val="005A3CE2"/>
    <w:rsid w:val="005A5D97"/>
    <w:rsid w:val="005A7031"/>
    <w:rsid w:val="005A7683"/>
    <w:rsid w:val="005B04B1"/>
    <w:rsid w:val="005B2EF8"/>
    <w:rsid w:val="005B2F6B"/>
    <w:rsid w:val="005B4345"/>
    <w:rsid w:val="005B73CF"/>
    <w:rsid w:val="005C0FB4"/>
    <w:rsid w:val="005C3004"/>
    <w:rsid w:val="005C50C9"/>
    <w:rsid w:val="005C5BAB"/>
    <w:rsid w:val="005C71D1"/>
    <w:rsid w:val="005D1126"/>
    <w:rsid w:val="005D1981"/>
    <w:rsid w:val="005D41A2"/>
    <w:rsid w:val="005E11F7"/>
    <w:rsid w:val="005E50AA"/>
    <w:rsid w:val="005E5B3B"/>
    <w:rsid w:val="005F0EB4"/>
    <w:rsid w:val="005F36E7"/>
    <w:rsid w:val="005F3AB4"/>
    <w:rsid w:val="005F5D81"/>
    <w:rsid w:val="005F7B79"/>
    <w:rsid w:val="00601520"/>
    <w:rsid w:val="00602DF1"/>
    <w:rsid w:val="00603A86"/>
    <w:rsid w:val="00606783"/>
    <w:rsid w:val="00611D9B"/>
    <w:rsid w:val="00613730"/>
    <w:rsid w:val="0061439A"/>
    <w:rsid w:val="00615B2B"/>
    <w:rsid w:val="006166D8"/>
    <w:rsid w:val="00620A12"/>
    <w:rsid w:val="0062199B"/>
    <w:rsid w:val="006220FB"/>
    <w:rsid w:val="0062349E"/>
    <w:rsid w:val="006242F3"/>
    <w:rsid w:val="0062452D"/>
    <w:rsid w:val="00624F4D"/>
    <w:rsid w:val="006262E4"/>
    <w:rsid w:val="00631BA8"/>
    <w:rsid w:val="00634CD8"/>
    <w:rsid w:val="0064276C"/>
    <w:rsid w:val="00643284"/>
    <w:rsid w:val="006451A2"/>
    <w:rsid w:val="00645896"/>
    <w:rsid w:val="006463E6"/>
    <w:rsid w:val="00650331"/>
    <w:rsid w:val="0065072C"/>
    <w:rsid w:val="00651FA4"/>
    <w:rsid w:val="006520F2"/>
    <w:rsid w:val="00654449"/>
    <w:rsid w:val="00657688"/>
    <w:rsid w:val="00660722"/>
    <w:rsid w:val="00661383"/>
    <w:rsid w:val="006651D9"/>
    <w:rsid w:val="006703F7"/>
    <w:rsid w:val="00670DB7"/>
    <w:rsid w:val="00671201"/>
    <w:rsid w:val="00673314"/>
    <w:rsid w:val="00673D2C"/>
    <w:rsid w:val="006759AF"/>
    <w:rsid w:val="00676052"/>
    <w:rsid w:val="00677BEE"/>
    <w:rsid w:val="00680D5B"/>
    <w:rsid w:val="00680F4E"/>
    <w:rsid w:val="00681429"/>
    <w:rsid w:val="00682413"/>
    <w:rsid w:val="006846DD"/>
    <w:rsid w:val="00684EDB"/>
    <w:rsid w:val="0069003C"/>
    <w:rsid w:val="00692EC5"/>
    <w:rsid w:val="00693801"/>
    <w:rsid w:val="0069628C"/>
    <w:rsid w:val="006964D3"/>
    <w:rsid w:val="006969A0"/>
    <w:rsid w:val="00696C63"/>
    <w:rsid w:val="00697378"/>
    <w:rsid w:val="006A015A"/>
    <w:rsid w:val="006A057D"/>
    <w:rsid w:val="006A0B24"/>
    <w:rsid w:val="006A1542"/>
    <w:rsid w:val="006A1F9F"/>
    <w:rsid w:val="006A3C5B"/>
    <w:rsid w:val="006A5A19"/>
    <w:rsid w:val="006B365A"/>
    <w:rsid w:val="006B443A"/>
    <w:rsid w:val="006B4E63"/>
    <w:rsid w:val="006B72ED"/>
    <w:rsid w:val="006B7FF7"/>
    <w:rsid w:val="006C286D"/>
    <w:rsid w:val="006C2D94"/>
    <w:rsid w:val="006C319C"/>
    <w:rsid w:val="006C399B"/>
    <w:rsid w:val="006C42B8"/>
    <w:rsid w:val="006C4665"/>
    <w:rsid w:val="006C4709"/>
    <w:rsid w:val="006C760A"/>
    <w:rsid w:val="006D4400"/>
    <w:rsid w:val="006D515D"/>
    <w:rsid w:val="006D66A3"/>
    <w:rsid w:val="006D71B9"/>
    <w:rsid w:val="006D7A09"/>
    <w:rsid w:val="006E1170"/>
    <w:rsid w:val="006E3084"/>
    <w:rsid w:val="006E456B"/>
    <w:rsid w:val="006F1238"/>
    <w:rsid w:val="006F1ED4"/>
    <w:rsid w:val="006F31C3"/>
    <w:rsid w:val="006F5786"/>
    <w:rsid w:val="006F5FC3"/>
    <w:rsid w:val="006F5FEA"/>
    <w:rsid w:val="006F6285"/>
    <w:rsid w:val="006F657A"/>
    <w:rsid w:val="00700797"/>
    <w:rsid w:val="007041CA"/>
    <w:rsid w:val="00705117"/>
    <w:rsid w:val="007051B5"/>
    <w:rsid w:val="007064C1"/>
    <w:rsid w:val="0071042B"/>
    <w:rsid w:val="0071046C"/>
    <w:rsid w:val="00711558"/>
    <w:rsid w:val="00712D77"/>
    <w:rsid w:val="007139A3"/>
    <w:rsid w:val="0071AB03"/>
    <w:rsid w:val="00720B37"/>
    <w:rsid w:val="007248C6"/>
    <w:rsid w:val="00725802"/>
    <w:rsid w:val="007269F5"/>
    <w:rsid w:val="00726A7C"/>
    <w:rsid w:val="00726C70"/>
    <w:rsid w:val="00726F32"/>
    <w:rsid w:val="00731B09"/>
    <w:rsid w:val="00733A1C"/>
    <w:rsid w:val="00733CF7"/>
    <w:rsid w:val="0073473D"/>
    <w:rsid w:val="0073772B"/>
    <w:rsid w:val="00737B1F"/>
    <w:rsid w:val="007420DE"/>
    <w:rsid w:val="00745D61"/>
    <w:rsid w:val="0074621F"/>
    <w:rsid w:val="00751A32"/>
    <w:rsid w:val="00752445"/>
    <w:rsid w:val="0075256E"/>
    <w:rsid w:val="0075340B"/>
    <w:rsid w:val="00754315"/>
    <w:rsid w:val="007557C0"/>
    <w:rsid w:val="0076005A"/>
    <w:rsid w:val="007605DB"/>
    <w:rsid w:val="007622B3"/>
    <w:rsid w:val="00762DB5"/>
    <w:rsid w:val="00764209"/>
    <w:rsid w:val="00765FB8"/>
    <w:rsid w:val="00770BC0"/>
    <w:rsid w:val="007728EF"/>
    <w:rsid w:val="00772F65"/>
    <w:rsid w:val="0077400B"/>
    <w:rsid w:val="00775729"/>
    <w:rsid w:val="00775940"/>
    <w:rsid w:val="00776F12"/>
    <w:rsid w:val="00781787"/>
    <w:rsid w:val="0078338C"/>
    <w:rsid w:val="00787304"/>
    <w:rsid w:val="007A09CF"/>
    <w:rsid w:val="007A1AF8"/>
    <w:rsid w:val="007A3DDB"/>
    <w:rsid w:val="007B1AB8"/>
    <w:rsid w:val="007B43FF"/>
    <w:rsid w:val="007B5199"/>
    <w:rsid w:val="007B5A5A"/>
    <w:rsid w:val="007B6AB5"/>
    <w:rsid w:val="007B7AF2"/>
    <w:rsid w:val="007B7F88"/>
    <w:rsid w:val="007B7FCD"/>
    <w:rsid w:val="007C0F98"/>
    <w:rsid w:val="007C1ABA"/>
    <w:rsid w:val="007C30AD"/>
    <w:rsid w:val="007C37CB"/>
    <w:rsid w:val="007C7E3F"/>
    <w:rsid w:val="007D0E94"/>
    <w:rsid w:val="007D0FE8"/>
    <w:rsid w:val="007D6F99"/>
    <w:rsid w:val="007E01C8"/>
    <w:rsid w:val="007E1B02"/>
    <w:rsid w:val="007E5884"/>
    <w:rsid w:val="007E749B"/>
    <w:rsid w:val="007F0925"/>
    <w:rsid w:val="007F1F2D"/>
    <w:rsid w:val="007F204A"/>
    <w:rsid w:val="007F48A9"/>
    <w:rsid w:val="007F7FB6"/>
    <w:rsid w:val="00801344"/>
    <w:rsid w:val="00805F5A"/>
    <w:rsid w:val="0080612C"/>
    <w:rsid w:val="008074B3"/>
    <w:rsid w:val="00811E63"/>
    <w:rsid w:val="0081314B"/>
    <w:rsid w:val="00813328"/>
    <w:rsid w:val="00813B61"/>
    <w:rsid w:val="00813F4D"/>
    <w:rsid w:val="008238DE"/>
    <w:rsid w:val="00825616"/>
    <w:rsid w:val="008302BA"/>
    <w:rsid w:val="00830555"/>
    <w:rsid w:val="008320B6"/>
    <w:rsid w:val="00832CEE"/>
    <w:rsid w:val="00832FD1"/>
    <w:rsid w:val="00833960"/>
    <w:rsid w:val="00836AC4"/>
    <w:rsid w:val="00837674"/>
    <w:rsid w:val="00837B26"/>
    <w:rsid w:val="00840234"/>
    <w:rsid w:val="008436D8"/>
    <w:rsid w:val="00843CCF"/>
    <w:rsid w:val="00846790"/>
    <w:rsid w:val="00854824"/>
    <w:rsid w:val="00855214"/>
    <w:rsid w:val="00855A57"/>
    <w:rsid w:val="00860374"/>
    <w:rsid w:val="00860490"/>
    <w:rsid w:val="0086101B"/>
    <w:rsid w:val="0086626F"/>
    <w:rsid w:val="00867811"/>
    <w:rsid w:val="00867B3A"/>
    <w:rsid w:val="00867F6C"/>
    <w:rsid w:val="008726E5"/>
    <w:rsid w:val="00874DBC"/>
    <w:rsid w:val="008757BB"/>
    <w:rsid w:val="00876493"/>
    <w:rsid w:val="00880BAF"/>
    <w:rsid w:val="0088156B"/>
    <w:rsid w:val="00881E74"/>
    <w:rsid w:val="008822F1"/>
    <w:rsid w:val="00883268"/>
    <w:rsid w:val="00883B66"/>
    <w:rsid w:val="00885C96"/>
    <w:rsid w:val="00887EB2"/>
    <w:rsid w:val="00891E6C"/>
    <w:rsid w:val="0089369F"/>
    <w:rsid w:val="008976D5"/>
    <w:rsid w:val="008A0D10"/>
    <w:rsid w:val="008A145B"/>
    <w:rsid w:val="008A224E"/>
    <w:rsid w:val="008A2AF6"/>
    <w:rsid w:val="008A3CCA"/>
    <w:rsid w:val="008A41E4"/>
    <w:rsid w:val="008A647B"/>
    <w:rsid w:val="008A6AB3"/>
    <w:rsid w:val="008B04D6"/>
    <w:rsid w:val="008B1D0C"/>
    <w:rsid w:val="008B2432"/>
    <w:rsid w:val="008B2D95"/>
    <w:rsid w:val="008B3058"/>
    <w:rsid w:val="008B5F29"/>
    <w:rsid w:val="008C650B"/>
    <w:rsid w:val="008C6990"/>
    <w:rsid w:val="008C6F5B"/>
    <w:rsid w:val="008C7A22"/>
    <w:rsid w:val="008C7B7B"/>
    <w:rsid w:val="008D0464"/>
    <w:rsid w:val="008D41A7"/>
    <w:rsid w:val="008D47A9"/>
    <w:rsid w:val="008D5B1E"/>
    <w:rsid w:val="008D77D6"/>
    <w:rsid w:val="008E16A8"/>
    <w:rsid w:val="008E31C2"/>
    <w:rsid w:val="008E31E2"/>
    <w:rsid w:val="008F134B"/>
    <w:rsid w:val="008F294E"/>
    <w:rsid w:val="008F59BE"/>
    <w:rsid w:val="008F6047"/>
    <w:rsid w:val="008F63F3"/>
    <w:rsid w:val="008F6CB3"/>
    <w:rsid w:val="008F787C"/>
    <w:rsid w:val="00903274"/>
    <w:rsid w:val="00905329"/>
    <w:rsid w:val="00905B07"/>
    <w:rsid w:val="0091043A"/>
    <w:rsid w:val="00910ACC"/>
    <w:rsid w:val="009163BF"/>
    <w:rsid w:val="00920E14"/>
    <w:rsid w:val="00922202"/>
    <w:rsid w:val="00922876"/>
    <w:rsid w:val="00932042"/>
    <w:rsid w:val="00932820"/>
    <w:rsid w:val="009340BF"/>
    <w:rsid w:val="009348BA"/>
    <w:rsid w:val="00935994"/>
    <w:rsid w:val="0093677C"/>
    <w:rsid w:val="00937010"/>
    <w:rsid w:val="009377AC"/>
    <w:rsid w:val="00940CF3"/>
    <w:rsid w:val="00940FCB"/>
    <w:rsid w:val="00943D8B"/>
    <w:rsid w:val="009448C1"/>
    <w:rsid w:val="00945CBC"/>
    <w:rsid w:val="00945F1A"/>
    <w:rsid w:val="009475DD"/>
    <w:rsid w:val="00950C46"/>
    <w:rsid w:val="00950DA1"/>
    <w:rsid w:val="00951F6A"/>
    <w:rsid w:val="00952017"/>
    <w:rsid w:val="0095435F"/>
    <w:rsid w:val="00954D03"/>
    <w:rsid w:val="00961A08"/>
    <w:rsid w:val="00964BF5"/>
    <w:rsid w:val="00964CD5"/>
    <w:rsid w:val="0096557D"/>
    <w:rsid w:val="00966D72"/>
    <w:rsid w:val="00967AC2"/>
    <w:rsid w:val="009737CB"/>
    <w:rsid w:val="00976CA9"/>
    <w:rsid w:val="00981B58"/>
    <w:rsid w:val="009825EA"/>
    <w:rsid w:val="009827E4"/>
    <w:rsid w:val="00982BA8"/>
    <w:rsid w:val="00985E10"/>
    <w:rsid w:val="00987AA0"/>
    <w:rsid w:val="00991818"/>
    <w:rsid w:val="00991B9E"/>
    <w:rsid w:val="00994985"/>
    <w:rsid w:val="00994C9A"/>
    <w:rsid w:val="00996863"/>
    <w:rsid w:val="00996BD7"/>
    <w:rsid w:val="009A0DFE"/>
    <w:rsid w:val="009A0F06"/>
    <w:rsid w:val="009A303B"/>
    <w:rsid w:val="009A44A1"/>
    <w:rsid w:val="009A4C73"/>
    <w:rsid w:val="009A57E4"/>
    <w:rsid w:val="009A590C"/>
    <w:rsid w:val="009A7342"/>
    <w:rsid w:val="009B066C"/>
    <w:rsid w:val="009B15B5"/>
    <w:rsid w:val="009B1B28"/>
    <w:rsid w:val="009B2921"/>
    <w:rsid w:val="009B3BEE"/>
    <w:rsid w:val="009B5D4E"/>
    <w:rsid w:val="009B5EB3"/>
    <w:rsid w:val="009B6273"/>
    <w:rsid w:val="009C0252"/>
    <w:rsid w:val="009C2C8F"/>
    <w:rsid w:val="009C3632"/>
    <w:rsid w:val="009C53D5"/>
    <w:rsid w:val="009C70B4"/>
    <w:rsid w:val="009D0D1D"/>
    <w:rsid w:val="009D0FB7"/>
    <w:rsid w:val="009D1249"/>
    <w:rsid w:val="009D3E56"/>
    <w:rsid w:val="009D6659"/>
    <w:rsid w:val="009E339A"/>
    <w:rsid w:val="009E612F"/>
    <w:rsid w:val="009E756F"/>
    <w:rsid w:val="009F2C9C"/>
    <w:rsid w:val="009F37A5"/>
    <w:rsid w:val="009F7B44"/>
    <w:rsid w:val="00A02CDE"/>
    <w:rsid w:val="00A02F92"/>
    <w:rsid w:val="00A03A95"/>
    <w:rsid w:val="00A04DC9"/>
    <w:rsid w:val="00A05968"/>
    <w:rsid w:val="00A05E9D"/>
    <w:rsid w:val="00A0629B"/>
    <w:rsid w:val="00A0643C"/>
    <w:rsid w:val="00A10973"/>
    <w:rsid w:val="00A10FE2"/>
    <w:rsid w:val="00A156D9"/>
    <w:rsid w:val="00A15FDD"/>
    <w:rsid w:val="00A1671C"/>
    <w:rsid w:val="00A171FA"/>
    <w:rsid w:val="00A172A1"/>
    <w:rsid w:val="00A201F9"/>
    <w:rsid w:val="00A20455"/>
    <w:rsid w:val="00A212BB"/>
    <w:rsid w:val="00A2336D"/>
    <w:rsid w:val="00A240A0"/>
    <w:rsid w:val="00A24DF5"/>
    <w:rsid w:val="00A25FFD"/>
    <w:rsid w:val="00A2764D"/>
    <w:rsid w:val="00A30AC9"/>
    <w:rsid w:val="00A32C6B"/>
    <w:rsid w:val="00A33997"/>
    <w:rsid w:val="00A34484"/>
    <w:rsid w:val="00A37506"/>
    <w:rsid w:val="00A403F3"/>
    <w:rsid w:val="00A43B02"/>
    <w:rsid w:val="00A43C89"/>
    <w:rsid w:val="00A47265"/>
    <w:rsid w:val="00A4729B"/>
    <w:rsid w:val="00A47AB9"/>
    <w:rsid w:val="00A507BE"/>
    <w:rsid w:val="00A517DD"/>
    <w:rsid w:val="00A529C2"/>
    <w:rsid w:val="00A5913D"/>
    <w:rsid w:val="00A648E5"/>
    <w:rsid w:val="00A64F78"/>
    <w:rsid w:val="00A65A11"/>
    <w:rsid w:val="00A65CA6"/>
    <w:rsid w:val="00A66EF0"/>
    <w:rsid w:val="00A678AF"/>
    <w:rsid w:val="00A67E71"/>
    <w:rsid w:val="00A71F74"/>
    <w:rsid w:val="00A76EE2"/>
    <w:rsid w:val="00A770D4"/>
    <w:rsid w:val="00A812CB"/>
    <w:rsid w:val="00A833B8"/>
    <w:rsid w:val="00A96587"/>
    <w:rsid w:val="00A97DA2"/>
    <w:rsid w:val="00AA0392"/>
    <w:rsid w:val="00AA06F2"/>
    <w:rsid w:val="00AA19BF"/>
    <w:rsid w:val="00AA483C"/>
    <w:rsid w:val="00AA6E80"/>
    <w:rsid w:val="00AB0A20"/>
    <w:rsid w:val="00AB1B43"/>
    <w:rsid w:val="00AB487C"/>
    <w:rsid w:val="00AB6C4F"/>
    <w:rsid w:val="00AB74BA"/>
    <w:rsid w:val="00AB7FD9"/>
    <w:rsid w:val="00AC2287"/>
    <w:rsid w:val="00AC4C71"/>
    <w:rsid w:val="00AC7193"/>
    <w:rsid w:val="00AC7CB2"/>
    <w:rsid w:val="00AD0111"/>
    <w:rsid w:val="00AD0FF0"/>
    <w:rsid w:val="00AD398C"/>
    <w:rsid w:val="00AE26C8"/>
    <w:rsid w:val="00AE37F3"/>
    <w:rsid w:val="00AE3969"/>
    <w:rsid w:val="00AE3C63"/>
    <w:rsid w:val="00AE4A3F"/>
    <w:rsid w:val="00AE689F"/>
    <w:rsid w:val="00AF058F"/>
    <w:rsid w:val="00AF1373"/>
    <w:rsid w:val="00AF2A29"/>
    <w:rsid w:val="00AF30CD"/>
    <w:rsid w:val="00AF3A9C"/>
    <w:rsid w:val="00AF54A4"/>
    <w:rsid w:val="00AF7E65"/>
    <w:rsid w:val="00B00231"/>
    <w:rsid w:val="00B002E0"/>
    <w:rsid w:val="00B0089B"/>
    <w:rsid w:val="00B104D8"/>
    <w:rsid w:val="00B1070B"/>
    <w:rsid w:val="00B13E07"/>
    <w:rsid w:val="00B1649B"/>
    <w:rsid w:val="00B16D9C"/>
    <w:rsid w:val="00B1749A"/>
    <w:rsid w:val="00B21245"/>
    <w:rsid w:val="00B21C4E"/>
    <w:rsid w:val="00B2321F"/>
    <w:rsid w:val="00B23407"/>
    <w:rsid w:val="00B263B7"/>
    <w:rsid w:val="00B27610"/>
    <w:rsid w:val="00B27B57"/>
    <w:rsid w:val="00B3062D"/>
    <w:rsid w:val="00B30C57"/>
    <w:rsid w:val="00B3134A"/>
    <w:rsid w:val="00B31B0A"/>
    <w:rsid w:val="00B33178"/>
    <w:rsid w:val="00B374E9"/>
    <w:rsid w:val="00B37B69"/>
    <w:rsid w:val="00B420E4"/>
    <w:rsid w:val="00B42D51"/>
    <w:rsid w:val="00B45397"/>
    <w:rsid w:val="00B45AB5"/>
    <w:rsid w:val="00B45EF2"/>
    <w:rsid w:val="00B462D1"/>
    <w:rsid w:val="00B4649A"/>
    <w:rsid w:val="00B4696D"/>
    <w:rsid w:val="00B53659"/>
    <w:rsid w:val="00B540EE"/>
    <w:rsid w:val="00B54DAF"/>
    <w:rsid w:val="00B634BF"/>
    <w:rsid w:val="00B6484A"/>
    <w:rsid w:val="00B64867"/>
    <w:rsid w:val="00B659C6"/>
    <w:rsid w:val="00B65AF6"/>
    <w:rsid w:val="00B670D5"/>
    <w:rsid w:val="00B675C7"/>
    <w:rsid w:val="00B70DA4"/>
    <w:rsid w:val="00B713BE"/>
    <w:rsid w:val="00B71460"/>
    <w:rsid w:val="00B73CCB"/>
    <w:rsid w:val="00B801A4"/>
    <w:rsid w:val="00B80B6B"/>
    <w:rsid w:val="00B81A05"/>
    <w:rsid w:val="00B828C6"/>
    <w:rsid w:val="00B8395A"/>
    <w:rsid w:val="00B85EC9"/>
    <w:rsid w:val="00B86D1B"/>
    <w:rsid w:val="00B92C38"/>
    <w:rsid w:val="00B9310E"/>
    <w:rsid w:val="00B956F4"/>
    <w:rsid w:val="00B96BCE"/>
    <w:rsid w:val="00B973D0"/>
    <w:rsid w:val="00BA0288"/>
    <w:rsid w:val="00BA0805"/>
    <w:rsid w:val="00BA0F6C"/>
    <w:rsid w:val="00BA138D"/>
    <w:rsid w:val="00BA1569"/>
    <w:rsid w:val="00BA1E8A"/>
    <w:rsid w:val="00BA1F2B"/>
    <w:rsid w:val="00BA32F6"/>
    <w:rsid w:val="00BA3B4C"/>
    <w:rsid w:val="00BA4777"/>
    <w:rsid w:val="00BA51C0"/>
    <w:rsid w:val="00BA5D92"/>
    <w:rsid w:val="00BB2155"/>
    <w:rsid w:val="00BB2A0C"/>
    <w:rsid w:val="00BB2AC0"/>
    <w:rsid w:val="00BB307F"/>
    <w:rsid w:val="00BB47C0"/>
    <w:rsid w:val="00BB51CB"/>
    <w:rsid w:val="00BB6EC5"/>
    <w:rsid w:val="00BC4112"/>
    <w:rsid w:val="00BC47FF"/>
    <w:rsid w:val="00BC7808"/>
    <w:rsid w:val="00BD3443"/>
    <w:rsid w:val="00BD372E"/>
    <w:rsid w:val="00BD4871"/>
    <w:rsid w:val="00BD5E30"/>
    <w:rsid w:val="00BD6185"/>
    <w:rsid w:val="00BE0250"/>
    <w:rsid w:val="00BE367A"/>
    <w:rsid w:val="00BE689E"/>
    <w:rsid w:val="00BF05FD"/>
    <w:rsid w:val="00BF212D"/>
    <w:rsid w:val="00BF495F"/>
    <w:rsid w:val="00BF54CA"/>
    <w:rsid w:val="00BF6073"/>
    <w:rsid w:val="00BF7B90"/>
    <w:rsid w:val="00C0003E"/>
    <w:rsid w:val="00C02D38"/>
    <w:rsid w:val="00C049FB"/>
    <w:rsid w:val="00C052C9"/>
    <w:rsid w:val="00C06F19"/>
    <w:rsid w:val="00C0768D"/>
    <w:rsid w:val="00C104DC"/>
    <w:rsid w:val="00C13ECA"/>
    <w:rsid w:val="00C16323"/>
    <w:rsid w:val="00C17DC8"/>
    <w:rsid w:val="00C21291"/>
    <w:rsid w:val="00C2301B"/>
    <w:rsid w:val="00C23312"/>
    <w:rsid w:val="00C25820"/>
    <w:rsid w:val="00C25DAA"/>
    <w:rsid w:val="00C260A8"/>
    <w:rsid w:val="00C27FEE"/>
    <w:rsid w:val="00C30DD5"/>
    <w:rsid w:val="00C31629"/>
    <w:rsid w:val="00C33482"/>
    <w:rsid w:val="00C33E3D"/>
    <w:rsid w:val="00C35580"/>
    <w:rsid w:val="00C40587"/>
    <w:rsid w:val="00C40B39"/>
    <w:rsid w:val="00C471BF"/>
    <w:rsid w:val="00C51685"/>
    <w:rsid w:val="00C522B6"/>
    <w:rsid w:val="00C5315E"/>
    <w:rsid w:val="00C536FF"/>
    <w:rsid w:val="00C54706"/>
    <w:rsid w:val="00C60DC1"/>
    <w:rsid w:val="00C61C19"/>
    <w:rsid w:val="00C626E2"/>
    <w:rsid w:val="00C67219"/>
    <w:rsid w:val="00C71CDB"/>
    <w:rsid w:val="00C72257"/>
    <w:rsid w:val="00C761C8"/>
    <w:rsid w:val="00C80B50"/>
    <w:rsid w:val="00C80CDE"/>
    <w:rsid w:val="00C814FF"/>
    <w:rsid w:val="00C85B92"/>
    <w:rsid w:val="00C85BB6"/>
    <w:rsid w:val="00C8661D"/>
    <w:rsid w:val="00C86C4C"/>
    <w:rsid w:val="00C921AE"/>
    <w:rsid w:val="00C92B80"/>
    <w:rsid w:val="00C93C14"/>
    <w:rsid w:val="00C95623"/>
    <w:rsid w:val="00C95E33"/>
    <w:rsid w:val="00CA1248"/>
    <w:rsid w:val="00CA3F9E"/>
    <w:rsid w:val="00CA4E60"/>
    <w:rsid w:val="00CA5612"/>
    <w:rsid w:val="00CA622A"/>
    <w:rsid w:val="00CB0721"/>
    <w:rsid w:val="00CB0874"/>
    <w:rsid w:val="00CB1821"/>
    <w:rsid w:val="00CB2D3C"/>
    <w:rsid w:val="00CB3A7F"/>
    <w:rsid w:val="00CB61CC"/>
    <w:rsid w:val="00CB68E0"/>
    <w:rsid w:val="00CB718D"/>
    <w:rsid w:val="00CC3878"/>
    <w:rsid w:val="00CC477E"/>
    <w:rsid w:val="00CC5B25"/>
    <w:rsid w:val="00CC5E27"/>
    <w:rsid w:val="00CC6AA7"/>
    <w:rsid w:val="00CD5DFB"/>
    <w:rsid w:val="00CD621B"/>
    <w:rsid w:val="00CE4EDC"/>
    <w:rsid w:val="00CE73EA"/>
    <w:rsid w:val="00CF1DC7"/>
    <w:rsid w:val="00CF27F7"/>
    <w:rsid w:val="00CF2BD1"/>
    <w:rsid w:val="00CF2BFA"/>
    <w:rsid w:val="00CF3623"/>
    <w:rsid w:val="00CF4140"/>
    <w:rsid w:val="00CF55A0"/>
    <w:rsid w:val="00CF701B"/>
    <w:rsid w:val="00D00B6E"/>
    <w:rsid w:val="00D02488"/>
    <w:rsid w:val="00D02D95"/>
    <w:rsid w:val="00D06374"/>
    <w:rsid w:val="00D07150"/>
    <w:rsid w:val="00D1198E"/>
    <w:rsid w:val="00D12E28"/>
    <w:rsid w:val="00D16D70"/>
    <w:rsid w:val="00D21A3A"/>
    <w:rsid w:val="00D22103"/>
    <w:rsid w:val="00D23C58"/>
    <w:rsid w:val="00D23D6B"/>
    <w:rsid w:val="00D24955"/>
    <w:rsid w:val="00D2642F"/>
    <w:rsid w:val="00D267E1"/>
    <w:rsid w:val="00D27993"/>
    <w:rsid w:val="00D30115"/>
    <w:rsid w:val="00D30A23"/>
    <w:rsid w:val="00D31240"/>
    <w:rsid w:val="00D31D90"/>
    <w:rsid w:val="00D31DF0"/>
    <w:rsid w:val="00D31EC2"/>
    <w:rsid w:val="00D34C7D"/>
    <w:rsid w:val="00D361AC"/>
    <w:rsid w:val="00D378E9"/>
    <w:rsid w:val="00D37F55"/>
    <w:rsid w:val="00D43F0F"/>
    <w:rsid w:val="00D44705"/>
    <w:rsid w:val="00D4BF62"/>
    <w:rsid w:val="00D5162F"/>
    <w:rsid w:val="00D53C9B"/>
    <w:rsid w:val="00D5414E"/>
    <w:rsid w:val="00D55C95"/>
    <w:rsid w:val="00D55D11"/>
    <w:rsid w:val="00D55E2C"/>
    <w:rsid w:val="00D57304"/>
    <w:rsid w:val="00D57E2C"/>
    <w:rsid w:val="00D60A89"/>
    <w:rsid w:val="00D60BE8"/>
    <w:rsid w:val="00D647FB"/>
    <w:rsid w:val="00D649FA"/>
    <w:rsid w:val="00D66BCA"/>
    <w:rsid w:val="00D67546"/>
    <w:rsid w:val="00D67A3D"/>
    <w:rsid w:val="00D708EB"/>
    <w:rsid w:val="00D70CBA"/>
    <w:rsid w:val="00D70EE7"/>
    <w:rsid w:val="00D73FCC"/>
    <w:rsid w:val="00D757D9"/>
    <w:rsid w:val="00D76649"/>
    <w:rsid w:val="00D77C12"/>
    <w:rsid w:val="00D809FE"/>
    <w:rsid w:val="00D90876"/>
    <w:rsid w:val="00D925F6"/>
    <w:rsid w:val="00D938DB"/>
    <w:rsid w:val="00D93FF5"/>
    <w:rsid w:val="00DA0EC9"/>
    <w:rsid w:val="00DA1C0A"/>
    <w:rsid w:val="00DA454A"/>
    <w:rsid w:val="00DA4592"/>
    <w:rsid w:val="00DA4AB0"/>
    <w:rsid w:val="00DA4B86"/>
    <w:rsid w:val="00DA5E16"/>
    <w:rsid w:val="00DA6CAB"/>
    <w:rsid w:val="00DB0BEE"/>
    <w:rsid w:val="00DB163C"/>
    <w:rsid w:val="00DB269D"/>
    <w:rsid w:val="00DB33B6"/>
    <w:rsid w:val="00DB4BB2"/>
    <w:rsid w:val="00DB6459"/>
    <w:rsid w:val="00DB6664"/>
    <w:rsid w:val="00DC0127"/>
    <w:rsid w:val="00DC0938"/>
    <w:rsid w:val="00DC12FE"/>
    <w:rsid w:val="00DC1D8F"/>
    <w:rsid w:val="00DC25E1"/>
    <w:rsid w:val="00DC353F"/>
    <w:rsid w:val="00DC3E71"/>
    <w:rsid w:val="00DC3FFD"/>
    <w:rsid w:val="00DC485B"/>
    <w:rsid w:val="00DC4B8E"/>
    <w:rsid w:val="00DC4DFE"/>
    <w:rsid w:val="00DC52EE"/>
    <w:rsid w:val="00DC789D"/>
    <w:rsid w:val="00DC799E"/>
    <w:rsid w:val="00DD30BC"/>
    <w:rsid w:val="00DD3302"/>
    <w:rsid w:val="00DD34B9"/>
    <w:rsid w:val="00DD36FA"/>
    <w:rsid w:val="00DD3767"/>
    <w:rsid w:val="00DD40C9"/>
    <w:rsid w:val="00DD4B99"/>
    <w:rsid w:val="00DD4C6D"/>
    <w:rsid w:val="00DD5548"/>
    <w:rsid w:val="00DE22AD"/>
    <w:rsid w:val="00DE2DC8"/>
    <w:rsid w:val="00DE4111"/>
    <w:rsid w:val="00DE591C"/>
    <w:rsid w:val="00DE7A4A"/>
    <w:rsid w:val="00DF393C"/>
    <w:rsid w:val="00DF3964"/>
    <w:rsid w:val="00DF5044"/>
    <w:rsid w:val="00DF54B8"/>
    <w:rsid w:val="00DF60E6"/>
    <w:rsid w:val="00DF6156"/>
    <w:rsid w:val="00DF6340"/>
    <w:rsid w:val="00DF638C"/>
    <w:rsid w:val="00DF6E20"/>
    <w:rsid w:val="00E0055C"/>
    <w:rsid w:val="00E03DD9"/>
    <w:rsid w:val="00E0406E"/>
    <w:rsid w:val="00E05DE9"/>
    <w:rsid w:val="00E10B94"/>
    <w:rsid w:val="00E11083"/>
    <w:rsid w:val="00E110EE"/>
    <w:rsid w:val="00E11109"/>
    <w:rsid w:val="00E12087"/>
    <w:rsid w:val="00E13C00"/>
    <w:rsid w:val="00E14CA1"/>
    <w:rsid w:val="00E1607E"/>
    <w:rsid w:val="00E174B9"/>
    <w:rsid w:val="00E209C0"/>
    <w:rsid w:val="00E20A75"/>
    <w:rsid w:val="00E20E6C"/>
    <w:rsid w:val="00E230C2"/>
    <w:rsid w:val="00E2435F"/>
    <w:rsid w:val="00E31565"/>
    <w:rsid w:val="00E3444F"/>
    <w:rsid w:val="00E3476A"/>
    <w:rsid w:val="00E4019C"/>
    <w:rsid w:val="00E40375"/>
    <w:rsid w:val="00E40932"/>
    <w:rsid w:val="00E4150D"/>
    <w:rsid w:val="00E5113F"/>
    <w:rsid w:val="00E514C4"/>
    <w:rsid w:val="00E51932"/>
    <w:rsid w:val="00E521C6"/>
    <w:rsid w:val="00E541CB"/>
    <w:rsid w:val="00E5624C"/>
    <w:rsid w:val="00E5762C"/>
    <w:rsid w:val="00E57662"/>
    <w:rsid w:val="00E6042B"/>
    <w:rsid w:val="00E607FF"/>
    <w:rsid w:val="00E6262E"/>
    <w:rsid w:val="00E66D7B"/>
    <w:rsid w:val="00E67204"/>
    <w:rsid w:val="00E67D97"/>
    <w:rsid w:val="00E7110F"/>
    <w:rsid w:val="00E7138E"/>
    <w:rsid w:val="00E7294B"/>
    <w:rsid w:val="00E7311A"/>
    <w:rsid w:val="00E73BA2"/>
    <w:rsid w:val="00E7517B"/>
    <w:rsid w:val="00E76603"/>
    <w:rsid w:val="00E76EB4"/>
    <w:rsid w:val="00E8135F"/>
    <w:rsid w:val="00E81EBB"/>
    <w:rsid w:val="00E857EF"/>
    <w:rsid w:val="00E90F21"/>
    <w:rsid w:val="00E9137F"/>
    <w:rsid w:val="00E9378A"/>
    <w:rsid w:val="00E94E22"/>
    <w:rsid w:val="00E94F77"/>
    <w:rsid w:val="00E9521F"/>
    <w:rsid w:val="00EA1F53"/>
    <w:rsid w:val="00EB1D9A"/>
    <w:rsid w:val="00EB1F2E"/>
    <w:rsid w:val="00EB2689"/>
    <w:rsid w:val="00EB338B"/>
    <w:rsid w:val="00EB418A"/>
    <w:rsid w:val="00EB4E8E"/>
    <w:rsid w:val="00EB5EB6"/>
    <w:rsid w:val="00EB6302"/>
    <w:rsid w:val="00EB66D2"/>
    <w:rsid w:val="00EB6ADA"/>
    <w:rsid w:val="00EB708C"/>
    <w:rsid w:val="00EB78A7"/>
    <w:rsid w:val="00EB7C51"/>
    <w:rsid w:val="00EB7CE8"/>
    <w:rsid w:val="00EB7E75"/>
    <w:rsid w:val="00EC1FC7"/>
    <w:rsid w:val="00EC2D70"/>
    <w:rsid w:val="00EC375C"/>
    <w:rsid w:val="00EC7D60"/>
    <w:rsid w:val="00ED0D44"/>
    <w:rsid w:val="00ED1E21"/>
    <w:rsid w:val="00ED2663"/>
    <w:rsid w:val="00ED7888"/>
    <w:rsid w:val="00EE03BC"/>
    <w:rsid w:val="00EE3248"/>
    <w:rsid w:val="00EE353A"/>
    <w:rsid w:val="00EF04C3"/>
    <w:rsid w:val="00EF11C7"/>
    <w:rsid w:val="00EF738E"/>
    <w:rsid w:val="00EF7CE7"/>
    <w:rsid w:val="00F01AB1"/>
    <w:rsid w:val="00F02E2D"/>
    <w:rsid w:val="00F03B82"/>
    <w:rsid w:val="00F04650"/>
    <w:rsid w:val="00F0485F"/>
    <w:rsid w:val="00F05AD3"/>
    <w:rsid w:val="00F07970"/>
    <w:rsid w:val="00F11C8B"/>
    <w:rsid w:val="00F12DE8"/>
    <w:rsid w:val="00F15357"/>
    <w:rsid w:val="00F15F53"/>
    <w:rsid w:val="00F16537"/>
    <w:rsid w:val="00F200CB"/>
    <w:rsid w:val="00F207FF"/>
    <w:rsid w:val="00F20E88"/>
    <w:rsid w:val="00F2384A"/>
    <w:rsid w:val="00F23C61"/>
    <w:rsid w:val="00F265BF"/>
    <w:rsid w:val="00F26775"/>
    <w:rsid w:val="00F304CB"/>
    <w:rsid w:val="00F35886"/>
    <w:rsid w:val="00F35FE2"/>
    <w:rsid w:val="00F37337"/>
    <w:rsid w:val="00F37AA7"/>
    <w:rsid w:val="00F410AF"/>
    <w:rsid w:val="00F41183"/>
    <w:rsid w:val="00F42F52"/>
    <w:rsid w:val="00F518A2"/>
    <w:rsid w:val="00F51C48"/>
    <w:rsid w:val="00F51FF1"/>
    <w:rsid w:val="00F54B59"/>
    <w:rsid w:val="00F57A22"/>
    <w:rsid w:val="00F60080"/>
    <w:rsid w:val="00F61B39"/>
    <w:rsid w:val="00F6227E"/>
    <w:rsid w:val="00F63E9A"/>
    <w:rsid w:val="00F643A4"/>
    <w:rsid w:val="00F64AEA"/>
    <w:rsid w:val="00F667FB"/>
    <w:rsid w:val="00F67F27"/>
    <w:rsid w:val="00F729B3"/>
    <w:rsid w:val="00F74D6E"/>
    <w:rsid w:val="00F751AF"/>
    <w:rsid w:val="00F76753"/>
    <w:rsid w:val="00F76A6D"/>
    <w:rsid w:val="00F77930"/>
    <w:rsid w:val="00F815D6"/>
    <w:rsid w:val="00F8257F"/>
    <w:rsid w:val="00F830E3"/>
    <w:rsid w:val="00F8529F"/>
    <w:rsid w:val="00F9066A"/>
    <w:rsid w:val="00F92E8A"/>
    <w:rsid w:val="00F939C1"/>
    <w:rsid w:val="00F941FD"/>
    <w:rsid w:val="00F943EB"/>
    <w:rsid w:val="00F94418"/>
    <w:rsid w:val="00F94A2C"/>
    <w:rsid w:val="00F95631"/>
    <w:rsid w:val="00F96B92"/>
    <w:rsid w:val="00F96D97"/>
    <w:rsid w:val="00FA00AB"/>
    <w:rsid w:val="00FA0B2D"/>
    <w:rsid w:val="00FA0EC7"/>
    <w:rsid w:val="00FA4F46"/>
    <w:rsid w:val="00FA569A"/>
    <w:rsid w:val="00FA5B3E"/>
    <w:rsid w:val="00FA6D58"/>
    <w:rsid w:val="00FB4A83"/>
    <w:rsid w:val="00FB4C7D"/>
    <w:rsid w:val="00FB544C"/>
    <w:rsid w:val="00FB76F3"/>
    <w:rsid w:val="00FC097B"/>
    <w:rsid w:val="00FC2055"/>
    <w:rsid w:val="00FC7DEA"/>
    <w:rsid w:val="00FD2C25"/>
    <w:rsid w:val="00FD3D37"/>
    <w:rsid w:val="00FD446A"/>
    <w:rsid w:val="00FD5A56"/>
    <w:rsid w:val="00FD62E7"/>
    <w:rsid w:val="00FD7302"/>
    <w:rsid w:val="00FE1038"/>
    <w:rsid w:val="00FE1B05"/>
    <w:rsid w:val="00FE1E76"/>
    <w:rsid w:val="00FE2873"/>
    <w:rsid w:val="00FE3A4E"/>
    <w:rsid w:val="00FE504B"/>
    <w:rsid w:val="00FE7B63"/>
    <w:rsid w:val="00FF26FD"/>
    <w:rsid w:val="00FF41A9"/>
    <w:rsid w:val="00FF57C4"/>
    <w:rsid w:val="00FF5994"/>
    <w:rsid w:val="023695C7"/>
    <w:rsid w:val="02501B36"/>
    <w:rsid w:val="0269B3ED"/>
    <w:rsid w:val="026F7CE8"/>
    <w:rsid w:val="0315F9E2"/>
    <w:rsid w:val="03253D60"/>
    <w:rsid w:val="034220F4"/>
    <w:rsid w:val="034F3EF8"/>
    <w:rsid w:val="0367665F"/>
    <w:rsid w:val="0430E54F"/>
    <w:rsid w:val="047FF8FC"/>
    <w:rsid w:val="0500B95B"/>
    <w:rsid w:val="0513AFD0"/>
    <w:rsid w:val="0527F54B"/>
    <w:rsid w:val="0596AD26"/>
    <w:rsid w:val="064259CF"/>
    <w:rsid w:val="065744EB"/>
    <w:rsid w:val="06652B8E"/>
    <w:rsid w:val="06FF86E9"/>
    <w:rsid w:val="0706090C"/>
    <w:rsid w:val="07197703"/>
    <w:rsid w:val="073AC5A5"/>
    <w:rsid w:val="07465850"/>
    <w:rsid w:val="07889CB7"/>
    <w:rsid w:val="07C7D44D"/>
    <w:rsid w:val="07FA80F2"/>
    <w:rsid w:val="088A6774"/>
    <w:rsid w:val="08B97B29"/>
    <w:rsid w:val="08BDF319"/>
    <w:rsid w:val="08E31AD8"/>
    <w:rsid w:val="099F399F"/>
    <w:rsid w:val="09DFDD39"/>
    <w:rsid w:val="0A821D43"/>
    <w:rsid w:val="0AD4DBEA"/>
    <w:rsid w:val="0AF85B5E"/>
    <w:rsid w:val="0B167820"/>
    <w:rsid w:val="0B908D5A"/>
    <w:rsid w:val="0CF30343"/>
    <w:rsid w:val="0D7DAC3F"/>
    <w:rsid w:val="0DB5CAF7"/>
    <w:rsid w:val="0DE2E547"/>
    <w:rsid w:val="0E186855"/>
    <w:rsid w:val="0E470F96"/>
    <w:rsid w:val="0EB0C091"/>
    <w:rsid w:val="0EBAE9C8"/>
    <w:rsid w:val="0EBDF439"/>
    <w:rsid w:val="0ECBD072"/>
    <w:rsid w:val="0ED041F9"/>
    <w:rsid w:val="0ED9DEB5"/>
    <w:rsid w:val="0EEEB7A8"/>
    <w:rsid w:val="0EF59E07"/>
    <w:rsid w:val="0F5A67FD"/>
    <w:rsid w:val="0F73BE48"/>
    <w:rsid w:val="0F7D677C"/>
    <w:rsid w:val="0FEB09EB"/>
    <w:rsid w:val="100A992A"/>
    <w:rsid w:val="102A7B57"/>
    <w:rsid w:val="1064752D"/>
    <w:rsid w:val="107512FB"/>
    <w:rsid w:val="107DB2BA"/>
    <w:rsid w:val="10C73F61"/>
    <w:rsid w:val="118105C5"/>
    <w:rsid w:val="11A298B7"/>
    <w:rsid w:val="11AAFAC3"/>
    <w:rsid w:val="11DEB099"/>
    <w:rsid w:val="1242BDDD"/>
    <w:rsid w:val="125C911C"/>
    <w:rsid w:val="12FFCBDA"/>
    <w:rsid w:val="1325A885"/>
    <w:rsid w:val="13290EAA"/>
    <w:rsid w:val="13D59086"/>
    <w:rsid w:val="141227EF"/>
    <w:rsid w:val="1446FD75"/>
    <w:rsid w:val="1481F29C"/>
    <w:rsid w:val="149BDF15"/>
    <w:rsid w:val="1580EA86"/>
    <w:rsid w:val="158870FB"/>
    <w:rsid w:val="15952FC3"/>
    <w:rsid w:val="15A38E27"/>
    <w:rsid w:val="16082E2B"/>
    <w:rsid w:val="1637D647"/>
    <w:rsid w:val="164AB651"/>
    <w:rsid w:val="16886F28"/>
    <w:rsid w:val="178FD45C"/>
    <w:rsid w:val="17C2B6B9"/>
    <w:rsid w:val="17C630A8"/>
    <w:rsid w:val="17D71F81"/>
    <w:rsid w:val="17E53020"/>
    <w:rsid w:val="1805223F"/>
    <w:rsid w:val="18060F13"/>
    <w:rsid w:val="1842EDAB"/>
    <w:rsid w:val="18483E9F"/>
    <w:rsid w:val="18695DDC"/>
    <w:rsid w:val="186BDE68"/>
    <w:rsid w:val="18A9E367"/>
    <w:rsid w:val="190633D1"/>
    <w:rsid w:val="19504586"/>
    <w:rsid w:val="19997DFA"/>
    <w:rsid w:val="19A94E26"/>
    <w:rsid w:val="19FA6916"/>
    <w:rsid w:val="19FD876D"/>
    <w:rsid w:val="1A25BFA9"/>
    <w:rsid w:val="1A34410F"/>
    <w:rsid w:val="1A408282"/>
    <w:rsid w:val="1A92E21F"/>
    <w:rsid w:val="1ACA8BB1"/>
    <w:rsid w:val="1ADAB5ED"/>
    <w:rsid w:val="1B296674"/>
    <w:rsid w:val="1B7E54A0"/>
    <w:rsid w:val="1B9ADFE9"/>
    <w:rsid w:val="1BB96940"/>
    <w:rsid w:val="1BD40ED3"/>
    <w:rsid w:val="1BFAE91E"/>
    <w:rsid w:val="1C496296"/>
    <w:rsid w:val="1C77CCD8"/>
    <w:rsid w:val="1C930BB0"/>
    <w:rsid w:val="1CD54A35"/>
    <w:rsid w:val="1D4C7379"/>
    <w:rsid w:val="1D52F9AD"/>
    <w:rsid w:val="1D689FA9"/>
    <w:rsid w:val="1D83178A"/>
    <w:rsid w:val="1DE6A5CD"/>
    <w:rsid w:val="1E16E980"/>
    <w:rsid w:val="1E3BA912"/>
    <w:rsid w:val="1EE2EE55"/>
    <w:rsid w:val="1F115954"/>
    <w:rsid w:val="1FBA1096"/>
    <w:rsid w:val="1FC31369"/>
    <w:rsid w:val="202E477F"/>
    <w:rsid w:val="206C01EA"/>
    <w:rsid w:val="20F3E621"/>
    <w:rsid w:val="2103438D"/>
    <w:rsid w:val="211DFE61"/>
    <w:rsid w:val="21599773"/>
    <w:rsid w:val="21B27DE6"/>
    <w:rsid w:val="21CA6DC8"/>
    <w:rsid w:val="2237CDC0"/>
    <w:rsid w:val="22C65923"/>
    <w:rsid w:val="22C74E44"/>
    <w:rsid w:val="2357AB26"/>
    <w:rsid w:val="237F6EF6"/>
    <w:rsid w:val="238C5B6B"/>
    <w:rsid w:val="239EBDFB"/>
    <w:rsid w:val="23C59300"/>
    <w:rsid w:val="24A11591"/>
    <w:rsid w:val="24D92235"/>
    <w:rsid w:val="24E40EBA"/>
    <w:rsid w:val="25258670"/>
    <w:rsid w:val="252FD8C1"/>
    <w:rsid w:val="253100CA"/>
    <w:rsid w:val="2533170E"/>
    <w:rsid w:val="25B4F2AC"/>
    <w:rsid w:val="26D005B6"/>
    <w:rsid w:val="273BCE0D"/>
    <w:rsid w:val="27A9E6EC"/>
    <w:rsid w:val="27D7A2A1"/>
    <w:rsid w:val="27D7D572"/>
    <w:rsid w:val="27F77C3F"/>
    <w:rsid w:val="27FF98E6"/>
    <w:rsid w:val="280170B6"/>
    <w:rsid w:val="284189C4"/>
    <w:rsid w:val="28D053E2"/>
    <w:rsid w:val="28D6FF6C"/>
    <w:rsid w:val="292E0E26"/>
    <w:rsid w:val="294E1A20"/>
    <w:rsid w:val="2993A6DC"/>
    <w:rsid w:val="29CAFE1C"/>
    <w:rsid w:val="29DBC35F"/>
    <w:rsid w:val="2A4FBC80"/>
    <w:rsid w:val="2AE03DB0"/>
    <w:rsid w:val="2C51CC55"/>
    <w:rsid w:val="2C720BEF"/>
    <w:rsid w:val="2C7F9067"/>
    <w:rsid w:val="2D0046B2"/>
    <w:rsid w:val="2D0C4A1E"/>
    <w:rsid w:val="2D4433AA"/>
    <w:rsid w:val="2D565240"/>
    <w:rsid w:val="2D709558"/>
    <w:rsid w:val="2D867F37"/>
    <w:rsid w:val="2DD7EA4E"/>
    <w:rsid w:val="2E5BE515"/>
    <w:rsid w:val="2E9CDBA9"/>
    <w:rsid w:val="2EF481BB"/>
    <w:rsid w:val="2EF51DF3"/>
    <w:rsid w:val="2EF9B1BD"/>
    <w:rsid w:val="2F06B62D"/>
    <w:rsid w:val="2F63A6F9"/>
    <w:rsid w:val="2F6FBEE6"/>
    <w:rsid w:val="3028A449"/>
    <w:rsid w:val="3032E01D"/>
    <w:rsid w:val="305BA3BC"/>
    <w:rsid w:val="30C59A30"/>
    <w:rsid w:val="30E46428"/>
    <w:rsid w:val="31949CF2"/>
    <w:rsid w:val="31BE3E05"/>
    <w:rsid w:val="31F026BC"/>
    <w:rsid w:val="31F348B4"/>
    <w:rsid w:val="3209757E"/>
    <w:rsid w:val="320C517E"/>
    <w:rsid w:val="32156AB5"/>
    <w:rsid w:val="32E9C1C9"/>
    <w:rsid w:val="33017990"/>
    <w:rsid w:val="3320F69E"/>
    <w:rsid w:val="3392F87A"/>
    <w:rsid w:val="33A0D9BD"/>
    <w:rsid w:val="33F9A544"/>
    <w:rsid w:val="33FB9A42"/>
    <w:rsid w:val="340B012D"/>
    <w:rsid w:val="3423A7E1"/>
    <w:rsid w:val="345B4BF5"/>
    <w:rsid w:val="34670183"/>
    <w:rsid w:val="349CC994"/>
    <w:rsid w:val="34BD5E5E"/>
    <w:rsid w:val="34E750A4"/>
    <w:rsid w:val="351ED110"/>
    <w:rsid w:val="35A476C1"/>
    <w:rsid w:val="36058DF3"/>
    <w:rsid w:val="36247B12"/>
    <w:rsid w:val="36575405"/>
    <w:rsid w:val="366C73B3"/>
    <w:rsid w:val="3676ECD7"/>
    <w:rsid w:val="36E68254"/>
    <w:rsid w:val="3732C7DE"/>
    <w:rsid w:val="3764CF85"/>
    <w:rsid w:val="378A03B4"/>
    <w:rsid w:val="37D7263F"/>
    <w:rsid w:val="37DEB442"/>
    <w:rsid w:val="37E2273A"/>
    <w:rsid w:val="380D8D0B"/>
    <w:rsid w:val="3833F4E0"/>
    <w:rsid w:val="383B2701"/>
    <w:rsid w:val="3841FF06"/>
    <w:rsid w:val="38439DA8"/>
    <w:rsid w:val="388668DF"/>
    <w:rsid w:val="388A635F"/>
    <w:rsid w:val="3898A3B6"/>
    <w:rsid w:val="3936BD66"/>
    <w:rsid w:val="394B7686"/>
    <w:rsid w:val="394D997E"/>
    <w:rsid w:val="39D6D9E8"/>
    <w:rsid w:val="3A4C1CA3"/>
    <w:rsid w:val="3A507B6B"/>
    <w:rsid w:val="3A52A591"/>
    <w:rsid w:val="3ADE8D77"/>
    <w:rsid w:val="3B7D24C0"/>
    <w:rsid w:val="3BE21E63"/>
    <w:rsid w:val="3BF4988D"/>
    <w:rsid w:val="3C57FD74"/>
    <w:rsid w:val="3C6FE2B8"/>
    <w:rsid w:val="3C7445E5"/>
    <w:rsid w:val="3CB1B29C"/>
    <w:rsid w:val="3D47FD65"/>
    <w:rsid w:val="3D99AB7D"/>
    <w:rsid w:val="3DDD9A75"/>
    <w:rsid w:val="3DE716C6"/>
    <w:rsid w:val="3E16E46E"/>
    <w:rsid w:val="3E47F859"/>
    <w:rsid w:val="3EDC6738"/>
    <w:rsid w:val="3EE3CB4E"/>
    <w:rsid w:val="3FAD3640"/>
    <w:rsid w:val="401D7C0C"/>
    <w:rsid w:val="4150983F"/>
    <w:rsid w:val="41599D0E"/>
    <w:rsid w:val="4175FADE"/>
    <w:rsid w:val="4183C1B3"/>
    <w:rsid w:val="41F770B7"/>
    <w:rsid w:val="42D4511E"/>
    <w:rsid w:val="430A2B31"/>
    <w:rsid w:val="431CF68F"/>
    <w:rsid w:val="434652E6"/>
    <w:rsid w:val="4364D77D"/>
    <w:rsid w:val="4370CFFC"/>
    <w:rsid w:val="438B163F"/>
    <w:rsid w:val="44315565"/>
    <w:rsid w:val="446B0A6C"/>
    <w:rsid w:val="44AADB6A"/>
    <w:rsid w:val="44BDBE62"/>
    <w:rsid w:val="4515BF6C"/>
    <w:rsid w:val="45AF6186"/>
    <w:rsid w:val="46348717"/>
    <w:rsid w:val="465390A9"/>
    <w:rsid w:val="46A88140"/>
    <w:rsid w:val="46B37CEA"/>
    <w:rsid w:val="46E67C35"/>
    <w:rsid w:val="47196D26"/>
    <w:rsid w:val="47646655"/>
    <w:rsid w:val="478D8C75"/>
    <w:rsid w:val="47AD1BBF"/>
    <w:rsid w:val="47F9E883"/>
    <w:rsid w:val="4826AF73"/>
    <w:rsid w:val="48718854"/>
    <w:rsid w:val="488081A4"/>
    <w:rsid w:val="488315D0"/>
    <w:rsid w:val="48838E6C"/>
    <w:rsid w:val="48A16378"/>
    <w:rsid w:val="48D0ECAB"/>
    <w:rsid w:val="49E7800F"/>
    <w:rsid w:val="4A28E5A1"/>
    <w:rsid w:val="4A29E354"/>
    <w:rsid w:val="4A7CF947"/>
    <w:rsid w:val="4A9FBFA1"/>
    <w:rsid w:val="4ADEC0F1"/>
    <w:rsid w:val="4AF83D01"/>
    <w:rsid w:val="4B2F6067"/>
    <w:rsid w:val="4B41DA75"/>
    <w:rsid w:val="4B53513F"/>
    <w:rsid w:val="4B64ACEB"/>
    <w:rsid w:val="4BA60A02"/>
    <w:rsid w:val="4BB70C84"/>
    <w:rsid w:val="4C008DB0"/>
    <w:rsid w:val="4C223A3D"/>
    <w:rsid w:val="4C3E8673"/>
    <w:rsid w:val="4C496203"/>
    <w:rsid w:val="4C85914F"/>
    <w:rsid w:val="4CAC36B8"/>
    <w:rsid w:val="4CFF2D61"/>
    <w:rsid w:val="4D01F9F3"/>
    <w:rsid w:val="4D6ED719"/>
    <w:rsid w:val="4DB019BE"/>
    <w:rsid w:val="4DBBBC7D"/>
    <w:rsid w:val="4DBBD756"/>
    <w:rsid w:val="4E32AA2F"/>
    <w:rsid w:val="4E51D546"/>
    <w:rsid w:val="4E79457D"/>
    <w:rsid w:val="4E9B1C4D"/>
    <w:rsid w:val="4EA67B60"/>
    <w:rsid w:val="4EA6E21F"/>
    <w:rsid w:val="4EB2D129"/>
    <w:rsid w:val="4ED1E8A4"/>
    <w:rsid w:val="4EDF30E9"/>
    <w:rsid w:val="4EF807F6"/>
    <w:rsid w:val="4FAD7E27"/>
    <w:rsid w:val="4FDEF875"/>
    <w:rsid w:val="508380B3"/>
    <w:rsid w:val="50A5D882"/>
    <w:rsid w:val="50FF2B19"/>
    <w:rsid w:val="512FD2D3"/>
    <w:rsid w:val="519E0290"/>
    <w:rsid w:val="51D66C79"/>
    <w:rsid w:val="528B1EE5"/>
    <w:rsid w:val="52FF1637"/>
    <w:rsid w:val="536570A3"/>
    <w:rsid w:val="537A1163"/>
    <w:rsid w:val="53F3D036"/>
    <w:rsid w:val="545E6EE1"/>
    <w:rsid w:val="546E25CC"/>
    <w:rsid w:val="54762AA0"/>
    <w:rsid w:val="54DFDC63"/>
    <w:rsid w:val="553D0124"/>
    <w:rsid w:val="55B985E3"/>
    <w:rsid w:val="55BB66E7"/>
    <w:rsid w:val="55C180CF"/>
    <w:rsid w:val="55F803BF"/>
    <w:rsid w:val="56B3BD2C"/>
    <w:rsid w:val="56BF4C8B"/>
    <w:rsid w:val="56CCA13E"/>
    <w:rsid w:val="56FAD176"/>
    <w:rsid w:val="57174F94"/>
    <w:rsid w:val="57428C35"/>
    <w:rsid w:val="5759102A"/>
    <w:rsid w:val="578C85C0"/>
    <w:rsid w:val="57BDB4C7"/>
    <w:rsid w:val="57D34D2A"/>
    <w:rsid w:val="580219BE"/>
    <w:rsid w:val="58264F6F"/>
    <w:rsid w:val="585B0EAA"/>
    <w:rsid w:val="58759436"/>
    <w:rsid w:val="58ABBF43"/>
    <w:rsid w:val="594147BA"/>
    <w:rsid w:val="59697423"/>
    <w:rsid w:val="5993D78B"/>
    <w:rsid w:val="59A44CFD"/>
    <w:rsid w:val="59B8FF13"/>
    <w:rsid w:val="5A13A2E2"/>
    <w:rsid w:val="5A1A4530"/>
    <w:rsid w:val="5A659C65"/>
    <w:rsid w:val="5A79A2D2"/>
    <w:rsid w:val="5A93E315"/>
    <w:rsid w:val="5A9AA324"/>
    <w:rsid w:val="5BE0B173"/>
    <w:rsid w:val="5C8CC5D0"/>
    <w:rsid w:val="5CAA61B5"/>
    <w:rsid w:val="5CED866E"/>
    <w:rsid w:val="5D0C0803"/>
    <w:rsid w:val="5D1672B8"/>
    <w:rsid w:val="5D6DCA00"/>
    <w:rsid w:val="5D9B1FC6"/>
    <w:rsid w:val="5DBFAF90"/>
    <w:rsid w:val="5DD27F4C"/>
    <w:rsid w:val="5E2F7A98"/>
    <w:rsid w:val="5E81D534"/>
    <w:rsid w:val="5F506CAA"/>
    <w:rsid w:val="5F9B16C8"/>
    <w:rsid w:val="602EB1C4"/>
    <w:rsid w:val="60398F8E"/>
    <w:rsid w:val="60DC97A6"/>
    <w:rsid w:val="610A34B4"/>
    <w:rsid w:val="617E5924"/>
    <w:rsid w:val="61A153B6"/>
    <w:rsid w:val="61EB0708"/>
    <w:rsid w:val="61FB87BC"/>
    <w:rsid w:val="621501AB"/>
    <w:rsid w:val="622C8328"/>
    <w:rsid w:val="62379E9E"/>
    <w:rsid w:val="62AACA34"/>
    <w:rsid w:val="62FF4712"/>
    <w:rsid w:val="633C9D1B"/>
    <w:rsid w:val="6378A103"/>
    <w:rsid w:val="63DABFF5"/>
    <w:rsid w:val="63FC2A24"/>
    <w:rsid w:val="6415EDB0"/>
    <w:rsid w:val="64415E8F"/>
    <w:rsid w:val="65D76603"/>
    <w:rsid w:val="65E767AA"/>
    <w:rsid w:val="65F73CC8"/>
    <w:rsid w:val="66E32F37"/>
    <w:rsid w:val="66E5807E"/>
    <w:rsid w:val="66FA359C"/>
    <w:rsid w:val="67B214E2"/>
    <w:rsid w:val="67CDE14A"/>
    <w:rsid w:val="67D9AE36"/>
    <w:rsid w:val="682F03D4"/>
    <w:rsid w:val="6831C35E"/>
    <w:rsid w:val="6846B099"/>
    <w:rsid w:val="687A6A4F"/>
    <w:rsid w:val="689DE9AD"/>
    <w:rsid w:val="68BFF408"/>
    <w:rsid w:val="68DB979C"/>
    <w:rsid w:val="68DF7454"/>
    <w:rsid w:val="68ECDE41"/>
    <w:rsid w:val="691D035A"/>
    <w:rsid w:val="693A59DB"/>
    <w:rsid w:val="69D0B960"/>
    <w:rsid w:val="6A21B8F0"/>
    <w:rsid w:val="6A938DDB"/>
    <w:rsid w:val="6ABCDDF9"/>
    <w:rsid w:val="6ACEE44A"/>
    <w:rsid w:val="6AD783C2"/>
    <w:rsid w:val="6ADDE1FB"/>
    <w:rsid w:val="6AF4AB6F"/>
    <w:rsid w:val="6B15E6C3"/>
    <w:rsid w:val="6B62E3A8"/>
    <w:rsid w:val="6B8058EF"/>
    <w:rsid w:val="6B8AA357"/>
    <w:rsid w:val="6BD2F8A5"/>
    <w:rsid w:val="6C479473"/>
    <w:rsid w:val="6C666741"/>
    <w:rsid w:val="6CF15885"/>
    <w:rsid w:val="6CF924DF"/>
    <w:rsid w:val="6D058316"/>
    <w:rsid w:val="6D6A949E"/>
    <w:rsid w:val="6D6BA6C3"/>
    <w:rsid w:val="6DBEA56C"/>
    <w:rsid w:val="6E357E84"/>
    <w:rsid w:val="6E5CE941"/>
    <w:rsid w:val="6E6263D9"/>
    <w:rsid w:val="6EA69E16"/>
    <w:rsid w:val="6F7220A8"/>
    <w:rsid w:val="6F7A705C"/>
    <w:rsid w:val="6FD3D483"/>
    <w:rsid w:val="70948490"/>
    <w:rsid w:val="70B2BD9D"/>
    <w:rsid w:val="712DD1AB"/>
    <w:rsid w:val="7132E534"/>
    <w:rsid w:val="71A0428B"/>
    <w:rsid w:val="730CAA30"/>
    <w:rsid w:val="73440E3E"/>
    <w:rsid w:val="73556467"/>
    <w:rsid w:val="73BE39D8"/>
    <w:rsid w:val="73D3B13C"/>
    <w:rsid w:val="745C0ACF"/>
    <w:rsid w:val="746C46C6"/>
    <w:rsid w:val="746D8AED"/>
    <w:rsid w:val="74A27DD3"/>
    <w:rsid w:val="74A325D9"/>
    <w:rsid w:val="74C05BC4"/>
    <w:rsid w:val="74C425D7"/>
    <w:rsid w:val="753424FD"/>
    <w:rsid w:val="754DA518"/>
    <w:rsid w:val="75F45428"/>
    <w:rsid w:val="75F8936B"/>
    <w:rsid w:val="763B6365"/>
    <w:rsid w:val="764AB780"/>
    <w:rsid w:val="764B00F2"/>
    <w:rsid w:val="76591DC4"/>
    <w:rsid w:val="765E5591"/>
    <w:rsid w:val="76CB9B51"/>
    <w:rsid w:val="7705BB94"/>
    <w:rsid w:val="77181F43"/>
    <w:rsid w:val="77332FFE"/>
    <w:rsid w:val="77B280EA"/>
    <w:rsid w:val="77E3B7A2"/>
    <w:rsid w:val="788A5861"/>
    <w:rsid w:val="788CB7DA"/>
    <w:rsid w:val="789C1996"/>
    <w:rsid w:val="78A476E1"/>
    <w:rsid w:val="78ECADB1"/>
    <w:rsid w:val="792F18DE"/>
    <w:rsid w:val="7968F40A"/>
    <w:rsid w:val="79727A44"/>
    <w:rsid w:val="79E59296"/>
    <w:rsid w:val="79E6C796"/>
    <w:rsid w:val="7A30D56A"/>
    <w:rsid w:val="7A335BA5"/>
    <w:rsid w:val="7B091772"/>
    <w:rsid w:val="7B0E4FA4"/>
    <w:rsid w:val="7B19AED8"/>
    <w:rsid w:val="7B298C09"/>
    <w:rsid w:val="7BE8E1B8"/>
    <w:rsid w:val="7BF9F850"/>
    <w:rsid w:val="7C4E588E"/>
    <w:rsid w:val="7C7EC703"/>
    <w:rsid w:val="7CACE6A0"/>
    <w:rsid w:val="7CB48AAD"/>
    <w:rsid w:val="7CE32339"/>
    <w:rsid w:val="7DA52B27"/>
    <w:rsid w:val="7E60126E"/>
    <w:rsid w:val="7ECFEA41"/>
    <w:rsid w:val="7F02AECD"/>
    <w:rsid w:val="7F3D7946"/>
    <w:rsid w:val="7F666C58"/>
    <w:rsid w:val="7FEAD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20E7B"/>
  <w15:chartTrackingRefBased/>
  <w15:docId w15:val="{352F6158-5631-493D-B83F-ADA1DAD9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2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25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DA8"/>
    <w:rPr>
      <w:rFonts w:ascii="Calibri" w:eastAsia="Calibri" w:hAnsi="Calibri" w:cs="Times New Roman"/>
    </w:rPr>
  </w:style>
  <w:style w:type="paragraph" w:styleId="FootnoteText">
    <w:name w:val="footnote text"/>
    <w:basedOn w:val="Normal"/>
    <w:link w:val="FootnoteTextChar"/>
    <w:unhideWhenUsed/>
    <w:qFormat/>
    <w:rsid w:val="00486FDD"/>
    <w:rPr>
      <w:rFonts w:eastAsiaTheme="minorHAnsi" w:cstheme="minorBidi"/>
      <w:sz w:val="20"/>
      <w:szCs w:val="20"/>
    </w:rPr>
  </w:style>
  <w:style w:type="character" w:customStyle="1" w:styleId="FootnoteTextChar">
    <w:name w:val="Footnote Text Char"/>
    <w:basedOn w:val="DefaultParagraphFont"/>
    <w:link w:val="FootnoteText"/>
    <w:rsid w:val="003F5DA8"/>
    <w:rPr>
      <w:rFonts w:ascii="Times New Roman" w:hAnsi="Times New Roman"/>
      <w:sz w:val="20"/>
      <w:szCs w:val="20"/>
    </w:rPr>
  </w:style>
  <w:style w:type="character" w:styleId="FootnoteReference">
    <w:name w:val="footnote reference"/>
    <w:basedOn w:val="DefaultParagraphFont"/>
    <w:unhideWhenUsed/>
    <w:rsid w:val="003F5DA8"/>
    <w:rPr>
      <w:vertAlign w:val="superscript"/>
    </w:rPr>
  </w:style>
  <w:style w:type="character" w:styleId="Hyperlink">
    <w:name w:val="Hyperlink"/>
    <w:basedOn w:val="DefaultParagraphFont"/>
    <w:uiPriority w:val="99"/>
    <w:unhideWhenUsed/>
    <w:rsid w:val="00A20455"/>
    <w:rPr>
      <w:color w:val="0563C1" w:themeColor="hyperlink"/>
      <w:u w:val="single"/>
    </w:rPr>
  </w:style>
  <w:style w:type="character" w:styleId="FollowedHyperlink">
    <w:name w:val="FollowedHyperlink"/>
    <w:basedOn w:val="DefaultParagraphFont"/>
    <w:uiPriority w:val="99"/>
    <w:semiHidden/>
    <w:unhideWhenUsed/>
    <w:rsid w:val="002D29FF"/>
    <w:rPr>
      <w:color w:val="954F72" w:themeColor="followedHyperlink"/>
      <w:u w:val="single"/>
    </w:rPr>
  </w:style>
  <w:style w:type="paragraph" w:styleId="Header">
    <w:name w:val="header"/>
    <w:basedOn w:val="Normal"/>
    <w:link w:val="HeaderChar"/>
    <w:uiPriority w:val="99"/>
    <w:unhideWhenUsed/>
    <w:rsid w:val="00994985"/>
    <w:pPr>
      <w:tabs>
        <w:tab w:val="center" w:pos="4680"/>
        <w:tab w:val="right" w:pos="9360"/>
      </w:tabs>
    </w:pPr>
  </w:style>
  <w:style w:type="character" w:customStyle="1" w:styleId="HeaderChar">
    <w:name w:val="Header Char"/>
    <w:basedOn w:val="DefaultParagraphFont"/>
    <w:link w:val="Header"/>
    <w:uiPriority w:val="99"/>
    <w:rsid w:val="00994985"/>
    <w:rPr>
      <w:rFonts w:ascii="Calibri" w:eastAsia="Calibri" w:hAnsi="Calibri" w:cs="Times New Roman"/>
    </w:rPr>
  </w:style>
  <w:style w:type="paragraph" w:styleId="Footer">
    <w:name w:val="footer"/>
    <w:basedOn w:val="Normal"/>
    <w:link w:val="FooterChar"/>
    <w:uiPriority w:val="99"/>
    <w:unhideWhenUsed/>
    <w:rsid w:val="00994985"/>
    <w:pPr>
      <w:tabs>
        <w:tab w:val="center" w:pos="4680"/>
        <w:tab w:val="right" w:pos="9360"/>
      </w:tabs>
    </w:pPr>
  </w:style>
  <w:style w:type="character" w:customStyle="1" w:styleId="FooterChar">
    <w:name w:val="Footer Char"/>
    <w:basedOn w:val="DefaultParagraphFont"/>
    <w:link w:val="Footer"/>
    <w:uiPriority w:val="99"/>
    <w:rsid w:val="00994985"/>
    <w:rPr>
      <w:rFonts w:ascii="Calibri" w:eastAsia="Calibri" w:hAnsi="Calibri" w:cs="Times New Roman"/>
    </w:rPr>
  </w:style>
  <w:style w:type="character" w:styleId="CommentReference">
    <w:name w:val="annotation reference"/>
    <w:basedOn w:val="DefaultParagraphFont"/>
    <w:uiPriority w:val="99"/>
    <w:semiHidden/>
    <w:unhideWhenUsed/>
    <w:rsid w:val="00725802"/>
    <w:rPr>
      <w:sz w:val="16"/>
      <w:szCs w:val="16"/>
    </w:rPr>
  </w:style>
  <w:style w:type="paragraph" w:styleId="CommentText">
    <w:name w:val="annotation text"/>
    <w:basedOn w:val="Normal"/>
    <w:link w:val="CommentTextChar"/>
    <w:uiPriority w:val="99"/>
    <w:semiHidden/>
    <w:unhideWhenUsed/>
    <w:rsid w:val="00725802"/>
    <w:rPr>
      <w:sz w:val="20"/>
      <w:szCs w:val="20"/>
    </w:rPr>
  </w:style>
  <w:style w:type="character" w:customStyle="1" w:styleId="CommentTextChar">
    <w:name w:val="Comment Text Char"/>
    <w:basedOn w:val="DefaultParagraphFont"/>
    <w:link w:val="CommentText"/>
    <w:uiPriority w:val="99"/>
    <w:semiHidden/>
    <w:rsid w:val="00725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802"/>
    <w:rPr>
      <w:b/>
      <w:bCs/>
    </w:rPr>
  </w:style>
  <w:style w:type="character" w:customStyle="1" w:styleId="CommentSubjectChar">
    <w:name w:val="Comment Subject Char"/>
    <w:basedOn w:val="CommentTextChar"/>
    <w:link w:val="CommentSubject"/>
    <w:uiPriority w:val="99"/>
    <w:semiHidden/>
    <w:rsid w:val="00725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2"/>
    <w:rPr>
      <w:rFonts w:ascii="Segoe UI" w:eastAsia="Calibri" w:hAnsi="Segoe UI" w:cs="Segoe UI"/>
      <w:sz w:val="18"/>
      <w:szCs w:val="18"/>
    </w:rPr>
  </w:style>
  <w:style w:type="paragraph" w:styleId="NormalWeb">
    <w:name w:val="Normal (Web)"/>
    <w:basedOn w:val="Normal"/>
    <w:uiPriority w:val="99"/>
    <w:unhideWhenUsed/>
    <w:rsid w:val="00A47AB9"/>
    <w:pPr>
      <w:spacing w:before="100" w:beforeAutospacing="1" w:after="100" w:afterAutospacing="1"/>
    </w:pPr>
  </w:style>
  <w:style w:type="character" w:styleId="LineNumber">
    <w:name w:val="line number"/>
    <w:basedOn w:val="DefaultParagraphFont"/>
    <w:uiPriority w:val="99"/>
    <w:semiHidden/>
    <w:unhideWhenUsed/>
    <w:rsid w:val="00160E56"/>
  </w:style>
  <w:style w:type="paragraph" w:styleId="Revision">
    <w:name w:val="Revision"/>
    <w:hidden/>
    <w:uiPriority w:val="99"/>
    <w:semiHidden/>
    <w:rsid w:val="00BD372E"/>
    <w:rPr>
      <w:rFonts w:ascii="Calibri" w:eastAsia="Calibri" w:hAnsi="Calibri" w:cs="Times New Roman"/>
    </w:rPr>
  </w:style>
  <w:style w:type="paragraph" w:styleId="BodyText">
    <w:name w:val="Body Text"/>
    <w:basedOn w:val="Normal"/>
    <w:link w:val="BodyTextChar"/>
    <w:uiPriority w:val="1"/>
    <w:qFormat/>
    <w:rsid w:val="0019629E"/>
    <w:pPr>
      <w:suppressAutoHyphens/>
      <w:spacing w:after="120"/>
    </w:pPr>
    <w:rPr>
      <w:szCs w:val="20"/>
    </w:rPr>
  </w:style>
  <w:style w:type="character" w:customStyle="1" w:styleId="BodyTextChar">
    <w:name w:val="Body Text Char"/>
    <w:basedOn w:val="DefaultParagraphFont"/>
    <w:link w:val="BodyText"/>
    <w:uiPriority w:val="1"/>
    <w:rsid w:val="0019629E"/>
    <w:rPr>
      <w:rFonts w:ascii="Times New Roman" w:eastAsia="Times New Roman" w:hAnsi="Times New Roman" w:cs="Times New Roman"/>
      <w:sz w:val="24"/>
      <w:szCs w:val="20"/>
    </w:rPr>
  </w:style>
  <w:style w:type="paragraph" w:customStyle="1" w:styleId="DoubleSpaceParagaph">
    <w:name w:val="Double Space Paragaph"/>
    <w:aliases w:val="DS"/>
    <w:basedOn w:val="Normal"/>
    <w:rsid w:val="0019629E"/>
    <w:pPr>
      <w:suppressAutoHyphens/>
      <w:spacing w:line="480" w:lineRule="auto"/>
      <w:ind w:firstLine="1440"/>
      <w:jc w:val="both"/>
    </w:pPr>
    <w:rPr>
      <w:szCs w:val="20"/>
    </w:rPr>
  </w:style>
  <w:style w:type="paragraph" w:styleId="ListParagraph">
    <w:name w:val="List Paragraph"/>
    <w:basedOn w:val="Normal"/>
    <w:uiPriority w:val="1"/>
    <w:qFormat/>
    <w:rsid w:val="00100B89"/>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2443F4"/>
    <w:rPr>
      <w:color w:val="605E5C"/>
      <w:shd w:val="clear" w:color="auto" w:fill="E1DFDD"/>
    </w:rPr>
  </w:style>
  <w:style w:type="character" w:customStyle="1" w:styleId="Heading1Char">
    <w:name w:val="Heading 1 Char"/>
    <w:basedOn w:val="DefaultParagraphFont"/>
    <w:link w:val="Heading1"/>
    <w:uiPriority w:val="9"/>
    <w:rsid w:val="0075256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A46AE"/>
    <w:pPr>
      <w:widowControl w:val="0"/>
      <w:autoSpaceDE w:val="0"/>
      <w:autoSpaceDN w:val="0"/>
    </w:pPr>
    <w:rPr>
      <w:sz w:val="22"/>
      <w:szCs w:val="22"/>
    </w:rPr>
  </w:style>
  <w:style w:type="character" w:customStyle="1" w:styleId="normaltextrun">
    <w:name w:val="normaltextrun"/>
    <w:basedOn w:val="DefaultParagraphFont"/>
    <w:rsid w:val="00843CCF"/>
  </w:style>
  <w:style w:type="character" w:customStyle="1" w:styleId="UnresolvedMention2">
    <w:name w:val="Unresolved Mention2"/>
    <w:basedOn w:val="DefaultParagraphFont"/>
    <w:uiPriority w:val="99"/>
    <w:semiHidden/>
    <w:unhideWhenUsed/>
    <w:rsid w:val="00A27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3141">
      <w:bodyDiv w:val="1"/>
      <w:marLeft w:val="0"/>
      <w:marRight w:val="0"/>
      <w:marTop w:val="0"/>
      <w:marBottom w:val="0"/>
      <w:divBdr>
        <w:top w:val="none" w:sz="0" w:space="0" w:color="auto"/>
        <w:left w:val="none" w:sz="0" w:space="0" w:color="auto"/>
        <w:bottom w:val="none" w:sz="0" w:space="0" w:color="auto"/>
        <w:right w:val="none" w:sz="0" w:space="0" w:color="auto"/>
      </w:divBdr>
    </w:div>
    <w:div w:id="71859027">
      <w:bodyDiv w:val="1"/>
      <w:marLeft w:val="0"/>
      <w:marRight w:val="0"/>
      <w:marTop w:val="0"/>
      <w:marBottom w:val="0"/>
      <w:divBdr>
        <w:top w:val="none" w:sz="0" w:space="0" w:color="auto"/>
        <w:left w:val="none" w:sz="0" w:space="0" w:color="auto"/>
        <w:bottom w:val="none" w:sz="0" w:space="0" w:color="auto"/>
        <w:right w:val="none" w:sz="0" w:space="0" w:color="auto"/>
      </w:divBdr>
    </w:div>
    <w:div w:id="77606320">
      <w:bodyDiv w:val="1"/>
      <w:marLeft w:val="0"/>
      <w:marRight w:val="0"/>
      <w:marTop w:val="0"/>
      <w:marBottom w:val="0"/>
      <w:divBdr>
        <w:top w:val="none" w:sz="0" w:space="0" w:color="auto"/>
        <w:left w:val="none" w:sz="0" w:space="0" w:color="auto"/>
        <w:bottom w:val="none" w:sz="0" w:space="0" w:color="auto"/>
        <w:right w:val="none" w:sz="0" w:space="0" w:color="auto"/>
      </w:divBdr>
    </w:div>
    <w:div w:id="115100937">
      <w:bodyDiv w:val="1"/>
      <w:marLeft w:val="0"/>
      <w:marRight w:val="0"/>
      <w:marTop w:val="0"/>
      <w:marBottom w:val="0"/>
      <w:divBdr>
        <w:top w:val="none" w:sz="0" w:space="0" w:color="auto"/>
        <w:left w:val="none" w:sz="0" w:space="0" w:color="auto"/>
        <w:bottom w:val="none" w:sz="0" w:space="0" w:color="auto"/>
        <w:right w:val="none" w:sz="0" w:space="0" w:color="auto"/>
      </w:divBdr>
    </w:div>
    <w:div w:id="178548255">
      <w:bodyDiv w:val="1"/>
      <w:marLeft w:val="0"/>
      <w:marRight w:val="0"/>
      <w:marTop w:val="0"/>
      <w:marBottom w:val="0"/>
      <w:divBdr>
        <w:top w:val="none" w:sz="0" w:space="0" w:color="auto"/>
        <w:left w:val="none" w:sz="0" w:space="0" w:color="auto"/>
        <w:bottom w:val="none" w:sz="0" w:space="0" w:color="auto"/>
        <w:right w:val="none" w:sz="0" w:space="0" w:color="auto"/>
      </w:divBdr>
    </w:div>
    <w:div w:id="338123103">
      <w:bodyDiv w:val="1"/>
      <w:marLeft w:val="0"/>
      <w:marRight w:val="0"/>
      <w:marTop w:val="0"/>
      <w:marBottom w:val="0"/>
      <w:divBdr>
        <w:top w:val="none" w:sz="0" w:space="0" w:color="auto"/>
        <w:left w:val="none" w:sz="0" w:space="0" w:color="auto"/>
        <w:bottom w:val="none" w:sz="0" w:space="0" w:color="auto"/>
        <w:right w:val="none" w:sz="0" w:space="0" w:color="auto"/>
      </w:divBdr>
      <w:divsChild>
        <w:div w:id="363949666">
          <w:marLeft w:val="0"/>
          <w:marRight w:val="0"/>
          <w:marTop w:val="0"/>
          <w:marBottom w:val="0"/>
          <w:divBdr>
            <w:top w:val="none" w:sz="0" w:space="0" w:color="auto"/>
            <w:left w:val="none" w:sz="0" w:space="0" w:color="auto"/>
            <w:bottom w:val="none" w:sz="0" w:space="0" w:color="auto"/>
            <w:right w:val="none" w:sz="0" w:space="0" w:color="auto"/>
          </w:divBdr>
        </w:div>
        <w:div w:id="1222860160">
          <w:marLeft w:val="0"/>
          <w:marRight w:val="0"/>
          <w:marTop w:val="0"/>
          <w:marBottom w:val="0"/>
          <w:divBdr>
            <w:top w:val="none" w:sz="0" w:space="0" w:color="auto"/>
            <w:left w:val="none" w:sz="0" w:space="0" w:color="auto"/>
            <w:bottom w:val="none" w:sz="0" w:space="0" w:color="auto"/>
            <w:right w:val="none" w:sz="0" w:space="0" w:color="auto"/>
          </w:divBdr>
        </w:div>
        <w:div w:id="697706396">
          <w:marLeft w:val="0"/>
          <w:marRight w:val="0"/>
          <w:marTop w:val="0"/>
          <w:marBottom w:val="0"/>
          <w:divBdr>
            <w:top w:val="none" w:sz="0" w:space="0" w:color="auto"/>
            <w:left w:val="none" w:sz="0" w:space="0" w:color="auto"/>
            <w:bottom w:val="none" w:sz="0" w:space="0" w:color="auto"/>
            <w:right w:val="none" w:sz="0" w:space="0" w:color="auto"/>
          </w:divBdr>
        </w:div>
      </w:divsChild>
    </w:div>
    <w:div w:id="442265862">
      <w:bodyDiv w:val="1"/>
      <w:marLeft w:val="0"/>
      <w:marRight w:val="0"/>
      <w:marTop w:val="0"/>
      <w:marBottom w:val="0"/>
      <w:divBdr>
        <w:top w:val="none" w:sz="0" w:space="0" w:color="auto"/>
        <w:left w:val="none" w:sz="0" w:space="0" w:color="auto"/>
        <w:bottom w:val="none" w:sz="0" w:space="0" w:color="auto"/>
        <w:right w:val="none" w:sz="0" w:space="0" w:color="auto"/>
      </w:divBdr>
    </w:div>
    <w:div w:id="563444038">
      <w:bodyDiv w:val="1"/>
      <w:marLeft w:val="0"/>
      <w:marRight w:val="0"/>
      <w:marTop w:val="0"/>
      <w:marBottom w:val="0"/>
      <w:divBdr>
        <w:top w:val="none" w:sz="0" w:space="0" w:color="auto"/>
        <w:left w:val="none" w:sz="0" w:space="0" w:color="auto"/>
        <w:bottom w:val="none" w:sz="0" w:space="0" w:color="auto"/>
        <w:right w:val="none" w:sz="0" w:space="0" w:color="auto"/>
      </w:divBdr>
    </w:div>
    <w:div w:id="569658733">
      <w:bodyDiv w:val="1"/>
      <w:marLeft w:val="0"/>
      <w:marRight w:val="0"/>
      <w:marTop w:val="0"/>
      <w:marBottom w:val="0"/>
      <w:divBdr>
        <w:top w:val="none" w:sz="0" w:space="0" w:color="auto"/>
        <w:left w:val="none" w:sz="0" w:space="0" w:color="auto"/>
        <w:bottom w:val="none" w:sz="0" w:space="0" w:color="auto"/>
        <w:right w:val="none" w:sz="0" w:space="0" w:color="auto"/>
      </w:divBdr>
    </w:div>
    <w:div w:id="603849448">
      <w:bodyDiv w:val="1"/>
      <w:marLeft w:val="0"/>
      <w:marRight w:val="0"/>
      <w:marTop w:val="0"/>
      <w:marBottom w:val="0"/>
      <w:divBdr>
        <w:top w:val="none" w:sz="0" w:space="0" w:color="auto"/>
        <w:left w:val="none" w:sz="0" w:space="0" w:color="auto"/>
        <w:bottom w:val="none" w:sz="0" w:space="0" w:color="auto"/>
        <w:right w:val="none" w:sz="0" w:space="0" w:color="auto"/>
      </w:divBdr>
      <w:divsChild>
        <w:div w:id="43339592">
          <w:marLeft w:val="0"/>
          <w:marRight w:val="0"/>
          <w:marTop w:val="0"/>
          <w:marBottom w:val="0"/>
          <w:divBdr>
            <w:top w:val="none" w:sz="0" w:space="0" w:color="auto"/>
            <w:left w:val="none" w:sz="0" w:space="0" w:color="auto"/>
            <w:bottom w:val="none" w:sz="0" w:space="0" w:color="auto"/>
            <w:right w:val="none" w:sz="0" w:space="0" w:color="auto"/>
          </w:divBdr>
          <w:divsChild>
            <w:div w:id="2072076098">
              <w:marLeft w:val="0"/>
              <w:marRight w:val="0"/>
              <w:marTop w:val="0"/>
              <w:marBottom w:val="0"/>
              <w:divBdr>
                <w:top w:val="none" w:sz="0" w:space="0" w:color="auto"/>
                <w:left w:val="none" w:sz="0" w:space="0" w:color="auto"/>
                <w:bottom w:val="none" w:sz="0" w:space="0" w:color="auto"/>
                <w:right w:val="none" w:sz="0" w:space="0" w:color="auto"/>
              </w:divBdr>
              <w:divsChild>
                <w:div w:id="154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3416">
      <w:bodyDiv w:val="1"/>
      <w:marLeft w:val="0"/>
      <w:marRight w:val="0"/>
      <w:marTop w:val="0"/>
      <w:marBottom w:val="0"/>
      <w:divBdr>
        <w:top w:val="none" w:sz="0" w:space="0" w:color="auto"/>
        <w:left w:val="none" w:sz="0" w:space="0" w:color="auto"/>
        <w:bottom w:val="none" w:sz="0" w:space="0" w:color="auto"/>
        <w:right w:val="none" w:sz="0" w:space="0" w:color="auto"/>
      </w:divBdr>
      <w:divsChild>
        <w:div w:id="380598570">
          <w:marLeft w:val="0"/>
          <w:marRight w:val="0"/>
          <w:marTop w:val="0"/>
          <w:marBottom w:val="0"/>
          <w:divBdr>
            <w:top w:val="none" w:sz="0" w:space="0" w:color="auto"/>
            <w:left w:val="none" w:sz="0" w:space="0" w:color="auto"/>
            <w:bottom w:val="none" w:sz="0" w:space="0" w:color="auto"/>
            <w:right w:val="none" w:sz="0" w:space="0" w:color="auto"/>
          </w:divBdr>
          <w:divsChild>
            <w:div w:id="67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4202">
          <w:marLeft w:val="0"/>
          <w:marRight w:val="0"/>
          <w:marTop w:val="0"/>
          <w:marBottom w:val="0"/>
          <w:divBdr>
            <w:top w:val="none" w:sz="0" w:space="0" w:color="auto"/>
            <w:left w:val="none" w:sz="0" w:space="0" w:color="auto"/>
            <w:bottom w:val="none" w:sz="0" w:space="0" w:color="auto"/>
            <w:right w:val="none" w:sz="0" w:space="0" w:color="auto"/>
          </w:divBdr>
        </w:div>
        <w:div w:id="104156917">
          <w:marLeft w:val="0"/>
          <w:marRight w:val="0"/>
          <w:marTop w:val="0"/>
          <w:marBottom w:val="0"/>
          <w:divBdr>
            <w:top w:val="none" w:sz="0" w:space="0" w:color="auto"/>
            <w:left w:val="none" w:sz="0" w:space="0" w:color="auto"/>
            <w:bottom w:val="none" w:sz="0" w:space="0" w:color="auto"/>
            <w:right w:val="none" w:sz="0" w:space="0" w:color="auto"/>
          </w:divBdr>
        </w:div>
      </w:divsChild>
    </w:div>
    <w:div w:id="787435466">
      <w:bodyDiv w:val="1"/>
      <w:marLeft w:val="0"/>
      <w:marRight w:val="0"/>
      <w:marTop w:val="0"/>
      <w:marBottom w:val="0"/>
      <w:divBdr>
        <w:top w:val="none" w:sz="0" w:space="0" w:color="auto"/>
        <w:left w:val="none" w:sz="0" w:space="0" w:color="auto"/>
        <w:bottom w:val="none" w:sz="0" w:space="0" w:color="auto"/>
        <w:right w:val="none" w:sz="0" w:space="0" w:color="auto"/>
      </w:divBdr>
      <w:divsChild>
        <w:div w:id="825633422">
          <w:marLeft w:val="0"/>
          <w:marRight w:val="0"/>
          <w:marTop w:val="0"/>
          <w:marBottom w:val="0"/>
          <w:divBdr>
            <w:top w:val="none" w:sz="0" w:space="0" w:color="auto"/>
            <w:left w:val="none" w:sz="0" w:space="0" w:color="auto"/>
            <w:bottom w:val="none" w:sz="0" w:space="0" w:color="auto"/>
            <w:right w:val="none" w:sz="0" w:space="0" w:color="auto"/>
          </w:divBdr>
        </w:div>
      </w:divsChild>
    </w:div>
    <w:div w:id="795564502">
      <w:bodyDiv w:val="1"/>
      <w:marLeft w:val="0"/>
      <w:marRight w:val="0"/>
      <w:marTop w:val="0"/>
      <w:marBottom w:val="0"/>
      <w:divBdr>
        <w:top w:val="none" w:sz="0" w:space="0" w:color="auto"/>
        <w:left w:val="none" w:sz="0" w:space="0" w:color="auto"/>
        <w:bottom w:val="none" w:sz="0" w:space="0" w:color="auto"/>
        <w:right w:val="none" w:sz="0" w:space="0" w:color="auto"/>
      </w:divBdr>
    </w:div>
    <w:div w:id="837428950">
      <w:bodyDiv w:val="1"/>
      <w:marLeft w:val="0"/>
      <w:marRight w:val="0"/>
      <w:marTop w:val="0"/>
      <w:marBottom w:val="0"/>
      <w:divBdr>
        <w:top w:val="none" w:sz="0" w:space="0" w:color="auto"/>
        <w:left w:val="none" w:sz="0" w:space="0" w:color="auto"/>
        <w:bottom w:val="none" w:sz="0" w:space="0" w:color="auto"/>
        <w:right w:val="none" w:sz="0" w:space="0" w:color="auto"/>
      </w:divBdr>
    </w:div>
    <w:div w:id="869300306">
      <w:bodyDiv w:val="1"/>
      <w:marLeft w:val="0"/>
      <w:marRight w:val="0"/>
      <w:marTop w:val="0"/>
      <w:marBottom w:val="0"/>
      <w:divBdr>
        <w:top w:val="none" w:sz="0" w:space="0" w:color="auto"/>
        <w:left w:val="none" w:sz="0" w:space="0" w:color="auto"/>
        <w:bottom w:val="none" w:sz="0" w:space="0" w:color="auto"/>
        <w:right w:val="none" w:sz="0" w:space="0" w:color="auto"/>
      </w:divBdr>
      <w:divsChild>
        <w:div w:id="1768309498">
          <w:marLeft w:val="0"/>
          <w:marRight w:val="0"/>
          <w:marTop w:val="0"/>
          <w:marBottom w:val="0"/>
          <w:divBdr>
            <w:top w:val="none" w:sz="0" w:space="0" w:color="auto"/>
            <w:left w:val="none" w:sz="0" w:space="0" w:color="auto"/>
            <w:bottom w:val="none" w:sz="0" w:space="0" w:color="auto"/>
            <w:right w:val="none" w:sz="0" w:space="0" w:color="auto"/>
          </w:divBdr>
        </w:div>
        <w:div w:id="75128586">
          <w:marLeft w:val="0"/>
          <w:marRight w:val="0"/>
          <w:marTop w:val="0"/>
          <w:marBottom w:val="0"/>
          <w:divBdr>
            <w:top w:val="none" w:sz="0" w:space="0" w:color="auto"/>
            <w:left w:val="none" w:sz="0" w:space="0" w:color="auto"/>
            <w:bottom w:val="none" w:sz="0" w:space="0" w:color="auto"/>
            <w:right w:val="none" w:sz="0" w:space="0" w:color="auto"/>
          </w:divBdr>
        </w:div>
      </w:divsChild>
    </w:div>
    <w:div w:id="951590226">
      <w:bodyDiv w:val="1"/>
      <w:marLeft w:val="0"/>
      <w:marRight w:val="0"/>
      <w:marTop w:val="0"/>
      <w:marBottom w:val="0"/>
      <w:divBdr>
        <w:top w:val="none" w:sz="0" w:space="0" w:color="auto"/>
        <w:left w:val="none" w:sz="0" w:space="0" w:color="auto"/>
        <w:bottom w:val="none" w:sz="0" w:space="0" w:color="auto"/>
        <w:right w:val="none" w:sz="0" w:space="0" w:color="auto"/>
      </w:divBdr>
    </w:div>
    <w:div w:id="1071928585">
      <w:bodyDiv w:val="1"/>
      <w:marLeft w:val="0"/>
      <w:marRight w:val="0"/>
      <w:marTop w:val="0"/>
      <w:marBottom w:val="0"/>
      <w:divBdr>
        <w:top w:val="none" w:sz="0" w:space="0" w:color="auto"/>
        <w:left w:val="none" w:sz="0" w:space="0" w:color="auto"/>
        <w:bottom w:val="none" w:sz="0" w:space="0" w:color="auto"/>
        <w:right w:val="none" w:sz="0" w:space="0" w:color="auto"/>
      </w:divBdr>
      <w:divsChild>
        <w:div w:id="169217917">
          <w:marLeft w:val="0"/>
          <w:marRight w:val="0"/>
          <w:marTop w:val="0"/>
          <w:marBottom w:val="0"/>
          <w:divBdr>
            <w:top w:val="none" w:sz="0" w:space="0" w:color="auto"/>
            <w:left w:val="none" w:sz="0" w:space="0" w:color="auto"/>
            <w:bottom w:val="none" w:sz="0" w:space="0" w:color="auto"/>
            <w:right w:val="none" w:sz="0" w:space="0" w:color="auto"/>
          </w:divBdr>
        </w:div>
      </w:divsChild>
    </w:div>
    <w:div w:id="1271862934">
      <w:bodyDiv w:val="1"/>
      <w:marLeft w:val="0"/>
      <w:marRight w:val="0"/>
      <w:marTop w:val="0"/>
      <w:marBottom w:val="0"/>
      <w:divBdr>
        <w:top w:val="none" w:sz="0" w:space="0" w:color="auto"/>
        <w:left w:val="none" w:sz="0" w:space="0" w:color="auto"/>
        <w:bottom w:val="none" w:sz="0" w:space="0" w:color="auto"/>
        <w:right w:val="none" w:sz="0" w:space="0" w:color="auto"/>
      </w:divBdr>
    </w:div>
    <w:div w:id="1399863941">
      <w:bodyDiv w:val="1"/>
      <w:marLeft w:val="0"/>
      <w:marRight w:val="0"/>
      <w:marTop w:val="0"/>
      <w:marBottom w:val="0"/>
      <w:divBdr>
        <w:top w:val="none" w:sz="0" w:space="0" w:color="auto"/>
        <w:left w:val="none" w:sz="0" w:space="0" w:color="auto"/>
        <w:bottom w:val="none" w:sz="0" w:space="0" w:color="auto"/>
        <w:right w:val="none" w:sz="0" w:space="0" w:color="auto"/>
      </w:divBdr>
    </w:div>
    <w:div w:id="1462771289">
      <w:bodyDiv w:val="1"/>
      <w:marLeft w:val="0"/>
      <w:marRight w:val="0"/>
      <w:marTop w:val="0"/>
      <w:marBottom w:val="0"/>
      <w:divBdr>
        <w:top w:val="none" w:sz="0" w:space="0" w:color="auto"/>
        <w:left w:val="none" w:sz="0" w:space="0" w:color="auto"/>
        <w:bottom w:val="none" w:sz="0" w:space="0" w:color="auto"/>
        <w:right w:val="none" w:sz="0" w:space="0" w:color="auto"/>
      </w:divBdr>
    </w:div>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 w:id="1626040111">
      <w:bodyDiv w:val="1"/>
      <w:marLeft w:val="0"/>
      <w:marRight w:val="0"/>
      <w:marTop w:val="0"/>
      <w:marBottom w:val="0"/>
      <w:divBdr>
        <w:top w:val="none" w:sz="0" w:space="0" w:color="auto"/>
        <w:left w:val="none" w:sz="0" w:space="0" w:color="auto"/>
        <w:bottom w:val="none" w:sz="0" w:space="0" w:color="auto"/>
        <w:right w:val="none" w:sz="0" w:space="0" w:color="auto"/>
      </w:divBdr>
      <w:divsChild>
        <w:div w:id="815680343">
          <w:marLeft w:val="0"/>
          <w:marRight w:val="0"/>
          <w:marTop w:val="0"/>
          <w:marBottom w:val="0"/>
          <w:divBdr>
            <w:top w:val="none" w:sz="0" w:space="0" w:color="auto"/>
            <w:left w:val="none" w:sz="0" w:space="0" w:color="auto"/>
            <w:bottom w:val="none" w:sz="0" w:space="0" w:color="auto"/>
            <w:right w:val="none" w:sz="0" w:space="0" w:color="auto"/>
          </w:divBdr>
        </w:div>
        <w:div w:id="1914967838">
          <w:marLeft w:val="0"/>
          <w:marRight w:val="0"/>
          <w:marTop w:val="0"/>
          <w:marBottom w:val="0"/>
          <w:divBdr>
            <w:top w:val="none" w:sz="0" w:space="0" w:color="auto"/>
            <w:left w:val="none" w:sz="0" w:space="0" w:color="auto"/>
            <w:bottom w:val="none" w:sz="0" w:space="0" w:color="auto"/>
            <w:right w:val="none" w:sz="0" w:space="0" w:color="auto"/>
          </w:divBdr>
        </w:div>
        <w:div w:id="1864321892">
          <w:marLeft w:val="0"/>
          <w:marRight w:val="0"/>
          <w:marTop w:val="0"/>
          <w:marBottom w:val="0"/>
          <w:divBdr>
            <w:top w:val="none" w:sz="0" w:space="0" w:color="auto"/>
            <w:left w:val="none" w:sz="0" w:space="0" w:color="auto"/>
            <w:bottom w:val="none" w:sz="0" w:space="0" w:color="auto"/>
            <w:right w:val="none" w:sz="0" w:space="0" w:color="auto"/>
          </w:divBdr>
        </w:div>
      </w:divsChild>
    </w:div>
    <w:div w:id="1644192790">
      <w:bodyDiv w:val="1"/>
      <w:marLeft w:val="0"/>
      <w:marRight w:val="0"/>
      <w:marTop w:val="0"/>
      <w:marBottom w:val="0"/>
      <w:divBdr>
        <w:top w:val="none" w:sz="0" w:space="0" w:color="auto"/>
        <w:left w:val="none" w:sz="0" w:space="0" w:color="auto"/>
        <w:bottom w:val="none" w:sz="0" w:space="0" w:color="auto"/>
        <w:right w:val="none" w:sz="0" w:space="0" w:color="auto"/>
      </w:divBdr>
    </w:div>
    <w:div w:id="1672098644">
      <w:bodyDiv w:val="1"/>
      <w:marLeft w:val="0"/>
      <w:marRight w:val="0"/>
      <w:marTop w:val="0"/>
      <w:marBottom w:val="0"/>
      <w:divBdr>
        <w:top w:val="none" w:sz="0" w:space="0" w:color="auto"/>
        <w:left w:val="none" w:sz="0" w:space="0" w:color="auto"/>
        <w:bottom w:val="none" w:sz="0" w:space="0" w:color="auto"/>
        <w:right w:val="none" w:sz="0" w:space="0" w:color="auto"/>
      </w:divBdr>
    </w:div>
    <w:div w:id="1705524237">
      <w:bodyDiv w:val="1"/>
      <w:marLeft w:val="0"/>
      <w:marRight w:val="0"/>
      <w:marTop w:val="0"/>
      <w:marBottom w:val="0"/>
      <w:divBdr>
        <w:top w:val="none" w:sz="0" w:space="0" w:color="auto"/>
        <w:left w:val="none" w:sz="0" w:space="0" w:color="auto"/>
        <w:bottom w:val="none" w:sz="0" w:space="0" w:color="auto"/>
        <w:right w:val="none" w:sz="0" w:space="0" w:color="auto"/>
      </w:divBdr>
    </w:div>
    <w:div w:id="1706522921">
      <w:bodyDiv w:val="1"/>
      <w:marLeft w:val="0"/>
      <w:marRight w:val="0"/>
      <w:marTop w:val="0"/>
      <w:marBottom w:val="0"/>
      <w:divBdr>
        <w:top w:val="none" w:sz="0" w:space="0" w:color="auto"/>
        <w:left w:val="none" w:sz="0" w:space="0" w:color="auto"/>
        <w:bottom w:val="none" w:sz="0" w:space="0" w:color="auto"/>
        <w:right w:val="none" w:sz="0" w:space="0" w:color="auto"/>
      </w:divBdr>
    </w:div>
    <w:div w:id="1774593963">
      <w:bodyDiv w:val="1"/>
      <w:marLeft w:val="0"/>
      <w:marRight w:val="0"/>
      <w:marTop w:val="0"/>
      <w:marBottom w:val="0"/>
      <w:divBdr>
        <w:top w:val="none" w:sz="0" w:space="0" w:color="auto"/>
        <w:left w:val="none" w:sz="0" w:space="0" w:color="auto"/>
        <w:bottom w:val="none" w:sz="0" w:space="0" w:color="auto"/>
        <w:right w:val="none" w:sz="0" w:space="0" w:color="auto"/>
      </w:divBdr>
    </w:div>
    <w:div w:id="2127767133">
      <w:bodyDiv w:val="1"/>
      <w:marLeft w:val="0"/>
      <w:marRight w:val="0"/>
      <w:marTop w:val="0"/>
      <w:marBottom w:val="0"/>
      <w:divBdr>
        <w:top w:val="none" w:sz="0" w:space="0" w:color="auto"/>
        <w:left w:val="none" w:sz="0" w:space="0" w:color="auto"/>
        <w:bottom w:val="none" w:sz="0" w:space="0" w:color="auto"/>
        <w:right w:val="none" w:sz="0" w:space="0" w:color="auto"/>
      </w:divBdr>
      <w:divsChild>
        <w:div w:id="787548048">
          <w:marLeft w:val="0"/>
          <w:marRight w:val="0"/>
          <w:marTop w:val="0"/>
          <w:marBottom w:val="0"/>
          <w:divBdr>
            <w:top w:val="none" w:sz="0" w:space="0" w:color="auto"/>
            <w:left w:val="none" w:sz="0" w:space="0" w:color="auto"/>
            <w:bottom w:val="none" w:sz="0" w:space="0" w:color="auto"/>
            <w:right w:val="none" w:sz="0" w:space="0" w:color="auto"/>
          </w:divBdr>
        </w:div>
        <w:div w:id="488642727">
          <w:marLeft w:val="0"/>
          <w:marRight w:val="0"/>
          <w:marTop w:val="0"/>
          <w:marBottom w:val="0"/>
          <w:divBdr>
            <w:top w:val="none" w:sz="0" w:space="0" w:color="auto"/>
            <w:left w:val="none" w:sz="0" w:space="0" w:color="auto"/>
            <w:bottom w:val="none" w:sz="0" w:space="0" w:color="auto"/>
            <w:right w:val="none" w:sz="0" w:space="0" w:color="auto"/>
          </w:divBdr>
        </w:div>
        <w:div w:id="132450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nyc.gov/site/dfta/about/contact-aging-connect.page"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1.nyc.gov/site/dfta/services/older-adult-employment.page"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niorplanet.org/"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site/dfta/services/friendly-programs.page" TargetMode="External"/><Relationship Id="rId18" Type="http://schemas.openxmlformats.org/officeDocument/2006/relationships/hyperlink" Target="https://www.nycourts.gov/courts/nyc/civil/pdfs/acp_brochure.pdf" TargetMode="External"/><Relationship Id="rId26" Type="http://schemas.openxmlformats.org/officeDocument/2006/relationships/hyperlink" Target="https://access.nyc.gov/programs/one-shot-deal/" TargetMode="External"/><Relationship Id="rId39" Type="http://schemas.openxmlformats.org/officeDocument/2006/relationships/hyperlink" Target="https://www.tandfonline.com/doi/abs/10.1300/J083v43n02_04?cookieSet=1" TargetMode="External"/><Relationship Id="rId21" Type="http://schemas.openxmlformats.org/officeDocument/2006/relationships/hyperlink" Target="https://www.wsj.com/articles/new-york-city-rents-hit-record-highs-amid-nationwide-housing-price-increases-11660219200" TargetMode="External"/><Relationship Id="rId34" Type="http://schemas.openxmlformats.org/officeDocument/2006/relationships/hyperlink" Target="https://www1.nyc.gov/site/dfta/services/elder-abuse-crime.page" TargetMode="External"/><Relationship Id="rId42" Type="http://schemas.openxmlformats.org/officeDocument/2006/relationships/hyperlink" Target="https://www.henrystreet.org/wp-content/uploads/2022/08/Calendar_Older-Adult-Center-09.2022-English.pdf" TargetMode="External"/><Relationship Id="rId7" Type="http://schemas.openxmlformats.org/officeDocument/2006/relationships/hyperlink" Target="https://www1.nyc.gov/site/dfta/services/intergenerational.page" TargetMode="External"/><Relationship Id="rId2" Type="http://schemas.openxmlformats.org/officeDocument/2006/relationships/hyperlink" Target="https://www1.nyc.gov/site/immigrants/programs/social-economic/immigration-enforcement.page" TargetMode="External"/><Relationship Id="rId16" Type="http://schemas.openxmlformats.org/officeDocument/2006/relationships/hyperlink" Target="https://portal.311.nyc.gov/article/?kanumber=KA-03171" TargetMode="External"/><Relationship Id="rId20" Type="http://schemas.openxmlformats.org/officeDocument/2006/relationships/hyperlink" Target="https://www.law360.com/articles/1470771/nyc-housing-court-rejects-inundated-attys-slowdown-ask" TargetMode="External"/><Relationship Id="rId29" Type="http://schemas.openxmlformats.org/officeDocument/2006/relationships/hyperlink" Target="https://www.nysenate.gov/legislation/bills/2021/S5102" TargetMode="External"/><Relationship Id="rId41" Type="http://schemas.openxmlformats.org/officeDocument/2006/relationships/hyperlink" Target="https://www.proquest.com/openview/f728d247701e465496cc0ff5117259ca/1?pq-origsite=gscholar&amp;cbl=18750&amp;diss=y" TargetMode="External"/><Relationship Id="rId1" Type="http://schemas.openxmlformats.org/officeDocument/2006/relationships/hyperlink" Target="https://www1.nyc.gov/site/dfta/about/commissioners-message.page" TargetMode="External"/><Relationship Id="rId6" Type="http://schemas.openxmlformats.org/officeDocument/2006/relationships/hyperlink" Target="https://www1.nyc.gov/site/dfta/caregivers/caring-for-children.page" TargetMode="External"/><Relationship Id="rId11" Type="http://schemas.openxmlformats.org/officeDocument/2006/relationships/hyperlink" Target="https://visionsvcb.org/what-we-do/senior-center/" TargetMode="External"/><Relationship Id="rId24" Type="http://schemas.openxmlformats.org/officeDocument/2006/relationships/hyperlink" Target="https://www1.nyc.gov/site/hpd/services-and-information/housing-ambassadors.page" TargetMode="External"/><Relationship Id="rId32" Type="http://schemas.openxmlformats.org/officeDocument/2006/relationships/hyperlink" Target="https://www1.nyc.gov/site/hra/help/accesshramobile.page" TargetMode="External"/><Relationship Id="rId37" Type="http://schemas.openxmlformats.org/officeDocument/2006/relationships/hyperlink" Target="https://www1.nyc.gov/site/dfta/services/older-adult-center.page" TargetMode="External"/><Relationship Id="rId40" Type="http://schemas.openxmlformats.org/officeDocument/2006/relationships/hyperlink" Target="https://www.researchgate.net/publication/230594125_Racial_and_Ethnic_Diversity_in_Senior_Centers_Comparing_Participant_Characteristics_in_More_and_Less_Multicultural_Settings" TargetMode="External"/><Relationship Id="rId5" Type="http://schemas.openxmlformats.org/officeDocument/2006/relationships/hyperlink" Target="https://www1.nyc.gov/site/dfta/services/elder-abuse-crime.page" TargetMode="External"/><Relationship Id="rId15" Type="http://schemas.openxmlformats.org/officeDocument/2006/relationships/hyperlink" Target="http://council.nyc.gov/data/wp-content/uploads/sites/73/2020/01/FINAL-PAPER.pdf" TargetMode="External"/><Relationship Id="rId23" Type="http://schemas.openxmlformats.org/officeDocument/2006/relationships/hyperlink" Target="https://www1.nyc.gov/site/hra/help/homebase.page" TargetMode="External"/><Relationship Id="rId28" Type="http://schemas.openxmlformats.org/officeDocument/2006/relationships/hyperlink" Target="https://www1.nyc.gov/assets/finance/downloads/pdf/brochures/scriedriebrochure.pdf" TargetMode="External"/><Relationship Id="rId36" Type="http://schemas.openxmlformats.org/officeDocument/2006/relationships/hyperlink" Target="https://hcr.ny.gov/system/files/documents/2020/11/fact-sheet-21-11-2020.pdf" TargetMode="External"/><Relationship Id="rId10" Type="http://schemas.openxmlformats.org/officeDocument/2006/relationships/hyperlink" Target="https://www1.nyc.gov/site/dfta/services/older-adult-center.page" TargetMode="External"/><Relationship Id="rId19" Type="http://schemas.openxmlformats.org/officeDocument/2006/relationships/hyperlink" Target="https://www.law360.com/articles/1479990/nyc-housing-court-memo-on-atty-shortages-meets-pushback" TargetMode="External"/><Relationship Id="rId31" Type="http://schemas.openxmlformats.org/officeDocument/2006/relationships/hyperlink" Target="https://evictionlab.org/eviction-tracking/new-york-ny/" TargetMode="External"/><Relationship Id="rId4" Type="http://schemas.openxmlformats.org/officeDocument/2006/relationships/hyperlink" Target="https://www1.nyc.gov/site/dfta/services/caregiving.page" TargetMode="External"/><Relationship Id="rId9" Type="http://schemas.openxmlformats.org/officeDocument/2006/relationships/hyperlink" Target="https://www1.nyc.gov/site/dfta/services/find-help.page" TargetMode="External"/><Relationship Id="rId14" Type="http://schemas.openxmlformats.org/officeDocument/2006/relationships/hyperlink" Target="https://www1.nyc.gov/site/dfta/volunteering/volunteer-resources.page" TargetMode="External"/><Relationship Id="rId22" Type="http://schemas.openxmlformats.org/officeDocument/2006/relationships/hyperlink" Target="https://www1.nyc.gov/site/hra/help/cityfheps.page" TargetMode="External"/><Relationship Id="rId27" Type="http://schemas.openxmlformats.org/officeDocument/2006/relationships/hyperlink" Target="https://www.mutualhousingny.org/one-shot-deal" TargetMode="External"/><Relationship Id="rId30" Type="http://schemas.openxmlformats.org/officeDocument/2006/relationships/hyperlink" Target="https://nyccouncil-my.sharepoint.com/personal/crivera_council_nyc_gov/Documents/Microsoft%20Teams%20Chat%20Files/see%20also%20Nikkia%20Rivera,%20Scott%20Stringer%20Calls%20for%20Strategic%20City%20Planning%20for%20Seniors,%20N.Y.%20for%20Seniors%20(Jun.%206,%202017),%20https:/nyforseniors.com/scott-stringer-calls-for-strategic-city-planning-for-seniors/" TargetMode="External"/><Relationship Id="rId35" Type="http://schemas.openxmlformats.org/officeDocument/2006/relationships/hyperlink" Target="https://www1.nyc.gov/assets/cchr/downloads/pdf/AgeDiscriminationGuide-2020.pdf" TargetMode="External"/><Relationship Id="rId43" Type="http://schemas.openxmlformats.org/officeDocument/2006/relationships/hyperlink" Target="https://www.lgbtagingcenter.org/resources/pdfs/Consortium%20Planning%20Guide%20Digital%20Final.pdf" TargetMode="External"/><Relationship Id="rId8" Type="http://schemas.openxmlformats.org/officeDocument/2006/relationships/hyperlink" Target="https://www1.nyc.gov/site/dfta/services/bill-payer-program.page" TargetMode="External"/><Relationship Id="rId3" Type="http://schemas.openxmlformats.org/officeDocument/2006/relationships/hyperlink" Target="https://access.nyc.gov/programs/senior-employment-services-ses/" TargetMode="External"/><Relationship Id="rId12" Type="http://schemas.openxmlformats.org/officeDocument/2006/relationships/hyperlink" Target="https://www1.nyc.gov/site/dfta/services/in-home-services.page" TargetMode="External"/><Relationship Id="rId17" Type="http://schemas.openxmlformats.org/officeDocument/2006/relationships/hyperlink" Target="https://data.cityofnewyork.us/Social-Services/Department-for-the-Aging-DFTA-Contracted-Providers/cqc8-am9x/data" TargetMode="External"/><Relationship Id="rId25" Type="http://schemas.openxmlformats.org/officeDocument/2006/relationships/hyperlink" Target="https://www1.nyc.gov/site/dfta/about/pr-NYFC-and-DFTA-hold-pr-for-homesharing-program.page" TargetMode="External"/><Relationship Id="rId33" Type="http://schemas.openxmlformats.org/officeDocument/2006/relationships/hyperlink" Target="https://www.nydailynews.com/opinion/ny-oped-city-budget-housing-funding-20220604-kuw3widf3fbxtgtblj5n5kpwu4-story.html" TargetMode="External"/><Relationship Id="rId38" Type="http://schemas.openxmlformats.org/officeDocument/2006/relationships/hyperlink" Target="https://www.fortgreenecouncil.org/fgc-n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2283FB9248B44859CE0084AEE82A9" ma:contentTypeVersion="0" ma:contentTypeDescription="Create a new document." ma:contentTypeScope="" ma:versionID="7ee8c3a8f2e03ec629515516472feb4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5AD8-3DCF-4DA7-A298-7B663C73AF78}">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CAC38CB-2A86-4933-832D-EAD68996DA6E}">
  <ds:schemaRefs>
    <ds:schemaRef ds:uri="http://schemas.microsoft.com/sharepoint/v3/contenttype/forms"/>
  </ds:schemaRefs>
</ds:datastoreItem>
</file>

<file path=customXml/itemProps3.xml><?xml version="1.0" encoding="utf-8"?>
<ds:datastoreItem xmlns:ds="http://schemas.openxmlformats.org/officeDocument/2006/customXml" ds:itemID="{D0D52859-4E7D-4395-9FF4-0C302AE4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C39A56-5E8B-45E4-B93B-2C9D6BD7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Nuzhat</dc:creator>
  <cp:keywords/>
  <dc:description/>
  <cp:lastModifiedBy>DelFranco, Ruthie</cp:lastModifiedBy>
  <cp:revision>2</cp:revision>
  <cp:lastPrinted>2022-09-01T17:32:00Z</cp:lastPrinted>
  <dcterms:created xsi:type="dcterms:W3CDTF">2022-09-14T02:12:00Z</dcterms:created>
  <dcterms:modified xsi:type="dcterms:W3CDTF">2022-09-14T02:12:00Z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0x01010064E2283FB9248B44859CE0084AEE82A9</vt:lpwstr>
  </property>
</Properties>
</file>