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F6" w:rsidRPr="00126DA0" w:rsidRDefault="00E201F6" w:rsidP="00E201F6">
      <w:pPr>
        <w:jc w:val="right"/>
        <w:rPr>
          <w:u w:val="single"/>
        </w:rPr>
      </w:pPr>
      <w:bookmarkStart w:id="0" w:name="_GoBack"/>
      <w:bookmarkEnd w:id="0"/>
      <w:r w:rsidRPr="00126DA0">
        <w:rPr>
          <w:u w:val="single"/>
        </w:rPr>
        <w:t>Committee on Mental Health, Disabilities and Addiction</w:t>
      </w:r>
    </w:p>
    <w:p w:rsidR="00E201F6" w:rsidRPr="00126DA0" w:rsidRDefault="00E201F6" w:rsidP="00E201F6">
      <w:pPr>
        <w:jc w:val="right"/>
      </w:pPr>
      <w:r w:rsidRPr="00126DA0">
        <w:t xml:space="preserve">Sara Liss, </w:t>
      </w:r>
      <w:r w:rsidRPr="00126DA0">
        <w:rPr>
          <w:i/>
        </w:rPr>
        <w:t>Assistant Deputy Director</w:t>
      </w:r>
    </w:p>
    <w:p w:rsidR="00E201F6" w:rsidRPr="00126DA0" w:rsidRDefault="00E201F6" w:rsidP="00E201F6">
      <w:pPr>
        <w:tabs>
          <w:tab w:val="left" w:pos="0"/>
        </w:tabs>
        <w:jc w:val="right"/>
        <w:rPr>
          <w:i/>
        </w:rPr>
      </w:pPr>
      <w:r w:rsidRPr="00126DA0">
        <w:t xml:space="preserve">Cristy Dwyer, </w:t>
      </w:r>
      <w:r w:rsidRPr="00126DA0">
        <w:rPr>
          <w:i/>
        </w:rPr>
        <w:t>Legislative Policy Analyst</w:t>
      </w:r>
    </w:p>
    <w:p w:rsidR="00E201F6" w:rsidRPr="00126DA0" w:rsidRDefault="00E201F6" w:rsidP="00E201F6">
      <w:pPr>
        <w:rPr>
          <w:u w:val="single"/>
        </w:rPr>
      </w:pPr>
    </w:p>
    <w:p w:rsidR="00E201F6" w:rsidRPr="00126DA0" w:rsidRDefault="00E201F6" w:rsidP="00E201F6">
      <w:pPr>
        <w:tabs>
          <w:tab w:val="left" w:pos="0"/>
        </w:tabs>
        <w:jc w:val="right"/>
      </w:pPr>
    </w:p>
    <w:p w:rsidR="00E201F6" w:rsidRPr="00126DA0" w:rsidRDefault="00E201F6" w:rsidP="00E201F6">
      <w:pPr>
        <w:tabs>
          <w:tab w:val="left" w:pos="0"/>
        </w:tabs>
        <w:jc w:val="right"/>
        <w:rPr>
          <w:i/>
        </w:rPr>
      </w:pPr>
    </w:p>
    <w:p w:rsidR="00E201F6" w:rsidRPr="00126DA0" w:rsidRDefault="00E201F6" w:rsidP="00E201F6">
      <w:pPr>
        <w:tabs>
          <w:tab w:val="left" w:pos="0"/>
        </w:tabs>
        <w:jc w:val="right"/>
      </w:pPr>
    </w:p>
    <w:p w:rsidR="00E201F6" w:rsidRPr="00126DA0" w:rsidRDefault="00E201F6" w:rsidP="00E201F6">
      <w:pPr>
        <w:tabs>
          <w:tab w:val="left" w:pos="7517"/>
        </w:tabs>
        <w:jc w:val="center"/>
      </w:pPr>
      <w:r w:rsidRPr="00126DA0">
        <w:rPr>
          <w:noProof/>
        </w:rPr>
        <w:drawing>
          <wp:inline distT="0" distB="0" distL="0" distR="0" wp14:anchorId="4A1715D3" wp14:editId="72AD154B">
            <wp:extent cx="1171575" cy="1095375"/>
            <wp:effectExtent l="0" t="0" r="0" b="0"/>
            <wp:docPr id="18103653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rsidR="00E201F6" w:rsidRPr="00126DA0" w:rsidRDefault="00E201F6" w:rsidP="00E201F6">
      <w:pPr>
        <w:pStyle w:val="Heading2"/>
        <w:rPr>
          <w:bCs w:val="0"/>
          <w:u w:val="none"/>
        </w:rPr>
      </w:pPr>
    </w:p>
    <w:p w:rsidR="00E201F6" w:rsidRPr="00126DA0" w:rsidRDefault="00E201F6" w:rsidP="00E201F6">
      <w:pPr>
        <w:keepNext/>
        <w:jc w:val="center"/>
        <w:outlineLvl w:val="1"/>
        <w:rPr>
          <w:b/>
          <w:iCs/>
          <w:smallCaps/>
        </w:rPr>
      </w:pPr>
      <w:r w:rsidRPr="00126DA0">
        <w:rPr>
          <w:b/>
          <w:iCs/>
          <w:smallCaps/>
        </w:rPr>
        <w:t>The Council of the City of New York</w:t>
      </w:r>
    </w:p>
    <w:p w:rsidR="00E201F6" w:rsidRPr="00126DA0" w:rsidRDefault="00E201F6" w:rsidP="00E201F6">
      <w:pPr>
        <w:pStyle w:val="Heading1"/>
        <w:jc w:val="center"/>
        <w:rPr>
          <w:rFonts w:ascii="Times New Roman" w:hAnsi="Times New Roman"/>
          <w:b w:val="0"/>
          <w:bCs w:val="0"/>
          <w:i/>
          <w:iCs/>
          <w:caps/>
          <w:color w:val="auto"/>
          <w:sz w:val="24"/>
          <w:szCs w:val="24"/>
          <w:u w:val="single"/>
        </w:rPr>
      </w:pPr>
      <w:r w:rsidRPr="00126DA0">
        <w:rPr>
          <w:rFonts w:ascii="Times New Roman" w:hAnsi="Times New Roman"/>
          <w:caps/>
          <w:color w:val="auto"/>
          <w:sz w:val="24"/>
          <w:szCs w:val="24"/>
          <w:u w:val="single"/>
        </w:rPr>
        <w:t>Briefing paper OF THE HUMAN SERVICES Division</w:t>
      </w:r>
    </w:p>
    <w:p w:rsidR="00E201F6" w:rsidRPr="00126DA0" w:rsidRDefault="00E201F6" w:rsidP="00E201F6">
      <w:pPr>
        <w:jc w:val="center"/>
        <w:rPr>
          <w:i/>
        </w:rPr>
      </w:pPr>
      <w:r w:rsidRPr="00126DA0">
        <w:rPr>
          <w:i/>
        </w:rPr>
        <w:t xml:space="preserve">Andrea Vazquez, Legislative Director </w:t>
      </w:r>
    </w:p>
    <w:p w:rsidR="00E201F6" w:rsidRPr="00126DA0" w:rsidRDefault="00E201F6" w:rsidP="00E201F6">
      <w:pPr>
        <w:jc w:val="center"/>
        <w:rPr>
          <w:i/>
        </w:rPr>
      </w:pPr>
      <w:r w:rsidRPr="00126DA0">
        <w:rPr>
          <w:i/>
        </w:rPr>
        <w:t>Smita Deshmukh, Deputy Director, Human Services</w:t>
      </w:r>
    </w:p>
    <w:p w:rsidR="00E201F6" w:rsidRPr="00126DA0" w:rsidRDefault="00E201F6" w:rsidP="00E201F6">
      <w:pPr>
        <w:jc w:val="center"/>
        <w:rPr>
          <w:b/>
          <w:u w:val="single"/>
        </w:rPr>
      </w:pPr>
    </w:p>
    <w:p w:rsidR="00E201F6" w:rsidRPr="00126DA0" w:rsidRDefault="00E201F6" w:rsidP="00E201F6">
      <w:pPr>
        <w:pStyle w:val="FootnoteText"/>
        <w:jc w:val="center"/>
        <w:rPr>
          <w:sz w:val="24"/>
          <w:szCs w:val="24"/>
        </w:rPr>
      </w:pPr>
      <w:r w:rsidRPr="00126DA0">
        <w:rPr>
          <w:b/>
          <w:sz w:val="24"/>
          <w:szCs w:val="24"/>
          <w:u w:val="single"/>
        </w:rPr>
        <w:t>COMMITTEE ON MENTAL HEALTH, DISABILITIES AND ADDICTION</w:t>
      </w:r>
    </w:p>
    <w:p w:rsidR="00E201F6" w:rsidRPr="00126DA0" w:rsidRDefault="00E201F6" w:rsidP="00E201F6">
      <w:pPr>
        <w:jc w:val="center"/>
        <w:rPr>
          <w:i/>
        </w:rPr>
      </w:pPr>
      <w:r w:rsidRPr="00126DA0">
        <w:rPr>
          <w:i/>
        </w:rPr>
        <w:t>Hon. Linda Lee, Chair</w:t>
      </w:r>
    </w:p>
    <w:p w:rsidR="00E201F6" w:rsidRPr="00126DA0" w:rsidRDefault="00E201F6" w:rsidP="00E201F6">
      <w:pPr>
        <w:pStyle w:val="Heading4"/>
        <w:spacing w:before="0" w:after="0"/>
        <w:rPr>
          <w:rFonts w:ascii="Times New Roman" w:hAnsi="Times New Roman"/>
          <w:sz w:val="24"/>
          <w:szCs w:val="24"/>
        </w:rPr>
      </w:pPr>
    </w:p>
    <w:p w:rsidR="00E201F6" w:rsidRPr="00126DA0" w:rsidRDefault="00E201F6" w:rsidP="00E201F6">
      <w:pPr>
        <w:pStyle w:val="Heading4"/>
        <w:spacing w:before="0" w:after="0"/>
        <w:jc w:val="center"/>
        <w:rPr>
          <w:rFonts w:ascii="Times New Roman" w:hAnsi="Times New Roman"/>
          <w:sz w:val="24"/>
          <w:szCs w:val="24"/>
        </w:rPr>
      </w:pPr>
      <w:r w:rsidRPr="00126DA0">
        <w:rPr>
          <w:rFonts w:ascii="Times New Roman" w:hAnsi="Times New Roman"/>
          <w:sz w:val="24"/>
          <w:szCs w:val="24"/>
        </w:rPr>
        <w:t>June 30, 2022</w:t>
      </w:r>
    </w:p>
    <w:p w:rsidR="00E201F6" w:rsidRPr="00126DA0" w:rsidRDefault="00E201F6" w:rsidP="00E201F6">
      <w:pPr>
        <w:widowControl w:val="0"/>
        <w:autoSpaceDE w:val="0"/>
        <w:autoSpaceDN w:val="0"/>
        <w:adjustRightInd w:val="0"/>
        <w:ind w:left="2880" w:hanging="2880"/>
        <w:jc w:val="both"/>
        <w:rPr>
          <w:b/>
          <w:u w:val="single"/>
        </w:rPr>
      </w:pPr>
    </w:p>
    <w:p w:rsidR="00E201F6" w:rsidRPr="00126DA0" w:rsidRDefault="00E201F6" w:rsidP="00E201F6">
      <w:pPr>
        <w:widowControl w:val="0"/>
        <w:autoSpaceDE w:val="0"/>
        <w:autoSpaceDN w:val="0"/>
        <w:adjustRightInd w:val="0"/>
        <w:jc w:val="center"/>
        <w:rPr>
          <w:b/>
        </w:rPr>
      </w:pPr>
      <w:r w:rsidRPr="00126DA0">
        <w:rPr>
          <w:b/>
        </w:rPr>
        <w:t>Oversight: Tracking the Opioid Settlement Fund and its Related Programs</w:t>
      </w:r>
    </w:p>
    <w:p w:rsidR="00E201F6" w:rsidRPr="00126DA0" w:rsidRDefault="00E201F6" w:rsidP="00E201F6">
      <w:pPr>
        <w:widowControl w:val="0"/>
        <w:autoSpaceDE w:val="0"/>
        <w:autoSpaceDN w:val="0"/>
        <w:adjustRightInd w:val="0"/>
        <w:ind w:left="2880" w:hanging="2880"/>
        <w:jc w:val="both"/>
        <w:rPr>
          <w:b/>
          <w:u w:val="single"/>
        </w:rPr>
      </w:pPr>
    </w:p>
    <w:p w:rsidR="00E201F6" w:rsidRPr="00126DA0" w:rsidRDefault="00E201F6" w:rsidP="00E201F6">
      <w:pPr>
        <w:widowControl w:val="0"/>
        <w:autoSpaceDE w:val="0"/>
        <w:autoSpaceDN w:val="0"/>
        <w:adjustRightInd w:val="0"/>
        <w:ind w:left="2880" w:hanging="2880"/>
        <w:jc w:val="both"/>
        <w:rPr>
          <w:b/>
          <w:u w:val="single"/>
        </w:rPr>
      </w:pPr>
    </w:p>
    <w:p w:rsidR="00E201F6" w:rsidRPr="00126DA0" w:rsidRDefault="00E201F6" w:rsidP="00E201F6">
      <w:pPr>
        <w:widowControl w:val="0"/>
        <w:autoSpaceDE w:val="0"/>
        <w:autoSpaceDN w:val="0"/>
        <w:adjustRightInd w:val="0"/>
        <w:ind w:left="2880" w:hanging="2880"/>
        <w:jc w:val="both"/>
      </w:pPr>
    </w:p>
    <w:p w:rsidR="00E201F6" w:rsidRPr="00126DA0" w:rsidRDefault="00E201F6" w:rsidP="00E201F6">
      <w:pPr>
        <w:keepNext/>
        <w:ind w:left="3240" w:right="-180" w:hanging="3240"/>
        <w:outlineLvl w:val="1"/>
        <w:rPr>
          <w:bCs/>
        </w:rPr>
      </w:pPr>
      <w:r w:rsidRPr="00126DA0">
        <w:rPr>
          <w:b/>
          <w:bCs/>
          <w:u w:val="single"/>
        </w:rPr>
        <w:t>Int. No. 404-2022:</w:t>
      </w:r>
      <w:r w:rsidRPr="00126DA0">
        <w:rPr>
          <w:bCs/>
        </w:rPr>
        <w:t xml:space="preserve"> </w:t>
      </w:r>
      <w:r w:rsidRPr="00126DA0">
        <w:rPr>
          <w:bCs/>
        </w:rPr>
        <w:tab/>
        <w:t xml:space="preserve">By Council Members </w:t>
      </w:r>
      <w:r w:rsidRPr="00126DA0">
        <w:rPr>
          <w:shd w:val="clear" w:color="auto" w:fill="FFFFFF"/>
        </w:rPr>
        <w:t>Lee, Ayala, Brewer, Louis, Nurse, Krishnan, Kagan, Menin, Marte, Farías, Williams, Holden, Schulman, Dinowitz, Ossé, Abreu, Restler, Avilés, Bottcher and Ariola</w:t>
      </w:r>
    </w:p>
    <w:p w:rsidR="00E201F6" w:rsidRPr="00126DA0" w:rsidRDefault="00E201F6" w:rsidP="00E201F6">
      <w:pPr>
        <w:ind w:left="3240" w:hanging="3240"/>
      </w:pPr>
    </w:p>
    <w:p w:rsidR="00E201F6" w:rsidRPr="00126DA0" w:rsidRDefault="00E201F6" w:rsidP="00E201F6">
      <w:pPr>
        <w:keepNext/>
        <w:ind w:left="3240" w:right="-180" w:hanging="3240"/>
        <w:outlineLvl w:val="1"/>
        <w:rPr>
          <w:bCs/>
        </w:rPr>
      </w:pPr>
      <w:r w:rsidRPr="00126DA0">
        <w:rPr>
          <w:b/>
          <w:bCs/>
          <w:u w:val="single"/>
        </w:rPr>
        <w:t>Title:</w:t>
      </w:r>
      <w:r w:rsidRPr="00126DA0">
        <w:rPr>
          <w:bCs/>
        </w:rPr>
        <w:tab/>
      </w:r>
      <w:r w:rsidRPr="00126DA0">
        <w:rPr>
          <w:shd w:val="clear" w:color="auto" w:fill="FFFFFF"/>
        </w:rPr>
        <w:t>A Local Law in relation to a report tracking the opioid settlement fund</w:t>
      </w:r>
    </w:p>
    <w:p w:rsidR="00E201F6" w:rsidRPr="00126DA0" w:rsidRDefault="00E201F6" w:rsidP="00E201F6">
      <w:pPr>
        <w:widowControl w:val="0"/>
        <w:autoSpaceDE w:val="0"/>
        <w:autoSpaceDN w:val="0"/>
        <w:adjustRightInd w:val="0"/>
        <w:ind w:left="2880" w:hanging="2880"/>
        <w:jc w:val="both"/>
      </w:pPr>
    </w:p>
    <w:p w:rsidR="00E201F6" w:rsidRPr="00126DA0" w:rsidRDefault="00E201F6" w:rsidP="00E201F6">
      <w:pPr>
        <w:widowControl w:val="0"/>
        <w:autoSpaceDE w:val="0"/>
        <w:autoSpaceDN w:val="0"/>
        <w:adjustRightInd w:val="0"/>
        <w:jc w:val="both"/>
        <w:rPr>
          <w:shd w:val="clear" w:color="auto" w:fill="FFFFFF"/>
        </w:rPr>
      </w:pPr>
    </w:p>
    <w:p w:rsidR="00E201F6" w:rsidRPr="00126DA0" w:rsidRDefault="00E201F6" w:rsidP="00E201F6">
      <w:pPr>
        <w:numPr>
          <w:ilvl w:val="0"/>
          <w:numId w:val="1"/>
        </w:numPr>
        <w:spacing w:line="480" w:lineRule="auto"/>
        <w:rPr>
          <w:b/>
        </w:rPr>
      </w:pPr>
      <w:r w:rsidRPr="00126DA0">
        <w:rPr>
          <w:b/>
          <w:u w:val="single"/>
        </w:rPr>
        <w:br w:type="page"/>
      </w:r>
      <w:r w:rsidRPr="00126DA0">
        <w:rPr>
          <w:b/>
        </w:rPr>
        <w:lastRenderedPageBreak/>
        <w:t>Introduction</w:t>
      </w:r>
    </w:p>
    <w:p w:rsidR="00E201F6" w:rsidRPr="00126DA0" w:rsidRDefault="00E201F6" w:rsidP="00E201F6">
      <w:pPr>
        <w:spacing w:line="480" w:lineRule="auto"/>
        <w:jc w:val="both"/>
        <w:rPr>
          <w:bCs/>
        </w:rPr>
      </w:pPr>
      <w:r w:rsidRPr="00126DA0">
        <w:rPr>
          <w:bCs/>
        </w:rPr>
        <w:tab/>
      </w:r>
      <w:r w:rsidRPr="00126DA0">
        <w:t xml:space="preserve">On June </w:t>
      </w:r>
      <w:r w:rsidR="007B6307" w:rsidRPr="00126DA0">
        <w:t>30, 2022</w:t>
      </w:r>
      <w:r w:rsidRPr="00126DA0">
        <w:t>, the Committee on Mental Health, Disabilities, and Addiction</w:t>
      </w:r>
      <w:r w:rsidRPr="00126DA0">
        <w:rPr>
          <w:bCs/>
        </w:rPr>
        <w:t>,</w:t>
      </w:r>
      <w:r w:rsidRPr="00126DA0">
        <w:t xml:space="preserve"> chaired by Council Member </w:t>
      </w:r>
      <w:r w:rsidR="007B6307" w:rsidRPr="00126DA0">
        <w:t>Linda Lee</w:t>
      </w:r>
      <w:r w:rsidR="00AF5797" w:rsidRPr="00126DA0">
        <w:t>,</w:t>
      </w:r>
      <w:r w:rsidRPr="00126DA0">
        <w:rPr>
          <w:bCs/>
        </w:rPr>
        <w:t xml:space="preserve"> </w:t>
      </w:r>
      <w:r w:rsidRPr="00126DA0">
        <w:t>will hold a hearing entitled</w:t>
      </w:r>
      <w:r w:rsidR="00AF5797" w:rsidRPr="00126DA0">
        <w:t>,</w:t>
      </w:r>
      <w:r w:rsidRPr="00126DA0">
        <w:rPr>
          <w:bCs/>
        </w:rPr>
        <w:t xml:space="preserve"> “</w:t>
      </w:r>
      <w:r w:rsidR="007B6307" w:rsidRPr="00126DA0">
        <w:t>Tracking the Opioid Settlement Fund and its Related Programs</w:t>
      </w:r>
      <w:r w:rsidRPr="00126DA0">
        <w:t>.</w:t>
      </w:r>
      <w:r w:rsidRPr="00126DA0">
        <w:rPr>
          <w:bCs/>
        </w:rPr>
        <w:t>”</w:t>
      </w:r>
      <w:r w:rsidRPr="00126DA0" w:rsidDel="0099218E">
        <w:rPr>
          <w:bCs/>
        </w:rPr>
        <w:t xml:space="preserve"> </w:t>
      </w:r>
      <w:r w:rsidRPr="00126DA0">
        <w:rPr>
          <w:bCs/>
        </w:rPr>
        <w:t>The Committee wil</w:t>
      </w:r>
      <w:r w:rsidR="007B6307" w:rsidRPr="00126DA0">
        <w:rPr>
          <w:bCs/>
        </w:rPr>
        <w:t>l hear Introduction Number 404-2022</w:t>
      </w:r>
      <w:r w:rsidRPr="00126DA0">
        <w:rPr>
          <w:bCs/>
        </w:rPr>
        <w:t xml:space="preserve"> (Int. </w:t>
      </w:r>
      <w:r w:rsidR="007B6307" w:rsidRPr="00126DA0">
        <w:rPr>
          <w:bCs/>
        </w:rPr>
        <w:t>No. 404</w:t>
      </w:r>
      <w:r w:rsidRPr="00126DA0">
        <w:rPr>
          <w:bCs/>
        </w:rPr>
        <w:t xml:space="preserve">), sponsored by Council Member </w:t>
      </w:r>
      <w:r w:rsidR="007B6307" w:rsidRPr="00126DA0">
        <w:rPr>
          <w:bCs/>
        </w:rPr>
        <w:t>Lee</w:t>
      </w:r>
      <w:r w:rsidRPr="00126DA0">
        <w:rPr>
          <w:bCs/>
        </w:rPr>
        <w:t xml:space="preserve">, A local law </w:t>
      </w:r>
      <w:r w:rsidRPr="00126DA0">
        <w:rPr>
          <w:shd w:val="clear" w:color="auto" w:fill="FFFFFF"/>
        </w:rPr>
        <w:t>in r</w:t>
      </w:r>
      <w:r w:rsidR="007B6307" w:rsidRPr="00126DA0">
        <w:rPr>
          <w:shd w:val="clear" w:color="auto" w:fill="FFFFFF"/>
        </w:rPr>
        <w:t>elation to a report tracking the opioid settlement fund</w:t>
      </w:r>
      <w:r w:rsidRPr="00126DA0">
        <w:rPr>
          <w:shd w:val="clear" w:color="auto" w:fill="FFFFFF"/>
        </w:rPr>
        <w:t>.</w:t>
      </w:r>
      <w:r w:rsidRPr="00126DA0">
        <w:rPr>
          <w:bCs/>
        </w:rPr>
        <w:t xml:space="preserve"> </w:t>
      </w:r>
      <w:r w:rsidRPr="00126DA0">
        <w:t>Among those invited to testify are representatives from the New York City Department of Health and Mental Hygiene (DOHMH),</w:t>
      </w:r>
      <w:r w:rsidR="007B6307" w:rsidRPr="00126DA0">
        <w:t xml:space="preserve"> </w:t>
      </w:r>
      <w:r w:rsidR="00AF5797" w:rsidRPr="00126DA0">
        <w:t>community-based</w:t>
      </w:r>
      <w:r w:rsidR="007B6307" w:rsidRPr="00126DA0">
        <w:t xml:space="preserve"> providers,</w:t>
      </w:r>
      <w:r w:rsidR="00E71C63" w:rsidRPr="00126DA0">
        <w:t xml:space="preserve"> advocates,</w:t>
      </w:r>
      <w:r w:rsidRPr="00126DA0">
        <w:t xml:space="preserve"> and other interested parties.</w:t>
      </w:r>
      <w:r w:rsidRPr="00126DA0">
        <w:rPr>
          <w:bCs/>
        </w:rPr>
        <w:t xml:space="preserve"> </w:t>
      </w:r>
    </w:p>
    <w:p w:rsidR="00E201F6" w:rsidRPr="00126DA0" w:rsidRDefault="00E201F6" w:rsidP="00E201F6">
      <w:pPr>
        <w:numPr>
          <w:ilvl w:val="0"/>
          <w:numId w:val="1"/>
        </w:numPr>
        <w:spacing w:line="480" w:lineRule="auto"/>
        <w:rPr>
          <w:b/>
        </w:rPr>
      </w:pPr>
      <w:r w:rsidRPr="00126DA0">
        <w:rPr>
          <w:b/>
        </w:rPr>
        <w:t>Background</w:t>
      </w:r>
    </w:p>
    <w:p w:rsidR="004D1BA3" w:rsidRPr="00126DA0" w:rsidRDefault="00E71C63" w:rsidP="004D1BA3">
      <w:pPr>
        <w:spacing w:line="480" w:lineRule="auto"/>
        <w:jc w:val="both"/>
        <w:rPr>
          <w:rStyle w:val="normaltextrun"/>
          <w:i/>
        </w:rPr>
      </w:pPr>
      <w:r w:rsidRPr="00126DA0">
        <w:rPr>
          <w:i/>
        </w:rPr>
        <w:t xml:space="preserve">Opioid </w:t>
      </w:r>
      <w:r w:rsidR="007517AF" w:rsidRPr="00126DA0">
        <w:rPr>
          <w:i/>
        </w:rPr>
        <w:t>Use Disorder</w:t>
      </w:r>
      <w:r w:rsidRPr="00126DA0">
        <w:rPr>
          <w:i/>
        </w:rPr>
        <w:t xml:space="preserve"> in America</w:t>
      </w:r>
    </w:p>
    <w:p w:rsidR="00E71C63" w:rsidRPr="00126DA0" w:rsidRDefault="007526C1" w:rsidP="00E71C63">
      <w:pPr>
        <w:spacing w:line="480" w:lineRule="auto"/>
        <w:ind w:firstLine="720"/>
        <w:jc w:val="both"/>
        <w:rPr>
          <w:shd w:val="clear" w:color="auto" w:fill="FFFFFF"/>
        </w:rPr>
      </w:pPr>
      <w:r w:rsidRPr="00126DA0">
        <w:rPr>
          <w:shd w:val="clear" w:color="auto" w:fill="FFFFFF"/>
        </w:rPr>
        <w:t>Opioid use disorder and its related overdose</w:t>
      </w:r>
      <w:r w:rsidR="00DB1625" w:rsidRPr="00126DA0">
        <w:rPr>
          <w:shd w:val="clear" w:color="auto" w:fill="FFFFFF"/>
        </w:rPr>
        <w:t xml:space="preserve"> death</w:t>
      </w:r>
      <w:r w:rsidRPr="00126DA0">
        <w:rPr>
          <w:shd w:val="clear" w:color="auto" w:fill="FFFFFF"/>
        </w:rPr>
        <w:t>s is an epidemic in the United States</w:t>
      </w:r>
      <w:r w:rsidR="00AF5797" w:rsidRPr="00126DA0">
        <w:rPr>
          <w:shd w:val="clear" w:color="auto" w:fill="FFFFFF"/>
        </w:rPr>
        <w:t xml:space="preserve"> (U.S.)</w:t>
      </w:r>
      <w:r w:rsidR="00DB1625" w:rsidRPr="00126DA0">
        <w:rPr>
          <w:shd w:val="clear" w:color="auto" w:fill="FFFFFF"/>
        </w:rPr>
        <w:t>,</w:t>
      </w:r>
      <w:r w:rsidR="000B5F8F" w:rsidRPr="00126DA0">
        <w:rPr>
          <w:shd w:val="clear" w:color="auto" w:fill="FFFFFF"/>
        </w:rPr>
        <w:t xml:space="preserve"> declared a </w:t>
      </w:r>
      <w:r w:rsidR="00DB1625" w:rsidRPr="00126DA0">
        <w:rPr>
          <w:shd w:val="clear" w:color="auto" w:fill="FFFFFF"/>
        </w:rPr>
        <w:t xml:space="preserve">national </w:t>
      </w:r>
      <w:r w:rsidR="000B5F8F" w:rsidRPr="00126DA0">
        <w:rPr>
          <w:shd w:val="clear" w:color="auto" w:fill="FFFFFF"/>
        </w:rPr>
        <w:t>public health emergency in 2017</w:t>
      </w:r>
      <w:r w:rsidRPr="00126DA0">
        <w:rPr>
          <w:shd w:val="clear" w:color="auto" w:fill="FFFFFF"/>
        </w:rPr>
        <w:t>.</w:t>
      </w:r>
      <w:r w:rsidRPr="00126DA0">
        <w:rPr>
          <w:rStyle w:val="FootnoteReference"/>
          <w:shd w:val="clear" w:color="auto" w:fill="FFFFFF"/>
        </w:rPr>
        <w:footnoteReference w:id="1"/>
      </w:r>
      <w:r w:rsidRPr="00126DA0">
        <w:rPr>
          <w:rStyle w:val="normaltextrun"/>
        </w:rPr>
        <w:t xml:space="preserve"> </w:t>
      </w:r>
      <w:r w:rsidR="00E71C63" w:rsidRPr="00126DA0">
        <w:rPr>
          <w:rStyle w:val="normaltextrun"/>
        </w:rPr>
        <w:t>In the mid- to late-1990’s, several pharmaceutical companies released to market opioid pain relievers</w:t>
      </w:r>
      <w:r w:rsidR="004D1BA3" w:rsidRPr="00126DA0">
        <w:rPr>
          <w:rStyle w:val="normaltextrun"/>
        </w:rPr>
        <w:t xml:space="preserve"> – substances that work in the nervous system of the body or in receptors of the brain to reduce the intensity of pain</w:t>
      </w:r>
      <w:r w:rsidR="004D1BA3" w:rsidRPr="00126DA0">
        <w:rPr>
          <w:rStyle w:val="FootnoteReference"/>
        </w:rPr>
        <w:footnoteReference w:id="2"/>
      </w:r>
      <w:r w:rsidR="004D1BA3" w:rsidRPr="00126DA0">
        <w:rPr>
          <w:rStyle w:val="normaltextrun"/>
        </w:rPr>
        <w:t xml:space="preserve"> –</w:t>
      </w:r>
      <w:r w:rsidR="00E71C63" w:rsidRPr="00126DA0">
        <w:rPr>
          <w:rStyle w:val="normaltextrun"/>
        </w:rPr>
        <w:t xml:space="preserve"> and began a mass educational and promotional campaign to convince doctors, regulators, and patients that these pain medications were non-addictive.</w:t>
      </w:r>
      <w:r w:rsidR="00E71C63" w:rsidRPr="00126DA0">
        <w:rPr>
          <w:rStyle w:val="FootnoteReference"/>
        </w:rPr>
        <w:footnoteReference w:id="3"/>
      </w:r>
      <w:r w:rsidR="00E71C63" w:rsidRPr="00126DA0">
        <w:rPr>
          <w:rStyle w:val="normaltextrun"/>
        </w:rPr>
        <w:t xml:space="preserve"> This campaign was incredibly successful: w</w:t>
      </w:r>
      <w:r w:rsidR="00E71C63" w:rsidRPr="00126DA0">
        <w:rPr>
          <w:shd w:val="clear" w:color="auto" w:fill="FFFFFF"/>
        </w:rPr>
        <w:t>hen Purdue Pharma introduced OxyContin – one such pain medication – in 1996, sales grew from $48 million to almost $1.1 billion in 2000.</w:t>
      </w:r>
      <w:r w:rsidR="00E71C63" w:rsidRPr="00126DA0">
        <w:rPr>
          <w:rStyle w:val="FootnoteReference"/>
          <w:shd w:val="clear" w:color="auto" w:fill="FFFFFF"/>
        </w:rPr>
        <w:footnoteReference w:id="4"/>
      </w:r>
      <w:r w:rsidR="00E71C63" w:rsidRPr="00126DA0">
        <w:rPr>
          <w:shd w:val="clear" w:color="auto" w:fill="FFFFFF"/>
        </w:rPr>
        <w:t> By 2004, OxyContin had become a leading drug of abuse in the United States.</w:t>
      </w:r>
      <w:r w:rsidR="00E71C63" w:rsidRPr="00126DA0">
        <w:rPr>
          <w:rStyle w:val="FootnoteReference"/>
          <w:shd w:val="clear" w:color="auto" w:fill="FFFFFF"/>
        </w:rPr>
        <w:footnoteReference w:id="5"/>
      </w:r>
    </w:p>
    <w:p w:rsidR="007517AF" w:rsidRPr="00126DA0" w:rsidRDefault="00E71C63" w:rsidP="007517AF">
      <w:pPr>
        <w:spacing w:line="480" w:lineRule="auto"/>
        <w:ind w:firstLine="720"/>
        <w:jc w:val="both"/>
        <w:rPr>
          <w:shd w:val="clear" w:color="auto" w:fill="FFFFFF"/>
        </w:rPr>
      </w:pPr>
      <w:r w:rsidRPr="00126DA0">
        <w:rPr>
          <w:shd w:val="clear" w:color="auto" w:fill="FFFFFF"/>
        </w:rPr>
        <w:t>To date, since 1999, more than 932,000 people have died a drug overdose</w:t>
      </w:r>
      <w:r w:rsidR="004D1BA3" w:rsidRPr="00126DA0">
        <w:rPr>
          <w:shd w:val="clear" w:color="auto" w:fill="FFFFFF"/>
        </w:rPr>
        <w:t xml:space="preserve">, </w:t>
      </w:r>
      <w:r w:rsidR="007517AF" w:rsidRPr="00126DA0">
        <w:rPr>
          <w:shd w:val="clear" w:color="auto" w:fill="FFFFFF"/>
        </w:rPr>
        <w:t xml:space="preserve">and in 2020, </w:t>
      </w:r>
      <w:r w:rsidR="004D1BA3" w:rsidRPr="00126DA0">
        <w:rPr>
          <w:shd w:val="clear" w:color="auto" w:fill="FFFFFF"/>
        </w:rPr>
        <w:t xml:space="preserve">almost 75% of </w:t>
      </w:r>
      <w:r w:rsidR="007517AF" w:rsidRPr="00126DA0">
        <w:rPr>
          <w:shd w:val="clear" w:color="auto" w:fill="FFFFFF"/>
        </w:rPr>
        <w:t>overdose deaths involved an opioid.</w:t>
      </w:r>
      <w:r w:rsidR="007517AF" w:rsidRPr="00126DA0">
        <w:rPr>
          <w:rStyle w:val="FootnoteReference"/>
          <w:shd w:val="clear" w:color="auto" w:fill="FFFFFF"/>
        </w:rPr>
        <w:footnoteReference w:id="6"/>
      </w:r>
      <w:r w:rsidR="007517AF" w:rsidRPr="00126DA0">
        <w:rPr>
          <w:shd w:val="clear" w:color="auto" w:fill="FFFFFF"/>
        </w:rPr>
        <w:t xml:space="preserve"> </w:t>
      </w:r>
      <w:r w:rsidR="007526C1" w:rsidRPr="00126DA0">
        <w:rPr>
          <w:shd w:val="clear" w:color="auto" w:fill="FFFFFF"/>
        </w:rPr>
        <w:t>It is important to note that opioid deaths include prescription opioids, heroin, and synthetic opioids (such as fentanyl), and that many addictions begin with legally acquired prescription opioids and move to illicit opioids like heroin.</w:t>
      </w:r>
      <w:r w:rsidR="007526C1" w:rsidRPr="00126DA0">
        <w:rPr>
          <w:rStyle w:val="FootnoteReference"/>
          <w:shd w:val="clear" w:color="auto" w:fill="FFFFFF"/>
        </w:rPr>
        <w:footnoteReference w:id="7"/>
      </w:r>
      <w:r w:rsidR="007526C1" w:rsidRPr="00126DA0">
        <w:rPr>
          <w:shd w:val="clear" w:color="auto" w:fill="FFFFFF"/>
        </w:rPr>
        <w:t xml:space="preserve"> </w:t>
      </w:r>
      <w:r w:rsidR="007517AF" w:rsidRPr="00126DA0">
        <w:rPr>
          <w:shd w:val="clear" w:color="auto" w:fill="FFFFFF"/>
        </w:rPr>
        <w:t>Of patients that are prescribed opioids for chronic pain, between 21 and 29% misuse those prescription opioids, and between 8 and 12% develop an opioid use disorder.</w:t>
      </w:r>
      <w:r w:rsidR="007517AF" w:rsidRPr="00126DA0">
        <w:rPr>
          <w:rStyle w:val="FootnoteReference"/>
          <w:shd w:val="clear" w:color="auto" w:fill="FFFFFF"/>
        </w:rPr>
        <w:footnoteReference w:id="8"/>
      </w:r>
      <w:r w:rsidR="007517AF" w:rsidRPr="00126DA0">
        <w:rPr>
          <w:shd w:val="clear" w:color="auto" w:fill="FFFFFF"/>
        </w:rPr>
        <w:t xml:space="preserve"> Of those who misuse prescription opioids, between 4 and 6% transition to use of heroin.</w:t>
      </w:r>
      <w:r w:rsidR="007517AF" w:rsidRPr="00126DA0">
        <w:rPr>
          <w:rStyle w:val="FootnoteReference"/>
          <w:shd w:val="clear" w:color="auto" w:fill="FFFFFF"/>
        </w:rPr>
        <w:footnoteReference w:id="9"/>
      </w:r>
      <w:r w:rsidR="007517AF" w:rsidRPr="00126DA0">
        <w:rPr>
          <w:shd w:val="clear" w:color="auto" w:fill="FFFFFF"/>
        </w:rPr>
        <w:t xml:space="preserve"> According to the Centers for Disease Control and Prevention (CDC), the total "economic burden" of prescription opioid misuse alone in the United States is $78.5 billion a year, </w:t>
      </w:r>
      <w:r w:rsidR="007526C1" w:rsidRPr="00126DA0">
        <w:rPr>
          <w:shd w:val="clear" w:color="auto" w:fill="FFFFFF"/>
        </w:rPr>
        <w:t>when factoring in</w:t>
      </w:r>
      <w:r w:rsidR="007517AF" w:rsidRPr="00126DA0">
        <w:rPr>
          <w:shd w:val="clear" w:color="auto" w:fill="FFFFFF"/>
        </w:rPr>
        <w:t xml:space="preserve"> the costs of healthcare, lost productivity, addiction treatment, and criminal justice involvement.</w:t>
      </w:r>
      <w:r w:rsidR="007526C1" w:rsidRPr="00126DA0">
        <w:rPr>
          <w:rStyle w:val="FootnoteReference"/>
          <w:shd w:val="clear" w:color="auto" w:fill="FFFFFF"/>
        </w:rPr>
        <w:footnoteReference w:id="10"/>
      </w:r>
    </w:p>
    <w:p w:rsidR="003F7852" w:rsidRPr="00126DA0" w:rsidRDefault="003F7852" w:rsidP="003F7852">
      <w:pPr>
        <w:spacing w:line="480" w:lineRule="auto"/>
        <w:ind w:firstLine="720"/>
        <w:jc w:val="both"/>
      </w:pPr>
      <w:r w:rsidRPr="00126DA0">
        <w:t xml:space="preserve">The COVID-19 pandemic exacerbated the existing overdose crisis both in New York and nationally, due to </w:t>
      </w:r>
      <w:r w:rsidR="00AF5797" w:rsidRPr="00126DA0">
        <w:t xml:space="preserve">increases in mental illness and stressors, </w:t>
      </w:r>
      <w:r w:rsidRPr="00126DA0">
        <w:t>disrupt</w:t>
      </w:r>
      <w:r w:rsidR="00AF5797" w:rsidRPr="00126DA0">
        <w:t>ions to</w:t>
      </w:r>
      <w:r w:rsidRPr="00126DA0">
        <w:t xml:space="preserve"> supply chains,</w:t>
      </w:r>
      <w:r w:rsidR="00AF5797" w:rsidRPr="00126DA0">
        <w:t xml:space="preserve"> which promoted</w:t>
      </w:r>
      <w:r w:rsidRPr="00126DA0">
        <w:t xml:space="preserve"> people to seek substances from less familiar suppliers, and social distancing/isolation, which has left some to “take drugs alone…making it less likely someone will be there to call 911 or administer Narcan.”</w:t>
      </w:r>
      <w:r w:rsidRPr="00126DA0">
        <w:rPr>
          <w:rStyle w:val="FootnoteReference"/>
        </w:rPr>
        <w:footnoteReference w:id="11"/>
      </w:r>
      <w:r w:rsidRPr="00126DA0">
        <w:t xml:space="preserve"> </w:t>
      </w:r>
      <w:r w:rsidR="00AF5797" w:rsidRPr="00126DA0">
        <w:t>A</w:t>
      </w:r>
      <w:r w:rsidRPr="00126DA0">
        <w:t xml:space="preserve"> White House drug policy office analysis showed an 11.4% increase in fatalities during the first four months of 2020, while a New York Times analysis estimated the increase to be 13%.</w:t>
      </w:r>
      <w:r w:rsidRPr="00126DA0">
        <w:rPr>
          <w:rStyle w:val="FootnoteReference"/>
        </w:rPr>
        <w:footnoteReference w:id="12"/>
      </w:r>
      <w:r w:rsidRPr="00126DA0">
        <w:t xml:space="preserve"> According to the American Medical Association</w:t>
      </w:r>
      <w:r w:rsidR="00AF5797" w:rsidRPr="00126DA0">
        <w:t xml:space="preserve"> (AMA)</w:t>
      </w:r>
      <w:r w:rsidRPr="00126DA0">
        <w:t>, while drug overdose deaths in the U</w:t>
      </w:r>
      <w:r w:rsidR="00AF5797" w:rsidRPr="00126DA0">
        <w:t>.</w:t>
      </w:r>
      <w:r w:rsidRPr="00126DA0">
        <w:t>S</w:t>
      </w:r>
      <w:r w:rsidR="00AF5797" w:rsidRPr="00126DA0">
        <w:t>.</w:t>
      </w:r>
      <w:r w:rsidRPr="00126DA0">
        <w:t xml:space="preserve"> fell in 201</w:t>
      </w:r>
      <w:r w:rsidR="00AF5797" w:rsidRPr="00126DA0">
        <w:t xml:space="preserve">8 for the first time in years, </w:t>
      </w:r>
      <w:r w:rsidRPr="00126DA0">
        <w:t>as of July 20, 2020</w:t>
      </w:r>
      <w:r w:rsidR="00AF5797" w:rsidRPr="00126DA0">
        <w:t>,</w:t>
      </w:r>
      <w:r w:rsidRPr="00126DA0">
        <w:t xml:space="preserve"> </w:t>
      </w:r>
      <w:r w:rsidR="00AF5797" w:rsidRPr="00126DA0">
        <w:t>“</w:t>
      </w:r>
      <w:r w:rsidRPr="00126DA0">
        <w:t>more than 35 states have reported increases in drug-related deaths and other concerns with drug use and mental illnesses…with some municipalities reporting overdose death rates increasing by as much as 60 percent.”</w:t>
      </w:r>
      <w:r w:rsidRPr="00126DA0">
        <w:rPr>
          <w:rStyle w:val="FootnoteReference"/>
        </w:rPr>
        <w:footnoteReference w:id="13"/>
      </w:r>
      <w:r w:rsidRPr="00126DA0">
        <w:t xml:space="preserve"> In response, the AMA urged governors and state legislatures to adopt new Substance Abuse and Mental </w:t>
      </w:r>
      <w:r w:rsidR="00AF5797" w:rsidRPr="00126DA0">
        <w:t>Health Services Administration</w:t>
      </w:r>
      <w:r w:rsidRPr="00126DA0">
        <w:t xml:space="preserve"> and D</w:t>
      </w:r>
      <w:r w:rsidR="00AF5797" w:rsidRPr="00126DA0">
        <w:t>rug Enforcement Administration</w:t>
      </w:r>
      <w:r w:rsidRPr="00126DA0">
        <w:t xml:space="preserve"> guidelines</w:t>
      </w:r>
      <w:r w:rsidR="00AF5797" w:rsidRPr="00126DA0">
        <w:t>,</w:t>
      </w:r>
      <w:r w:rsidRPr="00126DA0">
        <w:t xml:space="preserve"> which include the removal of barriers such as prior authorizations for medications used to treat opioid disorders.</w:t>
      </w:r>
      <w:r w:rsidRPr="00126DA0">
        <w:rPr>
          <w:rStyle w:val="FootnoteReference"/>
        </w:rPr>
        <w:footnoteReference w:id="14"/>
      </w:r>
      <w:r w:rsidRPr="00126DA0">
        <w:t xml:space="preserve"> </w:t>
      </w:r>
    </w:p>
    <w:p w:rsidR="00A9567C" w:rsidRPr="00126DA0" w:rsidRDefault="007517AF" w:rsidP="00A9567C">
      <w:pPr>
        <w:spacing w:line="480" w:lineRule="auto"/>
        <w:jc w:val="both"/>
      </w:pPr>
      <w:r w:rsidRPr="00126DA0">
        <w:rPr>
          <w:i/>
        </w:rPr>
        <w:t>Opioid Use Disorder in New York</w:t>
      </w:r>
    </w:p>
    <w:p w:rsidR="003F7852" w:rsidRPr="00126DA0" w:rsidRDefault="000B5F8F" w:rsidP="00A9567C">
      <w:pPr>
        <w:spacing w:line="480" w:lineRule="auto"/>
        <w:jc w:val="both"/>
        <w:rPr>
          <w:shd w:val="clear" w:color="auto" w:fill="FFFFFF"/>
        </w:rPr>
      </w:pPr>
      <w:r w:rsidRPr="00126DA0">
        <w:tab/>
        <w:t>In New York</w:t>
      </w:r>
      <w:r w:rsidR="00AF5797" w:rsidRPr="00126DA0">
        <w:t xml:space="preserve"> State</w:t>
      </w:r>
      <w:r w:rsidRPr="00126DA0">
        <w:t>, the number of overdose deaths involving opioids increased every year between 2010 and 2017, with an overall increase of over 200% in those years (1,074 deaths to 3,224).</w:t>
      </w:r>
      <w:r w:rsidRPr="00126DA0">
        <w:rPr>
          <w:rStyle w:val="FootnoteReference"/>
        </w:rPr>
        <w:footnoteReference w:id="15"/>
      </w:r>
      <w:r w:rsidRPr="00126DA0">
        <w:t xml:space="preserve"> In that same time period, the </w:t>
      </w:r>
      <w:r w:rsidRPr="00126DA0">
        <w:rPr>
          <w:shd w:val="clear" w:color="auto" w:fill="FFFFFF"/>
        </w:rPr>
        <w:t>number of overdose deaths involving commonly prescribed opioids, such as Vicodin or Oxycodone, increased by 41.7% (737 deaths to 1,044).</w:t>
      </w:r>
      <w:r w:rsidRPr="00126DA0">
        <w:rPr>
          <w:rStyle w:val="FootnoteReference"/>
          <w:shd w:val="clear" w:color="auto" w:fill="FFFFFF"/>
        </w:rPr>
        <w:footnoteReference w:id="16"/>
      </w:r>
      <w:r w:rsidRPr="00126DA0">
        <w:rPr>
          <w:shd w:val="clear" w:color="auto" w:fill="FFFFFF"/>
        </w:rPr>
        <w:t xml:space="preserve"> And while there was a 10% decrease in 2019 (939 deaths involving commonly prescribed opioids), preliminary data from 2020 indicates a significant increase.</w:t>
      </w:r>
      <w:r w:rsidRPr="00126DA0">
        <w:rPr>
          <w:rStyle w:val="FootnoteReference"/>
          <w:shd w:val="clear" w:color="auto" w:fill="FFFFFF"/>
        </w:rPr>
        <w:footnoteReference w:id="17"/>
      </w:r>
      <w:r w:rsidR="003F7852" w:rsidRPr="00126DA0">
        <w:rPr>
          <w:shd w:val="clear" w:color="auto" w:fill="FFFFFF"/>
        </w:rPr>
        <w:t xml:space="preserve"> Similar to national trends, in New York State, opioid overdose deaths involves prescription pills, heroin, synthetic opioids</w:t>
      </w:r>
      <w:r w:rsidR="008F6358" w:rsidRPr="00126DA0">
        <w:rPr>
          <w:shd w:val="clear" w:color="auto" w:fill="FFFFFF"/>
        </w:rPr>
        <w:t>, and a combination of multiple types of opioids</w:t>
      </w:r>
      <w:r w:rsidR="003F7852" w:rsidRPr="00126DA0">
        <w:rPr>
          <w:shd w:val="clear" w:color="auto" w:fill="FFFFFF"/>
        </w:rPr>
        <w:t>:</w:t>
      </w:r>
      <w:r w:rsidR="003F7852" w:rsidRPr="00126DA0">
        <w:rPr>
          <w:rStyle w:val="FootnoteReference"/>
          <w:shd w:val="clear" w:color="auto" w:fill="FFFFFF"/>
        </w:rPr>
        <w:footnoteReference w:id="18"/>
      </w:r>
    </w:p>
    <w:p w:rsidR="003F7852" w:rsidRPr="00126DA0" w:rsidRDefault="003F7852" w:rsidP="009B5C66">
      <w:pPr>
        <w:spacing w:line="480" w:lineRule="auto"/>
        <w:jc w:val="center"/>
      </w:pPr>
      <w:r w:rsidRPr="00126DA0">
        <w:rPr>
          <w:noProof/>
        </w:rPr>
        <w:drawing>
          <wp:inline distT="0" distB="0" distL="0" distR="0" wp14:anchorId="0E7E80D1" wp14:editId="66B3E135">
            <wp:extent cx="5943600" cy="3368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68675"/>
                    </a:xfrm>
                    <a:prstGeom prst="rect">
                      <a:avLst/>
                    </a:prstGeom>
                  </pic:spPr>
                </pic:pic>
              </a:graphicData>
            </a:graphic>
          </wp:inline>
        </w:drawing>
      </w:r>
    </w:p>
    <w:p w:rsidR="003F7852" w:rsidRPr="00126DA0" w:rsidRDefault="003F7852" w:rsidP="00A9567C">
      <w:pPr>
        <w:spacing w:line="480" w:lineRule="auto"/>
        <w:jc w:val="both"/>
      </w:pPr>
      <w:r w:rsidRPr="00126DA0">
        <w:tab/>
        <w:t>In New York City</w:t>
      </w:r>
      <w:r w:rsidR="00DB1625" w:rsidRPr="00126DA0">
        <w:t xml:space="preserve"> (and </w:t>
      </w:r>
      <w:r w:rsidR="008F6358" w:rsidRPr="00126DA0">
        <w:t>nationally</w:t>
      </w:r>
      <w:r w:rsidR="00DB1625" w:rsidRPr="00126DA0">
        <w:t>)</w:t>
      </w:r>
      <w:r w:rsidR="008F6358" w:rsidRPr="00126DA0">
        <w:t>, opioid overdose is the leading cause of accidental death, surpassing motor vehicle deaths, homicides, and suicides combined.</w:t>
      </w:r>
      <w:r w:rsidR="008F6358" w:rsidRPr="00126DA0">
        <w:rPr>
          <w:rStyle w:val="FootnoteReference"/>
        </w:rPr>
        <w:footnoteReference w:id="19"/>
      </w:r>
      <w:r w:rsidR="008F6358" w:rsidRPr="00126DA0">
        <w:t xml:space="preserve"> Every four hours, someone dies of a drug overdose in New York City, 85% of which involves opioids.</w:t>
      </w:r>
      <w:r w:rsidR="008F6358" w:rsidRPr="00126DA0">
        <w:rPr>
          <w:rStyle w:val="FootnoteReference"/>
        </w:rPr>
        <w:footnoteReference w:id="20"/>
      </w:r>
      <w:r w:rsidR="008F6358" w:rsidRPr="00126DA0">
        <w:t xml:space="preserve"> Fentanyl, a highly potent synthetic opioid, is involved in more than 78% of all overdose deaths in New York City.</w:t>
      </w:r>
      <w:r w:rsidR="008F6358" w:rsidRPr="00126DA0">
        <w:rPr>
          <w:rStyle w:val="FootnoteReference"/>
        </w:rPr>
        <w:footnoteReference w:id="21"/>
      </w:r>
      <w:r w:rsidR="008F6358" w:rsidRPr="00126DA0">
        <w:t xml:space="preserve"> </w:t>
      </w:r>
      <w:r w:rsidR="009B5C66" w:rsidRPr="00126DA0">
        <w:t>In</w:t>
      </w:r>
      <w:r w:rsidR="008F6358" w:rsidRPr="00126DA0">
        <w:rPr>
          <w:i/>
        </w:rPr>
        <w:t xml:space="preserve"> </w:t>
      </w:r>
      <w:r w:rsidR="009B5C66" w:rsidRPr="00126DA0">
        <w:rPr>
          <w:rStyle w:val="Emphasis"/>
          <w:i w:val="0"/>
          <w:shd w:val="clear" w:color="auto" w:fill="FFFFFF"/>
        </w:rPr>
        <w:t>the first two quarters of 2021, there were 1,233 overdose deaths in New York City, an increase from the 965 overdose deaths during the same period in 2020</w:t>
      </w:r>
      <w:r w:rsidR="008F6358" w:rsidRPr="00126DA0">
        <w:rPr>
          <w:i/>
        </w:rPr>
        <w:t>.</w:t>
      </w:r>
      <w:r w:rsidR="008F6358" w:rsidRPr="00126DA0">
        <w:rPr>
          <w:rStyle w:val="FootnoteReference"/>
        </w:rPr>
        <w:footnoteReference w:id="22"/>
      </w:r>
      <w:r w:rsidR="008F6358" w:rsidRPr="00126DA0">
        <w:t xml:space="preserve"> The highest rates of overdose deaths were experienced in neighborhoods in Harlem and in the Bronx.</w:t>
      </w:r>
      <w:r w:rsidR="008F6358" w:rsidRPr="00126DA0">
        <w:rPr>
          <w:rStyle w:val="FootnoteReference"/>
        </w:rPr>
        <w:footnoteReference w:id="23"/>
      </w:r>
      <w:r w:rsidR="008F6358" w:rsidRPr="00126DA0">
        <w:t xml:space="preserve"> By borough, overdose death rates were as follows:</w:t>
      </w:r>
      <w:r w:rsidR="009B5C66" w:rsidRPr="00126DA0">
        <w:rPr>
          <w:rStyle w:val="FootnoteReference"/>
        </w:rPr>
        <w:footnoteReference w:id="24"/>
      </w:r>
    </w:p>
    <w:p w:rsidR="003F7852" w:rsidRPr="00126DA0" w:rsidRDefault="008F6358" w:rsidP="009B5C66">
      <w:pPr>
        <w:spacing w:line="480" w:lineRule="auto"/>
        <w:jc w:val="center"/>
      </w:pPr>
      <w:r w:rsidRPr="00126DA0">
        <w:rPr>
          <w:noProof/>
        </w:rPr>
        <w:drawing>
          <wp:inline distT="0" distB="0" distL="0" distR="0" wp14:anchorId="66065883" wp14:editId="4981976E">
            <wp:extent cx="37338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3800" cy="4029075"/>
                    </a:xfrm>
                    <a:prstGeom prst="rect">
                      <a:avLst/>
                    </a:prstGeom>
                  </pic:spPr>
                </pic:pic>
              </a:graphicData>
            </a:graphic>
          </wp:inline>
        </w:drawing>
      </w:r>
    </w:p>
    <w:p w:rsidR="003F7852" w:rsidRPr="00126DA0" w:rsidRDefault="009B5C66" w:rsidP="00AF5797">
      <w:pPr>
        <w:spacing w:line="480" w:lineRule="auto"/>
        <w:jc w:val="both"/>
        <w:rPr>
          <w:i/>
        </w:rPr>
      </w:pPr>
      <w:r w:rsidRPr="00126DA0">
        <w:rPr>
          <w:i/>
        </w:rPr>
        <w:t>Attorney General’s Lawsuit and Opioid Settlement Fund</w:t>
      </w:r>
    </w:p>
    <w:p w:rsidR="009B5C66" w:rsidRPr="00126DA0" w:rsidRDefault="009B5C66" w:rsidP="00AF5797">
      <w:pPr>
        <w:spacing w:line="480" w:lineRule="auto"/>
        <w:ind w:firstLine="720"/>
        <w:jc w:val="both"/>
        <w:rPr>
          <w:shd w:val="clear" w:color="auto" w:fill="FFFFFF"/>
        </w:rPr>
      </w:pPr>
      <w:r w:rsidRPr="00126DA0">
        <w:rPr>
          <w:shd w:val="clear" w:color="auto" w:fill="FFFFFF"/>
        </w:rPr>
        <w:t xml:space="preserve">In March 2019, </w:t>
      </w:r>
      <w:r w:rsidR="00AF5797" w:rsidRPr="00126DA0">
        <w:rPr>
          <w:shd w:val="clear" w:color="auto" w:fill="FFFFFF"/>
        </w:rPr>
        <w:t>Attorney General (AG) Tish James</w:t>
      </w:r>
      <w:r w:rsidRPr="00126DA0">
        <w:rPr>
          <w:shd w:val="clear" w:color="auto" w:fill="FFFFFF"/>
        </w:rPr>
        <w:t xml:space="preserve"> filed </w:t>
      </w:r>
      <w:r w:rsidR="00AF5797" w:rsidRPr="00126DA0">
        <w:rPr>
          <w:shd w:val="clear" w:color="auto" w:fill="FFFFFF"/>
        </w:rPr>
        <w:t>an extensive and</w:t>
      </w:r>
      <w:r w:rsidRPr="00126DA0">
        <w:rPr>
          <w:shd w:val="clear" w:color="auto" w:fill="FFFFFF"/>
        </w:rPr>
        <w:t xml:space="preserve"> comprehensive lawsu</w:t>
      </w:r>
      <w:r w:rsidR="00AF5797" w:rsidRPr="00126DA0">
        <w:rPr>
          <w:shd w:val="clear" w:color="auto" w:fill="FFFFFF"/>
        </w:rPr>
        <w:t>it against opioid manufactures and distributors, including: Purdue Pharma and its affiliates, members of the Sackler Family (owners of Purdue) and trusts they control, Janssen Pharmaceuticals and its affiliates (including its parent company Johnson &amp; Johnson), Mallinckrodt LLC and its affiliates, Endo Health Solutions and its affiliates, Teva Pharmaceuticals USA, Inc. and its affiliates, Allergan Finance, LLC and its affiliates, McKesson Corporation, Cardinal Health Inc., Amerisource Bergen Drug Corporation, and Rochest</w:t>
      </w:r>
      <w:r w:rsidR="001410F3" w:rsidRPr="00126DA0">
        <w:rPr>
          <w:shd w:val="clear" w:color="auto" w:fill="FFFFFF"/>
        </w:rPr>
        <w:t>er Drug Cooperative Inc</w:t>
      </w:r>
      <w:r w:rsidRPr="00126DA0">
        <w:rPr>
          <w:shd w:val="clear" w:color="auto" w:fill="FFFFFF"/>
        </w:rPr>
        <w:t>.</w:t>
      </w:r>
      <w:r w:rsidR="00AF5797" w:rsidRPr="00126DA0">
        <w:rPr>
          <w:rStyle w:val="FootnoteReference"/>
          <w:shd w:val="clear" w:color="auto" w:fill="FFFFFF"/>
        </w:rPr>
        <w:footnoteReference w:id="25"/>
      </w:r>
      <w:r w:rsidR="00AF5797" w:rsidRPr="00126DA0">
        <w:rPr>
          <w:shd w:val="clear" w:color="auto" w:fill="FFFFFF"/>
        </w:rPr>
        <w:t xml:space="preserve"> The lawsuit alleged that these defendants committed years of </w:t>
      </w:r>
      <w:r w:rsidR="005F352A" w:rsidRPr="00126DA0">
        <w:rPr>
          <w:shd w:val="clear" w:color="auto" w:fill="FFFFFF"/>
        </w:rPr>
        <w:t>“</w:t>
      </w:r>
      <w:r w:rsidR="00AF5797" w:rsidRPr="00126DA0">
        <w:rPr>
          <w:shd w:val="clear" w:color="auto" w:fill="FFFFFF"/>
        </w:rPr>
        <w:t>false and deceptive marketing,</w:t>
      </w:r>
      <w:r w:rsidR="005F352A" w:rsidRPr="00126DA0">
        <w:rPr>
          <w:shd w:val="clear" w:color="auto" w:fill="FFFFFF"/>
        </w:rPr>
        <w:t>”</w:t>
      </w:r>
      <w:r w:rsidR="00AF5797" w:rsidRPr="00126DA0">
        <w:rPr>
          <w:shd w:val="clear" w:color="auto" w:fill="FFFFFF"/>
        </w:rPr>
        <w:t xml:space="preserve"> </w:t>
      </w:r>
      <w:r w:rsidR="005F352A" w:rsidRPr="00126DA0">
        <w:rPr>
          <w:shd w:val="clear" w:color="auto" w:fill="FFFFFF"/>
        </w:rPr>
        <w:t>ignored</w:t>
      </w:r>
      <w:r w:rsidR="00AF5797" w:rsidRPr="00126DA0">
        <w:rPr>
          <w:shd w:val="clear" w:color="auto" w:fill="FFFFFF"/>
        </w:rPr>
        <w:t xml:space="preserve"> their </w:t>
      </w:r>
      <w:r w:rsidR="005F352A" w:rsidRPr="00126DA0">
        <w:rPr>
          <w:shd w:val="clear" w:color="auto" w:fill="FFFFFF"/>
        </w:rPr>
        <w:t>“</w:t>
      </w:r>
      <w:r w:rsidR="00AF5797" w:rsidRPr="00126DA0">
        <w:rPr>
          <w:shd w:val="clear" w:color="auto" w:fill="FFFFFF"/>
        </w:rPr>
        <w:t>duties to prevent the unlawful diversion of controlled substances,</w:t>
      </w:r>
      <w:r w:rsidR="005F352A" w:rsidRPr="00126DA0">
        <w:rPr>
          <w:shd w:val="clear" w:color="auto" w:fill="FFFFFF"/>
        </w:rPr>
        <w:t>”</w:t>
      </w:r>
      <w:r w:rsidR="00AF5797" w:rsidRPr="00126DA0">
        <w:rPr>
          <w:shd w:val="clear" w:color="auto" w:fill="FFFFFF"/>
        </w:rPr>
        <w:t xml:space="preserve"> </w:t>
      </w:r>
      <w:r w:rsidR="005F352A" w:rsidRPr="00126DA0">
        <w:rPr>
          <w:shd w:val="clear" w:color="auto" w:fill="FFFFFF"/>
        </w:rPr>
        <w:t>thus resulting in the creation of the current</w:t>
      </w:r>
      <w:r w:rsidR="00AF5797" w:rsidRPr="00126DA0">
        <w:rPr>
          <w:shd w:val="clear" w:color="auto" w:fill="FFFFFF"/>
        </w:rPr>
        <w:t xml:space="preserve"> opioid epidemic </w:t>
      </w:r>
      <w:r w:rsidR="001410F3" w:rsidRPr="00126DA0">
        <w:rPr>
          <w:shd w:val="clear" w:color="auto" w:fill="FFFFFF"/>
        </w:rPr>
        <w:t>ravaging</w:t>
      </w:r>
      <w:r w:rsidR="00AF5797" w:rsidRPr="00126DA0">
        <w:rPr>
          <w:shd w:val="clear" w:color="auto" w:fill="FFFFFF"/>
        </w:rPr>
        <w:t xml:space="preserve"> New York, </w:t>
      </w:r>
      <w:r w:rsidR="005F352A" w:rsidRPr="00126DA0">
        <w:rPr>
          <w:shd w:val="clear" w:color="auto" w:fill="FFFFFF"/>
        </w:rPr>
        <w:t>marked by</w:t>
      </w:r>
      <w:r w:rsidR="00AF5797" w:rsidRPr="00126DA0">
        <w:rPr>
          <w:shd w:val="clear" w:color="auto" w:fill="FFFFFF"/>
        </w:rPr>
        <w:t xml:space="preserve"> </w:t>
      </w:r>
      <w:r w:rsidR="005F352A" w:rsidRPr="00126DA0">
        <w:rPr>
          <w:shd w:val="clear" w:color="auto" w:fill="FFFFFF"/>
        </w:rPr>
        <w:t>“</w:t>
      </w:r>
      <w:r w:rsidR="00AF5797" w:rsidRPr="00126DA0">
        <w:rPr>
          <w:shd w:val="clear" w:color="auto" w:fill="FFFFFF"/>
        </w:rPr>
        <w:t>widespread addiction, overdose deaths, and suffering</w:t>
      </w:r>
      <w:r w:rsidR="005F352A" w:rsidRPr="00126DA0">
        <w:rPr>
          <w:shd w:val="clear" w:color="auto" w:fill="FFFFFF"/>
        </w:rPr>
        <w:t>.”</w:t>
      </w:r>
      <w:r w:rsidR="005F352A" w:rsidRPr="00126DA0">
        <w:rPr>
          <w:rStyle w:val="FootnoteReference"/>
          <w:shd w:val="clear" w:color="auto" w:fill="FFFFFF"/>
        </w:rPr>
        <w:footnoteReference w:id="26"/>
      </w:r>
      <w:r w:rsidR="005F352A" w:rsidRPr="00126DA0">
        <w:rPr>
          <w:shd w:val="clear" w:color="auto" w:fill="FFFFFF"/>
        </w:rPr>
        <w:t xml:space="preserve"> </w:t>
      </w:r>
    </w:p>
    <w:p w:rsidR="005F352A" w:rsidRPr="00126DA0" w:rsidRDefault="005F352A" w:rsidP="00AF5797">
      <w:pPr>
        <w:spacing w:line="480" w:lineRule="auto"/>
        <w:ind w:firstLine="720"/>
        <w:jc w:val="both"/>
        <w:rPr>
          <w:shd w:val="clear" w:color="auto" w:fill="FFFFFF"/>
        </w:rPr>
      </w:pPr>
      <w:r w:rsidRPr="00126DA0">
        <w:rPr>
          <w:shd w:val="clear" w:color="auto" w:fill="FFFFFF"/>
        </w:rPr>
        <w:t>Though much of the litigation is still pending, the following results have ensued from the AG’s lawsuit:</w:t>
      </w:r>
      <w:r w:rsidRPr="00126DA0">
        <w:rPr>
          <w:rStyle w:val="FootnoteReference"/>
          <w:shd w:val="clear" w:color="auto" w:fill="FFFFFF"/>
        </w:rPr>
        <w:footnoteReference w:id="27"/>
      </w:r>
    </w:p>
    <w:p w:rsidR="005F352A" w:rsidRPr="00126DA0" w:rsidRDefault="005F352A" w:rsidP="005F352A">
      <w:pPr>
        <w:pStyle w:val="NormalWeb"/>
        <w:numPr>
          <w:ilvl w:val="0"/>
          <w:numId w:val="7"/>
        </w:numPr>
        <w:shd w:val="clear" w:color="auto" w:fill="FFFFFF"/>
        <w:spacing w:before="0" w:beforeAutospacing="0" w:after="0" w:afterAutospacing="0" w:line="480" w:lineRule="auto"/>
        <w:jc w:val="both"/>
      </w:pPr>
      <w:r w:rsidRPr="00126DA0">
        <w:t>Five drug manufacturers have settled claims with AG James for their role in the opioid epidemic;</w:t>
      </w:r>
    </w:p>
    <w:p w:rsidR="005F352A" w:rsidRPr="00126DA0" w:rsidRDefault="005F352A" w:rsidP="005F352A">
      <w:pPr>
        <w:pStyle w:val="NormalWeb"/>
        <w:numPr>
          <w:ilvl w:val="0"/>
          <w:numId w:val="7"/>
        </w:numPr>
        <w:shd w:val="clear" w:color="auto" w:fill="FFFFFF"/>
        <w:spacing w:before="0" w:beforeAutospacing="0" w:after="0" w:afterAutospacing="0" w:line="480" w:lineRule="auto"/>
        <w:jc w:val="both"/>
      </w:pPr>
      <w:r w:rsidRPr="00126DA0">
        <w:t>In June 2021, </w:t>
      </w:r>
      <w:r w:rsidRPr="00126DA0">
        <w:rPr>
          <w:bCs/>
        </w:rPr>
        <w:t>AG James announced a $230 million settlement that included an injunction against Johnson &amp; Johnson to end their sale of opioids nationwide;</w:t>
      </w:r>
    </w:p>
    <w:p w:rsidR="005F352A" w:rsidRPr="00126DA0" w:rsidRDefault="005F352A" w:rsidP="005F352A">
      <w:pPr>
        <w:pStyle w:val="NormalWeb"/>
        <w:numPr>
          <w:ilvl w:val="0"/>
          <w:numId w:val="7"/>
        </w:numPr>
        <w:shd w:val="clear" w:color="auto" w:fill="FFFFFF"/>
        <w:spacing w:before="0" w:beforeAutospacing="0" w:after="0" w:afterAutospacing="0" w:line="480" w:lineRule="auto"/>
        <w:jc w:val="both"/>
      </w:pPr>
      <w:r w:rsidRPr="00126DA0">
        <w:t>In July 2021, </w:t>
      </w:r>
      <w:r w:rsidRPr="00126DA0">
        <w:rPr>
          <w:bCs/>
        </w:rPr>
        <w:t>McKesson, Cardinal Health, and Amerisource Bergen agreed to pay $1 billion to New York for their role in the opioid epidemic</w:t>
      </w:r>
      <w:r w:rsidRPr="00126DA0">
        <w:t xml:space="preserve">; </w:t>
      </w:r>
    </w:p>
    <w:p w:rsidR="005F352A" w:rsidRPr="00126DA0" w:rsidRDefault="005F352A" w:rsidP="005F352A">
      <w:pPr>
        <w:pStyle w:val="NormalWeb"/>
        <w:numPr>
          <w:ilvl w:val="0"/>
          <w:numId w:val="7"/>
        </w:numPr>
        <w:shd w:val="clear" w:color="auto" w:fill="FFFFFF"/>
        <w:spacing w:before="0" w:beforeAutospacing="0" w:after="0" w:afterAutospacing="0" w:line="480" w:lineRule="auto"/>
        <w:jc w:val="both"/>
      </w:pPr>
      <w:r w:rsidRPr="00126DA0">
        <w:t>In September 2021, </w:t>
      </w:r>
      <w:r w:rsidRPr="00126DA0">
        <w:rPr>
          <w:bCs/>
        </w:rPr>
        <w:t>AG James secured $50 million from Endo to combat the opioid crisis;</w:t>
      </w:r>
    </w:p>
    <w:p w:rsidR="005F352A" w:rsidRPr="00126DA0" w:rsidRDefault="005F352A" w:rsidP="005F352A">
      <w:pPr>
        <w:pStyle w:val="NormalWeb"/>
        <w:numPr>
          <w:ilvl w:val="0"/>
          <w:numId w:val="7"/>
        </w:numPr>
        <w:shd w:val="clear" w:color="auto" w:fill="FFFFFF"/>
        <w:spacing w:before="0" w:beforeAutospacing="0" w:after="0" w:afterAutospacing="0" w:line="480" w:lineRule="auto"/>
        <w:jc w:val="both"/>
      </w:pPr>
      <w:r w:rsidRPr="00126DA0">
        <w:t>In December 2021, </w:t>
      </w:r>
      <w:r w:rsidRPr="00126DA0">
        <w:rPr>
          <w:bCs/>
        </w:rPr>
        <w:t>AG James won an opioid trial against Teva Pharmaceuticals USA</w:t>
      </w:r>
      <w:r w:rsidRPr="00126DA0">
        <w:t>; and</w:t>
      </w:r>
    </w:p>
    <w:p w:rsidR="005F352A" w:rsidRPr="00126DA0" w:rsidRDefault="005F352A" w:rsidP="005F352A">
      <w:pPr>
        <w:pStyle w:val="NormalWeb"/>
        <w:numPr>
          <w:ilvl w:val="0"/>
          <w:numId w:val="7"/>
        </w:numPr>
        <w:shd w:val="clear" w:color="auto" w:fill="FFFFFF"/>
        <w:spacing w:before="0" w:beforeAutospacing="0" w:after="0" w:afterAutospacing="0" w:line="480" w:lineRule="auto"/>
        <w:jc w:val="both"/>
      </w:pPr>
      <w:r w:rsidRPr="00126DA0">
        <w:t>In December 2021, </w:t>
      </w:r>
      <w:r w:rsidRPr="00126DA0">
        <w:rPr>
          <w:bCs/>
        </w:rPr>
        <w:t>Attorney General James reached a $200 million agreement with Allergan</w:t>
      </w:r>
      <w:r w:rsidRPr="00126DA0">
        <w:t>.</w:t>
      </w:r>
      <w:r w:rsidRPr="00126DA0">
        <w:rPr>
          <w:rStyle w:val="FootnoteReference"/>
        </w:rPr>
        <w:footnoteReference w:id="28"/>
      </w:r>
    </w:p>
    <w:p w:rsidR="00E201F6" w:rsidRPr="00126DA0" w:rsidRDefault="005F352A" w:rsidP="009C6245">
      <w:pPr>
        <w:pStyle w:val="NormalWeb"/>
        <w:shd w:val="clear" w:color="auto" w:fill="FFFFFF"/>
        <w:spacing w:before="0" w:beforeAutospacing="0" w:after="0" w:afterAutospacing="0" w:line="480" w:lineRule="auto"/>
        <w:ind w:firstLine="720"/>
        <w:jc w:val="both"/>
      </w:pPr>
      <w:r w:rsidRPr="00126DA0">
        <w:t xml:space="preserve">While these settlements and trial results were achieved, New York State passed a law, </w:t>
      </w:r>
      <w:r w:rsidRPr="00126DA0">
        <w:rPr>
          <w:bCs/>
          <w:shd w:val="clear" w:color="auto" w:fill="FFFFFF"/>
        </w:rPr>
        <w:t>S.7194</w:t>
      </w:r>
      <w:r w:rsidRPr="00126DA0">
        <w:rPr>
          <w:rStyle w:val="apple-converted-space"/>
          <w:shd w:val="clear" w:color="auto" w:fill="FFFFFF"/>
        </w:rPr>
        <w:t>/</w:t>
      </w:r>
      <w:r w:rsidRPr="00126DA0">
        <w:rPr>
          <w:rStyle w:val="apple-converted-space"/>
          <w:bCs/>
          <w:shd w:val="clear" w:color="auto" w:fill="FFFFFF"/>
        </w:rPr>
        <w:t>A.6395B</w:t>
      </w:r>
      <w:r w:rsidRPr="00126DA0">
        <w:t xml:space="preserve">, which requires funds from the opioid settlements and litigations </w:t>
      </w:r>
      <w:r w:rsidRPr="00126DA0">
        <w:rPr>
          <w:shd w:val="clear" w:color="auto" w:fill="FFFFFF"/>
        </w:rPr>
        <w:t>to</w:t>
      </w:r>
      <w:r w:rsidRPr="00126DA0">
        <w:rPr>
          <w:rStyle w:val="apple-converted-space"/>
          <w:shd w:val="clear" w:color="auto" w:fill="FFFFFF"/>
        </w:rPr>
        <w:t> be deposited into an opioid settlement fund</w:t>
      </w:r>
      <w:r w:rsidR="00CC0181" w:rsidRPr="00126DA0">
        <w:rPr>
          <w:rStyle w:val="apple-converted-space"/>
          <w:shd w:val="clear" w:color="auto" w:fill="FFFFFF"/>
        </w:rPr>
        <w:t xml:space="preserve"> (OSF)</w:t>
      </w:r>
      <w:r w:rsidRPr="00126DA0">
        <w:rPr>
          <w:rStyle w:val="apple-converted-space"/>
          <w:shd w:val="clear" w:color="auto" w:fill="FFFFFF"/>
        </w:rPr>
        <w:t xml:space="preserve"> </w:t>
      </w:r>
      <w:r w:rsidR="00CC0181" w:rsidRPr="00126DA0">
        <w:rPr>
          <w:rStyle w:val="apple-converted-space"/>
          <w:shd w:val="clear" w:color="auto" w:fill="FFFFFF"/>
        </w:rPr>
        <w:t>for the development of new services and supports.</w:t>
      </w:r>
      <w:r w:rsidR="00CC0181" w:rsidRPr="00126DA0">
        <w:rPr>
          <w:rStyle w:val="FootnoteReference"/>
          <w:shd w:val="clear" w:color="auto" w:fill="FFFFFF"/>
        </w:rPr>
        <w:footnoteReference w:id="29"/>
      </w:r>
      <w:r w:rsidR="00CC0181" w:rsidRPr="00126DA0">
        <w:rPr>
          <w:rStyle w:val="apple-converted-space"/>
          <w:shd w:val="clear" w:color="auto" w:fill="FFFFFF"/>
        </w:rPr>
        <w:t xml:space="preserve"> Pursuant to this law, all OSF funds must be used </w:t>
      </w:r>
      <w:r w:rsidRPr="00126DA0">
        <w:t>for abatement efforts in communities devastated by the opioid epidemic and will not go towards the state’s general fund.</w:t>
      </w:r>
      <w:r w:rsidR="00CC0181" w:rsidRPr="00126DA0">
        <w:rPr>
          <w:rStyle w:val="FootnoteReference"/>
        </w:rPr>
        <w:footnoteReference w:id="30"/>
      </w:r>
      <w:r w:rsidR="00CC0181" w:rsidRPr="00126DA0">
        <w:t xml:space="preserve"> The funds must be used in three broad categories: for (1) </w:t>
      </w:r>
      <w:r w:rsidR="009B5C66" w:rsidRPr="00126DA0">
        <w:t xml:space="preserve">treatment, </w:t>
      </w:r>
      <w:r w:rsidR="00CC0181" w:rsidRPr="00126DA0">
        <w:t xml:space="preserve">(2) </w:t>
      </w:r>
      <w:r w:rsidR="009B5C66" w:rsidRPr="00126DA0">
        <w:t xml:space="preserve">prevention, </w:t>
      </w:r>
      <w:r w:rsidR="00126DA0">
        <w:t xml:space="preserve">and </w:t>
      </w:r>
      <w:r w:rsidR="00CC0181" w:rsidRPr="00126DA0">
        <w:t xml:space="preserve">(3) </w:t>
      </w:r>
      <w:r w:rsidR="009B5C66" w:rsidRPr="00126DA0">
        <w:t>broad strategies</w:t>
      </w:r>
      <w:r w:rsidR="00CC0181" w:rsidRPr="00126DA0">
        <w:t xml:space="preserve"> in abating the opioid epidemic</w:t>
      </w:r>
      <w:r w:rsidR="009B5C66" w:rsidRPr="00126DA0">
        <w:t>.</w:t>
      </w:r>
      <w:r w:rsidR="00CC0181" w:rsidRPr="00126DA0">
        <w:rPr>
          <w:rStyle w:val="FootnoteReference"/>
        </w:rPr>
        <w:footnoteReference w:id="31"/>
      </w:r>
      <w:r w:rsidR="00CC0181" w:rsidRPr="00126DA0">
        <w:t xml:space="preserve"> As part of the State law, a 21-member advisory board was created to make recommendations to the legislature for appropriation of moneys in the OSF, and there is a public reporting requirement for how the funds are being spent.</w:t>
      </w:r>
      <w:r w:rsidR="009C6245" w:rsidRPr="00126DA0">
        <w:rPr>
          <w:rStyle w:val="FootnoteReference"/>
        </w:rPr>
        <w:footnoteReference w:id="32"/>
      </w:r>
      <w:r w:rsidR="00CC0181" w:rsidRPr="00126DA0">
        <w:t xml:space="preserve"> This advisory board includes community-based providers, </w:t>
      </w:r>
      <w:r w:rsidR="009B5C66" w:rsidRPr="00126DA0">
        <w:t xml:space="preserve">advocates, </w:t>
      </w:r>
      <w:r w:rsidR="009C6245" w:rsidRPr="00126DA0">
        <w:t>and City and State government officials</w:t>
      </w:r>
      <w:r w:rsidR="009B5C66" w:rsidRPr="00126DA0">
        <w:t>.</w:t>
      </w:r>
      <w:r w:rsidR="009C6245" w:rsidRPr="00126DA0">
        <w:rPr>
          <w:rStyle w:val="FootnoteReference"/>
        </w:rPr>
        <w:footnoteReference w:id="33"/>
      </w:r>
      <w:r w:rsidR="00126DA0">
        <w:t xml:space="preserve"> It is expected that over $1.5 billion will eventually be deposited into the OSF.</w:t>
      </w:r>
      <w:r w:rsidR="00126DA0">
        <w:rPr>
          <w:rStyle w:val="FootnoteReference"/>
        </w:rPr>
        <w:footnoteReference w:id="34"/>
      </w:r>
    </w:p>
    <w:p w:rsidR="009C6245" w:rsidRPr="00126DA0" w:rsidRDefault="009C6245" w:rsidP="009C6245">
      <w:pPr>
        <w:pStyle w:val="NormalWeb"/>
        <w:shd w:val="clear" w:color="auto" w:fill="FFFFFF"/>
        <w:spacing w:before="0" w:beforeAutospacing="0" w:after="0" w:afterAutospacing="0" w:line="480" w:lineRule="auto"/>
        <w:jc w:val="both"/>
        <w:rPr>
          <w:i/>
        </w:rPr>
      </w:pPr>
      <w:r w:rsidRPr="00126DA0">
        <w:rPr>
          <w:i/>
        </w:rPr>
        <w:t>New York City and the OSF</w:t>
      </w:r>
    </w:p>
    <w:p w:rsidR="001410F3" w:rsidRPr="00126DA0" w:rsidRDefault="009C6245" w:rsidP="001410F3">
      <w:pPr>
        <w:pStyle w:val="NormalWeb"/>
        <w:shd w:val="clear" w:color="auto" w:fill="FFFFFF"/>
        <w:spacing w:before="0" w:beforeAutospacing="0" w:after="0" w:afterAutospacing="0" w:line="480" w:lineRule="auto"/>
        <w:jc w:val="both"/>
      </w:pPr>
      <w:r w:rsidRPr="00126DA0">
        <w:tab/>
        <w:t xml:space="preserve">In April 2022, Mayor Eric Adams and AG James announced the first $286 million coming to New York City from the OSF, beginning with $11.5 </w:t>
      </w:r>
      <w:r w:rsidR="004302FE">
        <w:t xml:space="preserve">million </w:t>
      </w:r>
      <w:r w:rsidRPr="00126DA0">
        <w:t>in the first week after the announcement.</w:t>
      </w:r>
      <w:r w:rsidRPr="00126DA0">
        <w:rPr>
          <w:rStyle w:val="FootnoteReference"/>
        </w:rPr>
        <w:footnoteReference w:id="35"/>
      </w:r>
      <w:r w:rsidRPr="00126DA0">
        <w:t xml:space="preserve"> It is expected that the City will receive </w:t>
      </w:r>
      <w:r w:rsidRPr="00126DA0">
        <w:rPr>
          <w:shd w:val="clear" w:color="auto" w:fill="FFFFFF"/>
        </w:rPr>
        <w:t>$88,943,457 in 2022, and up to $286,137,783 over the course of the payout of the different settlements.</w:t>
      </w:r>
      <w:r w:rsidRPr="00126DA0">
        <w:rPr>
          <w:rStyle w:val="FootnoteReference"/>
          <w:shd w:val="clear" w:color="auto" w:fill="FFFFFF"/>
        </w:rPr>
        <w:footnoteReference w:id="36"/>
      </w:r>
      <w:r w:rsidRPr="00126DA0">
        <w:rPr>
          <w:shd w:val="clear" w:color="auto" w:fill="FFFFFF"/>
        </w:rPr>
        <w:t xml:space="preserve"> In June 2022, Mayor Adams announced</w:t>
      </w:r>
      <w:r w:rsidR="001410F3" w:rsidRPr="00126DA0">
        <w:rPr>
          <w:shd w:val="clear" w:color="auto" w:fill="FFFFFF"/>
        </w:rPr>
        <w:t xml:space="preserve"> (via a press release)</w:t>
      </w:r>
      <w:r w:rsidRPr="00126DA0">
        <w:rPr>
          <w:shd w:val="clear" w:color="auto" w:fill="FFFFFF"/>
        </w:rPr>
        <w:t xml:space="preserve"> the first round of investments of the OSF, with $150 million over the next five years to be spent as follows:</w:t>
      </w:r>
      <w:r w:rsidRPr="00126DA0">
        <w:rPr>
          <w:rStyle w:val="FootnoteReference"/>
          <w:shd w:val="clear" w:color="auto" w:fill="FFFFFF"/>
        </w:rPr>
        <w:footnoteReference w:id="37"/>
      </w:r>
    </w:p>
    <w:p w:rsidR="001410F3" w:rsidRPr="00126DA0" w:rsidRDefault="009C6245" w:rsidP="001410F3">
      <w:pPr>
        <w:pStyle w:val="NormalWeb"/>
        <w:numPr>
          <w:ilvl w:val="0"/>
          <w:numId w:val="14"/>
        </w:numPr>
        <w:shd w:val="clear" w:color="auto" w:fill="FFFFFF"/>
        <w:spacing w:before="0" w:beforeAutospacing="0" w:after="0" w:afterAutospacing="0"/>
        <w:ind w:right="720"/>
        <w:jc w:val="both"/>
        <w:rPr>
          <w:sz w:val="20"/>
          <w:szCs w:val="20"/>
          <w:shd w:val="clear" w:color="auto" w:fill="FFFFFF"/>
        </w:rPr>
      </w:pPr>
      <w:r w:rsidRPr="00126DA0">
        <w:rPr>
          <w:bCs/>
          <w:sz w:val="20"/>
          <w:szCs w:val="20"/>
          <w:bdr w:val="none" w:sz="0" w:space="0" w:color="auto" w:frame="1"/>
        </w:rPr>
        <w:t>Strengthening Harm Reduction and Treatment in Communities​</w:t>
      </w:r>
    </w:p>
    <w:p w:rsidR="001410F3" w:rsidRPr="00126DA0" w:rsidRDefault="009C6245" w:rsidP="001410F3">
      <w:pPr>
        <w:pStyle w:val="NormalWeb"/>
        <w:numPr>
          <w:ilvl w:val="1"/>
          <w:numId w:val="14"/>
        </w:numPr>
        <w:shd w:val="clear" w:color="auto" w:fill="FFFFFF"/>
        <w:spacing w:before="0" w:beforeAutospacing="0" w:after="0" w:afterAutospacing="0"/>
        <w:ind w:right="720"/>
        <w:jc w:val="both"/>
        <w:rPr>
          <w:sz w:val="20"/>
          <w:szCs w:val="20"/>
          <w:shd w:val="clear" w:color="auto" w:fill="FFFFFF"/>
        </w:rPr>
      </w:pPr>
      <w:r w:rsidRPr="00126DA0">
        <w:rPr>
          <w:sz w:val="20"/>
          <w:szCs w:val="20"/>
          <w:bdr w:val="none" w:sz="0" w:space="0" w:color="auto" w:frame="1"/>
        </w:rPr>
        <w:t>Sustaining and expanding hours and services at the city’s existing Syringe Service Programs (SSPs) that operate Overdose Prevention Centers (OPCs)​ to reduce risk of overdoses among people who use drugs and offer them connections to other services and supports, like treatment. </w:t>
      </w:r>
      <w:r w:rsidRPr="00126DA0">
        <w:rPr>
          <w:sz w:val="20"/>
          <w:szCs w:val="20"/>
        </w:rPr>
        <w:t> </w:t>
      </w:r>
    </w:p>
    <w:p w:rsidR="001410F3" w:rsidRPr="00126DA0" w:rsidRDefault="009C6245" w:rsidP="001410F3">
      <w:pPr>
        <w:pStyle w:val="NormalWeb"/>
        <w:numPr>
          <w:ilvl w:val="1"/>
          <w:numId w:val="14"/>
        </w:numPr>
        <w:shd w:val="clear" w:color="auto" w:fill="FFFFFF"/>
        <w:spacing w:before="0" w:beforeAutospacing="0" w:after="0" w:afterAutospacing="0"/>
        <w:ind w:right="720"/>
        <w:jc w:val="both"/>
        <w:rPr>
          <w:sz w:val="20"/>
          <w:szCs w:val="20"/>
          <w:shd w:val="clear" w:color="auto" w:fill="FFFFFF"/>
        </w:rPr>
      </w:pPr>
      <w:r w:rsidRPr="00126DA0">
        <w:rPr>
          <w:sz w:val="20"/>
          <w:szCs w:val="20"/>
          <w:bdr w:val="none" w:sz="0" w:space="0" w:color="auto" w:frame="1"/>
        </w:rPr>
        <w:t>Expanding access to Street Health Outreach and Wellness (SHOW) mobile harm reduction clinics and connections to provide care in communities hardest hit by the overdose epidemic.</w:t>
      </w:r>
      <w:r w:rsidRPr="00126DA0">
        <w:rPr>
          <w:sz w:val="20"/>
          <w:szCs w:val="20"/>
        </w:rPr>
        <w:t> </w:t>
      </w:r>
    </w:p>
    <w:p w:rsidR="001410F3" w:rsidRPr="00126DA0" w:rsidRDefault="009C6245" w:rsidP="001410F3">
      <w:pPr>
        <w:pStyle w:val="NormalWeb"/>
        <w:numPr>
          <w:ilvl w:val="0"/>
          <w:numId w:val="14"/>
        </w:numPr>
        <w:shd w:val="clear" w:color="auto" w:fill="FFFFFF"/>
        <w:spacing w:before="0" w:beforeAutospacing="0" w:after="0" w:afterAutospacing="0"/>
        <w:ind w:right="720"/>
        <w:jc w:val="both"/>
        <w:rPr>
          <w:sz w:val="20"/>
          <w:szCs w:val="20"/>
          <w:shd w:val="clear" w:color="auto" w:fill="FFFFFF"/>
        </w:rPr>
      </w:pPr>
      <w:r w:rsidRPr="00126DA0">
        <w:rPr>
          <w:bCs/>
          <w:sz w:val="20"/>
          <w:szCs w:val="20"/>
          <w:bdr w:val="none" w:sz="0" w:space="0" w:color="auto" w:frame="1"/>
        </w:rPr>
        <w:t>Expanding Support for Treatment Optimization Strategies</w:t>
      </w:r>
      <w:r w:rsidRPr="00126DA0">
        <w:rPr>
          <w:bCs/>
          <w:sz w:val="20"/>
          <w:szCs w:val="20"/>
        </w:rPr>
        <w:t> </w:t>
      </w:r>
    </w:p>
    <w:p w:rsidR="001410F3" w:rsidRPr="00126DA0" w:rsidRDefault="009C6245" w:rsidP="001410F3">
      <w:pPr>
        <w:pStyle w:val="NormalWeb"/>
        <w:numPr>
          <w:ilvl w:val="1"/>
          <w:numId w:val="14"/>
        </w:numPr>
        <w:shd w:val="clear" w:color="auto" w:fill="FFFFFF"/>
        <w:spacing w:before="0" w:beforeAutospacing="0" w:after="0" w:afterAutospacing="0"/>
        <w:ind w:right="720"/>
        <w:jc w:val="both"/>
        <w:rPr>
          <w:sz w:val="20"/>
          <w:szCs w:val="20"/>
          <w:shd w:val="clear" w:color="auto" w:fill="FFFFFF"/>
        </w:rPr>
      </w:pPr>
      <w:r w:rsidRPr="00126DA0">
        <w:rPr>
          <w:sz w:val="20"/>
          <w:szCs w:val="20"/>
          <w:bdr w:val="none" w:sz="0" w:space="0" w:color="auto" w:frame="1"/>
          <w:shd w:val="clear" w:color="auto" w:fill="FFFFFF"/>
        </w:rPr>
        <w:t>Supporting additional staff within the city’s public hospital system to expand their emergency department substance use consult team to 24/7 operations across 11 hospitals. </w:t>
      </w:r>
      <w:r w:rsidRPr="00126DA0">
        <w:rPr>
          <w:sz w:val="20"/>
          <w:szCs w:val="20"/>
        </w:rPr>
        <w:t> </w:t>
      </w:r>
    </w:p>
    <w:p w:rsidR="001410F3" w:rsidRPr="00126DA0" w:rsidRDefault="009C6245" w:rsidP="001410F3">
      <w:pPr>
        <w:pStyle w:val="NormalWeb"/>
        <w:numPr>
          <w:ilvl w:val="1"/>
          <w:numId w:val="14"/>
        </w:numPr>
        <w:shd w:val="clear" w:color="auto" w:fill="FFFFFF"/>
        <w:spacing w:before="0" w:beforeAutospacing="0" w:after="0" w:afterAutospacing="0"/>
        <w:ind w:right="720"/>
        <w:jc w:val="both"/>
        <w:rPr>
          <w:sz w:val="20"/>
          <w:szCs w:val="20"/>
          <w:shd w:val="clear" w:color="auto" w:fill="FFFFFF"/>
        </w:rPr>
      </w:pPr>
      <w:r w:rsidRPr="00126DA0">
        <w:rPr>
          <w:sz w:val="20"/>
          <w:szCs w:val="20"/>
          <w:bdr w:val="none" w:sz="0" w:space="0" w:color="auto" w:frame="1"/>
          <w:shd w:val="clear" w:color="auto" w:fill="FFFFFF"/>
        </w:rPr>
        <w:t>Training</w:t>
      </w:r>
      <w:r w:rsidRPr="00126DA0">
        <w:rPr>
          <w:sz w:val="20"/>
          <w:szCs w:val="20"/>
          <w:bdr w:val="none" w:sz="0" w:space="0" w:color="auto" w:frame="1"/>
        </w:rPr>
        <w:t> the behavioral health workforce to build expertise in addressing co-occurring psychiatric and substance use disorders.</w:t>
      </w:r>
      <w:r w:rsidRPr="00126DA0">
        <w:rPr>
          <w:sz w:val="20"/>
          <w:szCs w:val="20"/>
        </w:rPr>
        <w:t> </w:t>
      </w:r>
    </w:p>
    <w:p w:rsidR="001410F3" w:rsidRPr="00126DA0" w:rsidRDefault="009C6245" w:rsidP="001410F3">
      <w:pPr>
        <w:pStyle w:val="NormalWeb"/>
        <w:numPr>
          <w:ilvl w:val="0"/>
          <w:numId w:val="14"/>
        </w:numPr>
        <w:shd w:val="clear" w:color="auto" w:fill="FFFFFF"/>
        <w:spacing w:before="0" w:beforeAutospacing="0" w:after="0" w:afterAutospacing="0"/>
        <w:ind w:right="720"/>
        <w:jc w:val="both"/>
        <w:rPr>
          <w:sz w:val="20"/>
          <w:szCs w:val="20"/>
          <w:shd w:val="clear" w:color="auto" w:fill="FFFFFF"/>
        </w:rPr>
      </w:pPr>
      <w:r w:rsidRPr="00126DA0">
        <w:rPr>
          <w:bCs/>
          <w:sz w:val="20"/>
          <w:szCs w:val="20"/>
          <w:bdr w:val="none" w:sz="0" w:space="0" w:color="auto" w:frame="1"/>
        </w:rPr>
        <w:t>Strengthening Community Support for People Who Use Drugs and Their Families </w:t>
      </w:r>
      <w:r w:rsidRPr="00126DA0">
        <w:rPr>
          <w:bCs/>
          <w:sz w:val="20"/>
          <w:szCs w:val="20"/>
        </w:rPr>
        <w:t> </w:t>
      </w:r>
    </w:p>
    <w:p w:rsidR="009C6245" w:rsidRPr="00126DA0" w:rsidRDefault="009C6245" w:rsidP="001410F3">
      <w:pPr>
        <w:pStyle w:val="NormalWeb"/>
        <w:numPr>
          <w:ilvl w:val="1"/>
          <w:numId w:val="14"/>
        </w:numPr>
        <w:shd w:val="clear" w:color="auto" w:fill="FFFFFF"/>
        <w:spacing w:before="0" w:beforeAutospacing="0" w:after="0" w:afterAutospacing="0"/>
        <w:ind w:right="720"/>
        <w:jc w:val="both"/>
        <w:rPr>
          <w:shd w:val="clear" w:color="auto" w:fill="FFFFFF"/>
        </w:rPr>
      </w:pPr>
      <w:r w:rsidRPr="00126DA0">
        <w:rPr>
          <w:sz w:val="20"/>
          <w:szCs w:val="20"/>
          <w:bdr w:val="none" w:sz="0" w:space="0" w:color="auto" w:frame="1"/>
        </w:rPr>
        <w:t>Expanding support for the families of drug overdose decedents by connecting them to critical mental health and social services supports in the crucial window following a death and accord</w:t>
      </w:r>
      <w:r w:rsidR="001410F3" w:rsidRPr="00126DA0">
        <w:rPr>
          <w:sz w:val="20"/>
          <w:szCs w:val="20"/>
          <w:bdr w:val="none" w:sz="0" w:space="0" w:color="auto" w:frame="1"/>
        </w:rPr>
        <w:t>ing to their particular needs.</w:t>
      </w:r>
      <w:r w:rsidR="001410F3" w:rsidRPr="00126DA0">
        <w:rPr>
          <w:rStyle w:val="FootnoteReference"/>
          <w:sz w:val="20"/>
          <w:szCs w:val="20"/>
          <w:bdr w:val="none" w:sz="0" w:space="0" w:color="auto" w:frame="1"/>
        </w:rPr>
        <w:footnoteReference w:id="38"/>
      </w:r>
    </w:p>
    <w:p w:rsidR="001410F3" w:rsidRPr="00126DA0" w:rsidRDefault="001410F3" w:rsidP="001410F3">
      <w:pPr>
        <w:pStyle w:val="NormalWeb"/>
        <w:shd w:val="clear" w:color="auto" w:fill="FFFFFF"/>
        <w:spacing w:before="240" w:beforeAutospacing="0" w:after="0" w:afterAutospacing="0" w:line="480" w:lineRule="auto"/>
        <w:ind w:firstLine="720"/>
        <w:jc w:val="both"/>
      </w:pPr>
      <w:r w:rsidRPr="00126DA0">
        <w:t>According to the Mayor’s June press release, t</w:t>
      </w:r>
      <w:r w:rsidRPr="00126DA0">
        <w:rPr>
          <w:shd w:val="clear" w:color="auto" w:fill="FFFFFF"/>
        </w:rPr>
        <w:t>here are three pools of fund money from the OSF designated for New York City: (1) The first pool will flow through the AG; (2) The second pool will flow through the State Office of Addiction and Substance Abuse Services (OASAS), guided by the Opioid Settlement Board; and (3) The third pool is a direct-to-localities funding mechanism for approved uses.</w:t>
      </w:r>
      <w:r w:rsidRPr="00126DA0">
        <w:rPr>
          <w:rStyle w:val="FootnoteReference"/>
          <w:shd w:val="clear" w:color="auto" w:fill="FFFFFF"/>
        </w:rPr>
        <w:footnoteReference w:id="39"/>
      </w:r>
      <w:r w:rsidRPr="00126DA0">
        <w:rPr>
          <w:shd w:val="clear" w:color="auto" w:fill="FFFFFF"/>
        </w:rPr>
        <w:t xml:space="preserve"> Through these pools, New York City will receive approximately $286 million over the next 18 years, including the $150 million over the next five years discussed above.</w:t>
      </w:r>
      <w:r w:rsidRPr="00126DA0">
        <w:rPr>
          <w:rStyle w:val="FootnoteReference"/>
          <w:shd w:val="clear" w:color="auto" w:fill="FFFFFF"/>
        </w:rPr>
        <w:footnoteReference w:id="40"/>
      </w:r>
    </w:p>
    <w:p w:rsidR="00E201F6" w:rsidRPr="00126DA0" w:rsidRDefault="00E201F6" w:rsidP="00E201F6">
      <w:pPr>
        <w:pStyle w:val="ListParagraph"/>
        <w:numPr>
          <w:ilvl w:val="0"/>
          <w:numId w:val="1"/>
        </w:numPr>
        <w:spacing w:line="480" w:lineRule="auto"/>
        <w:jc w:val="both"/>
        <w:rPr>
          <w:b/>
        </w:rPr>
      </w:pPr>
      <w:r w:rsidRPr="00126DA0">
        <w:rPr>
          <w:b/>
        </w:rPr>
        <w:t>Conclusion</w:t>
      </w:r>
    </w:p>
    <w:p w:rsidR="00E201F6" w:rsidRPr="00126DA0" w:rsidRDefault="00E201F6" w:rsidP="00E201F6">
      <w:pPr>
        <w:spacing w:line="480" w:lineRule="auto"/>
        <w:ind w:firstLine="720"/>
        <w:jc w:val="both"/>
        <w:rPr>
          <w:shd w:val="clear" w:color="auto" w:fill="FFFFFF"/>
        </w:rPr>
      </w:pPr>
      <w:r w:rsidRPr="00126DA0">
        <w:rPr>
          <w:shd w:val="clear" w:color="auto" w:fill="FFFFFF"/>
        </w:rPr>
        <w:t>At today’s hearing, the Committee looks forward to hearing from the Administration</w:t>
      </w:r>
      <w:r w:rsidR="003F7852" w:rsidRPr="00126DA0">
        <w:rPr>
          <w:shd w:val="clear" w:color="auto" w:fill="FFFFFF"/>
        </w:rPr>
        <w:t>, providers,</w:t>
      </w:r>
      <w:r w:rsidRPr="00126DA0">
        <w:rPr>
          <w:shd w:val="clear" w:color="auto" w:fill="FFFFFF"/>
        </w:rPr>
        <w:t xml:space="preserve"> and community advocates about the </w:t>
      </w:r>
      <w:r w:rsidR="003F7852" w:rsidRPr="00126DA0">
        <w:rPr>
          <w:shd w:val="clear" w:color="auto" w:fill="FFFFFF"/>
        </w:rPr>
        <w:t>City’s plans and oversight mechanisms for the opioid settlement fund.</w:t>
      </w:r>
    </w:p>
    <w:p w:rsidR="00E201F6" w:rsidRPr="00126DA0" w:rsidRDefault="00E201F6" w:rsidP="00E201F6">
      <w:pPr>
        <w:pStyle w:val="ListParagraph"/>
        <w:numPr>
          <w:ilvl w:val="0"/>
          <w:numId w:val="1"/>
        </w:numPr>
        <w:spacing w:line="480" w:lineRule="auto"/>
        <w:jc w:val="both"/>
        <w:rPr>
          <w:b/>
        </w:rPr>
      </w:pPr>
      <w:r w:rsidRPr="00126DA0">
        <w:rPr>
          <w:b/>
        </w:rPr>
        <w:t>Legislation</w:t>
      </w:r>
    </w:p>
    <w:p w:rsidR="00E201F6" w:rsidRPr="00126DA0" w:rsidRDefault="00E201F6" w:rsidP="00E201F6">
      <w:pPr>
        <w:spacing w:line="480" w:lineRule="auto"/>
        <w:jc w:val="both"/>
        <w:rPr>
          <w:b/>
          <w:u w:val="single"/>
        </w:rPr>
      </w:pPr>
      <w:r w:rsidRPr="00126DA0">
        <w:rPr>
          <w:b/>
          <w:u w:val="single"/>
        </w:rPr>
        <w:t>Int. No. 404</w:t>
      </w:r>
    </w:p>
    <w:p w:rsidR="00E201F6" w:rsidRPr="00126DA0" w:rsidRDefault="00E201F6" w:rsidP="00E201F6">
      <w:pPr>
        <w:spacing w:line="480" w:lineRule="auto"/>
        <w:ind w:firstLine="720"/>
        <w:jc w:val="both"/>
        <w:rPr>
          <w:shd w:val="clear" w:color="auto" w:fill="FFFFFF"/>
        </w:rPr>
      </w:pPr>
      <w:r w:rsidRPr="00126DA0">
        <w:rPr>
          <w:shd w:val="clear" w:color="auto" w:fill="FFFFFF"/>
        </w:rPr>
        <w:t>This legislation would require the DOHMH, or another agency designated by the mayor, to report on the opioid settlement fund on a monthly basis, beginning July 1, 2022. The report would include the total amount of money in the settlement fund, the total money withdrawn from the settlement fund, where the money is being spent, the number of New Yorkers benefiting from the fund, and a timeline of when the fund will be depleted.</w:t>
      </w:r>
    </w:p>
    <w:p w:rsidR="00E201F6" w:rsidRPr="00126DA0" w:rsidRDefault="00E201F6" w:rsidP="00E201F6">
      <w:pPr>
        <w:spacing w:line="480" w:lineRule="auto"/>
        <w:ind w:firstLine="720"/>
        <w:jc w:val="both"/>
        <w:rPr>
          <w:shd w:val="clear" w:color="auto" w:fill="FFFFFF"/>
        </w:rPr>
      </w:pPr>
      <w:r w:rsidRPr="00126DA0">
        <w:rPr>
          <w:shd w:val="clear" w:color="auto" w:fill="FFFFFF"/>
        </w:rPr>
        <w:t>The bill would take effect immediately and would be deemed repealed upon depletion of all monies in the opioid settlement fund.</w:t>
      </w:r>
    </w:p>
    <w:p w:rsidR="00E201F6" w:rsidRPr="00126DA0" w:rsidRDefault="00E201F6">
      <w:pPr>
        <w:spacing w:after="160" w:line="259" w:lineRule="auto"/>
        <w:rPr>
          <w:shd w:val="clear" w:color="auto" w:fill="FFFFFF"/>
        </w:rPr>
      </w:pPr>
      <w:r w:rsidRPr="00126DA0">
        <w:rPr>
          <w:shd w:val="clear" w:color="auto" w:fill="FFFFFF"/>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201F6" w:rsidRPr="00126DA0" w:rsidTr="00E201F6">
        <w:trPr>
          <w:tblCellSpacing w:w="0" w:type="dxa"/>
        </w:trPr>
        <w:tc>
          <w:tcPr>
            <w:tcW w:w="0" w:type="auto"/>
            <w:shd w:val="clear" w:color="auto" w:fill="FFFFFF"/>
            <w:vAlign w:val="center"/>
            <w:hideMark/>
          </w:tcPr>
          <w:p w:rsidR="00E201F6" w:rsidRPr="00126DA0" w:rsidRDefault="00E201F6" w:rsidP="00E201F6">
            <w:pPr>
              <w:shd w:val="clear" w:color="auto" w:fill="FFFFFF"/>
              <w:jc w:val="center"/>
            </w:pPr>
            <w:r w:rsidRPr="00126DA0">
              <w:t>Int. No. 404</w:t>
            </w:r>
          </w:p>
          <w:p w:rsidR="00E201F6" w:rsidRPr="00126DA0" w:rsidRDefault="00E201F6" w:rsidP="00E201F6">
            <w:pPr>
              <w:shd w:val="clear" w:color="auto" w:fill="FFFFFF"/>
              <w:jc w:val="both"/>
            </w:pPr>
            <w:r w:rsidRPr="00126DA0">
              <w:t> </w:t>
            </w:r>
          </w:p>
          <w:p w:rsidR="00E201F6" w:rsidRPr="00126DA0" w:rsidRDefault="00E201F6" w:rsidP="00E201F6">
            <w:pPr>
              <w:shd w:val="clear" w:color="auto" w:fill="FFFFFF"/>
              <w:jc w:val="both"/>
            </w:pPr>
            <w:r w:rsidRPr="00126DA0">
              <w:t>By Council Members Lee, Ayala, Brewer, Louis, Nurse, Krishnan, Kagan, Menin, Marte, Farías, Williams, Holden, Schulman, Dinowitz, Ossé, Abreu, Restler, Avilés, Bottcher and Ariola</w:t>
            </w:r>
          </w:p>
          <w:p w:rsidR="00E201F6" w:rsidRPr="00126DA0" w:rsidRDefault="00E201F6" w:rsidP="00E201F6">
            <w:pPr>
              <w:shd w:val="clear" w:color="auto" w:fill="FFFFFF"/>
              <w:jc w:val="both"/>
            </w:pPr>
            <w:r w:rsidRPr="00126DA0">
              <w:t> </w:t>
            </w:r>
          </w:p>
          <w:p w:rsidR="00E201F6" w:rsidRPr="00126DA0" w:rsidRDefault="00E201F6" w:rsidP="00E201F6">
            <w:pPr>
              <w:shd w:val="clear" w:color="auto" w:fill="FFFFFF"/>
              <w:jc w:val="both"/>
            </w:pPr>
            <w:r w:rsidRPr="00126DA0">
              <w:t>A Local Law in relation to a report tracking the opioid settlement fund</w:t>
            </w:r>
          </w:p>
          <w:p w:rsidR="00E201F6" w:rsidRPr="00126DA0" w:rsidRDefault="00E201F6" w:rsidP="00E201F6">
            <w:pPr>
              <w:shd w:val="clear" w:color="auto" w:fill="FFFFFF"/>
              <w:jc w:val="both"/>
            </w:pPr>
            <w:r w:rsidRPr="00126DA0">
              <w:t> </w:t>
            </w:r>
          </w:p>
          <w:p w:rsidR="00E201F6" w:rsidRPr="00126DA0" w:rsidRDefault="00E201F6" w:rsidP="00E201F6">
            <w:pPr>
              <w:shd w:val="clear" w:color="auto" w:fill="FFFFFF"/>
              <w:jc w:val="both"/>
            </w:pPr>
            <w:r w:rsidRPr="00126DA0">
              <w:rPr>
                <w:u w:val="single"/>
              </w:rPr>
              <w:t>Be it enacted by the Council as follows:</w:t>
            </w:r>
          </w:p>
          <w:p w:rsidR="00E201F6" w:rsidRPr="00126DA0" w:rsidRDefault="00E201F6" w:rsidP="00E201F6">
            <w:pPr>
              <w:shd w:val="clear" w:color="auto" w:fill="FFFFFF"/>
              <w:ind w:firstLine="720"/>
              <w:jc w:val="both"/>
            </w:pPr>
            <w:r w:rsidRPr="00126DA0">
              <w:t> </w:t>
            </w:r>
          </w:p>
          <w:p w:rsidR="00E201F6" w:rsidRPr="00126DA0" w:rsidRDefault="00E201F6" w:rsidP="00E201F6">
            <w:pPr>
              <w:shd w:val="clear" w:color="auto" w:fill="FFFFFF"/>
              <w:spacing w:line="480" w:lineRule="auto"/>
              <w:ind w:firstLine="720"/>
              <w:jc w:val="both"/>
            </w:pPr>
            <w:r w:rsidRPr="00126DA0">
              <w:t>Section 1. a. Definitions. For the purposes of this chapter, the following terms have the following meanings:</w:t>
            </w:r>
          </w:p>
          <w:p w:rsidR="00E201F6" w:rsidRPr="00126DA0" w:rsidRDefault="00E201F6" w:rsidP="00E201F6">
            <w:pPr>
              <w:shd w:val="clear" w:color="auto" w:fill="FFFFFF"/>
              <w:spacing w:line="480" w:lineRule="auto"/>
              <w:ind w:firstLine="720"/>
              <w:jc w:val="both"/>
            </w:pPr>
            <w:r w:rsidRPr="00126DA0">
              <w:t>Department. The term “department” means the department of health and mental hygiene or such other agency or entity as the mayor may designate.</w:t>
            </w:r>
          </w:p>
          <w:p w:rsidR="00E201F6" w:rsidRPr="00126DA0" w:rsidRDefault="00E201F6" w:rsidP="00E201F6">
            <w:pPr>
              <w:shd w:val="clear" w:color="auto" w:fill="FFFFFF"/>
              <w:spacing w:line="480" w:lineRule="auto"/>
              <w:ind w:firstLine="720"/>
              <w:jc w:val="both"/>
            </w:pPr>
            <w:r w:rsidRPr="00126DA0">
              <w:t>Opioid settlement fund. The term “opioid settlement fund” means the monies paid or to be paid to New York city as a result of the attorney general’s lawsuit against opioid manufacturers and distributors, including, but not limited to, Purdue Pharma and its affiliates, members of the Sackler family and trusts they control, Janssen Pharmaceuticals and its affiliates, including its parent company Johnson &amp; Johnson, Mallinckrodt LLC and its affiliates, Endo Health Solutions and its affiliates, Teva Pharmaceuticals USA, Inc. and its affiliates, McKesson Corporation, Cardinal Health Inc., Amerisource Bergen Drug Corporation and Rochester Drug Cooperative Inc.</w:t>
            </w:r>
          </w:p>
          <w:p w:rsidR="00E201F6" w:rsidRPr="00126DA0" w:rsidRDefault="00E201F6" w:rsidP="00E201F6">
            <w:pPr>
              <w:shd w:val="clear" w:color="auto" w:fill="FFFFFF"/>
              <w:spacing w:line="480" w:lineRule="auto"/>
              <w:ind w:firstLine="720"/>
              <w:jc w:val="both"/>
            </w:pPr>
            <w:r w:rsidRPr="00126DA0">
              <w:t>b. No later than July 1, 2022, and every month thereafter, the department shall submit to the mayor and the speaker of the council, and post on such department’s website, a report disclosing the following information for the previous month:</w:t>
            </w:r>
          </w:p>
          <w:p w:rsidR="00E201F6" w:rsidRPr="00126DA0" w:rsidRDefault="00E201F6" w:rsidP="00E201F6">
            <w:pPr>
              <w:shd w:val="clear" w:color="auto" w:fill="FFFFFF"/>
              <w:spacing w:line="480" w:lineRule="auto"/>
              <w:ind w:firstLine="720"/>
              <w:jc w:val="both"/>
            </w:pPr>
            <w:r w:rsidRPr="00126DA0">
              <w:t>1. The total amount of monies in the opioid settlement fund, including any new monies entered;</w:t>
            </w:r>
          </w:p>
          <w:p w:rsidR="00E201F6" w:rsidRPr="00126DA0" w:rsidRDefault="00E201F6" w:rsidP="00E201F6">
            <w:pPr>
              <w:shd w:val="clear" w:color="auto" w:fill="FFFFFF"/>
              <w:spacing w:line="480" w:lineRule="auto"/>
              <w:ind w:firstLine="720"/>
              <w:jc w:val="both"/>
            </w:pPr>
            <w:r w:rsidRPr="00126DA0">
              <w:t>2. The total amount of monies withdrawn, spent or committed to be spent in the opioid settlement fund;</w:t>
            </w:r>
          </w:p>
          <w:p w:rsidR="00E201F6" w:rsidRPr="00126DA0" w:rsidRDefault="00E201F6" w:rsidP="00E201F6">
            <w:pPr>
              <w:shd w:val="clear" w:color="auto" w:fill="FFFFFF"/>
              <w:spacing w:line="480" w:lineRule="auto"/>
              <w:ind w:firstLine="720"/>
              <w:jc w:val="both"/>
            </w:pPr>
            <w:r w:rsidRPr="00126DA0">
              <w:t>3. Where the monies in the opioid settlement fund have been spent or committed to be spent, including the name and description of any city-run program, the name and description of any city-contractor and the name and description of any vendor to the city;</w:t>
            </w:r>
          </w:p>
          <w:p w:rsidR="00E201F6" w:rsidRPr="00126DA0" w:rsidRDefault="00E201F6" w:rsidP="00E201F6">
            <w:pPr>
              <w:shd w:val="clear" w:color="auto" w:fill="FFFFFF"/>
              <w:spacing w:line="480" w:lineRule="auto"/>
              <w:ind w:firstLine="720"/>
              <w:jc w:val="both"/>
            </w:pPr>
            <w:r w:rsidRPr="00126DA0">
              <w:t>4. The number of New York city residents participating in or benefiting from city, contractor or vendor programs receiving opioid settlement funds, disaggregated by zip code, gender, ethnicity and languages spoken; and</w:t>
            </w:r>
          </w:p>
          <w:p w:rsidR="00E201F6" w:rsidRPr="00126DA0" w:rsidRDefault="00E201F6" w:rsidP="00E201F6">
            <w:pPr>
              <w:shd w:val="clear" w:color="auto" w:fill="FFFFFF"/>
              <w:spacing w:line="480" w:lineRule="auto"/>
              <w:ind w:firstLine="720"/>
              <w:jc w:val="both"/>
            </w:pPr>
            <w:r w:rsidRPr="00126DA0">
              <w:t>5. A timeline of when the department expects the monies in the opioid settlement fund to be depleted and any plan for continuing services after the monies are depleted.</w:t>
            </w:r>
          </w:p>
          <w:p w:rsidR="00E201F6" w:rsidRPr="00126DA0" w:rsidRDefault="00E201F6" w:rsidP="00E201F6">
            <w:pPr>
              <w:shd w:val="clear" w:color="auto" w:fill="FFFFFF"/>
              <w:spacing w:line="480" w:lineRule="auto"/>
              <w:ind w:firstLine="720"/>
              <w:jc w:val="both"/>
            </w:pPr>
            <w:r w:rsidRPr="00126DA0">
              <w:t>§ 2. This local law takes effect immediately and is deemed repealed upon depletion of all monies in the opioid settlement fund.</w:t>
            </w:r>
          </w:p>
          <w:p w:rsidR="00E201F6" w:rsidRPr="00126DA0" w:rsidRDefault="00E201F6" w:rsidP="00E201F6">
            <w:pPr>
              <w:shd w:val="clear" w:color="auto" w:fill="FFFFFF"/>
              <w:jc w:val="both"/>
            </w:pPr>
            <w:r w:rsidRPr="00126DA0">
              <w:t> </w:t>
            </w:r>
          </w:p>
          <w:p w:rsidR="00E201F6" w:rsidRPr="00126DA0" w:rsidRDefault="00E201F6" w:rsidP="00E201F6">
            <w:pPr>
              <w:shd w:val="clear" w:color="auto" w:fill="FFFFFF"/>
              <w:jc w:val="both"/>
            </w:pPr>
            <w:r w:rsidRPr="00126DA0">
              <w:t> </w:t>
            </w:r>
          </w:p>
          <w:p w:rsidR="00E201F6" w:rsidRPr="00126DA0" w:rsidRDefault="00E201F6" w:rsidP="00E201F6">
            <w:pPr>
              <w:shd w:val="clear" w:color="auto" w:fill="FFFFFF"/>
              <w:jc w:val="both"/>
            </w:pPr>
            <w:r w:rsidRPr="00126DA0">
              <w:t> </w:t>
            </w:r>
          </w:p>
          <w:p w:rsidR="00E201F6" w:rsidRPr="004302FE" w:rsidRDefault="00E201F6" w:rsidP="00E201F6">
            <w:pPr>
              <w:shd w:val="clear" w:color="auto" w:fill="FFFFFF"/>
              <w:jc w:val="both"/>
              <w:rPr>
                <w:sz w:val="20"/>
                <w:szCs w:val="20"/>
              </w:rPr>
            </w:pPr>
            <w:r w:rsidRPr="004302FE">
              <w:rPr>
                <w:sz w:val="20"/>
                <w:szCs w:val="20"/>
              </w:rPr>
              <w:t>SIL</w:t>
            </w:r>
          </w:p>
          <w:p w:rsidR="00E201F6" w:rsidRPr="004302FE" w:rsidRDefault="00E201F6" w:rsidP="00E201F6">
            <w:pPr>
              <w:shd w:val="clear" w:color="auto" w:fill="FFFFFF"/>
              <w:jc w:val="both"/>
              <w:rPr>
                <w:sz w:val="20"/>
                <w:szCs w:val="20"/>
              </w:rPr>
            </w:pPr>
            <w:r w:rsidRPr="004302FE">
              <w:rPr>
                <w:sz w:val="20"/>
                <w:szCs w:val="20"/>
              </w:rPr>
              <w:t>LS # 8947</w:t>
            </w:r>
          </w:p>
          <w:p w:rsidR="00E201F6" w:rsidRPr="004302FE" w:rsidRDefault="00E201F6" w:rsidP="00E201F6">
            <w:pPr>
              <w:shd w:val="clear" w:color="auto" w:fill="FFFFFF"/>
              <w:rPr>
                <w:sz w:val="20"/>
                <w:szCs w:val="20"/>
              </w:rPr>
            </w:pPr>
            <w:r w:rsidRPr="004302FE">
              <w:rPr>
                <w:sz w:val="20"/>
                <w:szCs w:val="20"/>
              </w:rPr>
              <w:t>05/13/22 </w:t>
            </w:r>
          </w:p>
          <w:p w:rsidR="00E201F6" w:rsidRPr="00126DA0" w:rsidRDefault="00E201F6" w:rsidP="00E201F6">
            <w:pPr>
              <w:shd w:val="clear" w:color="auto" w:fill="FFFFFF"/>
            </w:pPr>
            <w:r w:rsidRPr="00126DA0">
              <w:t> </w:t>
            </w:r>
          </w:p>
        </w:tc>
      </w:tr>
    </w:tbl>
    <w:p w:rsidR="00E201F6" w:rsidRPr="00126DA0" w:rsidRDefault="00E201F6" w:rsidP="00E201F6">
      <w:pPr>
        <w:spacing w:after="160" w:line="259" w:lineRule="auto"/>
        <w:rPr>
          <w:shd w:val="clear" w:color="auto" w:fill="FFFFFF"/>
        </w:rPr>
      </w:pPr>
    </w:p>
    <w:sectPr w:rsidR="00E201F6" w:rsidRPr="00126DA0" w:rsidSect="008F6358">
      <w:headerReference w:type="default" r:id="rId11"/>
      <w:footerReference w:type="defaul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58" w:rsidRDefault="008F6358" w:rsidP="00E201F6">
      <w:r>
        <w:separator/>
      </w:r>
    </w:p>
  </w:endnote>
  <w:endnote w:type="continuationSeparator" w:id="0">
    <w:p w:rsidR="008F6358" w:rsidRDefault="008F6358" w:rsidP="00E2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58" w:rsidRDefault="008F6358">
    <w:pPr>
      <w:pStyle w:val="Footer"/>
      <w:jc w:val="center"/>
    </w:pPr>
    <w:r>
      <w:fldChar w:fldCharType="begin"/>
    </w:r>
    <w:r>
      <w:instrText xml:space="preserve"> PAGE   \* MERGEFORMAT </w:instrText>
    </w:r>
    <w:r>
      <w:fldChar w:fldCharType="separate"/>
    </w:r>
    <w:r w:rsidR="00773F5B">
      <w:rPr>
        <w:noProof/>
      </w:rPr>
      <w:t>12</w:t>
    </w:r>
    <w:r>
      <w:rPr>
        <w:noProof/>
      </w:rPr>
      <w:fldChar w:fldCharType="end"/>
    </w:r>
  </w:p>
  <w:p w:rsidR="008F6358" w:rsidRDefault="008F6358">
    <w:pPr>
      <w:pStyle w:val="Footer"/>
    </w:pPr>
  </w:p>
  <w:p w:rsidR="008F6358" w:rsidRDefault="008F6358"/>
  <w:p w:rsidR="008F6358" w:rsidRDefault="008F63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58" w:rsidRDefault="008F6358" w:rsidP="00E201F6">
      <w:r>
        <w:separator/>
      </w:r>
    </w:p>
  </w:footnote>
  <w:footnote w:type="continuationSeparator" w:id="0">
    <w:p w:rsidR="008F6358" w:rsidRDefault="008F6358" w:rsidP="00E201F6">
      <w:r>
        <w:continuationSeparator/>
      </w:r>
    </w:p>
  </w:footnote>
  <w:footnote w:id="1">
    <w:p w:rsidR="008F6358" w:rsidRPr="007526C1" w:rsidRDefault="008F6358">
      <w:pPr>
        <w:pStyle w:val="FootnoteText"/>
      </w:pPr>
      <w:r w:rsidRPr="007526C1">
        <w:rPr>
          <w:rStyle w:val="FootnoteReference"/>
          <w:sz w:val="20"/>
        </w:rPr>
        <w:footnoteRef/>
      </w:r>
      <w:r w:rsidRPr="007526C1">
        <w:t xml:space="preserve"> “</w:t>
      </w:r>
      <w:r w:rsidRPr="007526C1">
        <w:rPr>
          <w:bCs/>
          <w:color w:val="000000"/>
        </w:rPr>
        <w:t xml:space="preserve">The Drug Overdose Epidemic: Behind the Numbers,” Centers for Disease Control and Prevention, </w:t>
      </w:r>
      <w:r w:rsidRPr="007526C1">
        <w:t xml:space="preserve">available at </w:t>
      </w:r>
      <w:hyperlink r:id="rId1" w:history="1">
        <w:r w:rsidRPr="007526C1">
          <w:rPr>
            <w:rStyle w:val="Hyperlink"/>
          </w:rPr>
          <w:t>https://www.cdc.gov/opioids/data/index.html</w:t>
        </w:r>
      </w:hyperlink>
      <w:r>
        <w:t xml:space="preserve">; see also, “What is the U.S. Opioid Epidemic?,” U.S. Department of Health and Human Services, available at </w:t>
      </w:r>
      <w:hyperlink r:id="rId2" w:history="1">
        <w:r w:rsidRPr="00217AC1">
          <w:rPr>
            <w:rStyle w:val="Hyperlink"/>
          </w:rPr>
          <w:t>https://www.hhs.gov/opioids/about-the-epidemic/index.html</w:t>
        </w:r>
      </w:hyperlink>
      <w:r>
        <w:t xml:space="preserve">. </w:t>
      </w:r>
    </w:p>
  </w:footnote>
  <w:footnote w:id="2">
    <w:p w:rsidR="008F6358" w:rsidRPr="007526C1" w:rsidRDefault="008F6358">
      <w:pPr>
        <w:pStyle w:val="FootnoteText"/>
      </w:pPr>
      <w:r w:rsidRPr="007526C1">
        <w:rPr>
          <w:rStyle w:val="FootnoteReference"/>
          <w:sz w:val="20"/>
        </w:rPr>
        <w:footnoteRef/>
      </w:r>
      <w:r w:rsidRPr="007526C1">
        <w:t xml:space="preserve"> </w:t>
      </w:r>
      <w:r w:rsidRPr="007526C1">
        <w:rPr>
          <w:i/>
        </w:rPr>
        <w:t>Id</w:t>
      </w:r>
      <w:r w:rsidRPr="007526C1">
        <w:t>.</w:t>
      </w:r>
    </w:p>
  </w:footnote>
  <w:footnote w:id="3">
    <w:p w:rsidR="008F6358" w:rsidRPr="007526C1" w:rsidRDefault="008F6358" w:rsidP="00E71C63">
      <w:pPr>
        <w:pStyle w:val="Heading1"/>
        <w:shd w:val="clear" w:color="auto" w:fill="FFFFFF"/>
        <w:spacing w:before="0"/>
        <w:rPr>
          <w:rFonts w:ascii="Times New Roman" w:hAnsi="Times New Roman"/>
          <w:b w:val="0"/>
          <w:bCs w:val="0"/>
          <w:color w:val="333333"/>
          <w:sz w:val="20"/>
          <w:szCs w:val="20"/>
        </w:rPr>
      </w:pPr>
      <w:r w:rsidRPr="007526C1">
        <w:rPr>
          <w:rStyle w:val="FootnoteReference"/>
          <w:b w:val="0"/>
          <w:color w:val="auto"/>
          <w:sz w:val="20"/>
          <w:szCs w:val="20"/>
        </w:rPr>
        <w:footnoteRef/>
      </w:r>
      <w:r w:rsidRPr="007526C1">
        <w:rPr>
          <w:rFonts w:ascii="Times New Roman" w:hAnsi="Times New Roman"/>
          <w:b w:val="0"/>
          <w:color w:val="auto"/>
          <w:sz w:val="20"/>
          <w:szCs w:val="20"/>
        </w:rPr>
        <w:t xml:space="preserve"> See, e.g., “</w:t>
      </w:r>
      <w:r w:rsidRPr="007526C1">
        <w:rPr>
          <w:rFonts w:ascii="Times New Roman" w:hAnsi="Times New Roman"/>
          <w:b w:val="0"/>
          <w:bCs w:val="0"/>
          <w:color w:val="auto"/>
          <w:sz w:val="20"/>
          <w:szCs w:val="20"/>
        </w:rPr>
        <w:t xml:space="preserve">Opioid Overdose Crisis,” National Institute of Drug Abuse (NIDA), available at </w:t>
      </w:r>
      <w:hyperlink r:id="rId3" w:history="1">
        <w:r w:rsidRPr="007526C1">
          <w:rPr>
            <w:rStyle w:val="Hyperlink"/>
            <w:rFonts w:ascii="Times New Roman" w:hAnsi="Times New Roman"/>
            <w:b w:val="0"/>
            <w:bCs w:val="0"/>
            <w:sz w:val="20"/>
            <w:szCs w:val="20"/>
          </w:rPr>
          <w:t>https://nida.nih.gov/research-topics/opioids/opioid-overdose-crisis</w:t>
        </w:r>
      </w:hyperlink>
      <w:r w:rsidRPr="007526C1">
        <w:rPr>
          <w:rFonts w:ascii="Times New Roman" w:hAnsi="Times New Roman"/>
          <w:b w:val="0"/>
          <w:bCs w:val="0"/>
          <w:color w:val="333333"/>
          <w:sz w:val="20"/>
          <w:szCs w:val="20"/>
        </w:rPr>
        <w:t xml:space="preserve">; </w:t>
      </w:r>
      <w:r w:rsidRPr="007526C1">
        <w:rPr>
          <w:rFonts w:ascii="Times New Roman" w:hAnsi="Times New Roman"/>
          <w:b w:val="0"/>
          <w:bCs w:val="0"/>
          <w:color w:val="auto"/>
          <w:sz w:val="20"/>
          <w:szCs w:val="20"/>
        </w:rPr>
        <w:t xml:space="preserve">see also, </w:t>
      </w:r>
      <w:r w:rsidRPr="00E71C63">
        <w:rPr>
          <w:rFonts w:ascii="Times New Roman" w:hAnsi="Times New Roman"/>
          <w:b w:val="0"/>
          <w:color w:val="auto"/>
          <w:sz w:val="20"/>
          <w:szCs w:val="20"/>
        </w:rPr>
        <w:t>Van Zee A. The Promotion and Marketing of OxyContin: Commercial Triumph, Public Health Tragedy. </w:t>
      </w:r>
      <w:r w:rsidRPr="007526C1">
        <w:rPr>
          <w:rFonts w:ascii="Times New Roman" w:hAnsi="Times New Roman"/>
          <w:b w:val="0"/>
          <w:i/>
          <w:iCs/>
          <w:color w:val="auto"/>
          <w:sz w:val="20"/>
          <w:szCs w:val="20"/>
        </w:rPr>
        <w:t>Am J Public Health</w:t>
      </w:r>
      <w:r w:rsidRPr="00E71C63">
        <w:rPr>
          <w:rFonts w:ascii="Times New Roman" w:hAnsi="Times New Roman"/>
          <w:b w:val="0"/>
          <w:color w:val="auto"/>
          <w:sz w:val="20"/>
          <w:szCs w:val="20"/>
        </w:rPr>
        <w:t>. 2009;99(2):221-227. doi:10.2105/AJPH.2007.131714.</w:t>
      </w:r>
    </w:p>
  </w:footnote>
  <w:footnote w:id="4">
    <w:p w:rsidR="008F6358" w:rsidRPr="007526C1" w:rsidRDefault="008F6358">
      <w:pPr>
        <w:pStyle w:val="FootnoteText"/>
      </w:pPr>
      <w:r w:rsidRPr="007526C1">
        <w:rPr>
          <w:rStyle w:val="FootnoteReference"/>
          <w:sz w:val="20"/>
        </w:rPr>
        <w:footnoteRef/>
      </w:r>
      <w:r w:rsidRPr="007526C1">
        <w:t xml:space="preserve"> </w:t>
      </w:r>
      <w:r w:rsidRPr="007526C1">
        <w:rPr>
          <w:i/>
        </w:rPr>
        <w:t>Id</w:t>
      </w:r>
      <w:r w:rsidRPr="007526C1">
        <w:t>.</w:t>
      </w:r>
    </w:p>
  </w:footnote>
  <w:footnote w:id="5">
    <w:p w:rsidR="008F6358" w:rsidRPr="007526C1" w:rsidRDefault="008F6358">
      <w:pPr>
        <w:pStyle w:val="FootnoteText"/>
      </w:pPr>
      <w:r w:rsidRPr="007526C1">
        <w:rPr>
          <w:rStyle w:val="FootnoteReference"/>
          <w:sz w:val="20"/>
        </w:rPr>
        <w:footnoteRef/>
      </w:r>
      <w:r w:rsidRPr="007526C1">
        <w:t xml:space="preserve"> </w:t>
      </w:r>
      <w:r w:rsidRPr="007526C1">
        <w:rPr>
          <w:i/>
        </w:rPr>
        <w:t>Id</w:t>
      </w:r>
      <w:r w:rsidRPr="007526C1">
        <w:t>.</w:t>
      </w:r>
    </w:p>
  </w:footnote>
  <w:footnote w:id="6">
    <w:p w:rsidR="008F6358" w:rsidRPr="007526C1" w:rsidRDefault="008F6358">
      <w:pPr>
        <w:pStyle w:val="FootnoteText"/>
      </w:pPr>
      <w:r w:rsidRPr="007526C1">
        <w:rPr>
          <w:rStyle w:val="FootnoteReference"/>
          <w:sz w:val="20"/>
        </w:rPr>
        <w:footnoteRef/>
      </w:r>
      <w:r w:rsidRPr="007526C1">
        <w:t xml:space="preserve"> “</w:t>
      </w:r>
      <w:r w:rsidRPr="007526C1">
        <w:rPr>
          <w:bCs/>
          <w:color w:val="000000"/>
        </w:rPr>
        <w:t xml:space="preserve">The Drug Overdose Epidemic: Behind the Numbers,” Centers for Disease Control and Prevention, </w:t>
      </w:r>
      <w:r w:rsidRPr="007526C1">
        <w:t xml:space="preserve">available at </w:t>
      </w:r>
      <w:hyperlink r:id="rId4" w:history="1">
        <w:r w:rsidRPr="007526C1">
          <w:rPr>
            <w:rStyle w:val="Hyperlink"/>
          </w:rPr>
          <w:t>https://www.cdc.gov/opioids/data/index.html</w:t>
        </w:r>
      </w:hyperlink>
      <w:r w:rsidRPr="007526C1">
        <w:t>.</w:t>
      </w:r>
    </w:p>
  </w:footnote>
  <w:footnote w:id="7">
    <w:p w:rsidR="008F6358" w:rsidRPr="007526C1" w:rsidRDefault="008F6358" w:rsidP="007526C1">
      <w:pPr>
        <w:pStyle w:val="FootnoteText"/>
      </w:pPr>
      <w:r w:rsidRPr="007526C1">
        <w:rPr>
          <w:rStyle w:val="FootnoteReference"/>
          <w:sz w:val="20"/>
        </w:rPr>
        <w:footnoteRef/>
      </w:r>
      <w:r w:rsidRPr="007526C1">
        <w:t xml:space="preserve"> </w:t>
      </w:r>
      <w:r w:rsidRPr="007526C1">
        <w:rPr>
          <w:i/>
        </w:rPr>
        <w:t>Id</w:t>
      </w:r>
      <w:r w:rsidRPr="007526C1">
        <w:t>.</w:t>
      </w:r>
    </w:p>
  </w:footnote>
  <w:footnote w:id="8">
    <w:p w:rsidR="008F6358" w:rsidRPr="007526C1" w:rsidRDefault="008F6358">
      <w:pPr>
        <w:pStyle w:val="FootnoteText"/>
      </w:pPr>
      <w:r w:rsidRPr="007526C1">
        <w:rPr>
          <w:rStyle w:val="FootnoteReference"/>
          <w:sz w:val="20"/>
        </w:rPr>
        <w:footnoteRef/>
      </w:r>
      <w:r w:rsidRPr="007526C1">
        <w:t xml:space="preserve"> “</w:t>
      </w:r>
      <w:r w:rsidRPr="007526C1">
        <w:rPr>
          <w:bCs/>
        </w:rPr>
        <w:t xml:space="preserve">Opioid Overdose Crisis,” National Institute of Drug Abuse (NIDA), available at </w:t>
      </w:r>
      <w:hyperlink r:id="rId5" w:history="1">
        <w:r w:rsidRPr="007526C1">
          <w:rPr>
            <w:rStyle w:val="Hyperlink"/>
          </w:rPr>
          <w:t>https://nida.nih.gov/research-topics/opioids/opioid-overdose-crisis</w:t>
        </w:r>
      </w:hyperlink>
      <w:r w:rsidRPr="007526C1">
        <w:rPr>
          <w:bCs/>
          <w:color w:val="333333"/>
        </w:rPr>
        <w:t>.</w:t>
      </w:r>
    </w:p>
  </w:footnote>
  <w:footnote w:id="9">
    <w:p w:rsidR="008F6358" w:rsidRPr="007526C1" w:rsidRDefault="008F6358">
      <w:pPr>
        <w:pStyle w:val="FootnoteText"/>
      </w:pPr>
      <w:r w:rsidRPr="007526C1">
        <w:rPr>
          <w:rStyle w:val="FootnoteReference"/>
          <w:sz w:val="20"/>
        </w:rPr>
        <w:footnoteRef/>
      </w:r>
      <w:r w:rsidRPr="007526C1">
        <w:t xml:space="preserve"> </w:t>
      </w:r>
      <w:r w:rsidRPr="007526C1">
        <w:rPr>
          <w:i/>
        </w:rPr>
        <w:t>Id</w:t>
      </w:r>
      <w:r w:rsidRPr="007526C1">
        <w:t>.</w:t>
      </w:r>
    </w:p>
  </w:footnote>
  <w:footnote w:id="10">
    <w:p w:rsidR="008F6358" w:rsidRPr="007526C1" w:rsidRDefault="008F6358">
      <w:pPr>
        <w:pStyle w:val="FootnoteText"/>
      </w:pPr>
      <w:r w:rsidRPr="007526C1">
        <w:rPr>
          <w:rStyle w:val="FootnoteReference"/>
          <w:sz w:val="20"/>
        </w:rPr>
        <w:footnoteRef/>
      </w:r>
      <w:r w:rsidRPr="007526C1">
        <w:t xml:space="preserve"> </w:t>
      </w:r>
      <w:r w:rsidRPr="007526C1">
        <w:rPr>
          <w:i/>
        </w:rPr>
        <w:t>Id</w:t>
      </w:r>
      <w:r w:rsidRPr="007526C1">
        <w:t>.</w:t>
      </w:r>
    </w:p>
  </w:footnote>
  <w:footnote w:id="11">
    <w:p w:rsidR="008F6358" w:rsidRPr="00567B8D" w:rsidRDefault="008F6358" w:rsidP="003F7852">
      <w:pPr>
        <w:pStyle w:val="FootnoteText"/>
      </w:pPr>
      <w:r w:rsidRPr="00567B8D">
        <w:rPr>
          <w:rStyle w:val="FootnoteReference"/>
          <w:sz w:val="20"/>
        </w:rPr>
        <w:footnoteRef/>
      </w:r>
      <w:r w:rsidR="009B5C66">
        <w:t xml:space="preserve"> </w:t>
      </w:r>
      <w:r w:rsidR="009B5C66" w:rsidRPr="009B5C66">
        <w:rPr>
          <w:i/>
        </w:rPr>
        <w:t>I</w:t>
      </w:r>
      <w:r w:rsidRPr="009B5C66">
        <w:rPr>
          <w:i/>
        </w:rPr>
        <w:t>d</w:t>
      </w:r>
      <w:r w:rsidRPr="00567B8D">
        <w:t>.</w:t>
      </w:r>
    </w:p>
  </w:footnote>
  <w:footnote w:id="12">
    <w:p w:rsidR="008F6358" w:rsidRPr="009B5C66" w:rsidRDefault="008F6358" w:rsidP="003F7852">
      <w:pPr>
        <w:pStyle w:val="Heading1"/>
        <w:shd w:val="clear" w:color="auto" w:fill="FFFFFF"/>
        <w:spacing w:before="0"/>
        <w:rPr>
          <w:rFonts w:ascii="Times New Roman" w:hAnsi="Times New Roman"/>
          <w:b w:val="0"/>
          <w:color w:val="333333"/>
          <w:sz w:val="20"/>
          <w:szCs w:val="20"/>
        </w:rPr>
      </w:pPr>
      <w:r w:rsidRPr="009B5C66">
        <w:rPr>
          <w:rStyle w:val="FootnoteReference"/>
          <w:b w:val="0"/>
          <w:color w:val="auto"/>
          <w:sz w:val="20"/>
          <w:szCs w:val="20"/>
        </w:rPr>
        <w:footnoteRef/>
      </w:r>
      <w:r w:rsidRPr="009B5C66">
        <w:rPr>
          <w:rFonts w:ascii="Times New Roman" w:hAnsi="Times New Roman"/>
          <w:b w:val="0"/>
          <w:color w:val="auto"/>
          <w:sz w:val="20"/>
          <w:szCs w:val="20"/>
        </w:rPr>
        <w:t xml:space="preserve"> Leaving Jail, Kicking Heroin, and Then Facing the Pandemic, Gothamist, Aug. 13, 2020, </w:t>
      </w:r>
      <w:hyperlink r:id="rId6" w:history="1">
        <w:r w:rsidRPr="009B5C66">
          <w:rPr>
            <w:rStyle w:val="Hyperlink"/>
            <w:rFonts w:ascii="Times New Roman" w:hAnsi="Times New Roman"/>
            <w:b w:val="0"/>
            <w:sz w:val="20"/>
            <w:szCs w:val="20"/>
          </w:rPr>
          <w:t>https://gothamist.com/news/leaving-jail-addicts-face-growing-opioid-crisis-during-pandemic</w:t>
        </w:r>
      </w:hyperlink>
      <w:r w:rsidRPr="009B5C66">
        <w:rPr>
          <w:rFonts w:ascii="Times New Roman" w:hAnsi="Times New Roman"/>
          <w:b w:val="0"/>
          <w:color w:val="auto"/>
          <w:sz w:val="20"/>
          <w:szCs w:val="20"/>
        </w:rPr>
        <w:t xml:space="preserve">. </w:t>
      </w:r>
    </w:p>
  </w:footnote>
  <w:footnote w:id="13">
    <w:p w:rsidR="008F6358" w:rsidRPr="009B5C66" w:rsidRDefault="008F6358" w:rsidP="003F7852">
      <w:pPr>
        <w:pStyle w:val="FootnoteText"/>
      </w:pPr>
      <w:r w:rsidRPr="009B5C66">
        <w:rPr>
          <w:rStyle w:val="FootnoteReference"/>
          <w:sz w:val="20"/>
        </w:rPr>
        <w:footnoteRef/>
      </w:r>
      <w:r w:rsidRPr="009B5C66">
        <w:t xml:space="preserve"> American Medical Association Advocacy Research Center, September 8, 2020, Issue brief: Report of increases in opioid-related overdose and other concerns during the COVID pandemic, from </w:t>
      </w:r>
      <w:hyperlink r:id="rId7" w:history="1">
        <w:r w:rsidRPr="009B5C66">
          <w:rPr>
            <w:rStyle w:val="Hyperlink"/>
          </w:rPr>
          <w:t>https://www.ama-assn.org/system/files/2020-09/issue-brief-increases-in-opioid-related-overdose.pdf</w:t>
        </w:r>
      </w:hyperlink>
    </w:p>
  </w:footnote>
  <w:footnote w:id="14">
    <w:p w:rsidR="008F6358" w:rsidRPr="009B5C66" w:rsidRDefault="008F6358" w:rsidP="003F7852">
      <w:pPr>
        <w:pStyle w:val="FootnoteText"/>
      </w:pPr>
      <w:r w:rsidRPr="009B5C66">
        <w:rPr>
          <w:rStyle w:val="FootnoteReference"/>
          <w:sz w:val="20"/>
        </w:rPr>
        <w:footnoteRef/>
      </w:r>
      <w:r w:rsidRPr="009B5C66">
        <w:t xml:space="preserve"> Ibid.</w:t>
      </w:r>
    </w:p>
  </w:footnote>
  <w:footnote w:id="15">
    <w:p w:rsidR="008F6358" w:rsidRPr="009B5C66" w:rsidRDefault="008F6358">
      <w:pPr>
        <w:pStyle w:val="FootnoteText"/>
      </w:pPr>
      <w:r w:rsidRPr="009B5C66">
        <w:rPr>
          <w:rStyle w:val="FootnoteReference"/>
          <w:sz w:val="20"/>
        </w:rPr>
        <w:footnoteRef/>
      </w:r>
      <w:r w:rsidRPr="009B5C66">
        <w:t xml:space="preserve"> NYS Opioid Annual Report 2021, Department of Health, available at </w:t>
      </w:r>
      <w:hyperlink r:id="rId8" w:history="1">
        <w:r w:rsidRPr="009B5C66">
          <w:rPr>
            <w:rStyle w:val="Hyperlink"/>
          </w:rPr>
          <w:t>https://www.health.ny.gov/statistics/opioid/</w:t>
        </w:r>
      </w:hyperlink>
      <w:r w:rsidRPr="009B5C66">
        <w:t xml:space="preserve">.  </w:t>
      </w:r>
    </w:p>
  </w:footnote>
  <w:footnote w:id="16">
    <w:p w:rsidR="008F6358" w:rsidRPr="009B5C66" w:rsidRDefault="008F6358">
      <w:pPr>
        <w:pStyle w:val="FootnoteText"/>
      </w:pPr>
      <w:r w:rsidRPr="009B5C66">
        <w:rPr>
          <w:rStyle w:val="FootnoteReference"/>
          <w:sz w:val="20"/>
        </w:rPr>
        <w:footnoteRef/>
      </w:r>
      <w:r w:rsidRPr="009B5C66">
        <w:t xml:space="preserve"> </w:t>
      </w:r>
      <w:r w:rsidRPr="009B5C66">
        <w:rPr>
          <w:i/>
        </w:rPr>
        <w:t>Id</w:t>
      </w:r>
      <w:r w:rsidRPr="009B5C66">
        <w:t>.</w:t>
      </w:r>
    </w:p>
  </w:footnote>
  <w:footnote w:id="17">
    <w:p w:rsidR="008F6358" w:rsidRDefault="008F6358">
      <w:pPr>
        <w:pStyle w:val="FootnoteText"/>
      </w:pPr>
      <w:r w:rsidRPr="009B5C66">
        <w:rPr>
          <w:rStyle w:val="FootnoteReference"/>
          <w:sz w:val="20"/>
        </w:rPr>
        <w:footnoteRef/>
      </w:r>
      <w:r w:rsidRPr="009B5C66">
        <w:t xml:space="preserve"> </w:t>
      </w:r>
      <w:r w:rsidRPr="009B5C66">
        <w:rPr>
          <w:i/>
        </w:rPr>
        <w:t>Id</w:t>
      </w:r>
      <w:r w:rsidRPr="009B5C66">
        <w:t>.</w:t>
      </w:r>
    </w:p>
  </w:footnote>
  <w:footnote w:id="18">
    <w:p w:rsidR="008F6358" w:rsidRPr="009B5C66" w:rsidRDefault="008F6358">
      <w:pPr>
        <w:pStyle w:val="FootnoteText"/>
      </w:pPr>
      <w:r w:rsidRPr="009B5C66">
        <w:rPr>
          <w:rStyle w:val="FootnoteReference"/>
          <w:sz w:val="20"/>
        </w:rPr>
        <w:footnoteRef/>
      </w:r>
      <w:r w:rsidRPr="009B5C66">
        <w:t xml:space="preserve"> </w:t>
      </w:r>
      <w:r w:rsidRPr="009B5C66">
        <w:rPr>
          <w:i/>
        </w:rPr>
        <w:t>Id</w:t>
      </w:r>
      <w:r w:rsidRPr="009B5C66">
        <w:t>.</w:t>
      </w:r>
    </w:p>
  </w:footnote>
  <w:footnote w:id="19">
    <w:p w:rsidR="008F6358" w:rsidRPr="009B5C66" w:rsidRDefault="008F6358">
      <w:pPr>
        <w:pStyle w:val="FootnoteText"/>
      </w:pPr>
      <w:r w:rsidRPr="009B5C66">
        <w:rPr>
          <w:rStyle w:val="FootnoteReference"/>
          <w:sz w:val="20"/>
        </w:rPr>
        <w:footnoteRef/>
      </w:r>
      <w:r w:rsidRPr="009B5C66">
        <w:t xml:space="preserve"> “Prevent Overdose,” DOHMH, available at </w:t>
      </w:r>
      <w:hyperlink r:id="rId9" w:history="1">
        <w:r w:rsidRPr="009B5C66">
          <w:rPr>
            <w:rStyle w:val="Hyperlink"/>
          </w:rPr>
          <w:t>https://www1.nyc.gov/site/doh/health/health-topics/alcohol-and-drug-use-prevent-overdose.page</w:t>
        </w:r>
      </w:hyperlink>
      <w:r w:rsidRPr="009B5C66">
        <w:t xml:space="preserve">. </w:t>
      </w:r>
    </w:p>
  </w:footnote>
  <w:footnote w:id="20">
    <w:p w:rsidR="008F6358" w:rsidRPr="009B5C66" w:rsidRDefault="008F6358">
      <w:pPr>
        <w:pStyle w:val="FootnoteText"/>
      </w:pPr>
      <w:r w:rsidRPr="009B5C66">
        <w:rPr>
          <w:rStyle w:val="FootnoteReference"/>
          <w:sz w:val="20"/>
        </w:rPr>
        <w:footnoteRef/>
      </w:r>
      <w:r w:rsidRPr="009B5C66">
        <w:t xml:space="preserve"> “Unintentional Drug Poisoning (Overdose) Deaths: Quarter 2, 2021, New York City,” April 2022, DOHMH.</w:t>
      </w:r>
    </w:p>
  </w:footnote>
  <w:footnote w:id="21">
    <w:p w:rsidR="009B5C66" w:rsidRPr="009B5C66" w:rsidRDefault="008F6358" w:rsidP="009B5C66">
      <w:pPr>
        <w:pStyle w:val="FootnoteText"/>
        <w:rPr>
          <w:rFonts w:ascii="Helvetica Neue" w:hAnsi="Helvetica Neue"/>
          <w:color w:val="333333"/>
        </w:rPr>
      </w:pPr>
      <w:r w:rsidRPr="009B5C66">
        <w:rPr>
          <w:rStyle w:val="FootnoteReference"/>
          <w:sz w:val="20"/>
        </w:rPr>
        <w:footnoteRef/>
      </w:r>
      <w:r w:rsidRPr="009B5C66">
        <w:t xml:space="preserve"> </w:t>
      </w:r>
      <w:r w:rsidR="009B5C66" w:rsidRPr="009B5C66">
        <w:t>“</w:t>
      </w:r>
      <w:r w:rsidR="009B5C66" w:rsidRPr="009B5C66">
        <w:rPr>
          <w:color w:val="333333"/>
        </w:rPr>
        <w:t xml:space="preserve">Overdose Continues to Rise in NYC as Harm Reduction Programming Scales Up,” Apr. 14, 2022, DOHMH, available at </w:t>
      </w:r>
      <w:hyperlink r:id="rId10" w:history="1">
        <w:r w:rsidR="009B5C66" w:rsidRPr="009B5C66">
          <w:rPr>
            <w:rStyle w:val="Hyperlink"/>
          </w:rPr>
          <w:t>https://www1.nyc.gov/site/doh/about/press/pr2022/overdose-increases-as-harm-reduction-program-scales-up.page</w:t>
        </w:r>
      </w:hyperlink>
      <w:r w:rsidR="009B5C66" w:rsidRPr="009B5C66">
        <w:rPr>
          <w:color w:val="333333"/>
        </w:rPr>
        <w:t>.</w:t>
      </w:r>
      <w:r w:rsidR="009B5C66" w:rsidRPr="009B5C66">
        <w:rPr>
          <w:rFonts w:ascii="Helvetica Neue" w:hAnsi="Helvetica Neue"/>
          <w:color w:val="333333"/>
        </w:rPr>
        <w:t xml:space="preserve"> </w:t>
      </w:r>
    </w:p>
  </w:footnote>
  <w:footnote w:id="22">
    <w:p w:rsidR="008F6358" w:rsidRPr="009B5C66" w:rsidRDefault="008F6358">
      <w:pPr>
        <w:pStyle w:val="FootnoteText"/>
      </w:pPr>
      <w:r w:rsidRPr="009B5C66">
        <w:rPr>
          <w:rStyle w:val="FootnoteReference"/>
          <w:sz w:val="20"/>
        </w:rPr>
        <w:footnoteRef/>
      </w:r>
      <w:r w:rsidR="009B5C66" w:rsidRPr="009B5C66">
        <w:t>“Unintentional Drug Poisoning (Overdose) Deaths: Quarter 2, 2021, New York City,” April 2022, DOHMH</w:t>
      </w:r>
      <w:r w:rsidRPr="009B5C66">
        <w:t>.</w:t>
      </w:r>
    </w:p>
  </w:footnote>
  <w:footnote w:id="23">
    <w:p w:rsidR="008F6358" w:rsidRDefault="008F6358">
      <w:pPr>
        <w:pStyle w:val="FootnoteText"/>
      </w:pPr>
      <w:r>
        <w:rPr>
          <w:rStyle w:val="FootnoteReference"/>
        </w:rPr>
        <w:footnoteRef/>
      </w:r>
      <w:r>
        <w:t xml:space="preserve"> </w:t>
      </w:r>
      <w:r w:rsidRPr="008F6358">
        <w:rPr>
          <w:i/>
        </w:rPr>
        <w:t>Id</w:t>
      </w:r>
      <w:r>
        <w:t>.</w:t>
      </w:r>
    </w:p>
  </w:footnote>
  <w:footnote w:id="24">
    <w:p w:rsidR="009B5C66" w:rsidRDefault="009B5C66">
      <w:pPr>
        <w:pStyle w:val="FootnoteText"/>
      </w:pPr>
      <w:r>
        <w:rPr>
          <w:rStyle w:val="FootnoteReference"/>
        </w:rPr>
        <w:footnoteRef/>
      </w:r>
      <w:r>
        <w:t xml:space="preserve"> </w:t>
      </w:r>
      <w:r w:rsidRPr="009B5C66">
        <w:rPr>
          <w:i/>
        </w:rPr>
        <w:t>Id</w:t>
      </w:r>
      <w:r>
        <w:t>.</w:t>
      </w:r>
    </w:p>
  </w:footnote>
  <w:footnote w:id="25">
    <w:p w:rsidR="00AF5797" w:rsidRPr="009C6245" w:rsidRDefault="00AF5797">
      <w:pPr>
        <w:pStyle w:val="FootnoteText"/>
      </w:pPr>
      <w:r w:rsidRPr="009C6245">
        <w:rPr>
          <w:rStyle w:val="FootnoteReference"/>
          <w:sz w:val="20"/>
        </w:rPr>
        <w:footnoteRef/>
      </w:r>
      <w:r w:rsidRPr="009C6245">
        <w:t xml:space="preserve"> “</w:t>
      </w:r>
      <w:r w:rsidRPr="009C6245">
        <w:rPr>
          <w:color w:val="333333"/>
        </w:rPr>
        <w:t xml:space="preserve">Attorney General James Files Nation's Most Comprehensive Suit Against Opioid Distributors And Manufacturers,” Website of the AG, Mar. 28, 2019, available at </w:t>
      </w:r>
      <w:hyperlink r:id="rId11" w:history="1">
        <w:r w:rsidRPr="009C6245">
          <w:rPr>
            <w:rStyle w:val="Hyperlink"/>
          </w:rPr>
          <w:t>https://ag.ny.gov/press-release/2019/attorney-general-james-files-nations-most-comprehensive-suit-against-opioid</w:t>
        </w:r>
      </w:hyperlink>
      <w:r w:rsidRPr="009C6245">
        <w:rPr>
          <w:color w:val="333333"/>
        </w:rPr>
        <w:t xml:space="preserve">. </w:t>
      </w:r>
    </w:p>
  </w:footnote>
  <w:footnote w:id="26">
    <w:p w:rsidR="005F352A" w:rsidRPr="009C6245" w:rsidRDefault="005F352A">
      <w:pPr>
        <w:pStyle w:val="FootnoteText"/>
      </w:pPr>
      <w:r w:rsidRPr="009C6245">
        <w:rPr>
          <w:rStyle w:val="FootnoteReference"/>
          <w:sz w:val="20"/>
        </w:rPr>
        <w:footnoteRef/>
      </w:r>
      <w:r w:rsidRPr="009C6245">
        <w:t xml:space="preserve"> </w:t>
      </w:r>
      <w:r w:rsidRPr="009C6245">
        <w:rPr>
          <w:i/>
        </w:rPr>
        <w:t>Id</w:t>
      </w:r>
      <w:r w:rsidRPr="009C6245">
        <w:t>.</w:t>
      </w:r>
    </w:p>
  </w:footnote>
  <w:footnote w:id="27">
    <w:p w:rsidR="005F352A" w:rsidRPr="009C6245" w:rsidRDefault="005F352A">
      <w:pPr>
        <w:pStyle w:val="FootnoteText"/>
      </w:pPr>
      <w:r w:rsidRPr="009C6245">
        <w:rPr>
          <w:rStyle w:val="FootnoteReference"/>
          <w:sz w:val="20"/>
        </w:rPr>
        <w:footnoteRef/>
      </w:r>
      <w:r w:rsidRPr="009C6245">
        <w:t xml:space="preserve"> </w:t>
      </w:r>
      <w:r w:rsidRPr="009C6245">
        <w:rPr>
          <w:i/>
        </w:rPr>
        <w:t>Id</w:t>
      </w:r>
      <w:r w:rsidRPr="009C6245">
        <w:t>.</w:t>
      </w:r>
    </w:p>
  </w:footnote>
  <w:footnote w:id="28">
    <w:p w:rsidR="005F352A" w:rsidRDefault="005F352A">
      <w:pPr>
        <w:pStyle w:val="FootnoteText"/>
      </w:pPr>
      <w:r w:rsidRPr="009C6245">
        <w:rPr>
          <w:rStyle w:val="FootnoteReference"/>
          <w:sz w:val="20"/>
        </w:rPr>
        <w:footnoteRef/>
      </w:r>
      <w:r w:rsidRPr="009C6245">
        <w:t xml:space="preserve"> </w:t>
      </w:r>
      <w:r w:rsidRPr="009C6245">
        <w:rPr>
          <w:i/>
        </w:rPr>
        <w:t>Id</w:t>
      </w:r>
      <w:r w:rsidRPr="009C6245">
        <w:t>.</w:t>
      </w:r>
    </w:p>
  </w:footnote>
  <w:footnote w:id="29">
    <w:p w:rsidR="00CC0181" w:rsidRPr="004302FE" w:rsidRDefault="00CC0181">
      <w:pPr>
        <w:pStyle w:val="FootnoteText"/>
      </w:pPr>
      <w:r w:rsidRPr="004302FE">
        <w:rPr>
          <w:rStyle w:val="FootnoteReference"/>
          <w:sz w:val="20"/>
        </w:rPr>
        <w:footnoteRef/>
      </w:r>
      <w:r w:rsidRPr="004302FE">
        <w:t xml:space="preserve"> </w:t>
      </w:r>
      <w:r w:rsidRPr="004302FE">
        <w:rPr>
          <w:i/>
        </w:rPr>
        <w:t>Id</w:t>
      </w:r>
      <w:r w:rsidRPr="004302FE">
        <w:t>.</w:t>
      </w:r>
    </w:p>
  </w:footnote>
  <w:footnote w:id="30">
    <w:p w:rsidR="00CC0181" w:rsidRPr="004302FE" w:rsidRDefault="00CC0181">
      <w:pPr>
        <w:pStyle w:val="FootnoteText"/>
      </w:pPr>
      <w:r w:rsidRPr="004302FE">
        <w:rPr>
          <w:rStyle w:val="FootnoteReference"/>
          <w:sz w:val="20"/>
        </w:rPr>
        <w:footnoteRef/>
      </w:r>
      <w:r w:rsidRPr="004302FE">
        <w:t xml:space="preserve"> </w:t>
      </w:r>
      <w:r w:rsidRPr="004302FE">
        <w:rPr>
          <w:i/>
        </w:rPr>
        <w:t>Id</w:t>
      </w:r>
      <w:r w:rsidRPr="004302FE">
        <w:t>.</w:t>
      </w:r>
    </w:p>
  </w:footnote>
  <w:footnote w:id="31">
    <w:p w:rsidR="00CC0181" w:rsidRPr="004302FE" w:rsidRDefault="00CC0181">
      <w:pPr>
        <w:pStyle w:val="FootnoteText"/>
      </w:pPr>
      <w:r w:rsidRPr="004302FE">
        <w:rPr>
          <w:rStyle w:val="FootnoteReference"/>
          <w:sz w:val="20"/>
        </w:rPr>
        <w:footnoteRef/>
      </w:r>
      <w:r w:rsidRPr="004302FE">
        <w:t xml:space="preserve"> This information was learned from briefings from the AG’s Office.</w:t>
      </w:r>
    </w:p>
  </w:footnote>
  <w:footnote w:id="32">
    <w:p w:rsidR="009C6245" w:rsidRPr="004302FE" w:rsidRDefault="009C6245">
      <w:pPr>
        <w:pStyle w:val="FootnoteText"/>
      </w:pPr>
      <w:r w:rsidRPr="004302FE">
        <w:rPr>
          <w:rStyle w:val="FootnoteReference"/>
          <w:sz w:val="20"/>
        </w:rPr>
        <w:footnoteRef/>
      </w:r>
      <w:r w:rsidRPr="004302FE">
        <w:t xml:space="preserve"> </w:t>
      </w:r>
      <w:r w:rsidRPr="004302FE">
        <w:rPr>
          <w:bCs/>
          <w:shd w:val="clear" w:color="auto" w:fill="FFFFFF"/>
        </w:rPr>
        <w:t>S.7194</w:t>
      </w:r>
      <w:r w:rsidRPr="004302FE">
        <w:rPr>
          <w:rStyle w:val="apple-converted-space"/>
          <w:color w:val="333333"/>
          <w:shd w:val="clear" w:color="auto" w:fill="FFFFFF"/>
        </w:rPr>
        <w:t>/</w:t>
      </w:r>
      <w:r w:rsidRPr="004302FE">
        <w:rPr>
          <w:rStyle w:val="apple-converted-space"/>
          <w:bCs/>
          <w:color w:val="333333"/>
          <w:shd w:val="clear" w:color="auto" w:fill="FFFFFF"/>
        </w:rPr>
        <w:t xml:space="preserve">A.6395B, available at </w:t>
      </w:r>
      <w:hyperlink r:id="rId12" w:history="1">
        <w:r w:rsidRPr="004302FE">
          <w:rPr>
            <w:rStyle w:val="Hyperlink"/>
            <w:bCs/>
            <w:shd w:val="clear" w:color="auto" w:fill="FFFFFF"/>
          </w:rPr>
          <w:t>https://www.nysenate.gov/legislation/bills/2021/s7194</w:t>
        </w:r>
      </w:hyperlink>
      <w:r w:rsidRPr="004302FE">
        <w:rPr>
          <w:rStyle w:val="apple-converted-space"/>
          <w:bCs/>
          <w:color w:val="333333"/>
          <w:shd w:val="clear" w:color="auto" w:fill="FFFFFF"/>
        </w:rPr>
        <w:t xml:space="preserve">. </w:t>
      </w:r>
    </w:p>
  </w:footnote>
  <w:footnote w:id="33">
    <w:p w:rsidR="009C6245" w:rsidRPr="004302FE" w:rsidRDefault="009C6245">
      <w:pPr>
        <w:pStyle w:val="FootnoteText"/>
      </w:pPr>
      <w:r w:rsidRPr="004302FE">
        <w:rPr>
          <w:rStyle w:val="FootnoteReference"/>
          <w:sz w:val="20"/>
        </w:rPr>
        <w:footnoteRef/>
      </w:r>
      <w:r w:rsidRPr="004302FE">
        <w:t xml:space="preserve"> </w:t>
      </w:r>
      <w:r w:rsidRPr="004302FE">
        <w:rPr>
          <w:i/>
        </w:rPr>
        <w:t>Id</w:t>
      </w:r>
      <w:r w:rsidRPr="004302FE">
        <w:t>.</w:t>
      </w:r>
    </w:p>
  </w:footnote>
  <w:footnote w:id="34">
    <w:p w:rsidR="00126DA0" w:rsidRPr="004302FE" w:rsidRDefault="00126DA0">
      <w:pPr>
        <w:pStyle w:val="FootnoteText"/>
      </w:pPr>
      <w:r w:rsidRPr="004302FE">
        <w:rPr>
          <w:rStyle w:val="FootnoteReference"/>
          <w:sz w:val="20"/>
        </w:rPr>
        <w:footnoteRef/>
      </w:r>
      <w:r w:rsidRPr="004302FE">
        <w:t xml:space="preserve"> </w:t>
      </w:r>
      <w:r w:rsidR="004302FE" w:rsidRPr="004302FE">
        <w:t>“</w:t>
      </w:r>
      <w:r w:rsidR="004302FE" w:rsidRPr="004302FE">
        <w:rPr>
          <w:color w:val="333333"/>
        </w:rPr>
        <w:t xml:space="preserve">Attorney General James Files Nation's Most Comprehensive Suit Against Opioid Distributors And Manufacturers,” Website of the AG, Mar. 28, 2019, available at </w:t>
      </w:r>
      <w:hyperlink r:id="rId13" w:history="1">
        <w:r w:rsidR="004302FE" w:rsidRPr="004302FE">
          <w:rPr>
            <w:rStyle w:val="Hyperlink"/>
          </w:rPr>
          <w:t>https://ag.ny.gov/press-release/2019/attorney-general-james-files-nations-most-comprehensive-suit-against-opioid</w:t>
        </w:r>
      </w:hyperlink>
      <w:r w:rsidR="004302FE" w:rsidRPr="004302FE">
        <w:rPr>
          <w:color w:val="333333"/>
        </w:rPr>
        <w:t>.</w:t>
      </w:r>
    </w:p>
  </w:footnote>
  <w:footnote w:id="35">
    <w:p w:rsidR="009C6245" w:rsidRPr="004302FE" w:rsidRDefault="009C6245">
      <w:pPr>
        <w:pStyle w:val="FootnoteText"/>
        <w:rPr>
          <w:color w:val="333333"/>
        </w:rPr>
      </w:pPr>
      <w:r w:rsidRPr="004302FE">
        <w:rPr>
          <w:rStyle w:val="FootnoteReference"/>
          <w:sz w:val="20"/>
        </w:rPr>
        <w:footnoteRef/>
      </w:r>
      <w:r w:rsidRPr="004302FE">
        <w:t xml:space="preserve"> “</w:t>
      </w:r>
      <w:r w:rsidRPr="004302FE">
        <w:rPr>
          <w:color w:val="333333"/>
        </w:rPr>
        <w:t xml:space="preserve">Mayor Adams and Attorney General James Fight Opioid Crisis With First of $286 Million in Payments for New York City,” Office of the Mayor, </w:t>
      </w:r>
      <w:r w:rsidRPr="004302FE">
        <w:rPr>
          <w:rStyle w:val="Date1"/>
          <w:bCs/>
          <w:color w:val="333333"/>
        </w:rPr>
        <w:t xml:space="preserve">Apr. 21, 2022, available at </w:t>
      </w:r>
      <w:hyperlink r:id="rId14" w:anchor="/0" w:history="1">
        <w:r w:rsidRPr="004302FE">
          <w:rPr>
            <w:rStyle w:val="Hyperlink"/>
            <w:bCs/>
          </w:rPr>
          <w:t>https://www1.nyc.gov/office-of-the-mayor/news/233-22/mayor-adams-attorney-general-james-fight-opioid-crisis-first-286-million-payments#/0</w:t>
        </w:r>
      </w:hyperlink>
      <w:r w:rsidRPr="004302FE">
        <w:rPr>
          <w:rStyle w:val="Date1"/>
          <w:bCs/>
          <w:color w:val="333333"/>
        </w:rPr>
        <w:t xml:space="preserve">. </w:t>
      </w:r>
    </w:p>
  </w:footnote>
  <w:footnote w:id="36">
    <w:p w:rsidR="009C6245" w:rsidRPr="004302FE" w:rsidRDefault="009C6245">
      <w:pPr>
        <w:pStyle w:val="FootnoteText"/>
      </w:pPr>
      <w:r w:rsidRPr="004302FE">
        <w:rPr>
          <w:rStyle w:val="FootnoteReference"/>
          <w:sz w:val="20"/>
        </w:rPr>
        <w:footnoteRef/>
      </w:r>
      <w:r w:rsidRPr="004302FE">
        <w:t xml:space="preserve"> </w:t>
      </w:r>
      <w:r w:rsidRPr="004302FE">
        <w:rPr>
          <w:i/>
        </w:rPr>
        <w:t>Id</w:t>
      </w:r>
      <w:r w:rsidRPr="004302FE">
        <w:t>.</w:t>
      </w:r>
    </w:p>
  </w:footnote>
  <w:footnote w:id="37">
    <w:p w:rsidR="009C6245" w:rsidRPr="009C6245" w:rsidRDefault="009C6245" w:rsidP="009C6245">
      <w:pPr>
        <w:pStyle w:val="Heading1"/>
        <w:shd w:val="clear" w:color="auto" w:fill="FFFFFF"/>
        <w:spacing w:before="0"/>
        <w:rPr>
          <w:rFonts w:ascii="Times New Roman" w:hAnsi="Times New Roman"/>
          <w:b w:val="0"/>
          <w:color w:val="333333"/>
          <w:sz w:val="20"/>
          <w:szCs w:val="20"/>
        </w:rPr>
      </w:pPr>
      <w:r w:rsidRPr="009C6245">
        <w:rPr>
          <w:rStyle w:val="FootnoteReference"/>
          <w:b w:val="0"/>
          <w:color w:val="auto"/>
          <w:sz w:val="20"/>
          <w:szCs w:val="20"/>
        </w:rPr>
        <w:footnoteRef/>
      </w:r>
      <w:r w:rsidRPr="009C6245">
        <w:rPr>
          <w:rFonts w:ascii="Times New Roman" w:hAnsi="Times New Roman"/>
          <w:b w:val="0"/>
          <w:color w:val="auto"/>
          <w:sz w:val="20"/>
          <w:szCs w:val="20"/>
        </w:rPr>
        <w:t xml:space="preserve"> “</w:t>
      </w:r>
      <w:r w:rsidRPr="009C6245">
        <w:rPr>
          <w:rFonts w:ascii="Times New Roman" w:hAnsi="Times New Roman"/>
          <w:b w:val="0"/>
          <w:color w:val="333333"/>
          <w:sz w:val="20"/>
          <w:szCs w:val="20"/>
        </w:rPr>
        <w:t xml:space="preserve">Mayor Adams Announces how Opioid Settlement Fund Dollars Will lay Pathbreaking way Forward for Services and Support,” Office of the Mayor, </w:t>
      </w:r>
      <w:r w:rsidRPr="009C6245">
        <w:rPr>
          <w:rStyle w:val="Date1"/>
          <w:rFonts w:ascii="Times New Roman" w:hAnsi="Times New Roman"/>
          <w:b w:val="0"/>
          <w:bCs w:val="0"/>
          <w:color w:val="333333"/>
          <w:sz w:val="20"/>
          <w:szCs w:val="20"/>
        </w:rPr>
        <w:t xml:space="preserve">June 29, 2022, available at </w:t>
      </w:r>
      <w:hyperlink r:id="rId15" w:history="1">
        <w:r w:rsidRPr="009C6245">
          <w:rPr>
            <w:rStyle w:val="Hyperlink"/>
            <w:rFonts w:ascii="Times New Roman" w:hAnsi="Times New Roman"/>
            <w:b w:val="0"/>
            <w:sz w:val="20"/>
            <w:szCs w:val="20"/>
          </w:rPr>
          <w:t>https://www1.nyc.gov/office-of-the-mayor/news/457-22/mayor-adams-how-opioid-settlement-fund-dollars-will-lay-pathbreaking-way-forward-for</w:t>
        </w:r>
      </w:hyperlink>
      <w:r w:rsidR="001410F3">
        <w:rPr>
          <w:rStyle w:val="Date1"/>
          <w:rFonts w:ascii="Times New Roman" w:hAnsi="Times New Roman"/>
          <w:b w:val="0"/>
          <w:bCs w:val="0"/>
          <w:color w:val="333333"/>
          <w:sz w:val="20"/>
          <w:szCs w:val="20"/>
        </w:rPr>
        <w:t xml:space="preserve"> (The text following quotes the Mayor’s press release).</w:t>
      </w:r>
      <w:r w:rsidRPr="009C6245">
        <w:rPr>
          <w:rStyle w:val="Date1"/>
          <w:rFonts w:ascii="Times New Roman" w:hAnsi="Times New Roman"/>
          <w:b w:val="0"/>
          <w:bCs w:val="0"/>
          <w:color w:val="333333"/>
          <w:sz w:val="20"/>
          <w:szCs w:val="20"/>
        </w:rPr>
        <w:t xml:space="preserve"> </w:t>
      </w:r>
    </w:p>
  </w:footnote>
  <w:footnote w:id="38">
    <w:p w:rsidR="001410F3" w:rsidRPr="001410F3" w:rsidRDefault="001410F3">
      <w:pPr>
        <w:pStyle w:val="FootnoteText"/>
      </w:pPr>
      <w:r w:rsidRPr="001410F3">
        <w:rPr>
          <w:rStyle w:val="FootnoteReference"/>
          <w:sz w:val="20"/>
        </w:rPr>
        <w:footnoteRef/>
      </w:r>
      <w:r w:rsidRPr="001410F3">
        <w:t xml:space="preserve"> </w:t>
      </w:r>
      <w:r w:rsidRPr="001410F3">
        <w:rPr>
          <w:i/>
        </w:rPr>
        <w:t>Id</w:t>
      </w:r>
      <w:r w:rsidRPr="001410F3">
        <w:t>.</w:t>
      </w:r>
    </w:p>
  </w:footnote>
  <w:footnote w:id="39">
    <w:p w:rsidR="001410F3" w:rsidRPr="001410F3" w:rsidRDefault="001410F3">
      <w:pPr>
        <w:pStyle w:val="FootnoteText"/>
      </w:pPr>
      <w:r w:rsidRPr="001410F3">
        <w:rPr>
          <w:rStyle w:val="FootnoteReference"/>
          <w:sz w:val="20"/>
        </w:rPr>
        <w:footnoteRef/>
      </w:r>
      <w:r w:rsidRPr="001410F3">
        <w:t xml:space="preserve"> </w:t>
      </w:r>
      <w:r w:rsidRPr="001410F3">
        <w:rPr>
          <w:i/>
        </w:rPr>
        <w:t>Id</w:t>
      </w:r>
      <w:r w:rsidRPr="001410F3">
        <w:t>.</w:t>
      </w:r>
    </w:p>
  </w:footnote>
  <w:footnote w:id="40">
    <w:p w:rsidR="001410F3" w:rsidRDefault="001410F3">
      <w:pPr>
        <w:pStyle w:val="FootnoteText"/>
      </w:pPr>
      <w:r w:rsidRPr="001410F3">
        <w:rPr>
          <w:rStyle w:val="FootnoteReference"/>
          <w:sz w:val="20"/>
        </w:rPr>
        <w:footnoteRef/>
      </w:r>
      <w:r w:rsidRPr="001410F3">
        <w:t xml:space="preserve"> </w:t>
      </w:r>
      <w:r w:rsidRPr="001410F3">
        <w:rPr>
          <w:i/>
        </w:rPr>
        <w:t>Id</w:t>
      </w:r>
      <w:r w:rsidRPr="001410F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58" w:rsidRPr="002E61DB" w:rsidRDefault="008F6358" w:rsidP="008F6358">
    <w:pPr>
      <w:pStyle w:val="Header"/>
      <w:jc w:val="center"/>
      <w:rPr>
        <w:b/>
      </w:rPr>
    </w:pPr>
  </w:p>
  <w:p w:rsidR="008F6358" w:rsidRDefault="008F6358"/>
  <w:p w:rsidR="008F6358" w:rsidRDefault="008F63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6B8"/>
    <w:multiLevelType w:val="multilevel"/>
    <w:tmpl w:val="B6C8A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A229D"/>
    <w:multiLevelType w:val="multilevel"/>
    <w:tmpl w:val="27542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22477"/>
    <w:multiLevelType w:val="hybridMultilevel"/>
    <w:tmpl w:val="63B2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C440A"/>
    <w:multiLevelType w:val="multilevel"/>
    <w:tmpl w:val="FA287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955DD"/>
    <w:multiLevelType w:val="multilevel"/>
    <w:tmpl w:val="7C12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1464C"/>
    <w:multiLevelType w:val="multilevel"/>
    <w:tmpl w:val="07688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F63BE"/>
    <w:multiLevelType w:val="hybridMultilevel"/>
    <w:tmpl w:val="83BADE22"/>
    <w:lvl w:ilvl="0" w:tplc="DAE65F3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DE3C11"/>
    <w:multiLevelType w:val="hybridMultilevel"/>
    <w:tmpl w:val="2F1EE500"/>
    <w:lvl w:ilvl="0" w:tplc="B9987AA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F67655"/>
    <w:multiLevelType w:val="hybridMultilevel"/>
    <w:tmpl w:val="EB88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76593"/>
    <w:multiLevelType w:val="multilevel"/>
    <w:tmpl w:val="E60A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3324C5"/>
    <w:multiLevelType w:val="hybridMultilevel"/>
    <w:tmpl w:val="A2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8636F"/>
    <w:multiLevelType w:val="multilevel"/>
    <w:tmpl w:val="B1F45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B42538"/>
    <w:multiLevelType w:val="hybridMultilevel"/>
    <w:tmpl w:val="079E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2"/>
  </w:num>
  <w:num w:numId="9">
    <w:abstractNumId w:val="1"/>
  </w:num>
  <w:num w:numId="10">
    <w:abstractNumId w:val="4"/>
  </w:num>
  <w:num w:numId="11">
    <w:abstractNumId w:val="0"/>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6"/>
    <w:rsid w:val="000B5F8F"/>
    <w:rsid w:val="00126DA0"/>
    <w:rsid w:val="001410F3"/>
    <w:rsid w:val="003F7852"/>
    <w:rsid w:val="004302FE"/>
    <w:rsid w:val="004D1BA3"/>
    <w:rsid w:val="005F352A"/>
    <w:rsid w:val="006F7936"/>
    <w:rsid w:val="007517AF"/>
    <w:rsid w:val="007526C1"/>
    <w:rsid w:val="00773F5B"/>
    <w:rsid w:val="007B6307"/>
    <w:rsid w:val="008916ED"/>
    <w:rsid w:val="008F6358"/>
    <w:rsid w:val="009B5C66"/>
    <w:rsid w:val="009C6245"/>
    <w:rsid w:val="00A9567C"/>
    <w:rsid w:val="00AF5797"/>
    <w:rsid w:val="00B775A7"/>
    <w:rsid w:val="00CB29F7"/>
    <w:rsid w:val="00CC0181"/>
    <w:rsid w:val="00DB1625"/>
    <w:rsid w:val="00E201F6"/>
    <w:rsid w:val="00E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C336D-385B-4ADC-9643-18AEA54C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201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201F6"/>
    <w:pPr>
      <w:keepNext/>
      <w:jc w:val="center"/>
      <w:outlineLvl w:val="1"/>
    </w:pPr>
    <w:rPr>
      <w:b/>
      <w:bCs/>
      <w:u w:val="single"/>
    </w:rPr>
  </w:style>
  <w:style w:type="paragraph" w:styleId="Heading4">
    <w:name w:val="heading 4"/>
    <w:basedOn w:val="Normal"/>
    <w:next w:val="Normal"/>
    <w:link w:val="Heading4Char"/>
    <w:qFormat/>
    <w:rsid w:val="00E201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01F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E201F6"/>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E201F6"/>
    <w:rPr>
      <w:rFonts w:ascii="Calibri" w:eastAsia="Times New Roman" w:hAnsi="Calibri" w:cs="Times New Roman"/>
      <w:b/>
      <w:bCs/>
      <w:sz w:val="28"/>
      <w:szCs w:val="28"/>
    </w:rPr>
  </w:style>
  <w:style w:type="paragraph" w:styleId="FootnoteText">
    <w:name w:val="footnote text"/>
    <w:aliases w:val="FT"/>
    <w:basedOn w:val="Normal"/>
    <w:link w:val="FootnoteTextChar"/>
    <w:uiPriority w:val="99"/>
    <w:unhideWhenUsed/>
    <w:rsid w:val="007526C1"/>
    <w:rPr>
      <w:sz w:val="20"/>
      <w:szCs w:val="20"/>
    </w:rPr>
  </w:style>
  <w:style w:type="character" w:customStyle="1" w:styleId="FootnoteTextChar">
    <w:name w:val="Footnote Text Char"/>
    <w:aliases w:val="FT Char"/>
    <w:basedOn w:val="DefaultParagraphFont"/>
    <w:link w:val="FootnoteText"/>
    <w:uiPriority w:val="99"/>
    <w:rsid w:val="007526C1"/>
    <w:rPr>
      <w:rFonts w:ascii="Times New Roman" w:eastAsia="Times New Roman" w:hAnsi="Times New Roman" w:cs="Times New Roman"/>
      <w:sz w:val="20"/>
      <w:szCs w:val="20"/>
    </w:rPr>
  </w:style>
  <w:style w:type="paragraph" w:styleId="NormalWeb">
    <w:name w:val="Normal (Web)"/>
    <w:basedOn w:val="Normal"/>
    <w:uiPriority w:val="99"/>
    <w:rsid w:val="00E201F6"/>
    <w:pPr>
      <w:spacing w:before="100" w:beforeAutospacing="1" w:after="100" w:afterAutospacing="1"/>
    </w:pPr>
  </w:style>
  <w:style w:type="character" w:styleId="Hyperlink">
    <w:name w:val="Hyperlink"/>
    <w:uiPriority w:val="99"/>
    <w:rsid w:val="00E201F6"/>
    <w:rPr>
      <w:rFonts w:cs="Times New Roman"/>
      <w:color w:val="0000FF"/>
      <w:u w:val="single"/>
    </w:rPr>
  </w:style>
  <w:style w:type="character" w:styleId="FootnoteReference">
    <w:name w:val="footnote reference"/>
    <w:uiPriority w:val="99"/>
    <w:rsid w:val="007526C1"/>
    <w:rPr>
      <w:rFonts w:ascii="Times New Roman" w:hAnsi="Times New Roman" w:cs="Times New Roman"/>
      <w:sz w:val="24"/>
      <w:vertAlign w:val="superscript"/>
    </w:rPr>
  </w:style>
  <w:style w:type="paragraph" w:styleId="Header">
    <w:name w:val="header"/>
    <w:basedOn w:val="Normal"/>
    <w:link w:val="HeaderChar"/>
    <w:uiPriority w:val="99"/>
    <w:rsid w:val="00E201F6"/>
    <w:pPr>
      <w:tabs>
        <w:tab w:val="center" w:pos="4680"/>
        <w:tab w:val="right" w:pos="9360"/>
      </w:tabs>
    </w:pPr>
  </w:style>
  <w:style w:type="character" w:customStyle="1" w:styleId="HeaderChar">
    <w:name w:val="Header Char"/>
    <w:basedOn w:val="DefaultParagraphFont"/>
    <w:link w:val="Header"/>
    <w:uiPriority w:val="99"/>
    <w:rsid w:val="00E201F6"/>
    <w:rPr>
      <w:rFonts w:ascii="Times New Roman" w:eastAsia="Times New Roman" w:hAnsi="Times New Roman" w:cs="Times New Roman"/>
      <w:sz w:val="24"/>
      <w:szCs w:val="24"/>
    </w:rPr>
  </w:style>
  <w:style w:type="paragraph" w:styleId="Footer">
    <w:name w:val="footer"/>
    <w:basedOn w:val="Normal"/>
    <w:link w:val="FooterChar"/>
    <w:uiPriority w:val="99"/>
    <w:rsid w:val="00E201F6"/>
    <w:pPr>
      <w:tabs>
        <w:tab w:val="center" w:pos="4680"/>
        <w:tab w:val="right" w:pos="9360"/>
      </w:tabs>
    </w:pPr>
  </w:style>
  <w:style w:type="character" w:customStyle="1" w:styleId="FooterChar">
    <w:name w:val="Footer Char"/>
    <w:basedOn w:val="DefaultParagraphFont"/>
    <w:link w:val="Footer"/>
    <w:uiPriority w:val="99"/>
    <w:rsid w:val="00E201F6"/>
    <w:rPr>
      <w:rFonts w:ascii="Times New Roman" w:eastAsia="Times New Roman" w:hAnsi="Times New Roman" w:cs="Times New Roman"/>
      <w:sz w:val="24"/>
      <w:szCs w:val="24"/>
    </w:rPr>
  </w:style>
  <w:style w:type="character" w:customStyle="1" w:styleId="normaltextrun">
    <w:name w:val="normaltextrun"/>
    <w:rsid w:val="00E201F6"/>
  </w:style>
  <w:style w:type="paragraph" w:styleId="ListParagraph">
    <w:name w:val="List Paragraph"/>
    <w:basedOn w:val="Normal"/>
    <w:uiPriority w:val="34"/>
    <w:qFormat/>
    <w:rsid w:val="00E201F6"/>
    <w:pPr>
      <w:ind w:left="720"/>
      <w:contextualSpacing/>
    </w:pPr>
  </w:style>
  <w:style w:type="character" w:customStyle="1" w:styleId="o-published-datetime">
    <w:name w:val="o-published-date__time"/>
    <w:basedOn w:val="DefaultParagraphFont"/>
    <w:rsid w:val="00E201F6"/>
  </w:style>
  <w:style w:type="character" w:styleId="Emphasis">
    <w:name w:val="Emphasis"/>
    <w:basedOn w:val="DefaultParagraphFont"/>
    <w:uiPriority w:val="20"/>
    <w:qFormat/>
    <w:rsid w:val="00E71C63"/>
    <w:rPr>
      <w:i/>
      <w:iCs/>
    </w:rPr>
  </w:style>
  <w:style w:type="paragraph" w:customStyle="1" w:styleId="xmsolistparagraph">
    <w:name w:val="x_msolistparagraph"/>
    <w:basedOn w:val="Normal"/>
    <w:rsid w:val="00A9567C"/>
    <w:pPr>
      <w:ind w:left="720"/>
    </w:pPr>
    <w:rPr>
      <w:rFonts w:ascii="Calibri" w:eastAsiaTheme="minorHAnsi" w:hAnsi="Calibri" w:cs="Calibri"/>
      <w:sz w:val="22"/>
      <w:szCs w:val="22"/>
    </w:rPr>
  </w:style>
  <w:style w:type="character" w:customStyle="1" w:styleId="apple-converted-space">
    <w:name w:val="apple-converted-space"/>
    <w:basedOn w:val="DefaultParagraphFont"/>
    <w:rsid w:val="005F352A"/>
  </w:style>
  <w:style w:type="character" w:customStyle="1" w:styleId="Date1">
    <w:name w:val="Date1"/>
    <w:basedOn w:val="DefaultParagraphFont"/>
    <w:rsid w:val="009C6245"/>
  </w:style>
  <w:style w:type="character" w:styleId="FollowedHyperlink">
    <w:name w:val="FollowedHyperlink"/>
    <w:basedOn w:val="DefaultParagraphFont"/>
    <w:uiPriority w:val="99"/>
    <w:semiHidden/>
    <w:unhideWhenUsed/>
    <w:rsid w:val="00141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2237">
      <w:bodyDiv w:val="1"/>
      <w:marLeft w:val="0"/>
      <w:marRight w:val="0"/>
      <w:marTop w:val="0"/>
      <w:marBottom w:val="0"/>
      <w:divBdr>
        <w:top w:val="none" w:sz="0" w:space="0" w:color="auto"/>
        <w:left w:val="none" w:sz="0" w:space="0" w:color="auto"/>
        <w:bottom w:val="none" w:sz="0" w:space="0" w:color="auto"/>
        <w:right w:val="none" w:sz="0" w:space="0" w:color="auto"/>
      </w:divBdr>
    </w:div>
    <w:div w:id="421073588">
      <w:bodyDiv w:val="1"/>
      <w:marLeft w:val="0"/>
      <w:marRight w:val="0"/>
      <w:marTop w:val="0"/>
      <w:marBottom w:val="0"/>
      <w:divBdr>
        <w:top w:val="none" w:sz="0" w:space="0" w:color="auto"/>
        <w:left w:val="none" w:sz="0" w:space="0" w:color="auto"/>
        <w:bottom w:val="none" w:sz="0" w:space="0" w:color="auto"/>
        <w:right w:val="none" w:sz="0" w:space="0" w:color="auto"/>
      </w:divBdr>
    </w:div>
    <w:div w:id="523058698">
      <w:bodyDiv w:val="1"/>
      <w:marLeft w:val="0"/>
      <w:marRight w:val="0"/>
      <w:marTop w:val="0"/>
      <w:marBottom w:val="0"/>
      <w:divBdr>
        <w:top w:val="none" w:sz="0" w:space="0" w:color="auto"/>
        <w:left w:val="none" w:sz="0" w:space="0" w:color="auto"/>
        <w:bottom w:val="none" w:sz="0" w:space="0" w:color="auto"/>
        <w:right w:val="none" w:sz="0" w:space="0" w:color="auto"/>
      </w:divBdr>
    </w:div>
    <w:div w:id="587887797">
      <w:bodyDiv w:val="1"/>
      <w:marLeft w:val="0"/>
      <w:marRight w:val="0"/>
      <w:marTop w:val="0"/>
      <w:marBottom w:val="0"/>
      <w:divBdr>
        <w:top w:val="none" w:sz="0" w:space="0" w:color="auto"/>
        <w:left w:val="none" w:sz="0" w:space="0" w:color="auto"/>
        <w:bottom w:val="none" w:sz="0" w:space="0" w:color="auto"/>
        <w:right w:val="none" w:sz="0" w:space="0" w:color="auto"/>
      </w:divBdr>
      <w:divsChild>
        <w:div w:id="93798229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C0C0C0"/>
                <w:left w:val="none" w:sz="0" w:space="0" w:color="C0C0C0"/>
                <w:bottom w:val="none" w:sz="0" w:space="0" w:color="C0C0C0"/>
                <w:right w:val="none" w:sz="0" w:space="0" w:color="C0C0C0"/>
              </w:divBdr>
              <w:divsChild>
                <w:div w:id="1905023086">
                  <w:marLeft w:val="0"/>
                  <w:marRight w:val="0"/>
                  <w:marTop w:val="0"/>
                  <w:marBottom w:val="0"/>
                  <w:divBdr>
                    <w:top w:val="none" w:sz="0" w:space="0" w:color="auto"/>
                    <w:left w:val="none" w:sz="0" w:space="0" w:color="auto"/>
                    <w:bottom w:val="none" w:sz="0" w:space="0" w:color="auto"/>
                    <w:right w:val="none" w:sz="0" w:space="0" w:color="auto"/>
                  </w:divBdr>
                  <w:divsChild>
                    <w:div w:id="1735543089">
                      <w:marLeft w:val="0"/>
                      <w:marRight w:val="0"/>
                      <w:marTop w:val="0"/>
                      <w:marBottom w:val="0"/>
                      <w:divBdr>
                        <w:top w:val="none" w:sz="0" w:space="0" w:color="auto"/>
                        <w:left w:val="none" w:sz="0" w:space="0" w:color="auto"/>
                        <w:bottom w:val="none" w:sz="0" w:space="0" w:color="auto"/>
                        <w:right w:val="none" w:sz="0" w:space="0" w:color="auto"/>
                      </w:divBdr>
                      <w:divsChild>
                        <w:div w:id="1251621858">
                          <w:marLeft w:val="150"/>
                          <w:marRight w:val="150"/>
                          <w:marTop w:val="150"/>
                          <w:marBottom w:val="150"/>
                          <w:divBdr>
                            <w:top w:val="none" w:sz="0" w:space="0" w:color="auto"/>
                            <w:left w:val="none" w:sz="0" w:space="0" w:color="auto"/>
                            <w:bottom w:val="none" w:sz="0" w:space="0" w:color="auto"/>
                            <w:right w:val="none" w:sz="0" w:space="0" w:color="auto"/>
                          </w:divBdr>
                          <w:divsChild>
                            <w:div w:id="978461233">
                              <w:marLeft w:val="0"/>
                              <w:marRight w:val="0"/>
                              <w:marTop w:val="0"/>
                              <w:marBottom w:val="0"/>
                              <w:divBdr>
                                <w:top w:val="none" w:sz="0" w:space="0" w:color="auto"/>
                                <w:left w:val="none" w:sz="0" w:space="0" w:color="auto"/>
                                <w:bottom w:val="none" w:sz="0" w:space="0" w:color="auto"/>
                                <w:right w:val="none" w:sz="0" w:space="0" w:color="auto"/>
                              </w:divBdr>
                              <w:divsChild>
                                <w:div w:id="5166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723671">
      <w:bodyDiv w:val="1"/>
      <w:marLeft w:val="0"/>
      <w:marRight w:val="0"/>
      <w:marTop w:val="0"/>
      <w:marBottom w:val="0"/>
      <w:divBdr>
        <w:top w:val="none" w:sz="0" w:space="0" w:color="auto"/>
        <w:left w:val="none" w:sz="0" w:space="0" w:color="auto"/>
        <w:bottom w:val="none" w:sz="0" w:space="0" w:color="auto"/>
        <w:right w:val="none" w:sz="0" w:space="0" w:color="auto"/>
      </w:divBdr>
    </w:div>
    <w:div w:id="905140825">
      <w:bodyDiv w:val="1"/>
      <w:marLeft w:val="0"/>
      <w:marRight w:val="0"/>
      <w:marTop w:val="0"/>
      <w:marBottom w:val="0"/>
      <w:divBdr>
        <w:top w:val="none" w:sz="0" w:space="0" w:color="auto"/>
        <w:left w:val="none" w:sz="0" w:space="0" w:color="auto"/>
        <w:bottom w:val="none" w:sz="0" w:space="0" w:color="auto"/>
        <w:right w:val="none" w:sz="0" w:space="0" w:color="auto"/>
      </w:divBdr>
    </w:div>
    <w:div w:id="1132334165">
      <w:bodyDiv w:val="1"/>
      <w:marLeft w:val="0"/>
      <w:marRight w:val="0"/>
      <w:marTop w:val="0"/>
      <w:marBottom w:val="0"/>
      <w:divBdr>
        <w:top w:val="none" w:sz="0" w:space="0" w:color="auto"/>
        <w:left w:val="none" w:sz="0" w:space="0" w:color="auto"/>
        <w:bottom w:val="none" w:sz="0" w:space="0" w:color="auto"/>
        <w:right w:val="none" w:sz="0" w:space="0" w:color="auto"/>
      </w:divBdr>
    </w:div>
    <w:div w:id="1255549353">
      <w:bodyDiv w:val="1"/>
      <w:marLeft w:val="0"/>
      <w:marRight w:val="0"/>
      <w:marTop w:val="0"/>
      <w:marBottom w:val="0"/>
      <w:divBdr>
        <w:top w:val="none" w:sz="0" w:space="0" w:color="auto"/>
        <w:left w:val="none" w:sz="0" w:space="0" w:color="auto"/>
        <w:bottom w:val="none" w:sz="0" w:space="0" w:color="auto"/>
        <w:right w:val="none" w:sz="0" w:space="0" w:color="auto"/>
      </w:divBdr>
    </w:div>
    <w:div w:id="1357388340">
      <w:bodyDiv w:val="1"/>
      <w:marLeft w:val="0"/>
      <w:marRight w:val="0"/>
      <w:marTop w:val="0"/>
      <w:marBottom w:val="0"/>
      <w:divBdr>
        <w:top w:val="none" w:sz="0" w:space="0" w:color="auto"/>
        <w:left w:val="none" w:sz="0" w:space="0" w:color="auto"/>
        <w:bottom w:val="none" w:sz="0" w:space="0" w:color="auto"/>
        <w:right w:val="none" w:sz="0" w:space="0" w:color="auto"/>
      </w:divBdr>
    </w:div>
    <w:div w:id="1440370794">
      <w:bodyDiv w:val="1"/>
      <w:marLeft w:val="0"/>
      <w:marRight w:val="0"/>
      <w:marTop w:val="0"/>
      <w:marBottom w:val="0"/>
      <w:divBdr>
        <w:top w:val="none" w:sz="0" w:space="0" w:color="auto"/>
        <w:left w:val="none" w:sz="0" w:space="0" w:color="auto"/>
        <w:bottom w:val="none" w:sz="0" w:space="0" w:color="auto"/>
        <w:right w:val="none" w:sz="0" w:space="0" w:color="auto"/>
      </w:divBdr>
    </w:div>
    <w:div w:id="1555199057">
      <w:bodyDiv w:val="1"/>
      <w:marLeft w:val="0"/>
      <w:marRight w:val="0"/>
      <w:marTop w:val="0"/>
      <w:marBottom w:val="0"/>
      <w:divBdr>
        <w:top w:val="none" w:sz="0" w:space="0" w:color="auto"/>
        <w:left w:val="none" w:sz="0" w:space="0" w:color="auto"/>
        <w:bottom w:val="none" w:sz="0" w:space="0" w:color="auto"/>
        <w:right w:val="none" w:sz="0" w:space="0" w:color="auto"/>
      </w:divBdr>
    </w:div>
    <w:div w:id="1602571528">
      <w:bodyDiv w:val="1"/>
      <w:marLeft w:val="0"/>
      <w:marRight w:val="0"/>
      <w:marTop w:val="0"/>
      <w:marBottom w:val="0"/>
      <w:divBdr>
        <w:top w:val="none" w:sz="0" w:space="0" w:color="auto"/>
        <w:left w:val="none" w:sz="0" w:space="0" w:color="auto"/>
        <w:bottom w:val="none" w:sz="0" w:space="0" w:color="auto"/>
        <w:right w:val="none" w:sz="0" w:space="0" w:color="auto"/>
      </w:divBdr>
      <w:divsChild>
        <w:div w:id="1047683461">
          <w:marLeft w:val="0"/>
          <w:marRight w:val="0"/>
          <w:marTop w:val="0"/>
          <w:marBottom w:val="0"/>
          <w:divBdr>
            <w:top w:val="none" w:sz="0" w:space="0" w:color="auto"/>
            <w:left w:val="none" w:sz="0" w:space="0" w:color="auto"/>
            <w:bottom w:val="none" w:sz="0" w:space="0" w:color="auto"/>
            <w:right w:val="none" w:sz="0" w:space="0" w:color="auto"/>
          </w:divBdr>
        </w:div>
      </w:divsChild>
    </w:div>
    <w:div w:id="1829513710">
      <w:bodyDiv w:val="1"/>
      <w:marLeft w:val="0"/>
      <w:marRight w:val="0"/>
      <w:marTop w:val="0"/>
      <w:marBottom w:val="0"/>
      <w:divBdr>
        <w:top w:val="none" w:sz="0" w:space="0" w:color="auto"/>
        <w:left w:val="none" w:sz="0" w:space="0" w:color="auto"/>
        <w:bottom w:val="none" w:sz="0" w:space="0" w:color="auto"/>
        <w:right w:val="none" w:sz="0" w:space="0" w:color="auto"/>
      </w:divBdr>
    </w:div>
    <w:div w:id="2104566807">
      <w:bodyDiv w:val="1"/>
      <w:marLeft w:val="0"/>
      <w:marRight w:val="0"/>
      <w:marTop w:val="0"/>
      <w:marBottom w:val="0"/>
      <w:divBdr>
        <w:top w:val="none" w:sz="0" w:space="0" w:color="auto"/>
        <w:left w:val="none" w:sz="0" w:space="0" w:color="auto"/>
        <w:bottom w:val="none" w:sz="0" w:space="0" w:color="auto"/>
        <w:right w:val="none" w:sz="0" w:space="0" w:color="auto"/>
      </w:divBdr>
    </w:div>
    <w:div w:id="21162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ny.gov/statistics/opioid/" TargetMode="External"/><Relationship Id="rId13" Type="http://schemas.openxmlformats.org/officeDocument/2006/relationships/hyperlink" Target="https://ag.ny.gov/press-release/2019/attorney-general-james-files-nations-most-comprehensive-suit-against-opioid" TargetMode="External"/><Relationship Id="rId3" Type="http://schemas.openxmlformats.org/officeDocument/2006/relationships/hyperlink" Target="https://nida.nih.gov/research-topics/opioids/opioid-overdose-crisis" TargetMode="External"/><Relationship Id="rId7" Type="http://schemas.openxmlformats.org/officeDocument/2006/relationships/hyperlink" Target="https://www.ama-assn.org/system/files/2020-09/issue-brief-increases-in-opioid-related-overdose.pdf" TargetMode="External"/><Relationship Id="rId12" Type="http://schemas.openxmlformats.org/officeDocument/2006/relationships/hyperlink" Target="https://www.nysenate.gov/legislation/bills/2021/s7194" TargetMode="External"/><Relationship Id="rId2" Type="http://schemas.openxmlformats.org/officeDocument/2006/relationships/hyperlink" Target="https://www.hhs.gov/opioids/about-the-epidemic/index.html" TargetMode="External"/><Relationship Id="rId1" Type="http://schemas.openxmlformats.org/officeDocument/2006/relationships/hyperlink" Target="https://www.cdc.gov/opioids/data/index.html" TargetMode="External"/><Relationship Id="rId6" Type="http://schemas.openxmlformats.org/officeDocument/2006/relationships/hyperlink" Target="https://gothamist.com/news/leaving-jail-addicts-face-growing-opioid-crisis-during-pandemic" TargetMode="External"/><Relationship Id="rId11" Type="http://schemas.openxmlformats.org/officeDocument/2006/relationships/hyperlink" Target="https://ag.ny.gov/press-release/2019/attorney-general-james-files-nations-most-comprehensive-suit-against-opioid" TargetMode="External"/><Relationship Id="rId5" Type="http://schemas.openxmlformats.org/officeDocument/2006/relationships/hyperlink" Target="https://nida.nih.gov/research-topics/opioids/opioid-overdose-crisis" TargetMode="External"/><Relationship Id="rId15" Type="http://schemas.openxmlformats.org/officeDocument/2006/relationships/hyperlink" Target="https://www1.nyc.gov/office-of-the-mayor/news/457-22/mayor-adams-how-opioid-settlement-fund-dollars-will-lay-pathbreaking-way-forward-for" TargetMode="External"/><Relationship Id="rId10" Type="http://schemas.openxmlformats.org/officeDocument/2006/relationships/hyperlink" Target="https://www1.nyc.gov/site/doh/about/press/pr2022/overdose-increases-as-harm-reduction-program-scales-up.page" TargetMode="External"/><Relationship Id="rId4" Type="http://schemas.openxmlformats.org/officeDocument/2006/relationships/hyperlink" Target="https://www.cdc.gov/opioids/data/index.html" TargetMode="External"/><Relationship Id="rId9" Type="http://schemas.openxmlformats.org/officeDocument/2006/relationships/hyperlink" Target="https://www1.nyc.gov/site/doh/health/health-topics/alcohol-and-drug-use-prevent-overdose.page" TargetMode="External"/><Relationship Id="rId14" Type="http://schemas.openxmlformats.org/officeDocument/2006/relationships/hyperlink" Target="https://www1.nyc.gov/office-of-the-mayor/news/233-22/mayor-adams-attorney-general-james-fight-opioid-crisis-first-286-million-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CB1F-9B5E-4675-9619-1B937084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2104</Words>
  <Characters>11995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Sara</dc:creator>
  <cp:keywords/>
  <dc:description/>
  <cp:lastModifiedBy>DelFranco, Ruthie</cp:lastModifiedBy>
  <cp:revision>2</cp:revision>
  <dcterms:created xsi:type="dcterms:W3CDTF">2022-07-01T14:29:00Z</dcterms:created>
  <dcterms:modified xsi:type="dcterms:W3CDTF">2022-07-01T14:29:00Z</dcterms:modified>
</cp:coreProperties>
</file>