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779BF" w14:textId="72691235" w:rsidR="003E5000" w:rsidRPr="0008735B" w:rsidRDefault="003E5000" w:rsidP="003E5000">
      <w:pPr>
        <w:jc w:val="right"/>
        <w:rPr>
          <w:u w:val="single"/>
        </w:rPr>
      </w:pPr>
      <w:bookmarkStart w:id="0" w:name="_GoBack"/>
      <w:bookmarkEnd w:id="0"/>
      <w:r>
        <w:t xml:space="preserve">          </w:t>
      </w:r>
      <w:r w:rsidRPr="0008735B">
        <w:rPr>
          <w:u w:val="single"/>
        </w:rPr>
        <w:t>Committee on Veterans</w:t>
      </w:r>
    </w:p>
    <w:p w14:paraId="40966E01" w14:textId="77777777" w:rsidR="003E5000" w:rsidRDefault="003E5000" w:rsidP="003E5000">
      <w:pPr>
        <w:ind w:left="5040"/>
      </w:pPr>
      <w:r>
        <w:t xml:space="preserve">  </w:t>
      </w:r>
      <w:r>
        <w:tab/>
        <w:t xml:space="preserve">    Bianca Vitale</w:t>
      </w:r>
      <w:r w:rsidRPr="0008735B">
        <w:t>,</w:t>
      </w:r>
      <w:r>
        <w:t xml:space="preserve"> Committee</w:t>
      </w:r>
      <w:r w:rsidRPr="0008735B">
        <w:t xml:space="preserve"> Counsel</w:t>
      </w:r>
    </w:p>
    <w:p w14:paraId="0BE4D4DE" w14:textId="6F5C546A" w:rsidR="006E570F" w:rsidRDefault="006E570F" w:rsidP="006E570F">
      <w:pPr>
        <w:ind w:left="5040"/>
      </w:pPr>
      <w:r>
        <w:t xml:space="preserve">          Nicholas Connell, Committee Counsel</w:t>
      </w:r>
      <w:r w:rsidR="003E5000">
        <w:t xml:space="preserve">         </w:t>
      </w:r>
    </w:p>
    <w:p w14:paraId="6606F022" w14:textId="49D762C3" w:rsidR="003E5000" w:rsidRDefault="006E570F" w:rsidP="003E5000">
      <w:pPr>
        <w:ind w:left="5040" w:firstLine="720"/>
      </w:pPr>
      <w:r>
        <w:t xml:space="preserve">         </w:t>
      </w:r>
      <w:r w:rsidR="003E5000">
        <w:t xml:space="preserve">  Elizabeth Arzt, Policy Analyst       </w:t>
      </w:r>
    </w:p>
    <w:p w14:paraId="3337250A" w14:textId="77777777" w:rsidR="003E5000" w:rsidRDefault="003E5000" w:rsidP="003E5000">
      <w:pPr>
        <w:ind w:left="5040"/>
      </w:pPr>
      <w:r>
        <w:t xml:space="preserve"> Sebastian Bacchi, Principal Finance Analyst</w:t>
      </w:r>
    </w:p>
    <w:p w14:paraId="6594BE8E" w14:textId="77777777" w:rsidR="003E5000" w:rsidRDefault="003E5000" w:rsidP="003E5000">
      <w:pPr>
        <w:ind w:left="5040"/>
      </w:pPr>
    </w:p>
    <w:p w14:paraId="0C86B4E7" w14:textId="77777777" w:rsidR="003E5000" w:rsidRDefault="003E5000" w:rsidP="003E5000">
      <w:pPr>
        <w:jc w:val="both"/>
      </w:pPr>
    </w:p>
    <w:p w14:paraId="26D6C581" w14:textId="77777777" w:rsidR="003E5000" w:rsidRDefault="003E5000" w:rsidP="003E5000">
      <w:pPr>
        <w:jc w:val="both"/>
      </w:pPr>
      <w:r>
        <w:rPr>
          <w:noProof/>
        </w:rPr>
        <w:drawing>
          <wp:anchor distT="0" distB="0" distL="114300" distR="114300" simplePos="0" relativeHeight="251659264" behindDoc="0" locked="0" layoutInCell="1" allowOverlap="1" wp14:anchorId="41843D44" wp14:editId="092F30A0">
            <wp:simplePos x="0" y="0"/>
            <wp:positionH relativeFrom="page">
              <wp:posOffset>3362325</wp:posOffset>
            </wp:positionH>
            <wp:positionV relativeFrom="margin">
              <wp:posOffset>1628775</wp:posOffset>
            </wp:positionV>
            <wp:extent cx="1143000" cy="1162050"/>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single"/>
        </w:rPr>
        <w:br/>
      </w:r>
    </w:p>
    <w:p w14:paraId="1863B990" w14:textId="77777777" w:rsidR="003E5000" w:rsidRDefault="003E5000" w:rsidP="003E5000">
      <w:pPr>
        <w:ind w:left="5760"/>
        <w:jc w:val="both"/>
      </w:pPr>
      <w:r w:rsidRPr="00CC76C1">
        <w:t xml:space="preserve">   </w:t>
      </w:r>
    </w:p>
    <w:p w14:paraId="44D278AB" w14:textId="77777777" w:rsidR="003E5000" w:rsidRPr="00CC76C1" w:rsidRDefault="003E5000" w:rsidP="003E5000">
      <w:pPr>
        <w:ind w:left="5760"/>
        <w:jc w:val="both"/>
      </w:pPr>
    </w:p>
    <w:p w14:paraId="596C0A2B" w14:textId="77777777" w:rsidR="003E5000" w:rsidRPr="00CC76C1" w:rsidRDefault="003E5000" w:rsidP="003E5000">
      <w:pPr>
        <w:ind w:left="5760" w:firstLine="720"/>
        <w:jc w:val="both"/>
      </w:pPr>
    </w:p>
    <w:p w14:paraId="20CEE97E" w14:textId="71CFBE27" w:rsidR="003E5000" w:rsidRDefault="003E5000" w:rsidP="003E5000">
      <w:pPr>
        <w:jc w:val="both"/>
      </w:pPr>
      <w:r w:rsidRPr="00CC76C1">
        <w:tab/>
      </w:r>
      <w:r w:rsidRPr="00CC76C1">
        <w:tab/>
      </w:r>
      <w:r w:rsidRPr="00CC76C1">
        <w:tab/>
      </w:r>
    </w:p>
    <w:p w14:paraId="49BEE3EA" w14:textId="3B3A6AB0" w:rsidR="006E570F" w:rsidRDefault="006E570F" w:rsidP="003E5000">
      <w:pPr>
        <w:jc w:val="both"/>
      </w:pPr>
    </w:p>
    <w:p w14:paraId="4B1BC43E" w14:textId="77777777" w:rsidR="006E570F" w:rsidRPr="00CC76C1" w:rsidRDefault="006E570F" w:rsidP="003E5000">
      <w:pPr>
        <w:jc w:val="both"/>
      </w:pPr>
    </w:p>
    <w:p w14:paraId="3CE04065" w14:textId="77777777" w:rsidR="003E5000" w:rsidRPr="00CC76C1" w:rsidRDefault="003E5000" w:rsidP="003E5000">
      <w:pPr>
        <w:ind w:left="4320" w:firstLine="720"/>
      </w:pPr>
    </w:p>
    <w:p w14:paraId="02133052" w14:textId="77777777" w:rsidR="003E5000" w:rsidRDefault="003E5000" w:rsidP="003E5000">
      <w:pPr>
        <w:keepNext/>
        <w:outlineLvl w:val="2"/>
        <w:rPr>
          <w:b/>
          <w:bCs/>
        </w:rPr>
      </w:pPr>
    </w:p>
    <w:p w14:paraId="35317429" w14:textId="77777777" w:rsidR="003E5000" w:rsidRDefault="003E5000" w:rsidP="003E5000">
      <w:pPr>
        <w:keepNext/>
        <w:jc w:val="center"/>
        <w:outlineLvl w:val="2"/>
        <w:rPr>
          <w:b/>
          <w:bCs/>
        </w:rPr>
      </w:pPr>
    </w:p>
    <w:p w14:paraId="45420F7B" w14:textId="77777777" w:rsidR="003E5000" w:rsidRPr="00CC76C1" w:rsidRDefault="003E5000" w:rsidP="003E5000">
      <w:pPr>
        <w:keepNext/>
        <w:jc w:val="center"/>
        <w:outlineLvl w:val="2"/>
        <w:rPr>
          <w:b/>
          <w:bCs/>
        </w:rPr>
      </w:pPr>
      <w:r w:rsidRPr="00CC76C1">
        <w:rPr>
          <w:b/>
          <w:bCs/>
        </w:rPr>
        <w:t>THE COUNCIL OF THE CITY OF NEW YORK</w:t>
      </w:r>
    </w:p>
    <w:p w14:paraId="1258B036" w14:textId="77777777" w:rsidR="003E5000" w:rsidRPr="00CC76C1" w:rsidRDefault="003E5000" w:rsidP="003E5000">
      <w:pPr>
        <w:keepNext/>
        <w:outlineLvl w:val="3"/>
        <w:rPr>
          <w:b/>
          <w:bCs/>
          <w:u w:val="single"/>
        </w:rPr>
      </w:pPr>
    </w:p>
    <w:p w14:paraId="6F6CC8E1" w14:textId="77777777" w:rsidR="003E5000" w:rsidRPr="00CC76C1" w:rsidRDefault="003E5000" w:rsidP="003E5000">
      <w:pPr>
        <w:keepNext/>
        <w:jc w:val="center"/>
        <w:outlineLvl w:val="3"/>
        <w:rPr>
          <w:b/>
          <w:bCs/>
          <w:u w:val="single"/>
        </w:rPr>
      </w:pPr>
      <w:r>
        <w:rPr>
          <w:b/>
          <w:bCs/>
          <w:u w:val="single"/>
        </w:rPr>
        <w:t>COMMITTEE REPORT</w:t>
      </w:r>
      <w:r w:rsidRPr="00CC76C1">
        <w:rPr>
          <w:b/>
          <w:bCs/>
          <w:u w:val="single"/>
        </w:rPr>
        <w:t xml:space="preserve"> OF THE HUMAN SERVICES DIVISION</w:t>
      </w:r>
    </w:p>
    <w:p w14:paraId="3B634198" w14:textId="77777777" w:rsidR="003E5000" w:rsidRPr="00685B16" w:rsidRDefault="003E5000" w:rsidP="003E5000">
      <w:pPr>
        <w:jc w:val="center"/>
        <w:rPr>
          <w:bCs/>
        </w:rPr>
      </w:pPr>
      <w:r w:rsidRPr="0047324E">
        <w:rPr>
          <w:bCs/>
        </w:rPr>
        <w:t>Andrea Vazquez</w:t>
      </w:r>
      <w:r w:rsidRPr="00685B16">
        <w:rPr>
          <w:bCs/>
        </w:rPr>
        <w:t xml:space="preserve">, </w:t>
      </w:r>
      <w:r>
        <w:rPr>
          <w:bCs/>
        </w:rPr>
        <w:t xml:space="preserve">Legislative </w:t>
      </w:r>
      <w:r w:rsidRPr="00685B16">
        <w:rPr>
          <w:bCs/>
        </w:rPr>
        <w:t>Director</w:t>
      </w:r>
    </w:p>
    <w:p w14:paraId="69D846BF" w14:textId="77777777" w:rsidR="003E5000" w:rsidRDefault="003E5000" w:rsidP="003E5000">
      <w:pPr>
        <w:jc w:val="center"/>
        <w:rPr>
          <w:bCs/>
        </w:rPr>
      </w:pPr>
      <w:r>
        <w:rPr>
          <w:bCs/>
        </w:rPr>
        <w:t>Smita Deshmukh</w:t>
      </w:r>
      <w:r w:rsidRPr="00685B16">
        <w:rPr>
          <w:bCs/>
        </w:rPr>
        <w:t>, Deputy Director</w:t>
      </w:r>
      <w:r>
        <w:rPr>
          <w:bCs/>
        </w:rPr>
        <w:t>, Human Services</w:t>
      </w:r>
    </w:p>
    <w:p w14:paraId="291F081F" w14:textId="77777777" w:rsidR="003E5000" w:rsidRPr="00CC76C1" w:rsidRDefault="003E5000" w:rsidP="003E5000">
      <w:pPr>
        <w:keepNext/>
        <w:outlineLvl w:val="4"/>
        <w:rPr>
          <w:b/>
          <w:bCs/>
        </w:rPr>
      </w:pPr>
    </w:p>
    <w:p w14:paraId="268754F8" w14:textId="77777777" w:rsidR="003E5000" w:rsidRPr="00CC76C1" w:rsidRDefault="003E5000" w:rsidP="003E5000">
      <w:pPr>
        <w:keepNext/>
        <w:jc w:val="center"/>
        <w:outlineLvl w:val="3"/>
        <w:rPr>
          <w:b/>
          <w:bCs/>
          <w:u w:val="single"/>
        </w:rPr>
      </w:pPr>
      <w:r w:rsidRPr="00CC76C1">
        <w:rPr>
          <w:b/>
          <w:bCs/>
          <w:u w:val="single"/>
        </w:rPr>
        <w:t>COMMITTEE ON VETERANS</w:t>
      </w:r>
    </w:p>
    <w:p w14:paraId="30D3816A" w14:textId="77777777" w:rsidR="003E5000" w:rsidRDefault="003E5000" w:rsidP="003E5000">
      <w:pPr>
        <w:keepNext/>
        <w:jc w:val="center"/>
        <w:outlineLvl w:val="4"/>
        <w:rPr>
          <w:bCs/>
        </w:rPr>
      </w:pPr>
      <w:r w:rsidRPr="00092711">
        <w:rPr>
          <w:bCs/>
        </w:rPr>
        <w:t xml:space="preserve">Honorable </w:t>
      </w:r>
      <w:r>
        <w:rPr>
          <w:bCs/>
        </w:rPr>
        <w:t>Robert Holden</w:t>
      </w:r>
      <w:r w:rsidRPr="00092711">
        <w:rPr>
          <w:bCs/>
        </w:rPr>
        <w:t>, Chair</w:t>
      </w:r>
    </w:p>
    <w:p w14:paraId="3D1898BF" w14:textId="77777777" w:rsidR="003E5000" w:rsidRDefault="003E5000" w:rsidP="003E5000">
      <w:pPr>
        <w:keepNext/>
        <w:jc w:val="center"/>
        <w:outlineLvl w:val="4"/>
        <w:rPr>
          <w:bCs/>
        </w:rPr>
      </w:pPr>
    </w:p>
    <w:p w14:paraId="356E40CB" w14:textId="77777777" w:rsidR="003E5000" w:rsidRDefault="003E5000" w:rsidP="003E5000">
      <w:pPr>
        <w:keepNext/>
        <w:outlineLvl w:val="4"/>
        <w:rPr>
          <w:b/>
          <w:bCs/>
        </w:rPr>
      </w:pPr>
    </w:p>
    <w:p w14:paraId="61B87446" w14:textId="506131E8" w:rsidR="003E5000" w:rsidRDefault="003E5000" w:rsidP="003E5000">
      <w:pPr>
        <w:keepNext/>
        <w:jc w:val="center"/>
        <w:outlineLvl w:val="4"/>
        <w:rPr>
          <w:b/>
          <w:bCs/>
        </w:rPr>
      </w:pPr>
      <w:r>
        <w:rPr>
          <w:b/>
          <w:bCs/>
        </w:rPr>
        <w:t>June 17, 2022</w:t>
      </w:r>
    </w:p>
    <w:p w14:paraId="7C519B09" w14:textId="77777777" w:rsidR="003E5000" w:rsidRDefault="003E5000" w:rsidP="003E5000">
      <w:pPr>
        <w:keepNext/>
        <w:jc w:val="center"/>
        <w:outlineLvl w:val="4"/>
        <w:rPr>
          <w:b/>
          <w:bCs/>
        </w:rPr>
      </w:pPr>
    </w:p>
    <w:p w14:paraId="61B5A0E7" w14:textId="3BC46C8B" w:rsidR="003E5000" w:rsidRPr="006E570F" w:rsidRDefault="003E5000" w:rsidP="006E570F">
      <w:pPr>
        <w:jc w:val="center"/>
        <w:rPr>
          <w:b/>
        </w:rPr>
      </w:pPr>
      <w:r w:rsidRPr="006E570F">
        <w:rPr>
          <w:b/>
        </w:rPr>
        <w:t xml:space="preserve">Oversight: </w:t>
      </w:r>
      <w:r w:rsidR="006E570F" w:rsidRPr="006E570F">
        <w:rPr>
          <w:b/>
        </w:rPr>
        <w:t>How New York City's Veterans Access Healthcare</w:t>
      </w:r>
    </w:p>
    <w:p w14:paraId="0FEAA8D8" w14:textId="77777777" w:rsidR="003E5000" w:rsidRDefault="003E5000" w:rsidP="003E5000">
      <w:pPr>
        <w:tabs>
          <w:tab w:val="left" w:pos="3600"/>
          <w:tab w:val="left" w:pos="7380"/>
        </w:tabs>
        <w:spacing w:after="120"/>
        <w:jc w:val="both"/>
        <w:rPr>
          <w:b/>
          <w:bCs/>
          <w:u w:val="single"/>
        </w:rPr>
      </w:pPr>
    </w:p>
    <w:p w14:paraId="293B7144" w14:textId="77777777" w:rsidR="00BD0D8E" w:rsidRDefault="00BD0D8E" w:rsidP="00BD0D8E">
      <w:pPr>
        <w:tabs>
          <w:tab w:val="left" w:pos="3600"/>
          <w:tab w:val="left" w:pos="7380"/>
        </w:tabs>
        <w:spacing w:after="120"/>
        <w:ind w:left="3690" w:hanging="3690"/>
        <w:jc w:val="both"/>
        <w:rPr>
          <w:b/>
          <w:bCs/>
          <w:u w:val="single"/>
        </w:rPr>
      </w:pPr>
      <w:r>
        <w:rPr>
          <w:b/>
          <w:bCs/>
          <w:caps/>
          <w:u w:val="single"/>
        </w:rPr>
        <w:t>INT. NO. 394-2022:</w:t>
      </w:r>
      <w:r w:rsidRPr="00A54188">
        <w:rPr>
          <w:b/>
          <w:bCs/>
          <w:caps/>
        </w:rPr>
        <w:tab/>
      </w:r>
      <w:r w:rsidRPr="00A54188">
        <w:rPr>
          <w:bCs/>
        </w:rPr>
        <w:t>By Council Member Holden</w:t>
      </w:r>
    </w:p>
    <w:p w14:paraId="687502C9" w14:textId="77777777" w:rsidR="00BD0D8E" w:rsidRDefault="00BD0D8E" w:rsidP="00BD0D8E">
      <w:pPr>
        <w:tabs>
          <w:tab w:val="left" w:pos="3600"/>
          <w:tab w:val="left" w:pos="7380"/>
        </w:tabs>
        <w:spacing w:after="120"/>
        <w:ind w:left="3690" w:hanging="3690"/>
        <w:jc w:val="both"/>
        <w:rPr>
          <w:b/>
          <w:bCs/>
          <w:u w:val="single"/>
        </w:rPr>
      </w:pPr>
    </w:p>
    <w:p w14:paraId="3B7424F6" w14:textId="6BF8C4FD" w:rsidR="00BD0D8E" w:rsidRDefault="00BD0D8E" w:rsidP="00A54188">
      <w:pPr>
        <w:tabs>
          <w:tab w:val="left" w:pos="3600"/>
          <w:tab w:val="left" w:pos="7380"/>
        </w:tabs>
        <w:spacing w:after="120"/>
        <w:ind w:left="3600" w:hanging="3600"/>
        <w:jc w:val="both"/>
        <w:rPr>
          <w:b/>
          <w:bCs/>
          <w:caps/>
          <w:u w:val="single"/>
        </w:rPr>
      </w:pPr>
      <w:r>
        <w:rPr>
          <w:b/>
          <w:bCs/>
          <w:u w:val="single"/>
        </w:rPr>
        <w:t>TITLE:</w:t>
      </w:r>
      <w:r w:rsidRPr="00A54188">
        <w:rPr>
          <w:b/>
          <w:bCs/>
        </w:rPr>
        <w:tab/>
      </w:r>
      <w:r w:rsidRPr="00A54188">
        <w:rPr>
          <w:bCs/>
        </w:rPr>
        <w:t>A Local Law to amend the New York city charter, in relation to requiring each community board to establish a veterans committee</w:t>
      </w:r>
    </w:p>
    <w:p w14:paraId="2596E77D" w14:textId="77777777" w:rsidR="00BD0D8E" w:rsidRDefault="00BD0D8E" w:rsidP="006E570F">
      <w:pPr>
        <w:tabs>
          <w:tab w:val="left" w:pos="3600"/>
          <w:tab w:val="left" w:pos="7380"/>
        </w:tabs>
        <w:spacing w:after="120"/>
        <w:ind w:left="3690" w:hanging="3690"/>
        <w:jc w:val="both"/>
        <w:rPr>
          <w:b/>
          <w:bCs/>
          <w:caps/>
          <w:u w:val="single"/>
        </w:rPr>
      </w:pPr>
    </w:p>
    <w:p w14:paraId="1C6DFD9E" w14:textId="34BF8367" w:rsidR="006E570F" w:rsidRPr="0047324E" w:rsidRDefault="006E570F" w:rsidP="00A54188">
      <w:pPr>
        <w:tabs>
          <w:tab w:val="left" w:pos="3600"/>
          <w:tab w:val="left" w:pos="7380"/>
        </w:tabs>
        <w:spacing w:after="120"/>
        <w:ind w:left="3600" w:hanging="3600"/>
        <w:jc w:val="both"/>
        <w:rPr>
          <w:b/>
          <w:bCs/>
        </w:rPr>
      </w:pPr>
      <w:r w:rsidRPr="0047324E">
        <w:rPr>
          <w:b/>
          <w:bCs/>
          <w:caps/>
          <w:u w:val="single"/>
        </w:rPr>
        <w:t xml:space="preserve">Res. No. </w:t>
      </w:r>
      <w:r>
        <w:rPr>
          <w:b/>
          <w:bCs/>
          <w:caps/>
          <w:u w:val="single"/>
        </w:rPr>
        <w:t>130</w:t>
      </w:r>
      <w:r w:rsidRPr="0047324E">
        <w:rPr>
          <w:b/>
          <w:bCs/>
          <w:caps/>
          <w:u w:val="single"/>
        </w:rPr>
        <w:t>-2022</w:t>
      </w:r>
      <w:r w:rsidRPr="0047324E">
        <w:rPr>
          <w:b/>
          <w:bCs/>
        </w:rPr>
        <w:t>:</w:t>
      </w:r>
      <w:r w:rsidRPr="0047324E">
        <w:rPr>
          <w:b/>
          <w:bCs/>
        </w:rPr>
        <w:tab/>
      </w:r>
      <w:r>
        <w:t>By Council Member</w:t>
      </w:r>
      <w:r w:rsidRPr="0047324E">
        <w:t xml:space="preserve">s </w:t>
      </w:r>
      <w:r>
        <w:t>Brewer, Holden, Yeger, Hanif, Sanchez, Stevens, Schulman, Kagan, Ung, Barron, Joseph, Ayala, Restler, Nurse, Williams,</w:t>
      </w:r>
      <w:r w:rsidR="00A624B9">
        <w:t xml:space="preserve"> Farìas</w:t>
      </w:r>
      <w:r>
        <w:t xml:space="preserve"> Paladino, Carr, Ariola, Borelli</w:t>
      </w:r>
    </w:p>
    <w:p w14:paraId="42A751F7" w14:textId="77777777" w:rsidR="006E570F" w:rsidRPr="0047324E" w:rsidRDefault="006E570F" w:rsidP="006E570F">
      <w:pPr>
        <w:ind w:left="3690" w:hanging="3690"/>
        <w:jc w:val="both"/>
      </w:pPr>
    </w:p>
    <w:p w14:paraId="28005A15" w14:textId="7C7D6722" w:rsidR="006E570F" w:rsidRPr="00874EC9" w:rsidRDefault="006E570F" w:rsidP="006E570F">
      <w:pPr>
        <w:shd w:val="clear" w:color="auto" w:fill="FFFFFF"/>
        <w:ind w:left="3690" w:hanging="3690"/>
        <w:jc w:val="both"/>
      </w:pPr>
      <w:r w:rsidRPr="0047324E">
        <w:rPr>
          <w:b/>
          <w:u w:val="single"/>
        </w:rPr>
        <w:lastRenderedPageBreak/>
        <w:t>TITLE:</w:t>
      </w:r>
      <w:r w:rsidRPr="0047324E">
        <w:tab/>
        <w:t xml:space="preserve">Resolution </w:t>
      </w:r>
      <w:r w:rsidR="00BF3766">
        <w:t>calling on the Federal Government to halt the planned closure of Manhattan and Brooklyn’s Veteran Affairs Medical Centers</w:t>
      </w:r>
    </w:p>
    <w:p w14:paraId="308C99F1" w14:textId="77777777" w:rsidR="006E570F" w:rsidRPr="00D51F3E" w:rsidRDefault="006E570F" w:rsidP="006E570F">
      <w:pPr>
        <w:tabs>
          <w:tab w:val="left" w:pos="3600"/>
          <w:tab w:val="left" w:pos="7380"/>
        </w:tabs>
        <w:spacing w:after="120"/>
        <w:ind w:left="3690" w:hanging="3690"/>
        <w:jc w:val="both"/>
        <w:rPr>
          <w:b/>
          <w:bCs/>
          <w:caps/>
          <w:u w:val="single"/>
        </w:rPr>
      </w:pPr>
    </w:p>
    <w:p w14:paraId="6EC87330" w14:textId="77777777" w:rsidR="003E5000" w:rsidRDefault="003E5000" w:rsidP="003E5000">
      <w:pPr>
        <w:pStyle w:val="NoSpacing"/>
        <w:rPr>
          <w:rFonts w:ascii="Times New Roman" w:hAnsi="Times New Roman" w:cs="Times New Roman"/>
          <w:sz w:val="24"/>
          <w:szCs w:val="24"/>
        </w:rPr>
      </w:pPr>
    </w:p>
    <w:p w14:paraId="2E64B0C3" w14:textId="79B0FA7B" w:rsidR="005D3EC6" w:rsidRPr="00B91FFB" w:rsidRDefault="00B91FFB" w:rsidP="00B91FFB">
      <w:pPr>
        <w:spacing w:line="480" w:lineRule="auto"/>
        <w:jc w:val="both"/>
        <w:rPr>
          <w:b/>
          <w:bCs/>
        </w:rPr>
      </w:pPr>
      <w:r>
        <w:rPr>
          <w:b/>
          <w:bCs/>
        </w:rPr>
        <w:t>I</w:t>
      </w:r>
      <w:r w:rsidR="005932AE">
        <w:rPr>
          <w:b/>
          <w:bCs/>
        </w:rPr>
        <w:t>.</w:t>
      </w:r>
      <w:r w:rsidRPr="00B91FFB">
        <w:rPr>
          <w:b/>
          <w:bCs/>
        </w:rPr>
        <w:t xml:space="preserve"> INTROUDCTION</w:t>
      </w:r>
    </w:p>
    <w:p w14:paraId="42AA0C71" w14:textId="3437E420" w:rsidR="002A39A6" w:rsidRPr="008319AD" w:rsidRDefault="002A39A6" w:rsidP="008319AD">
      <w:pPr>
        <w:spacing w:line="480" w:lineRule="auto"/>
        <w:ind w:firstLine="720"/>
        <w:jc w:val="both"/>
      </w:pPr>
      <w:r w:rsidRPr="000B5AA9">
        <w:t>On June 17, 2022, the Committee</w:t>
      </w:r>
      <w:r w:rsidRPr="008319AD">
        <w:t xml:space="preserve"> </w:t>
      </w:r>
      <w:r w:rsidRPr="008319AD">
        <w:rPr>
          <w:bCs/>
        </w:rPr>
        <w:t xml:space="preserve">on Veterans, chaired by Council Member Robert Holden, </w:t>
      </w:r>
      <w:r w:rsidRPr="008319AD">
        <w:t>will hold an oversight hearing entitled</w:t>
      </w:r>
      <w:r w:rsidRPr="008319AD">
        <w:rPr>
          <w:bCs/>
        </w:rPr>
        <w:t xml:space="preserve"> </w:t>
      </w:r>
      <w:r w:rsidRPr="008319AD">
        <w:rPr>
          <w:bCs/>
          <w:i/>
          <w:iCs/>
        </w:rPr>
        <w:t>“</w:t>
      </w:r>
      <w:r w:rsidRPr="008319AD">
        <w:rPr>
          <w:i/>
          <w:iCs/>
        </w:rPr>
        <w:t>How New York City’s Veterans Access Healthcare</w:t>
      </w:r>
      <w:r w:rsidR="00BF3766">
        <w:rPr>
          <w:i/>
          <w:iCs/>
        </w:rPr>
        <w:t>.</w:t>
      </w:r>
      <w:r w:rsidR="00BF3766" w:rsidRPr="008319AD">
        <w:rPr>
          <w:bCs/>
          <w:i/>
          <w:iCs/>
        </w:rPr>
        <w:t>”</w:t>
      </w:r>
      <w:r w:rsidR="00BF3766" w:rsidRPr="008319AD" w:rsidDel="0099218E">
        <w:rPr>
          <w:bCs/>
        </w:rPr>
        <w:t xml:space="preserve"> </w:t>
      </w:r>
      <w:r w:rsidRPr="008319AD">
        <w:rPr>
          <w:bCs/>
        </w:rPr>
        <w:t xml:space="preserve">The Committee will also hear </w:t>
      </w:r>
      <w:r w:rsidR="00BD0D8E">
        <w:rPr>
          <w:bCs/>
        </w:rPr>
        <w:t xml:space="preserve">Introduction Number 394-2022 (Int. 392), a local law to amend the New York city charter, in relation to requiring each community board to establish a veterans committee, as well as </w:t>
      </w:r>
      <w:r w:rsidRPr="008319AD">
        <w:rPr>
          <w:bCs/>
        </w:rPr>
        <w:t>Resolution Number 130 (Res.</w:t>
      </w:r>
      <w:r w:rsidR="00EE427E">
        <w:rPr>
          <w:bCs/>
        </w:rPr>
        <w:t xml:space="preserve"> </w:t>
      </w:r>
      <w:r w:rsidRPr="008319AD">
        <w:rPr>
          <w:bCs/>
        </w:rPr>
        <w:t xml:space="preserve">130), sponsored by Council Member Gale Brewer, </w:t>
      </w:r>
      <w:r w:rsidRPr="008319AD">
        <w:rPr>
          <w:color w:val="000000"/>
          <w:shd w:val="clear" w:color="auto" w:fill="FFFFFF"/>
        </w:rPr>
        <w:t xml:space="preserve">calling on the Federal Government to halt the planned closure of Manhattan and Brooklyn's Veteran Affairs Medical Centers. </w:t>
      </w:r>
      <w:r w:rsidRPr="008319AD">
        <w:t>Among those invited to testify are representatives from the New York City Department of Veterans’ Services (DVS)</w:t>
      </w:r>
      <w:r w:rsidR="00B91DF4" w:rsidRPr="008319AD">
        <w:t xml:space="preserve"> </w:t>
      </w:r>
      <w:r w:rsidRPr="008319AD">
        <w:t>and other interested parties.</w:t>
      </w:r>
    </w:p>
    <w:p w14:paraId="61DD6E99" w14:textId="77777777" w:rsidR="002A39A6" w:rsidRPr="008319AD" w:rsidRDefault="002A39A6" w:rsidP="008319AD">
      <w:pPr>
        <w:jc w:val="both"/>
      </w:pPr>
    </w:p>
    <w:p w14:paraId="4445482E" w14:textId="58AA219E" w:rsidR="00100776" w:rsidRPr="00B91FFB" w:rsidRDefault="00B91FFB" w:rsidP="008319AD">
      <w:pPr>
        <w:spacing w:line="480" w:lineRule="auto"/>
        <w:jc w:val="both"/>
        <w:rPr>
          <w:b/>
          <w:bCs/>
        </w:rPr>
      </w:pPr>
      <w:r w:rsidRPr="00B91FFB">
        <w:rPr>
          <w:b/>
          <w:bCs/>
        </w:rPr>
        <w:t>II</w:t>
      </w:r>
      <w:r w:rsidR="005932AE">
        <w:rPr>
          <w:b/>
          <w:bCs/>
        </w:rPr>
        <w:t>.</w:t>
      </w:r>
      <w:r w:rsidRPr="00B91FFB">
        <w:rPr>
          <w:b/>
          <w:bCs/>
        </w:rPr>
        <w:t xml:space="preserve"> BACKGROUND</w:t>
      </w:r>
    </w:p>
    <w:p w14:paraId="0ADC03CB" w14:textId="4EAB1508" w:rsidR="00100776" w:rsidRPr="008319AD" w:rsidRDefault="00100776" w:rsidP="008319AD">
      <w:pPr>
        <w:spacing w:line="480" w:lineRule="auto"/>
        <w:jc w:val="both"/>
        <w:rPr>
          <w:b/>
          <w:bCs/>
          <w:i/>
          <w:iCs/>
          <w:u w:val="single"/>
        </w:rPr>
      </w:pPr>
      <w:r w:rsidRPr="008319AD">
        <w:rPr>
          <w:b/>
          <w:bCs/>
          <w:i/>
          <w:iCs/>
          <w:u w:val="single"/>
        </w:rPr>
        <w:t xml:space="preserve">Factors Impacting Veterans’ Health </w:t>
      </w:r>
    </w:p>
    <w:p w14:paraId="75D5BA55" w14:textId="64FF2CAC" w:rsidR="000B5AA9" w:rsidRPr="008319AD" w:rsidRDefault="00100776" w:rsidP="000B5AA9">
      <w:pPr>
        <w:spacing w:line="480" w:lineRule="auto"/>
        <w:ind w:firstLine="720"/>
        <w:jc w:val="both"/>
      </w:pPr>
      <w:r w:rsidRPr="008319AD">
        <w:t>Veterans represent a unique population of men and women who face extraordinary health risks during deployment</w:t>
      </w:r>
      <w:r w:rsidR="00132832" w:rsidRPr="008319AD">
        <w:t>.</w:t>
      </w:r>
      <w:r w:rsidR="00A962DD" w:rsidRPr="008319AD">
        <w:rPr>
          <w:rStyle w:val="FootnoteReference"/>
        </w:rPr>
        <w:footnoteReference w:id="1"/>
      </w:r>
      <w:r w:rsidRPr="008319AD">
        <w:t xml:space="preserve"> Because many veterans have served on overseas missions, including in combat, veterans with service-connected health issues are a clinically complex and potentially vulnerable population.</w:t>
      </w:r>
      <w:r w:rsidR="00132832" w:rsidRPr="008319AD">
        <w:rPr>
          <w:rStyle w:val="FootnoteReference"/>
        </w:rPr>
        <w:footnoteReference w:id="2"/>
      </w:r>
      <w:r w:rsidRPr="008319AD">
        <w:t xml:space="preserve"> </w:t>
      </w:r>
      <w:r w:rsidR="00BF3766">
        <w:t>A</w:t>
      </w:r>
      <w:r w:rsidR="000A6910" w:rsidRPr="008319AD">
        <w:t xml:space="preserve"> multitude of </w:t>
      </w:r>
      <w:r w:rsidR="00475EAB" w:rsidRPr="008319AD">
        <w:t>social determinants influence t</w:t>
      </w:r>
      <w:r w:rsidR="00DD1594" w:rsidRPr="008319AD">
        <w:t>he overall health of a veteran</w:t>
      </w:r>
      <w:r w:rsidR="00BD4DFB" w:rsidRPr="008319AD">
        <w:t>,</w:t>
      </w:r>
      <w:r w:rsidR="00DD1594" w:rsidRPr="008319AD">
        <w:t xml:space="preserve"> including</w:t>
      </w:r>
      <w:r w:rsidR="00806ACA" w:rsidRPr="008319AD">
        <w:t>:</w:t>
      </w:r>
      <w:r w:rsidR="006B1CF7" w:rsidRPr="008319AD">
        <w:t xml:space="preserve"> employment</w:t>
      </w:r>
      <w:r w:rsidR="00BF3766">
        <w:t>;</w:t>
      </w:r>
      <w:r w:rsidR="00BF3766" w:rsidRPr="008319AD">
        <w:t xml:space="preserve"> </w:t>
      </w:r>
      <w:r w:rsidR="006B1CF7" w:rsidRPr="008319AD">
        <w:t>income</w:t>
      </w:r>
      <w:r w:rsidR="00BF3766">
        <w:t>;</w:t>
      </w:r>
      <w:r w:rsidR="00BF3766" w:rsidRPr="008319AD">
        <w:t xml:space="preserve"> </w:t>
      </w:r>
      <w:r w:rsidR="006B1CF7" w:rsidRPr="008319AD">
        <w:t>education</w:t>
      </w:r>
      <w:r w:rsidR="00BF3766">
        <w:t>;</w:t>
      </w:r>
      <w:r w:rsidR="00BF3766" w:rsidRPr="008319AD">
        <w:t xml:space="preserve"> </w:t>
      </w:r>
      <w:r w:rsidR="006B1CF7" w:rsidRPr="008319AD">
        <w:t>food security</w:t>
      </w:r>
      <w:r w:rsidR="00BF3766">
        <w:t>;</w:t>
      </w:r>
      <w:r w:rsidR="00BF3766" w:rsidRPr="008319AD">
        <w:t xml:space="preserve"> </w:t>
      </w:r>
      <w:r w:rsidR="000E180B" w:rsidRPr="008319AD">
        <w:t>substance use</w:t>
      </w:r>
      <w:r w:rsidR="00BF3766">
        <w:t>;</w:t>
      </w:r>
      <w:r w:rsidR="00BF3766" w:rsidRPr="008319AD">
        <w:t xml:space="preserve"> </w:t>
      </w:r>
      <w:r w:rsidR="00B12FE9" w:rsidRPr="008319AD">
        <w:t>disability status</w:t>
      </w:r>
      <w:r w:rsidR="00BF3766">
        <w:t>;</w:t>
      </w:r>
      <w:r w:rsidR="00BF3766" w:rsidRPr="008319AD">
        <w:t xml:space="preserve"> </w:t>
      </w:r>
      <w:r w:rsidR="000E180B" w:rsidRPr="008319AD">
        <w:t xml:space="preserve">and </w:t>
      </w:r>
      <w:r w:rsidR="00B12FE9" w:rsidRPr="008319AD">
        <w:t xml:space="preserve">mental </w:t>
      </w:r>
      <w:r w:rsidR="00FE3419" w:rsidRPr="008319AD">
        <w:t>health</w:t>
      </w:r>
      <w:r w:rsidR="000E180B" w:rsidRPr="008319AD">
        <w:t>.</w:t>
      </w:r>
      <w:r w:rsidR="00132832" w:rsidRPr="008319AD">
        <w:rPr>
          <w:rStyle w:val="FootnoteReference"/>
        </w:rPr>
        <w:footnoteReference w:id="3"/>
      </w:r>
      <w:r w:rsidR="000E180B" w:rsidRPr="008319AD">
        <w:t xml:space="preserve"> </w:t>
      </w:r>
      <w:r w:rsidR="00B12FE9" w:rsidRPr="008319AD">
        <w:t xml:space="preserve"> </w:t>
      </w:r>
    </w:p>
    <w:p w14:paraId="01BF59EB" w14:textId="69EF5609" w:rsidR="00E32BB3" w:rsidRPr="008319AD" w:rsidRDefault="001E698D" w:rsidP="008319AD">
      <w:pPr>
        <w:spacing w:line="480" w:lineRule="auto"/>
        <w:ind w:firstLine="720"/>
        <w:jc w:val="both"/>
      </w:pPr>
      <w:r w:rsidRPr="008319AD">
        <w:t xml:space="preserve">Post-traumatic stress disorder (PTSD) is a prime </w:t>
      </w:r>
      <w:r w:rsidR="00C401EB" w:rsidRPr="008319AD">
        <w:t>example of how a unique service-</w:t>
      </w:r>
      <w:r w:rsidR="00FA1A94" w:rsidRPr="008319AD">
        <w:t>related condition</w:t>
      </w:r>
      <w:r w:rsidR="00C401EB" w:rsidRPr="008319AD">
        <w:t xml:space="preserve"> </w:t>
      </w:r>
      <w:r w:rsidR="00FA1A94" w:rsidRPr="008319AD">
        <w:t>impacts a veteran’s overall health</w:t>
      </w:r>
      <w:r w:rsidR="00C401EB" w:rsidRPr="008319AD">
        <w:t xml:space="preserve">. </w:t>
      </w:r>
      <w:r w:rsidR="00C72186" w:rsidRPr="008319AD">
        <w:t>For veterans, mental health problems can present a</w:t>
      </w:r>
      <w:r w:rsidR="00D3243F" w:rsidRPr="008319AD">
        <w:t xml:space="preserve"> major</w:t>
      </w:r>
      <w:r w:rsidR="00C72186" w:rsidRPr="008319AD">
        <w:t xml:space="preserve"> obstacle to </w:t>
      </w:r>
      <w:r w:rsidR="00260902" w:rsidRPr="008319AD">
        <w:t>reintegrating into civilian life</w:t>
      </w:r>
      <w:r w:rsidR="00BF3766">
        <w:t>.</w:t>
      </w:r>
      <w:r w:rsidR="00861078" w:rsidRPr="008319AD">
        <w:rPr>
          <w:rStyle w:val="FootnoteReference"/>
        </w:rPr>
        <w:footnoteReference w:id="4"/>
      </w:r>
      <w:r w:rsidR="00C72186" w:rsidRPr="008319AD">
        <w:t xml:space="preserve"> </w:t>
      </w:r>
      <w:r w:rsidR="00E62E90" w:rsidRPr="008319AD">
        <w:t>PTSD can develop after experiencing or witnessing a traumatic event that is beyond a typical stressor, such as warfare, natural disasters, or other life-threatening events.</w:t>
      </w:r>
      <w:r w:rsidR="00F86C73" w:rsidRPr="008319AD">
        <w:rPr>
          <w:rStyle w:val="FootnoteReference"/>
        </w:rPr>
        <w:footnoteReference w:id="5"/>
      </w:r>
      <w:r w:rsidR="007D08E9" w:rsidRPr="008319AD">
        <w:t xml:space="preserve"> </w:t>
      </w:r>
      <w:r w:rsidR="00E03910" w:rsidRPr="008319AD">
        <w:t>The rate of PTSD in the veteran population has been found to be double that of the general population</w:t>
      </w:r>
      <w:r w:rsidR="00BF3766">
        <w:t>:</w:t>
      </w:r>
      <w:r w:rsidR="00E03910" w:rsidRPr="008319AD">
        <w:t xml:space="preserve"> 12.9% compared with 6.8%.</w:t>
      </w:r>
      <w:r w:rsidR="00F86C73" w:rsidRPr="008319AD">
        <w:rPr>
          <w:rStyle w:val="FootnoteReference"/>
        </w:rPr>
        <w:footnoteReference w:id="6"/>
      </w:r>
      <w:r w:rsidR="00E03910" w:rsidRPr="008319AD">
        <w:t xml:space="preserve"> Veterans with PTSD may be at increased risk for other conditions or problems such as t</w:t>
      </w:r>
      <w:r w:rsidR="00E03910" w:rsidRPr="008319AD">
        <w:rPr>
          <w:shd w:val="clear" w:color="auto" w:fill="FFFFFF"/>
        </w:rPr>
        <w:t>raumatic brain injury (TBI), military sexual trauma (MST),</w:t>
      </w:r>
      <w:r w:rsidR="00EE427E">
        <w:rPr>
          <w:rStyle w:val="FootnoteReference"/>
          <w:shd w:val="clear" w:color="auto" w:fill="FFFFFF"/>
        </w:rPr>
        <w:footnoteReference w:id="7"/>
      </w:r>
      <w:r w:rsidR="00E03910" w:rsidRPr="008319AD">
        <w:rPr>
          <w:shd w:val="clear" w:color="auto" w:fill="FFFFFF"/>
        </w:rPr>
        <w:t xml:space="preserve"> sleep problems, substance use, pain, and other psychiatric disorders.</w:t>
      </w:r>
      <w:r w:rsidR="00F86C73" w:rsidRPr="008319AD">
        <w:rPr>
          <w:rStyle w:val="FootnoteReference"/>
          <w:shd w:val="clear" w:color="auto" w:fill="FFFFFF"/>
        </w:rPr>
        <w:footnoteReference w:id="8"/>
      </w:r>
    </w:p>
    <w:p w14:paraId="47FA10C6" w14:textId="01581DCA" w:rsidR="00FA6F50" w:rsidRPr="008319AD" w:rsidRDefault="00861078" w:rsidP="008319AD">
      <w:pPr>
        <w:spacing w:line="480" w:lineRule="auto"/>
        <w:ind w:firstLine="720"/>
        <w:jc w:val="both"/>
      </w:pPr>
      <w:r w:rsidRPr="008319AD">
        <w:t>V</w:t>
      </w:r>
      <w:r w:rsidR="00FA1A94" w:rsidRPr="008319AD">
        <w:t xml:space="preserve">eterans’ distinctive needs </w:t>
      </w:r>
      <w:r w:rsidRPr="008319AD">
        <w:t xml:space="preserve">lead to correlated medical conditions. </w:t>
      </w:r>
      <w:r w:rsidR="00BD4C83" w:rsidRPr="008319AD">
        <w:t>Veterans disproportionately experience higher rates of substance use, post-traumatic stress, suicide, and disability</w:t>
      </w:r>
      <w:r w:rsidR="000B5AA9">
        <w:t>,</w:t>
      </w:r>
      <w:r w:rsidR="00BD4C83" w:rsidRPr="008319AD">
        <w:t xml:space="preserve"> when compared with their civilian counterparts.</w:t>
      </w:r>
      <w:r w:rsidR="00F86C73" w:rsidRPr="008319AD">
        <w:rPr>
          <w:rStyle w:val="FootnoteReference"/>
        </w:rPr>
        <w:footnoteReference w:id="9"/>
      </w:r>
      <w:r w:rsidR="00BD4C83" w:rsidRPr="008319AD">
        <w:t xml:space="preserve"> Veterans’ growing reliance on private sector health care </w:t>
      </w:r>
      <w:r w:rsidR="008319AD">
        <w:t>requires</w:t>
      </w:r>
      <w:r w:rsidR="00BD4C83" w:rsidRPr="008319AD">
        <w:t xml:space="preserve"> providers to be </w:t>
      </w:r>
      <w:r w:rsidR="00BD4DFB" w:rsidRPr="008319AD">
        <w:t>informed</w:t>
      </w:r>
      <w:r w:rsidR="00BD4C83" w:rsidRPr="008319AD">
        <w:t xml:space="preserve"> of a patient’s military</w:t>
      </w:r>
      <w:r w:rsidR="00BF3766">
        <w:t xml:space="preserve"> history</w:t>
      </w:r>
      <w:r w:rsidR="00BD4C83" w:rsidRPr="008319AD">
        <w:t xml:space="preserve"> </w:t>
      </w:r>
      <w:r w:rsidR="008319AD">
        <w:t>so they can offer</w:t>
      </w:r>
      <w:r w:rsidR="00BD4C83" w:rsidRPr="008319AD">
        <w:t xml:space="preserve"> culturally competent care.</w:t>
      </w:r>
      <w:r w:rsidR="00F86C73" w:rsidRPr="008319AD">
        <w:rPr>
          <w:rStyle w:val="FootnoteReference"/>
        </w:rPr>
        <w:footnoteReference w:id="10"/>
      </w:r>
    </w:p>
    <w:p w14:paraId="717BE833" w14:textId="77777777" w:rsidR="00FA6F50" w:rsidRPr="008319AD" w:rsidRDefault="00FA6F50" w:rsidP="008319AD">
      <w:pPr>
        <w:spacing w:line="480" w:lineRule="auto"/>
        <w:contextualSpacing/>
        <w:jc w:val="both"/>
        <w:rPr>
          <w:b/>
          <w:i/>
          <w:iCs/>
          <w:u w:val="single"/>
        </w:rPr>
      </w:pPr>
      <w:r w:rsidRPr="008319AD">
        <w:rPr>
          <w:b/>
          <w:i/>
          <w:iCs/>
          <w:u w:val="single"/>
        </w:rPr>
        <w:t xml:space="preserve">How Veterans Access Health Care in New York State </w:t>
      </w:r>
    </w:p>
    <w:p w14:paraId="643F57CB" w14:textId="33A9C42F" w:rsidR="00526CAA" w:rsidRPr="008319AD" w:rsidRDefault="002D5BCD" w:rsidP="008319AD">
      <w:pPr>
        <w:spacing w:line="480" w:lineRule="auto"/>
        <w:ind w:firstLine="720"/>
        <w:jc w:val="both"/>
      </w:pPr>
      <w:r w:rsidRPr="008319AD">
        <w:t xml:space="preserve">The Veterans Health Administration </w:t>
      </w:r>
      <w:r w:rsidR="00DD6CBB">
        <w:t xml:space="preserve">(VA) </w:t>
      </w:r>
      <w:r w:rsidRPr="008319AD">
        <w:t>provides medical, surgical, and rehabilitative care in New York</w:t>
      </w:r>
      <w:r w:rsidR="008319AD">
        <w:t xml:space="preserve"> State</w:t>
      </w:r>
      <w:r w:rsidRPr="008319AD">
        <w:t xml:space="preserve"> through 12 medical centers, </w:t>
      </w:r>
      <w:r w:rsidR="006A0F6D" w:rsidRPr="008319AD">
        <w:t>dozens</w:t>
      </w:r>
      <w:r w:rsidR="00DD6CBB">
        <w:t xml:space="preserve"> of</w:t>
      </w:r>
      <w:r w:rsidRPr="008319AD">
        <w:t xml:space="preserve"> community-based outpatient centers, and 16 Vet Centers</w:t>
      </w:r>
      <w:r w:rsidR="006A0F6D" w:rsidRPr="008319AD">
        <w:t xml:space="preserve"> (community-based facilities that offer a variety of free services to veterans and their families, including counseling and social services).</w:t>
      </w:r>
      <w:r w:rsidR="00F86C73" w:rsidRPr="008319AD">
        <w:rPr>
          <w:rStyle w:val="FootnoteReference"/>
        </w:rPr>
        <w:footnoteReference w:id="11"/>
      </w:r>
      <w:r w:rsidR="006A0F6D" w:rsidRPr="008319AD">
        <w:t xml:space="preserve"> </w:t>
      </w:r>
      <w:r w:rsidRPr="008319AD">
        <w:t>The VA has spent more than $3 billion annually on health care for veterans in New York.</w:t>
      </w:r>
      <w:r w:rsidR="00F3190D">
        <w:rPr>
          <w:rStyle w:val="FootnoteReference"/>
        </w:rPr>
        <w:footnoteReference w:id="12"/>
      </w:r>
      <w:r w:rsidRPr="008319AD">
        <w:t xml:space="preserve">  In 2017, nearly half (378,361) of New York veterans were enrolled in VA health care, with approximately 59% of them visiting a VA health care facility during the year</w:t>
      </w:r>
      <w:r w:rsidR="00EA1CAD" w:rsidRPr="008319AD">
        <w:t>.</w:t>
      </w:r>
      <w:r w:rsidR="00D21446" w:rsidRPr="008319AD">
        <w:rPr>
          <w:rStyle w:val="FootnoteReference"/>
        </w:rPr>
        <w:footnoteReference w:id="13"/>
      </w:r>
      <w:r w:rsidR="00EA1CAD" w:rsidRPr="008319AD">
        <w:t xml:space="preserve"> </w:t>
      </w:r>
      <w:r w:rsidR="00D3265B" w:rsidRPr="008319AD">
        <w:t xml:space="preserve">According to </w:t>
      </w:r>
      <w:r w:rsidR="00A75D71" w:rsidRPr="008319AD">
        <w:t xml:space="preserve">a 2011 study </w:t>
      </w:r>
      <w:r w:rsidR="00D21446" w:rsidRPr="008319AD">
        <w:t xml:space="preserve">conducted </w:t>
      </w:r>
      <w:r w:rsidR="00A75D71" w:rsidRPr="008319AD">
        <w:t>by the</w:t>
      </w:r>
      <w:r w:rsidR="00D3265B" w:rsidRPr="008319AD">
        <w:t xml:space="preserve"> RAND Corporation, approximately half of the veteran population in New York would prefer to receive their care from private providers.</w:t>
      </w:r>
      <w:r w:rsidR="00D21446" w:rsidRPr="008319AD">
        <w:rPr>
          <w:rStyle w:val="FootnoteReference"/>
        </w:rPr>
        <w:footnoteReference w:id="14"/>
      </w:r>
      <w:r w:rsidR="00771211" w:rsidRPr="008319AD">
        <w:t xml:space="preserve"> </w:t>
      </w:r>
      <w:r w:rsidR="004B7D3E" w:rsidRPr="008319AD">
        <w:t>National trends show that v</w:t>
      </w:r>
      <w:r w:rsidR="00871763" w:rsidRPr="008319AD">
        <w:t>eterans who use VA for health care are typically older and sicker than other veterans; however, veterans who rely most on VA care tend to be younger and poorer</w:t>
      </w:r>
      <w:r w:rsidR="00DD6CBB">
        <w:t>,</w:t>
      </w:r>
      <w:r w:rsidR="00871763" w:rsidRPr="008319AD">
        <w:t> and to live in rural areas and lack health care from other sources.</w:t>
      </w:r>
      <w:r w:rsidR="001E698D" w:rsidRPr="008319AD">
        <w:rPr>
          <w:rStyle w:val="FootnoteReference"/>
        </w:rPr>
        <w:footnoteReference w:id="15"/>
      </w:r>
      <w:r w:rsidR="004B7D3E" w:rsidRPr="008319AD">
        <w:t xml:space="preserve"> </w:t>
      </w:r>
      <w:r w:rsidR="004F76D6" w:rsidRPr="008319AD">
        <w:t>In recent years</w:t>
      </w:r>
      <w:r w:rsidR="00516EE6" w:rsidRPr="008319AD">
        <w:t>,</w:t>
      </w:r>
      <w:r w:rsidR="004F76D6" w:rsidRPr="008319AD">
        <w:t xml:space="preserve"> </w:t>
      </w:r>
      <w:r w:rsidR="008319AD">
        <w:t xml:space="preserve">the </w:t>
      </w:r>
      <w:r w:rsidR="004F76D6" w:rsidRPr="008319AD">
        <w:t xml:space="preserve">VA has faced </w:t>
      </w:r>
      <w:r w:rsidR="008319AD">
        <w:t>questions</w:t>
      </w:r>
      <w:r w:rsidR="004F76D6" w:rsidRPr="008319AD">
        <w:t xml:space="preserve"> about veterans' access to </w:t>
      </w:r>
      <w:r w:rsidR="008319AD">
        <w:t xml:space="preserve">quality </w:t>
      </w:r>
      <w:r w:rsidR="004F76D6" w:rsidRPr="008319AD">
        <w:t>care</w:t>
      </w:r>
      <w:r w:rsidR="008319AD">
        <w:t>.</w:t>
      </w:r>
      <w:r w:rsidR="00716793" w:rsidRPr="008319AD">
        <w:rPr>
          <w:rStyle w:val="FootnoteReference"/>
        </w:rPr>
        <w:footnoteReference w:id="16"/>
      </w:r>
      <w:r w:rsidR="00716793" w:rsidRPr="008319AD">
        <w:t xml:space="preserve"> </w:t>
      </w:r>
      <w:r w:rsidR="004F76D6" w:rsidRPr="008319AD">
        <w:t>Veterans’ hospitals, which treat seven million patients annually, have struggled to see patients in a timely fashion due to the growing number of returning Iraq and Afghanistan veterans and aging Vietnam veterans in need of care.</w:t>
      </w:r>
      <w:r w:rsidR="00716793" w:rsidRPr="008319AD">
        <w:rPr>
          <w:rStyle w:val="FootnoteReference"/>
        </w:rPr>
        <w:footnoteReference w:id="17"/>
      </w:r>
      <w:r w:rsidR="005C662D" w:rsidRPr="008319AD">
        <w:t xml:space="preserve"> </w:t>
      </w:r>
    </w:p>
    <w:p w14:paraId="0D23B0A7" w14:textId="59D6278F" w:rsidR="000D0D44" w:rsidRDefault="00410098" w:rsidP="00A54188">
      <w:pPr>
        <w:spacing w:line="480" w:lineRule="auto"/>
        <w:ind w:firstLine="720"/>
        <w:jc w:val="both"/>
        <w:rPr>
          <w:b/>
          <w:bCs/>
          <w:i/>
          <w:iCs/>
          <w:u w:val="single"/>
        </w:rPr>
      </w:pPr>
      <w:r w:rsidRPr="008319AD">
        <w:t>While VA is a critical source of veterans’ health care, many veterans receive care from outside the VA health system. Most veterans enrolled in VA health care have another source of health coverage, such as Medicare or employer-sponsored insurance.</w:t>
      </w:r>
      <w:r w:rsidRPr="008319AD">
        <w:rPr>
          <w:rStyle w:val="FootnoteReference"/>
        </w:rPr>
        <w:footnoteReference w:id="18"/>
      </w:r>
      <w:r w:rsidRPr="008319AD">
        <w:t xml:space="preserve"> In New York, nearly 70% of veterans under the age of 65 have private health insurance coverage either through their employer, through the New York State of Health insurance marketplace, or by purchasing directly from an insurance company.</w:t>
      </w:r>
      <w:r w:rsidRPr="008319AD">
        <w:rPr>
          <w:rStyle w:val="FootnoteReference"/>
        </w:rPr>
        <w:footnoteReference w:id="19"/>
      </w:r>
      <w:r w:rsidRPr="008319AD">
        <w:t xml:space="preserve"> Approximately 9% of non-</w:t>
      </w:r>
      <w:r w:rsidR="00F9619D">
        <w:t>older adult</w:t>
      </w:r>
      <w:r w:rsidRPr="008319AD">
        <w:t xml:space="preserve"> veterans in New York only have health care coverage through VA.</w:t>
      </w:r>
      <w:r w:rsidRPr="008319AD">
        <w:rPr>
          <w:rStyle w:val="FootnoteReference"/>
        </w:rPr>
        <w:footnoteReference w:id="20"/>
      </w:r>
      <w:r w:rsidRPr="008319AD">
        <w:t xml:space="preserve"> Thus, providers working in the civilian sector are an increasingly important part of the overall health workforce addressing veterans’ needs.</w:t>
      </w:r>
    </w:p>
    <w:p w14:paraId="641ED2F5" w14:textId="52AB352C" w:rsidR="00E47400" w:rsidRPr="008319AD" w:rsidRDefault="00E47400" w:rsidP="008319AD">
      <w:pPr>
        <w:spacing w:line="480" w:lineRule="auto"/>
        <w:jc w:val="both"/>
        <w:rPr>
          <w:b/>
          <w:bCs/>
          <w:i/>
          <w:iCs/>
          <w:u w:val="single"/>
        </w:rPr>
      </w:pPr>
      <w:r w:rsidRPr="008319AD">
        <w:rPr>
          <w:b/>
          <w:bCs/>
          <w:i/>
          <w:iCs/>
          <w:u w:val="single"/>
        </w:rPr>
        <w:t xml:space="preserve">Public </w:t>
      </w:r>
      <w:r w:rsidR="005D344A">
        <w:rPr>
          <w:b/>
          <w:bCs/>
          <w:i/>
          <w:iCs/>
          <w:u w:val="single"/>
        </w:rPr>
        <w:t>Versus</w:t>
      </w:r>
      <w:r w:rsidRPr="008319AD">
        <w:rPr>
          <w:b/>
          <w:bCs/>
          <w:i/>
          <w:iCs/>
          <w:u w:val="single"/>
        </w:rPr>
        <w:t xml:space="preserve"> Private Coverage</w:t>
      </w:r>
    </w:p>
    <w:p w14:paraId="02913E03" w14:textId="204C3A2E" w:rsidR="002856C7" w:rsidRPr="008319AD" w:rsidRDefault="002B0E34" w:rsidP="00EE492D">
      <w:pPr>
        <w:spacing w:line="480" w:lineRule="auto"/>
        <w:ind w:firstLine="720"/>
      </w:pPr>
      <w:r w:rsidRPr="008319AD">
        <w:t>Over the past decade, the demand for health care services among veterans has increased.</w:t>
      </w:r>
      <w:r w:rsidR="00F469C7" w:rsidRPr="008319AD">
        <w:rPr>
          <w:rStyle w:val="FootnoteReference"/>
        </w:rPr>
        <w:footnoteReference w:id="21"/>
      </w:r>
      <w:r w:rsidRPr="008319AD">
        <w:t xml:space="preserve"> To meet this demand</w:t>
      </w:r>
      <w:r w:rsidR="00F9619D">
        <w:t>,</w:t>
      </w:r>
      <w:r w:rsidRPr="008319AD">
        <w:t xml:space="preserve"> the VA ha</w:t>
      </w:r>
      <w:r w:rsidR="0069084B" w:rsidRPr="008319AD">
        <w:t>s</w:t>
      </w:r>
      <w:r w:rsidRPr="008319AD">
        <w:t xml:space="preserve"> hired more healthcare professionals</w:t>
      </w:r>
      <w:r w:rsidR="00410098" w:rsidRPr="008319AD">
        <w:t xml:space="preserve"> to work in its facilities and has expanded its purchases of care from private sector providers for veterans whose needs cannot be met</w:t>
      </w:r>
      <w:r w:rsidR="008319AD">
        <w:t xml:space="preserve"> </w:t>
      </w:r>
      <w:r w:rsidR="005D344A">
        <w:t>in</w:t>
      </w:r>
      <w:r w:rsidR="005D344A" w:rsidRPr="008319AD">
        <w:t xml:space="preserve"> </w:t>
      </w:r>
      <w:r w:rsidR="00410098" w:rsidRPr="008319AD">
        <w:t>a VA setting.</w:t>
      </w:r>
      <w:r w:rsidR="005B0D9E" w:rsidRPr="008319AD">
        <w:rPr>
          <w:rStyle w:val="FootnoteReference"/>
        </w:rPr>
        <w:footnoteReference w:id="22"/>
      </w:r>
      <w:r w:rsidR="001B7A92" w:rsidRPr="008319AD">
        <w:t xml:space="preserve"> </w:t>
      </w:r>
      <w:r w:rsidR="00410098" w:rsidRPr="008319AD">
        <w:t>T</w:t>
      </w:r>
      <w:r w:rsidR="001B7A92" w:rsidRPr="008319AD">
        <w:t xml:space="preserve">he </w:t>
      </w:r>
      <w:r w:rsidR="008319AD">
        <w:t>VA has</w:t>
      </w:r>
      <w:r w:rsidR="001B7A92" w:rsidRPr="008319AD">
        <w:t xml:space="preserve"> a variety of programs that allow it to purchase private care for eligible veterans who could not receive services in a timely manner because of the capacity or capability of the nearest VA facility.</w:t>
      </w:r>
      <w:r w:rsidR="00F9161C" w:rsidRPr="008319AD">
        <w:rPr>
          <w:rStyle w:val="FootnoteReference"/>
        </w:rPr>
        <w:footnoteReference w:id="23"/>
      </w:r>
      <w:r w:rsidR="001B7A92" w:rsidRPr="008319AD">
        <w:t xml:space="preserve"> </w:t>
      </w:r>
      <w:r w:rsidR="005F6F55" w:rsidRPr="008319AD">
        <w:t>These programs were consolidated</w:t>
      </w:r>
      <w:r w:rsidR="0074192B" w:rsidRPr="008319AD">
        <w:t xml:space="preserve"> </w:t>
      </w:r>
      <w:r w:rsidR="005F6F55" w:rsidRPr="008319AD">
        <w:t xml:space="preserve">under the Veterans Choice Act in 2014 </w:t>
      </w:r>
      <w:r w:rsidR="0074192B" w:rsidRPr="008319AD">
        <w:t xml:space="preserve">and expanded under the </w:t>
      </w:r>
      <w:r w:rsidR="005F6F55" w:rsidRPr="008319AD">
        <w:t xml:space="preserve">VA </w:t>
      </w:r>
      <w:r w:rsidR="00B942E0" w:rsidRPr="00B942E0">
        <w:t>Maintaining Internal Systems and Strengthening Integrated Outside Networks</w:t>
      </w:r>
      <w:r w:rsidR="00B942E0">
        <w:t xml:space="preserve"> (</w:t>
      </w:r>
      <w:r w:rsidR="005F6F55" w:rsidRPr="008319AD">
        <w:t xml:space="preserve">MISSION </w:t>
      </w:r>
      <w:r w:rsidR="00B942E0">
        <w:t>)</w:t>
      </w:r>
      <w:r w:rsidR="005F6F55" w:rsidRPr="008319AD">
        <w:t>Act of 2018</w:t>
      </w:r>
      <w:r w:rsidR="0000624C" w:rsidRPr="008319AD">
        <w:t>.</w:t>
      </w:r>
      <w:r w:rsidR="0000624C" w:rsidRPr="008319AD">
        <w:rPr>
          <w:rStyle w:val="FootnoteReference"/>
        </w:rPr>
        <w:footnoteReference w:id="24"/>
      </w:r>
      <w:r w:rsidR="0000624C" w:rsidRPr="008319AD">
        <w:t xml:space="preserve"> </w:t>
      </w:r>
      <w:r w:rsidR="00D123E2" w:rsidRPr="008319AD">
        <w:t>V</w:t>
      </w:r>
      <w:r w:rsidR="00786CB8" w:rsidRPr="008319AD">
        <w:t xml:space="preserve">eterans </w:t>
      </w:r>
      <w:r w:rsidR="00D123E2" w:rsidRPr="008319AD">
        <w:t xml:space="preserve">are </w:t>
      </w:r>
      <w:r w:rsidR="00786CB8" w:rsidRPr="008319AD">
        <w:t xml:space="preserve">eligible for the VA’s </w:t>
      </w:r>
      <w:r w:rsidR="0074192B" w:rsidRPr="008319AD">
        <w:t>C</w:t>
      </w:r>
      <w:r w:rsidR="00786CB8" w:rsidRPr="008319AD">
        <w:t xml:space="preserve">ommunity </w:t>
      </w:r>
      <w:r w:rsidR="0074192B" w:rsidRPr="008319AD">
        <w:t>C</w:t>
      </w:r>
      <w:r w:rsidR="00786CB8" w:rsidRPr="008319AD">
        <w:t>are program if they me</w:t>
      </w:r>
      <w:r w:rsidR="00D123E2" w:rsidRPr="008319AD">
        <w:t>e</w:t>
      </w:r>
      <w:r w:rsidR="00786CB8" w:rsidRPr="008319AD">
        <w:t>t one of six criteria</w:t>
      </w:r>
      <w:r w:rsidR="00C4569C" w:rsidRPr="008319AD">
        <w:t xml:space="preserve"> demonstrating that the VA cannot furnish </w:t>
      </w:r>
      <w:r w:rsidR="00FC5732" w:rsidRPr="008319AD">
        <w:t xml:space="preserve">quality </w:t>
      </w:r>
      <w:r w:rsidR="00C4569C" w:rsidRPr="008319AD">
        <w:t xml:space="preserve">care </w:t>
      </w:r>
      <w:r w:rsidR="00FC5732" w:rsidRPr="008319AD">
        <w:t>within a reasonable distance</w:t>
      </w:r>
      <w:r w:rsidR="00CB12DF" w:rsidRPr="008319AD">
        <w:t>,</w:t>
      </w:r>
      <w:r w:rsidR="00FC5732" w:rsidRPr="008319AD">
        <w:t xml:space="preserve"> </w:t>
      </w:r>
      <w:r w:rsidR="00CB12DF" w:rsidRPr="008319AD">
        <w:t xml:space="preserve">a </w:t>
      </w:r>
      <w:r w:rsidR="00FC5732" w:rsidRPr="008319AD">
        <w:t xml:space="preserve">timely manner, or it is in the veteran’s best medical interest to seek care </w:t>
      </w:r>
      <w:r w:rsidR="00EE2A7A" w:rsidRPr="008319AD">
        <w:t>outside of the VA.</w:t>
      </w:r>
      <w:r w:rsidR="005B0D9E" w:rsidRPr="008319AD">
        <w:rPr>
          <w:rStyle w:val="FootnoteReference"/>
        </w:rPr>
        <w:footnoteReference w:id="25"/>
      </w:r>
    </w:p>
    <w:p w14:paraId="7EC7617E" w14:textId="77777777" w:rsidR="00EE492D" w:rsidRDefault="002856C7" w:rsidP="00EE492D">
      <w:pPr>
        <w:spacing w:line="480" w:lineRule="auto"/>
        <w:ind w:firstLine="720"/>
        <w:jc w:val="both"/>
      </w:pPr>
      <w:r w:rsidRPr="008319AD">
        <w:t>T</w:t>
      </w:r>
      <w:r w:rsidR="005C431F" w:rsidRPr="008319AD">
        <w:t xml:space="preserve">here are a variety of reasons why </w:t>
      </w:r>
      <w:r w:rsidR="00CB12DF" w:rsidRPr="008319AD">
        <w:t>New York’s veterans</w:t>
      </w:r>
      <w:r w:rsidR="005C431F" w:rsidRPr="008319AD">
        <w:t xml:space="preserve"> </w:t>
      </w:r>
      <w:r w:rsidR="00F469C7" w:rsidRPr="008319AD">
        <w:t xml:space="preserve">seek </w:t>
      </w:r>
      <w:r w:rsidR="00CB12DF" w:rsidRPr="008319AD">
        <w:t xml:space="preserve">care </w:t>
      </w:r>
      <w:r w:rsidR="00F469C7" w:rsidRPr="008319AD">
        <w:t>from a community care provider</w:t>
      </w:r>
      <w:r w:rsidRPr="008319AD">
        <w:t xml:space="preserve">. </w:t>
      </w:r>
      <w:r w:rsidR="00925E03" w:rsidRPr="008319AD">
        <w:t xml:space="preserve">In a </w:t>
      </w:r>
      <w:r w:rsidR="00356856" w:rsidRPr="008319AD">
        <w:t>2018</w:t>
      </w:r>
      <w:r w:rsidR="005B0D9E" w:rsidRPr="008319AD">
        <w:t xml:space="preserve"> RAND </w:t>
      </w:r>
      <w:r w:rsidR="008319AD" w:rsidRPr="008319AD">
        <w:t>Corporation</w:t>
      </w:r>
      <w:r w:rsidR="005B0D9E" w:rsidRPr="008319AD">
        <w:t xml:space="preserve"> </w:t>
      </w:r>
      <w:r w:rsidR="00925E03" w:rsidRPr="008319AD">
        <w:t>survey of private healthcare providers</w:t>
      </w:r>
      <w:r w:rsidR="005B0D9E" w:rsidRPr="008319AD">
        <w:t xml:space="preserve">, </w:t>
      </w:r>
      <w:r w:rsidR="005C431F" w:rsidRPr="008319AD">
        <w:t>39%</w:t>
      </w:r>
      <w:r w:rsidR="00410098" w:rsidRPr="008319AD">
        <w:t xml:space="preserve"> of </w:t>
      </w:r>
      <w:r w:rsidR="00EE2A7A" w:rsidRPr="008319AD">
        <w:t>providers reported</w:t>
      </w:r>
      <w:r w:rsidR="00356856" w:rsidRPr="008319AD">
        <w:t xml:space="preserve"> </w:t>
      </w:r>
      <w:r w:rsidR="00925E03" w:rsidRPr="008319AD">
        <w:t>th</w:t>
      </w:r>
      <w:r w:rsidR="00356856" w:rsidRPr="008319AD">
        <w:t xml:space="preserve">at </w:t>
      </w:r>
      <w:r w:rsidR="00925E03" w:rsidRPr="008319AD">
        <w:t xml:space="preserve">veterans </w:t>
      </w:r>
      <w:r w:rsidR="00EE2A7A" w:rsidRPr="008319AD">
        <w:t>sought care from the</w:t>
      </w:r>
      <w:r w:rsidR="005B0D9E" w:rsidRPr="008319AD">
        <w:t>ir practice</w:t>
      </w:r>
      <w:r w:rsidR="00EE2A7A" w:rsidRPr="008319AD">
        <w:t xml:space="preserve"> because they </w:t>
      </w:r>
      <w:r w:rsidR="00925E03" w:rsidRPr="008319AD">
        <w:t>have established relationships</w:t>
      </w:r>
      <w:r w:rsidR="00410098" w:rsidRPr="008319AD">
        <w:t xml:space="preserve"> with </w:t>
      </w:r>
      <w:r w:rsidR="005C431F" w:rsidRPr="008319AD">
        <w:t>their veteran patients</w:t>
      </w:r>
      <w:r w:rsidR="00EE2A7A" w:rsidRPr="008319AD">
        <w:t>.</w:t>
      </w:r>
      <w:r w:rsidR="00E006B2" w:rsidRPr="008319AD">
        <w:rPr>
          <w:rStyle w:val="FootnoteReference"/>
        </w:rPr>
        <w:footnoteReference w:id="26"/>
      </w:r>
      <w:r w:rsidR="00EE2A7A" w:rsidRPr="008319AD">
        <w:t xml:space="preserve"> </w:t>
      </w:r>
      <w:r w:rsidR="005C431F" w:rsidRPr="008319AD">
        <w:t xml:space="preserve">31% </w:t>
      </w:r>
      <w:r w:rsidR="00356856" w:rsidRPr="008319AD">
        <w:t xml:space="preserve">reported that </w:t>
      </w:r>
      <w:r w:rsidR="00EE2A7A" w:rsidRPr="008319AD">
        <w:t>veterans chose community providers due to proximity and limited access to specialty care at VA facilities.</w:t>
      </w:r>
      <w:r w:rsidR="00E006B2" w:rsidRPr="008319AD">
        <w:rPr>
          <w:rStyle w:val="FootnoteReference"/>
        </w:rPr>
        <w:footnoteReference w:id="27"/>
      </w:r>
      <w:r w:rsidR="00EE2A7A" w:rsidRPr="008319AD">
        <w:t xml:space="preserve"> This shift </w:t>
      </w:r>
      <w:r w:rsidR="00E006B2" w:rsidRPr="008319AD">
        <w:t xml:space="preserve">in demand </w:t>
      </w:r>
      <w:r w:rsidR="00EE2A7A" w:rsidRPr="008319AD">
        <w:t>towards community-based healthcare underscores the need for private healthcare professionals to possess the skills and readiness to manage service-connected needs among New York’s veterans.</w:t>
      </w:r>
      <w:r w:rsidR="00EE2A7A" w:rsidRPr="008319AD">
        <w:rPr>
          <w:rStyle w:val="FootnoteReference"/>
        </w:rPr>
        <w:footnoteReference w:id="28"/>
      </w:r>
    </w:p>
    <w:p w14:paraId="156CF736" w14:textId="41F4135D" w:rsidR="00B91FFB" w:rsidRPr="00EE492D" w:rsidRDefault="00134B11" w:rsidP="00EE492D">
      <w:pPr>
        <w:spacing w:line="480" w:lineRule="auto"/>
        <w:jc w:val="both"/>
      </w:pPr>
      <w:r w:rsidRPr="00B91FFB">
        <w:rPr>
          <w:b/>
          <w:i/>
          <w:u w:val="single"/>
        </w:rPr>
        <w:t xml:space="preserve">Private Sector Provider Readiness </w:t>
      </w:r>
    </w:p>
    <w:p w14:paraId="6B9FB836" w14:textId="3AEE90E0" w:rsidR="00134B11" w:rsidRPr="008319AD" w:rsidRDefault="00134B11" w:rsidP="008319AD">
      <w:pPr>
        <w:autoSpaceDE w:val="0"/>
        <w:autoSpaceDN w:val="0"/>
        <w:adjustRightInd w:val="0"/>
        <w:spacing w:line="480" w:lineRule="auto"/>
        <w:ind w:firstLine="720"/>
        <w:jc w:val="both"/>
      </w:pPr>
      <w:r w:rsidRPr="008319AD">
        <w:t>Because of the increased reliance on private sector health care in recent years, there is a growing need for non-VA health care providers to be aware of a patient’s military history and provide veterans with culturally</w:t>
      </w:r>
      <w:r w:rsidR="00F9619D">
        <w:t>-</w:t>
      </w:r>
      <w:r w:rsidRPr="008319AD">
        <w:t>competent care.</w:t>
      </w:r>
      <w:r w:rsidRPr="008319AD">
        <w:rPr>
          <w:rStyle w:val="FootnoteReference"/>
        </w:rPr>
        <w:footnoteReference w:id="29"/>
      </w:r>
      <w:r w:rsidRPr="008319AD">
        <w:t xml:space="preserve"> However, very little is known about whether private health care providers are equipped to offer timely access to high-quality health care that addresses the unique needs of veterans.</w:t>
      </w:r>
      <w:r w:rsidRPr="008319AD">
        <w:rPr>
          <w:rStyle w:val="FootnoteReference"/>
        </w:rPr>
        <w:footnoteReference w:id="30"/>
      </w:r>
      <w:r w:rsidRPr="008319AD">
        <w:t xml:space="preserve"> In 2018, the RAND Corporation conducted a first of its kind study designed to assess the capacity and readiness of health care providers to address the service-connected health-related needs among veterans in New York State.</w:t>
      </w:r>
      <w:r w:rsidRPr="008319AD">
        <w:rPr>
          <w:rStyle w:val="FootnoteReference"/>
        </w:rPr>
        <w:footnoteReference w:id="31"/>
      </w:r>
      <w:r w:rsidRPr="008319AD">
        <w:t xml:space="preserve"> Readiness criteria used in the RAND study included whether survey participants were: (1) currently accepting new patients; (2) prepared to deal with conditions common among veterans; (3) providing high-quality care to their patients; (4) screening for other conditions common among veterans; (5) accommodating patients with disabilities; (6) familiar with military culture; and, (7) screening patients to determine whether they are current or former members of the armed forces or family members of such a person.</w:t>
      </w:r>
      <w:r w:rsidRPr="008319AD">
        <w:rPr>
          <w:rStyle w:val="FootnoteReference"/>
        </w:rPr>
        <w:footnoteReference w:id="32"/>
      </w:r>
      <w:r w:rsidRPr="008319AD">
        <w:t xml:space="preserve">   </w:t>
      </w:r>
    </w:p>
    <w:p w14:paraId="696AD37F" w14:textId="77777777" w:rsidR="00134B11" w:rsidRPr="008319AD" w:rsidRDefault="00134B11" w:rsidP="00E737A7">
      <w:pPr>
        <w:autoSpaceDE w:val="0"/>
        <w:autoSpaceDN w:val="0"/>
        <w:adjustRightInd w:val="0"/>
        <w:spacing w:line="480" w:lineRule="auto"/>
        <w:ind w:firstLine="720"/>
        <w:jc w:val="both"/>
      </w:pPr>
      <w:r w:rsidRPr="008319AD">
        <w:t>The RAND study found that very few of the New York State health care providers surveyed (only 2.3%) meet the readiness criteria to be able to provide timely, high-quality care to veterans.</w:t>
      </w:r>
      <w:r w:rsidRPr="008319AD">
        <w:rPr>
          <w:rStyle w:val="FootnoteReference"/>
        </w:rPr>
        <w:footnoteReference w:id="33"/>
      </w:r>
      <w:r w:rsidRPr="008319AD">
        <w:t xml:space="preserve"> The RAND study also found that while most health care providers in New York State reported accepting new patients (90%), being able to provide timely care (61%) and follow clinical practice guidelines (70%), most also know little about the military culture or veterans, and are unfamiliar with VA initiatives to expand access to community based care for VA-enrolled veterans.</w:t>
      </w:r>
      <w:r w:rsidRPr="008319AD">
        <w:rPr>
          <w:rStyle w:val="FootnoteReference"/>
        </w:rPr>
        <w:footnoteReference w:id="34"/>
      </w:r>
      <w:r w:rsidRPr="008319AD">
        <w:t xml:space="preserve"> For example, 72% of the New York health care providers surveyed did not know how to refer a patient to the VA.</w:t>
      </w:r>
      <w:r w:rsidRPr="008319AD">
        <w:rPr>
          <w:rStyle w:val="FootnoteReference"/>
        </w:rPr>
        <w:footnoteReference w:id="35"/>
      </w:r>
      <w:r w:rsidRPr="008319AD">
        <w:t xml:space="preserve"> Similarly, one in five reported being aware of the programs within the VA Community Care network or were engaged in treating VA patients through the programs.</w:t>
      </w:r>
      <w:r w:rsidRPr="008319AD">
        <w:rPr>
          <w:rStyle w:val="FootnoteReference"/>
        </w:rPr>
        <w:footnoteReference w:id="36"/>
      </w:r>
    </w:p>
    <w:p w14:paraId="42408DEC" w14:textId="77777777" w:rsidR="00134B11" w:rsidRPr="008319AD" w:rsidRDefault="00134B11" w:rsidP="008319AD">
      <w:pPr>
        <w:autoSpaceDE w:val="0"/>
        <w:autoSpaceDN w:val="0"/>
        <w:adjustRightInd w:val="0"/>
        <w:spacing w:line="480" w:lineRule="auto"/>
        <w:ind w:firstLine="360"/>
        <w:jc w:val="both"/>
      </w:pPr>
      <w:r w:rsidRPr="008319AD">
        <w:t xml:space="preserve">Based on the study’s findings, the RAND Corporation issued a set of recommendations to help improve the readiness of health care providers across the state, including: </w:t>
      </w:r>
    </w:p>
    <w:p w14:paraId="419167F5" w14:textId="77777777" w:rsidR="00134B11" w:rsidRPr="008319AD" w:rsidRDefault="00134B11" w:rsidP="008319A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8319AD">
        <w:rPr>
          <w:rFonts w:ascii="Times New Roman" w:hAnsi="Times New Roman" w:cs="Times New Roman"/>
          <w:sz w:val="24"/>
          <w:szCs w:val="24"/>
        </w:rPr>
        <w:t xml:space="preserve">Increasing provider familiarity with and preparedness related to military culture and service-connected health conditions; </w:t>
      </w:r>
    </w:p>
    <w:p w14:paraId="024DF7F3" w14:textId="77777777" w:rsidR="00134B11" w:rsidRPr="008319AD" w:rsidRDefault="00134B11" w:rsidP="008319A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8319AD">
        <w:rPr>
          <w:rFonts w:ascii="Times New Roman" w:hAnsi="Times New Roman" w:cs="Times New Roman"/>
          <w:sz w:val="24"/>
          <w:szCs w:val="24"/>
        </w:rPr>
        <w:t xml:space="preserve">Improving provider screening practices regarding patients' backgrounds, current clinical concerns, and any relevant occupational or environmental exposures; </w:t>
      </w:r>
    </w:p>
    <w:p w14:paraId="042DE5DF" w14:textId="77777777" w:rsidR="00134B11" w:rsidRPr="008319AD" w:rsidRDefault="00134B11" w:rsidP="008319A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8319AD">
        <w:rPr>
          <w:rFonts w:ascii="Times New Roman" w:hAnsi="Times New Roman" w:cs="Times New Roman"/>
          <w:sz w:val="24"/>
          <w:szCs w:val="24"/>
        </w:rPr>
        <w:t>Improving provider understanding about and engagement with the Veterans Health Administration (VHA) and available resources for veterans; and</w:t>
      </w:r>
    </w:p>
    <w:p w14:paraId="6FD83F27" w14:textId="77777777" w:rsidR="00134B11" w:rsidRPr="008319AD" w:rsidRDefault="00134B11" w:rsidP="008319A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8319AD">
        <w:rPr>
          <w:rFonts w:ascii="Times New Roman" w:hAnsi="Times New Roman" w:cs="Times New Roman"/>
          <w:sz w:val="24"/>
          <w:szCs w:val="24"/>
        </w:rPr>
        <w:t>Implementing a quality monitoring and management system for community care.</w:t>
      </w:r>
      <w:r w:rsidRPr="008319AD">
        <w:rPr>
          <w:rStyle w:val="FootnoteReference"/>
          <w:rFonts w:ascii="Times New Roman" w:hAnsi="Times New Roman"/>
          <w:sz w:val="24"/>
          <w:szCs w:val="24"/>
        </w:rPr>
        <w:footnoteReference w:id="37"/>
      </w:r>
    </w:p>
    <w:p w14:paraId="55FBB345" w14:textId="5F6A9FF9" w:rsidR="00134B11" w:rsidRPr="00B91FFB" w:rsidRDefault="00B91FFB" w:rsidP="00B91FFB">
      <w:pPr>
        <w:rPr>
          <w:b/>
          <w:i/>
          <w:u w:val="single"/>
        </w:rPr>
      </w:pPr>
      <w:r w:rsidRPr="00B91FFB">
        <w:rPr>
          <w:b/>
          <w:i/>
          <w:u w:val="single"/>
        </w:rPr>
        <w:t xml:space="preserve">DVS Services: Care Coordination and Benefits Claims </w:t>
      </w:r>
    </w:p>
    <w:p w14:paraId="308EB54A" w14:textId="77777777" w:rsidR="00B91FFB" w:rsidRPr="008319AD" w:rsidRDefault="00B91FFB" w:rsidP="00B91FFB"/>
    <w:p w14:paraId="34192F37" w14:textId="77777777" w:rsidR="00134B11" w:rsidRPr="008319AD" w:rsidRDefault="00134B11" w:rsidP="008319AD">
      <w:pPr>
        <w:autoSpaceDE w:val="0"/>
        <w:autoSpaceDN w:val="0"/>
        <w:adjustRightInd w:val="0"/>
        <w:spacing w:line="480" w:lineRule="auto"/>
        <w:ind w:firstLine="720"/>
        <w:jc w:val="both"/>
      </w:pPr>
      <w:r w:rsidRPr="008319AD">
        <w:t>The health care systems that serve veterans can be extremely complicated to navigate.</w:t>
      </w:r>
      <w:r w:rsidRPr="008319AD">
        <w:rPr>
          <w:rStyle w:val="FootnoteReference"/>
        </w:rPr>
        <w:footnoteReference w:id="38"/>
      </w:r>
      <w:r w:rsidRPr="008319AD">
        <w:t xml:space="preserve"> In many instances, getting veterans to access the benefits and services that are available to them will require personalized assistance.</w:t>
      </w:r>
      <w:r w:rsidRPr="008319AD">
        <w:rPr>
          <w:rStyle w:val="FootnoteReference"/>
        </w:rPr>
        <w:footnoteReference w:id="39"/>
      </w:r>
      <w:r w:rsidRPr="008319AD">
        <w:t xml:space="preserve"> For example, the VA Health Administration has complicated and changing eligibility and priority rules, and the locations and types of treatments that are available also change over time.</w:t>
      </w:r>
      <w:r w:rsidRPr="008319AD">
        <w:rPr>
          <w:rStyle w:val="FootnoteReference"/>
        </w:rPr>
        <w:footnoteReference w:id="40"/>
      </w:r>
      <w:r w:rsidRPr="008319AD">
        <w:t xml:space="preserve"> Care and benefits available to a given veteran through state programs, local nonprofits, and private insurance can be just as complicated.</w:t>
      </w:r>
      <w:r w:rsidRPr="008319AD">
        <w:rPr>
          <w:rStyle w:val="FootnoteReference"/>
        </w:rPr>
        <w:footnoteReference w:id="41"/>
      </w:r>
      <w:r w:rsidRPr="008319AD">
        <w:t xml:space="preserve"> </w:t>
      </w:r>
    </w:p>
    <w:p w14:paraId="45351FF4" w14:textId="188C7601" w:rsidR="00134B11" w:rsidRPr="008319AD" w:rsidRDefault="00134B11" w:rsidP="008319AD">
      <w:pPr>
        <w:autoSpaceDE w:val="0"/>
        <w:autoSpaceDN w:val="0"/>
        <w:adjustRightInd w:val="0"/>
        <w:spacing w:line="480" w:lineRule="auto"/>
        <w:ind w:firstLine="720"/>
        <w:jc w:val="both"/>
      </w:pPr>
      <w:r w:rsidRPr="008319AD">
        <w:t>Locally, the New York City Department of Veterans’ Services (DVS) provides navigation assistance to veterans and their families through VetConnectNYC, an innovative technology platform provided by Unite US.</w:t>
      </w:r>
      <w:r w:rsidRPr="008319AD">
        <w:rPr>
          <w:rStyle w:val="FootnoteReference"/>
        </w:rPr>
        <w:footnoteReference w:id="42"/>
      </w:r>
      <w:r w:rsidRPr="008319AD">
        <w:t xml:space="preserve"> VetConnectNYC provides veterans and their families with a single point of entry to connect to care, services and resources.</w:t>
      </w:r>
      <w:r w:rsidRPr="008319AD">
        <w:rPr>
          <w:rStyle w:val="FootnoteReference"/>
        </w:rPr>
        <w:footnoteReference w:id="43"/>
      </w:r>
      <w:r w:rsidRPr="008319AD">
        <w:t xml:space="preserve"> DVS Care Coordinators receive all requests made through VetConnectNYC and process them within 3-5 business days.</w:t>
      </w:r>
      <w:r w:rsidRPr="008319AD">
        <w:rPr>
          <w:rStyle w:val="FootnoteReference"/>
        </w:rPr>
        <w:footnoteReference w:id="44"/>
      </w:r>
      <w:r w:rsidRPr="008319AD">
        <w:t xml:space="preserve"> DVS staff work directly with veterans and their families to provide referrals to quality care provided by a network of community-based providers.</w:t>
      </w:r>
      <w:r w:rsidRPr="008319AD">
        <w:rPr>
          <w:rStyle w:val="FootnoteReference"/>
        </w:rPr>
        <w:footnoteReference w:id="45"/>
      </w:r>
      <w:r w:rsidRPr="008319AD">
        <w:t xml:space="preserve"> DVS also connects veterans and their families to VA health programs and provides information regarding insurance options.</w:t>
      </w:r>
      <w:r w:rsidRPr="008319AD">
        <w:rPr>
          <w:rStyle w:val="FootnoteReference"/>
        </w:rPr>
        <w:footnoteReference w:id="46"/>
      </w:r>
      <w:r w:rsidRPr="008319AD">
        <w:t xml:space="preserve"> </w:t>
      </w:r>
    </w:p>
    <w:p w14:paraId="2217BEB7" w14:textId="26FB7476" w:rsidR="00134B11" w:rsidRDefault="00134B11" w:rsidP="008319AD">
      <w:pPr>
        <w:autoSpaceDE w:val="0"/>
        <w:autoSpaceDN w:val="0"/>
        <w:adjustRightInd w:val="0"/>
        <w:spacing w:line="480" w:lineRule="auto"/>
        <w:ind w:firstLine="720"/>
        <w:jc w:val="both"/>
      </w:pPr>
      <w:r w:rsidRPr="008319AD">
        <w:t xml:space="preserve">Additionally, DVS accredited staff members assist NYC veterans and their families </w:t>
      </w:r>
      <w:r w:rsidR="000B5AA9">
        <w:t xml:space="preserve">with </w:t>
      </w:r>
      <w:r w:rsidRPr="008319AD">
        <w:t>process</w:t>
      </w:r>
      <w:r w:rsidR="000B5AA9">
        <w:t>ing</w:t>
      </w:r>
      <w:r w:rsidRPr="008319AD">
        <w:t xml:space="preserve"> Veterans Affairs (VA) disability claims.</w:t>
      </w:r>
      <w:r w:rsidRPr="008319AD">
        <w:rPr>
          <w:rStyle w:val="FootnoteReference"/>
        </w:rPr>
        <w:footnoteReference w:id="47"/>
      </w:r>
      <w:r w:rsidRPr="008319AD">
        <w:rPr>
          <w:color w:val="333333"/>
          <w:shd w:val="clear" w:color="auto" w:fill="FFFFFF"/>
        </w:rPr>
        <w:t xml:space="preserve"> </w:t>
      </w:r>
      <w:r w:rsidRPr="008319AD">
        <w:t>DVS accredited staff members in the VA Claims Unit provide quality service, advocacy, guidance, and assistance on the VA claims review process.</w:t>
      </w:r>
      <w:r w:rsidRPr="008319AD">
        <w:rPr>
          <w:rStyle w:val="FootnoteReference"/>
        </w:rPr>
        <w:footnoteReference w:id="48"/>
      </w:r>
      <w:r w:rsidRPr="008319AD">
        <w:t xml:space="preserve"> The mission of the VA Claims Unit is to help prepare and package a VA claim that is substantial, valid, and clearly identifies the pertinent information relevant to the claim.</w:t>
      </w:r>
      <w:r w:rsidRPr="008319AD">
        <w:rPr>
          <w:rStyle w:val="FootnoteReference"/>
        </w:rPr>
        <w:footnoteReference w:id="49"/>
      </w:r>
      <w:r w:rsidRPr="008319AD">
        <w:t xml:space="preserve"> </w:t>
      </w:r>
    </w:p>
    <w:p w14:paraId="17AF9123" w14:textId="77777777" w:rsidR="00BD0D8E" w:rsidRPr="008319AD" w:rsidRDefault="00BD0D8E" w:rsidP="008319AD">
      <w:pPr>
        <w:autoSpaceDE w:val="0"/>
        <w:autoSpaceDN w:val="0"/>
        <w:adjustRightInd w:val="0"/>
        <w:spacing w:line="480" w:lineRule="auto"/>
        <w:ind w:firstLine="720"/>
        <w:jc w:val="both"/>
      </w:pPr>
    </w:p>
    <w:p w14:paraId="446A45C7" w14:textId="068ECD76" w:rsidR="00BD0D8E" w:rsidRDefault="00B91FFB" w:rsidP="003E5000">
      <w:pPr>
        <w:autoSpaceDE w:val="0"/>
        <w:autoSpaceDN w:val="0"/>
        <w:adjustRightInd w:val="0"/>
        <w:spacing w:line="480" w:lineRule="auto"/>
        <w:jc w:val="both"/>
        <w:rPr>
          <w:b/>
        </w:rPr>
      </w:pPr>
      <w:r w:rsidRPr="005932AE">
        <w:rPr>
          <w:b/>
        </w:rPr>
        <w:t>III</w:t>
      </w:r>
      <w:r w:rsidR="00134B11" w:rsidRPr="005932AE">
        <w:rPr>
          <w:b/>
        </w:rPr>
        <w:t xml:space="preserve">. </w:t>
      </w:r>
      <w:r w:rsidR="00BD0D8E">
        <w:rPr>
          <w:b/>
        </w:rPr>
        <w:t>ANALYSIS OF INTRODUCTION NO. 394-2022</w:t>
      </w:r>
    </w:p>
    <w:p w14:paraId="2F6CCBAF" w14:textId="6FE30ACE" w:rsidR="00BD0D8E" w:rsidRDefault="00BD0D8E" w:rsidP="003E5000">
      <w:pPr>
        <w:autoSpaceDE w:val="0"/>
        <w:autoSpaceDN w:val="0"/>
        <w:adjustRightInd w:val="0"/>
        <w:spacing w:line="480" w:lineRule="auto"/>
        <w:jc w:val="both"/>
      </w:pPr>
      <w:r>
        <w:rPr>
          <w:b/>
        </w:rPr>
        <w:tab/>
      </w:r>
      <w:r w:rsidRPr="00A54188">
        <w:t xml:space="preserve">Introduction No. </w:t>
      </w:r>
      <w:r>
        <w:t>394-2022, sponsored by Council Member Holden, would amend the New York city charter to require each community board to establish a veterans committee dedicated to the needs of veterans and their families. Meetings of such veteran committees would be open to the public except where applicable law provides otherwise.</w:t>
      </w:r>
      <w:r w:rsidR="006D7E0A" w:rsidRPr="006D7E0A">
        <w:rPr>
          <w:color w:val="000000"/>
          <w:shd w:val="clear" w:color="auto" w:fill="FFFFFF"/>
        </w:rPr>
        <w:t xml:space="preserve"> </w:t>
      </w:r>
      <w:r w:rsidR="006D7E0A" w:rsidRPr="00D444BB">
        <w:rPr>
          <w:color w:val="000000"/>
          <w:shd w:val="clear" w:color="auto" w:fill="FFFFFF"/>
        </w:rPr>
        <w:t xml:space="preserve">This local law would take effect </w:t>
      </w:r>
      <w:r w:rsidR="006D7E0A">
        <w:rPr>
          <w:color w:val="000000"/>
          <w:shd w:val="clear" w:color="auto" w:fill="FFFFFF"/>
        </w:rPr>
        <w:t>90</w:t>
      </w:r>
      <w:r w:rsidR="006D7E0A" w:rsidRPr="00D444BB">
        <w:rPr>
          <w:color w:val="000000"/>
          <w:shd w:val="clear" w:color="auto" w:fill="FFFFFF"/>
        </w:rPr>
        <w:t xml:space="preserve"> days after it becomes law</w:t>
      </w:r>
      <w:r w:rsidR="00AF362F">
        <w:rPr>
          <w:color w:val="000000"/>
          <w:shd w:val="clear" w:color="auto" w:fill="FFFFFF"/>
        </w:rPr>
        <w:t>.</w:t>
      </w:r>
    </w:p>
    <w:p w14:paraId="7FD19985" w14:textId="77777777" w:rsidR="00BD0D8E" w:rsidRPr="00A54188" w:rsidRDefault="00BD0D8E" w:rsidP="003E5000">
      <w:pPr>
        <w:autoSpaceDE w:val="0"/>
        <w:autoSpaceDN w:val="0"/>
        <w:adjustRightInd w:val="0"/>
        <w:spacing w:line="480" w:lineRule="auto"/>
        <w:jc w:val="both"/>
      </w:pPr>
    </w:p>
    <w:p w14:paraId="03FC3B9D" w14:textId="38300235" w:rsidR="00134B11" w:rsidRPr="00B91FFB" w:rsidRDefault="00BD0D8E" w:rsidP="003E5000">
      <w:pPr>
        <w:autoSpaceDE w:val="0"/>
        <w:autoSpaceDN w:val="0"/>
        <w:adjustRightInd w:val="0"/>
        <w:spacing w:line="480" w:lineRule="auto"/>
        <w:jc w:val="both"/>
        <w:rPr>
          <w:b/>
        </w:rPr>
      </w:pPr>
      <w:r>
        <w:rPr>
          <w:b/>
        </w:rPr>
        <w:t xml:space="preserve">IV. </w:t>
      </w:r>
      <w:r w:rsidR="005932AE">
        <w:rPr>
          <w:b/>
        </w:rPr>
        <w:t xml:space="preserve">ANALYSIS OF RESOLUTION NO. 130-2022 </w:t>
      </w:r>
    </w:p>
    <w:p w14:paraId="371CC5A4" w14:textId="13A1091B" w:rsidR="00134B11" w:rsidRPr="008319AD" w:rsidRDefault="00134B11" w:rsidP="008319AD">
      <w:pPr>
        <w:autoSpaceDE w:val="0"/>
        <w:autoSpaceDN w:val="0"/>
        <w:adjustRightInd w:val="0"/>
        <w:spacing w:line="480" w:lineRule="auto"/>
        <w:ind w:firstLine="720"/>
        <w:jc w:val="both"/>
      </w:pPr>
      <w:r w:rsidRPr="008319AD">
        <w:t>Resolution No. 130-2022, sponsored by Council Member Brewer, call</w:t>
      </w:r>
      <w:r w:rsidR="00FF3E9E">
        <w:t xml:space="preserve">s </w:t>
      </w:r>
      <w:r w:rsidRPr="008319AD">
        <w:t>on the Federal Government to halt the planned closure of Manhattan and Brooklyn’s Veteran Affairs Medical Centers. In March 2022, the U.S. Department of Veteran Affairs (VA) issued market recommendations to the Asset Infrastructure Review  Commission for the purpose of modernizing and realigning the VA healthcare system.</w:t>
      </w:r>
      <w:r w:rsidRPr="008319AD">
        <w:rPr>
          <w:rStyle w:val="FootnoteReference"/>
        </w:rPr>
        <w:footnoteReference w:id="50"/>
      </w:r>
      <w:r w:rsidRPr="008319AD">
        <w:t xml:space="preserve"> Among the VA’s recommendations for the Metro New York Market are plans to close the Brooklyn and Manhattan VA Medical Centers while rerouting services by means of strategic collaborations to other medical service providers in the area.</w:t>
      </w:r>
      <w:r w:rsidRPr="008319AD">
        <w:rPr>
          <w:rStyle w:val="FootnoteReference"/>
        </w:rPr>
        <w:footnoteReference w:id="51"/>
      </w:r>
      <w:r w:rsidRPr="008319AD">
        <w:t xml:space="preserve"> The VA cited decreased enrollment over the next decade, aging facilities, accessibility issues and the federal government’s real estate interests among the factors justifying the recommended closures.</w:t>
      </w:r>
      <w:r w:rsidRPr="008319AD">
        <w:rPr>
          <w:rStyle w:val="FootnoteReference"/>
        </w:rPr>
        <w:footnoteReference w:id="52"/>
      </w:r>
      <w:r w:rsidRPr="008319AD">
        <w:t xml:space="preserve"> However, these proposed closures have the potential to dramatically shift how and where veterans in New York City receive health care and mental health services.  </w:t>
      </w:r>
    </w:p>
    <w:p w14:paraId="65D6EC22" w14:textId="23E702A3" w:rsidR="00134B11" w:rsidRPr="008319AD" w:rsidRDefault="00134B11" w:rsidP="008319AD">
      <w:pPr>
        <w:autoSpaceDE w:val="0"/>
        <w:autoSpaceDN w:val="0"/>
        <w:adjustRightInd w:val="0"/>
        <w:spacing w:line="480" w:lineRule="auto"/>
        <w:ind w:firstLine="720"/>
        <w:jc w:val="both"/>
      </w:pPr>
      <w:r w:rsidRPr="008319AD">
        <w:t>Critics of the proposed closures suggest that if the VA’s recommendations are implemented by the AIR Commission, thousands of veterans and their families who live in or near both areas and who depend on these facilities as their main source of health care would be unduly burdened.</w:t>
      </w:r>
      <w:r w:rsidRPr="008319AD">
        <w:rPr>
          <w:rStyle w:val="FootnoteReference"/>
        </w:rPr>
        <w:footnoteReference w:id="53"/>
      </w:r>
      <w:r w:rsidRPr="008319AD">
        <w:t xml:space="preserve"> The American Federation of Government Employees Locals 2094, 862 and 1667 are also concerned that the planned closures would cause mass layoffs among VA employees, many of who</w:t>
      </w:r>
      <w:r w:rsidR="00CB735C">
        <w:t>m</w:t>
      </w:r>
      <w:r w:rsidRPr="008319AD">
        <w:t xml:space="preserve"> are veterans themselves.</w:t>
      </w:r>
      <w:r w:rsidRPr="008319AD">
        <w:rPr>
          <w:rStyle w:val="FootnoteReference"/>
        </w:rPr>
        <w:footnoteReference w:id="54"/>
      </w:r>
      <w:r w:rsidRPr="008319AD">
        <w:t xml:space="preserve"> </w:t>
      </w:r>
    </w:p>
    <w:p w14:paraId="4026D6CB" w14:textId="77777777" w:rsidR="00EE492D" w:rsidRDefault="00EE492D" w:rsidP="008319AD">
      <w:pPr>
        <w:autoSpaceDE w:val="0"/>
        <w:autoSpaceDN w:val="0"/>
        <w:adjustRightInd w:val="0"/>
        <w:spacing w:line="480" w:lineRule="auto"/>
        <w:jc w:val="both"/>
        <w:rPr>
          <w:b/>
          <w:caps/>
        </w:rPr>
      </w:pPr>
    </w:p>
    <w:p w14:paraId="012DC01A" w14:textId="651DB7F3" w:rsidR="00134B11" w:rsidRPr="008319AD" w:rsidRDefault="00134B11" w:rsidP="008319AD">
      <w:pPr>
        <w:autoSpaceDE w:val="0"/>
        <w:autoSpaceDN w:val="0"/>
        <w:adjustRightInd w:val="0"/>
        <w:spacing w:line="480" w:lineRule="auto"/>
        <w:jc w:val="both"/>
      </w:pPr>
      <w:r w:rsidRPr="008319AD">
        <w:rPr>
          <w:b/>
          <w:caps/>
        </w:rPr>
        <w:t>V. Conclusion</w:t>
      </w:r>
    </w:p>
    <w:p w14:paraId="7B7B32AB" w14:textId="431EADBC" w:rsidR="00BD0D8E" w:rsidRDefault="00134B11" w:rsidP="00C97B06">
      <w:pPr>
        <w:autoSpaceDE w:val="0"/>
        <w:autoSpaceDN w:val="0"/>
        <w:adjustRightInd w:val="0"/>
        <w:spacing w:line="480" w:lineRule="auto"/>
        <w:ind w:firstLine="720"/>
        <w:jc w:val="both"/>
      </w:pPr>
      <w:r w:rsidRPr="008319AD">
        <w:t xml:space="preserve"> At today’s hearing, the Committee expects to learn more about the current health care needs of NYC veterans and any challenges veterans face in accessing timely and quality health care services. The Committee is also interested in receiving feedback on Resolution 130 of 2022.</w:t>
      </w:r>
      <w:r w:rsidR="00BD0D8E">
        <w:br w:type="page"/>
      </w:r>
    </w:p>
    <w:p w14:paraId="45D11129" w14:textId="77777777" w:rsidR="00C97B06" w:rsidRDefault="00C97B06" w:rsidP="00C97B06">
      <w:pPr>
        <w:jc w:val="center"/>
      </w:pPr>
      <w:r>
        <w:t>Int. No. 394</w:t>
      </w:r>
    </w:p>
    <w:p w14:paraId="008C3720" w14:textId="77777777" w:rsidR="00C97B06" w:rsidRDefault="00C97B06" w:rsidP="00C97B06">
      <w:pPr>
        <w:jc w:val="center"/>
      </w:pPr>
    </w:p>
    <w:p w14:paraId="1E2B8950" w14:textId="77777777" w:rsidR="00C97B06" w:rsidRDefault="00C97B06" w:rsidP="00C97B06">
      <w:pPr>
        <w:pStyle w:val="BodyText"/>
        <w:spacing w:line="240" w:lineRule="auto"/>
        <w:ind w:firstLine="0"/>
      </w:pPr>
      <w:r>
        <w:t>By Council Member Holden</w:t>
      </w:r>
    </w:p>
    <w:p w14:paraId="073F8EDE" w14:textId="77777777" w:rsidR="00C97B06" w:rsidRDefault="00C97B06" w:rsidP="00C97B06">
      <w:pPr>
        <w:pStyle w:val="BodyText"/>
        <w:spacing w:line="240" w:lineRule="auto"/>
        <w:ind w:firstLine="0"/>
      </w:pPr>
    </w:p>
    <w:p w14:paraId="2C58A098" w14:textId="77777777" w:rsidR="00C97B06" w:rsidRPr="00651FDB" w:rsidRDefault="00C97B06" w:rsidP="00C97B06">
      <w:pPr>
        <w:pStyle w:val="BodyText"/>
        <w:spacing w:line="240" w:lineRule="auto"/>
        <w:ind w:firstLine="0"/>
        <w:rPr>
          <w:vanish/>
        </w:rPr>
      </w:pPr>
      <w:r w:rsidRPr="00651FDB">
        <w:rPr>
          <w:vanish/>
        </w:rPr>
        <w:t>..Title</w:t>
      </w:r>
    </w:p>
    <w:p w14:paraId="5F15C36B" w14:textId="77777777" w:rsidR="00C97B06" w:rsidRDefault="00C97B06" w:rsidP="00C97B06">
      <w:pPr>
        <w:pStyle w:val="BodyText"/>
        <w:spacing w:line="240" w:lineRule="auto"/>
        <w:ind w:firstLine="0"/>
      </w:pPr>
      <w:r>
        <w:t>A Local Law to amend the New York city charter, in relation to requiring each community board to establish a veterans committee</w:t>
      </w:r>
    </w:p>
    <w:p w14:paraId="60F6BA0C" w14:textId="77777777" w:rsidR="00C97B06" w:rsidRPr="00651FDB" w:rsidRDefault="00C97B06" w:rsidP="00C97B06">
      <w:pPr>
        <w:pStyle w:val="BodyText"/>
        <w:spacing w:line="240" w:lineRule="auto"/>
        <w:ind w:firstLine="0"/>
        <w:rPr>
          <w:vanish/>
        </w:rPr>
      </w:pPr>
      <w:r w:rsidRPr="00651FDB">
        <w:rPr>
          <w:vanish/>
        </w:rPr>
        <w:t>..Body</w:t>
      </w:r>
    </w:p>
    <w:p w14:paraId="744C3C2B" w14:textId="77777777" w:rsidR="00C97B06" w:rsidRDefault="00C97B06" w:rsidP="00C97B06">
      <w:pPr>
        <w:pStyle w:val="BodyText"/>
        <w:spacing w:line="240" w:lineRule="auto"/>
        <w:ind w:firstLine="0"/>
        <w:rPr>
          <w:u w:val="single"/>
        </w:rPr>
      </w:pPr>
    </w:p>
    <w:p w14:paraId="729DB5C7" w14:textId="77777777" w:rsidR="00C97B06" w:rsidRDefault="00C97B06" w:rsidP="00B81C02">
      <w:pPr>
        <w:jc w:val="both"/>
      </w:pPr>
      <w:r>
        <w:rPr>
          <w:u w:val="single"/>
        </w:rPr>
        <w:t>Be it enacted by the Council as follows</w:t>
      </w:r>
      <w:r w:rsidRPr="005B5DE4">
        <w:rPr>
          <w:u w:val="single"/>
        </w:rPr>
        <w:t>:</w:t>
      </w:r>
      <w:r>
        <w:t xml:space="preserve"> </w:t>
      </w:r>
    </w:p>
    <w:p w14:paraId="4D5994C8" w14:textId="77777777" w:rsidR="00C97B06" w:rsidRDefault="00C97B06" w:rsidP="00B81C02">
      <w:pPr>
        <w:jc w:val="both"/>
      </w:pPr>
    </w:p>
    <w:p w14:paraId="142B2520" w14:textId="55AC08C1" w:rsidR="003124F3" w:rsidRPr="003124F3" w:rsidRDefault="00C97B06" w:rsidP="00B81C02">
      <w:pPr>
        <w:spacing w:line="480" w:lineRule="auto"/>
        <w:ind w:firstLine="720"/>
        <w:jc w:val="both"/>
      </w:pPr>
      <w:r w:rsidRPr="00C97B06">
        <w:t>Section 1. Subdivision d of section 2800 of the New York city charter is amended by adding a new subparagraph 23 to read as follows:</w:t>
      </w:r>
    </w:p>
    <w:p w14:paraId="567C4FD6" w14:textId="6D95B8C8" w:rsidR="003124F3" w:rsidRPr="00C97B06" w:rsidRDefault="00C97B06" w:rsidP="00B81C02">
      <w:pPr>
        <w:spacing w:line="480" w:lineRule="auto"/>
        <w:ind w:firstLine="720"/>
        <w:jc w:val="both"/>
        <w:rPr>
          <w:u w:val="single"/>
        </w:rPr>
      </w:pPr>
      <w:r w:rsidRPr="00C97B06">
        <w:rPr>
          <w:u w:val="single"/>
        </w:rPr>
        <w:t>(23) Establish a committee dedicated to the needs of veterans and their families, with the meetings of such committee open to the public except as otherwise provided by law.</w:t>
      </w:r>
    </w:p>
    <w:p w14:paraId="7F33F7E9" w14:textId="738D4F4F" w:rsidR="003124F3" w:rsidRDefault="00C97B06" w:rsidP="00B81C02">
      <w:pPr>
        <w:spacing w:line="480" w:lineRule="auto"/>
        <w:ind w:firstLine="720"/>
        <w:jc w:val="both"/>
      </w:pPr>
      <w:r w:rsidRPr="00C97B06">
        <w:t>§</w:t>
      </w:r>
      <w:r w:rsidR="003124F3">
        <w:t xml:space="preserve"> 2. </w:t>
      </w:r>
      <w:r w:rsidRPr="00C97B06">
        <w:t xml:space="preserve">This local law takes effect 90 days after it becomes law. </w:t>
      </w:r>
    </w:p>
    <w:p w14:paraId="206D5E2F" w14:textId="77777777" w:rsidR="003124F3" w:rsidRDefault="003124F3" w:rsidP="003124F3">
      <w:pPr>
        <w:pStyle w:val="NormalWeb"/>
        <w:suppressLineNumbers/>
        <w:shd w:val="clear" w:color="auto" w:fill="FFFFFF"/>
        <w:spacing w:before="0" w:beforeAutospacing="0" w:after="0" w:afterAutospacing="0"/>
        <w:contextualSpacing/>
        <w:jc w:val="both"/>
        <w:rPr>
          <w:color w:val="000000"/>
          <w:sz w:val="20"/>
          <w:szCs w:val="20"/>
          <w:u w:val="single"/>
        </w:rPr>
      </w:pPr>
    </w:p>
    <w:p w14:paraId="658B8756" w14:textId="0F28846F" w:rsidR="003124F3" w:rsidRPr="00926318" w:rsidRDefault="003124F3" w:rsidP="003124F3">
      <w:pPr>
        <w:pStyle w:val="NormalWeb"/>
        <w:suppressLineNumbers/>
        <w:shd w:val="clear" w:color="auto" w:fill="FFFFFF"/>
        <w:spacing w:before="0" w:beforeAutospacing="0" w:after="0" w:afterAutospacing="0"/>
        <w:contextualSpacing/>
        <w:jc w:val="both"/>
        <w:rPr>
          <w:color w:val="000000"/>
          <w:sz w:val="20"/>
          <w:szCs w:val="20"/>
          <w:u w:val="single"/>
        </w:rPr>
      </w:pPr>
      <w:r w:rsidRPr="00926318">
        <w:rPr>
          <w:color w:val="000000"/>
          <w:sz w:val="20"/>
          <w:szCs w:val="20"/>
          <w:u w:val="single"/>
        </w:rPr>
        <w:t>Session 12</w:t>
      </w:r>
    </w:p>
    <w:p w14:paraId="34D3E022" w14:textId="77777777" w:rsidR="003124F3" w:rsidRPr="00926318" w:rsidRDefault="003124F3" w:rsidP="003124F3">
      <w:pPr>
        <w:pStyle w:val="NormalWeb"/>
        <w:suppressLineNumbers/>
        <w:shd w:val="clear" w:color="auto" w:fill="FFFFFF"/>
        <w:spacing w:before="0" w:beforeAutospacing="0" w:after="0" w:afterAutospacing="0"/>
        <w:contextualSpacing/>
        <w:jc w:val="both"/>
        <w:rPr>
          <w:color w:val="000000"/>
          <w:sz w:val="20"/>
          <w:szCs w:val="20"/>
        </w:rPr>
      </w:pPr>
      <w:r w:rsidRPr="00926318">
        <w:rPr>
          <w:color w:val="000000"/>
          <w:sz w:val="20"/>
          <w:szCs w:val="20"/>
        </w:rPr>
        <w:t>BG</w:t>
      </w:r>
    </w:p>
    <w:p w14:paraId="3F4A55CA" w14:textId="77777777" w:rsidR="003124F3" w:rsidRPr="00926318" w:rsidRDefault="003124F3" w:rsidP="003124F3">
      <w:pPr>
        <w:pStyle w:val="NormalWeb"/>
        <w:suppressLineNumbers/>
        <w:shd w:val="clear" w:color="auto" w:fill="FFFFFF"/>
        <w:spacing w:before="0" w:beforeAutospacing="0" w:after="0" w:afterAutospacing="0"/>
        <w:contextualSpacing/>
        <w:jc w:val="both"/>
        <w:rPr>
          <w:color w:val="000000"/>
          <w:sz w:val="20"/>
          <w:szCs w:val="20"/>
        </w:rPr>
      </w:pPr>
      <w:r w:rsidRPr="00926318">
        <w:rPr>
          <w:color w:val="000000"/>
          <w:sz w:val="20"/>
          <w:szCs w:val="20"/>
        </w:rPr>
        <w:t>LS #8584</w:t>
      </w:r>
    </w:p>
    <w:p w14:paraId="21C9ED44" w14:textId="77777777" w:rsidR="003124F3" w:rsidRPr="00926318" w:rsidRDefault="003124F3" w:rsidP="003124F3">
      <w:pPr>
        <w:pStyle w:val="NormalWeb"/>
        <w:suppressLineNumbers/>
        <w:shd w:val="clear" w:color="auto" w:fill="FFFFFF"/>
        <w:spacing w:before="0" w:beforeAutospacing="0" w:after="0" w:afterAutospacing="0"/>
        <w:contextualSpacing/>
        <w:jc w:val="both"/>
        <w:rPr>
          <w:color w:val="000000"/>
          <w:sz w:val="20"/>
          <w:szCs w:val="20"/>
        </w:rPr>
      </w:pPr>
      <w:r w:rsidRPr="00926318">
        <w:rPr>
          <w:color w:val="000000"/>
          <w:sz w:val="20"/>
          <w:szCs w:val="20"/>
        </w:rPr>
        <w:t>5/13/22</w:t>
      </w:r>
    </w:p>
    <w:p w14:paraId="5AA01D19" w14:textId="77777777" w:rsidR="003124F3" w:rsidRPr="00926318" w:rsidRDefault="003124F3" w:rsidP="003124F3">
      <w:pPr>
        <w:pStyle w:val="NormalWeb"/>
        <w:suppressLineNumbers/>
        <w:shd w:val="clear" w:color="auto" w:fill="FFFFFF"/>
        <w:spacing w:before="0" w:beforeAutospacing="0" w:after="0" w:afterAutospacing="0"/>
        <w:contextualSpacing/>
        <w:jc w:val="both"/>
        <w:rPr>
          <w:color w:val="000000"/>
          <w:sz w:val="20"/>
          <w:szCs w:val="20"/>
        </w:rPr>
      </w:pPr>
    </w:p>
    <w:p w14:paraId="4B89284A" w14:textId="77777777" w:rsidR="003124F3" w:rsidRPr="00926318" w:rsidRDefault="003124F3" w:rsidP="003124F3">
      <w:pPr>
        <w:pStyle w:val="NormalWeb"/>
        <w:suppressLineNumbers/>
        <w:shd w:val="clear" w:color="auto" w:fill="FFFFFF"/>
        <w:spacing w:before="0" w:beforeAutospacing="0" w:after="0" w:afterAutospacing="0"/>
        <w:contextualSpacing/>
        <w:jc w:val="both"/>
        <w:rPr>
          <w:color w:val="000000"/>
          <w:sz w:val="20"/>
          <w:szCs w:val="20"/>
          <w:u w:val="single"/>
        </w:rPr>
      </w:pPr>
      <w:r w:rsidRPr="00926318">
        <w:rPr>
          <w:color w:val="000000"/>
          <w:sz w:val="20"/>
          <w:szCs w:val="20"/>
          <w:u w:val="single"/>
        </w:rPr>
        <w:t>Session 11</w:t>
      </w:r>
    </w:p>
    <w:p w14:paraId="67DB8169" w14:textId="77777777" w:rsidR="003124F3" w:rsidRPr="00926318" w:rsidRDefault="003124F3" w:rsidP="003124F3">
      <w:pPr>
        <w:jc w:val="both"/>
        <w:rPr>
          <w:sz w:val="20"/>
          <w:szCs w:val="20"/>
        </w:rPr>
      </w:pPr>
      <w:r w:rsidRPr="00926318">
        <w:rPr>
          <w:sz w:val="20"/>
          <w:szCs w:val="20"/>
        </w:rPr>
        <w:t>ENB</w:t>
      </w:r>
    </w:p>
    <w:p w14:paraId="6B0093E0" w14:textId="77777777" w:rsidR="003124F3" w:rsidRPr="00926318" w:rsidRDefault="003124F3" w:rsidP="003124F3">
      <w:pPr>
        <w:jc w:val="both"/>
        <w:rPr>
          <w:sz w:val="20"/>
          <w:szCs w:val="20"/>
        </w:rPr>
      </w:pPr>
      <w:r w:rsidRPr="00926318">
        <w:rPr>
          <w:sz w:val="20"/>
          <w:szCs w:val="20"/>
        </w:rPr>
        <w:t>LS#662</w:t>
      </w:r>
    </w:p>
    <w:p w14:paraId="1035E673" w14:textId="77777777" w:rsidR="003124F3" w:rsidRPr="00926318" w:rsidRDefault="003124F3" w:rsidP="003124F3">
      <w:pPr>
        <w:jc w:val="both"/>
        <w:rPr>
          <w:sz w:val="20"/>
          <w:szCs w:val="20"/>
        </w:rPr>
      </w:pPr>
      <w:r w:rsidRPr="00926318">
        <w:rPr>
          <w:sz w:val="20"/>
          <w:szCs w:val="20"/>
        </w:rPr>
        <w:t>Int. 395-2018</w:t>
      </w:r>
    </w:p>
    <w:p w14:paraId="7DD3FA8D" w14:textId="7ED676CE" w:rsidR="00C97B06" w:rsidRDefault="003124F3" w:rsidP="003124F3">
      <w:pPr>
        <w:spacing w:line="480" w:lineRule="auto"/>
        <w:ind w:firstLine="720"/>
      </w:pPr>
      <w:r>
        <w:t xml:space="preserve"> </w:t>
      </w:r>
      <w:r w:rsidR="00C97B06">
        <w:br w:type="page"/>
      </w:r>
    </w:p>
    <w:p w14:paraId="53440ED7" w14:textId="0AFBED87" w:rsidR="00134B11" w:rsidRPr="008319AD" w:rsidRDefault="00134B11" w:rsidP="000B5AA9">
      <w:pPr>
        <w:pStyle w:val="paragraph"/>
        <w:spacing w:before="0" w:beforeAutospacing="0" w:after="0" w:afterAutospacing="0"/>
        <w:jc w:val="center"/>
        <w:textAlignment w:val="baseline"/>
      </w:pPr>
      <w:r w:rsidRPr="008319AD">
        <w:t>Res. No. 130</w:t>
      </w:r>
    </w:p>
    <w:p w14:paraId="74FA2864" w14:textId="77777777" w:rsidR="00134B11" w:rsidRPr="008319AD" w:rsidRDefault="00134B11" w:rsidP="008319AD">
      <w:pPr>
        <w:jc w:val="both"/>
        <w:textAlignment w:val="baseline"/>
      </w:pPr>
    </w:p>
    <w:p w14:paraId="3BEC7FCF" w14:textId="77777777" w:rsidR="00134B11" w:rsidRPr="008319AD" w:rsidRDefault="00134B11" w:rsidP="008319AD">
      <w:pPr>
        <w:jc w:val="both"/>
        <w:textAlignment w:val="baseline"/>
        <w:rPr>
          <w:vanish/>
        </w:rPr>
      </w:pPr>
      <w:r w:rsidRPr="008319AD">
        <w:rPr>
          <w:vanish/>
        </w:rPr>
        <w:t>..Title</w:t>
      </w:r>
    </w:p>
    <w:p w14:paraId="7AF00F39" w14:textId="77777777" w:rsidR="00134B11" w:rsidRPr="008319AD" w:rsidRDefault="00134B11" w:rsidP="008319AD">
      <w:pPr>
        <w:jc w:val="both"/>
        <w:textAlignment w:val="baseline"/>
      </w:pPr>
      <w:r w:rsidRPr="008319AD">
        <w:t>Resolution calling on the Federal Government to halt the planned closure of Manhattan and Brooklyn’s Veteran Affairs Medical Centers.</w:t>
      </w:r>
    </w:p>
    <w:p w14:paraId="6684F48B" w14:textId="77777777" w:rsidR="00134B11" w:rsidRPr="008319AD" w:rsidRDefault="00134B11" w:rsidP="008319AD">
      <w:pPr>
        <w:jc w:val="both"/>
        <w:textAlignment w:val="baseline"/>
        <w:rPr>
          <w:vanish/>
        </w:rPr>
      </w:pPr>
      <w:r w:rsidRPr="008319AD">
        <w:rPr>
          <w:vanish/>
        </w:rPr>
        <w:t>..Body</w:t>
      </w:r>
    </w:p>
    <w:p w14:paraId="15A655A3" w14:textId="77777777" w:rsidR="00134B11" w:rsidRPr="008319AD" w:rsidRDefault="00134B11" w:rsidP="008319AD">
      <w:pPr>
        <w:jc w:val="both"/>
        <w:textAlignment w:val="baseline"/>
      </w:pPr>
      <w:r w:rsidRPr="008319AD">
        <w:t> </w:t>
      </w:r>
    </w:p>
    <w:p w14:paraId="292FF93A" w14:textId="77777777" w:rsidR="00134B11" w:rsidRPr="008319AD" w:rsidRDefault="00134B11" w:rsidP="008319AD">
      <w:pPr>
        <w:autoSpaceDE w:val="0"/>
        <w:autoSpaceDN w:val="0"/>
        <w:adjustRightInd w:val="0"/>
        <w:jc w:val="both"/>
      </w:pPr>
      <w:r w:rsidRPr="008319AD">
        <w:t>By Council Members Brewer, Holden, Yeger, Hanif, Sanchez, Stevens, Schulman, Kagan, Ung, Barron, Joseph, Ayala, Restler, Nurse, Williams, Paladino, Carr, Ariola and Borelli</w:t>
      </w:r>
    </w:p>
    <w:p w14:paraId="3078E396" w14:textId="77777777" w:rsidR="00134B11" w:rsidRPr="008319AD" w:rsidRDefault="00134B11" w:rsidP="008319AD">
      <w:pPr>
        <w:jc w:val="both"/>
        <w:textAlignment w:val="baseline"/>
      </w:pPr>
      <w:r w:rsidRPr="008319AD">
        <w:t xml:space="preserve">  </w:t>
      </w:r>
    </w:p>
    <w:p w14:paraId="28BFD034" w14:textId="77777777" w:rsidR="00134B11" w:rsidRPr="008319AD" w:rsidRDefault="00134B11" w:rsidP="008319AD">
      <w:pPr>
        <w:spacing w:line="480" w:lineRule="auto"/>
        <w:ind w:firstLine="720"/>
        <w:jc w:val="both"/>
        <w:textAlignment w:val="baseline"/>
      </w:pPr>
      <w:r w:rsidRPr="008319AD">
        <w:t>Whereas, As of 2021, an estimated 210,000 veterans live in New York City (NYC) according to NYC Department of Veteran Services; and</w:t>
      </w:r>
    </w:p>
    <w:p w14:paraId="61A32525" w14:textId="77777777" w:rsidR="00134B11" w:rsidRPr="008319AD" w:rsidRDefault="00134B11" w:rsidP="008319AD">
      <w:pPr>
        <w:spacing w:line="480" w:lineRule="auto"/>
        <w:ind w:firstLine="720"/>
        <w:jc w:val="both"/>
        <w:textAlignment w:val="baseline"/>
      </w:pPr>
      <w:r w:rsidRPr="008319AD">
        <w:t>Whereas, Veterans selflessly served and sacrificed for our city and our country, and we owe them a great deal of gratitude; and</w:t>
      </w:r>
    </w:p>
    <w:p w14:paraId="4AD4D681" w14:textId="77777777" w:rsidR="00134B11" w:rsidRPr="008319AD" w:rsidRDefault="00134B11" w:rsidP="008319AD">
      <w:pPr>
        <w:spacing w:line="480" w:lineRule="auto"/>
        <w:ind w:firstLine="720"/>
        <w:jc w:val="both"/>
        <w:textAlignment w:val="baseline"/>
      </w:pPr>
      <w:r w:rsidRPr="008319AD">
        <w:t>Whereas, Veteran Affairs medical centers were created to best help veterans with services “under one roof” with (1) system-wide clinical expertise regarding service-connected conditions and disorders; (2) a team approach to primary care that is veteran-centric; (3) a holistic view that includes physical, psychosocial, and economic determinants; (4) and critical support services for family members and caregivers; and</w:t>
      </w:r>
    </w:p>
    <w:p w14:paraId="6235F970" w14:textId="77777777" w:rsidR="00134B11" w:rsidRPr="008319AD" w:rsidRDefault="00134B11" w:rsidP="008319AD">
      <w:pPr>
        <w:spacing w:line="480" w:lineRule="auto"/>
        <w:ind w:firstLine="720"/>
        <w:jc w:val="both"/>
        <w:textAlignment w:val="baseline"/>
      </w:pPr>
      <w:r w:rsidRPr="008319AD">
        <w:t>Whereas, Veteran Affairs medical centers are essential and extraordinary in terms of bringing together comprehensive expertise in a single health care system with experts in preventive care, inpatient hospital services, urgent and emergency care services, mental health, and support services; and</w:t>
      </w:r>
    </w:p>
    <w:p w14:paraId="4BAF3114" w14:textId="77777777" w:rsidR="00134B11" w:rsidRPr="008319AD" w:rsidRDefault="00134B11" w:rsidP="008319AD">
      <w:pPr>
        <w:spacing w:line="480" w:lineRule="auto"/>
        <w:ind w:firstLine="720"/>
        <w:jc w:val="both"/>
        <w:textAlignment w:val="baseline"/>
      </w:pPr>
      <w:r w:rsidRPr="008319AD">
        <w:t>Whereas, COVID-19 has greatly affected the veteran population’s health, has exacerbated social isolation and mental health needs, and made these centers more needed than ever; and</w:t>
      </w:r>
    </w:p>
    <w:p w14:paraId="1AFA9B9E" w14:textId="77777777" w:rsidR="00134B11" w:rsidRPr="008319AD" w:rsidRDefault="00134B11" w:rsidP="008319AD">
      <w:pPr>
        <w:spacing w:line="480" w:lineRule="auto"/>
        <w:ind w:firstLine="720"/>
        <w:jc w:val="both"/>
        <w:textAlignment w:val="baseline"/>
      </w:pPr>
      <w:r w:rsidRPr="008319AD">
        <w:t>Whereas, The Veteran Affairs New York Harbor Healthcare System is a set of hospitals run by the United States Department of Veterans Affairs in the NYC area; and</w:t>
      </w:r>
    </w:p>
    <w:p w14:paraId="37E5FE62" w14:textId="16363AF9" w:rsidR="00134B11" w:rsidRPr="008319AD" w:rsidRDefault="00134B11" w:rsidP="000B5AA9">
      <w:pPr>
        <w:spacing w:line="480" w:lineRule="auto"/>
        <w:ind w:firstLine="720"/>
        <w:jc w:val="both"/>
        <w:textAlignment w:val="baseline"/>
      </w:pPr>
      <w:r w:rsidRPr="008319AD">
        <w:t>Whereas, It is comprised of three medical centers, two community outpatient clinics, and three veteran centers; and</w:t>
      </w:r>
    </w:p>
    <w:p w14:paraId="0D5CB5BE" w14:textId="77777777" w:rsidR="00134B11" w:rsidRPr="008319AD" w:rsidRDefault="00134B11" w:rsidP="008319AD">
      <w:pPr>
        <w:spacing w:line="480" w:lineRule="auto"/>
        <w:ind w:firstLine="720"/>
        <w:jc w:val="both"/>
        <w:textAlignment w:val="baseline"/>
      </w:pPr>
      <w:r w:rsidRPr="008319AD">
        <w:t>Whereas, We continue to keep our promise to veterans that dates back to President Lincoln’s second inauguration when he charged a wounded nation to care for those “who shall have borne the battle” and for their families and their survivors; and</w:t>
      </w:r>
    </w:p>
    <w:p w14:paraId="38B50015" w14:textId="77777777" w:rsidR="00134B11" w:rsidRPr="008319AD" w:rsidRDefault="00134B11" w:rsidP="008319AD">
      <w:pPr>
        <w:spacing w:line="480" w:lineRule="auto"/>
        <w:ind w:firstLine="720"/>
        <w:jc w:val="both"/>
        <w:textAlignment w:val="baseline"/>
      </w:pPr>
      <w:r w:rsidRPr="008319AD">
        <w:t>Whereas, That promise echoes into today that there is no more noble mission in this country than keeping that fundamental promise; and </w:t>
      </w:r>
    </w:p>
    <w:p w14:paraId="12D0F91A" w14:textId="77777777" w:rsidR="00134B11" w:rsidRPr="008319AD" w:rsidRDefault="00134B11" w:rsidP="008319AD">
      <w:pPr>
        <w:spacing w:line="480" w:lineRule="auto"/>
        <w:ind w:firstLine="720"/>
        <w:jc w:val="both"/>
        <w:textAlignment w:val="baseline"/>
      </w:pPr>
      <w:r w:rsidRPr="008319AD">
        <w:t>Whereas, The U.S. Department of Veteran Affairs recently recommended closing the Veteran Affairs medical centers in Brooklyn and Manhattan and establishing partnerships with community affiliates and outpatient clinics; and</w:t>
      </w:r>
    </w:p>
    <w:p w14:paraId="75F11B41" w14:textId="77777777" w:rsidR="00134B11" w:rsidRPr="008319AD" w:rsidRDefault="00134B11" w:rsidP="008319AD">
      <w:pPr>
        <w:spacing w:line="480" w:lineRule="auto"/>
        <w:ind w:firstLine="720"/>
        <w:jc w:val="both"/>
        <w:textAlignment w:val="baseline"/>
      </w:pPr>
      <w:r w:rsidRPr="008319AD">
        <w:t>Whereas, Now more than ever, the federal government should remain fully committed to fulfill the sacred obligation we have for those who served by continuing to advocate for our local NYC Veteran Affairs medical centers to continue to be premier, all-in-one centers for our veterans, their families, caregivers, and survivors; now, therefore, be it </w:t>
      </w:r>
    </w:p>
    <w:p w14:paraId="3DAF9163" w14:textId="77777777" w:rsidR="00134B11" w:rsidRPr="008319AD" w:rsidRDefault="00134B11" w:rsidP="008319AD">
      <w:pPr>
        <w:spacing w:line="480" w:lineRule="auto"/>
        <w:ind w:firstLine="720"/>
        <w:jc w:val="both"/>
        <w:textAlignment w:val="baseline"/>
      </w:pPr>
      <w:r w:rsidRPr="008319AD">
        <w:t>Resolved, That the Council of the City of New York calls on the Federal Government to halt the planned closure of Manhattan and Brooklyn Veteran Affairs Medical Centers.</w:t>
      </w:r>
    </w:p>
    <w:p w14:paraId="136957B6" w14:textId="77777777" w:rsidR="00134B11" w:rsidRPr="000B5AA9" w:rsidRDefault="00134B11" w:rsidP="008319AD">
      <w:pPr>
        <w:spacing w:line="480" w:lineRule="auto"/>
        <w:ind w:firstLine="720"/>
        <w:jc w:val="both"/>
        <w:textAlignment w:val="baseline"/>
        <w:rPr>
          <w:sz w:val="20"/>
          <w:szCs w:val="20"/>
        </w:rPr>
      </w:pPr>
    </w:p>
    <w:p w14:paraId="4B56A54D" w14:textId="77777777" w:rsidR="00134B11" w:rsidRPr="000B5AA9" w:rsidRDefault="00134B11" w:rsidP="008319AD">
      <w:pPr>
        <w:jc w:val="both"/>
        <w:textAlignment w:val="baseline"/>
        <w:rPr>
          <w:sz w:val="20"/>
          <w:szCs w:val="20"/>
        </w:rPr>
      </w:pPr>
      <w:r w:rsidRPr="000B5AA9">
        <w:rPr>
          <w:sz w:val="20"/>
          <w:szCs w:val="20"/>
        </w:rPr>
        <w:t>VM</w:t>
      </w:r>
    </w:p>
    <w:p w14:paraId="5610600D" w14:textId="77777777" w:rsidR="00134B11" w:rsidRPr="000B5AA9" w:rsidRDefault="00134B11" w:rsidP="008319AD">
      <w:pPr>
        <w:jc w:val="both"/>
        <w:textAlignment w:val="baseline"/>
        <w:rPr>
          <w:sz w:val="20"/>
          <w:szCs w:val="20"/>
        </w:rPr>
      </w:pPr>
      <w:r w:rsidRPr="000B5AA9">
        <w:rPr>
          <w:sz w:val="20"/>
          <w:szCs w:val="20"/>
        </w:rPr>
        <w:t>4/4/2022</w:t>
      </w:r>
    </w:p>
    <w:p w14:paraId="4D41ADD6" w14:textId="77777777" w:rsidR="00134B11" w:rsidRPr="000B5AA9" w:rsidRDefault="00134B11" w:rsidP="008319AD">
      <w:pPr>
        <w:jc w:val="both"/>
        <w:textAlignment w:val="baseline"/>
        <w:rPr>
          <w:sz w:val="20"/>
          <w:szCs w:val="20"/>
        </w:rPr>
      </w:pPr>
      <w:r w:rsidRPr="000B5AA9">
        <w:rPr>
          <w:sz w:val="20"/>
          <w:szCs w:val="20"/>
        </w:rPr>
        <w:t>LS #8347</w:t>
      </w:r>
    </w:p>
    <w:p w14:paraId="6BB6BFC9" w14:textId="77777777" w:rsidR="00134B11" w:rsidRPr="008319AD" w:rsidRDefault="00134B11" w:rsidP="008319AD">
      <w:pPr>
        <w:jc w:val="both"/>
        <w:textAlignment w:val="baseline"/>
      </w:pPr>
      <w:r w:rsidRPr="008319AD">
        <w:t> </w:t>
      </w:r>
    </w:p>
    <w:p w14:paraId="5CE86214" w14:textId="77777777" w:rsidR="00134B11" w:rsidRPr="008319AD" w:rsidRDefault="00134B11" w:rsidP="008319AD">
      <w:pPr>
        <w:jc w:val="both"/>
        <w:textAlignment w:val="baseline"/>
      </w:pPr>
      <w:r w:rsidRPr="008319AD">
        <w:t> </w:t>
      </w:r>
    </w:p>
    <w:p w14:paraId="5A076E02" w14:textId="77777777" w:rsidR="00134B11" w:rsidRPr="008319AD" w:rsidRDefault="00134B11" w:rsidP="008319AD">
      <w:pPr>
        <w:jc w:val="both"/>
        <w:textAlignment w:val="baseline"/>
      </w:pPr>
      <w:r w:rsidRPr="008319AD">
        <w:t> </w:t>
      </w:r>
    </w:p>
    <w:p w14:paraId="0AB43379" w14:textId="3ACCDDC7" w:rsidR="00134B11" w:rsidRPr="008319AD" w:rsidRDefault="00134B11" w:rsidP="008319AD">
      <w:pPr>
        <w:jc w:val="both"/>
        <w:textAlignment w:val="baseline"/>
      </w:pPr>
      <w:r w:rsidRPr="008319AD">
        <w:t>  </w:t>
      </w:r>
    </w:p>
    <w:p w14:paraId="005FA55B" w14:textId="77777777" w:rsidR="00134B11" w:rsidRPr="008319AD" w:rsidRDefault="00134B11" w:rsidP="008319AD">
      <w:pPr>
        <w:autoSpaceDE w:val="0"/>
        <w:autoSpaceDN w:val="0"/>
        <w:adjustRightInd w:val="0"/>
        <w:spacing w:line="480" w:lineRule="auto"/>
        <w:jc w:val="both"/>
      </w:pPr>
    </w:p>
    <w:p w14:paraId="0BA873FF" w14:textId="77777777" w:rsidR="007E78A7" w:rsidRPr="008319AD" w:rsidRDefault="007E78A7" w:rsidP="008319AD">
      <w:pPr>
        <w:pStyle w:val="NormalWeb"/>
        <w:ind w:firstLine="720"/>
        <w:contextualSpacing/>
        <w:jc w:val="both"/>
      </w:pPr>
    </w:p>
    <w:p w14:paraId="1C817C37" w14:textId="339CF9CB" w:rsidR="008C4C50" w:rsidRPr="008319AD" w:rsidRDefault="008C4C50" w:rsidP="008319AD">
      <w:pPr>
        <w:jc w:val="both"/>
      </w:pPr>
    </w:p>
    <w:p w14:paraId="0D06940C" w14:textId="77777777" w:rsidR="008C4C50" w:rsidRPr="008319AD" w:rsidRDefault="008C4C50" w:rsidP="008319AD">
      <w:pPr>
        <w:jc w:val="both"/>
      </w:pPr>
    </w:p>
    <w:p w14:paraId="1A233E9D" w14:textId="77777777" w:rsidR="008C4C50" w:rsidRPr="008319AD" w:rsidRDefault="008C4C50" w:rsidP="008319AD">
      <w:pPr>
        <w:jc w:val="both"/>
      </w:pPr>
    </w:p>
    <w:p w14:paraId="23B91A60" w14:textId="77777777" w:rsidR="008C4C50" w:rsidRPr="008319AD" w:rsidRDefault="008C4C50" w:rsidP="008319AD">
      <w:pPr>
        <w:jc w:val="both"/>
      </w:pPr>
    </w:p>
    <w:p w14:paraId="1452B4F1" w14:textId="150D2B65" w:rsidR="00100776" w:rsidRPr="008319AD" w:rsidRDefault="00100776" w:rsidP="008319AD">
      <w:pPr>
        <w:jc w:val="both"/>
      </w:pPr>
    </w:p>
    <w:sectPr w:rsidR="00100776" w:rsidRPr="008319AD" w:rsidSect="00F325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415B0" w14:textId="77777777" w:rsidR="00A56251" w:rsidRDefault="00A56251" w:rsidP="00E62E90">
      <w:r>
        <w:separator/>
      </w:r>
    </w:p>
  </w:endnote>
  <w:endnote w:type="continuationSeparator" w:id="0">
    <w:p w14:paraId="1CF92DF7" w14:textId="77777777" w:rsidR="00A56251" w:rsidRDefault="00A56251" w:rsidP="00E6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4881A" w14:textId="77777777" w:rsidR="00A56251" w:rsidRDefault="00A56251" w:rsidP="00E62E90">
      <w:r>
        <w:separator/>
      </w:r>
    </w:p>
  </w:footnote>
  <w:footnote w:type="continuationSeparator" w:id="0">
    <w:p w14:paraId="3CDBCBEA" w14:textId="77777777" w:rsidR="00A56251" w:rsidRDefault="00A56251" w:rsidP="00E62E90">
      <w:r>
        <w:continuationSeparator/>
      </w:r>
    </w:p>
  </w:footnote>
  <w:footnote w:id="1">
    <w:p w14:paraId="611F9001" w14:textId="27B4E771" w:rsidR="00A962DD" w:rsidRPr="00D65399" w:rsidRDefault="00A962DD">
      <w:pPr>
        <w:pStyle w:val="FootnoteText"/>
        <w:rPr>
          <w:sz w:val="20"/>
        </w:rPr>
      </w:pPr>
      <w:r w:rsidRPr="00D65399">
        <w:rPr>
          <w:rStyle w:val="FootnoteReference"/>
          <w:sz w:val="20"/>
        </w:rPr>
        <w:footnoteRef/>
      </w:r>
      <w:r w:rsidR="00FC771E">
        <w:rPr>
          <w:sz w:val="20"/>
        </w:rPr>
        <w:t xml:space="preserve"> </w:t>
      </w:r>
      <w:r w:rsidR="001C5D25" w:rsidRPr="00D65399">
        <w:rPr>
          <w:sz w:val="20"/>
        </w:rPr>
        <w:t>Terri</w:t>
      </w:r>
      <w:r w:rsidR="00DD6CBB">
        <w:rPr>
          <w:sz w:val="20"/>
        </w:rPr>
        <w:t xml:space="preserve"> </w:t>
      </w:r>
      <w:r w:rsidR="00DD6CBB" w:rsidRPr="00D65399">
        <w:rPr>
          <w:sz w:val="20"/>
        </w:rPr>
        <w:t>Tanielian</w:t>
      </w:r>
      <w:r w:rsidR="00EF5BE6" w:rsidRPr="00D65399">
        <w:rPr>
          <w:sz w:val="20"/>
        </w:rPr>
        <w:t>,</w:t>
      </w:r>
      <w:r w:rsidR="001C5D25" w:rsidRPr="00D65399">
        <w:rPr>
          <w:sz w:val="20"/>
        </w:rPr>
        <w:t xml:space="preserve"> </w:t>
      </w:r>
      <w:r w:rsidR="00BF3766">
        <w:rPr>
          <w:sz w:val="20"/>
        </w:rPr>
        <w:t>et al.</w:t>
      </w:r>
      <w:r w:rsidR="00EF5BE6" w:rsidRPr="00D65399">
        <w:rPr>
          <w:sz w:val="20"/>
        </w:rPr>
        <w:t xml:space="preserve">, </w:t>
      </w:r>
      <w:r w:rsidRPr="00D65399">
        <w:rPr>
          <w:i/>
          <w:iCs/>
          <w:sz w:val="20"/>
        </w:rPr>
        <w:t>Ready or Not? Assessing the Capacity of New York Health Care Providers to Meet the Needs of Veterans</w:t>
      </w:r>
      <w:r w:rsidR="00EF5BE6" w:rsidRPr="00D65399">
        <w:rPr>
          <w:sz w:val="20"/>
        </w:rPr>
        <w:t xml:space="preserve">, </w:t>
      </w:r>
      <w:r w:rsidR="00132832" w:rsidRPr="00D65399">
        <w:rPr>
          <w:sz w:val="20"/>
        </w:rPr>
        <w:t>RAND Corporation</w:t>
      </w:r>
      <w:r w:rsidR="00860E37" w:rsidRPr="00D65399">
        <w:rPr>
          <w:sz w:val="20"/>
        </w:rPr>
        <w:t xml:space="preserve"> (</w:t>
      </w:r>
      <w:r w:rsidR="00132832" w:rsidRPr="00D65399">
        <w:rPr>
          <w:sz w:val="20"/>
        </w:rPr>
        <w:t>2018</w:t>
      </w:r>
      <w:r w:rsidR="00860E37" w:rsidRPr="00D65399">
        <w:rPr>
          <w:sz w:val="20"/>
        </w:rPr>
        <w:t>)</w:t>
      </w:r>
      <w:r w:rsidR="00132832" w:rsidRPr="00D65399">
        <w:rPr>
          <w:sz w:val="20"/>
        </w:rPr>
        <w:t xml:space="preserve">, </w:t>
      </w:r>
      <w:r w:rsidR="00132832" w:rsidRPr="00FC771E">
        <w:rPr>
          <w:i/>
          <w:sz w:val="20"/>
        </w:rPr>
        <w:t>available at</w:t>
      </w:r>
      <w:r w:rsidR="00132832" w:rsidRPr="00D65399">
        <w:rPr>
          <w:sz w:val="20"/>
        </w:rPr>
        <w:t xml:space="preserve"> </w:t>
      </w:r>
      <w:hyperlink r:id="rId1" w:history="1">
        <w:r w:rsidRPr="00D65399">
          <w:rPr>
            <w:rStyle w:val="Hyperlink"/>
            <w:sz w:val="20"/>
          </w:rPr>
          <w:t>https://www.rand.org/content/dam/rand/pubs/research_reports/RR2200/RR2298/RAND_RR2298.pdf</w:t>
        </w:r>
      </w:hyperlink>
      <w:r w:rsidRPr="00D65399">
        <w:rPr>
          <w:sz w:val="20"/>
        </w:rPr>
        <w:t xml:space="preserve"> </w:t>
      </w:r>
    </w:p>
  </w:footnote>
  <w:footnote w:id="2">
    <w:p w14:paraId="299D753A" w14:textId="6D0F5347" w:rsidR="00132832" w:rsidRPr="00D65399" w:rsidRDefault="00132832">
      <w:pPr>
        <w:pStyle w:val="FootnoteText"/>
        <w:rPr>
          <w:sz w:val="20"/>
        </w:rPr>
      </w:pPr>
      <w:r w:rsidRPr="00D65399">
        <w:rPr>
          <w:rStyle w:val="FootnoteReference"/>
          <w:sz w:val="20"/>
        </w:rPr>
        <w:footnoteRef/>
      </w:r>
      <w:r w:rsidRPr="00D65399">
        <w:rPr>
          <w:sz w:val="20"/>
        </w:rPr>
        <w:t xml:space="preserve"> </w:t>
      </w:r>
      <w:r w:rsidRPr="00FC771E">
        <w:rPr>
          <w:i/>
          <w:sz w:val="20"/>
        </w:rPr>
        <w:t>Id</w:t>
      </w:r>
      <w:r w:rsidRPr="00D65399">
        <w:rPr>
          <w:sz w:val="20"/>
        </w:rPr>
        <w:t>.</w:t>
      </w:r>
    </w:p>
  </w:footnote>
  <w:footnote w:id="3">
    <w:p w14:paraId="29804529" w14:textId="70FAF4E6" w:rsidR="00C401EB" w:rsidRPr="00D65399" w:rsidRDefault="00132832">
      <w:pPr>
        <w:pStyle w:val="FootnoteText"/>
        <w:rPr>
          <w:sz w:val="20"/>
        </w:rPr>
      </w:pPr>
      <w:r w:rsidRPr="00D65399">
        <w:rPr>
          <w:rStyle w:val="FootnoteReference"/>
          <w:sz w:val="20"/>
        </w:rPr>
        <w:footnoteRef/>
      </w:r>
      <w:r w:rsidRPr="00D65399">
        <w:rPr>
          <w:sz w:val="20"/>
        </w:rPr>
        <w:t xml:space="preserve"> </w:t>
      </w:r>
      <w:r w:rsidR="00C401EB" w:rsidRPr="00D65399">
        <w:rPr>
          <w:i/>
          <w:iCs/>
          <w:sz w:val="20"/>
        </w:rPr>
        <w:t>New York’s Veterans: An In-Depth Profile,</w:t>
      </w:r>
      <w:r w:rsidR="00C401EB" w:rsidRPr="00D65399">
        <w:rPr>
          <w:sz w:val="20"/>
        </w:rPr>
        <w:t xml:space="preserve"> New York State Health Foundation</w:t>
      </w:r>
      <w:r w:rsidR="00860E37" w:rsidRPr="00D65399">
        <w:rPr>
          <w:sz w:val="20"/>
        </w:rPr>
        <w:t xml:space="preserve"> (</w:t>
      </w:r>
      <w:r w:rsidR="00C401EB" w:rsidRPr="00D65399">
        <w:rPr>
          <w:sz w:val="20"/>
        </w:rPr>
        <w:t>October 2021</w:t>
      </w:r>
      <w:r w:rsidR="00860E37" w:rsidRPr="00D65399">
        <w:rPr>
          <w:sz w:val="20"/>
        </w:rPr>
        <w:t>)</w:t>
      </w:r>
      <w:r w:rsidR="00C401EB" w:rsidRPr="00D65399">
        <w:rPr>
          <w:sz w:val="20"/>
        </w:rPr>
        <w:t xml:space="preserve">, </w:t>
      </w:r>
      <w:r w:rsidR="00C401EB" w:rsidRPr="00FC771E">
        <w:rPr>
          <w:i/>
          <w:sz w:val="20"/>
        </w:rPr>
        <w:t>available at</w:t>
      </w:r>
      <w:r w:rsidR="00C401EB" w:rsidRPr="00D65399">
        <w:rPr>
          <w:sz w:val="20"/>
        </w:rPr>
        <w:t xml:space="preserve">  </w:t>
      </w:r>
      <w:hyperlink r:id="rId2" w:history="1">
        <w:r w:rsidR="00C401EB" w:rsidRPr="00D65399">
          <w:rPr>
            <w:rStyle w:val="Hyperlink"/>
            <w:sz w:val="20"/>
          </w:rPr>
          <w:t>https://nyhealthfoundation.org/wp-content/uploads/2021/10/new-york-veterans-in-depth-profile-oct-2021.pdf</w:t>
        </w:r>
      </w:hyperlink>
      <w:r w:rsidR="00FC771E">
        <w:rPr>
          <w:rStyle w:val="Hyperlink"/>
          <w:sz w:val="20"/>
        </w:rPr>
        <w:t>.</w:t>
      </w:r>
    </w:p>
  </w:footnote>
  <w:footnote w:id="4">
    <w:p w14:paraId="31C637AF" w14:textId="350EBD80" w:rsidR="00861078" w:rsidRPr="00D65399" w:rsidRDefault="00861078">
      <w:pPr>
        <w:pStyle w:val="FootnoteText"/>
        <w:rPr>
          <w:sz w:val="20"/>
        </w:rPr>
      </w:pPr>
      <w:r w:rsidRPr="00D65399">
        <w:rPr>
          <w:rStyle w:val="FootnoteReference"/>
          <w:sz w:val="20"/>
        </w:rPr>
        <w:footnoteRef/>
      </w:r>
      <w:r w:rsidRPr="00D65399">
        <w:rPr>
          <w:sz w:val="20"/>
        </w:rPr>
        <w:t xml:space="preserve"> </w:t>
      </w:r>
      <w:r w:rsidR="00F86C73" w:rsidRPr="00FC771E">
        <w:rPr>
          <w:i/>
          <w:sz w:val="20"/>
        </w:rPr>
        <w:t>Id</w:t>
      </w:r>
      <w:r w:rsidR="00F86C73" w:rsidRPr="00D65399">
        <w:rPr>
          <w:sz w:val="20"/>
        </w:rPr>
        <w:t>.</w:t>
      </w:r>
    </w:p>
  </w:footnote>
  <w:footnote w:id="5">
    <w:p w14:paraId="42367D3A" w14:textId="055470B9" w:rsidR="00F86C73" w:rsidRPr="00D65399" w:rsidRDefault="00F86C73">
      <w:pPr>
        <w:pStyle w:val="FootnoteText"/>
        <w:rPr>
          <w:sz w:val="20"/>
        </w:rPr>
      </w:pPr>
      <w:r w:rsidRPr="00D65399">
        <w:rPr>
          <w:rStyle w:val="FootnoteReference"/>
          <w:sz w:val="20"/>
        </w:rPr>
        <w:footnoteRef/>
      </w:r>
      <w:r w:rsidRPr="00D65399">
        <w:rPr>
          <w:sz w:val="20"/>
        </w:rPr>
        <w:t xml:space="preserve"> </w:t>
      </w:r>
      <w:r w:rsidRPr="00FC771E">
        <w:rPr>
          <w:i/>
          <w:sz w:val="20"/>
        </w:rPr>
        <w:t>Id</w:t>
      </w:r>
      <w:r w:rsidRPr="00D65399">
        <w:rPr>
          <w:sz w:val="20"/>
        </w:rPr>
        <w:t>.</w:t>
      </w:r>
    </w:p>
  </w:footnote>
  <w:footnote w:id="6">
    <w:p w14:paraId="3B9CBA86" w14:textId="77A31309" w:rsidR="00F86C73" w:rsidRPr="00F86C73" w:rsidRDefault="00F86C73">
      <w:pPr>
        <w:pStyle w:val="FootnoteText"/>
        <w:rPr>
          <w:sz w:val="20"/>
        </w:rPr>
      </w:pPr>
      <w:r w:rsidRPr="00D65399">
        <w:rPr>
          <w:rStyle w:val="FootnoteReference"/>
          <w:sz w:val="20"/>
        </w:rPr>
        <w:footnoteRef/>
      </w:r>
      <w:r w:rsidRPr="00D65399">
        <w:rPr>
          <w:sz w:val="20"/>
        </w:rPr>
        <w:t xml:space="preserve"> </w:t>
      </w:r>
      <w:r w:rsidRPr="00FC771E">
        <w:rPr>
          <w:i/>
          <w:sz w:val="20"/>
        </w:rPr>
        <w:t>Id</w:t>
      </w:r>
      <w:r w:rsidRPr="00D65399">
        <w:rPr>
          <w:sz w:val="20"/>
        </w:rPr>
        <w:t>.</w:t>
      </w:r>
    </w:p>
  </w:footnote>
  <w:footnote w:id="7">
    <w:p w14:paraId="1DC48C3C" w14:textId="7AE1FF37" w:rsidR="00EE427E" w:rsidRPr="00EE427E" w:rsidRDefault="00EE427E">
      <w:pPr>
        <w:pStyle w:val="FootnoteText"/>
        <w:rPr>
          <w:sz w:val="20"/>
        </w:rPr>
      </w:pPr>
      <w:r w:rsidRPr="00EE427E">
        <w:rPr>
          <w:rStyle w:val="FootnoteReference"/>
          <w:sz w:val="20"/>
        </w:rPr>
        <w:footnoteRef/>
      </w:r>
      <w:r w:rsidRPr="00EE427E">
        <w:rPr>
          <w:sz w:val="20"/>
        </w:rPr>
        <w:t xml:space="preserve"> Military sexual trauma refers to sexual assault or sexual harassment experienced during military service.</w:t>
      </w:r>
    </w:p>
  </w:footnote>
  <w:footnote w:id="8">
    <w:p w14:paraId="101948E5" w14:textId="781BF1C7" w:rsidR="00F86C73" w:rsidRPr="00D65399" w:rsidRDefault="00F86C73">
      <w:pPr>
        <w:pStyle w:val="FootnoteText"/>
        <w:rPr>
          <w:sz w:val="20"/>
        </w:rPr>
      </w:pPr>
      <w:r w:rsidRPr="00D65399">
        <w:rPr>
          <w:rStyle w:val="FootnoteReference"/>
          <w:sz w:val="20"/>
        </w:rPr>
        <w:footnoteRef/>
      </w:r>
      <w:r w:rsidRPr="00D65399">
        <w:rPr>
          <w:sz w:val="20"/>
        </w:rPr>
        <w:t xml:space="preserve"> </w:t>
      </w:r>
      <w:r w:rsidR="00DD6CBB">
        <w:rPr>
          <w:sz w:val="20"/>
        </w:rPr>
        <w:t xml:space="preserve">B.S. </w:t>
      </w:r>
      <w:r w:rsidR="00DE3CBD" w:rsidRPr="000B6202">
        <w:rPr>
          <w:sz w:val="20"/>
          <w:shd w:val="clear" w:color="auto" w:fill="FFFFFF"/>
        </w:rPr>
        <w:t>Johnson</w:t>
      </w:r>
      <w:r w:rsidR="00BF3766">
        <w:rPr>
          <w:sz w:val="20"/>
          <w:shd w:val="clear" w:color="auto" w:fill="FFFFFF"/>
        </w:rPr>
        <w:t>, et al.,</w:t>
      </w:r>
      <w:r w:rsidR="00FC771E">
        <w:rPr>
          <w:sz w:val="20"/>
          <w:shd w:val="clear" w:color="auto" w:fill="FFFFFF"/>
        </w:rPr>
        <w:t xml:space="preserve"> </w:t>
      </w:r>
      <w:r w:rsidR="00DE3CBD" w:rsidRPr="000B6202">
        <w:rPr>
          <w:i/>
          <w:sz w:val="20"/>
          <w:shd w:val="clear" w:color="auto" w:fill="FFFFFF"/>
        </w:rPr>
        <w:t>Enhancing veteran-centered care: a guide for nurses in non-VA settings</w:t>
      </w:r>
      <w:r w:rsidR="00BF3766">
        <w:rPr>
          <w:sz w:val="20"/>
          <w:shd w:val="clear" w:color="auto" w:fill="FFFFFF"/>
        </w:rPr>
        <w:t>,</w:t>
      </w:r>
      <w:r w:rsidR="00DE3CBD" w:rsidRPr="000B6202">
        <w:rPr>
          <w:sz w:val="20"/>
          <w:shd w:val="clear" w:color="auto" w:fill="FFFFFF"/>
        </w:rPr>
        <w:t> </w:t>
      </w:r>
      <w:r w:rsidR="00DE3CBD" w:rsidRPr="000B6202">
        <w:rPr>
          <w:iCs/>
          <w:sz w:val="20"/>
        </w:rPr>
        <w:t>The American Journal of Nursing</w:t>
      </w:r>
      <w:r w:rsidR="00DE3CBD" w:rsidRPr="000B6202">
        <w:rPr>
          <w:sz w:val="20"/>
        </w:rPr>
        <w:t xml:space="preserve"> </w:t>
      </w:r>
      <w:r w:rsidR="00DE3CBD" w:rsidRPr="000B6202">
        <w:rPr>
          <w:sz w:val="20"/>
          <w:shd w:val="clear" w:color="auto" w:fill="FFFFFF"/>
        </w:rPr>
        <w:t>(2013)</w:t>
      </w:r>
      <w:r w:rsidR="00DE3CBD">
        <w:rPr>
          <w:sz w:val="20"/>
          <w:shd w:val="clear" w:color="auto" w:fill="FFFFFF"/>
        </w:rPr>
        <w:t xml:space="preserve">, </w:t>
      </w:r>
      <w:r w:rsidR="00DE3CBD" w:rsidRPr="000B6202">
        <w:rPr>
          <w:i/>
          <w:sz w:val="20"/>
        </w:rPr>
        <w:t xml:space="preserve">available at </w:t>
      </w:r>
      <w:hyperlink r:id="rId3" w:history="1">
        <w:r w:rsidR="00DE3CBD" w:rsidRPr="000B6202">
          <w:rPr>
            <w:rStyle w:val="Hyperlink"/>
            <w:sz w:val="20"/>
          </w:rPr>
          <w:t>https://doi.org/10.1097/01.NAJ.0000431913.50226.83</w:t>
        </w:r>
      </w:hyperlink>
      <w:r w:rsidR="00DE3CBD">
        <w:rPr>
          <w:rStyle w:val="Hyperlink"/>
          <w:sz w:val="20"/>
        </w:rPr>
        <w:t>.</w:t>
      </w:r>
    </w:p>
  </w:footnote>
  <w:footnote w:id="9">
    <w:p w14:paraId="74A2BC78" w14:textId="20E4B737" w:rsidR="00F86C73" w:rsidRPr="00D65399" w:rsidRDefault="00F86C73" w:rsidP="00F86C73">
      <w:pPr>
        <w:pStyle w:val="FootnoteText"/>
        <w:rPr>
          <w:sz w:val="20"/>
        </w:rPr>
      </w:pPr>
      <w:r w:rsidRPr="00D65399">
        <w:rPr>
          <w:rStyle w:val="FootnoteReference"/>
          <w:sz w:val="20"/>
        </w:rPr>
        <w:footnoteRef/>
      </w:r>
      <w:r w:rsidRPr="00D65399">
        <w:rPr>
          <w:sz w:val="20"/>
        </w:rPr>
        <w:t xml:space="preserve"> </w:t>
      </w:r>
      <w:r w:rsidRPr="00FC771E">
        <w:rPr>
          <w:i/>
          <w:sz w:val="20"/>
        </w:rPr>
        <w:t>Id</w:t>
      </w:r>
      <w:r w:rsidRPr="00D65399">
        <w:rPr>
          <w:sz w:val="20"/>
        </w:rPr>
        <w:t>.</w:t>
      </w:r>
    </w:p>
  </w:footnote>
  <w:footnote w:id="10">
    <w:p w14:paraId="4553F47F" w14:textId="70361ABD" w:rsidR="00F86C73" w:rsidRPr="00D65399" w:rsidRDefault="00F86C73">
      <w:pPr>
        <w:pStyle w:val="FootnoteText"/>
        <w:rPr>
          <w:sz w:val="20"/>
        </w:rPr>
      </w:pPr>
      <w:r w:rsidRPr="00D65399">
        <w:rPr>
          <w:rStyle w:val="FootnoteReference"/>
          <w:sz w:val="20"/>
        </w:rPr>
        <w:footnoteRef/>
      </w:r>
      <w:r w:rsidRPr="00D65399">
        <w:rPr>
          <w:sz w:val="20"/>
        </w:rPr>
        <w:t xml:space="preserve"> </w:t>
      </w:r>
      <w:r w:rsidR="00BF3766">
        <w:rPr>
          <w:i/>
          <w:sz w:val="20"/>
        </w:rPr>
        <w:t>S</w:t>
      </w:r>
      <w:r w:rsidR="00834A83">
        <w:rPr>
          <w:i/>
          <w:sz w:val="20"/>
        </w:rPr>
        <w:t>upra</w:t>
      </w:r>
      <w:r w:rsidR="00DD6CBB">
        <w:rPr>
          <w:sz w:val="20"/>
        </w:rPr>
        <w:t>,</w:t>
      </w:r>
      <w:r w:rsidR="00834A83">
        <w:rPr>
          <w:sz w:val="20"/>
        </w:rPr>
        <w:t xml:space="preserve"> note 1</w:t>
      </w:r>
      <w:r w:rsidR="00834A83">
        <w:rPr>
          <w:i/>
          <w:iCs/>
          <w:sz w:val="20"/>
        </w:rPr>
        <w:t>.</w:t>
      </w:r>
    </w:p>
  </w:footnote>
  <w:footnote w:id="11">
    <w:p w14:paraId="16307BEE" w14:textId="74310083" w:rsidR="00F86C73" w:rsidRPr="00D65399" w:rsidRDefault="00F86C73">
      <w:pPr>
        <w:pStyle w:val="FootnoteText"/>
        <w:rPr>
          <w:sz w:val="20"/>
        </w:rPr>
      </w:pPr>
      <w:r w:rsidRPr="00D65399">
        <w:rPr>
          <w:rStyle w:val="FootnoteReference"/>
          <w:sz w:val="20"/>
        </w:rPr>
        <w:footnoteRef/>
      </w:r>
      <w:r w:rsidRPr="00D65399">
        <w:rPr>
          <w:sz w:val="20"/>
        </w:rPr>
        <w:t xml:space="preserve"> </w:t>
      </w:r>
      <w:r w:rsidR="00834A83">
        <w:rPr>
          <w:i/>
          <w:iCs/>
          <w:sz w:val="20"/>
        </w:rPr>
        <w:t>Supra</w:t>
      </w:r>
      <w:r w:rsidR="00DD6CBB">
        <w:rPr>
          <w:iCs/>
          <w:sz w:val="20"/>
        </w:rPr>
        <w:t>,</w:t>
      </w:r>
      <w:r w:rsidR="00834A83">
        <w:rPr>
          <w:i/>
          <w:iCs/>
          <w:sz w:val="20"/>
        </w:rPr>
        <w:t xml:space="preserve"> </w:t>
      </w:r>
      <w:r w:rsidR="00834A83" w:rsidRPr="00834A83">
        <w:rPr>
          <w:iCs/>
          <w:sz w:val="20"/>
        </w:rPr>
        <w:t xml:space="preserve">note </w:t>
      </w:r>
      <w:r w:rsidR="0020422F">
        <w:rPr>
          <w:iCs/>
          <w:sz w:val="20"/>
        </w:rPr>
        <w:t>3</w:t>
      </w:r>
      <w:r w:rsidR="00DD6CBB">
        <w:rPr>
          <w:i/>
          <w:iCs/>
          <w:sz w:val="20"/>
        </w:rPr>
        <w:t>.</w:t>
      </w:r>
    </w:p>
  </w:footnote>
  <w:footnote w:id="12">
    <w:p w14:paraId="12D82069" w14:textId="117C27CE" w:rsidR="00F3190D" w:rsidRPr="000D0D44" w:rsidRDefault="00F3190D">
      <w:pPr>
        <w:pStyle w:val="FootnoteText"/>
        <w:rPr>
          <w:i/>
          <w:iCs/>
          <w:sz w:val="20"/>
        </w:rPr>
      </w:pPr>
      <w:r w:rsidRPr="000D0D44">
        <w:rPr>
          <w:rStyle w:val="FootnoteReference"/>
          <w:i/>
          <w:iCs/>
          <w:sz w:val="20"/>
        </w:rPr>
        <w:footnoteRef/>
      </w:r>
      <w:r w:rsidRPr="000D0D44">
        <w:rPr>
          <w:i/>
          <w:iCs/>
          <w:sz w:val="20"/>
        </w:rPr>
        <w:t xml:space="preserve"> Id. </w:t>
      </w:r>
    </w:p>
  </w:footnote>
  <w:footnote w:id="13">
    <w:p w14:paraId="76CC049A" w14:textId="3490E4A6" w:rsidR="00D21446" w:rsidRPr="00D65399" w:rsidRDefault="00D21446">
      <w:pPr>
        <w:pStyle w:val="FootnoteText"/>
        <w:rPr>
          <w:sz w:val="20"/>
        </w:rPr>
      </w:pPr>
      <w:r w:rsidRPr="00D65399">
        <w:rPr>
          <w:rStyle w:val="FootnoteReference"/>
          <w:sz w:val="20"/>
        </w:rPr>
        <w:footnoteRef/>
      </w:r>
      <w:r w:rsidRPr="00D65399">
        <w:rPr>
          <w:sz w:val="20"/>
        </w:rPr>
        <w:t xml:space="preserve"> </w:t>
      </w:r>
      <w:r w:rsidR="00FC771E">
        <w:rPr>
          <w:i/>
          <w:iCs/>
          <w:sz w:val="20"/>
        </w:rPr>
        <w:t>Id</w:t>
      </w:r>
      <w:r w:rsidR="0020422F">
        <w:rPr>
          <w:i/>
          <w:iCs/>
          <w:sz w:val="20"/>
        </w:rPr>
        <w:t>.</w:t>
      </w:r>
    </w:p>
  </w:footnote>
  <w:footnote w:id="14">
    <w:p w14:paraId="7BE4834E" w14:textId="655A5834" w:rsidR="00D21446" w:rsidRPr="00D65399" w:rsidRDefault="00D21446">
      <w:pPr>
        <w:pStyle w:val="FootnoteText"/>
        <w:rPr>
          <w:sz w:val="20"/>
        </w:rPr>
      </w:pPr>
      <w:r w:rsidRPr="00D65399">
        <w:rPr>
          <w:rStyle w:val="FootnoteReference"/>
          <w:sz w:val="20"/>
        </w:rPr>
        <w:footnoteRef/>
      </w:r>
      <w:r w:rsidRPr="00D65399">
        <w:rPr>
          <w:sz w:val="20"/>
        </w:rPr>
        <w:t xml:space="preserve"> </w:t>
      </w:r>
      <w:r w:rsidR="00DD6CBB" w:rsidRPr="00FC771E">
        <w:rPr>
          <w:i/>
          <w:iCs/>
          <w:sz w:val="20"/>
        </w:rPr>
        <w:t>Id</w:t>
      </w:r>
      <w:r w:rsidR="00DD6CBB">
        <w:rPr>
          <w:iCs/>
          <w:sz w:val="20"/>
        </w:rPr>
        <w:t>.</w:t>
      </w:r>
    </w:p>
  </w:footnote>
  <w:footnote w:id="15">
    <w:p w14:paraId="189784C8" w14:textId="33D534F9" w:rsidR="001E698D" w:rsidRPr="001C5D25" w:rsidRDefault="001E698D" w:rsidP="00716793">
      <w:pPr>
        <w:rPr>
          <w:sz w:val="20"/>
          <w:szCs w:val="20"/>
        </w:rPr>
      </w:pPr>
      <w:r w:rsidRPr="00D65399">
        <w:rPr>
          <w:rStyle w:val="FootnoteReference"/>
          <w:sz w:val="20"/>
          <w:szCs w:val="20"/>
        </w:rPr>
        <w:footnoteRef/>
      </w:r>
      <w:r w:rsidRPr="00D65399">
        <w:rPr>
          <w:sz w:val="20"/>
          <w:szCs w:val="20"/>
        </w:rPr>
        <w:t xml:space="preserve"> </w:t>
      </w:r>
      <w:r w:rsidR="001C5D25" w:rsidRPr="00D65399">
        <w:rPr>
          <w:sz w:val="20"/>
          <w:szCs w:val="20"/>
        </w:rPr>
        <w:t>Carrie M.</w:t>
      </w:r>
      <w:r w:rsidR="00DD6CBB">
        <w:rPr>
          <w:sz w:val="20"/>
          <w:szCs w:val="20"/>
        </w:rPr>
        <w:t xml:space="preserve"> Farmer</w:t>
      </w:r>
      <w:r w:rsidR="001C5D25" w:rsidRPr="00D65399">
        <w:rPr>
          <w:sz w:val="20"/>
          <w:szCs w:val="20"/>
        </w:rPr>
        <w:t xml:space="preserve">, </w:t>
      </w:r>
      <w:r w:rsidR="00DD6CBB">
        <w:rPr>
          <w:sz w:val="20"/>
          <w:szCs w:val="20"/>
        </w:rPr>
        <w:t>et al.</w:t>
      </w:r>
      <w:r w:rsidR="001C5D25" w:rsidRPr="00D65399">
        <w:rPr>
          <w:sz w:val="20"/>
          <w:szCs w:val="20"/>
        </w:rPr>
        <w:t xml:space="preserve">, </w:t>
      </w:r>
      <w:r w:rsidR="001C5D25" w:rsidRPr="00D65399">
        <w:rPr>
          <w:i/>
          <w:iCs/>
          <w:sz w:val="20"/>
          <w:szCs w:val="20"/>
        </w:rPr>
        <w:t>Balancing Demand and Supply for Veterans' Health Care: A Summary of Three RAND Assessments Conducted Under the Veterans Choice Act</w:t>
      </w:r>
      <w:r w:rsidR="00DD6CBB">
        <w:rPr>
          <w:sz w:val="20"/>
          <w:szCs w:val="20"/>
        </w:rPr>
        <w:t>,</w:t>
      </w:r>
      <w:r w:rsidR="001C5D25" w:rsidRPr="00D65399">
        <w:rPr>
          <w:sz w:val="20"/>
          <w:szCs w:val="20"/>
        </w:rPr>
        <w:t xml:space="preserve"> RAND Corporation (2016)</w:t>
      </w:r>
      <w:r w:rsidR="00DD6CBB">
        <w:rPr>
          <w:sz w:val="20"/>
          <w:szCs w:val="20"/>
        </w:rPr>
        <w:t>,</w:t>
      </w:r>
      <w:r w:rsidR="001C5D25" w:rsidRPr="00D65399">
        <w:rPr>
          <w:sz w:val="20"/>
          <w:szCs w:val="20"/>
        </w:rPr>
        <w:t xml:space="preserve"> </w:t>
      </w:r>
      <w:r w:rsidR="001C5D25" w:rsidRPr="00FC771E">
        <w:rPr>
          <w:i/>
          <w:sz w:val="20"/>
          <w:szCs w:val="20"/>
        </w:rPr>
        <w:t>available at</w:t>
      </w:r>
      <w:r w:rsidR="001C5D25" w:rsidRPr="00D65399">
        <w:rPr>
          <w:sz w:val="20"/>
          <w:szCs w:val="20"/>
        </w:rPr>
        <w:t xml:space="preserve"> </w:t>
      </w:r>
      <w:hyperlink r:id="rId4" w:history="1">
        <w:r w:rsidR="001C5D25" w:rsidRPr="00D65399">
          <w:rPr>
            <w:rStyle w:val="Hyperlink"/>
            <w:sz w:val="20"/>
            <w:szCs w:val="20"/>
          </w:rPr>
          <w:t>https://www.rand.org/pubs/research_reports/RR1165z4.html</w:t>
        </w:r>
      </w:hyperlink>
      <w:r w:rsidR="00DD6CBB">
        <w:rPr>
          <w:rStyle w:val="Hyperlink"/>
          <w:sz w:val="20"/>
          <w:szCs w:val="20"/>
        </w:rPr>
        <w:t>.</w:t>
      </w:r>
    </w:p>
  </w:footnote>
  <w:footnote w:id="16">
    <w:p w14:paraId="4D5DF0AF" w14:textId="6C807EA8" w:rsidR="00716793" w:rsidRPr="00D65399" w:rsidRDefault="00716793">
      <w:pPr>
        <w:pStyle w:val="FootnoteText"/>
        <w:rPr>
          <w:sz w:val="20"/>
        </w:rPr>
      </w:pPr>
      <w:r w:rsidRPr="00D65399">
        <w:rPr>
          <w:rStyle w:val="FootnoteReference"/>
          <w:sz w:val="20"/>
        </w:rPr>
        <w:footnoteRef/>
      </w:r>
      <w:r w:rsidRPr="00D65399">
        <w:rPr>
          <w:sz w:val="20"/>
        </w:rPr>
        <w:t xml:space="preserve"> </w:t>
      </w:r>
      <w:r w:rsidRPr="00FC771E">
        <w:rPr>
          <w:i/>
          <w:sz w:val="20"/>
        </w:rPr>
        <w:t>Id</w:t>
      </w:r>
      <w:r w:rsidRPr="00D65399">
        <w:rPr>
          <w:sz w:val="20"/>
        </w:rPr>
        <w:t>.</w:t>
      </w:r>
    </w:p>
  </w:footnote>
  <w:footnote w:id="17">
    <w:p w14:paraId="1897B830" w14:textId="536E75C1" w:rsidR="009462C6" w:rsidRPr="00D65399" w:rsidRDefault="00716793" w:rsidP="009462C6">
      <w:pPr>
        <w:rPr>
          <w:sz w:val="20"/>
          <w:szCs w:val="20"/>
        </w:rPr>
      </w:pPr>
      <w:r w:rsidRPr="00D65399">
        <w:rPr>
          <w:rStyle w:val="FootnoteReference"/>
          <w:sz w:val="20"/>
          <w:szCs w:val="20"/>
        </w:rPr>
        <w:footnoteRef/>
      </w:r>
      <w:r w:rsidRPr="00D65399">
        <w:rPr>
          <w:sz w:val="20"/>
          <w:szCs w:val="20"/>
        </w:rPr>
        <w:t xml:space="preserve"> </w:t>
      </w:r>
      <w:r w:rsidR="009462C6" w:rsidRPr="00D65399">
        <w:rPr>
          <w:sz w:val="20"/>
          <w:szCs w:val="20"/>
        </w:rPr>
        <w:t xml:space="preserve">Jennifer Steinhauer and Dave Philipps, </w:t>
      </w:r>
      <w:r w:rsidR="009462C6" w:rsidRPr="00D65399">
        <w:rPr>
          <w:i/>
          <w:iCs/>
          <w:sz w:val="20"/>
          <w:szCs w:val="20"/>
        </w:rPr>
        <w:t>VA Seeks to Redirect Billions of Dollars into Private Care</w:t>
      </w:r>
      <w:r w:rsidR="009462C6" w:rsidRPr="00D65399">
        <w:rPr>
          <w:sz w:val="20"/>
          <w:szCs w:val="20"/>
        </w:rPr>
        <w:t xml:space="preserve">, The New York Times </w:t>
      </w:r>
      <w:r w:rsidR="00DD6CBB">
        <w:rPr>
          <w:sz w:val="20"/>
          <w:szCs w:val="20"/>
        </w:rPr>
        <w:t>(</w:t>
      </w:r>
      <w:r w:rsidR="009462C6" w:rsidRPr="00D65399">
        <w:rPr>
          <w:sz w:val="20"/>
          <w:szCs w:val="20"/>
        </w:rPr>
        <w:t>Jan. 12, 2019</w:t>
      </w:r>
      <w:r w:rsidR="00DD6CBB">
        <w:rPr>
          <w:sz w:val="20"/>
          <w:szCs w:val="20"/>
        </w:rPr>
        <w:t>)</w:t>
      </w:r>
      <w:r w:rsidR="009462C6" w:rsidRPr="00D65399">
        <w:rPr>
          <w:sz w:val="20"/>
          <w:szCs w:val="20"/>
        </w:rPr>
        <w:t xml:space="preserve">, </w:t>
      </w:r>
      <w:r w:rsidR="009462C6" w:rsidRPr="00FC771E">
        <w:rPr>
          <w:i/>
          <w:sz w:val="20"/>
          <w:szCs w:val="20"/>
        </w:rPr>
        <w:t>available at</w:t>
      </w:r>
      <w:r w:rsidR="009462C6" w:rsidRPr="00D65399">
        <w:rPr>
          <w:sz w:val="20"/>
          <w:szCs w:val="20"/>
        </w:rPr>
        <w:t xml:space="preserve"> </w:t>
      </w:r>
    </w:p>
    <w:p w14:paraId="2F6EDA71" w14:textId="63A40ED1" w:rsidR="00716793" w:rsidRPr="00D65399" w:rsidRDefault="00716793">
      <w:pPr>
        <w:pStyle w:val="FootnoteText"/>
        <w:rPr>
          <w:sz w:val="20"/>
        </w:rPr>
      </w:pPr>
      <w:r w:rsidRPr="00D65399">
        <w:rPr>
          <w:sz w:val="20"/>
        </w:rPr>
        <w:t xml:space="preserve"> </w:t>
      </w:r>
      <w:hyperlink r:id="rId5" w:history="1">
        <w:r w:rsidRPr="00D65399">
          <w:rPr>
            <w:rStyle w:val="Hyperlink"/>
            <w:sz w:val="20"/>
          </w:rPr>
          <w:t>https://www.nytimes.com/2019/01/12/us/politics/veterans-administration-health-care-privatization.html</w:t>
        </w:r>
      </w:hyperlink>
      <w:r w:rsidR="00DD6CBB">
        <w:rPr>
          <w:rStyle w:val="Hyperlink"/>
          <w:sz w:val="20"/>
        </w:rPr>
        <w:t>.</w:t>
      </w:r>
      <w:r w:rsidRPr="00D65399">
        <w:rPr>
          <w:sz w:val="20"/>
        </w:rPr>
        <w:t xml:space="preserve"> </w:t>
      </w:r>
    </w:p>
  </w:footnote>
  <w:footnote w:id="18">
    <w:p w14:paraId="4C75F612" w14:textId="41BBAFC9" w:rsidR="00410098" w:rsidRPr="00D65399" w:rsidRDefault="00410098" w:rsidP="00410098">
      <w:pPr>
        <w:pStyle w:val="FootnoteText"/>
        <w:rPr>
          <w:sz w:val="20"/>
        </w:rPr>
      </w:pPr>
      <w:r w:rsidRPr="00D65399">
        <w:rPr>
          <w:rStyle w:val="FootnoteReference"/>
          <w:sz w:val="20"/>
        </w:rPr>
        <w:footnoteRef/>
      </w:r>
      <w:r w:rsidR="005D344A">
        <w:rPr>
          <w:i/>
          <w:sz w:val="20"/>
        </w:rPr>
        <w:t xml:space="preserve"> S</w:t>
      </w:r>
      <w:r w:rsidR="00834A83">
        <w:rPr>
          <w:i/>
          <w:sz w:val="20"/>
        </w:rPr>
        <w:t>upra</w:t>
      </w:r>
      <w:r w:rsidR="00834A83">
        <w:rPr>
          <w:sz w:val="20"/>
        </w:rPr>
        <w:t xml:space="preserve"> note 1</w:t>
      </w:r>
      <w:r w:rsidR="005D344A">
        <w:rPr>
          <w:i/>
          <w:iCs/>
          <w:sz w:val="20"/>
        </w:rPr>
        <w:t>.</w:t>
      </w:r>
    </w:p>
  </w:footnote>
  <w:footnote w:id="19">
    <w:p w14:paraId="646DED26" w14:textId="1645B846" w:rsidR="00410098" w:rsidRPr="00D65399" w:rsidRDefault="00410098" w:rsidP="00410098">
      <w:pPr>
        <w:pStyle w:val="FootnoteText"/>
        <w:rPr>
          <w:sz w:val="20"/>
        </w:rPr>
      </w:pPr>
      <w:r w:rsidRPr="00D65399">
        <w:rPr>
          <w:rStyle w:val="FootnoteReference"/>
          <w:sz w:val="20"/>
        </w:rPr>
        <w:footnoteRef/>
      </w:r>
      <w:r w:rsidRPr="00D65399">
        <w:rPr>
          <w:sz w:val="20"/>
        </w:rPr>
        <w:t xml:space="preserve"> </w:t>
      </w:r>
      <w:r w:rsidR="0020422F">
        <w:rPr>
          <w:i/>
          <w:iCs/>
          <w:sz w:val="20"/>
        </w:rPr>
        <w:t>Supra</w:t>
      </w:r>
      <w:r w:rsidR="005D344A">
        <w:rPr>
          <w:iCs/>
          <w:sz w:val="20"/>
        </w:rPr>
        <w:t>,</w:t>
      </w:r>
      <w:r w:rsidR="0020422F">
        <w:rPr>
          <w:i/>
          <w:iCs/>
          <w:sz w:val="20"/>
        </w:rPr>
        <w:t xml:space="preserve"> </w:t>
      </w:r>
      <w:r w:rsidR="0020422F" w:rsidRPr="00834A83">
        <w:rPr>
          <w:iCs/>
          <w:sz w:val="20"/>
        </w:rPr>
        <w:t xml:space="preserve">note </w:t>
      </w:r>
      <w:r w:rsidR="0020422F">
        <w:rPr>
          <w:iCs/>
          <w:sz w:val="20"/>
        </w:rPr>
        <w:t>3</w:t>
      </w:r>
      <w:r w:rsidR="0020422F">
        <w:rPr>
          <w:i/>
          <w:iCs/>
          <w:sz w:val="20"/>
        </w:rPr>
        <w:t>.</w:t>
      </w:r>
    </w:p>
  </w:footnote>
  <w:footnote w:id="20">
    <w:p w14:paraId="682FB81F" w14:textId="05C200BC" w:rsidR="00410098" w:rsidRPr="00D65399" w:rsidRDefault="00410098" w:rsidP="00410098">
      <w:pPr>
        <w:pStyle w:val="FootnoteText"/>
        <w:rPr>
          <w:sz w:val="20"/>
        </w:rPr>
      </w:pPr>
      <w:r w:rsidRPr="00D65399">
        <w:rPr>
          <w:rStyle w:val="FootnoteReference"/>
          <w:sz w:val="20"/>
        </w:rPr>
        <w:footnoteRef/>
      </w:r>
      <w:r w:rsidR="00FC771E">
        <w:rPr>
          <w:i/>
          <w:iCs/>
          <w:sz w:val="20"/>
        </w:rPr>
        <w:t xml:space="preserve"> </w:t>
      </w:r>
      <w:r w:rsidR="005D344A" w:rsidRPr="001566BC">
        <w:rPr>
          <w:i/>
          <w:iCs/>
          <w:sz w:val="20"/>
        </w:rPr>
        <w:t>Id</w:t>
      </w:r>
      <w:r w:rsidR="0020422F" w:rsidRPr="00FC771E">
        <w:rPr>
          <w:iCs/>
          <w:sz w:val="20"/>
        </w:rPr>
        <w:t>.</w:t>
      </w:r>
    </w:p>
  </w:footnote>
  <w:footnote w:id="21">
    <w:p w14:paraId="1105C493" w14:textId="6E450FFA" w:rsidR="00F469C7" w:rsidRPr="005B0D9E" w:rsidRDefault="00F469C7">
      <w:pPr>
        <w:pStyle w:val="FootnoteText"/>
        <w:rPr>
          <w:sz w:val="20"/>
        </w:rPr>
      </w:pPr>
      <w:r w:rsidRPr="005B0D9E">
        <w:rPr>
          <w:rStyle w:val="FootnoteReference"/>
          <w:sz w:val="20"/>
        </w:rPr>
        <w:footnoteRef/>
      </w:r>
      <w:r w:rsidRPr="005B0D9E">
        <w:rPr>
          <w:sz w:val="20"/>
        </w:rPr>
        <w:t xml:space="preserve"> </w:t>
      </w:r>
      <w:r w:rsidR="005D344A">
        <w:rPr>
          <w:i/>
          <w:sz w:val="20"/>
        </w:rPr>
        <w:t>S</w:t>
      </w:r>
      <w:r w:rsidR="00834A83">
        <w:rPr>
          <w:i/>
          <w:sz w:val="20"/>
        </w:rPr>
        <w:t>upra</w:t>
      </w:r>
      <w:r w:rsidR="005D344A">
        <w:rPr>
          <w:sz w:val="20"/>
        </w:rPr>
        <w:t>,</w:t>
      </w:r>
      <w:r w:rsidR="00834A83">
        <w:rPr>
          <w:sz w:val="20"/>
        </w:rPr>
        <w:t xml:space="preserve"> note</w:t>
      </w:r>
      <w:r w:rsidR="005D344A">
        <w:rPr>
          <w:sz w:val="20"/>
        </w:rPr>
        <w:t xml:space="preserve"> 1</w:t>
      </w:r>
      <w:r w:rsidR="00834A83">
        <w:rPr>
          <w:i/>
          <w:iCs/>
          <w:sz w:val="20"/>
        </w:rPr>
        <w:t>.</w:t>
      </w:r>
    </w:p>
  </w:footnote>
  <w:footnote w:id="22">
    <w:p w14:paraId="2A1357D5" w14:textId="6242C946" w:rsidR="005B0D9E" w:rsidRPr="005B0D9E" w:rsidRDefault="005B0D9E">
      <w:pPr>
        <w:pStyle w:val="FootnoteText"/>
        <w:rPr>
          <w:sz w:val="20"/>
        </w:rPr>
      </w:pPr>
      <w:r w:rsidRPr="005B0D9E">
        <w:rPr>
          <w:rStyle w:val="FootnoteReference"/>
          <w:sz w:val="20"/>
        </w:rPr>
        <w:footnoteRef/>
      </w:r>
      <w:r w:rsidRPr="005B0D9E">
        <w:rPr>
          <w:sz w:val="20"/>
        </w:rPr>
        <w:t xml:space="preserve"> </w:t>
      </w:r>
      <w:r w:rsidR="005D344A" w:rsidRPr="000D0D44">
        <w:rPr>
          <w:i/>
          <w:sz w:val="20"/>
        </w:rPr>
        <w:t>Id</w:t>
      </w:r>
      <w:r w:rsidR="00834A83">
        <w:rPr>
          <w:i/>
          <w:iCs/>
          <w:sz w:val="20"/>
        </w:rPr>
        <w:t>.</w:t>
      </w:r>
    </w:p>
  </w:footnote>
  <w:footnote w:id="23">
    <w:p w14:paraId="5A72F6DF" w14:textId="09EC9038" w:rsidR="00F9161C" w:rsidRPr="00E006B2" w:rsidRDefault="00F9161C">
      <w:pPr>
        <w:pStyle w:val="FootnoteText"/>
        <w:rPr>
          <w:sz w:val="20"/>
        </w:rPr>
      </w:pPr>
      <w:r w:rsidRPr="00E006B2">
        <w:rPr>
          <w:rStyle w:val="FootnoteReference"/>
          <w:sz w:val="20"/>
        </w:rPr>
        <w:footnoteRef/>
      </w:r>
      <w:r w:rsidRPr="00E006B2">
        <w:rPr>
          <w:sz w:val="20"/>
        </w:rPr>
        <w:t xml:space="preserve"> </w:t>
      </w:r>
      <w:r w:rsidR="0020422F">
        <w:rPr>
          <w:i/>
          <w:iCs/>
          <w:sz w:val="20"/>
        </w:rPr>
        <w:t>Supra</w:t>
      </w:r>
      <w:r w:rsidR="005D344A">
        <w:rPr>
          <w:iCs/>
          <w:sz w:val="20"/>
        </w:rPr>
        <w:t>,</w:t>
      </w:r>
      <w:r w:rsidR="0020422F">
        <w:rPr>
          <w:i/>
          <w:iCs/>
          <w:sz w:val="20"/>
        </w:rPr>
        <w:t xml:space="preserve"> </w:t>
      </w:r>
      <w:r w:rsidR="0020422F" w:rsidRPr="00834A83">
        <w:rPr>
          <w:iCs/>
          <w:sz w:val="20"/>
        </w:rPr>
        <w:t xml:space="preserve">note </w:t>
      </w:r>
      <w:r w:rsidR="0020422F">
        <w:rPr>
          <w:iCs/>
          <w:sz w:val="20"/>
        </w:rPr>
        <w:t>3</w:t>
      </w:r>
      <w:r w:rsidR="005D344A">
        <w:rPr>
          <w:iCs/>
          <w:sz w:val="20"/>
        </w:rPr>
        <w:t>.</w:t>
      </w:r>
      <w:r w:rsidR="0020422F">
        <w:rPr>
          <w:i/>
          <w:iCs/>
          <w:sz w:val="20"/>
        </w:rPr>
        <w:t>.</w:t>
      </w:r>
    </w:p>
  </w:footnote>
  <w:footnote w:id="24">
    <w:p w14:paraId="6CE578C7" w14:textId="21E9363F" w:rsidR="0000624C" w:rsidRPr="00E006B2" w:rsidRDefault="0000624C">
      <w:pPr>
        <w:pStyle w:val="FootnoteText"/>
        <w:rPr>
          <w:sz w:val="20"/>
        </w:rPr>
      </w:pPr>
      <w:r w:rsidRPr="00E006B2">
        <w:rPr>
          <w:rStyle w:val="FootnoteReference"/>
          <w:sz w:val="20"/>
        </w:rPr>
        <w:footnoteRef/>
      </w:r>
      <w:r w:rsidRPr="00E006B2">
        <w:rPr>
          <w:sz w:val="20"/>
        </w:rPr>
        <w:t xml:space="preserve"> </w:t>
      </w:r>
      <w:r w:rsidR="005D344A" w:rsidRPr="001566BC">
        <w:rPr>
          <w:i/>
          <w:iCs/>
          <w:sz w:val="20"/>
        </w:rPr>
        <w:t>Id</w:t>
      </w:r>
      <w:r w:rsidR="0020422F">
        <w:rPr>
          <w:i/>
          <w:iCs/>
          <w:sz w:val="20"/>
        </w:rPr>
        <w:t>.</w:t>
      </w:r>
    </w:p>
  </w:footnote>
  <w:footnote w:id="25">
    <w:p w14:paraId="5A9DC362" w14:textId="60C347D2" w:rsidR="005B0D9E" w:rsidRPr="00E006B2" w:rsidRDefault="005B0D9E">
      <w:pPr>
        <w:pStyle w:val="FootnoteText"/>
        <w:rPr>
          <w:sz w:val="20"/>
        </w:rPr>
      </w:pPr>
      <w:r w:rsidRPr="00E006B2">
        <w:rPr>
          <w:rStyle w:val="FootnoteReference"/>
          <w:sz w:val="20"/>
        </w:rPr>
        <w:footnoteRef/>
      </w:r>
      <w:r w:rsidRPr="00E006B2">
        <w:rPr>
          <w:sz w:val="20"/>
        </w:rPr>
        <w:t xml:space="preserve"> </w:t>
      </w:r>
      <w:r w:rsidRPr="00E006B2">
        <w:rPr>
          <w:i/>
          <w:iCs/>
          <w:sz w:val="20"/>
        </w:rPr>
        <w:t>New Eligibility Criteria a major Improvement over Existing Rules</w:t>
      </w:r>
      <w:r w:rsidRPr="00E006B2">
        <w:rPr>
          <w:sz w:val="20"/>
        </w:rPr>
        <w:t>, The VA Vantage Point (Apr</w:t>
      </w:r>
      <w:r w:rsidR="005D344A">
        <w:rPr>
          <w:sz w:val="20"/>
        </w:rPr>
        <w:t>.</w:t>
      </w:r>
      <w:r w:rsidRPr="00E006B2">
        <w:rPr>
          <w:sz w:val="20"/>
        </w:rPr>
        <w:t xml:space="preserve"> 9, 2019)</w:t>
      </w:r>
      <w:r w:rsidR="00E006B2">
        <w:rPr>
          <w:sz w:val="20"/>
        </w:rPr>
        <w:t xml:space="preserve">, </w:t>
      </w:r>
      <w:r w:rsidR="00E006B2" w:rsidRPr="00FC771E">
        <w:rPr>
          <w:i/>
          <w:sz w:val="20"/>
        </w:rPr>
        <w:t>available at</w:t>
      </w:r>
      <w:r w:rsidR="00E006B2">
        <w:rPr>
          <w:sz w:val="20"/>
        </w:rPr>
        <w:t xml:space="preserve"> </w:t>
      </w:r>
      <w:hyperlink r:id="rId6" w:history="1">
        <w:r w:rsidR="00E006B2" w:rsidRPr="00835270">
          <w:rPr>
            <w:rStyle w:val="Hyperlink"/>
            <w:sz w:val="20"/>
          </w:rPr>
          <w:t>https://blogs.va.gov/VAntage/58621/new-eligibility-criteria-a-major-improvement-over-existing-rules/</w:t>
        </w:r>
      </w:hyperlink>
      <w:r w:rsidR="005D344A">
        <w:rPr>
          <w:rStyle w:val="Hyperlink"/>
          <w:sz w:val="20"/>
        </w:rPr>
        <w:t>.</w:t>
      </w:r>
      <w:r w:rsidRPr="00E006B2">
        <w:rPr>
          <w:sz w:val="20"/>
        </w:rPr>
        <w:t xml:space="preserve"> </w:t>
      </w:r>
    </w:p>
  </w:footnote>
  <w:footnote w:id="26">
    <w:p w14:paraId="41F7979F" w14:textId="26690A9A" w:rsidR="00E006B2" w:rsidRPr="00E006B2" w:rsidRDefault="00E006B2">
      <w:pPr>
        <w:pStyle w:val="FootnoteText"/>
        <w:rPr>
          <w:sz w:val="20"/>
        </w:rPr>
      </w:pPr>
      <w:r w:rsidRPr="00E006B2">
        <w:rPr>
          <w:rStyle w:val="FootnoteReference"/>
          <w:sz w:val="20"/>
        </w:rPr>
        <w:footnoteRef/>
      </w:r>
      <w:r w:rsidRPr="00E006B2">
        <w:rPr>
          <w:i/>
          <w:iCs/>
          <w:sz w:val="20"/>
        </w:rPr>
        <w:t xml:space="preserve"> </w:t>
      </w:r>
      <w:r w:rsidR="005D344A">
        <w:rPr>
          <w:sz w:val="20"/>
        </w:rPr>
        <w:t>S</w:t>
      </w:r>
      <w:r w:rsidR="00834A83">
        <w:rPr>
          <w:i/>
          <w:sz w:val="20"/>
        </w:rPr>
        <w:t>upra</w:t>
      </w:r>
      <w:r w:rsidR="005D344A">
        <w:rPr>
          <w:sz w:val="20"/>
        </w:rPr>
        <w:t>,</w:t>
      </w:r>
      <w:r w:rsidR="00834A83">
        <w:rPr>
          <w:sz w:val="20"/>
        </w:rPr>
        <w:t xml:space="preserve"> note </w:t>
      </w:r>
      <w:r w:rsidR="005D344A">
        <w:rPr>
          <w:sz w:val="20"/>
        </w:rPr>
        <w:t>1</w:t>
      </w:r>
      <w:r w:rsidR="00834A83">
        <w:rPr>
          <w:i/>
          <w:iCs/>
          <w:sz w:val="20"/>
        </w:rPr>
        <w:t>.</w:t>
      </w:r>
    </w:p>
  </w:footnote>
  <w:footnote w:id="27">
    <w:p w14:paraId="45A68507" w14:textId="2636FB1C" w:rsidR="00E006B2" w:rsidRPr="00E006B2" w:rsidRDefault="00E006B2">
      <w:pPr>
        <w:pStyle w:val="FootnoteText"/>
        <w:rPr>
          <w:sz w:val="20"/>
        </w:rPr>
      </w:pPr>
      <w:r w:rsidRPr="00E006B2">
        <w:rPr>
          <w:rStyle w:val="FootnoteReference"/>
          <w:sz w:val="20"/>
        </w:rPr>
        <w:footnoteRef/>
      </w:r>
      <w:r w:rsidRPr="00E006B2">
        <w:rPr>
          <w:sz w:val="20"/>
        </w:rPr>
        <w:t xml:space="preserve"> </w:t>
      </w:r>
      <w:r w:rsidR="001566BC">
        <w:rPr>
          <w:i/>
          <w:sz w:val="20"/>
        </w:rPr>
        <w:t>Id</w:t>
      </w:r>
      <w:r w:rsidR="005D344A">
        <w:rPr>
          <w:i/>
          <w:iCs/>
          <w:sz w:val="20"/>
        </w:rPr>
        <w:t>.</w:t>
      </w:r>
    </w:p>
  </w:footnote>
  <w:footnote w:id="28">
    <w:p w14:paraId="25897EE5" w14:textId="77777777" w:rsidR="00EE2A7A" w:rsidRDefault="00EE2A7A" w:rsidP="00EE2A7A">
      <w:pPr>
        <w:pStyle w:val="FootnoteText"/>
      </w:pPr>
      <w:r w:rsidRPr="00E006B2">
        <w:rPr>
          <w:rStyle w:val="FootnoteReference"/>
          <w:sz w:val="20"/>
        </w:rPr>
        <w:footnoteRef/>
      </w:r>
      <w:r w:rsidRPr="00E006B2">
        <w:rPr>
          <w:sz w:val="20"/>
        </w:rPr>
        <w:t xml:space="preserve"> </w:t>
      </w:r>
      <w:r w:rsidRPr="00E006B2">
        <w:rPr>
          <w:i/>
          <w:iCs/>
          <w:sz w:val="20"/>
        </w:rPr>
        <w:t>Id.</w:t>
      </w:r>
      <w:r w:rsidRPr="00E006B2">
        <w:rPr>
          <w:sz w:val="20"/>
        </w:rPr>
        <w:t xml:space="preserve"> at 1.</w:t>
      </w:r>
    </w:p>
  </w:footnote>
  <w:footnote w:id="29">
    <w:p w14:paraId="2FAAE9AE" w14:textId="6EBD1C1C" w:rsidR="00134B11" w:rsidRPr="000B5AA9" w:rsidRDefault="00134B11" w:rsidP="00134B11">
      <w:pPr>
        <w:pStyle w:val="FootnoteText"/>
        <w:rPr>
          <w:sz w:val="20"/>
        </w:rPr>
      </w:pPr>
      <w:r w:rsidRPr="000B5AA9">
        <w:rPr>
          <w:rStyle w:val="FootnoteReference"/>
          <w:sz w:val="20"/>
        </w:rPr>
        <w:footnoteRef/>
      </w:r>
      <w:r w:rsidRPr="000B5AA9">
        <w:rPr>
          <w:sz w:val="20"/>
        </w:rPr>
        <w:t xml:space="preserve"> </w:t>
      </w:r>
      <w:r w:rsidR="00FF3E9E" w:rsidRPr="00FC771E">
        <w:rPr>
          <w:rFonts w:eastAsia="Calibri"/>
          <w:i/>
          <w:sz w:val="22"/>
          <w:szCs w:val="22"/>
        </w:rPr>
        <w:t>Supra</w:t>
      </w:r>
      <w:r w:rsidR="00FF3E9E">
        <w:rPr>
          <w:rFonts w:eastAsia="Calibri"/>
          <w:sz w:val="22"/>
          <w:szCs w:val="22"/>
        </w:rPr>
        <w:t>, note 1 at 2.</w:t>
      </w:r>
    </w:p>
  </w:footnote>
  <w:footnote w:id="30">
    <w:p w14:paraId="4AD372F4" w14:textId="77777777" w:rsidR="00134B11" w:rsidRDefault="00134B11" w:rsidP="00134B11">
      <w:pPr>
        <w:pStyle w:val="FootnoteText"/>
      </w:pPr>
      <w:r w:rsidRPr="000B5AA9">
        <w:rPr>
          <w:rStyle w:val="FootnoteReference"/>
          <w:sz w:val="20"/>
        </w:rPr>
        <w:footnoteRef/>
      </w:r>
      <w:r w:rsidRPr="000B5AA9">
        <w:rPr>
          <w:sz w:val="20"/>
        </w:rPr>
        <w:t xml:space="preserve"> </w:t>
      </w:r>
      <w:r w:rsidRPr="000B5AA9">
        <w:rPr>
          <w:i/>
          <w:sz w:val="20"/>
        </w:rPr>
        <w:t>Id</w:t>
      </w:r>
      <w:r w:rsidRPr="000B5AA9">
        <w:rPr>
          <w:sz w:val="20"/>
        </w:rPr>
        <w:t>.</w:t>
      </w:r>
    </w:p>
  </w:footnote>
  <w:footnote w:id="31">
    <w:p w14:paraId="2CEDE411" w14:textId="77777777" w:rsidR="00134B11" w:rsidRPr="000B5AA9" w:rsidRDefault="00134B11" w:rsidP="00134B11">
      <w:pPr>
        <w:pStyle w:val="FootnoteText"/>
        <w:rPr>
          <w:sz w:val="20"/>
        </w:rPr>
      </w:pPr>
      <w:r w:rsidRPr="000B5AA9">
        <w:rPr>
          <w:rStyle w:val="FootnoteReference"/>
          <w:sz w:val="20"/>
        </w:rPr>
        <w:footnoteRef/>
      </w:r>
      <w:r w:rsidRPr="000B5AA9">
        <w:rPr>
          <w:sz w:val="20"/>
        </w:rPr>
        <w:t xml:space="preserve"> Most of the New York State health care providers surveyed in the study reported practicing in the metropolitan region of the state. </w:t>
      </w:r>
      <w:r w:rsidRPr="000B5AA9">
        <w:rPr>
          <w:i/>
          <w:sz w:val="20"/>
        </w:rPr>
        <w:t>Id</w:t>
      </w:r>
      <w:r w:rsidRPr="000B5AA9">
        <w:rPr>
          <w:sz w:val="20"/>
        </w:rPr>
        <w:t>. at 11.</w:t>
      </w:r>
    </w:p>
  </w:footnote>
  <w:footnote w:id="32">
    <w:p w14:paraId="3D532975" w14:textId="77777777" w:rsidR="00134B11" w:rsidRPr="000B5AA9" w:rsidRDefault="00134B11" w:rsidP="00134B11">
      <w:pPr>
        <w:pStyle w:val="FootnoteText"/>
        <w:rPr>
          <w:sz w:val="20"/>
        </w:rPr>
      </w:pPr>
      <w:r w:rsidRPr="000B5AA9">
        <w:rPr>
          <w:rStyle w:val="FootnoteReference"/>
          <w:sz w:val="20"/>
        </w:rPr>
        <w:footnoteRef/>
      </w:r>
      <w:r w:rsidRPr="000B5AA9">
        <w:rPr>
          <w:sz w:val="20"/>
        </w:rPr>
        <w:t xml:space="preserve"> </w:t>
      </w:r>
      <w:r w:rsidRPr="000B5AA9">
        <w:rPr>
          <w:i/>
          <w:sz w:val="20"/>
        </w:rPr>
        <w:t>Id</w:t>
      </w:r>
      <w:r w:rsidRPr="000B5AA9">
        <w:rPr>
          <w:sz w:val="20"/>
        </w:rPr>
        <w:t xml:space="preserve">. at 8-9. </w:t>
      </w:r>
    </w:p>
  </w:footnote>
  <w:footnote w:id="33">
    <w:p w14:paraId="3A6A39B5" w14:textId="77777777" w:rsidR="00134B11" w:rsidRPr="000B5AA9" w:rsidRDefault="00134B11" w:rsidP="00134B11">
      <w:pPr>
        <w:pStyle w:val="FootnoteText"/>
        <w:rPr>
          <w:sz w:val="20"/>
        </w:rPr>
      </w:pPr>
      <w:r w:rsidRPr="000B5AA9">
        <w:rPr>
          <w:rStyle w:val="FootnoteReference"/>
          <w:sz w:val="20"/>
        </w:rPr>
        <w:footnoteRef/>
      </w:r>
      <w:r w:rsidRPr="000B5AA9">
        <w:rPr>
          <w:sz w:val="20"/>
        </w:rPr>
        <w:t xml:space="preserve"> </w:t>
      </w:r>
      <w:r w:rsidRPr="000B5AA9">
        <w:rPr>
          <w:i/>
          <w:sz w:val="20"/>
        </w:rPr>
        <w:t>Id</w:t>
      </w:r>
      <w:r w:rsidRPr="000B5AA9">
        <w:rPr>
          <w:sz w:val="20"/>
        </w:rPr>
        <w:t xml:space="preserve">. at 42. </w:t>
      </w:r>
    </w:p>
  </w:footnote>
  <w:footnote w:id="34">
    <w:p w14:paraId="1834A42E" w14:textId="77777777" w:rsidR="00134B11" w:rsidRPr="000B5AA9" w:rsidRDefault="00134B11" w:rsidP="00134B11">
      <w:pPr>
        <w:pStyle w:val="FootnoteText"/>
        <w:rPr>
          <w:sz w:val="20"/>
        </w:rPr>
      </w:pPr>
      <w:r w:rsidRPr="000B5AA9">
        <w:rPr>
          <w:rStyle w:val="FootnoteReference"/>
          <w:sz w:val="20"/>
        </w:rPr>
        <w:footnoteRef/>
      </w:r>
      <w:r w:rsidRPr="000B5AA9">
        <w:rPr>
          <w:sz w:val="20"/>
        </w:rPr>
        <w:t xml:space="preserve"> </w:t>
      </w:r>
      <w:r w:rsidRPr="000B5AA9">
        <w:rPr>
          <w:i/>
          <w:sz w:val="20"/>
        </w:rPr>
        <w:t>Id</w:t>
      </w:r>
      <w:r w:rsidRPr="000B5AA9">
        <w:rPr>
          <w:sz w:val="20"/>
        </w:rPr>
        <w:t xml:space="preserve">. at 46. </w:t>
      </w:r>
    </w:p>
  </w:footnote>
  <w:footnote w:id="35">
    <w:p w14:paraId="368B40DE" w14:textId="77777777" w:rsidR="00134B11" w:rsidRPr="000B5AA9" w:rsidRDefault="00134B11" w:rsidP="00134B11">
      <w:pPr>
        <w:pStyle w:val="FootnoteText"/>
        <w:rPr>
          <w:sz w:val="20"/>
        </w:rPr>
      </w:pPr>
      <w:r w:rsidRPr="000B5AA9">
        <w:rPr>
          <w:rStyle w:val="FootnoteReference"/>
          <w:sz w:val="20"/>
        </w:rPr>
        <w:footnoteRef/>
      </w:r>
      <w:r w:rsidRPr="000B5AA9">
        <w:rPr>
          <w:sz w:val="20"/>
        </w:rPr>
        <w:t xml:space="preserve"> </w:t>
      </w:r>
      <w:r w:rsidRPr="000B5AA9">
        <w:rPr>
          <w:i/>
          <w:sz w:val="20"/>
        </w:rPr>
        <w:t>Id</w:t>
      </w:r>
      <w:r w:rsidRPr="000B5AA9">
        <w:rPr>
          <w:sz w:val="20"/>
        </w:rPr>
        <w:t xml:space="preserve">. at 44. </w:t>
      </w:r>
    </w:p>
  </w:footnote>
  <w:footnote w:id="36">
    <w:p w14:paraId="17445B6B" w14:textId="77777777" w:rsidR="00134B11" w:rsidRDefault="00134B11" w:rsidP="00134B11">
      <w:pPr>
        <w:pStyle w:val="FootnoteText"/>
      </w:pPr>
      <w:r w:rsidRPr="000B5AA9">
        <w:rPr>
          <w:rStyle w:val="FootnoteReference"/>
          <w:sz w:val="20"/>
        </w:rPr>
        <w:footnoteRef/>
      </w:r>
      <w:r w:rsidRPr="000B5AA9">
        <w:rPr>
          <w:sz w:val="20"/>
        </w:rPr>
        <w:t xml:space="preserve"> </w:t>
      </w:r>
      <w:r w:rsidRPr="000B5AA9">
        <w:rPr>
          <w:i/>
          <w:sz w:val="20"/>
        </w:rPr>
        <w:t>Id</w:t>
      </w:r>
      <w:r w:rsidRPr="000B5AA9">
        <w:rPr>
          <w:sz w:val="20"/>
        </w:rPr>
        <w:t>.</w:t>
      </w:r>
      <w:r>
        <w:t xml:space="preserve"> </w:t>
      </w:r>
    </w:p>
  </w:footnote>
  <w:footnote w:id="37">
    <w:p w14:paraId="3473D863" w14:textId="77777777" w:rsidR="00134B11" w:rsidRPr="000B5AA9" w:rsidRDefault="00134B11" w:rsidP="00134B11">
      <w:pPr>
        <w:pStyle w:val="FootnoteText"/>
        <w:rPr>
          <w:sz w:val="20"/>
        </w:rPr>
      </w:pPr>
      <w:r w:rsidRPr="000B5AA9">
        <w:rPr>
          <w:rStyle w:val="FootnoteReference"/>
          <w:sz w:val="20"/>
        </w:rPr>
        <w:footnoteRef/>
      </w:r>
      <w:r w:rsidRPr="000B5AA9">
        <w:rPr>
          <w:sz w:val="20"/>
        </w:rPr>
        <w:t xml:space="preserve"> </w:t>
      </w:r>
      <w:r w:rsidRPr="000B5AA9">
        <w:rPr>
          <w:i/>
          <w:sz w:val="20"/>
        </w:rPr>
        <w:t>Id</w:t>
      </w:r>
      <w:r w:rsidRPr="000B5AA9">
        <w:rPr>
          <w:sz w:val="20"/>
        </w:rPr>
        <w:t xml:space="preserve">. at 42 – 45. </w:t>
      </w:r>
    </w:p>
  </w:footnote>
  <w:footnote w:id="38">
    <w:p w14:paraId="5B411080" w14:textId="67EC5B26" w:rsidR="00134B11" w:rsidRPr="000B5AA9" w:rsidRDefault="00134B11" w:rsidP="00134B11">
      <w:pPr>
        <w:pStyle w:val="FootnoteText"/>
        <w:rPr>
          <w:sz w:val="20"/>
        </w:rPr>
      </w:pPr>
      <w:r w:rsidRPr="000B5AA9">
        <w:rPr>
          <w:rStyle w:val="FootnoteReference"/>
          <w:sz w:val="20"/>
        </w:rPr>
        <w:footnoteRef/>
      </w:r>
      <w:r w:rsidRPr="000B5AA9">
        <w:rPr>
          <w:sz w:val="20"/>
        </w:rPr>
        <w:t xml:space="preserve"> Carrie M.</w:t>
      </w:r>
      <w:r w:rsidR="00FF3E9E">
        <w:rPr>
          <w:sz w:val="20"/>
        </w:rPr>
        <w:t xml:space="preserve"> Farmer</w:t>
      </w:r>
      <w:r w:rsidRPr="000B5AA9">
        <w:rPr>
          <w:sz w:val="20"/>
        </w:rPr>
        <w:t xml:space="preserve">, et. al., </w:t>
      </w:r>
      <w:r w:rsidRPr="000B5AA9">
        <w:rPr>
          <w:i/>
          <w:sz w:val="20"/>
        </w:rPr>
        <w:t xml:space="preserve">A Needs Assessment of New York State Veterans: Final Report to the New York State Health Foundation, </w:t>
      </w:r>
      <w:r w:rsidRPr="000B5AA9">
        <w:rPr>
          <w:sz w:val="20"/>
        </w:rPr>
        <w:t xml:space="preserve">RAND Corporation (2011), 55, </w:t>
      </w:r>
      <w:r w:rsidRPr="00FC771E">
        <w:rPr>
          <w:i/>
          <w:sz w:val="20"/>
        </w:rPr>
        <w:t>available at</w:t>
      </w:r>
      <w:r w:rsidRPr="000B5AA9">
        <w:rPr>
          <w:sz w:val="20"/>
        </w:rPr>
        <w:t xml:space="preserve">  </w:t>
      </w:r>
      <w:hyperlink r:id="rId7" w:history="1">
        <w:r w:rsidRPr="000B5AA9">
          <w:rPr>
            <w:rStyle w:val="Hyperlink"/>
            <w:sz w:val="20"/>
          </w:rPr>
          <w:t>https://www.rand.org/pubs/technical_reports/TR920.html</w:t>
        </w:r>
      </w:hyperlink>
      <w:r w:rsidRPr="000B5AA9">
        <w:rPr>
          <w:sz w:val="20"/>
        </w:rPr>
        <w:t xml:space="preserve">. </w:t>
      </w:r>
    </w:p>
  </w:footnote>
  <w:footnote w:id="39">
    <w:p w14:paraId="6A22E3BA" w14:textId="77777777" w:rsidR="00134B11" w:rsidRPr="000B5AA9" w:rsidRDefault="00134B11" w:rsidP="00134B11">
      <w:pPr>
        <w:pStyle w:val="FootnoteText"/>
        <w:rPr>
          <w:sz w:val="20"/>
        </w:rPr>
      </w:pPr>
      <w:r w:rsidRPr="000B5AA9">
        <w:rPr>
          <w:rStyle w:val="FootnoteReference"/>
          <w:sz w:val="20"/>
        </w:rPr>
        <w:footnoteRef/>
      </w:r>
      <w:r w:rsidRPr="000B5AA9">
        <w:rPr>
          <w:sz w:val="20"/>
        </w:rPr>
        <w:t xml:space="preserve"> </w:t>
      </w:r>
      <w:r w:rsidRPr="000B5AA9">
        <w:rPr>
          <w:i/>
          <w:sz w:val="20"/>
        </w:rPr>
        <w:t>Id</w:t>
      </w:r>
      <w:r w:rsidRPr="000B5AA9">
        <w:rPr>
          <w:sz w:val="20"/>
        </w:rPr>
        <w:t>.</w:t>
      </w:r>
    </w:p>
  </w:footnote>
  <w:footnote w:id="40">
    <w:p w14:paraId="57873F9E" w14:textId="77777777" w:rsidR="00134B11" w:rsidRPr="000B5AA9" w:rsidRDefault="00134B11" w:rsidP="00134B11">
      <w:pPr>
        <w:pStyle w:val="FootnoteText"/>
        <w:rPr>
          <w:sz w:val="20"/>
        </w:rPr>
      </w:pPr>
      <w:r w:rsidRPr="000B5AA9">
        <w:rPr>
          <w:rStyle w:val="FootnoteReference"/>
          <w:sz w:val="20"/>
        </w:rPr>
        <w:footnoteRef/>
      </w:r>
      <w:r w:rsidRPr="000B5AA9">
        <w:rPr>
          <w:sz w:val="20"/>
        </w:rPr>
        <w:t xml:space="preserve"> </w:t>
      </w:r>
      <w:r w:rsidRPr="000B5AA9">
        <w:rPr>
          <w:i/>
          <w:sz w:val="20"/>
        </w:rPr>
        <w:t>Id</w:t>
      </w:r>
      <w:r w:rsidRPr="000B5AA9">
        <w:rPr>
          <w:sz w:val="20"/>
        </w:rPr>
        <w:t>.</w:t>
      </w:r>
    </w:p>
  </w:footnote>
  <w:footnote w:id="41">
    <w:p w14:paraId="7AA0838F" w14:textId="77777777" w:rsidR="00134B11" w:rsidRPr="000B5AA9" w:rsidRDefault="00134B11" w:rsidP="00134B11">
      <w:pPr>
        <w:pStyle w:val="FootnoteText"/>
        <w:rPr>
          <w:sz w:val="20"/>
        </w:rPr>
      </w:pPr>
      <w:r w:rsidRPr="000B5AA9">
        <w:rPr>
          <w:rStyle w:val="FootnoteReference"/>
          <w:sz w:val="20"/>
        </w:rPr>
        <w:footnoteRef/>
      </w:r>
      <w:r w:rsidRPr="000B5AA9">
        <w:rPr>
          <w:sz w:val="20"/>
        </w:rPr>
        <w:t xml:space="preserve"> </w:t>
      </w:r>
      <w:r w:rsidRPr="000B5AA9">
        <w:rPr>
          <w:i/>
          <w:sz w:val="20"/>
        </w:rPr>
        <w:t>Id</w:t>
      </w:r>
      <w:r w:rsidRPr="000B5AA9">
        <w:rPr>
          <w:sz w:val="20"/>
        </w:rPr>
        <w:t>.</w:t>
      </w:r>
    </w:p>
  </w:footnote>
  <w:footnote w:id="42">
    <w:p w14:paraId="7AE40C1E" w14:textId="77777777" w:rsidR="00134B11" w:rsidRPr="000B5AA9" w:rsidRDefault="00134B11" w:rsidP="00134B11">
      <w:pPr>
        <w:pStyle w:val="FootnoteText"/>
        <w:rPr>
          <w:sz w:val="20"/>
        </w:rPr>
      </w:pPr>
      <w:r w:rsidRPr="000B5AA9">
        <w:rPr>
          <w:rStyle w:val="FootnoteReference"/>
          <w:sz w:val="20"/>
        </w:rPr>
        <w:footnoteRef/>
      </w:r>
      <w:r w:rsidRPr="000B5AA9">
        <w:rPr>
          <w:sz w:val="20"/>
        </w:rPr>
        <w:t xml:space="preserve"> N.Y.C. Dep’t of Veterans Services (DVS</w:t>
      </w:r>
      <w:r w:rsidRPr="000B5AA9">
        <w:rPr>
          <w:i/>
          <w:sz w:val="20"/>
        </w:rPr>
        <w:t>), Local Law 44 DVS Services and Performance Annual Report for FY 2021 Report</w:t>
      </w:r>
      <w:r w:rsidRPr="000B5AA9">
        <w:rPr>
          <w:sz w:val="20"/>
        </w:rPr>
        <w:t xml:space="preserve"> (Dec. 1, 2021), 1, 8, </w:t>
      </w:r>
      <w:r w:rsidRPr="000B5AA9">
        <w:rPr>
          <w:i/>
          <w:sz w:val="20"/>
        </w:rPr>
        <w:t xml:space="preserve">available at </w:t>
      </w:r>
      <w:hyperlink r:id="rId8" w:history="1">
        <w:r w:rsidRPr="000B5AA9">
          <w:rPr>
            <w:rStyle w:val="Hyperlink"/>
            <w:sz w:val="20"/>
          </w:rPr>
          <w:t>https://www1.nyc.gov/assets/veterans/downloads/pdf/local_laws/Local-Law-44-DVS-Annual-Report-2021-Mayor.pdf</w:t>
        </w:r>
      </w:hyperlink>
      <w:r w:rsidRPr="000B5AA9">
        <w:rPr>
          <w:sz w:val="20"/>
        </w:rPr>
        <w:t>.</w:t>
      </w:r>
    </w:p>
  </w:footnote>
  <w:footnote w:id="43">
    <w:p w14:paraId="19B1CED1" w14:textId="77777777" w:rsidR="00134B11" w:rsidRPr="000B5AA9" w:rsidRDefault="00134B11" w:rsidP="00134B11">
      <w:pPr>
        <w:pStyle w:val="FootnoteText"/>
        <w:rPr>
          <w:sz w:val="20"/>
        </w:rPr>
      </w:pPr>
      <w:r w:rsidRPr="000B5AA9">
        <w:rPr>
          <w:rStyle w:val="FootnoteReference"/>
          <w:sz w:val="20"/>
        </w:rPr>
        <w:footnoteRef/>
      </w:r>
      <w:r w:rsidRPr="000B5AA9">
        <w:rPr>
          <w:sz w:val="20"/>
        </w:rPr>
        <w:t xml:space="preserve"> </w:t>
      </w:r>
      <w:r w:rsidRPr="000B5AA9">
        <w:rPr>
          <w:i/>
          <w:sz w:val="20"/>
        </w:rPr>
        <w:t>Id.</w:t>
      </w:r>
      <w:r w:rsidRPr="000B5AA9">
        <w:rPr>
          <w:sz w:val="20"/>
        </w:rPr>
        <w:t xml:space="preserve">  </w:t>
      </w:r>
    </w:p>
  </w:footnote>
  <w:footnote w:id="44">
    <w:p w14:paraId="5557DB67" w14:textId="77777777" w:rsidR="00134B11" w:rsidRPr="00AF59CE" w:rsidRDefault="00134B11" w:rsidP="00134B11">
      <w:pPr>
        <w:pStyle w:val="FootnoteText"/>
      </w:pPr>
      <w:r w:rsidRPr="000B5AA9">
        <w:rPr>
          <w:rStyle w:val="FootnoteReference"/>
          <w:sz w:val="20"/>
        </w:rPr>
        <w:footnoteRef/>
      </w:r>
      <w:r w:rsidRPr="000B5AA9">
        <w:rPr>
          <w:sz w:val="20"/>
        </w:rPr>
        <w:t xml:space="preserve"> N.Y.C. DVS, </w:t>
      </w:r>
      <w:r w:rsidRPr="000B5AA9">
        <w:rPr>
          <w:i/>
          <w:sz w:val="20"/>
        </w:rPr>
        <w:t>About VetConnectNYC</w:t>
      </w:r>
      <w:r w:rsidRPr="000B5AA9">
        <w:rPr>
          <w:sz w:val="20"/>
        </w:rPr>
        <w:t xml:space="preserve">, </w:t>
      </w:r>
      <w:r w:rsidRPr="000B5AA9">
        <w:rPr>
          <w:i/>
          <w:sz w:val="20"/>
        </w:rPr>
        <w:t>available at</w:t>
      </w:r>
      <w:r w:rsidRPr="000B5AA9">
        <w:rPr>
          <w:sz w:val="20"/>
        </w:rPr>
        <w:t xml:space="preserve"> </w:t>
      </w:r>
      <w:hyperlink r:id="rId9" w:history="1">
        <w:r w:rsidRPr="000B5AA9">
          <w:rPr>
            <w:rStyle w:val="Hyperlink"/>
            <w:sz w:val="20"/>
          </w:rPr>
          <w:t>https://nyc.uniteus.com/vetconnectnyc/</w:t>
        </w:r>
      </w:hyperlink>
      <w:r w:rsidRPr="000B5AA9">
        <w:rPr>
          <w:sz w:val="20"/>
        </w:rPr>
        <w:t xml:space="preserve">. </w:t>
      </w:r>
    </w:p>
  </w:footnote>
  <w:footnote w:id="45">
    <w:p w14:paraId="2688D017" w14:textId="77777777" w:rsidR="00134B11" w:rsidRPr="000B5AA9" w:rsidRDefault="00134B11" w:rsidP="00134B11">
      <w:pPr>
        <w:pStyle w:val="FootnoteText"/>
        <w:rPr>
          <w:sz w:val="20"/>
        </w:rPr>
      </w:pPr>
      <w:r w:rsidRPr="000B5AA9">
        <w:rPr>
          <w:rStyle w:val="FootnoteReference"/>
          <w:sz w:val="20"/>
        </w:rPr>
        <w:footnoteRef/>
      </w:r>
      <w:r w:rsidRPr="000B5AA9">
        <w:rPr>
          <w:sz w:val="20"/>
        </w:rPr>
        <w:t xml:space="preserve"> N.Y.C. DVS</w:t>
      </w:r>
      <w:r w:rsidRPr="000B5AA9">
        <w:rPr>
          <w:i/>
          <w:sz w:val="20"/>
        </w:rPr>
        <w:t>, Local Law 44 DVS Services and Performance Annual Report for FY 2021 Report</w:t>
      </w:r>
      <w:r w:rsidRPr="000B5AA9">
        <w:rPr>
          <w:sz w:val="20"/>
        </w:rPr>
        <w:t xml:space="preserve"> (Dec. 1, 2021), 1, </w:t>
      </w:r>
      <w:r w:rsidRPr="000B5AA9">
        <w:rPr>
          <w:i/>
          <w:sz w:val="20"/>
        </w:rPr>
        <w:t xml:space="preserve">available at </w:t>
      </w:r>
      <w:hyperlink r:id="rId10" w:history="1">
        <w:r w:rsidRPr="000B5AA9">
          <w:rPr>
            <w:rStyle w:val="Hyperlink"/>
            <w:sz w:val="20"/>
          </w:rPr>
          <w:t>https://www1.nyc.gov/assets/veterans/downloads/pdf/local_laws/Local-Law-44-DVS-Annual-Report-2021-Mayor.pdf</w:t>
        </w:r>
      </w:hyperlink>
      <w:r w:rsidRPr="000B5AA9">
        <w:rPr>
          <w:sz w:val="20"/>
        </w:rPr>
        <w:t>.</w:t>
      </w:r>
    </w:p>
  </w:footnote>
  <w:footnote w:id="46">
    <w:p w14:paraId="69A3DBBE" w14:textId="77777777" w:rsidR="00134B11" w:rsidRPr="000B5AA9" w:rsidRDefault="00134B11" w:rsidP="00134B11">
      <w:pPr>
        <w:pStyle w:val="FootnoteText"/>
        <w:rPr>
          <w:sz w:val="20"/>
        </w:rPr>
      </w:pPr>
      <w:r w:rsidRPr="000B5AA9">
        <w:rPr>
          <w:rStyle w:val="FootnoteReference"/>
          <w:sz w:val="20"/>
        </w:rPr>
        <w:footnoteRef/>
      </w:r>
      <w:r w:rsidRPr="000B5AA9">
        <w:rPr>
          <w:sz w:val="20"/>
        </w:rPr>
        <w:t xml:space="preserve"> N.Y.C. DVS, </w:t>
      </w:r>
      <w:r w:rsidRPr="000B5AA9">
        <w:rPr>
          <w:i/>
          <w:sz w:val="20"/>
        </w:rPr>
        <w:t>Services: Physical Health</w:t>
      </w:r>
      <w:r w:rsidRPr="000B5AA9">
        <w:rPr>
          <w:sz w:val="20"/>
        </w:rPr>
        <w:t xml:space="preserve">, </w:t>
      </w:r>
      <w:r w:rsidRPr="000B5AA9">
        <w:rPr>
          <w:i/>
          <w:sz w:val="20"/>
        </w:rPr>
        <w:t>available at</w:t>
      </w:r>
      <w:r w:rsidRPr="000B5AA9">
        <w:rPr>
          <w:sz w:val="20"/>
        </w:rPr>
        <w:t xml:space="preserve"> </w:t>
      </w:r>
      <w:hyperlink r:id="rId11" w:history="1">
        <w:r w:rsidRPr="000B5AA9">
          <w:rPr>
            <w:rStyle w:val="Hyperlink"/>
            <w:sz w:val="20"/>
          </w:rPr>
          <w:t>https://www1.nyc.gov/site/veterans/services/physical-health.page</w:t>
        </w:r>
      </w:hyperlink>
      <w:r w:rsidRPr="000B5AA9">
        <w:rPr>
          <w:sz w:val="20"/>
        </w:rPr>
        <w:t xml:space="preserve">. </w:t>
      </w:r>
    </w:p>
  </w:footnote>
  <w:footnote w:id="47">
    <w:p w14:paraId="4E31FC9C" w14:textId="77777777" w:rsidR="00134B11" w:rsidRPr="000B5AA9" w:rsidRDefault="00134B11" w:rsidP="00134B11">
      <w:pPr>
        <w:pStyle w:val="FootnoteText"/>
        <w:rPr>
          <w:sz w:val="20"/>
        </w:rPr>
      </w:pPr>
      <w:r w:rsidRPr="000B5AA9">
        <w:rPr>
          <w:rStyle w:val="FootnoteReference"/>
          <w:sz w:val="20"/>
        </w:rPr>
        <w:footnoteRef/>
      </w:r>
      <w:r w:rsidRPr="000B5AA9">
        <w:rPr>
          <w:sz w:val="20"/>
        </w:rPr>
        <w:t xml:space="preserve"> N.Y.C. DVS, </w:t>
      </w:r>
      <w:r w:rsidRPr="000B5AA9">
        <w:rPr>
          <w:i/>
          <w:sz w:val="20"/>
        </w:rPr>
        <w:t xml:space="preserve">Services: Benefits </w:t>
      </w:r>
      <w:r w:rsidRPr="000B5AA9">
        <w:rPr>
          <w:sz w:val="20"/>
        </w:rPr>
        <w:t xml:space="preserve">Navigation, </w:t>
      </w:r>
      <w:r w:rsidRPr="000B5AA9">
        <w:rPr>
          <w:i/>
          <w:sz w:val="20"/>
        </w:rPr>
        <w:t xml:space="preserve">available at </w:t>
      </w:r>
      <w:hyperlink r:id="rId12" w:history="1">
        <w:r w:rsidRPr="000B5AA9">
          <w:rPr>
            <w:rStyle w:val="Hyperlink"/>
            <w:sz w:val="20"/>
          </w:rPr>
          <w:t>https://www1.nyc.gov/site/veterans/services/benefits-navigation.page</w:t>
        </w:r>
      </w:hyperlink>
      <w:r w:rsidRPr="000B5AA9">
        <w:rPr>
          <w:sz w:val="20"/>
        </w:rPr>
        <w:t xml:space="preserve">. </w:t>
      </w:r>
    </w:p>
  </w:footnote>
  <w:footnote w:id="48">
    <w:p w14:paraId="6EB4DEC9" w14:textId="77777777" w:rsidR="00134B11" w:rsidRPr="000B5AA9" w:rsidRDefault="00134B11" w:rsidP="00134B11">
      <w:pPr>
        <w:pStyle w:val="FootnoteText"/>
        <w:rPr>
          <w:sz w:val="20"/>
        </w:rPr>
      </w:pPr>
      <w:r w:rsidRPr="000B5AA9">
        <w:rPr>
          <w:rStyle w:val="FootnoteReference"/>
          <w:sz w:val="20"/>
        </w:rPr>
        <w:footnoteRef/>
      </w:r>
      <w:r w:rsidRPr="000B5AA9">
        <w:rPr>
          <w:sz w:val="20"/>
        </w:rPr>
        <w:t xml:space="preserve"> </w:t>
      </w:r>
      <w:r w:rsidRPr="000B5AA9">
        <w:rPr>
          <w:i/>
          <w:sz w:val="20"/>
        </w:rPr>
        <w:t>Id</w:t>
      </w:r>
      <w:r w:rsidRPr="000B5AA9">
        <w:rPr>
          <w:sz w:val="20"/>
        </w:rPr>
        <w:t xml:space="preserve">. </w:t>
      </w:r>
    </w:p>
  </w:footnote>
  <w:footnote w:id="49">
    <w:p w14:paraId="2BD3B75D" w14:textId="77777777" w:rsidR="00134B11" w:rsidRPr="000B5AA9" w:rsidRDefault="00134B11" w:rsidP="00134B11">
      <w:pPr>
        <w:pStyle w:val="FootnoteText"/>
        <w:rPr>
          <w:sz w:val="20"/>
        </w:rPr>
      </w:pPr>
      <w:r w:rsidRPr="000B5AA9">
        <w:rPr>
          <w:rStyle w:val="FootnoteReference"/>
          <w:sz w:val="20"/>
        </w:rPr>
        <w:footnoteRef/>
      </w:r>
      <w:r w:rsidRPr="000B5AA9">
        <w:rPr>
          <w:sz w:val="20"/>
        </w:rPr>
        <w:t xml:space="preserve"> </w:t>
      </w:r>
      <w:r w:rsidRPr="000B5AA9">
        <w:rPr>
          <w:i/>
          <w:sz w:val="20"/>
        </w:rPr>
        <w:t>Id</w:t>
      </w:r>
      <w:r w:rsidRPr="000B5AA9">
        <w:rPr>
          <w:sz w:val="20"/>
        </w:rPr>
        <w:t xml:space="preserve">. </w:t>
      </w:r>
    </w:p>
  </w:footnote>
  <w:footnote w:id="50">
    <w:p w14:paraId="742E2573" w14:textId="77777777" w:rsidR="00134B11" w:rsidRPr="005932AE" w:rsidRDefault="00134B11" w:rsidP="00134B11">
      <w:pPr>
        <w:pStyle w:val="FootnoteText"/>
        <w:rPr>
          <w:sz w:val="20"/>
        </w:rPr>
      </w:pPr>
      <w:r w:rsidRPr="005932AE">
        <w:rPr>
          <w:rStyle w:val="FootnoteReference"/>
          <w:sz w:val="20"/>
        </w:rPr>
        <w:footnoteRef/>
      </w:r>
      <w:r w:rsidRPr="005932AE">
        <w:rPr>
          <w:sz w:val="20"/>
        </w:rPr>
        <w:t xml:space="preserve"> U.S. Dep’t of Veteran Affairs, </w:t>
      </w:r>
      <w:r w:rsidRPr="005932AE">
        <w:rPr>
          <w:i/>
          <w:sz w:val="20"/>
        </w:rPr>
        <w:t>VA Recommendations to the AIR Commission, Volume II: Market Recommendations</w:t>
      </w:r>
      <w:r w:rsidRPr="005932AE">
        <w:rPr>
          <w:sz w:val="20"/>
        </w:rPr>
        <w:t xml:space="preserve">, (March 2022), </w:t>
      </w:r>
      <w:r w:rsidRPr="005932AE">
        <w:rPr>
          <w:i/>
          <w:sz w:val="20"/>
        </w:rPr>
        <w:t xml:space="preserve">available at </w:t>
      </w:r>
      <w:hyperlink r:id="rId13" w:history="1">
        <w:r w:rsidRPr="005932AE">
          <w:rPr>
            <w:rStyle w:val="Hyperlink"/>
            <w:sz w:val="20"/>
          </w:rPr>
          <w:t>https://www.va.gov/AIRCOMMISSIONREPORT/Volume_II.asp</w:t>
        </w:r>
      </w:hyperlink>
      <w:r w:rsidRPr="005932AE">
        <w:rPr>
          <w:sz w:val="20"/>
        </w:rPr>
        <w:t xml:space="preserve">. </w:t>
      </w:r>
    </w:p>
  </w:footnote>
  <w:footnote w:id="51">
    <w:p w14:paraId="295FB599" w14:textId="77777777" w:rsidR="00134B11" w:rsidRPr="005932AE" w:rsidRDefault="00134B11" w:rsidP="00134B11">
      <w:pPr>
        <w:pStyle w:val="FootnoteText"/>
        <w:rPr>
          <w:sz w:val="20"/>
        </w:rPr>
      </w:pPr>
      <w:r w:rsidRPr="005932AE">
        <w:rPr>
          <w:rStyle w:val="FootnoteReference"/>
          <w:sz w:val="20"/>
        </w:rPr>
        <w:footnoteRef/>
      </w:r>
      <w:r w:rsidRPr="005932AE">
        <w:rPr>
          <w:sz w:val="20"/>
        </w:rPr>
        <w:t xml:space="preserve"> U.S. Dep’t of Veteran Affairs, </w:t>
      </w:r>
      <w:r w:rsidRPr="005932AE">
        <w:rPr>
          <w:i/>
          <w:sz w:val="20"/>
        </w:rPr>
        <w:t>VISN 2 Market Recommendations</w:t>
      </w:r>
      <w:r w:rsidRPr="005932AE">
        <w:rPr>
          <w:sz w:val="20"/>
        </w:rPr>
        <w:t xml:space="preserve">, March 2022, 56 - 58, </w:t>
      </w:r>
      <w:r w:rsidRPr="005932AE">
        <w:rPr>
          <w:i/>
          <w:sz w:val="20"/>
        </w:rPr>
        <w:t>available at</w:t>
      </w:r>
      <w:r w:rsidRPr="005932AE">
        <w:rPr>
          <w:sz w:val="20"/>
        </w:rPr>
        <w:t xml:space="preserve"> </w:t>
      </w:r>
      <w:hyperlink r:id="rId14" w:history="1">
        <w:r w:rsidRPr="005932AE">
          <w:rPr>
            <w:rStyle w:val="Hyperlink"/>
            <w:sz w:val="20"/>
          </w:rPr>
          <w:t>https://www.va.gov/AIRCOMMISSIONREPORT/docs/VISN02-Market-Recommendation.pdf</w:t>
        </w:r>
      </w:hyperlink>
      <w:r w:rsidRPr="005932AE">
        <w:rPr>
          <w:sz w:val="20"/>
        </w:rPr>
        <w:t xml:space="preserve">. </w:t>
      </w:r>
    </w:p>
  </w:footnote>
  <w:footnote w:id="52">
    <w:p w14:paraId="57C67C22" w14:textId="77777777" w:rsidR="00134B11" w:rsidRPr="005932AE" w:rsidRDefault="00134B11" w:rsidP="00134B11">
      <w:pPr>
        <w:pStyle w:val="FootnoteText"/>
        <w:rPr>
          <w:sz w:val="20"/>
        </w:rPr>
      </w:pPr>
      <w:r w:rsidRPr="005932AE">
        <w:rPr>
          <w:rStyle w:val="FootnoteReference"/>
          <w:sz w:val="20"/>
        </w:rPr>
        <w:footnoteRef/>
      </w:r>
      <w:r w:rsidRPr="005932AE">
        <w:rPr>
          <w:sz w:val="20"/>
        </w:rPr>
        <w:t xml:space="preserve"> </w:t>
      </w:r>
      <w:r w:rsidRPr="005932AE">
        <w:rPr>
          <w:i/>
          <w:sz w:val="20"/>
        </w:rPr>
        <w:t>Id.</w:t>
      </w:r>
      <w:r w:rsidRPr="005932AE">
        <w:rPr>
          <w:sz w:val="20"/>
        </w:rPr>
        <w:t xml:space="preserve"> </w:t>
      </w:r>
    </w:p>
  </w:footnote>
  <w:footnote w:id="53">
    <w:p w14:paraId="7494FE1D" w14:textId="77777777" w:rsidR="00134B11" w:rsidRPr="005932AE" w:rsidRDefault="00134B11" w:rsidP="00134B11">
      <w:pPr>
        <w:pStyle w:val="FootnoteText"/>
        <w:rPr>
          <w:sz w:val="20"/>
        </w:rPr>
      </w:pPr>
      <w:r w:rsidRPr="005932AE">
        <w:rPr>
          <w:rStyle w:val="FootnoteReference"/>
          <w:sz w:val="20"/>
        </w:rPr>
        <w:footnoteRef/>
      </w:r>
      <w:r w:rsidRPr="005932AE">
        <w:rPr>
          <w:sz w:val="20"/>
        </w:rPr>
        <w:t xml:space="preserve"> </w:t>
      </w:r>
      <w:r w:rsidRPr="005932AE">
        <w:rPr>
          <w:i/>
          <w:sz w:val="20"/>
        </w:rPr>
        <w:t>See</w:t>
      </w:r>
      <w:r w:rsidRPr="005932AE">
        <w:rPr>
          <w:sz w:val="20"/>
        </w:rPr>
        <w:t xml:space="preserve"> Sarah Huffman, </w:t>
      </w:r>
      <w:r w:rsidRPr="005932AE">
        <w:rPr>
          <w:i/>
          <w:sz w:val="20"/>
        </w:rPr>
        <w:t>Bronx Veterans Voice Concern Over Expected NYC VA Medical Center Closures</w:t>
      </w:r>
      <w:r w:rsidRPr="005932AE">
        <w:rPr>
          <w:sz w:val="20"/>
        </w:rPr>
        <w:t xml:space="preserve">, Norwood News, Apr. 25, 2022, available at </w:t>
      </w:r>
      <w:hyperlink r:id="rId15" w:history="1">
        <w:r w:rsidRPr="005932AE">
          <w:rPr>
            <w:rStyle w:val="Hyperlink"/>
            <w:sz w:val="20"/>
          </w:rPr>
          <w:t>https://www.norwoodnews.org/bronx-veterans-voice-concern-over-expected-nyc-va-medical-center-closures/</w:t>
        </w:r>
      </w:hyperlink>
      <w:r w:rsidRPr="005932AE">
        <w:rPr>
          <w:sz w:val="20"/>
        </w:rPr>
        <w:t xml:space="preserve">. </w:t>
      </w:r>
    </w:p>
  </w:footnote>
  <w:footnote w:id="54">
    <w:p w14:paraId="12E58F9B" w14:textId="7171C01B" w:rsidR="00134B11" w:rsidRDefault="00134B11" w:rsidP="00134B11">
      <w:pPr>
        <w:pStyle w:val="FootnoteText"/>
      </w:pPr>
      <w:r w:rsidRPr="005932AE">
        <w:rPr>
          <w:rStyle w:val="FootnoteReference"/>
          <w:sz w:val="20"/>
        </w:rPr>
        <w:footnoteRef/>
      </w:r>
      <w:r w:rsidRPr="005932AE">
        <w:rPr>
          <w:sz w:val="20"/>
        </w:rPr>
        <w:t xml:space="preserve"> </w:t>
      </w:r>
      <w:r w:rsidRPr="005932AE">
        <w:rPr>
          <w:i/>
          <w:sz w:val="20"/>
        </w:rPr>
        <w:t xml:space="preserve">See </w:t>
      </w:r>
      <w:r w:rsidRPr="005932AE">
        <w:rPr>
          <w:sz w:val="20"/>
        </w:rPr>
        <w:t xml:space="preserve">Max Parrott, Union workers, Maloney rally to Manhattan VA hospital closure, AM New York </w:t>
      </w:r>
      <w:r w:rsidR="00FF3E9E">
        <w:rPr>
          <w:sz w:val="20"/>
        </w:rPr>
        <w:t>(</w:t>
      </w:r>
      <w:r w:rsidRPr="005932AE">
        <w:rPr>
          <w:sz w:val="20"/>
        </w:rPr>
        <w:t>Apr. 18, 2022</w:t>
      </w:r>
      <w:r w:rsidR="00FF3E9E">
        <w:rPr>
          <w:sz w:val="20"/>
        </w:rPr>
        <w:t>)</w:t>
      </w:r>
      <w:r w:rsidRPr="005932AE">
        <w:rPr>
          <w:sz w:val="20"/>
        </w:rPr>
        <w:t xml:space="preserve">, </w:t>
      </w:r>
      <w:r w:rsidRPr="00FC771E">
        <w:rPr>
          <w:i/>
          <w:sz w:val="20"/>
        </w:rPr>
        <w:t>available at</w:t>
      </w:r>
      <w:r w:rsidRPr="005932AE">
        <w:rPr>
          <w:sz w:val="20"/>
        </w:rPr>
        <w:t xml:space="preserve"> </w:t>
      </w:r>
      <w:hyperlink r:id="rId16" w:history="1">
        <w:r w:rsidRPr="005932AE">
          <w:rPr>
            <w:rStyle w:val="Hyperlink"/>
            <w:sz w:val="20"/>
          </w:rPr>
          <w:t>https://www.amny.com/politics/union-workers-maloney-rally-to-stop-manhattan-va-hospital-closure/</w:t>
        </w:r>
      </w:hyperlink>
      <w:r w:rsidRPr="005932AE">
        <w:rPr>
          <w:sz w:val="20"/>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19C"/>
    <w:multiLevelType w:val="hybridMultilevel"/>
    <w:tmpl w:val="62F6D136"/>
    <w:lvl w:ilvl="0" w:tplc="7CD8D920">
      <w:start w:val="1"/>
      <w:numFmt w:val="upperRoman"/>
      <w:lvlText w:val="%1."/>
      <w:lvlJc w:val="left"/>
      <w:pPr>
        <w:ind w:left="1080" w:hanging="720"/>
      </w:pPr>
      <w:rPr>
        <w:rFonts w:hint="default"/>
      </w:rPr>
    </w:lvl>
    <w:lvl w:ilvl="1" w:tplc="D262978C">
      <w:start w:val="1"/>
      <w:numFmt w:val="upperLetter"/>
      <w:lvlText w:val="%2."/>
      <w:lvlJc w:val="left"/>
      <w:pPr>
        <w:ind w:left="1440" w:hanging="360"/>
      </w:pPr>
      <w:rPr>
        <w:rFonts w:asciiTheme="minorHAnsi" w:eastAsiaTheme="minorHAnsi" w:hAnsiTheme="minorHAnsi" w:cstheme="minorBidi"/>
        <w:b/>
      </w:rPr>
    </w:lvl>
    <w:lvl w:ilvl="2" w:tplc="04090005">
      <w:start w:val="1"/>
      <w:numFmt w:val="bullet"/>
      <w:lvlText w:val=""/>
      <w:lvlJc w:val="left"/>
      <w:pPr>
        <w:ind w:left="2160" w:hanging="180"/>
      </w:pPr>
      <w:rPr>
        <w:rFonts w:ascii="Wingdings" w:hAnsi="Wingdings" w:hint="default"/>
        <w:b/>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A106035E">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52242"/>
    <w:multiLevelType w:val="hybridMultilevel"/>
    <w:tmpl w:val="E9D41CFE"/>
    <w:lvl w:ilvl="0" w:tplc="7CD8D920">
      <w:start w:val="1"/>
      <w:numFmt w:val="upperRoman"/>
      <w:lvlText w:val="%1."/>
      <w:lvlJc w:val="left"/>
      <w:pPr>
        <w:ind w:left="1080" w:hanging="720"/>
      </w:pPr>
      <w:rPr>
        <w:rFonts w:hint="default"/>
      </w:rPr>
    </w:lvl>
    <w:lvl w:ilvl="1" w:tplc="B502C4AE">
      <w:start w:val="1"/>
      <w:numFmt w:val="upperLetter"/>
      <w:lvlText w:val="%2."/>
      <w:lvlJc w:val="left"/>
      <w:pPr>
        <w:ind w:left="1440" w:hanging="360"/>
      </w:pPr>
      <w:rPr>
        <w:rFonts w:asciiTheme="minorHAnsi" w:eastAsiaTheme="minorHAnsi" w:hAnsiTheme="minorHAnsi" w:cstheme="minorBidi"/>
        <w:b/>
      </w:rPr>
    </w:lvl>
    <w:lvl w:ilvl="2" w:tplc="04090005">
      <w:start w:val="1"/>
      <w:numFmt w:val="bullet"/>
      <w:lvlText w:val=""/>
      <w:lvlJc w:val="left"/>
      <w:pPr>
        <w:ind w:left="2160" w:hanging="180"/>
      </w:pPr>
      <w:rPr>
        <w:rFonts w:ascii="Wingdings" w:hAnsi="Wingdings" w:hint="default"/>
        <w:b/>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86FA9"/>
    <w:multiLevelType w:val="hybridMultilevel"/>
    <w:tmpl w:val="CE74C410"/>
    <w:lvl w:ilvl="0" w:tplc="D262978C">
      <w:start w:val="1"/>
      <w:numFmt w:val="upperLetter"/>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56E64"/>
    <w:multiLevelType w:val="hybridMultilevel"/>
    <w:tmpl w:val="621EB5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7B523F"/>
    <w:multiLevelType w:val="hybridMultilevel"/>
    <w:tmpl w:val="0C465C64"/>
    <w:lvl w:ilvl="0" w:tplc="395CE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137EA"/>
    <w:multiLevelType w:val="hybridMultilevel"/>
    <w:tmpl w:val="7F289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F00259"/>
    <w:multiLevelType w:val="hybridMultilevel"/>
    <w:tmpl w:val="8FE6E4B2"/>
    <w:lvl w:ilvl="0" w:tplc="34D2B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DD"/>
    <w:rsid w:val="000010DE"/>
    <w:rsid w:val="0000624C"/>
    <w:rsid w:val="00016C09"/>
    <w:rsid w:val="00037542"/>
    <w:rsid w:val="000408A8"/>
    <w:rsid w:val="00043E0B"/>
    <w:rsid w:val="00066DDD"/>
    <w:rsid w:val="00085A82"/>
    <w:rsid w:val="0008700E"/>
    <w:rsid w:val="000A6910"/>
    <w:rsid w:val="000B5AA9"/>
    <w:rsid w:val="000C16D1"/>
    <w:rsid w:val="000C7C5C"/>
    <w:rsid w:val="000D0D44"/>
    <w:rsid w:val="000E180B"/>
    <w:rsid w:val="000F49C4"/>
    <w:rsid w:val="00100776"/>
    <w:rsid w:val="00132832"/>
    <w:rsid w:val="00134B11"/>
    <w:rsid w:val="001566BC"/>
    <w:rsid w:val="00162947"/>
    <w:rsid w:val="001749E1"/>
    <w:rsid w:val="001B7A92"/>
    <w:rsid w:val="001C5D25"/>
    <w:rsid w:val="001E698D"/>
    <w:rsid w:val="001F7173"/>
    <w:rsid w:val="00201A1F"/>
    <w:rsid w:val="0020422F"/>
    <w:rsid w:val="002177A4"/>
    <w:rsid w:val="00235929"/>
    <w:rsid w:val="002548F3"/>
    <w:rsid w:val="00260902"/>
    <w:rsid w:val="002647FC"/>
    <w:rsid w:val="002856C7"/>
    <w:rsid w:val="002A39A6"/>
    <w:rsid w:val="002B0E34"/>
    <w:rsid w:val="002D5BCD"/>
    <w:rsid w:val="002D7BCE"/>
    <w:rsid w:val="002F1994"/>
    <w:rsid w:val="003124F3"/>
    <w:rsid w:val="00327204"/>
    <w:rsid w:val="0035425F"/>
    <w:rsid w:val="00356856"/>
    <w:rsid w:val="003E5000"/>
    <w:rsid w:val="003E7481"/>
    <w:rsid w:val="003F1ACA"/>
    <w:rsid w:val="00410098"/>
    <w:rsid w:val="00417DBA"/>
    <w:rsid w:val="00421199"/>
    <w:rsid w:val="00430A08"/>
    <w:rsid w:val="00450EE2"/>
    <w:rsid w:val="004579B1"/>
    <w:rsid w:val="00475EAB"/>
    <w:rsid w:val="0048343A"/>
    <w:rsid w:val="004A034D"/>
    <w:rsid w:val="004B7D3E"/>
    <w:rsid w:val="004F76D6"/>
    <w:rsid w:val="00516EE6"/>
    <w:rsid w:val="00526CAA"/>
    <w:rsid w:val="005932AE"/>
    <w:rsid w:val="005A5413"/>
    <w:rsid w:val="005B0D9E"/>
    <w:rsid w:val="005C431F"/>
    <w:rsid w:val="005C662D"/>
    <w:rsid w:val="005D344A"/>
    <w:rsid w:val="005D3EC6"/>
    <w:rsid w:val="005F6F55"/>
    <w:rsid w:val="00606AC9"/>
    <w:rsid w:val="0069084B"/>
    <w:rsid w:val="006A072E"/>
    <w:rsid w:val="006A0F6D"/>
    <w:rsid w:val="006B1CF7"/>
    <w:rsid w:val="006D7E0A"/>
    <w:rsid w:val="006E570F"/>
    <w:rsid w:val="00711CDD"/>
    <w:rsid w:val="00716793"/>
    <w:rsid w:val="00736EC9"/>
    <w:rsid w:val="0074192B"/>
    <w:rsid w:val="00771211"/>
    <w:rsid w:val="00786CB8"/>
    <w:rsid w:val="007A4666"/>
    <w:rsid w:val="007D08E9"/>
    <w:rsid w:val="007E78A7"/>
    <w:rsid w:val="00806ACA"/>
    <w:rsid w:val="008319AD"/>
    <w:rsid w:val="00834A83"/>
    <w:rsid w:val="00860E37"/>
    <w:rsid w:val="00861078"/>
    <w:rsid w:val="00871763"/>
    <w:rsid w:val="008A5957"/>
    <w:rsid w:val="008C16DB"/>
    <w:rsid w:val="008C4C50"/>
    <w:rsid w:val="008D51B7"/>
    <w:rsid w:val="008E2966"/>
    <w:rsid w:val="008E7736"/>
    <w:rsid w:val="00912D17"/>
    <w:rsid w:val="00925E03"/>
    <w:rsid w:val="00936E26"/>
    <w:rsid w:val="009462C6"/>
    <w:rsid w:val="00951674"/>
    <w:rsid w:val="00957FF7"/>
    <w:rsid w:val="00960BFD"/>
    <w:rsid w:val="009877F0"/>
    <w:rsid w:val="009B0042"/>
    <w:rsid w:val="009C42DD"/>
    <w:rsid w:val="009F3142"/>
    <w:rsid w:val="00A2569F"/>
    <w:rsid w:val="00A31F9D"/>
    <w:rsid w:val="00A4125C"/>
    <w:rsid w:val="00A46D01"/>
    <w:rsid w:val="00A54188"/>
    <w:rsid w:val="00A56251"/>
    <w:rsid w:val="00A624B9"/>
    <w:rsid w:val="00A75D71"/>
    <w:rsid w:val="00A962DD"/>
    <w:rsid w:val="00AF2476"/>
    <w:rsid w:val="00AF362F"/>
    <w:rsid w:val="00AF7021"/>
    <w:rsid w:val="00B12607"/>
    <w:rsid w:val="00B12FE9"/>
    <w:rsid w:val="00B20AF5"/>
    <w:rsid w:val="00B525F4"/>
    <w:rsid w:val="00B63AD0"/>
    <w:rsid w:val="00B77674"/>
    <w:rsid w:val="00B81C02"/>
    <w:rsid w:val="00B91534"/>
    <w:rsid w:val="00B91DF4"/>
    <w:rsid w:val="00B91FFB"/>
    <w:rsid w:val="00B942E0"/>
    <w:rsid w:val="00B97236"/>
    <w:rsid w:val="00BD0D8E"/>
    <w:rsid w:val="00BD4C83"/>
    <w:rsid w:val="00BD4DFB"/>
    <w:rsid w:val="00BF3766"/>
    <w:rsid w:val="00C16FAA"/>
    <w:rsid w:val="00C33E27"/>
    <w:rsid w:val="00C401EB"/>
    <w:rsid w:val="00C4569C"/>
    <w:rsid w:val="00C72186"/>
    <w:rsid w:val="00C93319"/>
    <w:rsid w:val="00C97B06"/>
    <w:rsid w:val="00CA28F6"/>
    <w:rsid w:val="00CB12DF"/>
    <w:rsid w:val="00CB4490"/>
    <w:rsid w:val="00CB735C"/>
    <w:rsid w:val="00CD4F5F"/>
    <w:rsid w:val="00CF1373"/>
    <w:rsid w:val="00CF2B9C"/>
    <w:rsid w:val="00CF7819"/>
    <w:rsid w:val="00D123E2"/>
    <w:rsid w:val="00D21446"/>
    <w:rsid w:val="00D24384"/>
    <w:rsid w:val="00D3243F"/>
    <w:rsid w:val="00D3265B"/>
    <w:rsid w:val="00D65399"/>
    <w:rsid w:val="00DA0267"/>
    <w:rsid w:val="00DC6B31"/>
    <w:rsid w:val="00DD1594"/>
    <w:rsid w:val="00DD4964"/>
    <w:rsid w:val="00DD6CBB"/>
    <w:rsid w:val="00DE3CBD"/>
    <w:rsid w:val="00E006B2"/>
    <w:rsid w:val="00E030E2"/>
    <w:rsid w:val="00E03910"/>
    <w:rsid w:val="00E134BB"/>
    <w:rsid w:val="00E32BB3"/>
    <w:rsid w:val="00E47400"/>
    <w:rsid w:val="00E522D0"/>
    <w:rsid w:val="00E62E90"/>
    <w:rsid w:val="00E679E5"/>
    <w:rsid w:val="00E737A7"/>
    <w:rsid w:val="00E84EB3"/>
    <w:rsid w:val="00EA1CAD"/>
    <w:rsid w:val="00EA5948"/>
    <w:rsid w:val="00EE2A7A"/>
    <w:rsid w:val="00EE427E"/>
    <w:rsid w:val="00EE492D"/>
    <w:rsid w:val="00EE75EF"/>
    <w:rsid w:val="00EF431F"/>
    <w:rsid w:val="00EF5BE6"/>
    <w:rsid w:val="00F3190D"/>
    <w:rsid w:val="00F325B7"/>
    <w:rsid w:val="00F40D2E"/>
    <w:rsid w:val="00F42711"/>
    <w:rsid w:val="00F469C7"/>
    <w:rsid w:val="00F518F4"/>
    <w:rsid w:val="00F86C73"/>
    <w:rsid w:val="00F9161C"/>
    <w:rsid w:val="00F9619D"/>
    <w:rsid w:val="00FA1A94"/>
    <w:rsid w:val="00FA6F50"/>
    <w:rsid w:val="00FB7908"/>
    <w:rsid w:val="00FC5732"/>
    <w:rsid w:val="00FC771E"/>
    <w:rsid w:val="00FE0BDF"/>
    <w:rsid w:val="00FE30D2"/>
    <w:rsid w:val="00FE3419"/>
    <w:rsid w:val="00FF3E9E"/>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3335"/>
  <w14:defaultImageDpi w14:val="32767"/>
  <w15:chartTrackingRefBased/>
  <w15:docId w15:val="{38529A0A-95BB-0C43-BF2E-52A79361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7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2D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C42DD"/>
    <w:rPr>
      <w:color w:val="0563C1" w:themeColor="hyperlink"/>
      <w:u w:val="single"/>
    </w:rPr>
  </w:style>
  <w:style w:type="character" w:styleId="CommentReference">
    <w:name w:val="annotation reference"/>
    <w:basedOn w:val="DefaultParagraphFont"/>
    <w:uiPriority w:val="99"/>
    <w:semiHidden/>
    <w:unhideWhenUsed/>
    <w:rsid w:val="009C42DD"/>
    <w:rPr>
      <w:sz w:val="16"/>
      <w:szCs w:val="16"/>
    </w:rPr>
  </w:style>
  <w:style w:type="paragraph" w:styleId="CommentText">
    <w:name w:val="annotation text"/>
    <w:basedOn w:val="Normal"/>
    <w:link w:val="CommentTextChar"/>
    <w:uiPriority w:val="99"/>
    <w:semiHidden/>
    <w:unhideWhenUsed/>
    <w:rsid w:val="009C42D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C42DD"/>
    <w:rPr>
      <w:sz w:val="20"/>
      <w:szCs w:val="20"/>
    </w:rPr>
  </w:style>
  <w:style w:type="character" w:styleId="FollowedHyperlink">
    <w:name w:val="FollowedHyperlink"/>
    <w:basedOn w:val="DefaultParagraphFont"/>
    <w:uiPriority w:val="99"/>
    <w:semiHidden/>
    <w:unhideWhenUsed/>
    <w:rsid w:val="009C42DD"/>
    <w:rPr>
      <w:color w:val="954F72" w:themeColor="followedHyperlink"/>
      <w:u w:val="single"/>
    </w:rPr>
  </w:style>
  <w:style w:type="paragraph" w:styleId="NormalWeb">
    <w:name w:val="Normal (Web)"/>
    <w:basedOn w:val="Normal"/>
    <w:uiPriority w:val="99"/>
    <w:unhideWhenUsed/>
    <w:rsid w:val="00100776"/>
    <w:pPr>
      <w:spacing w:before="100" w:beforeAutospacing="1" w:after="100" w:afterAutospacing="1"/>
    </w:pPr>
  </w:style>
  <w:style w:type="paragraph" w:styleId="FootnoteText">
    <w:name w:val="footnote text"/>
    <w:aliases w:val="FT"/>
    <w:basedOn w:val="Normal"/>
    <w:link w:val="FootnoteTextChar"/>
    <w:uiPriority w:val="99"/>
    <w:unhideWhenUsed/>
    <w:rsid w:val="00E62E90"/>
    <w:rPr>
      <w:szCs w:val="20"/>
    </w:rPr>
  </w:style>
  <w:style w:type="character" w:customStyle="1" w:styleId="FootnoteTextChar">
    <w:name w:val="Footnote Text Char"/>
    <w:aliases w:val="FT Char"/>
    <w:basedOn w:val="DefaultParagraphFont"/>
    <w:link w:val="FootnoteText"/>
    <w:uiPriority w:val="99"/>
    <w:rsid w:val="00E62E90"/>
    <w:rPr>
      <w:rFonts w:ascii="Times New Roman" w:eastAsia="Times New Roman" w:hAnsi="Times New Roman" w:cs="Times New Roman"/>
      <w:szCs w:val="20"/>
    </w:rPr>
  </w:style>
  <w:style w:type="character" w:styleId="FootnoteReference">
    <w:name w:val="footnote reference"/>
    <w:uiPriority w:val="99"/>
    <w:rsid w:val="00E62E90"/>
    <w:rPr>
      <w:rFonts w:cs="Times New Roman"/>
      <w:vertAlign w:val="superscript"/>
    </w:rPr>
  </w:style>
  <w:style w:type="character" w:styleId="Strong">
    <w:name w:val="Strong"/>
    <w:basedOn w:val="DefaultParagraphFont"/>
    <w:uiPriority w:val="22"/>
    <w:qFormat/>
    <w:rsid w:val="00CF2B9C"/>
    <w:rPr>
      <w:b/>
      <w:bCs/>
    </w:rPr>
  </w:style>
  <w:style w:type="character" w:customStyle="1" w:styleId="UnresolvedMention1">
    <w:name w:val="Unresolved Mention1"/>
    <w:basedOn w:val="DefaultParagraphFont"/>
    <w:uiPriority w:val="99"/>
    <w:rsid w:val="00A962DD"/>
    <w:rPr>
      <w:color w:val="605E5C"/>
      <w:shd w:val="clear" w:color="auto" w:fill="E1DFDD"/>
    </w:rPr>
  </w:style>
  <w:style w:type="character" w:customStyle="1" w:styleId="byline-prefix">
    <w:name w:val="byline-prefix"/>
    <w:basedOn w:val="DefaultParagraphFont"/>
    <w:rsid w:val="009462C6"/>
  </w:style>
  <w:style w:type="character" w:customStyle="1" w:styleId="css-1baulvz">
    <w:name w:val="css-1baulvz"/>
    <w:basedOn w:val="DefaultParagraphFont"/>
    <w:rsid w:val="009462C6"/>
  </w:style>
  <w:style w:type="paragraph" w:customStyle="1" w:styleId="paragraph">
    <w:name w:val="paragraph"/>
    <w:basedOn w:val="Normal"/>
    <w:rsid w:val="00134B11"/>
    <w:pPr>
      <w:spacing w:before="100" w:beforeAutospacing="1" w:after="100" w:afterAutospacing="1"/>
    </w:pPr>
  </w:style>
  <w:style w:type="paragraph" w:styleId="NoSpacing">
    <w:name w:val="No Spacing"/>
    <w:uiPriority w:val="1"/>
    <w:qFormat/>
    <w:rsid w:val="003E5000"/>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BodyText">
    <w:name w:val="Body Text"/>
    <w:link w:val="BodyTextChar"/>
    <w:rsid w:val="003E5000"/>
    <w:pPr>
      <w:pBdr>
        <w:top w:val="nil"/>
        <w:left w:val="nil"/>
        <w:bottom w:val="nil"/>
        <w:right w:val="nil"/>
        <w:between w:val="nil"/>
        <w:bar w:val="nil"/>
      </w:pBdr>
      <w:spacing w:line="480" w:lineRule="auto"/>
      <w:ind w:firstLine="720"/>
      <w:jc w:val="both"/>
    </w:pPr>
    <w:rPr>
      <w:rFonts w:ascii="Times New Roman" w:eastAsia="Arial Unicode MS" w:hAnsi="Times New Roman" w:cs="Arial Unicode MS"/>
      <w:color w:val="000000"/>
      <w:u w:color="000000"/>
      <w:bdr w:val="nil"/>
    </w:rPr>
  </w:style>
  <w:style w:type="character" w:customStyle="1" w:styleId="BodyTextChar">
    <w:name w:val="Body Text Char"/>
    <w:basedOn w:val="DefaultParagraphFont"/>
    <w:link w:val="BodyText"/>
    <w:rsid w:val="003E5000"/>
    <w:rPr>
      <w:rFonts w:ascii="Times New Roman" w:eastAsia="Arial Unicode MS" w:hAnsi="Times New Roman" w:cs="Arial Unicode MS"/>
      <w:color w:val="000000"/>
      <w:u w:color="000000"/>
      <w:bdr w:val="nil"/>
    </w:rPr>
  </w:style>
  <w:style w:type="paragraph" w:styleId="BalloonText">
    <w:name w:val="Balloon Text"/>
    <w:basedOn w:val="Normal"/>
    <w:link w:val="BalloonTextChar"/>
    <w:uiPriority w:val="99"/>
    <w:semiHidden/>
    <w:unhideWhenUsed/>
    <w:rsid w:val="00BF3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76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D6CB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D6CBB"/>
    <w:rPr>
      <w:rFonts w:ascii="Times New Roman" w:eastAsia="Times New Roman" w:hAnsi="Times New Roman" w:cs="Times New Roman"/>
      <w:b/>
      <w:bCs/>
      <w:sz w:val="20"/>
      <w:szCs w:val="20"/>
    </w:rPr>
  </w:style>
  <w:style w:type="paragraph" w:styleId="Revision">
    <w:name w:val="Revision"/>
    <w:hidden/>
    <w:uiPriority w:val="99"/>
    <w:semiHidden/>
    <w:rsid w:val="00F3190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3454">
      <w:bodyDiv w:val="1"/>
      <w:marLeft w:val="0"/>
      <w:marRight w:val="0"/>
      <w:marTop w:val="0"/>
      <w:marBottom w:val="0"/>
      <w:divBdr>
        <w:top w:val="none" w:sz="0" w:space="0" w:color="auto"/>
        <w:left w:val="none" w:sz="0" w:space="0" w:color="auto"/>
        <w:bottom w:val="none" w:sz="0" w:space="0" w:color="auto"/>
        <w:right w:val="none" w:sz="0" w:space="0" w:color="auto"/>
      </w:divBdr>
    </w:div>
    <w:div w:id="130825593">
      <w:bodyDiv w:val="1"/>
      <w:marLeft w:val="0"/>
      <w:marRight w:val="0"/>
      <w:marTop w:val="0"/>
      <w:marBottom w:val="0"/>
      <w:divBdr>
        <w:top w:val="none" w:sz="0" w:space="0" w:color="auto"/>
        <w:left w:val="none" w:sz="0" w:space="0" w:color="auto"/>
        <w:bottom w:val="none" w:sz="0" w:space="0" w:color="auto"/>
        <w:right w:val="none" w:sz="0" w:space="0" w:color="auto"/>
      </w:divBdr>
    </w:div>
    <w:div w:id="316736364">
      <w:bodyDiv w:val="1"/>
      <w:marLeft w:val="0"/>
      <w:marRight w:val="0"/>
      <w:marTop w:val="0"/>
      <w:marBottom w:val="0"/>
      <w:divBdr>
        <w:top w:val="none" w:sz="0" w:space="0" w:color="auto"/>
        <w:left w:val="none" w:sz="0" w:space="0" w:color="auto"/>
        <w:bottom w:val="none" w:sz="0" w:space="0" w:color="auto"/>
        <w:right w:val="none" w:sz="0" w:space="0" w:color="auto"/>
      </w:divBdr>
    </w:div>
    <w:div w:id="350912086">
      <w:bodyDiv w:val="1"/>
      <w:marLeft w:val="0"/>
      <w:marRight w:val="0"/>
      <w:marTop w:val="0"/>
      <w:marBottom w:val="0"/>
      <w:divBdr>
        <w:top w:val="none" w:sz="0" w:space="0" w:color="auto"/>
        <w:left w:val="none" w:sz="0" w:space="0" w:color="auto"/>
        <w:bottom w:val="none" w:sz="0" w:space="0" w:color="auto"/>
        <w:right w:val="none" w:sz="0" w:space="0" w:color="auto"/>
      </w:divBdr>
    </w:div>
    <w:div w:id="380180753">
      <w:bodyDiv w:val="1"/>
      <w:marLeft w:val="0"/>
      <w:marRight w:val="0"/>
      <w:marTop w:val="0"/>
      <w:marBottom w:val="0"/>
      <w:divBdr>
        <w:top w:val="none" w:sz="0" w:space="0" w:color="auto"/>
        <w:left w:val="none" w:sz="0" w:space="0" w:color="auto"/>
        <w:bottom w:val="none" w:sz="0" w:space="0" w:color="auto"/>
        <w:right w:val="none" w:sz="0" w:space="0" w:color="auto"/>
      </w:divBdr>
    </w:div>
    <w:div w:id="505479236">
      <w:bodyDiv w:val="1"/>
      <w:marLeft w:val="0"/>
      <w:marRight w:val="0"/>
      <w:marTop w:val="0"/>
      <w:marBottom w:val="0"/>
      <w:divBdr>
        <w:top w:val="none" w:sz="0" w:space="0" w:color="auto"/>
        <w:left w:val="none" w:sz="0" w:space="0" w:color="auto"/>
        <w:bottom w:val="none" w:sz="0" w:space="0" w:color="auto"/>
        <w:right w:val="none" w:sz="0" w:space="0" w:color="auto"/>
      </w:divBdr>
    </w:div>
    <w:div w:id="514460431">
      <w:bodyDiv w:val="1"/>
      <w:marLeft w:val="0"/>
      <w:marRight w:val="0"/>
      <w:marTop w:val="0"/>
      <w:marBottom w:val="0"/>
      <w:divBdr>
        <w:top w:val="none" w:sz="0" w:space="0" w:color="auto"/>
        <w:left w:val="none" w:sz="0" w:space="0" w:color="auto"/>
        <w:bottom w:val="none" w:sz="0" w:space="0" w:color="auto"/>
        <w:right w:val="none" w:sz="0" w:space="0" w:color="auto"/>
      </w:divBdr>
    </w:div>
    <w:div w:id="640962786">
      <w:bodyDiv w:val="1"/>
      <w:marLeft w:val="0"/>
      <w:marRight w:val="0"/>
      <w:marTop w:val="0"/>
      <w:marBottom w:val="0"/>
      <w:divBdr>
        <w:top w:val="none" w:sz="0" w:space="0" w:color="auto"/>
        <w:left w:val="none" w:sz="0" w:space="0" w:color="auto"/>
        <w:bottom w:val="none" w:sz="0" w:space="0" w:color="auto"/>
        <w:right w:val="none" w:sz="0" w:space="0" w:color="auto"/>
      </w:divBdr>
      <w:divsChild>
        <w:div w:id="1544825289">
          <w:marLeft w:val="0"/>
          <w:marRight w:val="0"/>
          <w:marTop w:val="0"/>
          <w:marBottom w:val="0"/>
          <w:divBdr>
            <w:top w:val="none" w:sz="0" w:space="0" w:color="auto"/>
            <w:left w:val="none" w:sz="0" w:space="0" w:color="auto"/>
            <w:bottom w:val="none" w:sz="0" w:space="0" w:color="auto"/>
            <w:right w:val="none" w:sz="0" w:space="0" w:color="auto"/>
          </w:divBdr>
          <w:divsChild>
            <w:div w:id="140387343">
              <w:marLeft w:val="0"/>
              <w:marRight w:val="0"/>
              <w:marTop w:val="0"/>
              <w:marBottom w:val="0"/>
              <w:divBdr>
                <w:top w:val="none" w:sz="0" w:space="0" w:color="auto"/>
                <w:left w:val="none" w:sz="0" w:space="0" w:color="auto"/>
                <w:bottom w:val="none" w:sz="0" w:space="0" w:color="auto"/>
                <w:right w:val="none" w:sz="0" w:space="0" w:color="auto"/>
              </w:divBdr>
              <w:divsChild>
                <w:div w:id="1429617071">
                  <w:marLeft w:val="0"/>
                  <w:marRight w:val="0"/>
                  <w:marTop w:val="0"/>
                  <w:marBottom w:val="0"/>
                  <w:divBdr>
                    <w:top w:val="none" w:sz="0" w:space="0" w:color="auto"/>
                    <w:left w:val="none" w:sz="0" w:space="0" w:color="auto"/>
                    <w:bottom w:val="none" w:sz="0" w:space="0" w:color="auto"/>
                    <w:right w:val="none" w:sz="0" w:space="0" w:color="auto"/>
                  </w:divBdr>
                  <w:divsChild>
                    <w:div w:id="13112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88485">
      <w:bodyDiv w:val="1"/>
      <w:marLeft w:val="0"/>
      <w:marRight w:val="0"/>
      <w:marTop w:val="0"/>
      <w:marBottom w:val="0"/>
      <w:divBdr>
        <w:top w:val="none" w:sz="0" w:space="0" w:color="auto"/>
        <w:left w:val="none" w:sz="0" w:space="0" w:color="auto"/>
        <w:bottom w:val="none" w:sz="0" w:space="0" w:color="auto"/>
        <w:right w:val="none" w:sz="0" w:space="0" w:color="auto"/>
      </w:divBdr>
    </w:div>
    <w:div w:id="657273542">
      <w:bodyDiv w:val="1"/>
      <w:marLeft w:val="0"/>
      <w:marRight w:val="0"/>
      <w:marTop w:val="0"/>
      <w:marBottom w:val="0"/>
      <w:divBdr>
        <w:top w:val="none" w:sz="0" w:space="0" w:color="auto"/>
        <w:left w:val="none" w:sz="0" w:space="0" w:color="auto"/>
        <w:bottom w:val="none" w:sz="0" w:space="0" w:color="auto"/>
        <w:right w:val="none" w:sz="0" w:space="0" w:color="auto"/>
      </w:divBdr>
    </w:div>
    <w:div w:id="669139615">
      <w:bodyDiv w:val="1"/>
      <w:marLeft w:val="0"/>
      <w:marRight w:val="0"/>
      <w:marTop w:val="0"/>
      <w:marBottom w:val="0"/>
      <w:divBdr>
        <w:top w:val="none" w:sz="0" w:space="0" w:color="auto"/>
        <w:left w:val="none" w:sz="0" w:space="0" w:color="auto"/>
        <w:bottom w:val="none" w:sz="0" w:space="0" w:color="auto"/>
        <w:right w:val="none" w:sz="0" w:space="0" w:color="auto"/>
      </w:divBdr>
    </w:div>
    <w:div w:id="669213136">
      <w:bodyDiv w:val="1"/>
      <w:marLeft w:val="0"/>
      <w:marRight w:val="0"/>
      <w:marTop w:val="0"/>
      <w:marBottom w:val="0"/>
      <w:divBdr>
        <w:top w:val="none" w:sz="0" w:space="0" w:color="auto"/>
        <w:left w:val="none" w:sz="0" w:space="0" w:color="auto"/>
        <w:bottom w:val="none" w:sz="0" w:space="0" w:color="auto"/>
        <w:right w:val="none" w:sz="0" w:space="0" w:color="auto"/>
      </w:divBdr>
    </w:div>
    <w:div w:id="739521699">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740567863">
      <w:bodyDiv w:val="1"/>
      <w:marLeft w:val="0"/>
      <w:marRight w:val="0"/>
      <w:marTop w:val="0"/>
      <w:marBottom w:val="0"/>
      <w:divBdr>
        <w:top w:val="none" w:sz="0" w:space="0" w:color="auto"/>
        <w:left w:val="none" w:sz="0" w:space="0" w:color="auto"/>
        <w:bottom w:val="none" w:sz="0" w:space="0" w:color="auto"/>
        <w:right w:val="none" w:sz="0" w:space="0" w:color="auto"/>
      </w:divBdr>
    </w:div>
    <w:div w:id="754323549">
      <w:bodyDiv w:val="1"/>
      <w:marLeft w:val="0"/>
      <w:marRight w:val="0"/>
      <w:marTop w:val="0"/>
      <w:marBottom w:val="0"/>
      <w:divBdr>
        <w:top w:val="none" w:sz="0" w:space="0" w:color="auto"/>
        <w:left w:val="none" w:sz="0" w:space="0" w:color="auto"/>
        <w:bottom w:val="none" w:sz="0" w:space="0" w:color="auto"/>
        <w:right w:val="none" w:sz="0" w:space="0" w:color="auto"/>
      </w:divBdr>
    </w:div>
    <w:div w:id="787504937">
      <w:bodyDiv w:val="1"/>
      <w:marLeft w:val="0"/>
      <w:marRight w:val="0"/>
      <w:marTop w:val="0"/>
      <w:marBottom w:val="0"/>
      <w:divBdr>
        <w:top w:val="none" w:sz="0" w:space="0" w:color="auto"/>
        <w:left w:val="none" w:sz="0" w:space="0" w:color="auto"/>
        <w:bottom w:val="none" w:sz="0" w:space="0" w:color="auto"/>
        <w:right w:val="none" w:sz="0" w:space="0" w:color="auto"/>
      </w:divBdr>
    </w:div>
    <w:div w:id="897011854">
      <w:bodyDiv w:val="1"/>
      <w:marLeft w:val="0"/>
      <w:marRight w:val="0"/>
      <w:marTop w:val="0"/>
      <w:marBottom w:val="0"/>
      <w:divBdr>
        <w:top w:val="none" w:sz="0" w:space="0" w:color="auto"/>
        <w:left w:val="none" w:sz="0" w:space="0" w:color="auto"/>
        <w:bottom w:val="none" w:sz="0" w:space="0" w:color="auto"/>
        <w:right w:val="none" w:sz="0" w:space="0" w:color="auto"/>
      </w:divBdr>
      <w:divsChild>
        <w:div w:id="1895922181">
          <w:marLeft w:val="0"/>
          <w:marRight w:val="0"/>
          <w:marTop w:val="0"/>
          <w:marBottom w:val="0"/>
          <w:divBdr>
            <w:top w:val="none" w:sz="0" w:space="0" w:color="auto"/>
            <w:left w:val="none" w:sz="0" w:space="0" w:color="auto"/>
            <w:bottom w:val="none" w:sz="0" w:space="0" w:color="auto"/>
            <w:right w:val="none" w:sz="0" w:space="0" w:color="auto"/>
          </w:divBdr>
          <w:divsChild>
            <w:div w:id="19285130">
              <w:marLeft w:val="0"/>
              <w:marRight w:val="0"/>
              <w:marTop w:val="0"/>
              <w:marBottom w:val="0"/>
              <w:divBdr>
                <w:top w:val="none" w:sz="0" w:space="0" w:color="auto"/>
                <w:left w:val="none" w:sz="0" w:space="0" w:color="auto"/>
                <w:bottom w:val="none" w:sz="0" w:space="0" w:color="auto"/>
                <w:right w:val="none" w:sz="0" w:space="0" w:color="auto"/>
              </w:divBdr>
              <w:divsChild>
                <w:div w:id="7650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6549">
      <w:bodyDiv w:val="1"/>
      <w:marLeft w:val="0"/>
      <w:marRight w:val="0"/>
      <w:marTop w:val="0"/>
      <w:marBottom w:val="0"/>
      <w:divBdr>
        <w:top w:val="none" w:sz="0" w:space="0" w:color="auto"/>
        <w:left w:val="none" w:sz="0" w:space="0" w:color="auto"/>
        <w:bottom w:val="none" w:sz="0" w:space="0" w:color="auto"/>
        <w:right w:val="none" w:sz="0" w:space="0" w:color="auto"/>
      </w:divBdr>
      <w:divsChild>
        <w:div w:id="2015722736">
          <w:marLeft w:val="0"/>
          <w:marRight w:val="0"/>
          <w:marTop w:val="0"/>
          <w:marBottom w:val="0"/>
          <w:divBdr>
            <w:top w:val="none" w:sz="0" w:space="0" w:color="auto"/>
            <w:left w:val="none" w:sz="0" w:space="0" w:color="auto"/>
            <w:bottom w:val="none" w:sz="0" w:space="0" w:color="auto"/>
            <w:right w:val="none" w:sz="0" w:space="0" w:color="auto"/>
          </w:divBdr>
          <w:divsChild>
            <w:div w:id="616300654">
              <w:marLeft w:val="0"/>
              <w:marRight w:val="0"/>
              <w:marTop w:val="0"/>
              <w:marBottom w:val="0"/>
              <w:divBdr>
                <w:top w:val="none" w:sz="0" w:space="0" w:color="auto"/>
                <w:left w:val="none" w:sz="0" w:space="0" w:color="auto"/>
                <w:bottom w:val="none" w:sz="0" w:space="0" w:color="auto"/>
                <w:right w:val="none" w:sz="0" w:space="0" w:color="auto"/>
              </w:divBdr>
              <w:divsChild>
                <w:div w:id="5815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19266">
      <w:bodyDiv w:val="1"/>
      <w:marLeft w:val="0"/>
      <w:marRight w:val="0"/>
      <w:marTop w:val="0"/>
      <w:marBottom w:val="0"/>
      <w:divBdr>
        <w:top w:val="none" w:sz="0" w:space="0" w:color="auto"/>
        <w:left w:val="none" w:sz="0" w:space="0" w:color="auto"/>
        <w:bottom w:val="none" w:sz="0" w:space="0" w:color="auto"/>
        <w:right w:val="none" w:sz="0" w:space="0" w:color="auto"/>
      </w:divBdr>
    </w:div>
    <w:div w:id="1307977574">
      <w:bodyDiv w:val="1"/>
      <w:marLeft w:val="0"/>
      <w:marRight w:val="0"/>
      <w:marTop w:val="0"/>
      <w:marBottom w:val="0"/>
      <w:divBdr>
        <w:top w:val="none" w:sz="0" w:space="0" w:color="auto"/>
        <w:left w:val="none" w:sz="0" w:space="0" w:color="auto"/>
        <w:bottom w:val="none" w:sz="0" w:space="0" w:color="auto"/>
        <w:right w:val="none" w:sz="0" w:space="0" w:color="auto"/>
      </w:divBdr>
    </w:div>
    <w:div w:id="1422946265">
      <w:bodyDiv w:val="1"/>
      <w:marLeft w:val="0"/>
      <w:marRight w:val="0"/>
      <w:marTop w:val="0"/>
      <w:marBottom w:val="0"/>
      <w:divBdr>
        <w:top w:val="none" w:sz="0" w:space="0" w:color="auto"/>
        <w:left w:val="none" w:sz="0" w:space="0" w:color="auto"/>
        <w:bottom w:val="none" w:sz="0" w:space="0" w:color="auto"/>
        <w:right w:val="none" w:sz="0" w:space="0" w:color="auto"/>
      </w:divBdr>
    </w:div>
    <w:div w:id="1469397521">
      <w:bodyDiv w:val="1"/>
      <w:marLeft w:val="0"/>
      <w:marRight w:val="0"/>
      <w:marTop w:val="0"/>
      <w:marBottom w:val="0"/>
      <w:divBdr>
        <w:top w:val="none" w:sz="0" w:space="0" w:color="auto"/>
        <w:left w:val="none" w:sz="0" w:space="0" w:color="auto"/>
        <w:bottom w:val="none" w:sz="0" w:space="0" w:color="auto"/>
        <w:right w:val="none" w:sz="0" w:space="0" w:color="auto"/>
      </w:divBdr>
    </w:div>
    <w:div w:id="1488740826">
      <w:bodyDiv w:val="1"/>
      <w:marLeft w:val="0"/>
      <w:marRight w:val="0"/>
      <w:marTop w:val="0"/>
      <w:marBottom w:val="0"/>
      <w:divBdr>
        <w:top w:val="none" w:sz="0" w:space="0" w:color="auto"/>
        <w:left w:val="none" w:sz="0" w:space="0" w:color="auto"/>
        <w:bottom w:val="none" w:sz="0" w:space="0" w:color="auto"/>
        <w:right w:val="none" w:sz="0" w:space="0" w:color="auto"/>
      </w:divBdr>
    </w:div>
    <w:div w:id="1501694604">
      <w:bodyDiv w:val="1"/>
      <w:marLeft w:val="0"/>
      <w:marRight w:val="0"/>
      <w:marTop w:val="0"/>
      <w:marBottom w:val="0"/>
      <w:divBdr>
        <w:top w:val="none" w:sz="0" w:space="0" w:color="auto"/>
        <w:left w:val="none" w:sz="0" w:space="0" w:color="auto"/>
        <w:bottom w:val="none" w:sz="0" w:space="0" w:color="auto"/>
        <w:right w:val="none" w:sz="0" w:space="0" w:color="auto"/>
      </w:divBdr>
    </w:div>
    <w:div w:id="1503550882">
      <w:bodyDiv w:val="1"/>
      <w:marLeft w:val="0"/>
      <w:marRight w:val="0"/>
      <w:marTop w:val="0"/>
      <w:marBottom w:val="0"/>
      <w:divBdr>
        <w:top w:val="none" w:sz="0" w:space="0" w:color="auto"/>
        <w:left w:val="none" w:sz="0" w:space="0" w:color="auto"/>
        <w:bottom w:val="none" w:sz="0" w:space="0" w:color="auto"/>
        <w:right w:val="none" w:sz="0" w:space="0" w:color="auto"/>
      </w:divBdr>
    </w:div>
    <w:div w:id="1539006204">
      <w:bodyDiv w:val="1"/>
      <w:marLeft w:val="0"/>
      <w:marRight w:val="0"/>
      <w:marTop w:val="0"/>
      <w:marBottom w:val="0"/>
      <w:divBdr>
        <w:top w:val="none" w:sz="0" w:space="0" w:color="auto"/>
        <w:left w:val="none" w:sz="0" w:space="0" w:color="auto"/>
        <w:bottom w:val="none" w:sz="0" w:space="0" w:color="auto"/>
        <w:right w:val="none" w:sz="0" w:space="0" w:color="auto"/>
      </w:divBdr>
    </w:div>
    <w:div w:id="1556239449">
      <w:bodyDiv w:val="1"/>
      <w:marLeft w:val="0"/>
      <w:marRight w:val="0"/>
      <w:marTop w:val="0"/>
      <w:marBottom w:val="0"/>
      <w:divBdr>
        <w:top w:val="none" w:sz="0" w:space="0" w:color="auto"/>
        <w:left w:val="none" w:sz="0" w:space="0" w:color="auto"/>
        <w:bottom w:val="none" w:sz="0" w:space="0" w:color="auto"/>
        <w:right w:val="none" w:sz="0" w:space="0" w:color="auto"/>
      </w:divBdr>
    </w:div>
    <w:div w:id="1577938549">
      <w:bodyDiv w:val="1"/>
      <w:marLeft w:val="0"/>
      <w:marRight w:val="0"/>
      <w:marTop w:val="0"/>
      <w:marBottom w:val="0"/>
      <w:divBdr>
        <w:top w:val="none" w:sz="0" w:space="0" w:color="auto"/>
        <w:left w:val="none" w:sz="0" w:space="0" w:color="auto"/>
        <w:bottom w:val="none" w:sz="0" w:space="0" w:color="auto"/>
        <w:right w:val="none" w:sz="0" w:space="0" w:color="auto"/>
      </w:divBdr>
    </w:div>
    <w:div w:id="1714577138">
      <w:bodyDiv w:val="1"/>
      <w:marLeft w:val="0"/>
      <w:marRight w:val="0"/>
      <w:marTop w:val="0"/>
      <w:marBottom w:val="0"/>
      <w:divBdr>
        <w:top w:val="none" w:sz="0" w:space="0" w:color="auto"/>
        <w:left w:val="none" w:sz="0" w:space="0" w:color="auto"/>
        <w:bottom w:val="none" w:sz="0" w:space="0" w:color="auto"/>
        <w:right w:val="none" w:sz="0" w:space="0" w:color="auto"/>
      </w:divBdr>
      <w:divsChild>
        <w:div w:id="2024893430">
          <w:marLeft w:val="0"/>
          <w:marRight w:val="0"/>
          <w:marTop w:val="0"/>
          <w:marBottom w:val="0"/>
          <w:divBdr>
            <w:top w:val="none" w:sz="0" w:space="0" w:color="auto"/>
            <w:left w:val="none" w:sz="0" w:space="0" w:color="auto"/>
            <w:bottom w:val="none" w:sz="0" w:space="0" w:color="auto"/>
            <w:right w:val="none" w:sz="0" w:space="0" w:color="auto"/>
          </w:divBdr>
          <w:divsChild>
            <w:div w:id="1029527538">
              <w:marLeft w:val="0"/>
              <w:marRight w:val="0"/>
              <w:marTop w:val="0"/>
              <w:marBottom w:val="0"/>
              <w:divBdr>
                <w:top w:val="none" w:sz="0" w:space="0" w:color="auto"/>
                <w:left w:val="none" w:sz="0" w:space="0" w:color="auto"/>
                <w:bottom w:val="none" w:sz="0" w:space="0" w:color="auto"/>
                <w:right w:val="none" w:sz="0" w:space="0" w:color="auto"/>
              </w:divBdr>
              <w:divsChild>
                <w:div w:id="17026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4738">
      <w:bodyDiv w:val="1"/>
      <w:marLeft w:val="0"/>
      <w:marRight w:val="0"/>
      <w:marTop w:val="0"/>
      <w:marBottom w:val="0"/>
      <w:divBdr>
        <w:top w:val="none" w:sz="0" w:space="0" w:color="auto"/>
        <w:left w:val="none" w:sz="0" w:space="0" w:color="auto"/>
        <w:bottom w:val="none" w:sz="0" w:space="0" w:color="auto"/>
        <w:right w:val="none" w:sz="0" w:space="0" w:color="auto"/>
      </w:divBdr>
    </w:div>
    <w:div w:id="1830171737">
      <w:bodyDiv w:val="1"/>
      <w:marLeft w:val="0"/>
      <w:marRight w:val="0"/>
      <w:marTop w:val="0"/>
      <w:marBottom w:val="0"/>
      <w:divBdr>
        <w:top w:val="none" w:sz="0" w:space="0" w:color="auto"/>
        <w:left w:val="none" w:sz="0" w:space="0" w:color="auto"/>
        <w:bottom w:val="none" w:sz="0" w:space="0" w:color="auto"/>
        <w:right w:val="none" w:sz="0" w:space="0" w:color="auto"/>
      </w:divBdr>
    </w:div>
    <w:div w:id="1841239016">
      <w:bodyDiv w:val="1"/>
      <w:marLeft w:val="0"/>
      <w:marRight w:val="0"/>
      <w:marTop w:val="0"/>
      <w:marBottom w:val="0"/>
      <w:divBdr>
        <w:top w:val="none" w:sz="0" w:space="0" w:color="auto"/>
        <w:left w:val="none" w:sz="0" w:space="0" w:color="auto"/>
        <w:bottom w:val="none" w:sz="0" w:space="0" w:color="auto"/>
        <w:right w:val="none" w:sz="0" w:space="0" w:color="auto"/>
      </w:divBdr>
      <w:divsChild>
        <w:div w:id="184295426">
          <w:marLeft w:val="0"/>
          <w:marRight w:val="0"/>
          <w:marTop w:val="0"/>
          <w:marBottom w:val="0"/>
          <w:divBdr>
            <w:top w:val="none" w:sz="0" w:space="0" w:color="auto"/>
            <w:left w:val="none" w:sz="0" w:space="0" w:color="auto"/>
            <w:bottom w:val="none" w:sz="0" w:space="0" w:color="auto"/>
            <w:right w:val="none" w:sz="0" w:space="0" w:color="auto"/>
          </w:divBdr>
          <w:divsChild>
            <w:div w:id="1967004787">
              <w:marLeft w:val="0"/>
              <w:marRight w:val="0"/>
              <w:marTop w:val="0"/>
              <w:marBottom w:val="0"/>
              <w:divBdr>
                <w:top w:val="none" w:sz="0" w:space="0" w:color="auto"/>
                <w:left w:val="none" w:sz="0" w:space="0" w:color="auto"/>
                <w:bottom w:val="none" w:sz="0" w:space="0" w:color="auto"/>
                <w:right w:val="none" w:sz="0" w:space="0" w:color="auto"/>
              </w:divBdr>
              <w:divsChild>
                <w:div w:id="12114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2855">
      <w:bodyDiv w:val="1"/>
      <w:marLeft w:val="0"/>
      <w:marRight w:val="0"/>
      <w:marTop w:val="0"/>
      <w:marBottom w:val="0"/>
      <w:divBdr>
        <w:top w:val="none" w:sz="0" w:space="0" w:color="auto"/>
        <w:left w:val="none" w:sz="0" w:space="0" w:color="auto"/>
        <w:bottom w:val="none" w:sz="0" w:space="0" w:color="auto"/>
        <w:right w:val="none" w:sz="0" w:space="0" w:color="auto"/>
      </w:divBdr>
    </w:div>
    <w:div w:id="1943568156">
      <w:bodyDiv w:val="1"/>
      <w:marLeft w:val="0"/>
      <w:marRight w:val="0"/>
      <w:marTop w:val="0"/>
      <w:marBottom w:val="0"/>
      <w:divBdr>
        <w:top w:val="none" w:sz="0" w:space="0" w:color="auto"/>
        <w:left w:val="none" w:sz="0" w:space="0" w:color="auto"/>
        <w:bottom w:val="none" w:sz="0" w:space="0" w:color="auto"/>
        <w:right w:val="none" w:sz="0" w:space="0" w:color="auto"/>
      </w:divBdr>
    </w:div>
    <w:div w:id="2052685174">
      <w:bodyDiv w:val="1"/>
      <w:marLeft w:val="0"/>
      <w:marRight w:val="0"/>
      <w:marTop w:val="0"/>
      <w:marBottom w:val="0"/>
      <w:divBdr>
        <w:top w:val="none" w:sz="0" w:space="0" w:color="auto"/>
        <w:left w:val="none" w:sz="0" w:space="0" w:color="auto"/>
        <w:bottom w:val="none" w:sz="0" w:space="0" w:color="auto"/>
        <w:right w:val="none" w:sz="0" w:space="0" w:color="auto"/>
      </w:divBdr>
    </w:div>
    <w:div w:id="209080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veterans/downloads/pdf/local_laws/Local-Law-44-DVS-Annual-Report-2021-Mayor.pdf" TargetMode="External"/><Relationship Id="rId13" Type="http://schemas.openxmlformats.org/officeDocument/2006/relationships/hyperlink" Target="https://www.va.gov/AIRCOMMISSIONREPORT/Volume_II.asp" TargetMode="External"/><Relationship Id="rId3" Type="http://schemas.openxmlformats.org/officeDocument/2006/relationships/hyperlink" Target="https://doi.org/10.1097/01.NAJ.0000431913.50226.83" TargetMode="External"/><Relationship Id="rId7" Type="http://schemas.openxmlformats.org/officeDocument/2006/relationships/hyperlink" Target="https://www.rand.org/pubs/technical_reports/TR920.html" TargetMode="External"/><Relationship Id="rId12" Type="http://schemas.openxmlformats.org/officeDocument/2006/relationships/hyperlink" Target="https://www1.nyc.gov/site/veterans/services/benefits-navigation.page" TargetMode="External"/><Relationship Id="rId2" Type="http://schemas.openxmlformats.org/officeDocument/2006/relationships/hyperlink" Target="https://nyhealthfoundation.org/wp-content/uploads/2021/10/new-york-veterans-in-depth-profile-oct-2021.pdf" TargetMode="External"/><Relationship Id="rId16" Type="http://schemas.openxmlformats.org/officeDocument/2006/relationships/hyperlink" Target="https://www.amny.com/politics/union-workers-maloney-rally-to-stop-manhattan-va-hospital-closure/" TargetMode="External"/><Relationship Id="rId1" Type="http://schemas.openxmlformats.org/officeDocument/2006/relationships/hyperlink" Target="https://www.rand.org/content/dam/rand/pubs/research_reports/RR2200/RR2298/RAND_RR2298.pdf" TargetMode="External"/><Relationship Id="rId6" Type="http://schemas.openxmlformats.org/officeDocument/2006/relationships/hyperlink" Target="https://blogs.va.gov/VAntage/58621/new-eligibility-criteria-a-major-improvement-over-existing-rules/" TargetMode="External"/><Relationship Id="rId11" Type="http://schemas.openxmlformats.org/officeDocument/2006/relationships/hyperlink" Target="https://www1.nyc.gov/site/veterans/services/physical-health.page" TargetMode="External"/><Relationship Id="rId5" Type="http://schemas.openxmlformats.org/officeDocument/2006/relationships/hyperlink" Target="https://www.nytimes.com/2019/01/12/us/politics/veterans-administration-health-care-privatization.html" TargetMode="External"/><Relationship Id="rId15" Type="http://schemas.openxmlformats.org/officeDocument/2006/relationships/hyperlink" Target="https://www.norwoodnews.org/bronx-veterans-voice-concern-over-expected-nyc-va-medical-center-closures/" TargetMode="External"/><Relationship Id="rId10" Type="http://schemas.openxmlformats.org/officeDocument/2006/relationships/hyperlink" Target="https://www1.nyc.gov/assets/veterans/downloads/pdf/local_laws/Local-Law-44-DVS-Annual-Report-2021-Mayor.pdf" TargetMode="External"/><Relationship Id="rId4" Type="http://schemas.openxmlformats.org/officeDocument/2006/relationships/hyperlink" Target="https://www.rand.org/pubs/research_reports/RR1165z4.html" TargetMode="External"/><Relationship Id="rId9" Type="http://schemas.openxmlformats.org/officeDocument/2006/relationships/hyperlink" Target="https://nyc.uniteus.com/vetconnectnyc/" TargetMode="External"/><Relationship Id="rId14" Type="http://schemas.openxmlformats.org/officeDocument/2006/relationships/hyperlink" Target="https://www.va.gov/AIRCOMMISSIONREPORT/docs/VISN02-Market-Recommend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3" ma:contentTypeDescription="Create a new document." ma:contentTypeScope="" ma:versionID="4553f6be31e545d35d1c1f18d0dd47fa">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a799e13363fa89eee5ed48b3a2cc09dd"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EFB04-AF0D-4919-B4CF-CB822CD4B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008D3-5ADF-4A48-9AA2-7FE0B8A1D778}">
  <ds:schemaRefs>
    <ds:schemaRef ds:uri="http://schemas.microsoft.com/sharepoint/v3/contenttype/forms"/>
  </ds:schemaRefs>
</ds:datastoreItem>
</file>

<file path=customXml/itemProps3.xml><?xml version="1.0" encoding="utf-8"?>
<ds:datastoreItem xmlns:ds="http://schemas.openxmlformats.org/officeDocument/2006/customXml" ds:itemID="{E9C13A94-9A7A-49B9-A1E8-55C3060967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D42741-067B-4B58-844F-C5D3DF8D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2639</Words>
  <Characters>15043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Arzt</dc:creator>
  <cp:keywords/>
  <dc:description/>
  <cp:lastModifiedBy>DelFranco, Ruthie</cp:lastModifiedBy>
  <cp:revision>2</cp:revision>
  <dcterms:created xsi:type="dcterms:W3CDTF">2022-06-15T17:44:00Z</dcterms:created>
  <dcterms:modified xsi:type="dcterms:W3CDTF">2022-06-15T17:44:00Z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