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7" w:type="dxa"/>
        <w:jc w:val="center"/>
        <w:tblLook w:val="0600" w:firstRow="0" w:lastRow="0" w:firstColumn="0" w:lastColumn="0" w:noHBand="1" w:noVBand="1"/>
      </w:tblPr>
      <w:tblGrid>
        <w:gridCol w:w="5779"/>
        <w:gridCol w:w="5238"/>
      </w:tblGrid>
      <w:tr w:rsidR="0051685C" w:rsidRPr="00344309" w14:paraId="11BCF83A" w14:textId="77777777" w:rsidTr="00142888">
        <w:trPr>
          <w:jc w:val="center"/>
        </w:trPr>
        <w:tc>
          <w:tcPr>
            <w:tcW w:w="5779" w:type="dxa"/>
            <w:tcBorders>
              <w:bottom w:val="single" w:sz="4" w:space="0" w:color="auto"/>
            </w:tcBorders>
          </w:tcPr>
          <w:p w14:paraId="64F9468A" w14:textId="77777777" w:rsidR="0051685C" w:rsidRPr="00344309" w:rsidRDefault="0051685C" w:rsidP="00142888">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1DDADA71" wp14:editId="6FFAE469">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A1410F2" w14:textId="77777777" w:rsidR="0051685C" w:rsidRPr="00344309" w:rsidRDefault="0051685C" w:rsidP="00142888"/>
        </w:tc>
        <w:tc>
          <w:tcPr>
            <w:tcW w:w="5238" w:type="dxa"/>
            <w:tcBorders>
              <w:bottom w:val="single" w:sz="4" w:space="0" w:color="auto"/>
            </w:tcBorders>
          </w:tcPr>
          <w:p w14:paraId="7EDAF491" w14:textId="77777777" w:rsidR="0051685C" w:rsidRPr="00344309" w:rsidRDefault="0051685C" w:rsidP="00142888">
            <w:pPr>
              <w:rPr>
                <w:b/>
                <w:bCs/>
                <w:smallCaps/>
              </w:rPr>
            </w:pPr>
            <w:r w:rsidRPr="00344309">
              <w:rPr>
                <w:b/>
                <w:bCs/>
                <w:smallCaps/>
              </w:rPr>
              <w:t>The Council of the City of New York</w:t>
            </w:r>
          </w:p>
          <w:p w14:paraId="30E56B05" w14:textId="77777777" w:rsidR="0051685C" w:rsidRPr="00344309" w:rsidRDefault="0051685C" w:rsidP="008B4D0B">
            <w:pPr>
              <w:spacing w:after="80"/>
              <w:rPr>
                <w:b/>
                <w:bCs/>
                <w:smallCaps/>
              </w:rPr>
            </w:pPr>
            <w:r w:rsidRPr="00344309">
              <w:rPr>
                <w:b/>
                <w:bCs/>
                <w:smallCaps/>
              </w:rPr>
              <w:t>Finance Division</w:t>
            </w:r>
          </w:p>
          <w:p w14:paraId="6C475A88" w14:textId="095B1CD8" w:rsidR="0051685C" w:rsidRDefault="00FE70A8" w:rsidP="008B4D0B">
            <w:pPr>
              <w:spacing w:after="80"/>
              <w:rPr>
                <w:bCs/>
                <w:smallCaps/>
              </w:rPr>
            </w:pPr>
            <w:r w:rsidRPr="00F3272F">
              <w:rPr>
                <w:bCs/>
                <w:smallCaps/>
              </w:rPr>
              <w:t>T</w:t>
            </w:r>
            <w:r>
              <w:rPr>
                <w:bCs/>
                <w:smallCaps/>
              </w:rPr>
              <w:t>anisha Edwards, Esq., Chief Financial Officer and Deputy Chief of Staff to the Speaker</w:t>
            </w:r>
          </w:p>
          <w:p w14:paraId="40CC08BC" w14:textId="076E33C2" w:rsidR="0051685C" w:rsidRDefault="0051685C" w:rsidP="008B4D0B">
            <w:pPr>
              <w:spacing w:after="80"/>
            </w:pPr>
            <w:r w:rsidRPr="00344309">
              <w:rPr>
                <w:b/>
                <w:bCs/>
                <w:smallCaps/>
              </w:rPr>
              <w:t>Fiscal Impact Statement</w:t>
            </w:r>
          </w:p>
          <w:p w14:paraId="6E77E55E" w14:textId="60696FA2" w:rsidR="0051685C" w:rsidRDefault="005D5FEC" w:rsidP="008B4D0B">
            <w:pPr>
              <w:pStyle w:val="NoSpacing"/>
              <w:spacing w:after="80"/>
            </w:pPr>
            <w:r>
              <w:rPr>
                <w:b/>
                <w:bCs/>
                <w:smallCaps/>
              </w:rPr>
              <w:t>Preconsidered Int. No</w:t>
            </w:r>
            <w:r w:rsidR="00FE70A8">
              <w:rPr>
                <w:b/>
                <w:bCs/>
                <w:smallCaps/>
              </w:rPr>
              <w:t xml:space="preserve">. </w:t>
            </w:r>
            <w:r w:rsidR="005059D8">
              <w:rPr>
                <w:b/>
                <w:bCs/>
                <w:smallCaps/>
              </w:rPr>
              <w:t>205</w:t>
            </w:r>
            <w:bookmarkStart w:id="0" w:name="_GoBack"/>
            <w:bookmarkEnd w:id="0"/>
            <w:r w:rsidR="00FE70A8">
              <w:rPr>
                <w:b/>
                <w:bCs/>
                <w:smallCaps/>
              </w:rPr>
              <w:t>-</w:t>
            </w:r>
            <w:r>
              <w:rPr>
                <w:b/>
                <w:bCs/>
                <w:smallCaps/>
              </w:rPr>
              <w:t>A</w:t>
            </w:r>
          </w:p>
          <w:p w14:paraId="08A73586" w14:textId="51CA45FE" w:rsidR="0051685C" w:rsidRPr="00344309" w:rsidRDefault="0051685C" w:rsidP="008B4D0B">
            <w:pPr>
              <w:tabs>
                <w:tab w:val="left" w:pos="-1440"/>
              </w:tabs>
              <w:spacing w:after="80"/>
              <w:ind w:left="1440" w:hanging="1440"/>
              <w:rPr>
                <w:b/>
                <w:bCs/>
                <w:smallCaps/>
              </w:rPr>
            </w:pPr>
            <w:r w:rsidRPr="00344309">
              <w:rPr>
                <w:b/>
                <w:bCs/>
                <w:smallCaps/>
              </w:rPr>
              <w:t xml:space="preserve">Committee: </w:t>
            </w:r>
            <w:r w:rsidR="002B2DCA">
              <w:t>Governmental Operations</w:t>
            </w:r>
          </w:p>
        </w:tc>
      </w:tr>
      <w:tr w:rsidR="0051685C" w:rsidRPr="00344309" w14:paraId="12FFBE2F" w14:textId="77777777" w:rsidTr="00142888">
        <w:trPr>
          <w:jc w:val="center"/>
        </w:trPr>
        <w:tc>
          <w:tcPr>
            <w:tcW w:w="5779" w:type="dxa"/>
            <w:tcBorders>
              <w:top w:val="single" w:sz="4" w:space="0" w:color="auto"/>
            </w:tcBorders>
          </w:tcPr>
          <w:p w14:paraId="34192072" w14:textId="4F8157B2" w:rsidR="005D5FEC" w:rsidRDefault="0051685C" w:rsidP="005D5FEC">
            <w:pPr>
              <w:pStyle w:val="BodyText"/>
              <w:jc w:val="both"/>
            </w:pPr>
            <w:r w:rsidRPr="00344309">
              <w:rPr>
                <w:b/>
                <w:bCs/>
                <w:smallCaps/>
              </w:rPr>
              <w:t xml:space="preserve">Title: </w:t>
            </w:r>
            <w:r w:rsidR="002B2DCA">
              <w:t xml:space="preserve">A </w:t>
            </w:r>
            <w:r w:rsidR="005D5FEC">
              <w:t>Local Law to amend the New York city charter and the administrative code of the city of New York, in relation to removing certain reporting requirements selected for waiver by the r</w:t>
            </w:r>
            <w:r w:rsidR="005D5FEC" w:rsidRPr="0097345A">
              <w:t xml:space="preserve">eport and </w:t>
            </w:r>
            <w:r w:rsidR="005D5FEC">
              <w:t>a</w:t>
            </w:r>
            <w:r w:rsidR="005D5FEC" w:rsidRPr="0097345A">
              <w:t xml:space="preserve">dvisory </w:t>
            </w:r>
            <w:r w:rsidR="005D5FEC">
              <w:t>b</w:t>
            </w:r>
            <w:r w:rsidR="005D5FEC" w:rsidRPr="0097345A">
              <w:t xml:space="preserve">oard </w:t>
            </w:r>
            <w:r w:rsidR="005D5FEC">
              <w:t>r</w:t>
            </w:r>
            <w:r w:rsidR="005D5FEC" w:rsidRPr="0097345A">
              <w:t xml:space="preserve">eview </w:t>
            </w:r>
            <w:r w:rsidR="005D5FEC">
              <w:t>c</w:t>
            </w:r>
            <w:r w:rsidR="005D5FEC" w:rsidRPr="0097345A">
              <w:t>ommission</w:t>
            </w:r>
            <w:r w:rsidR="005D5FEC">
              <w:t>, and to repeal s</w:t>
            </w:r>
            <w:r w:rsidR="005D5FEC" w:rsidRPr="00733A87">
              <w:t xml:space="preserve">ubdivision </w:t>
            </w:r>
            <w:r w:rsidR="005D5FEC">
              <w:t>c</w:t>
            </w:r>
            <w:r w:rsidR="005D5FEC" w:rsidRPr="00733A87">
              <w:t xml:space="preserve"> of section </w:t>
            </w:r>
            <w:r w:rsidR="005D5FEC">
              <w:t xml:space="preserve">4-207 </w:t>
            </w:r>
            <w:r w:rsidR="005D5FEC" w:rsidRPr="00733A87">
              <w:t xml:space="preserve">of the </w:t>
            </w:r>
            <w:r w:rsidR="005D5FEC">
              <w:t>administra</w:t>
            </w:r>
            <w:r w:rsidR="005D5FEC" w:rsidRPr="00733A87">
              <w:t>tive code of the city of New York</w:t>
            </w:r>
            <w:r w:rsidR="005D5FEC">
              <w:t>, relating to reports on a</w:t>
            </w:r>
            <w:r w:rsidR="005D5FEC" w:rsidRPr="00071C56">
              <w:t>ssessment</w:t>
            </w:r>
            <w:r w:rsidR="005D5FEC">
              <w:t>s</w:t>
            </w:r>
            <w:r w:rsidR="005D5FEC" w:rsidRPr="00071C56">
              <w:t xml:space="preserve"> of certain clean on-site power generation technologies</w:t>
            </w:r>
            <w:r w:rsidR="005D5FEC">
              <w:t>, and subdivision</w:t>
            </w:r>
            <w:r w:rsidR="005D5FEC" w:rsidRPr="00071C56">
              <w:t xml:space="preserve"> b of section 19-180.1 of </w:t>
            </w:r>
            <w:r w:rsidR="005D5FEC">
              <w:t>such code, relating to reports on s</w:t>
            </w:r>
            <w:r w:rsidR="005D5FEC" w:rsidRPr="00071C56">
              <w:t>afety audits of crash locations involving pedestrians</w:t>
            </w:r>
          </w:p>
          <w:p w14:paraId="15B1C9FE" w14:textId="77777777" w:rsidR="0051685C" w:rsidRPr="00344309" w:rsidRDefault="0051685C" w:rsidP="009104B0">
            <w:pPr>
              <w:pStyle w:val="BodyText"/>
              <w:jc w:val="both"/>
            </w:pPr>
          </w:p>
        </w:tc>
        <w:tc>
          <w:tcPr>
            <w:tcW w:w="5238" w:type="dxa"/>
            <w:tcBorders>
              <w:top w:val="single" w:sz="4" w:space="0" w:color="auto"/>
            </w:tcBorders>
          </w:tcPr>
          <w:p w14:paraId="609EDB8E" w14:textId="6B4498C0" w:rsidR="0051685C" w:rsidRDefault="0051685C" w:rsidP="00142888">
            <w:pPr>
              <w:shd w:val="clear" w:color="auto" w:fill="FFFFFF"/>
            </w:pPr>
            <w:r w:rsidRPr="00344309">
              <w:rPr>
                <w:b/>
                <w:bCs/>
                <w:smallCaps/>
              </w:rPr>
              <w:t>Sponsor</w:t>
            </w:r>
            <w:r w:rsidRPr="00344309">
              <w:rPr>
                <w:b/>
                <w:bCs/>
              </w:rPr>
              <w:t>:</w:t>
            </w:r>
            <w:r>
              <w:rPr>
                <w:b/>
                <w:bCs/>
              </w:rPr>
              <w:t xml:space="preserve"> </w:t>
            </w:r>
            <w:r w:rsidR="00153D93">
              <w:t>Council Membe</w:t>
            </w:r>
            <w:r w:rsidR="005D5FEC">
              <w:t>r Ung</w:t>
            </w:r>
          </w:p>
          <w:p w14:paraId="4959BEF6" w14:textId="77777777" w:rsidR="0051685C" w:rsidRPr="00344309" w:rsidRDefault="0051685C" w:rsidP="00142888">
            <w:pPr>
              <w:shd w:val="clear" w:color="auto" w:fill="FFFFFF"/>
              <w:rPr>
                <w:b/>
              </w:rPr>
            </w:pPr>
            <w:r w:rsidRPr="00344309">
              <w:rPr>
                <w:b/>
              </w:rPr>
              <w:t xml:space="preserve"> </w:t>
            </w:r>
          </w:p>
        </w:tc>
      </w:tr>
    </w:tbl>
    <w:p w14:paraId="70C80F3D" w14:textId="77777777" w:rsidR="00A53A4C" w:rsidRDefault="0051685C" w:rsidP="00D76799">
      <w:pPr>
        <w:pStyle w:val="NoSpacing"/>
        <w:jc w:val="both"/>
      </w:pPr>
      <w:r w:rsidRPr="00344309">
        <w:rPr>
          <w:b/>
          <w:smallCaps/>
        </w:rPr>
        <w:t>Summary of Legislation</w:t>
      </w:r>
      <w:r w:rsidRPr="00344309">
        <w:t>:</w:t>
      </w:r>
      <w:r w:rsidR="002B2DCA">
        <w:t xml:space="preserve"> </w:t>
      </w:r>
      <w:r w:rsidR="005D5FEC">
        <w:t>In December 2021, the Report and Advisory Board Review Commission (RABRC) voted to waive six reporting requirements in the Charter and the Administrative Code, for the state</w:t>
      </w:r>
      <w:r w:rsidR="00CC3BA7">
        <w:t>d</w:t>
      </w:r>
      <w:r w:rsidR="005D5FEC">
        <w:t xml:space="preserve"> purpose of improving government efficiency. </w:t>
      </w:r>
      <w:r w:rsidR="008F1F2D">
        <w:t>These include</w:t>
      </w:r>
      <w:r w:rsidR="00A53A4C">
        <w:t>:</w:t>
      </w:r>
    </w:p>
    <w:p w14:paraId="5DD2CFBF" w14:textId="00ABD12C" w:rsidR="00A53A4C" w:rsidRDefault="008F1F2D" w:rsidP="00C81F6A">
      <w:pPr>
        <w:pStyle w:val="NoSpacing"/>
        <w:numPr>
          <w:ilvl w:val="0"/>
          <w:numId w:val="1"/>
        </w:numPr>
        <w:jc w:val="both"/>
      </w:pPr>
      <w:r>
        <w:t>the assessment of city facilities regarding certain clean on-site power generation technologies required by section 4-207 (c) of the Administrative Code;</w:t>
      </w:r>
    </w:p>
    <w:p w14:paraId="597CE708" w14:textId="77777777" w:rsidR="00A53A4C" w:rsidRDefault="008F1F2D" w:rsidP="00C81F6A">
      <w:pPr>
        <w:pStyle w:val="NoSpacing"/>
        <w:numPr>
          <w:ilvl w:val="0"/>
          <w:numId w:val="1"/>
        </w:numPr>
        <w:jc w:val="both"/>
      </w:pPr>
      <w:r>
        <w:t xml:space="preserve"> the High Pedestrian Crash Location Report required by section 19-180 (b) of the Administrative Code;</w:t>
      </w:r>
    </w:p>
    <w:p w14:paraId="797252BA" w14:textId="5A843FCD" w:rsidR="00A53A4C" w:rsidRDefault="008F1F2D" w:rsidP="00C81F6A">
      <w:pPr>
        <w:pStyle w:val="NoSpacing"/>
        <w:numPr>
          <w:ilvl w:val="0"/>
          <w:numId w:val="1"/>
        </w:numPr>
        <w:jc w:val="both"/>
      </w:pPr>
      <w:r>
        <w:t xml:space="preserve">the New York City Sports Commission Report required by section 541 (c) of the Charter; </w:t>
      </w:r>
    </w:p>
    <w:p w14:paraId="3B882487" w14:textId="61FCB25C" w:rsidR="00A53A4C" w:rsidRDefault="008F1F2D" w:rsidP="00C81F6A">
      <w:pPr>
        <w:pStyle w:val="NoSpacing"/>
        <w:numPr>
          <w:ilvl w:val="0"/>
          <w:numId w:val="1"/>
        </w:numPr>
        <w:jc w:val="both"/>
      </w:pPr>
      <w:r>
        <w:t>the 911 Operational Time Analysis Report required by sections 14-149 (b) and (c) of the Administrative Code</w:t>
      </w:r>
      <w:r w:rsidR="00C81F6A">
        <w:t>;</w:t>
      </w:r>
    </w:p>
    <w:p w14:paraId="08AD261F" w14:textId="49306E1A" w:rsidR="00A53A4C" w:rsidRDefault="008F1F2D" w:rsidP="00C81F6A">
      <w:pPr>
        <w:pStyle w:val="NoSpacing"/>
        <w:numPr>
          <w:ilvl w:val="0"/>
          <w:numId w:val="1"/>
        </w:numPr>
        <w:jc w:val="both"/>
      </w:pPr>
      <w:r>
        <w:t xml:space="preserve">the Annual Youth Services Report required by section 21-402 (a) of the Administrative Code; and </w:t>
      </w:r>
    </w:p>
    <w:p w14:paraId="7E46C930" w14:textId="77777777" w:rsidR="00A53A4C" w:rsidRDefault="008F1F2D" w:rsidP="00C81F6A">
      <w:pPr>
        <w:pStyle w:val="NoSpacing"/>
        <w:numPr>
          <w:ilvl w:val="0"/>
          <w:numId w:val="1"/>
        </w:numPr>
        <w:jc w:val="both"/>
      </w:pPr>
      <w:r>
        <w:t>the Community Services Block Grant Report required by section 21-402 (b) (ii) of the Administrative Code.</w:t>
      </w:r>
    </w:p>
    <w:p w14:paraId="140A2F31" w14:textId="77777777" w:rsidR="00A53A4C" w:rsidRDefault="00A53A4C" w:rsidP="00C81F6A">
      <w:pPr>
        <w:pStyle w:val="NoSpacing"/>
        <w:ind w:left="787"/>
        <w:jc w:val="both"/>
      </w:pPr>
    </w:p>
    <w:p w14:paraId="38A789FB" w14:textId="1E908BDE" w:rsidR="00A53A4C" w:rsidRDefault="00D30D4E" w:rsidP="00A53A4C">
      <w:pPr>
        <w:pStyle w:val="NoSpacing"/>
        <w:jc w:val="both"/>
      </w:pPr>
      <w:r>
        <w:t xml:space="preserve">This bill would repeal four of the six reporting requirements selected for waiver by the RABRC. </w:t>
      </w:r>
      <w:r w:rsidR="008F1F2D">
        <w:t>Th</w:t>
      </w:r>
      <w:r>
        <w:t xml:space="preserve">e </w:t>
      </w:r>
      <w:r w:rsidR="008F1F2D">
        <w:t>bill would</w:t>
      </w:r>
      <w:r w:rsidR="00A53A4C">
        <w:t>:</w:t>
      </w:r>
    </w:p>
    <w:p w14:paraId="176B48A3" w14:textId="2A529446" w:rsidR="00A53A4C" w:rsidRDefault="008F1F2D" w:rsidP="00C81F6A">
      <w:pPr>
        <w:pStyle w:val="NoSpacing"/>
        <w:numPr>
          <w:ilvl w:val="0"/>
          <w:numId w:val="2"/>
        </w:numPr>
        <w:jc w:val="both"/>
      </w:pPr>
      <w:r>
        <w:t xml:space="preserve">delete language from section 541 (c) of the Charter </w:t>
      </w:r>
      <w:r w:rsidR="00D30D4E">
        <w:t>requiring</w:t>
      </w:r>
      <w:r>
        <w:t xml:space="preserve"> the New York City Sports Commission to issue quarterly and annual reports; </w:t>
      </w:r>
    </w:p>
    <w:p w14:paraId="4ACDF4D4" w14:textId="77777777" w:rsidR="00A53A4C" w:rsidRDefault="008F1F2D" w:rsidP="00C81F6A">
      <w:pPr>
        <w:pStyle w:val="NoSpacing"/>
        <w:numPr>
          <w:ilvl w:val="0"/>
          <w:numId w:val="2"/>
        </w:numPr>
        <w:jc w:val="both"/>
      </w:pPr>
      <w:r>
        <w:t xml:space="preserve">repeal the reporting provided by the Department of Citywide Administrative Services (DCAS) of city facilities regarding certain clean on-site power generation technologies; </w:t>
      </w:r>
    </w:p>
    <w:p w14:paraId="5A690376" w14:textId="77777777" w:rsidR="00A53A4C" w:rsidRDefault="008F1F2D" w:rsidP="00C81F6A">
      <w:pPr>
        <w:pStyle w:val="NoSpacing"/>
        <w:numPr>
          <w:ilvl w:val="0"/>
          <w:numId w:val="2"/>
        </w:numPr>
        <w:jc w:val="both"/>
      </w:pPr>
      <w:r>
        <w:t xml:space="preserve">repeal </w:t>
      </w:r>
      <w:r w:rsidR="00D30D4E">
        <w:t xml:space="preserve">section 19-180.1 (b) of the Administrative Code, which currently requires the Department of Transportation (DOT) to issue the High Pedestrian Crash Location Report; and </w:t>
      </w:r>
    </w:p>
    <w:p w14:paraId="59D808AF" w14:textId="615A25CD" w:rsidR="008F1F2D" w:rsidRDefault="00D30D4E" w:rsidP="00C81F6A">
      <w:pPr>
        <w:pStyle w:val="NoSpacing"/>
        <w:numPr>
          <w:ilvl w:val="0"/>
          <w:numId w:val="2"/>
        </w:numPr>
        <w:jc w:val="both"/>
      </w:pPr>
      <w:r>
        <w:t xml:space="preserve">delete language requiring the Department of Youth and Community Development (DYCD) to submit a copy of the Community Services Block Grants Reports to the Council. </w:t>
      </w:r>
    </w:p>
    <w:p w14:paraId="6AF82166" w14:textId="4C263BC4" w:rsidR="008F1F2D" w:rsidRDefault="008F1F2D" w:rsidP="00D76799">
      <w:pPr>
        <w:pStyle w:val="NoSpacing"/>
        <w:jc w:val="both"/>
      </w:pPr>
    </w:p>
    <w:p w14:paraId="12E2C151" w14:textId="1A3CFB60" w:rsidR="00791337" w:rsidRDefault="0051685C" w:rsidP="00C76943">
      <w:pPr>
        <w:spacing w:before="100" w:beforeAutospacing="1"/>
        <w:contextualSpacing/>
        <w:jc w:val="both"/>
      </w:pPr>
      <w:r w:rsidRPr="00012730">
        <w:rPr>
          <w:b/>
          <w:smallCaps/>
        </w:rPr>
        <w:t>Effective Date:</w:t>
      </w:r>
      <w:r>
        <w:t xml:space="preserve"> </w:t>
      </w:r>
      <w:r w:rsidR="00153D93">
        <w:t xml:space="preserve">This </w:t>
      </w:r>
      <w:r w:rsidR="009125B3">
        <w:t xml:space="preserve">local law </w:t>
      </w:r>
      <w:r w:rsidR="006B6716">
        <w:t xml:space="preserve">would take </w:t>
      </w:r>
      <w:r w:rsidR="00367FAD">
        <w:t xml:space="preserve">effect immediately. </w:t>
      </w:r>
      <w:r w:rsidR="006B6716">
        <w:t xml:space="preserve"> </w:t>
      </w:r>
    </w:p>
    <w:p w14:paraId="1A8C686C" w14:textId="552EBABB" w:rsidR="0051685C" w:rsidRPr="00BC7A98" w:rsidRDefault="0051685C" w:rsidP="0051685C">
      <w:pPr>
        <w:spacing w:before="240"/>
        <w:rPr>
          <w:smallCaps/>
        </w:rPr>
      </w:pPr>
      <w:r w:rsidRPr="00344309">
        <w:rPr>
          <w:b/>
          <w:smallCaps/>
        </w:rPr>
        <w:t xml:space="preserve">Fiscal Year </w:t>
      </w:r>
      <w:r>
        <w:rPr>
          <w:b/>
          <w:smallCaps/>
        </w:rPr>
        <w:t>i</w:t>
      </w:r>
      <w:r w:rsidRPr="00344309">
        <w:rPr>
          <w:b/>
          <w:smallCaps/>
        </w:rPr>
        <w:t xml:space="preserve">n </w:t>
      </w:r>
      <w:r>
        <w:rPr>
          <w:b/>
          <w:smallCaps/>
        </w:rPr>
        <w:t>w</w:t>
      </w:r>
      <w:r w:rsidRPr="00344309">
        <w:rPr>
          <w:b/>
          <w:smallCaps/>
        </w:rPr>
        <w:t xml:space="preserve">hich Full Fiscal Impact Anticipated: </w:t>
      </w:r>
      <w:r w:rsidRPr="002128FB">
        <w:rPr>
          <w:bCs/>
        </w:rPr>
        <w:t xml:space="preserve">Fiscal </w:t>
      </w:r>
      <w:r w:rsidR="0055149D">
        <w:rPr>
          <w:smallCaps/>
        </w:rPr>
        <w:t>20</w:t>
      </w:r>
      <w:r w:rsidR="00087B22">
        <w:rPr>
          <w:smallCaps/>
        </w:rPr>
        <w:t>2</w:t>
      </w:r>
      <w:r w:rsidR="00916C9C">
        <w:rPr>
          <w:smallCaps/>
        </w:rPr>
        <w:t>3</w:t>
      </w:r>
    </w:p>
    <w:p w14:paraId="178EC982" w14:textId="77777777" w:rsidR="0051685C" w:rsidRPr="00344309" w:rsidRDefault="0051685C" w:rsidP="0051685C">
      <w:pPr>
        <w:pBdr>
          <w:top w:val="single" w:sz="4" w:space="1" w:color="auto"/>
        </w:pBdr>
        <w:spacing w:before="240" w:after="240"/>
        <w:rPr>
          <w:b/>
          <w:smallCaps/>
        </w:rPr>
      </w:pPr>
      <w:r w:rsidRPr="00344309">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956"/>
        <w:gridCol w:w="1809"/>
        <w:gridCol w:w="1809"/>
        <w:gridCol w:w="2018"/>
      </w:tblGrid>
      <w:tr w:rsidR="0051685C" w:rsidRPr="00344309" w14:paraId="36541380" w14:textId="77777777" w:rsidTr="00142888">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14:paraId="5BD544A2" w14:textId="77777777" w:rsidR="0051685C" w:rsidRPr="00344309" w:rsidRDefault="0051685C" w:rsidP="00142888">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14:paraId="1FB6F4D6" w14:textId="1792510A" w:rsidR="0051685C" w:rsidRPr="00344309" w:rsidRDefault="00375A72" w:rsidP="00142888">
            <w:pPr>
              <w:jc w:val="center"/>
              <w:rPr>
                <w:b/>
                <w:bCs/>
              </w:rPr>
            </w:pPr>
            <w:r>
              <w:rPr>
                <w:b/>
                <w:bCs/>
              </w:rPr>
              <w:t xml:space="preserve">Effective </w:t>
            </w:r>
            <w:r w:rsidR="00F25E29">
              <w:rPr>
                <w:b/>
                <w:bCs/>
              </w:rPr>
              <w:t>FY2</w:t>
            </w:r>
            <w:r w:rsidR="00916C9C">
              <w:rPr>
                <w:b/>
                <w:bCs/>
              </w:rPr>
              <w:t>2</w:t>
            </w:r>
          </w:p>
        </w:tc>
        <w:tc>
          <w:tcPr>
            <w:tcW w:w="0" w:type="auto"/>
            <w:tcBorders>
              <w:top w:val="double" w:sz="7" w:space="0" w:color="000000"/>
              <w:left w:val="single" w:sz="7" w:space="0" w:color="000000"/>
              <w:bottom w:val="single" w:sz="6" w:space="0" w:color="FFFFFF"/>
              <w:right w:val="single" w:sz="6" w:space="0" w:color="FFFFFF"/>
            </w:tcBorders>
            <w:vAlign w:val="center"/>
          </w:tcPr>
          <w:p w14:paraId="48DB847E" w14:textId="77777777" w:rsidR="0051685C" w:rsidRPr="00344309" w:rsidRDefault="0051685C" w:rsidP="00142888">
            <w:pPr>
              <w:jc w:val="center"/>
              <w:rPr>
                <w:b/>
                <w:bCs/>
              </w:rPr>
            </w:pPr>
            <w:r w:rsidRPr="00344309">
              <w:rPr>
                <w:b/>
                <w:bCs/>
              </w:rPr>
              <w:t>FY Succeeding</w:t>
            </w:r>
          </w:p>
          <w:p w14:paraId="2876ABF1" w14:textId="0052112B" w:rsidR="0051685C" w:rsidRPr="00344309" w:rsidRDefault="00375A72" w:rsidP="00142888">
            <w:pPr>
              <w:jc w:val="center"/>
              <w:rPr>
                <w:b/>
                <w:bCs/>
              </w:rPr>
            </w:pPr>
            <w:r>
              <w:rPr>
                <w:b/>
                <w:bCs/>
              </w:rPr>
              <w:t xml:space="preserve">Effective </w:t>
            </w:r>
            <w:r w:rsidR="00F25E29">
              <w:rPr>
                <w:b/>
                <w:bCs/>
              </w:rPr>
              <w:t>FY2</w:t>
            </w:r>
            <w:r w:rsidR="00916C9C">
              <w:rPr>
                <w:b/>
                <w:bCs/>
              </w:rPr>
              <w:t>3</w:t>
            </w:r>
          </w:p>
        </w:tc>
        <w:tc>
          <w:tcPr>
            <w:tcW w:w="2018" w:type="dxa"/>
            <w:tcBorders>
              <w:top w:val="double" w:sz="7" w:space="0" w:color="000000"/>
              <w:left w:val="single" w:sz="7" w:space="0" w:color="000000"/>
              <w:bottom w:val="single" w:sz="6" w:space="0" w:color="FFFFFF"/>
              <w:right w:val="double" w:sz="7" w:space="0" w:color="000000"/>
            </w:tcBorders>
            <w:vAlign w:val="center"/>
          </w:tcPr>
          <w:p w14:paraId="6BAF120B" w14:textId="4ECCF743" w:rsidR="0051685C" w:rsidRPr="00344309" w:rsidRDefault="0051685C" w:rsidP="00142888">
            <w:pPr>
              <w:jc w:val="center"/>
              <w:rPr>
                <w:b/>
                <w:bCs/>
              </w:rPr>
            </w:pPr>
            <w:r w:rsidRPr="00344309">
              <w:rPr>
                <w:b/>
                <w:bCs/>
              </w:rPr>
              <w:t xml:space="preserve">Full Fiscal Impact </w:t>
            </w:r>
            <w:r w:rsidR="00F25E29" w:rsidRPr="00344309">
              <w:rPr>
                <w:b/>
                <w:bCs/>
              </w:rPr>
              <w:t>FY</w:t>
            </w:r>
            <w:r w:rsidR="00F25E29">
              <w:rPr>
                <w:b/>
                <w:bCs/>
              </w:rPr>
              <w:t>2</w:t>
            </w:r>
            <w:r w:rsidR="00916C9C">
              <w:rPr>
                <w:b/>
                <w:bCs/>
              </w:rPr>
              <w:t>3</w:t>
            </w:r>
          </w:p>
        </w:tc>
      </w:tr>
      <w:tr w:rsidR="0051685C" w:rsidRPr="00344309" w14:paraId="615DEF0D" w14:textId="77777777" w:rsidTr="00142888">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527CF7BB" w14:textId="77777777" w:rsidR="0051685C" w:rsidRPr="00344309" w:rsidRDefault="0051685C" w:rsidP="00142888">
            <w:pPr>
              <w:rPr>
                <w:b/>
                <w:bCs/>
                <w:lang w:val="fr-FR"/>
              </w:rPr>
            </w:pPr>
            <w:r w:rsidRPr="00344309">
              <w:rPr>
                <w:b/>
                <w:bCs/>
                <w:lang w:val="fr-FR"/>
              </w:rPr>
              <w:t>Revenues (+)</w:t>
            </w:r>
          </w:p>
        </w:tc>
        <w:tc>
          <w:tcPr>
            <w:tcW w:w="0" w:type="auto"/>
            <w:tcBorders>
              <w:top w:val="single" w:sz="7" w:space="0" w:color="000000"/>
              <w:left w:val="single" w:sz="7" w:space="0" w:color="000000"/>
              <w:bottom w:val="single" w:sz="6" w:space="0" w:color="FFFFFF"/>
              <w:right w:val="single" w:sz="6" w:space="0" w:color="FFFFFF"/>
            </w:tcBorders>
            <w:vAlign w:val="center"/>
          </w:tcPr>
          <w:p w14:paraId="1F389FCC" w14:textId="024B5892" w:rsidR="0051685C" w:rsidRPr="00344309" w:rsidRDefault="003F676A" w:rsidP="00142888">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5A5706EF" w14:textId="0EF161DE" w:rsidR="0051685C" w:rsidRPr="00344309" w:rsidRDefault="00494068" w:rsidP="00142888">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57B1F702" w14:textId="51719ACA" w:rsidR="0051685C" w:rsidRPr="00344309" w:rsidRDefault="00494068" w:rsidP="00142888">
            <w:pPr>
              <w:jc w:val="center"/>
              <w:rPr>
                <w:bCs/>
              </w:rPr>
            </w:pPr>
            <w:r>
              <w:rPr>
                <w:bCs/>
              </w:rPr>
              <w:t>$0</w:t>
            </w:r>
          </w:p>
        </w:tc>
      </w:tr>
      <w:tr w:rsidR="00785261" w:rsidRPr="00344309" w14:paraId="6AA7B94A" w14:textId="77777777" w:rsidTr="00142888">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6BA8B211" w14:textId="77777777" w:rsidR="00785261" w:rsidRPr="00344309" w:rsidRDefault="00785261" w:rsidP="00785261">
            <w:pPr>
              <w:rPr>
                <w:b/>
                <w:bCs/>
                <w:lang w:val="fr-FR"/>
              </w:rPr>
            </w:pPr>
            <w:proofErr w:type="spellStart"/>
            <w:r w:rsidRPr="00344309">
              <w:rPr>
                <w:b/>
                <w:bCs/>
                <w:lang w:val="fr-FR"/>
              </w:rPr>
              <w:t>Expenditures</w:t>
            </w:r>
            <w:proofErr w:type="spellEnd"/>
            <w:r w:rsidRPr="00344309">
              <w:rPr>
                <w:b/>
                <w:bCs/>
                <w:lang w:val="fr-FR"/>
              </w:rPr>
              <w:t xml:space="preserve"> (-)</w:t>
            </w:r>
          </w:p>
        </w:tc>
        <w:tc>
          <w:tcPr>
            <w:tcW w:w="0" w:type="auto"/>
            <w:tcBorders>
              <w:top w:val="single" w:sz="7" w:space="0" w:color="000000"/>
              <w:left w:val="single" w:sz="7" w:space="0" w:color="000000"/>
              <w:bottom w:val="single" w:sz="6" w:space="0" w:color="FFFFFF"/>
              <w:right w:val="single" w:sz="6" w:space="0" w:color="FFFFFF"/>
            </w:tcBorders>
            <w:vAlign w:val="center"/>
          </w:tcPr>
          <w:p w14:paraId="41C4290B" w14:textId="799FF895" w:rsidR="00785261" w:rsidRPr="00344309" w:rsidRDefault="006A36B6" w:rsidP="00785261">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1D675002" w14:textId="74AAD7B5" w:rsidR="00785261" w:rsidRPr="00344309" w:rsidRDefault="006A36B6" w:rsidP="00785261">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1F751B5E" w14:textId="39966BE4" w:rsidR="00785261" w:rsidRPr="00344309" w:rsidRDefault="006A36B6" w:rsidP="00785261">
            <w:pPr>
              <w:jc w:val="center"/>
              <w:rPr>
                <w:bCs/>
              </w:rPr>
            </w:pPr>
            <w:r>
              <w:rPr>
                <w:bCs/>
                <w:lang w:val="fr-FR"/>
              </w:rPr>
              <w:t>$0</w:t>
            </w:r>
          </w:p>
        </w:tc>
      </w:tr>
      <w:tr w:rsidR="00785261" w:rsidRPr="00344309" w14:paraId="5983B456" w14:textId="77777777" w:rsidTr="00142888">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14:paraId="3F7C4B69" w14:textId="77777777" w:rsidR="00785261" w:rsidRPr="00344309" w:rsidRDefault="00785261" w:rsidP="00785261">
            <w:pPr>
              <w:spacing w:after="58"/>
              <w:rPr>
                <w:b/>
                <w:bCs/>
                <w:lang w:val="fr-FR"/>
              </w:rPr>
            </w:pPr>
            <w:r w:rsidRPr="00344309">
              <w:rPr>
                <w:b/>
                <w:bCs/>
                <w:lang w:val="fr-FR"/>
              </w:rPr>
              <w:t>Net</w:t>
            </w:r>
          </w:p>
        </w:tc>
        <w:tc>
          <w:tcPr>
            <w:tcW w:w="0" w:type="auto"/>
            <w:tcBorders>
              <w:top w:val="single" w:sz="7" w:space="0" w:color="000000"/>
              <w:left w:val="single" w:sz="7" w:space="0" w:color="000000"/>
              <w:bottom w:val="single" w:sz="7" w:space="0" w:color="000000"/>
              <w:right w:val="single" w:sz="6" w:space="0" w:color="FFFFFF"/>
            </w:tcBorders>
            <w:vAlign w:val="center"/>
          </w:tcPr>
          <w:p w14:paraId="1E65DAD5" w14:textId="77777777" w:rsidR="00785261" w:rsidRPr="00344309" w:rsidRDefault="00785261" w:rsidP="00785261">
            <w:pPr>
              <w:jc w:val="center"/>
              <w:rPr>
                <w:bCs/>
                <w:lang w:val="fr-FR"/>
              </w:rPr>
            </w:pPr>
            <w:r>
              <w:rPr>
                <w:bCs/>
                <w:lang w:val="fr-FR"/>
              </w:rPr>
              <w:t>$0</w:t>
            </w:r>
          </w:p>
        </w:tc>
        <w:tc>
          <w:tcPr>
            <w:tcW w:w="0" w:type="auto"/>
            <w:tcBorders>
              <w:top w:val="single" w:sz="7" w:space="0" w:color="000000"/>
              <w:left w:val="single" w:sz="7" w:space="0" w:color="000000"/>
              <w:bottom w:val="single" w:sz="7" w:space="0" w:color="000000"/>
              <w:right w:val="single" w:sz="6" w:space="0" w:color="FFFFFF"/>
            </w:tcBorders>
            <w:vAlign w:val="center"/>
          </w:tcPr>
          <w:p w14:paraId="4488CF22" w14:textId="77777777" w:rsidR="00785261" w:rsidRPr="00344309" w:rsidRDefault="00785261" w:rsidP="00785261">
            <w:pPr>
              <w:jc w:val="center"/>
              <w:rPr>
                <w:bCs/>
                <w:lang w:val="fr-FR"/>
              </w:rPr>
            </w:pPr>
            <w:r>
              <w:rPr>
                <w:bCs/>
                <w:lang w:val="fr-FR"/>
              </w:rPr>
              <w:t>$0</w:t>
            </w:r>
          </w:p>
        </w:tc>
        <w:tc>
          <w:tcPr>
            <w:tcW w:w="2018" w:type="dxa"/>
            <w:tcBorders>
              <w:top w:val="single" w:sz="7" w:space="0" w:color="000000"/>
              <w:left w:val="single" w:sz="7" w:space="0" w:color="000000"/>
              <w:bottom w:val="single" w:sz="7" w:space="0" w:color="000000"/>
              <w:right w:val="double" w:sz="7" w:space="0" w:color="000000"/>
            </w:tcBorders>
            <w:vAlign w:val="center"/>
          </w:tcPr>
          <w:p w14:paraId="4F7F1634" w14:textId="77777777" w:rsidR="00785261" w:rsidRPr="00344309" w:rsidRDefault="00785261" w:rsidP="00785261">
            <w:pPr>
              <w:jc w:val="center"/>
              <w:rPr>
                <w:bCs/>
                <w:lang w:val="fr-FR"/>
              </w:rPr>
            </w:pPr>
            <w:r>
              <w:rPr>
                <w:bCs/>
                <w:lang w:val="fr-FR"/>
              </w:rPr>
              <w:t>$0</w:t>
            </w:r>
          </w:p>
        </w:tc>
      </w:tr>
    </w:tbl>
    <w:p w14:paraId="2CAA3337" w14:textId="77777777" w:rsidR="0051685C" w:rsidRPr="00344309" w:rsidRDefault="0051685C" w:rsidP="0051685C">
      <w:pPr>
        <w:spacing w:before="120"/>
        <w:rPr>
          <w:b/>
          <w:smallCaps/>
        </w:rPr>
      </w:pPr>
    </w:p>
    <w:p w14:paraId="49CB2A49" w14:textId="0F1A3AE1" w:rsidR="00D76799" w:rsidRPr="00446A51" w:rsidRDefault="0051685C" w:rsidP="00C76943">
      <w:pPr>
        <w:jc w:val="both"/>
      </w:pPr>
      <w:r w:rsidRPr="00344309">
        <w:rPr>
          <w:b/>
          <w:smallCaps/>
        </w:rPr>
        <w:t>Impact on Revenues:</w:t>
      </w:r>
      <w:r w:rsidR="006674F7">
        <w:rPr>
          <w:b/>
          <w:smallCaps/>
        </w:rPr>
        <w:t xml:space="preserve"> </w:t>
      </w:r>
      <w:r w:rsidR="00494068">
        <w:t xml:space="preserve">It is estimated that there would be no impact on revenues resulting from the enactment of this legislation. </w:t>
      </w:r>
      <w:r w:rsidR="003F676A">
        <w:t xml:space="preserve"> </w:t>
      </w:r>
    </w:p>
    <w:p w14:paraId="3285C606" w14:textId="77777777" w:rsidR="00E16F01" w:rsidRPr="00344309" w:rsidRDefault="00E16F01" w:rsidP="00C76943">
      <w:pPr>
        <w:jc w:val="both"/>
      </w:pPr>
    </w:p>
    <w:p w14:paraId="0FEFCB32" w14:textId="26B72A25" w:rsidR="00842DD3" w:rsidRPr="00842DD3" w:rsidRDefault="0051685C" w:rsidP="00C76943">
      <w:pPr>
        <w:jc w:val="both"/>
        <w:rPr>
          <w:color w:val="000000" w:themeColor="text1"/>
        </w:rPr>
      </w:pPr>
      <w:r w:rsidRPr="00344309">
        <w:rPr>
          <w:b/>
          <w:smallCaps/>
        </w:rPr>
        <w:t>Impact on Expenditures</w:t>
      </w:r>
      <w:r w:rsidRPr="008E0A76">
        <w:rPr>
          <w:b/>
          <w:smallCaps/>
        </w:rPr>
        <w:t xml:space="preserve">: </w:t>
      </w:r>
      <w:r w:rsidRPr="00817CF4">
        <w:rPr>
          <w:color w:val="000000" w:themeColor="text1"/>
        </w:rPr>
        <w:t xml:space="preserve">It </w:t>
      </w:r>
      <w:r w:rsidR="00731B53" w:rsidRPr="00817CF4">
        <w:rPr>
          <w:color w:val="000000" w:themeColor="text1"/>
        </w:rPr>
        <w:t>is estimated</w:t>
      </w:r>
      <w:r w:rsidRPr="00817CF4">
        <w:rPr>
          <w:color w:val="000000" w:themeColor="text1"/>
        </w:rPr>
        <w:t xml:space="preserve"> </w:t>
      </w:r>
      <w:r w:rsidR="00842DD3">
        <w:rPr>
          <w:color w:val="000000" w:themeColor="text1"/>
        </w:rPr>
        <w:t>that there would be no impact on expenditures resulting from the enactment of this legislation because the relevant agencies would use existing resources to accomplish its requirements</w:t>
      </w:r>
      <w:r w:rsidR="00C16CCB">
        <w:rPr>
          <w:color w:val="000000" w:themeColor="text1"/>
        </w:rPr>
        <w:t xml:space="preserve">. </w:t>
      </w:r>
    </w:p>
    <w:p w14:paraId="73B45B23" w14:textId="77777777" w:rsidR="0051685C" w:rsidRDefault="0051685C" w:rsidP="0051685C"/>
    <w:p w14:paraId="691940E1" w14:textId="77777777" w:rsidR="0051685C" w:rsidRPr="00344309" w:rsidRDefault="0051685C" w:rsidP="0051685C">
      <w:pPr>
        <w:rPr>
          <w:b/>
          <w:smallCaps/>
        </w:rPr>
      </w:pPr>
      <w:r w:rsidRPr="00344309">
        <w:rPr>
          <w:b/>
          <w:smallCaps/>
        </w:rPr>
        <w:t xml:space="preserve">Source of Funds to Cover Estimated Costs: </w:t>
      </w:r>
      <w:r w:rsidRPr="00135525">
        <w:rPr>
          <w:smallCaps/>
        </w:rPr>
        <w:t xml:space="preserve"> </w:t>
      </w:r>
      <w:r w:rsidR="00104ADF">
        <w:t>N/A</w:t>
      </w:r>
    </w:p>
    <w:p w14:paraId="08DAD8A0" w14:textId="77777777" w:rsidR="0051685C" w:rsidRPr="00344309" w:rsidRDefault="0051685C" w:rsidP="0051685C">
      <w:pPr>
        <w:rPr>
          <w:b/>
          <w:smallCaps/>
        </w:rPr>
      </w:pPr>
    </w:p>
    <w:p w14:paraId="68D8E833" w14:textId="4D2D4505" w:rsidR="0066106A" w:rsidRPr="005D5FEC" w:rsidRDefault="0051685C" w:rsidP="005D5FEC">
      <w:r w:rsidRPr="00344309">
        <w:rPr>
          <w:b/>
          <w:smallCaps/>
        </w:rPr>
        <w:t xml:space="preserve">Sources of Information:  </w:t>
      </w:r>
      <w:r w:rsidRPr="00344309">
        <w:t>New York City Council Finance Division</w:t>
      </w:r>
    </w:p>
    <w:p w14:paraId="30DB0936" w14:textId="77777777" w:rsidR="0051685C" w:rsidRDefault="0051685C" w:rsidP="0051685C">
      <w:r>
        <w:tab/>
      </w:r>
      <w:r>
        <w:tab/>
      </w:r>
      <w:r>
        <w:tab/>
      </w:r>
      <w:r>
        <w:tab/>
      </w:r>
    </w:p>
    <w:p w14:paraId="5DFD3C39" w14:textId="24869936" w:rsidR="00793C6A" w:rsidRPr="00E86052" w:rsidRDefault="0051685C" w:rsidP="0051685C">
      <w:r w:rsidRPr="00344309">
        <w:rPr>
          <w:b/>
          <w:smallCaps/>
        </w:rPr>
        <w:t>Estimate Prepared by:</w:t>
      </w:r>
      <w:r w:rsidRPr="00344309">
        <w:rPr>
          <w:b/>
          <w:smallCaps/>
        </w:rPr>
        <w:tab/>
      </w:r>
      <w:r w:rsidRPr="00E86052">
        <w:t xml:space="preserve">Sebastian </w:t>
      </w:r>
      <w:r w:rsidR="00375A72" w:rsidRPr="00E86052">
        <w:t xml:space="preserve">Palacio </w:t>
      </w:r>
      <w:r w:rsidRPr="00E86052">
        <w:t xml:space="preserve">Bacchi, </w:t>
      </w:r>
      <w:r w:rsidR="005D5FEC">
        <w:t xml:space="preserve">Principal </w:t>
      </w:r>
      <w:r w:rsidRPr="00E86052">
        <w:t>Financial Analyst</w:t>
      </w:r>
    </w:p>
    <w:p w14:paraId="56FC4E37" w14:textId="77777777" w:rsidR="0051685C" w:rsidRPr="00E86052" w:rsidRDefault="0051685C" w:rsidP="0051685C">
      <w:pPr>
        <w:ind w:firstLine="2880"/>
      </w:pPr>
      <w:r w:rsidRPr="00E86052">
        <w:rPr>
          <w:b/>
          <w:smallCaps/>
        </w:rPr>
        <w:tab/>
      </w:r>
    </w:p>
    <w:p w14:paraId="28518952" w14:textId="651EE0DB" w:rsidR="0051685C" w:rsidRPr="008B4D0B" w:rsidRDefault="0051685C" w:rsidP="0051685C">
      <w:r w:rsidRPr="008B4D0B">
        <w:rPr>
          <w:b/>
          <w:smallCaps/>
        </w:rPr>
        <w:t>Estimate Reviewed by:</w:t>
      </w:r>
      <w:r w:rsidRPr="008B4D0B">
        <w:rPr>
          <w:b/>
          <w:smallCaps/>
        </w:rPr>
        <w:tab/>
      </w:r>
      <w:r w:rsidR="005D5FEC" w:rsidRPr="008B4D0B">
        <w:t>Eisha Wright</w:t>
      </w:r>
      <w:r w:rsidRPr="008B4D0B">
        <w:t xml:space="preserve">, Deputy Director </w:t>
      </w:r>
    </w:p>
    <w:p w14:paraId="3C779EA1" w14:textId="77777777" w:rsidR="0051685C" w:rsidRPr="008B4D0B" w:rsidRDefault="0051685C" w:rsidP="0051685C">
      <w:pPr>
        <w:ind w:left="2880"/>
      </w:pPr>
      <w:r w:rsidRPr="008B4D0B">
        <w:t>John Russell, Unit Head</w:t>
      </w:r>
    </w:p>
    <w:p w14:paraId="540D6B1E" w14:textId="59A0F9EB" w:rsidR="0051685C" w:rsidRPr="008B4D0B" w:rsidRDefault="005D5FEC" w:rsidP="0051685C">
      <w:pPr>
        <w:ind w:left="2880"/>
      </w:pPr>
      <w:r w:rsidRPr="008B4D0B">
        <w:t>Noah Brick</w:t>
      </w:r>
      <w:r w:rsidR="00AD705B" w:rsidRPr="008B4D0B">
        <w:t>, Assistant</w:t>
      </w:r>
      <w:r w:rsidR="009104B0" w:rsidRPr="008B4D0B">
        <w:t xml:space="preserve"> </w:t>
      </w:r>
      <w:r w:rsidR="0051685C" w:rsidRPr="008B4D0B">
        <w:t>Counsel</w:t>
      </w:r>
    </w:p>
    <w:p w14:paraId="551A4B3E" w14:textId="6E0ED515" w:rsidR="007730CD" w:rsidRPr="00E86052" w:rsidRDefault="0051685C" w:rsidP="004B0E4D">
      <w:pPr>
        <w:spacing w:before="120"/>
        <w:jc w:val="both"/>
      </w:pPr>
      <w:r w:rsidRPr="008B4D0B">
        <w:rPr>
          <w:b/>
          <w:smallCaps/>
        </w:rPr>
        <w:t xml:space="preserve">Legislative History: </w:t>
      </w:r>
      <w:r w:rsidRPr="008B4D0B">
        <w:rPr>
          <w:smallCaps/>
        </w:rPr>
        <w:t xml:space="preserve"> </w:t>
      </w:r>
      <w:r w:rsidRPr="008B4D0B">
        <w:t xml:space="preserve">This legislation </w:t>
      </w:r>
      <w:r w:rsidR="006A36B6" w:rsidRPr="008B4D0B">
        <w:t xml:space="preserve">was introduced to the Council as </w:t>
      </w:r>
      <w:r w:rsidR="00D312EF" w:rsidRPr="008B4D0B">
        <w:t xml:space="preserve">a </w:t>
      </w:r>
      <w:r w:rsidR="005D5FEC" w:rsidRPr="008B4D0B">
        <w:t>Preconsidered Int.</w:t>
      </w:r>
      <w:r w:rsidR="006A36B6" w:rsidRPr="008B4D0B">
        <w:t xml:space="preserve"> on </w:t>
      </w:r>
      <w:r w:rsidR="0060030C" w:rsidRPr="008B4D0B">
        <w:t>April 5,</w:t>
      </w:r>
      <w:r w:rsidR="00C16CCB" w:rsidRPr="008B4D0B">
        <w:t xml:space="preserve"> 202</w:t>
      </w:r>
      <w:r w:rsidR="0060030C" w:rsidRPr="008B4D0B">
        <w:t>2</w:t>
      </w:r>
      <w:r w:rsidR="006A36B6" w:rsidRPr="008B4D0B">
        <w:t xml:space="preserve"> and was referred to the Committee on Governmental Operations (Committee)</w:t>
      </w:r>
      <w:r w:rsidR="00A25885" w:rsidRPr="008B4D0B">
        <w:t xml:space="preserve">. </w:t>
      </w:r>
      <w:r w:rsidR="00B136C0" w:rsidRPr="008B4D0B">
        <w:t xml:space="preserve">The legislation was subsequently amended and the amended version, </w:t>
      </w:r>
      <w:r w:rsidR="0060030C" w:rsidRPr="008B4D0B">
        <w:t>Preconsidered Int. No</w:t>
      </w:r>
      <w:r w:rsidR="00506C72" w:rsidRPr="008B4D0B">
        <w:t>. __-</w:t>
      </w:r>
      <w:r w:rsidR="0060030C" w:rsidRPr="008B4D0B">
        <w:t xml:space="preserve"> A</w:t>
      </w:r>
      <w:r w:rsidR="00B136C0" w:rsidRPr="008B4D0B">
        <w:t xml:space="preserve">, will be voted on by the Committee at a hearing </w:t>
      </w:r>
      <w:r w:rsidR="00A041BB" w:rsidRPr="008B4D0B">
        <w:t xml:space="preserve">on </w:t>
      </w:r>
      <w:r w:rsidR="0060030C" w:rsidRPr="008B4D0B">
        <w:t>April 13</w:t>
      </w:r>
      <w:r w:rsidR="007D1C8A" w:rsidRPr="008B4D0B">
        <w:t>, 202</w:t>
      </w:r>
      <w:r w:rsidR="0060030C" w:rsidRPr="008B4D0B">
        <w:t>2</w:t>
      </w:r>
      <w:r w:rsidR="007D1C8A" w:rsidRPr="008B4D0B">
        <w:t>.</w:t>
      </w:r>
      <w:r w:rsidR="00A041BB" w:rsidRPr="008B4D0B">
        <w:t xml:space="preserve"> Upon a successful vote by the</w:t>
      </w:r>
      <w:r w:rsidR="009958FB" w:rsidRPr="008B4D0B">
        <w:t xml:space="preserve"> Committee, </w:t>
      </w:r>
      <w:r w:rsidR="0060030C" w:rsidRPr="008B4D0B">
        <w:t>Preconsidered Int. No</w:t>
      </w:r>
      <w:r w:rsidR="00506C72" w:rsidRPr="008B4D0B">
        <w:t>. __-</w:t>
      </w:r>
      <w:r w:rsidR="0060030C" w:rsidRPr="008B4D0B">
        <w:t>A</w:t>
      </w:r>
      <w:r w:rsidR="00A041BB" w:rsidRPr="008B4D0B">
        <w:t xml:space="preserve"> will be submitted to the full council for a vote on </w:t>
      </w:r>
      <w:r w:rsidR="0060030C" w:rsidRPr="008B4D0B">
        <w:t>April 1</w:t>
      </w:r>
      <w:r w:rsidR="00506C72" w:rsidRPr="008B4D0B">
        <w:t>4</w:t>
      </w:r>
      <w:r w:rsidR="0060030C" w:rsidRPr="008B4D0B">
        <w:t>, 2022.</w:t>
      </w:r>
      <w:r w:rsidR="0060030C">
        <w:t xml:space="preserve"> </w:t>
      </w:r>
      <w:r w:rsidR="00A041BB" w:rsidRPr="00E86052">
        <w:t xml:space="preserve"> </w:t>
      </w:r>
    </w:p>
    <w:p w14:paraId="3EBAC315" w14:textId="03BFE011" w:rsidR="00D12580" w:rsidRDefault="0051685C" w:rsidP="00035B3F">
      <w:pPr>
        <w:spacing w:before="120"/>
      </w:pPr>
      <w:r w:rsidRPr="00E86052">
        <w:rPr>
          <w:b/>
          <w:smallCaps/>
        </w:rPr>
        <w:t>Date Prepared</w:t>
      </w:r>
      <w:r w:rsidRPr="00880BFD">
        <w:rPr>
          <w:b/>
          <w:smallCaps/>
        </w:rPr>
        <w:t xml:space="preserve">: </w:t>
      </w:r>
      <w:r w:rsidR="0060030C">
        <w:rPr>
          <w:rFonts w:eastAsia="Calibri"/>
        </w:rPr>
        <w:t>April 12</w:t>
      </w:r>
      <w:r w:rsidR="0010596D" w:rsidRPr="00880BFD">
        <w:rPr>
          <w:rFonts w:eastAsia="Calibri"/>
        </w:rPr>
        <w:t>, 202</w:t>
      </w:r>
      <w:r w:rsidR="0060030C">
        <w:rPr>
          <w:rFonts w:eastAsia="Calibri"/>
        </w:rPr>
        <w:t>2</w:t>
      </w:r>
    </w:p>
    <w:sectPr w:rsidR="00D12580" w:rsidSect="005A18A8">
      <w:footerReference w:type="default" r:id="rId12"/>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95A12" w14:textId="77777777" w:rsidR="009C0AE7" w:rsidRDefault="009C0AE7" w:rsidP="0051685C">
      <w:r>
        <w:separator/>
      </w:r>
    </w:p>
  </w:endnote>
  <w:endnote w:type="continuationSeparator" w:id="0">
    <w:p w14:paraId="765FF07C" w14:textId="77777777" w:rsidR="009C0AE7" w:rsidRDefault="009C0AE7" w:rsidP="0051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BEC7" w14:textId="17723FD6" w:rsidR="005A6D71" w:rsidRPr="002725B7" w:rsidRDefault="005D5FEC" w:rsidP="002725B7">
    <w:pPr>
      <w:pStyle w:val="Footer"/>
      <w:pBdr>
        <w:top w:val="thinThickSmallGap" w:sz="24" w:space="1" w:color="622423"/>
      </w:pBdr>
      <w:tabs>
        <w:tab w:val="clear" w:pos="4680"/>
        <w:tab w:val="clear" w:pos="9360"/>
        <w:tab w:val="right" w:pos="10800"/>
      </w:tabs>
    </w:pPr>
    <w:r>
      <w:t>Preconsidered Int. No A</w:t>
    </w:r>
    <w:r w:rsidR="00C03E0B" w:rsidRPr="00E67655">
      <w:tab/>
    </w:r>
    <w:r w:rsidR="00C03E0B" w:rsidRPr="002725B7">
      <w:t xml:space="preserve">Page </w:t>
    </w:r>
    <w:r w:rsidR="00C03E0B" w:rsidRPr="002725B7">
      <w:fldChar w:fldCharType="begin"/>
    </w:r>
    <w:r w:rsidR="00C03E0B" w:rsidRPr="00D72576">
      <w:instrText xml:space="preserve"> PAGE   \* MERGEFORMAT </w:instrText>
    </w:r>
    <w:r w:rsidR="00C03E0B" w:rsidRPr="002725B7">
      <w:fldChar w:fldCharType="separate"/>
    </w:r>
    <w:r w:rsidR="005059D8">
      <w:rPr>
        <w:noProof/>
      </w:rPr>
      <w:t>2</w:t>
    </w:r>
    <w:r w:rsidR="00C03E0B" w:rsidRPr="002725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B1E05" w14:textId="77777777" w:rsidR="009C0AE7" w:rsidRDefault="009C0AE7" w:rsidP="0051685C">
      <w:r>
        <w:separator/>
      </w:r>
    </w:p>
  </w:footnote>
  <w:footnote w:type="continuationSeparator" w:id="0">
    <w:p w14:paraId="7C290702" w14:textId="77777777" w:rsidR="009C0AE7" w:rsidRDefault="009C0AE7" w:rsidP="00516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0637"/>
    <w:multiLevelType w:val="hybridMultilevel"/>
    <w:tmpl w:val="C2AA7CE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15:restartNumberingAfterBreak="0">
    <w:nsid w:val="27E66AB4"/>
    <w:multiLevelType w:val="hybridMultilevel"/>
    <w:tmpl w:val="C2AA7CE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5C"/>
    <w:rsid w:val="000158E6"/>
    <w:rsid w:val="00035B3F"/>
    <w:rsid w:val="00051B3D"/>
    <w:rsid w:val="00063537"/>
    <w:rsid w:val="00063EA1"/>
    <w:rsid w:val="00086C5F"/>
    <w:rsid w:val="00087B22"/>
    <w:rsid w:val="00092B9F"/>
    <w:rsid w:val="000A6151"/>
    <w:rsid w:val="000C4393"/>
    <w:rsid w:val="000C5D89"/>
    <w:rsid w:val="000C67A4"/>
    <w:rsid w:val="00104ADF"/>
    <w:rsid w:val="0010596D"/>
    <w:rsid w:val="00122CA2"/>
    <w:rsid w:val="001443BE"/>
    <w:rsid w:val="00153D93"/>
    <w:rsid w:val="00155A84"/>
    <w:rsid w:val="00163DE2"/>
    <w:rsid w:val="00163FAD"/>
    <w:rsid w:val="0016635F"/>
    <w:rsid w:val="00174F7E"/>
    <w:rsid w:val="001A4C88"/>
    <w:rsid w:val="001C01AD"/>
    <w:rsid w:val="001C1307"/>
    <w:rsid w:val="001C2230"/>
    <w:rsid w:val="001C4652"/>
    <w:rsid w:val="001E64B6"/>
    <w:rsid w:val="001F0C48"/>
    <w:rsid w:val="00224067"/>
    <w:rsid w:val="00224888"/>
    <w:rsid w:val="00230ADC"/>
    <w:rsid w:val="00232D4C"/>
    <w:rsid w:val="00245DC9"/>
    <w:rsid w:val="00266D52"/>
    <w:rsid w:val="002723FE"/>
    <w:rsid w:val="00275EA7"/>
    <w:rsid w:val="0027734D"/>
    <w:rsid w:val="002A3C5C"/>
    <w:rsid w:val="002B2DCA"/>
    <w:rsid w:val="002F1816"/>
    <w:rsid w:val="002F3888"/>
    <w:rsid w:val="003343DB"/>
    <w:rsid w:val="00347EC3"/>
    <w:rsid w:val="003539C1"/>
    <w:rsid w:val="00367FAD"/>
    <w:rsid w:val="00375A72"/>
    <w:rsid w:val="003A3847"/>
    <w:rsid w:val="003A7A77"/>
    <w:rsid w:val="003B5374"/>
    <w:rsid w:val="003B72B1"/>
    <w:rsid w:val="003C703D"/>
    <w:rsid w:val="003D377E"/>
    <w:rsid w:val="003D4F66"/>
    <w:rsid w:val="003D794F"/>
    <w:rsid w:val="003F266F"/>
    <w:rsid w:val="003F3670"/>
    <w:rsid w:val="003F676A"/>
    <w:rsid w:val="004011EE"/>
    <w:rsid w:val="004165C2"/>
    <w:rsid w:val="0043127D"/>
    <w:rsid w:val="00433483"/>
    <w:rsid w:val="0043423A"/>
    <w:rsid w:val="00446A51"/>
    <w:rsid w:val="00475A63"/>
    <w:rsid w:val="00494068"/>
    <w:rsid w:val="0049493E"/>
    <w:rsid w:val="004A544D"/>
    <w:rsid w:val="004B0E4D"/>
    <w:rsid w:val="004B6B58"/>
    <w:rsid w:val="004E7CE7"/>
    <w:rsid w:val="00503C1A"/>
    <w:rsid w:val="005059D8"/>
    <w:rsid w:val="00506C72"/>
    <w:rsid w:val="00507DE6"/>
    <w:rsid w:val="005166C1"/>
    <w:rsid w:val="0051685C"/>
    <w:rsid w:val="00526754"/>
    <w:rsid w:val="005409B6"/>
    <w:rsid w:val="00540B9C"/>
    <w:rsid w:val="00541854"/>
    <w:rsid w:val="005423AE"/>
    <w:rsid w:val="00544FDF"/>
    <w:rsid w:val="0055149D"/>
    <w:rsid w:val="00552C93"/>
    <w:rsid w:val="0055658C"/>
    <w:rsid w:val="005735BC"/>
    <w:rsid w:val="00580FD1"/>
    <w:rsid w:val="005967F3"/>
    <w:rsid w:val="005A0D37"/>
    <w:rsid w:val="005A1089"/>
    <w:rsid w:val="005A1A85"/>
    <w:rsid w:val="005A6F89"/>
    <w:rsid w:val="005D5FEC"/>
    <w:rsid w:val="005D62AC"/>
    <w:rsid w:val="005D7651"/>
    <w:rsid w:val="005E0307"/>
    <w:rsid w:val="005E4FD7"/>
    <w:rsid w:val="005F3BFE"/>
    <w:rsid w:val="0060030C"/>
    <w:rsid w:val="0060042C"/>
    <w:rsid w:val="00600530"/>
    <w:rsid w:val="00604E12"/>
    <w:rsid w:val="006335CD"/>
    <w:rsid w:val="006352A1"/>
    <w:rsid w:val="00646B2A"/>
    <w:rsid w:val="00653198"/>
    <w:rsid w:val="0066106A"/>
    <w:rsid w:val="00666673"/>
    <w:rsid w:val="006674F7"/>
    <w:rsid w:val="00685F82"/>
    <w:rsid w:val="006876A5"/>
    <w:rsid w:val="006A36B6"/>
    <w:rsid w:val="006B4A10"/>
    <w:rsid w:val="006B6716"/>
    <w:rsid w:val="006C127D"/>
    <w:rsid w:val="006D232C"/>
    <w:rsid w:val="006E5FA2"/>
    <w:rsid w:val="006F045A"/>
    <w:rsid w:val="00716F9B"/>
    <w:rsid w:val="0072150D"/>
    <w:rsid w:val="00724478"/>
    <w:rsid w:val="00730D51"/>
    <w:rsid w:val="00731B53"/>
    <w:rsid w:val="00741440"/>
    <w:rsid w:val="00746348"/>
    <w:rsid w:val="0076448C"/>
    <w:rsid w:val="00771456"/>
    <w:rsid w:val="007730CD"/>
    <w:rsid w:val="00785261"/>
    <w:rsid w:val="00791337"/>
    <w:rsid w:val="00793A65"/>
    <w:rsid w:val="00793C6A"/>
    <w:rsid w:val="007B11E0"/>
    <w:rsid w:val="007B5CDD"/>
    <w:rsid w:val="007C39C0"/>
    <w:rsid w:val="007D1C8A"/>
    <w:rsid w:val="007D1E0A"/>
    <w:rsid w:val="00802A26"/>
    <w:rsid w:val="008062F5"/>
    <w:rsid w:val="00817CF4"/>
    <w:rsid w:val="00830E1D"/>
    <w:rsid w:val="0083187E"/>
    <w:rsid w:val="00842DD3"/>
    <w:rsid w:val="00847B77"/>
    <w:rsid w:val="00847F34"/>
    <w:rsid w:val="0086379E"/>
    <w:rsid w:val="00880BFD"/>
    <w:rsid w:val="008A0667"/>
    <w:rsid w:val="008A2807"/>
    <w:rsid w:val="008B4D0B"/>
    <w:rsid w:val="008B5070"/>
    <w:rsid w:val="008E0A76"/>
    <w:rsid w:val="008E2ACC"/>
    <w:rsid w:val="008E2C7A"/>
    <w:rsid w:val="008F1F2D"/>
    <w:rsid w:val="008F2460"/>
    <w:rsid w:val="008F37CC"/>
    <w:rsid w:val="00906B20"/>
    <w:rsid w:val="009104B0"/>
    <w:rsid w:val="009125B3"/>
    <w:rsid w:val="00916C9C"/>
    <w:rsid w:val="009469BA"/>
    <w:rsid w:val="009503E9"/>
    <w:rsid w:val="00950861"/>
    <w:rsid w:val="00960354"/>
    <w:rsid w:val="00981467"/>
    <w:rsid w:val="009827A9"/>
    <w:rsid w:val="009840CA"/>
    <w:rsid w:val="009924A3"/>
    <w:rsid w:val="009958FB"/>
    <w:rsid w:val="009A5CD8"/>
    <w:rsid w:val="009C0AE7"/>
    <w:rsid w:val="009C6C2A"/>
    <w:rsid w:val="009D425D"/>
    <w:rsid w:val="009F7F46"/>
    <w:rsid w:val="00A041BB"/>
    <w:rsid w:val="00A12445"/>
    <w:rsid w:val="00A15261"/>
    <w:rsid w:val="00A21E1E"/>
    <w:rsid w:val="00A25885"/>
    <w:rsid w:val="00A53A4C"/>
    <w:rsid w:val="00A62040"/>
    <w:rsid w:val="00A77C7B"/>
    <w:rsid w:val="00A867E4"/>
    <w:rsid w:val="00A902F9"/>
    <w:rsid w:val="00A91CB3"/>
    <w:rsid w:val="00A94ADC"/>
    <w:rsid w:val="00AA7062"/>
    <w:rsid w:val="00AD2A75"/>
    <w:rsid w:val="00AD6093"/>
    <w:rsid w:val="00AD705B"/>
    <w:rsid w:val="00AE40FE"/>
    <w:rsid w:val="00AE7C14"/>
    <w:rsid w:val="00B136C0"/>
    <w:rsid w:val="00B14AED"/>
    <w:rsid w:val="00B24191"/>
    <w:rsid w:val="00B27A2C"/>
    <w:rsid w:val="00B36B76"/>
    <w:rsid w:val="00B46028"/>
    <w:rsid w:val="00B65EC4"/>
    <w:rsid w:val="00B80885"/>
    <w:rsid w:val="00B83CE1"/>
    <w:rsid w:val="00B860A7"/>
    <w:rsid w:val="00B8688D"/>
    <w:rsid w:val="00B94F19"/>
    <w:rsid w:val="00BA3989"/>
    <w:rsid w:val="00BB5F6D"/>
    <w:rsid w:val="00BC0EC3"/>
    <w:rsid w:val="00BC1E75"/>
    <w:rsid w:val="00BE21BC"/>
    <w:rsid w:val="00BE2655"/>
    <w:rsid w:val="00C03E0B"/>
    <w:rsid w:val="00C13BA4"/>
    <w:rsid w:val="00C16CCB"/>
    <w:rsid w:val="00C70823"/>
    <w:rsid w:val="00C76943"/>
    <w:rsid w:val="00C81F6A"/>
    <w:rsid w:val="00CB666C"/>
    <w:rsid w:val="00CC17E5"/>
    <w:rsid w:val="00CC3BA7"/>
    <w:rsid w:val="00CC772A"/>
    <w:rsid w:val="00CD6ED2"/>
    <w:rsid w:val="00CE16B2"/>
    <w:rsid w:val="00CE4753"/>
    <w:rsid w:val="00CF70A5"/>
    <w:rsid w:val="00D12580"/>
    <w:rsid w:val="00D30D4E"/>
    <w:rsid w:val="00D312EF"/>
    <w:rsid w:val="00D66D5B"/>
    <w:rsid w:val="00D765CA"/>
    <w:rsid w:val="00D76799"/>
    <w:rsid w:val="00D81C4E"/>
    <w:rsid w:val="00D85462"/>
    <w:rsid w:val="00D94D83"/>
    <w:rsid w:val="00DA0BAF"/>
    <w:rsid w:val="00DE2693"/>
    <w:rsid w:val="00DE62ED"/>
    <w:rsid w:val="00DF0406"/>
    <w:rsid w:val="00DF6312"/>
    <w:rsid w:val="00E0783E"/>
    <w:rsid w:val="00E07B09"/>
    <w:rsid w:val="00E16F01"/>
    <w:rsid w:val="00E4784E"/>
    <w:rsid w:val="00E5197F"/>
    <w:rsid w:val="00E5323A"/>
    <w:rsid w:val="00E60570"/>
    <w:rsid w:val="00E60DE0"/>
    <w:rsid w:val="00E86052"/>
    <w:rsid w:val="00E86C01"/>
    <w:rsid w:val="00E95E3F"/>
    <w:rsid w:val="00EA426D"/>
    <w:rsid w:val="00EA4B49"/>
    <w:rsid w:val="00EB0130"/>
    <w:rsid w:val="00EB3904"/>
    <w:rsid w:val="00EE1D2E"/>
    <w:rsid w:val="00F128FF"/>
    <w:rsid w:val="00F21FC1"/>
    <w:rsid w:val="00F224EF"/>
    <w:rsid w:val="00F25E29"/>
    <w:rsid w:val="00F3272F"/>
    <w:rsid w:val="00F33740"/>
    <w:rsid w:val="00F53370"/>
    <w:rsid w:val="00F63381"/>
    <w:rsid w:val="00FC52E4"/>
    <w:rsid w:val="00FE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125B"/>
  <w15:chartTrackingRefBased/>
  <w15:docId w15:val="{D359B756-24DA-4324-BB0F-39B3AFA4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0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685C"/>
    <w:pPr>
      <w:tabs>
        <w:tab w:val="center" w:pos="4680"/>
        <w:tab w:val="right" w:pos="9360"/>
      </w:tabs>
      <w:jc w:val="both"/>
    </w:pPr>
  </w:style>
  <w:style w:type="character" w:customStyle="1" w:styleId="FooterChar">
    <w:name w:val="Footer Char"/>
    <w:basedOn w:val="DefaultParagraphFont"/>
    <w:link w:val="Footer"/>
    <w:uiPriority w:val="99"/>
    <w:rsid w:val="0051685C"/>
    <w:rPr>
      <w:rFonts w:ascii="Times New Roman" w:eastAsia="Times New Roman" w:hAnsi="Times New Roman" w:cs="Times New Roman"/>
      <w:sz w:val="24"/>
      <w:szCs w:val="24"/>
    </w:rPr>
  </w:style>
  <w:style w:type="paragraph" w:styleId="BodyText">
    <w:name w:val="Body Text"/>
    <w:basedOn w:val="Normal"/>
    <w:link w:val="BodyTextChar"/>
    <w:rsid w:val="0051685C"/>
  </w:style>
  <w:style w:type="character" w:customStyle="1" w:styleId="BodyTextChar">
    <w:name w:val="Body Text Char"/>
    <w:basedOn w:val="DefaultParagraphFont"/>
    <w:link w:val="BodyText"/>
    <w:rsid w:val="0051685C"/>
    <w:rPr>
      <w:rFonts w:ascii="Times New Roman" w:eastAsia="Times New Roman" w:hAnsi="Times New Roman" w:cs="Times New Roman"/>
      <w:sz w:val="24"/>
      <w:szCs w:val="24"/>
    </w:rPr>
  </w:style>
  <w:style w:type="paragraph" w:styleId="NoSpacing">
    <w:name w:val="No Spacing"/>
    <w:uiPriority w:val="1"/>
    <w:qFormat/>
    <w:rsid w:val="005168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51685C"/>
    <w:pPr>
      <w:tabs>
        <w:tab w:val="center" w:pos="4680"/>
        <w:tab w:val="right" w:pos="9360"/>
      </w:tabs>
      <w:jc w:val="both"/>
    </w:pPr>
  </w:style>
  <w:style w:type="character" w:customStyle="1" w:styleId="HeaderChar">
    <w:name w:val="Header Char"/>
    <w:basedOn w:val="DefaultParagraphFont"/>
    <w:link w:val="Header"/>
    <w:uiPriority w:val="99"/>
    <w:rsid w:val="005168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C6A"/>
    <w:pPr>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C6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2150D"/>
    <w:rPr>
      <w:sz w:val="16"/>
      <w:szCs w:val="16"/>
    </w:rPr>
  </w:style>
  <w:style w:type="paragraph" w:styleId="CommentText">
    <w:name w:val="annotation text"/>
    <w:basedOn w:val="Normal"/>
    <w:link w:val="CommentTextChar"/>
    <w:uiPriority w:val="99"/>
    <w:semiHidden/>
    <w:unhideWhenUsed/>
    <w:rsid w:val="0072150D"/>
    <w:pPr>
      <w:jc w:val="both"/>
    </w:pPr>
    <w:rPr>
      <w:sz w:val="20"/>
      <w:szCs w:val="20"/>
    </w:rPr>
  </w:style>
  <w:style w:type="character" w:customStyle="1" w:styleId="CommentTextChar">
    <w:name w:val="Comment Text Char"/>
    <w:basedOn w:val="DefaultParagraphFont"/>
    <w:link w:val="CommentText"/>
    <w:uiPriority w:val="99"/>
    <w:semiHidden/>
    <w:rsid w:val="007215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150D"/>
    <w:rPr>
      <w:b/>
      <w:bCs/>
    </w:rPr>
  </w:style>
  <w:style w:type="character" w:customStyle="1" w:styleId="CommentSubjectChar">
    <w:name w:val="Comment Subject Char"/>
    <w:basedOn w:val="CommentTextChar"/>
    <w:link w:val="CommentSubject"/>
    <w:uiPriority w:val="99"/>
    <w:semiHidden/>
    <w:rsid w:val="0072150D"/>
    <w:rPr>
      <w:rFonts w:ascii="Times New Roman" w:eastAsia="Times New Roman" w:hAnsi="Times New Roman" w:cs="Times New Roman"/>
      <w:b/>
      <w:bCs/>
      <w:sz w:val="20"/>
      <w:szCs w:val="20"/>
    </w:rPr>
  </w:style>
  <w:style w:type="paragraph" w:styleId="Revision">
    <w:name w:val="Revision"/>
    <w:hidden/>
    <w:uiPriority w:val="99"/>
    <w:semiHidden/>
    <w:rsid w:val="006674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0660">
      <w:bodyDiv w:val="1"/>
      <w:marLeft w:val="0"/>
      <w:marRight w:val="0"/>
      <w:marTop w:val="0"/>
      <w:marBottom w:val="0"/>
      <w:divBdr>
        <w:top w:val="none" w:sz="0" w:space="0" w:color="auto"/>
        <w:left w:val="none" w:sz="0" w:space="0" w:color="auto"/>
        <w:bottom w:val="none" w:sz="0" w:space="0" w:color="auto"/>
        <w:right w:val="none" w:sz="0" w:space="0" w:color="auto"/>
      </w:divBdr>
    </w:div>
    <w:div w:id="165483679">
      <w:bodyDiv w:val="1"/>
      <w:marLeft w:val="0"/>
      <w:marRight w:val="0"/>
      <w:marTop w:val="0"/>
      <w:marBottom w:val="0"/>
      <w:divBdr>
        <w:top w:val="none" w:sz="0" w:space="0" w:color="auto"/>
        <w:left w:val="none" w:sz="0" w:space="0" w:color="auto"/>
        <w:bottom w:val="none" w:sz="0" w:space="0" w:color="auto"/>
        <w:right w:val="none" w:sz="0" w:space="0" w:color="auto"/>
      </w:divBdr>
    </w:div>
    <w:div w:id="166294348">
      <w:bodyDiv w:val="1"/>
      <w:marLeft w:val="0"/>
      <w:marRight w:val="0"/>
      <w:marTop w:val="0"/>
      <w:marBottom w:val="0"/>
      <w:divBdr>
        <w:top w:val="none" w:sz="0" w:space="0" w:color="auto"/>
        <w:left w:val="none" w:sz="0" w:space="0" w:color="auto"/>
        <w:bottom w:val="none" w:sz="0" w:space="0" w:color="auto"/>
        <w:right w:val="none" w:sz="0" w:space="0" w:color="auto"/>
      </w:divBdr>
    </w:div>
    <w:div w:id="963804949">
      <w:bodyDiv w:val="1"/>
      <w:marLeft w:val="0"/>
      <w:marRight w:val="0"/>
      <w:marTop w:val="0"/>
      <w:marBottom w:val="0"/>
      <w:divBdr>
        <w:top w:val="none" w:sz="0" w:space="0" w:color="auto"/>
        <w:left w:val="none" w:sz="0" w:space="0" w:color="auto"/>
        <w:bottom w:val="none" w:sz="0" w:space="0" w:color="auto"/>
        <w:right w:val="none" w:sz="0" w:space="0" w:color="auto"/>
      </w:divBdr>
      <w:divsChild>
        <w:div w:id="1484853048">
          <w:marLeft w:val="0"/>
          <w:marRight w:val="0"/>
          <w:marTop w:val="0"/>
          <w:marBottom w:val="0"/>
          <w:divBdr>
            <w:top w:val="none" w:sz="0" w:space="0" w:color="auto"/>
            <w:left w:val="none" w:sz="0" w:space="0" w:color="auto"/>
            <w:bottom w:val="none" w:sz="0" w:space="0" w:color="auto"/>
            <w:right w:val="none" w:sz="0" w:space="0" w:color="auto"/>
          </w:divBdr>
        </w:div>
        <w:div w:id="1714958764">
          <w:marLeft w:val="0"/>
          <w:marRight w:val="0"/>
          <w:marTop w:val="0"/>
          <w:marBottom w:val="0"/>
          <w:divBdr>
            <w:top w:val="none" w:sz="0" w:space="0" w:color="auto"/>
            <w:left w:val="none" w:sz="0" w:space="0" w:color="auto"/>
            <w:bottom w:val="none" w:sz="0" w:space="0" w:color="auto"/>
            <w:right w:val="none" w:sz="0" w:space="0" w:color="auto"/>
          </w:divBdr>
        </w:div>
        <w:div w:id="962887288">
          <w:marLeft w:val="0"/>
          <w:marRight w:val="0"/>
          <w:marTop w:val="0"/>
          <w:marBottom w:val="0"/>
          <w:divBdr>
            <w:top w:val="none" w:sz="0" w:space="0" w:color="auto"/>
            <w:left w:val="none" w:sz="0" w:space="0" w:color="auto"/>
            <w:bottom w:val="none" w:sz="0" w:space="0" w:color="auto"/>
            <w:right w:val="none" w:sz="0" w:space="0" w:color="auto"/>
          </w:divBdr>
        </w:div>
        <w:div w:id="13850696">
          <w:marLeft w:val="0"/>
          <w:marRight w:val="0"/>
          <w:marTop w:val="0"/>
          <w:marBottom w:val="0"/>
          <w:divBdr>
            <w:top w:val="none" w:sz="0" w:space="0" w:color="auto"/>
            <w:left w:val="none" w:sz="0" w:space="0" w:color="auto"/>
            <w:bottom w:val="none" w:sz="0" w:space="0" w:color="auto"/>
            <w:right w:val="none" w:sz="0" w:space="0" w:color="auto"/>
          </w:divBdr>
        </w:div>
        <w:div w:id="1527333230">
          <w:marLeft w:val="0"/>
          <w:marRight w:val="0"/>
          <w:marTop w:val="0"/>
          <w:marBottom w:val="0"/>
          <w:divBdr>
            <w:top w:val="none" w:sz="0" w:space="0" w:color="auto"/>
            <w:left w:val="none" w:sz="0" w:space="0" w:color="auto"/>
            <w:bottom w:val="none" w:sz="0" w:space="0" w:color="auto"/>
            <w:right w:val="none" w:sz="0" w:space="0" w:color="auto"/>
          </w:divBdr>
        </w:div>
      </w:divsChild>
    </w:div>
    <w:div w:id="1485319141">
      <w:bodyDiv w:val="1"/>
      <w:marLeft w:val="0"/>
      <w:marRight w:val="0"/>
      <w:marTop w:val="0"/>
      <w:marBottom w:val="0"/>
      <w:divBdr>
        <w:top w:val="none" w:sz="0" w:space="0" w:color="auto"/>
        <w:left w:val="none" w:sz="0" w:space="0" w:color="auto"/>
        <w:bottom w:val="none" w:sz="0" w:space="0" w:color="auto"/>
        <w:right w:val="none" w:sz="0" w:space="0" w:color="auto"/>
      </w:divBdr>
      <w:divsChild>
        <w:div w:id="801774933">
          <w:marLeft w:val="0"/>
          <w:marRight w:val="0"/>
          <w:marTop w:val="0"/>
          <w:marBottom w:val="0"/>
          <w:divBdr>
            <w:top w:val="none" w:sz="0" w:space="0" w:color="auto"/>
            <w:left w:val="none" w:sz="0" w:space="0" w:color="auto"/>
            <w:bottom w:val="none" w:sz="0" w:space="0" w:color="auto"/>
            <w:right w:val="none" w:sz="0" w:space="0" w:color="auto"/>
          </w:divBdr>
        </w:div>
        <w:div w:id="1477185242">
          <w:marLeft w:val="0"/>
          <w:marRight w:val="0"/>
          <w:marTop w:val="0"/>
          <w:marBottom w:val="0"/>
          <w:divBdr>
            <w:top w:val="none" w:sz="0" w:space="0" w:color="auto"/>
            <w:left w:val="none" w:sz="0" w:space="0" w:color="auto"/>
            <w:bottom w:val="none" w:sz="0" w:space="0" w:color="auto"/>
            <w:right w:val="none" w:sz="0" w:space="0" w:color="auto"/>
          </w:divBdr>
        </w:div>
        <w:div w:id="1075780052">
          <w:marLeft w:val="0"/>
          <w:marRight w:val="0"/>
          <w:marTop w:val="0"/>
          <w:marBottom w:val="0"/>
          <w:divBdr>
            <w:top w:val="none" w:sz="0" w:space="0" w:color="auto"/>
            <w:left w:val="none" w:sz="0" w:space="0" w:color="auto"/>
            <w:bottom w:val="none" w:sz="0" w:space="0" w:color="auto"/>
            <w:right w:val="none" w:sz="0" w:space="0" w:color="auto"/>
          </w:divBdr>
        </w:div>
      </w:divsChild>
    </w:div>
    <w:div w:id="175735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65b47e1e0c6f55d98a3b3e9bfab5e4bd">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fd076568c5a28e9737d2be1af301281f"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1E882-754D-4278-AE55-3C94FBA6A60D}">
  <ds:schemaRefs>
    <ds:schemaRef ds:uri="http://schemas.microsoft.com/sharepoint/v3/contenttype/forms"/>
  </ds:schemaRefs>
</ds:datastoreItem>
</file>

<file path=customXml/itemProps2.xml><?xml version="1.0" encoding="utf-8"?>
<ds:datastoreItem xmlns:ds="http://schemas.openxmlformats.org/officeDocument/2006/customXml" ds:itemID="{E479EC1E-7E65-40AC-9B01-6A94D69E0B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D3CFF0-B62A-4185-9123-D0166CB7C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EA3FB-C478-48A4-A759-741A380D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Bacchi, Sebastian</dc:creator>
  <cp:keywords/>
  <dc:description/>
  <cp:lastModifiedBy>DelFranco, Ruthie</cp:lastModifiedBy>
  <cp:revision>4</cp:revision>
  <cp:lastPrinted>2018-11-08T17:15:00Z</cp:lastPrinted>
  <dcterms:created xsi:type="dcterms:W3CDTF">2022-04-13T13:12:00Z</dcterms:created>
  <dcterms:modified xsi:type="dcterms:W3CDTF">2022-04-14T01:36:00Z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